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footer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614F8F" w14:textId="77777777" w:rsidR="006049D5" w:rsidRPr="003B329E" w:rsidRDefault="006049D5" w:rsidP="00E93970">
      <w:pPr>
        <w:tabs>
          <w:tab w:val="left" w:pos="450"/>
          <w:tab w:val="left" w:pos="720"/>
        </w:tabs>
        <w:spacing w:after="0" w:line="276" w:lineRule="auto"/>
        <w:ind w:right="9"/>
        <w:jc w:val="right"/>
        <w:rPr>
          <w:rFonts w:ascii="Times New Roman" w:eastAsia="Times New Roman" w:hAnsi="Times New Roman" w:cs="Times New Roman"/>
          <w:bCs/>
          <w:sz w:val="24"/>
          <w:szCs w:val="24"/>
        </w:rPr>
      </w:pPr>
      <w:bookmarkStart w:id="0" w:name="_GoBack"/>
      <w:bookmarkEnd w:id="0"/>
      <w:r w:rsidRPr="003B329E">
        <w:rPr>
          <w:rFonts w:ascii="Times New Roman" w:eastAsia="Times New Roman" w:hAnsi="Times New Roman" w:cs="Times New Roman"/>
          <w:bCs/>
          <w:sz w:val="24"/>
          <w:szCs w:val="24"/>
        </w:rPr>
        <w:t>Anexă</w:t>
      </w:r>
    </w:p>
    <w:p w14:paraId="1D35F087" w14:textId="77777777" w:rsidR="006049D5" w:rsidRPr="003B329E" w:rsidRDefault="006049D5" w:rsidP="00E93970">
      <w:pPr>
        <w:tabs>
          <w:tab w:val="left" w:pos="0"/>
          <w:tab w:val="left" w:pos="720"/>
        </w:tabs>
        <w:spacing w:after="0" w:line="276" w:lineRule="auto"/>
        <w:ind w:right="9"/>
        <w:jc w:val="right"/>
        <w:rPr>
          <w:rFonts w:ascii="Times New Roman" w:eastAsia="Times New Roman" w:hAnsi="Times New Roman" w:cs="Times New Roman"/>
          <w:bCs/>
          <w:sz w:val="24"/>
          <w:szCs w:val="24"/>
        </w:rPr>
      </w:pPr>
      <w:r w:rsidRPr="003B329E">
        <w:rPr>
          <w:rFonts w:ascii="Times New Roman" w:eastAsia="Times New Roman" w:hAnsi="Times New Roman" w:cs="Times New Roman"/>
          <w:bCs/>
          <w:sz w:val="24"/>
          <w:szCs w:val="24"/>
        </w:rPr>
        <w:t>la Hotărârea Curții de Conturi</w:t>
      </w:r>
    </w:p>
    <w:p w14:paraId="39591AC6" w14:textId="01F46433" w:rsidR="006049D5" w:rsidRPr="003B329E" w:rsidRDefault="00393654" w:rsidP="00E93970">
      <w:pPr>
        <w:tabs>
          <w:tab w:val="left" w:pos="450"/>
          <w:tab w:val="left" w:pos="720"/>
          <w:tab w:val="left" w:pos="7342"/>
          <w:tab w:val="left" w:pos="8222"/>
          <w:tab w:val="right" w:pos="10157"/>
        </w:tabs>
        <w:spacing w:after="0" w:line="276" w:lineRule="auto"/>
        <w:ind w:right="9"/>
        <w:jc w:val="right"/>
        <w:rPr>
          <w:rFonts w:ascii="Times New Roman" w:eastAsia="Times New Roman" w:hAnsi="Times New Roman" w:cs="Times New Roman"/>
          <w:bCs/>
          <w:color w:val="1F4E79" w:themeColor="accent1" w:themeShade="80"/>
          <w:sz w:val="24"/>
          <w:szCs w:val="24"/>
        </w:rPr>
      </w:pPr>
      <w:r w:rsidRPr="003B329E">
        <w:rPr>
          <w:rFonts w:ascii="Times New Roman" w:eastAsia="Times New Roman" w:hAnsi="Times New Roman" w:cs="Times New Roman"/>
          <w:bCs/>
          <w:sz w:val="24"/>
          <w:szCs w:val="24"/>
        </w:rPr>
        <w:t xml:space="preserve">nr. </w:t>
      </w:r>
      <w:r w:rsidR="00471560">
        <w:rPr>
          <w:rFonts w:ascii="Times New Roman" w:eastAsia="Times New Roman" w:hAnsi="Times New Roman" w:cs="Times New Roman"/>
          <w:bCs/>
          <w:sz w:val="24"/>
          <w:szCs w:val="24"/>
        </w:rPr>
        <w:t>3</w:t>
      </w:r>
      <w:r w:rsidR="006E5461">
        <w:rPr>
          <w:rFonts w:ascii="Times New Roman" w:eastAsia="Times New Roman" w:hAnsi="Times New Roman" w:cs="Times New Roman"/>
          <w:bCs/>
          <w:sz w:val="24"/>
          <w:szCs w:val="24"/>
        </w:rPr>
        <w:t xml:space="preserve"> din 31 </w:t>
      </w:r>
      <w:r w:rsidR="00163753" w:rsidRPr="003B329E">
        <w:rPr>
          <w:rFonts w:ascii="Times New Roman" w:eastAsia="Times New Roman" w:hAnsi="Times New Roman" w:cs="Times New Roman"/>
          <w:bCs/>
          <w:sz w:val="24"/>
          <w:szCs w:val="24"/>
        </w:rPr>
        <w:t xml:space="preserve">ianuarie </w:t>
      </w:r>
      <w:r w:rsidR="006049D5" w:rsidRPr="003B329E">
        <w:rPr>
          <w:rFonts w:ascii="Times New Roman" w:eastAsia="Times New Roman" w:hAnsi="Times New Roman" w:cs="Times New Roman"/>
          <w:bCs/>
          <w:sz w:val="24"/>
          <w:szCs w:val="24"/>
        </w:rPr>
        <w:t>202</w:t>
      </w:r>
      <w:r w:rsidRPr="003B329E">
        <w:rPr>
          <w:rFonts w:ascii="Times New Roman" w:eastAsia="Times New Roman" w:hAnsi="Times New Roman" w:cs="Times New Roman"/>
          <w:bCs/>
          <w:sz w:val="24"/>
          <w:szCs w:val="24"/>
        </w:rPr>
        <w:t>4</w:t>
      </w:r>
    </w:p>
    <w:p w14:paraId="2A64EC75" w14:textId="77777777" w:rsidR="006049D5" w:rsidRPr="003B329E" w:rsidRDefault="006049D5" w:rsidP="00E93970">
      <w:pPr>
        <w:spacing w:after="0" w:line="276" w:lineRule="auto"/>
        <w:rPr>
          <w:rFonts w:ascii="Times New Roman" w:eastAsia="Times New Roman" w:hAnsi="Times New Roman" w:cs="Times New Roman"/>
          <w:bCs/>
          <w:i/>
          <w:sz w:val="24"/>
          <w:szCs w:val="24"/>
        </w:rPr>
      </w:pPr>
      <w:r w:rsidRPr="003B329E">
        <w:rPr>
          <w:rFonts w:ascii="Times New Roman" w:hAnsi="Times New Roman" w:cs="Times New Roman"/>
          <w:noProof/>
          <w:lang w:val="ru-RU" w:eastAsia="ru-RU"/>
        </w:rPr>
        <w:drawing>
          <wp:anchor distT="0" distB="3810" distL="114300" distR="118110" simplePos="0" relativeHeight="251660288" behindDoc="0" locked="0" layoutInCell="1" allowOverlap="1" wp14:anchorId="42050A7F" wp14:editId="56708ED7">
            <wp:simplePos x="0" y="0"/>
            <wp:positionH relativeFrom="column">
              <wp:posOffset>2497666</wp:posOffset>
            </wp:positionH>
            <wp:positionV relativeFrom="paragraph">
              <wp:posOffset>70908</wp:posOffset>
            </wp:positionV>
            <wp:extent cx="967740" cy="967740"/>
            <wp:effectExtent l="0" t="0" r="3810" b="3810"/>
            <wp:wrapSquare wrapText="bothSides"/>
            <wp:docPr id="15" name="Рисунок 1" descr="Intranet Curtea de Cont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Intranet Curtea de Conturi"/>
                    <pic:cNvPicPr>
                      <a:picLocks noChangeAspect="1" noChangeArrowheads="1"/>
                    </pic:cNvPicPr>
                  </pic:nvPicPr>
                  <pic:blipFill>
                    <a:blip r:embed="rId8"/>
                    <a:stretch>
                      <a:fillRect/>
                    </a:stretch>
                  </pic:blipFill>
                  <pic:spPr bwMode="auto">
                    <a:xfrm>
                      <a:off x="0" y="0"/>
                      <a:ext cx="967740" cy="967740"/>
                    </a:xfrm>
                    <a:prstGeom prst="rect">
                      <a:avLst/>
                    </a:prstGeom>
                  </pic:spPr>
                </pic:pic>
              </a:graphicData>
            </a:graphic>
          </wp:anchor>
        </w:drawing>
      </w:r>
    </w:p>
    <w:p w14:paraId="7CD005C3" w14:textId="77777777" w:rsidR="006049D5" w:rsidRPr="003B329E" w:rsidRDefault="006049D5" w:rsidP="00E93970">
      <w:pPr>
        <w:spacing w:after="0" w:line="276" w:lineRule="auto"/>
        <w:rPr>
          <w:rFonts w:ascii="Times New Roman" w:hAnsi="Times New Roman" w:cs="Times New Roman"/>
          <w:i/>
          <w:sz w:val="24"/>
          <w:szCs w:val="24"/>
        </w:rPr>
      </w:pPr>
    </w:p>
    <w:p w14:paraId="537A120F" w14:textId="77777777" w:rsidR="006049D5" w:rsidRPr="003B329E" w:rsidRDefault="006049D5" w:rsidP="00E93970">
      <w:pPr>
        <w:spacing w:after="0" w:line="276" w:lineRule="auto"/>
        <w:rPr>
          <w:rFonts w:ascii="Times New Roman" w:hAnsi="Times New Roman" w:cs="Times New Roman"/>
          <w:i/>
          <w:sz w:val="24"/>
          <w:szCs w:val="24"/>
        </w:rPr>
      </w:pPr>
    </w:p>
    <w:p w14:paraId="0D13ABFC" w14:textId="77777777" w:rsidR="006049D5" w:rsidRPr="003B329E" w:rsidRDefault="006049D5" w:rsidP="00E93970">
      <w:pPr>
        <w:spacing w:after="0" w:line="276" w:lineRule="auto"/>
        <w:rPr>
          <w:rFonts w:ascii="Times New Roman" w:hAnsi="Times New Roman" w:cs="Times New Roman"/>
          <w:i/>
          <w:sz w:val="24"/>
          <w:szCs w:val="24"/>
        </w:rPr>
      </w:pPr>
    </w:p>
    <w:p w14:paraId="46B9908E" w14:textId="77777777" w:rsidR="006049D5" w:rsidRPr="003B329E" w:rsidRDefault="006049D5" w:rsidP="00E93970">
      <w:pPr>
        <w:spacing w:after="0" w:line="276" w:lineRule="auto"/>
        <w:rPr>
          <w:rFonts w:ascii="Times New Roman" w:hAnsi="Times New Roman" w:cs="Times New Roman"/>
          <w:i/>
          <w:sz w:val="24"/>
          <w:szCs w:val="24"/>
        </w:rPr>
      </w:pPr>
    </w:p>
    <w:p w14:paraId="57EB5F4B" w14:textId="77777777" w:rsidR="006049D5" w:rsidRPr="003B329E" w:rsidRDefault="006049D5" w:rsidP="00E93970">
      <w:pPr>
        <w:spacing w:after="0" w:line="276" w:lineRule="auto"/>
        <w:rPr>
          <w:rFonts w:ascii="Times New Roman" w:hAnsi="Times New Roman" w:cs="Times New Roman"/>
          <w:b/>
          <w:sz w:val="24"/>
          <w:szCs w:val="24"/>
        </w:rPr>
      </w:pPr>
    </w:p>
    <w:p w14:paraId="7BB39390" w14:textId="77777777" w:rsidR="00D03EB2" w:rsidRPr="003B329E" w:rsidRDefault="00D03EB2" w:rsidP="00E93970">
      <w:pPr>
        <w:spacing w:after="0" w:line="276" w:lineRule="auto"/>
        <w:jc w:val="center"/>
        <w:rPr>
          <w:rFonts w:ascii="Times New Roman" w:hAnsi="Times New Roman" w:cs="Times New Roman"/>
          <w:b/>
          <w:sz w:val="40"/>
          <w:szCs w:val="40"/>
        </w:rPr>
      </w:pPr>
    </w:p>
    <w:p w14:paraId="3330FAEB" w14:textId="77777777" w:rsidR="00D03EB2" w:rsidRPr="003B329E" w:rsidRDefault="00D03EB2" w:rsidP="00E93970">
      <w:pPr>
        <w:spacing w:after="0" w:line="276" w:lineRule="auto"/>
        <w:jc w:val="center"/>
        <w:rPr>
          <w:rFonts w:ascii="Times New Roman" w:hAnsi="Times New Roman" w:cs="Times New Roman"/>
          <w:b/>
          <w:sz w:val="40"/>
          <w:szCs w:val="40"/>
        </w:rPr>
      </w:pPr>
    </w:p>
    <w:p w14:paraId="7916C9BB" w14:textId="77777777" w:rsidR="006049D5" w:rsidRPr="009F475C" w:rsidRDefault="006049D5" w:rsidP="00E93970">
      <w:pPr>
        <w:spacing w:after="0" w:line="276" w:lineRule="auto"/>
        <w:jc w:val="center"/>
        <w:rPr>
          <w:rFonts w:ascii="Times New Roman" w:hAnsi="Times New Roman" w:cs="Times New Roman"/>
          <w:b/>
          <w:sz w:val="36"/>
          <w:szCs w:val="36"/>
        </w:rPr>
      </w:pPr>
      <w:r w:rsidRPr="009F475C">
        <w:rPr>
          <w:rFonts w:ascii="Times New Roman" w:hAnsi="Times New Roman" w:cs="Times New Roman"/>
          <w:b/>
          <w:sz w:val="36"/>
          <w:szCs w:val="36"/>
        </w:rPr>
        <w:t>CURTEA DE CONTURI A REPUBLICII MOLDOVA</w:t>
      </w:r>
    </w:p>
    <w:p w14:paraId="7A460C42" w14:textId="77777777" w:rsidR="006049D5" w:rsidRPr="003B329E" w:rsidRDefault="006049D5" w:rsidP="00E93970">
      <w:pPr>
        <w:spacing w:after="0" w:line="276" w:lineRule="auto"/>
        <w:rPr>
          <w:rFonts w:ascii="Times New Roman" w:hAnsi="Times New Roman" w:cs="Times New Roman"/>
          <w:sz w:val="24"/>
          <w:szCs w:val="24"/>
        </w:rPr>
      </w:pPr>
    </w:p>
    <w:tbl>
      <w:tblPr>
        <w:tblW w:w="9350" w:type="dxa"/>
        <w:jc w:val="center"/>
        <w:tblBorders>
          <w:top w:val="thinThickSmallGap" w:sz="12" w:space="0" w:color="00000A"/>
          <w:bottom w:val="thickThinSmallGap" w:sz="12" w:space="0" w:color="00000A"/>
          <w:insideH w:val="thickThinSmallGap" w:sz="12" w:space="0" w:color="00000A"/>
        </w:tblBorders>
        <w:tblLook w:val="04A0" w:firstRow="1" w:lastRow="0" w:firstColumn="1" w:lastColumn="0" w:noHBand="0" w:noVBand="1"/>
      </w:tblPr>
      <w:tblGrid>
        <w:gridCol w:w="9350"/>
      </w:tblGrid>
      <w:tr w:rsidR="006049D5" w:rsidRPr="003B329E" w14:paraId="5220320D" w14:textId="77777777" w:rsidTr="006049D5">
        <w:trPr>
          <w:trHeight w:val="396"/>
          <w:jc w:val="center"/>
        </w:trPr>
        <w:tc>
          <w:tcPr>
            <w:tcW w:w="9350" w:type="dxa"/>
            <w:tcBorders>
              <w:top w:val="thinThickSmallGap" w:sz="12" w:space="0" w:color="00000A"/>
              <w:bottom w:val="thickThinSmallGap" w:sz="12" w:space="0" w:color="00000A"/>
            </w:tcBorders>
            <w:shd w:val="clear" w:color="auto" w:fill="auto"/>
          </w:tcPr>
          <w:p w14:paraId="6C512D98" w14:textId="77777777" w:rsidR="006049D5" w:rsidRPr="003B329E" w:rsidRDefault="006049D5" w:rsidP="00E93970">
            <w:pPr>
              <w:tabs>
                <w:tab w:val="left" w:pos="720"/>
              </w:tabs>
              <w:spacing w:after="0" w:line="276" w:lineRule="auto"/>
              <w:jc w:val="center"/>
              <w:rPr>
                <w:rFonts w:ascii="Times New Roman" w:hAnsi="Times New Roman" w:cs="Times New Roman"/>
                <w:sz w:val="18"/>
                <w:szCs w:val="18"/>
              </w:rPr>
            </w:pPr>
            <w:r w:rsidRPr="003B329E">
              <w:rPr>
                <w:rFonts w:ascii="Times New Roman" w:hAnsi="Times New Roman" w:cs="Times New Roman"/>
                <w:sz w:val="18"/>
                <w:szCs w:val="18"/>
              </w:rPr>
              <w:t xml:space="preserve">MD-2001, mun. Chișinău, bd. Ștefan cel Mare și Sfânt nr.69, tel. (+373 22) 26 60 02, fax: (+373 22) 26 61 00, </w:t>
            </w:r>
          </w:p>
          <w:p w14:paraId="014F1689" w14:textId="77777777" w:rsidR="006049D5" w:rsidRPr="003B329E" w:rsidRDefault="00A0698C" w:rsidP="00E93970">
            <w:pPr>
              <w:spacing w:after="0" w:line="276" w:lineRule="auto"/>
              <w:ind w:right="-120"/>
              <w:jc w:val="center"/>
              <w:rPr>
                <w:rFonts w:ascii="Times New Roman" w:hAnsi="Times New Roman" w:cs="Times New Roman"/>
              </w:rPr>
            </w:pPr>
            <w:hyperlink r:id="rId9" w:history="1">
              <w:r w:rsidR="006049D5" w:rsidRPr="003B329E">
                <w:rPr>
                  <w:rFonts w:ascii="Times New Roman" w:hAnsi="Times New Roman" w:cs="Times New Roman"/>
                  <w:b/>
                  <w:color w:val="0563C1" w:themeColor="hyperlink"/>
                  <w:sz w:val="18"/>
                  <w:szCs w:val="18"/>
                  <w:u w:val="single"/>
                </w:rPr>
                <w:t>www.ccrm.md</w:t>
              </w:r>
            </w:hyperlink>
            <w:r w:rsidR="006049D5" w:rsidRPr="003B329E">
              <w:rPr>
                <w:rFonts w:ascii="Times New Roman" w:hAnsi="Times New Roman" w:cs="Times New Roman"/>
                <w:b/>
                <w:color w:val="0563C1" w:themeColor="hyperlink"/>
                <w:sz w:val="18"/>
                <w:szCs w:val="18"/>
                <w:u w:val="single"/>
              </w:rPr>
              <w:t xml:space="preserve">; </w:t>
            </w:r>
            <w:r w:rsidR="006049D5" w:rsidRPr="003B329E">
              <w:rPr>
                <w:rFonts w:ascii="Times New Roman" w:hAnsi="Times New Roman" w:cs="Times New Roman"/>
                <w:sz w:val="18"/>
                <w:szCs w:val="18"/>
              </w:rPr>
              <w:t xml:space="preserve">e-mail: </w:t>
            </w:r>
            <w:hyperlink r:id="rId10" w:history="1">
              <w:r w:rsidR="006049D5" w:rsidRPr="003B329E">
                <w:rPr>
                  <w:rFonts w:ascii="Times New Roman" w:hAnsi="Times New Roman" w:cs="Times New Roman"/>
                  <w:b/>
                  <w:color w:val="0563C1" w:themeColor="hyperlink"/>
                  <w:sz w:val="18"/>
                  <w:szCs w:val="18"/>
                  <w:u w:val="single"/>
                </w:rPr>
                <w:t>ccrm@ccrm.md</w:t>
              </w:r>
            </w:hyperlink>
          </w:p>
        </w:tc>
      </w:tr>
    </w:tbl>
    <w:p w14:paraId="382D03FA" w14:textId="77777777" w:rsidR="006049D5" w:rsidRPr="003B329E" w:rsidRDefault="006049D5" w:rsidP="00E93970">
      <w:pPr>
        <w:spacing w:after="0" w:line="276" w:lineRule="auto"/>
        <w:jc w:val="both"/>
        <w:rPr>
          <w:rFonts w:ascii="Times New Roman" w:eastAsia="Times New Roman" w:hAnsi="Times New Roman" w:cs="Times New Roman"/>
          <w:b/>
          <w:bCs/>
          <w:color w:val="1F4E79" w:themeColor="accent1" w:themeShade="80"/>
          <w:sz w:val="24"/>
          <w:szCs w:val="24"/>
        </w:rPr>
      </w:pPr>
    </w:p>
    <w:p w14:paraId="31FE584D" w14:textId="5770E735" w:rsidR="006049D5" w:rsidRDefault="006049D5" w:rsidP="00E93970">
      <w:pPr>
        <w:spacing w:after="0" w:line="276" w:lineRule="auto"/>
        <w:jc w:val="both"/>
        <w:rPr>
          <w:rFonts w:ascii="Times New Roman" w:eastAsia="Times New Roman" w:hAnsi="Times New Roman" w:cs="Times New Roman"/>
          <w:b/>
          <w:bCs/>
          <w:color w:val="1F4E79" w:themeColor="accent1" w:themeShade="80"/>
          <w:sz w:val="24"/>
          <w:szCs w:val="24"/>
        </w:rPr>
      </w:pPr>
    </w:p>
    <w:p w14:paraId="2162B7AB" w14:textId="77777777" w:rsidR="009F475C" w:rsidRPr="003B329E" w:rsidRDefault="009F475C" w:rsidP="00E93970">
      <w:pPr>
        <w:spacing w:after="0" w:line="276" w:lineRule="auto"/>
        <w:jc w:val="both"/>
        <w:rPr>
          <w:rFonts w:ascii="Times New Roman" w:eastAsia="Times New Roman" w:hAnsi="Times New Roman" w:cs="Times New Roman"/>
          <w:b/>
          <w:bCs/>
          <w:color w:val="1F4E79" w:themeColor="accent1" w:themeShade="80"/>
          <w:sz w:val="24"/>
          <w:szCs w:val="24"/>
        </w:rPr>
      </w:pPr>
    </w:p>
    <w:p w14:paraId="058E4A95" w14:textId="7F47C529" w:rsidR="006049D5" w:rsidRPr="003B329E" w:rsidRDefault="007535D1" w:rsidP="00E93970">
      <w:pPr>
        <w:tabs>
          <w:tab w:val="left" w:pos="450"/>
          <w:tab w:val="left" w:pos="720"/>
        </w:tabs>
        <w:spacing w:after="0" w:line="276" w:lineRule="auto"/>
        <w:ind w:right="9"/>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RAPORT</w:t>
      </w:r>
      <w:r w:rsidR="00B7677C">
        <w:rPr>
          <w:rFonts w:ascii="Times New Roman" w:eastAsia="Times New Roman" w:hAnsi="Times New Roman" w:cs="Times New Roman"/>
          <w:b/>
          <w:bCs/>
          <w:sz w:val="32"/>
          <w:szCs w:val="32"/>
        </w:rPr>
        <w:t>UL</w:t>
      </w:r>
      <w:r>
        <w:rPr>
          <w:rFonts w:ascii="Times New Roman" w:eastAsia="Times New Roman" w:hAnsi="Times New Roman" w:cs="Times New Roman"/>
          <w:b/>
          <w:bCs/>
          <w:sz w:val="32"/>
          <w:szCs w:val="32"/>
        </w:rPr>
        <w:t xml:space="preserve"> DE AUDIT</w:t>
      </w:r>
    </w:p>
    <w:p w14:paraId="3ECFE9FB" w14:textId="3A056262" w:rsidR="006049D5" w:rsidRPr="003B329E" w:rsidRDefault="00647810" w:rsidP="00E93970">
      <w:pPr>
        <w:tabs>
          <w:tab w:val="left" w:pos="450"/>
          <w:tab w:val="left" w:pos="720"/>
        </w:tabs>
        <w:spacing w:after="0" w:line="276" w:lineRule="auto"/>
        <w:ind w:right="9"/>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al </w:t>
      </w:r>
      <w:r w:rsidR="006049D5" w:rsidRPr="003B329E">
        <w:rPr>
          <w:rFonts w:ascii="Times New Roman" w:eastAsia="Times New Roman" w:hAnsi="Times New Roman" w:cs="Times New Roman"/>
          <w:b/>
          <w:bCs/>
          <w:sz w:val="32"/>
          <w:szCs w:val="32"/>
        </w:rPr>
        <w:t xml:space="preserve">conformității </w:t>
      </w:r>
      <w:r w:rsidR="00393654" w:rsidRPr="003B329E">
        <w:rPr>
          <w:rFonts w:ascii="Times New Roman" w:eastAsia="Times New Roman" w:hAnsi="Times New Roman" w:cs="Times New Roman"/>
          <w:b/>
          <w:bCs/>
          <w:sz w:val="32"/>
          <w:szCs w:val="32"/>
        </w:rPr>
        <w:t>asupra modului de formare, administrare și întrebuințare a resurselor financiare publice și a patrimoniului public de către Cancelaria de Stat în perioada 2018-2022</w:t>
      </w:r>
    </w:p>
    <w:p w14:paraId="49501055" w14:textId="77777777" w:rsidR="006049D5" w:rsidRPr="003B329E" w:rsidRDefault="006049D5" w:rsidP="00E93970">
      <w:pPr>
        <w:spacing w:line="276" w:lineRule="auto"/>
        <w:jc w:val="both"/>
        <w:rPr>
          <w:rFonts w:ascii="Times New Roman" w:hAnsi="Times New Roman" w:cs="Times New Roman"/>
          <w:shd w:val="clear" w:color="auto" w:fill="FFFFFF"/>
        </w:rPr>
      </w:pPr>
    </w:p>
    <w:p w14:paraId="26FF779F" w14:textId="77777777" w:rsidR="0035518C" w:rsidRPr="003B329E" w:rsidRDefault="0035518C" w:rsidP="00E93970">
      <w:pPr>
        <w:spacing w:line="276" w:lineRule="auto"/>
        <w:jc w:val="both"/>
        <w:rPr>
          <w:rFonts w:ascii="Times New Roman" w:hAnsi="Times New Roman" w:cs="Times New Roman"/>
          <w:shd w:val="clear" w:color="auto" w:fill="FFFFFF"/>
        </w:rPr>
      </w:pPr>
    </w:p>
    <w:p w14:paraId="0F9D3D3F" w14:textId="77777777" w:rsidR="009F475C" w:rsidRDefault="009F475C" w:rsidP="007C1455">
      <w:pPr>
        <w:spacing w:after="0" w:line="276" w:lineRule="auto"/>
        <w:jc w:val="center"/>
        <w:rPr>
          <w:rFonts w:ascii="Times New Roman" w:hAnsi="Times New Roman" w:cs="Times New Roman"/>
        </w:rPr>
      </w:pPr>
    </w:p>
    <w:p w14:paraId="5DFC74A4" w14:textId="28A08FE6" w:rsidR="006049D5" w:rsidRDefault="007C1455" w:rsidP="007C1455">
      <w:pPr>
        <w:spacing w:after="0" w:line="276" w:lineRule="auto"/>
        <w:jc w:val="center"/>
        <w:rPr>
          <w:rFonts w:ascii="Times New Roman" w:hAnsi="Times New Roman" w:cs="Times New Roman"/>
        </w:rPr>
      </w:pPr>
      <w:r>
        <w:rPr>
          <w:noProof/>
          <w:lang w:val="ru-RU" w:eastAsia="ru-RU"/>
        </w:rPr>
        <w:drawing>
          <wp:inline distT="0" distB="0" distL="0" distR="0" wp14:anchorId="3724ACBE" wp14:editId="1503B850">
            <wp:extent cx="2583180" cy="2415540"/>
            <wp:effectExtent l="190500" t="190500" r="198120" b="194310"/>
            <wp:docPr id="2" name="Picture 2" descr="C:\Users\a_certan\AppData\Local\Microsoft\Windows\INetCache\Content.MSO\932145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_certan\AppData\Local\Microsoft\Windows\INetCache\Content.MSO\932145E4.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3180" cy="2415540"/>
                    </a:xfrm>
                    <a:prstGeom prst="rect">
                      <a:avLst/>
                    </a:prstGeom>
                    <a:ln>
                      <a:noFill/>
                    </a:ln>
                    <a:effectLst>
                      <a:outerShdw blurRad="190500" algn="tl" rotWithShape="0">
                        <a:srgbClr val="000000">
                          <a:alpha val="70000"/>
                        </a:srgbClr>
                      </a:outerShdw>
                    </a:effectLst>
                  </pic:spPr>
                </pic:pic>
              </a:graphicData>
            </a:graphic>
          </wp:inline>
        </w:drawing>
      </w:r>
    </w:p>
    <w:p w14:paraId="32BD42F9" w14:textId="77777777" w:rsidR="009F475C" w:rsidRPr="003B329E" w:rsidRDefault="009F475C" w:rsidP="007C1455">
      <w:pPr>
        <w:spacing w:after="0" w:line="276" w:lineRule="auto"/>
        <w:jc w:val="center"/>
        <w:rPr>
          <w:rFonts w:ascii="Times New Roman" w:hAnsi="Times New Roman" w:cs="Times New Roman"/>
        </w:rPr>
      </w:pPr>
    </w:p>
    <w:p w14:paraId="39139816" w14:textId="77777777" w:rsidR="006049D5" w:rsidRPr="003B329E" w:rsidRDefault="006049D5" w:rsidP="00747981">
      <w:pPr>
        <w:spacing w:after="0" w:line="276" w:lineRule="auto"/>
        <w:jc w:val="right"/>
        <w:rPr>
          <w:rFonts w:ascii="Times New Roman" w:hAnsi="Times New Roman" w:cs="Times New Roman"/>
        </w:rPr>
      </w:pPr>
    </w:p>
    <w:sdt>
      <w:sdtPr>
        <w:rPr>
          <w:rFonts w:ascii="Times New Roman" w:eastAsiaTheme="majorEastAsia" w:hAnsi="Times New Roman" w:cs="Times New Roman"/>
          <w:b/>
          <w:i/>
          <w:noProof/>
          <w:color w:val="1F4E79" w:themeColor="accent1" w:themeShade="80"/>
          <w:sz w:val="24"/>
          <w:szCs w:val="24"/>
        </w:rPr>
        <w:id w:val="1381430498"/>
        <w:docPartObj>
          <w:docPartGallery w:val="Table of Contents"/>
          <w:docPartUnique/>
        </w:docPartObj>
      </w:sdtPr>
      <w:sdtEndPr>
        <w:rPr>
          <w:rFonts w:asciiTheme="majorHAnsi" w:hAnsiTheme="majorHAnsi" w:cstheme="majorHAnsi"/>
          <w:i w:val="0"/>
          <w:color w:val="auto"/>
          <w:sz w:val="22"/>
          <w:szCs w:val="22"/>
        </w:rPr>
      </w:sdtEndPr>
      <w:sdtContent>
        <w:p w14:paraId="3FBE5C09" w14:textId="77777777" w:rsidR="006049D5" w:rsidRPr="00955D0D" w:rsidRDefault="006049D5" w:rsidP="00E93970">
          <w:pPr>
            <w:keepNext/>
            <w:keepLines/>
            <w:spacing w:before="240" w:after="0" w:line="276" w:lineRule="auto"/>
            <w:rPr>
              <w:rFonts w:ascii="Times New Roman" w:eastAsiaTheme="majorEastAsia" w:hAnsi="Times New Roman" w:cs="Times New Roman"/>
              <w:b/>
              <w:color w:val="323E4F" w:themeColor="text2" w:themeShade="BF"/>
              <w:sz w:val="24"/>
              <w:szCs w:val="24"/>
            </w:rPr>
          </w:pPr>
          <w:r w:rsidRPr="00955D0D">
            <w:rPr>
              <w:rFonts w:ascii="Times New Roman" w:hAnsi="Times New Roman" w:cs="Times New Roman"/>
              <w:b/>
              <w:color w:val="323E4F" w:themeColor="text2" w:themeShade="BF"/>
              <w:sz w:val="24"/>
              <w:szCs w:val="24"/>
            </w:rPr>
            <w:t>CUPRINS:</w:t>
          </w:r>
        </w:p>
        <w:p w14:paraId="02200D6F" w14:textId="0692B278" w:rsidR="00955D0D" w:rsidRPr="00955D0D" w:rsidRDefault="006049D5" w:rsidP="009F475C">
          <w:pPr>
            <w:pStyle w:val="11"/>
            <w:rPr>
              <w:rFonts w:eastAsiaTheme="minorEastAsia"/>
              <w:lang w:val="en-US"/>
            </w:rPr>
          </w:pPr>
          <w:r w:rsidRPr="00955D0D">
            <w:rPr>
              <w:noProof w:val="0"/>
            </w:rPr>
            <w:fldChar w:fldCharType="begin"/>
          </w:r>
          <w:r w:rsidRPr="00955D0D">
            <w:rPr>
              <w:noProof w:val="0"/>
            </w:rPr>
            <w:instrText xml:space="preserve"> TOC \o "1-3" \h \z \u </w:instrText>
          </w:r>
          <w:r w:rsidRPr="00955D0D">
            <w:rPr>
              <w:noProof w:val="0"/>
            </w:rPr>
            <w:fldChar w:fldCharType="separate"/>
          </w:r>
          <w:hyperlink w:anchor="_Toc158015911" w:history="1">
            <w:r w:rsidR="00955D0D" w:rsidRPr="00955D0D">
              <w:rPr>
                <w:rStyle w:val="af4"/>
                <w:rFonts w:ascii="Times New Roman" w:hAnsi="Times New Roman" w:cs="Times New Roman"/>
                <w:sz w:val="24"/>
                <w:szCs w:val="24"/>
                <w:shd w:val="clear" w:color="auto" w:fill="FFFFFF"/>
              </w:rPr>
              <w:t>LISTA ACRONIMELOR</w:t>
            </w:r>
            <w:r w:rsidR="00955D0D" w:rsidRPr="00955D0D">
              <w:rPr>
                <w:webHidden/>
              </w:rPr>
              <w:tab/>
            </w:r>
            <w:r w:rsidR="00955D0D" w:rsidRPr="00955D0D">
              <w:rPr>
                <w:webHidden/>
              </w:rPr>
              <w:fldChar w:fldCharType="begin"/>
            </w:r>
            <w:r w:rsidR="00955D0D" w:rsidRPr="00955D0D">
              <w:rPr>
                <w:webHidden/>
              </w:rPr>
              <w:instrText xml:space="preserve"> PAGEREF _Toc158015911 \h </w:instrText>
            </w:r>
            <w:r w:rsidR="00955D0D" w:rsidRPr="00955D0D">
              <w:rPr>
                <w:webHidden/>
              </w:rPr>
            </w:r>
            <w:r w:rsidR="00955D0D" w:rsidRPr="00955D0D">
              <w:rPr>
                <w:webHidden/>
              </w:rPr>
              <w:fldChar w:fldCharType="separate"/>
            </w:r>
            <w:r w:rsidR="00753EA2">
              <w:rPr>
                <w:webHidden/>
              </w:rPr>
              <w:t>3</w:t>
            </w:r>
            <w:r w:rsidR="00955D0D" w:rsidRPr="00955D0D">
              <w:rPr>
                <w:webHidden/>
              </w:rPr>
              <w:fldChar w:fldCharType="end"/>
            </w:r>
          </w:hyperlink>
        </w:p>
        <w:p w14:paraId="22B00D01" w14:textId="502C3D1E" w:rsidR="00955D0D" w:rsidRPr="00955D0D" w:rsidRDefault="00A0698C" w:rsidP="009F475C">
          <w:pPr>
            <w:pStyle w:val="11"/>
            <w:rPr>
              <w:rFonts w:eastAsiaTheme="minorEastAsia"/>
              <w:lang w:val="en-US"/>
            </w:rPr>
          </w:pPr>
          <w:hyperlink w:anchor="_Toc158015912" w:history="1">
            <w:r w:rsidR="00955D0D" w:rsidRPr="00955D0D">
              <w:rPr>
                <w:rStyle w:val="af4"/>
                <w:rFonts w:ascii="Times New Roman" w:hAnsi="Times New Roman" w:cs="Times New Roman"/>
                <w:sz w:val="24"/>
                <w:szCs w:val="24"/>
                <w:shd w:val="clear" w:color="auto" w:fill="FFFFFF"/>
              </w:rPr>
              <w:t>GLOSAR</w:t>
            </w:r>
            <w:r w:rsidR="00955D0D" w:rsidRPr="00955D0D">
              <w:rPr>
                <w:webHidden/>
              </w:rPr>
              <w:tab/>
            </w:r>
            <w:r w:rsidR="00955D0D" w:rsidRPr="00955D0D">
              <w:rPr>
                <w:webHidden/>
              </w:rPr>
              <w:fldChar w:fldCharType="begin"/>
            </w:r>
            <w:r w:rsidR="00955D0D" w:rsidRPr="00955D0D">
              <w:rPr>
                <w:webHidden/>
              </w:rPr>
              <w:instrText xml:space="preserve"> PAGEREF _Toc158015912 \h </w:instrText>
            </w:r>
            <w:r w:rsidR="00955D0D" w:rsidRPr="00955D0D">
              <w:rPr>
                <w:webHidden/>
              </w:rPr>
            </w:r>
            <w:r w:rsidR="00955D0D" w:rsidRPr="00955D0D">
              <w:rPr>
                <w:webHidden/>
              </w:rPr>
              <w:fldChar w:fldCharType="separate"/>
            </w:r>
            <w:r w:rsidR="00753EA2">
              <w:rPr>
                <w:webHidden/>
              </w:rPr>
              <w:t>3</w:t>
            </w:r>
            <w:r w:rsidR="00955D0D" w:rsidRPr="00955D0D">
              <w:rPr>
                <w:webHidden/>
              </w:rPr>
              <w:fldChar w:fldCharType="end"/>
            </w:r>
          </w:hyperlink>
        </w:p>
        <w:p w14:paraId="56EFA340" w14:textId="23BDD0A7" w:rsidR="00955D0D" w:rsidRPr="00955D0D" w:rsidRDefault="00A0698C" w:rsidP="009F475C">
          <w:pPr>
            <w:pStyle w:val="11"/>
            <w:rPr>
              <w:rFonts w:eastAsiaTheme="minorEastAsia"/>
              <w:lang w:val="en-US"/>
            </w:rPr>
          </w:pPr>
          <w:hyperlink w:anchor="_Toc158015913" w:history="1">
            <w:r w:rsidR="00955D0D" w:rsidRPr="00955D0D">
              <w:rPr>
                <w:rStyle w:val="af4"/>
                <w:rFonts w:ascii="Times New Roman" w:eastAsiaTheme="minorHAnsi" w:hAnsi="Times New Roman" w:cs="Times New Roman"/>
                <w:sz w:val="24"/>
                <w:szCs w:val="24"/>
              </w:rPr>
              <w:t>I.</w:t>
            </w:r>
            <w:r w:rsidR="00955D0D" w:rsidRPr="00955D0D">
              <w:rPr>
                <w:rFonts w:eastAsiaTheme="minorEastAsia"/>
                <w:lang w:val="en-US"/>
              </w:rPr>
              <w:tab/>
            </w:r>
            <w:r w:rsidR="00955D0D" w:rsidRPr="00955D0D">
              <w:rPr>
                <w:rStyle w:val="af4"/>
                <w:rFonts w:ascii="Times New Roman" w:eastAsiaTheme="minorHAnsi" w:hAnsi="Times New Roman" w:cs="Times New Roman"/>
                <w:sz w:val="24"/>
                <w:szCs w:val="24"/>
                <w:shd w:val="clear" w:color="auto" w:fill="FFFFFF"/>
              </w:rPr>
              <w:t>SINTEZA</w:t>
            </w:r>
            <w:r w:rsidR="00955D0D" w:rsidRPr="00955D0D">
              <w:rPr>
                <w:webHidden/>
              </w:rPr>
              <w:tab/>
            </w:r>
            <w:r w:rsidR="00955D0D" w:rsidRPr="00955D0D">
              <w:rPr>
                <w:webHidden/>
              </w:rPr>
              <w:fldChar w:fldCharType="begin"/>
            </w:r>
            <w:r w:rsidR="00955D0D" w:rsidRPr="00955D0D">
              <w:rPr>
                <w:webHidden/>
              </w:rPr>
              <w:instrText xml:space="preserve"> PAGEREF _Toc158015913 \h </w:instrText>
            </w:r>
            <w:r w:rsidR="00955D0D" w:rsidRPr="00955D0D">
              <w:rPr>
                <w:webHidden/>
              </w:rPr>
            </w:r>
            <w:r w:rsidR="00955D0D" w:rsidRPr="00955D0D">
              <w:rPr>
                <w:webHidden/>
              </w:rPr>
              <w:fldChar w:fldCharType="separate"/>
            </w:r>
            <w:r w:rsidR="00753EA2">
              <w:rPr>
                <w:webHidden/>
              </w:rPr>
              <w:t>4</w:t>
            </w:r>
            <w:r w:rsidR="00955D0D" w:rsidRPr="00955D0D">
              <w:rPr>
                <w:webHidden/>
              </w:rPr>
              <w:fldChar w:fldCharType="end"/>
            </w:r>
          </w:hyperlink>
        </w:p>
        <w:p w14:paraId="4256AE75" w14:textId="74BBD672" w:rsidR="00955D0D" w:rsidRPr="00955D0D" w:rsidRDefault="00A0698C" w:rsidP="009F475C">
          <w:pPr>
            <w:pStyle w:val="11"/>
            <w:rPr>
              <w:rFonts w:eastAsiaTheme="minorEastAsia"/>
              <w:lang w:val="en-US"/>
            </w:rPr>
          </w:pPr>
          <w:hyperlink w:anchor="_Toc158015914" w:history="1">
            <w:r w:rsidR="00955D0D" w:rsidRPr="00955D0D">
              <w:rPr>
                <w:rStyle w:val="af4"/>
                <w:rFonts w:ascii="Times New Roman" w:eastAsiaTheme="minorHAnsi" w:hAnsi="Times New Roman" w:cs="Times New Roman"/>
                <w:sz w:val="24"/>
                <w:szCs w:val="24"/>
              </w:rPr>
              <w:t>II.</w:t>
            </w:r>
            <w:r w:rsidR="00955D0D" w:rsidRPr="00955D0D">
              <w:rPr>
                <w:rFonts w:eastAsiaTheme="minorEastAsia"/>
                <w:lang w:val="en-US"/>
              </w:rPr>
              <w:tab/>
            </w:r>
            <w:r w:rsidR="00955D0D" w:rsidRPr="00955D0D">
              <w:rPr>
                <w:rStyle w:val="af4"/>
                <w:rFonts w:ascii="Times New Roman" w:eastAsiaTheme="minorHAnsi" w:hAnsi="Times New Roman" w:cs="Times New Roman"/>
                <w:sz w:val="24"/>
                <w:szCs w:val="24"/>
                <w:shd w:val="clear" w:color="auto" w:fill="FFFFFF"/>
              </w:rPr>
              <w:t>PREZENTAREA GENERALĂ</w:t>
            </w:r>
            <w:r w:rsidR="00955D0D" w:rsidRPr="00955D0D">
              <w:rPr>
                <w:webHidden/>
              </w:rPr>
              <w:tab/>
            </w:r>
            <w:r w:rsidR="00955D0D" w:rsidRPr="00955D0D">
              <w:rPr>
                <w:webHidden/>
              </w:rPr>
              <w:fldChar w:fldCharType="begin"/>
            </w:r>
            <w:r w:rsidR="00955D0D" w:rsidRPr="00955D0D">
              <w:rPr>
                <w:webHidden/>
              </w:rPr>
              <w:instrText xml:space="preserve"> PAGEREF _Toc158015914 \h </w:instrText>
            </w:r>
            <w:r w:rsidR="00955D0D" w:rsidRPr="00955D0D">
              <w:rPr>
                <w:webHidden/>
              </w:rPr>
            </w:r>
            <w:r w:rsidR="00955D0D" w:rsidRPr="00955D0D">
              <w:rPr>
                <w:webHidden/>
              </w:rPr>
              <w:fldChar w:fldCharType="separate"/>
            </w:r>
            <w:r w:rsidR="00753EA2">
              <w:rPr>
                <w:webHidden/>
              </w:rPr>
              <w:t>7</w:t>
            </w:r>
            <w:r w:rsidR="00955D0D" w:rsidRPr="00955D0D">
              <w:rPr>
                <w:webHidden/>
              </w:rPr>
              <w:fldChar w:fldCharType="end"/>
            </w:r>
          </w:hyperlink>
        </w:p>
        <w:p w14:paraId="126FA10A" w14:textId="697593E8" w:rsidR="00955D0D" w:rsidRPr="00955D0D" w:rsidRDefault="00A0698C" w:rsidP="009F475C">
          <w:pPr>
            <w:pStyle w:val="31"/>
            <w:spacing w:after="0"/>
            <w:rPr>
              <w:rFonts w:ascii="Times New Roman" w:eastAsiaTheme="minorEastAsia" w:hAnsi="Times New Roman" w:cs="Times New Roman"/>
              <w:bCs w:val="0"/>
              <w:i w:val="0"/>
              <w:color w:val="0070C0"/>
              <w:sz w:val="24"/>
              <w:szCs w:val="24"/>
              <w:lang w:val="en-US"/>
            </w:rPr>
          </w:pPr>
          <w:hyperlink w:anchor="_Toc158015915" w:history="1">
            <w:r w:rsidR="00955D0D" w:rsidRPr="00955D0D">
              <w:rPr>
                <w:rStyle w:val="af4"/>
                <w:rFonts w:ascii="Times New Roman" w:hAnsi="Times New Roman" w:cs="Times New Roman"/>
                <w:b/>
                <w:color w:val="0070C0"/>
                <w:sz w:val="24"/>
                <w:szCs w:val="24"/>
                <w:lang w:eastAsia="ru-RU"/>
              </w:rPr>
              <w:t>2.1.</w:t>
            </w:r>
            <w:r w:rsidR="00955D0D" w:rsidRPr="00955D0D">
              <w:rPr>
                <w:rFonts w:ascii="Times New Roman" w:eastAsiaTheme="minorEastAsia" w:hAnsi="Times New Roman" w:cs="Times New Roman"/>
                <w:bCs w:val="0"/>
                <w:i w:val="0"/>
                <w:color w:val="0070C0"/>
                <w:sz w:val="24"/>
                <w:szCs w:val="24"/>
                <w:lang w:val="en-US"/>
              </w:rPr>
              <w:tab/>
            </w:r>
            <w:r w:rsidR="00955D0D" w:rsidRPr="00955D0D">
              <w:rPr>
                <w:rStyle w:val="af4"/>
                <w:rFonts w:ascii="Times New Roman" w:hAnsi="Times New Roman" w:cs="Times New Roman"/>
                <w:b/>
                <w:color w:val="0070C0"/>
                <w:sz w:val="24"/>
                <w:szCs w:val="24"/>
                <w:lang w:eastAsia="ru-RU"/>
              </w:rPr>
              <w:t>Domeniul de activitate al entităților auditate</w:t>
            </w:r>
            <w:r w:rsidR="00955D0D" w:rsidRPr="00955D0D">
              <w:rPr>
                <w:rFonts w:ascii="Times New Roman" w:hAnsi="Times New Roman" w:cs="Times New Roman"/>
                <w:webHidden/>
                <w:color w:val="0070C0"/>
                <w:sz w:val="24"/>
                <w:szCs w:val="24"/>
              </w:rPr>
              <w:tab/>
            </w:r>
            <w:r w:rsidR="00955D0D" w:rsidRPr="00955D0D">
              <w:rPr>
                <w:rFonts w:ascii="Times New Roman" w:hAnsi="Times New Roman" w:cs="Times New Roman"/>
                <w:webHidden/>
                <w:color w:val="0070C0"/>
                <w:sz w:val="24"/>
                <w:szCs w:val="24"/>
              </w:rPr>
              <w:fldChar w:fldCharType="begin"/>
            </w:r>
            <w:r w:rsidR="00955D0D" w:rsidRPr="00955D0D">
              <w:rPr>
                <w:rFonts w:ascii="Times New Roman" w:hAnsi="Times New Roman" w:cs="Times New Roman"/>
                <w:webHidden/>
                <w:color w:val="0070C0"/>
                <w:sz w:val="24"/>
                <w:szCs w:val="24"/>
              </w:rPr>
              <w:instrText xml:space="preserve"> PAGEREF _Toc158015915 \h </w:instrText>
            </w:r>
            <w:r w:rsidR="00955D0D" w:rsidRPr="00955D0D">
              <w:rPr>
                <w:rFonts w:ascii="Times New Roman" w:hAnsi="Times New Roman" w:cs="Times New Roman"/>
                <w:webHidden/>
                <w:color w:val="0070C0"/>
                <w:sz w:val="24"/>
                <w:szCs w:val="24"/>
              </w:rPr>
            </w:r>
            <w:r w:rsidR="00955D0D" w:rsidRPr="00955D0D">
              <w:rPr>
                <w:rFonts w:ascii="Times New Roman" w:hAnsi="Times New Roman" w:cs="Times New Roman"/>
                <w:webHidden/>
                <w:color w:val="0070C0"/>
                <w:sz w:val="24"/>
                <w:szCs w:val="24"/>
              </w:rPr>
              <w:fldChar w:fldCharType="separate"/>
            </w:r>
            <w:r w:rsidR="00753EA2">
              <w:rPr>
                <w:rFonts w:ascii="Times New Roman" w:hAnsi="Times New Roman" w:cs="Times New Roman"/>
                <w:webHidden/>
                <w:color w:val="0070C0"/>
                <w:sz w:val="24"/>
                <w:szCs w:val="24"/>
              </w:rPr>
              <w:t>7</w:t>
            </w:r>
            <w:r w:rsidR="00955D0D" w:rsidRPr="00955D0D">
              <w:rPr>
                <w:rFonts w:ascii="Times New Roman" w:hAnsi="Times New Roman" w:cs="Times New Roman"/>
                <w:webHidden/>
                <w:color w:val="0070C0"/>
                <w:sz w:val="24"/>
                <w:szCs w:val="24"/>
              </w:rPr>
              <w:fldChar w:fldCharType="end"/>
            </w:r>
          </w:hyperlink>
        </w:p>
        <w:p w14:paraId="5F81AAA3" w14:textId="576F47FD" w:rsidR="00955D0D" w:rsidRPr="00955D0D" w:rsidRDefault="00A0698C" w:rsidP="009F475C">
          <w:pPr>
            <w:pStyle w:val="31"/>
            <w:spacing w:after="0"/>
            <w:rPr>
              <w:rFonts w:ascii="Times New Roman" w:eastAsiaTheme="minorEastAsia" w:hAnsi="Times New Roman" w:cs="Times New Roman"/>
              <w:bCs w:val="0"/>
              <w:i w:val="0"/>
              <w:color w:val="0070C0"/>
              <w:sz w:val="24"/>
              <w:szCs w:val="24"/>
              <w:lang w:val="en-US"/>
            </w:rPr>
          </w:pPr>
          <w:hyperlink w:anchor="_Toc158015916" w:history="1">
            <w:r w:rsidR="00955D0D" w:rsidRPr="00955D0D">
              <w:rPr>
                <w:rStyle w:val="af4"/>
                <w:rFonts w:ascii="Times New Roman" w:hAnsi="Times New Roman" w:cs="Times New Roman"/>
                <w:b/>
                <w:color w:val="0070C0"/>
                <w:sz w:val="24"/>
                <w:szCs w:val="24"/>
                <w:lang w:eastAsia="ru-RU"/>
              </w:rPr>
              <w:t>2.2.</w:t>
            </w:r>
            <w:r w:rsidR="00955D0D" w:rsidRPr="00955D0D">
              <w:rPr>
                <w:rFonts w:ascii="Times New Roman" w:eastAsiaTheme="minorEastAsia" w:hAnsi="Times New Roman" w:cs="Times New Roman"/>
                <w:bCs w:val="0"/>
                <w:i w:val="0"/>
                <w:color w:val="0070C0"/>
                <w:sz w:val="24"/>
                <w:szCs w:val="24"/>
                <w:lang w:val="en-US"/>
              </w:rPr>
              <w:tab/>
            </w:r>
            <w:r w:rsidR="00955D0D" w:rsidRPr="00955D0D">
              <w:rPr>
                <w:rStyle w:val="af4"/>
                <w:rFonts w:ascii="Times New Roman" w:hAnsi="Times New Roman" w:cs="Times New Roman"/>
                <w:b/>
                <w:color w:val="0070C0"/>
                <w:sz w:val="24"/>
                <w:szCs w:val="24"/>
                <w:lang w:eastAsia="ru-RU"/>
              </w:rPr>
              <w:t>Responsabilitatea părților implicate</w:t>
            </w:r>
            <w:r w:rsidR="00955D0D" w:rsidRPr="00955D0D">
              <w:rPr>
                <w:rFonts w:ascii="Times New Roman" w:hAnsi="Times New Roman" w:cs="Times New Roman"/>
                <w:webHidden/>
                <w:color w:val="0070C0"/>
                <w:sz w:val="24"/>
                <w:szCs w:val="24"/>
              </w:rPr>
              <w:tab/>
            </w:r>
            <w:r w:rsidR="00955D0D" w:rsidRPr="00955D0D">
              <w:rPr>
                <w:rFonts w:ascii="Times New Roman" w:hAnsi="Times New Roman" w:cs="Times New Roman"/>
                <w:webHidden/>
                <w:color w:val="0070C0"/>
                <w:sz w:val="24"/>
                <w:szCs w:val="24"/>
              </w:rPr>
              <w:fldChar w:fldCharType="begin"/>
            </w:r>
            <w:r w:rsidR="00955D0D" w:rsidRPr="00955D0D">
              <w:rPr>
                <w:rFonts w:ascii="Times New Roman" w:hAnsi="Times New Roman" w:cs="Times New Roman"/>
                <w:webHidden/>
                <w:color w:val="0070C0"/>
                <w:sz w:val="24"/>
                <w:szCs w:val="24"/>
              </w:rPr>
              <w:instrText xml:space="preserve"> PAGEREF _Toc158015916 \h </w:instrText>
            </w:r>
            <w:r w:rsidR="00955D0D" w:rsidRPr="00955D0D">
              <w:rPr>
                <w:rFonts w:ascii="Times New Roman" w:hAnsi="Times New Roman" w:cs="Times New Roman"/>
                <w:webHidden/>
                <w:color w:val="0070C0"/>
                <w:sz w:val="24"/>
                <w:szCs w:val="24"/>
              </w:rPr>
            </w:r>
            <w:r w:rsidR="00955D0D" w:rsidRPr="00955D0D">
              <w:rPr>
                <w:rFonts w:ascii="Times New Roman" w:hAnsi="Times New Roman" w:cs="Times New Roman"/>
                <w:webHidden/>
                <w:color w:val="0070C0"/>
                <w:sz w:val="24"/>
                <w:szCs w:val="24"/>
              </w:rPr>
              <w:fldChar w:fldCharType="separate"/>
            </w:r>
            <w:r w:rsidR="00753EA2">
              <w:rPr>
                <w:rFonts w:ascii="Times New Roman" w:hAnsi="Times New Roman" w:cs="Times New Roman"/>
                <w:webHidden/>
                <w:color w:val="0070C0"/>
                <w:sz w:val="24"/>
                <w:szCs w:val="24"/>
              </w:rPr>
              <w:t>7</w:t>
            </w:r>
            <w:r w:rsidR="00955D0D" w:rsidRPr="00955D0D">
              <w:rPr>
                <w:rFonts w:ascii="Times New Roman" w:hAnsi="Times New Roman" w:cs="Times New Roman"/>
                <w:webHidden/>
                <w:color w:val="0070C0"/>
                <w:sz w:val="24"/>
                <w:szCs w:val="24"/>
              </w:rPr>
              <w:fldChar w:fldCharType="end"/>
            </w:r>
          </w:hyperlink>
        </w:p>
        <w:p w14:paraId="0C7C1D4A" w14:textId="4EF3EF4A" w:rsidR="00955D0D" w:rsidRPr="00955D0D" w:rsidRDefault="00A0698C" w:rsidP="009F475C">
          <w:pPr>
            <w:pStyle w:val="31"/>
            <w:spacing w:after="0"/>
            <w:rPr>
              <w:rFonts w:ascii="Times New Roman" w:eastAsiaTheme="minorEastAsia" w:hAnsi="Times New Roman" w:cs="Times New Roman"/>
              <w:bCs w:val="0"/>
              <w:i w:val="0"/>
              <w:color w:val="0070C0"/>
              <w:sz w:val="24"/>
              <w:szCs w:val="24"/>
              <w:lang w:val="en-US"/>
            </w:rPr>
          </w:pPr>
          <w:hyperlink w:anchor="_Toc158015917" w:history="1">
            <w:r w:rsidR="00955D0D" w:rsidRPr="00955D0D">
              <w:rPr>
                <w:rStyle w:val="af4"/>
                <w:rFonts w:ascii="Times New Roman" w:hAnsi="Times New Roman" w:cs="Times New Roman"/>
                <w:b/>
                <w:color w:val="0070C0"/>
                <w:sz w:val="24"/>
                <w:szCs w:val="24"/>
              </w:rPr>
              <w:t>2.3.</w:t>
            </w:r>
            <w:r w:rsidR="00955D0D" w:rsidRPr="00955D0D">
              <w:rPr>
                <w:rFonts w:ascii="Times New Roman" w:eastAsiaTheme="minorEastAsia" w:hAnsi="Times New Roman" w:cs="Times New Roman"/>
                <w:bCs w:val="0"/>
                <w:i w:val="0"/>
                <w:color w:val="0070C0"/>
                <w:sz w:val="24"/>
                <w:szCs w:val="24"/>
                <w:lang w:val="en-US"/>
              </w:rPr>
              <w:tab/>
            </w:r>
            <w:r w:rsidR="00955D0D" w:rsidRPr="00955D0D">
              <w:rPr>
                <w:rStyle w:val="af4"/>
                <w:rFonts w:ascii="Times New Roman" w:hAnsi="Times New Roman" w:cs="Times New Roman"/>
                <w:b/>
                <w:color w:val="0070C0"/>
                <w:sz w:val="24"/>
                <w:szCs w:val="24"/>
              </w:rPr>
              <w:t>Bugetul și patrimoniu gestionat de CS în anii 2018-2022</w:t>
            </w:r>
            <w:r w:rsidR="00955D0D" w:rsidRPr="00955D0D">
              <w:rPr>
                <w:rFonts w:ascii="Times New Roman" w:hAnsi="Times New Roman" w:cs="Times New Roman"/>
                <w:webHidden/>
                <w:color w:val="0070C0"/>
                <w:sz w:val="24"/>
                <w:szCs w:val="24"/>
              </w:rPr>
              <w:tab/>
            </w:r>
            <w:r w:rsidR="00955D0D" w:rsidRPr="00955D0D">
              <w:rPr>
                <w:rFonts w:ascii="Times New Roman" w:hAnsi="Times New Roman" w:cs="Times New Roman"/>
                <w:webHidden/>
                <w:color w:val="0070C0"/>
                <w:sz w:val="24"/>
                <w:szCs w:val="24"/>
              </w:rPr>
              <w:fldChar w:fldCharType="begin"/>
            </w:r>
            <w:r w:rsidR="00955D0D" w:rsidRPr="00955D0D">
              <w:rPr>
                <w:rFonts w:ascii="Times New Roman" w:hAnsi="Times New Roman" w:cs="Times New Roman"/>
                <w:webHidden/>
                <w:color w:val="0070C0"/>
                <w:sz w:val="24"/>
                <w:szCs w:val="24"/>
              </w:rPr>
              <w:instrText xml:space="preserve"> PAGEREF _Toc158015917 \h </w:instrText>
            </w:r>
            <w:r w:rsidR="00955D0D" w:rsidRPr="00955D0D">
              <w:rPr>
                <w:rFonts w:ascii="Times New Roman" w:hAnsi="Times New Roman" w:cs="Times New Roman"/>
                <w:webHidden/>
                <w:color w:val="0070C0"/>
                <w:sz w:val="24"/>
                <w:szCs w:val="24"/>
              </w:rPr>
            </w:r>
            <w:r w:rsidR="00955D0D" w:rsidRPr="00955D0D">
              <w:rPr>
                <w:rFonts w:ascii="Times New Roman" w:hAnsi="Times New Roman" w:cs="Times New Roman"/>
                <w:webHidden/>
                <w:color w:val="0070C0"/>
                <w:sz w:val="24"/>
                <w:szCs w:val="24"/>
              </w:rPr>
              <w:fldChar w:fldCharType="separate"/>
            </w:r>
            <w:r w:rsidR="00753EA2">
              <w:rPr>
                <w:rFonts w:ascii="Times New Roman" w:hAnsi="Times New Roman" w:cs="Times New Roman"/>
                <w:webHidden/>
                <w:color w:val="0070C0"/>
                <w:sz w:val="24"/>
                <w:szCs w:val="24"/>
              </w:rPr>
              <w:t>8</w:t>
            </w:r>
            <w:r w:rsidR="00955D0D" w:rsidRPr="00955D0D">
              <w:rPr>
                <w:rFonts w:ascii="Times New Roman" w:hAnsi="Times New Roman" w:cs="Times New Roman"/>
                <w:webHidden/>
                <w:color w:val="0070C0"/>
                <w:sz w:val="24"/>
                <w:szCs w:val="24"/>
              </w:rPr>
              <w:fldChar w:fldCharType="end"/>
            </w:r>
          </w:hyperlink>
        </w:p>
        <w:p w14:paraId="107C4CD8" w14:textId="66380498" w:rsidR="00955D0D" w:rsidRPr="00955D0D" w:rsidRDefault="00A0698C" w:rsidP="009F475C">
          <w:pPr>
            <w:pStyle w:val="11"/>
            <w:rPr>
              <w:rFonts w:eastAsiaTheme="minorEastAsia"/>
              <w:lang w:val="en-US"/>
            </w:rPr>
          </w:pPr>
          <w:hyperlink w:anchor="_Toc158015918" w:history="1">
            <w:r w:rsidR="00955D0D" w:rsidRPr="00955D0D">
              <w:rPr>
                <w:rStyle w:val="af4"/>
                <w:rFonts w:ascii="Times New Roman" w:hAnsi="Times New Roman" w:cs="Times New Roman"/>
                <w:sz w:val="24"/>
                <w:szCs w:val="24"/>
              </w:rPr>
              <w:t>III.</w:t>
            </w:r>
            <w:r w:rsidR="00955D0D" w:rsidRPr="00955D0D">
              <w:rPr>
                <w:rFonts w:eastAsiaTheme="minorEastAsia"/>
                <w:lang w:val="en-US"/>
              </w:rPr>
              <w:tab/>
            </w:r>
            <w:r w:rsidR="00955D0D" w:rsidRPr="00955D0D">
              <w:rPr>
                <w:rStyle w:val="af4"/>
                <w:rFonts w:ascii="Times New Roman" w:hAnsi="Times New Roman" w:cs="Times New Roman"/>
                <w:sz w:val="24"/>
                <w:szCs w:val="24"/>
              </w:rPr>
              <w:t>SFERA ȘI ABORDAREA AUDITULUI</w:t>
            </w:r>
            <w:r w:rsidR="00955D0D" w:rsidRPr="00955D0D">
              <w:rPr>
                <w:webHidden/>
              </w:rPr>
              <w:tab/>
            </w:r>
            <w:r w:rsidR="00955D0D" w:rsidRPr="00955D0D">
              <w:rPr>
                <w:webHidden/>
              </w:rPr>
              <w:fldChar w:fldCharType="begin"/>
            </w:r>
            <w:r w:rsidR="00955D0D" w:rsidRPr="00955D0D">
              <w:rPr>
                <w:webHidden/>
              </w:rPr>
              <w:instrText xml:space="preserve"> PAGEREF _Toc158015918 \h </w:instrText>
            </w:r>
            <w:r w:rsidR="00955D0D" w:rsidRPr="00955D0D">
              <w:rPr>
                <w:webHidden/>
              </w:rPr>
            </w:r>
            <w:r w:rsidR="00955D0D" w:rsidRPr="00955D0D">
              <w:rPr>
                <w:webHidden/>
              </w:rPr>
              <w:fldChar w:fldCharType="separate"/>
            </w:r>
            <w:r w:rsidR="00753EA2">
              <w:rPr>
                <w:webHidden/>
              </w:rPr>
              <w:t>10</w:t>
            </w:r>
            <w:r w:rsidR="00955D0D" w:rsidRPr="00955D0D">
              <w:rPr>
                <w:webHidden/>
              </w:rPr>
              <w:fldChar w:fldCharType="end"/>
            </w:r>
          </w:hyperlink>
        </w:p>
        <w:p w14:paraId="0B9CAD59" w14:textId="5B3FE1D3" w:rsidR="00955D0D" w:rsidRPr="00955D0D" w:rsidRDefault="00A0698C" w:rsidP="009F475C">
          <w:pPr>
            <w:pStyle w:val="31"/>
            <w:spacing w:after="0"/>
            <w:ind w:right="181"/>
            <w:rPr>
              <w:rFonts w:ascii="Times New Roman" w:eastAsiaTheme="minorEastAsia" w:hAnsi="Times New Roman" w:cs="Times New Roman"/>
              <w:bCs w:val="0"/>
              <w:i w:val="0"/>
              <w:color w:val="0070C0"/>
              <w:sz w:val="24"/>
              <w:szCs w:val="24"/>
              <w:lang w:val="en-US"/>
            </w:rPr>
          </w:pPr>
          <w:hyperlink w:anchor="_Toc158015919" w:history="1">
            <w:r w:rsidR="00955D0D" w:rsidRPr="00955D0D">
              <w:rPr>
                <w:rStyle w:val="af4"/>
                <w:rFonts w:ascii="Times New Roman" w:hAnsi="Times New Roman" w:cs="Times New Roman"/>
                <w:b/>
                <w:color w:val="0070C0"/>
                <w:sz w:val="24"/>
                <w:szCs w:val="24"/>
              </w:rPr>
              <w:t>3.1.</w:t>
            </w:r>
            <w:r w:rsidR="00955D0D" w:rsidRPr="00955D0D">
              <w:rPr>
                <w:rFonts w:ascii="Times New Roman" w:eastAsiaTheme="minorEastAsia" w:hAnsi="Times New Roman" w:cs="Times New Roman"/>
                <w:bCs w:val="0"/>
                <w:i w:val="0"/>
                <w:color w:val="0070C0"/>
                <w:sz w:val="24"/>
                <w:szCs w:val="24"/>
                <w:lang w:val="en-US"/>
              </w:rPr>
              <w:tab/>
            </w:r>
            <w:r w:rsidR="00955D0D" w:rsidRPr="00955D0D">
              <w:rPr>
                <w:rStyle w:val="af4"/>
                <w:rFonts w:ascii="Times New Roman" w:hAnsi="Times New Roman" w:cs="Times New Roman"/>
                <w:b/>
                <w:color w:val="0070C0"/>
                <w:sz w:val="24"/>
                <w:szCs w:val="24"/>
                <w:shd w:val="clear" w:color="auto" w:fill="FFFFFF"/>
              </w:rPr>
              <w:t>Mandatul legal și scopul auditului</w:t>
            </w:r>
            <w:r w:rsidR="00955D0D" w:rsidRPr="00955D0D">
              <w:rPr>
                <w:rFonts w:ascii="Times New Roman" w:hAnsi="Times New Roman" w:cs="Times New Roman"/>
                <w:webHidden/>
                <w:color w:val="0070C0"/>
                <w:sz w:val="24"/>
                <w:szCs w:val="24"/>
              </w:rPr>
              <w:tab/>
            </w:r>
            <w:r w:rsidR="00955D0D" w:rsidRPr="00955D0D">
              <w:rPr>
                <w:rFonts w:ascii="Times New Roman" w:hAnsi="Times New Roman" w:cs="Times New Roman"/>
                <w:webHidden/>
                <w:color w:val="0070C0"/>
                <w:sz w:val="24"/>
                <w:szCs w:val="24"/>
              </w:rPr>
              <w:fldChar w:fldCharType="begin"/>
            </w:r>
            <w:r w:rsidR="00955D0D" w:rsidRPr="00955D0D">
              <w:rPr>
                <w:rFonts w:ascii="Times New Roman" w:hAnsi="Times New Roman" w:cs="Times New Roman"/>
                <w:webHidden/>
                <w:color w:val="0070C0"/>
                <w:sz w:val="24"/>
                <w:szCs w:val="24"/>
              </w:rPr>
              <w:instrText xml:space="preserve"> PAGEREF _Toc158015919 \h </w:instrText>
            </w:r>
            <w:r w:rsidR="00955D0D" w:rsidRPr="00955D0D">
              <w:rPr>
                <w:rFonts w:ascii="Times New Roman" w:hAnsi="Times New Roman" w:cs="Times New Roman"/>
                <w:webHidden/>
                <w:color w:val="0070C0"/>
                <w:sz w:val="24"/>
                <w:szCs w:val="24"/>
              </w:rPr>
            </w:r>
            <w:r w:rsidR="00955D0D" w:rsidRPr="00955D0D">
              <w:rPr>
                <w:rFonts w:ascii="Times New Roman" w:hAnsi="Times New Roman" w:cs="Times New Roman"/>
                <w:webHidden/>
                <w:color w:val="0070C0"/>
                <w:sz w:val="24"/>
                <w:szCs w:val="24"/>
              </w:rPr>
              <w:fldChar w:fldCharType="separate"/>
            </w:r>
            <w:r w:rsidR="00753EA2">
              <w:rPr>
                <w:rFonts w:ascii="Times New Roman" w:hAnsi="Times New Roman" w:cs="Times New Roman"/>
                <w:webHidden/>
                <w:color w:val="0070C0"/>
                <w:sz w:val="24"/>
                <w:szCs w:val="24"/>
              </w:rPr>
              <w:t>10</w:t>
            </w:r>
            <w:r w:rsidR="00955D0D" w:rsidRPr="00955D0D">
              <w:rPr>
                <w:rFonts w:ascii="Times New Roman" w:hAnsi="Times New Roman" w:cs="Times New Roman"/>
                <w:webHidden/>
                <w:color w:val="0070C0"/>
                <w:sz w:val="24"/>
                <w:szCs w:val="24"/>
              </w:rPr>
              <w:fldChar w:fldCharType="end"/>
            </w:r>
          </w:hyperlink>
        </w:p>
        <w:p w14:paraId="14B2EFA0" w14:textId="43F6D671" w:rsidR="00955D0D" w:rsidRPr="00955D0D" w:rsidRDefault="00A0698C" w:rsidP="009F475C">
          <w:pPr>
            <w:pStyle w:val="31"/>
            <w:spacing w:after="0"/>
            <w:ind w:right="181"/>
            <w:rPr>
              <w:rFonts w:ascii="Times New Roman" w:eastAsiaTheme="minorEastAsia" w:hAnsi="Times New Roman" w:cs="Times New Roman"/>
              <w:bCs w:val="0"/>
              <w:i w:val="0"/>
              <w:color w:val="0070C0"/>
              <w:sz w:val="24"/>
              <w:szCs w:val="24"/>
              <w:lang w:val="en-US"/>
            </w:rPr>
          </w:pPr>
          <w:hyperlink w:anchor="_Toc158015920" w:history="1">
            <w:r w:rsidR="00955D0D" w:rsidRPr="00955D0D">
              <w:rPr>
                <w:rStyle w:val="af4"/>
                <w:rFonts w:ascii="Times New Roman" w:hAnsi="Times New Roman" w:cs="Times New Roman"/>
                <w:b/>
                <w:color w:val="0070C0"/>
                <w:sz w:val="24"/>
                <w:szCs w:val="24"/>
              </w:rPr>
              <w:t>3.2.</w:t>
            </w:r>
            <w:r w:rsidR="00955D0D" w:rsidRPr="00955D0D">
              <w:rPr>
                <w:rFonts w:ascii="Times New Roman" w:eastAsiaTheme="minorEastAsia" w:hAnsi="Times New Roman" w:cs="Times New Roman"/>
                <w:bCs w:val="0"/>
                <w:i w:val="0"/>
                <w:color w:val="0070C0"/>
                <w:sz w:val="24"/>
                <w:szCs w:val="24"/>
                <w:lang w:val="en-US"/>
              </w:rPr>
              <w:tab/>
            </w:r>
            <w:r w:rsidR="00955D0D" w:rsidRPr="00955D0D">
              <w:rPr>
                <w:rStyle w:val="af4"/>
                <w:rFonts w:ascii="Times New Roman" w:hAnsi="Times New Roman" w:cs="Times New Roman"/>
                <w:b/>
                <w:color w:val="0070C0"/>
                <w:sz w:val="24"/>
                <w:szCs w:val="24"/>
                <w:shd w:val="clear" w:color="auto" w:fill="FFFFFF"/>
              </w:rPr>
              <w:t>Abordarea auditului</w:t>
            </w:r>
            <w:r w:rsidR="00955D0D" w:rsidRPr="00955D0D">
              <w:rPr>
                <w:rFonts w:ascii="Times New Roman" w:hAnsi="Times New Roman" w:cs="Times New Roman"/>
                <w:webHidden/>
                <w:color w:val="0070C0"/>
                <w:sz w:val="24"/>
                <w:szCs w:val="24"/>
              </w:rPr>
              <w:tab/>
            </w:r>
            <w:r w:rsidR="00955D0D" w:rsidRPr="00955D0D">
              <w:rPr>
                <w:rFonts w:ascii="Times New Roman" w:hAnsi="Times New Roman" w:cs="Times New Roman"/>
                <w:webHidden/>
                <w:color w:val="0070C0"/>
                <w:sz w:val="24"/>
                <w:szCs w:val="24"/>
              </w:rPr>
              <w:fldChar w:fldCharType="begin"/>
            </w:r>
            <w:r w:rsidR="00955D0D" w:rsidRPr="00955D0D">
              <w:rPr>
                <w:rFonts w:ascii="Times New Roman" w:hAnsi="Times New Roman" w:cs="Times New Roman"/>
                <w:webHidden/>
                <w:color w:val="0070C0"/>
                <w:sz w:val="24"/>
                <w:szCs w:val="24"/>
              </w:rPr>
              <w:instrText xml:space="preserve"> PAGEREF _Toc158015920 \h </w:instrText>
            </w:r>
            <w:r w:rsidR="00955D0D" w:rsidRPr="00955D0D">
              <w:rPr>
                <w:rFonts w:ascii="Times New Roman" w:hAnsi="Times New Roman" w:cs="Times New Roman"/>
                <w:webHidden/>
                <w:color w:val="0070C0"/>
                <w:sz w:val="24"/>
                <w:szCs w:val="24"/>
              </w:rPr>
            </w:r>
            <w:r w:rsidR="00955D0D" w:rsidRPr="00955D0D">
              <w:rPr>
                <w:rFonts w:ascii="Times New Roman" w:hAnsi="Times New Roman" w:cs="Times New Roman"/>
                <w:webHidden/>
                <w:color w:val="0070C0"/>
                <w:sz w:val="24"/>
                <w:szCs w:val="24"/>
              </w:rPr>
              <w:fldChar w:fldCharType="separate"/>
            </w:r>
            <w:r w:rsidR="00753EA2">
              <w:rPr>
                <w:rFonts w:ascii="Times New Roman" w:hAnsi="Times New Roman" w:cs="Times New Roman"/>
                <w:webHidden/>
                <w:color w:val="0070C0"/>
                <w:sz w:val="24"/>
                <w:szCs w:val="24"/>
              </w:rPr>
              <w:t>10</w:t>
            </w:r>
            <w:r w:rsidR="00955D0D" w:rsidRPr="00955D0D">
              <w:rPr>
                <w:rFonts w:ascii="Times New Roman" w:hAnsi="Times New Roman" w:cs="Times New Roman"/>
                <w:webHidden/>
                <w:color w:val="0070C0"/>
                <w:sz w:val="24"/>
                <w:szCs w:val="24"/>
              </w:rPr>
              <w:fldChar w:fldCharType="end"/>
            </w:r>
          </w:hyperlink>
        </w:p>
        <w:p w14:paraId="2F9F7AC2" w14:textId="23DE661B" w:rsidR="00955D0D" w:rsidRPr="00955D0D" w:rsidRDefault="00A0698C" w:rsidP="009F475C">
          <w:pPr>
            <w:pStyle w:val="31"/>
            <w:spacing w:after="120"/>
            <w:ind w:right="181"/>
            <w:rPr>
              <w:rFonts w:ascii="Times New Roman" w:eastAsiaTheme="minorEastAsia" w:hAnsi="Times New Roman" w:cs="Times New Roman"/>
              <w:bCs w:val="0"/>
              <w:i w:val="0"/>
              <w:color w:val="0070C0"/>
              <w:sz w:val="24"/>
              <w:szCs w:val="24"/>
              <w:lang w:val="en-US"/>
            </w:rPr>
          </w:pPr>
          <w:hyperlink w:anchor="_Toc158015921" w:history="1">
            <w:r w:rsidR="00955D0D" w:rsidRPr="00955D0D">
              <w:rPr>
                <w:rStyle w:val="af4"/>
                <w:rFonts w:ascii="Times New Roman" w:hAnsi="Times New Roman" w:cs="Times New Roman"/>
                <w:b/>
                <w:color w:val="0070C0"/>
                <w:sz w:val="24"/>
                <w:szCs w:val="24"/>
              </w:rPr>
              <w:t>3.3.</w:t>
            </w:r>
            <w:r w:rsidR="00955D0D" w:rsidRPr="00955D0D">
              <w:rPr>
                <w:rFonts w:ascii="Times New Roman" w:eastAsiaTheme="minorEastAsia" w:hAnsi="Times New Roman" w:cs="Times New Roman"/>
                <w:bCs w:val="0"/>
                <w:i w:val="0"/>
                <w:color w:val="0070C0"/>
                <w:sz w:val="24"/>
                <w:szCs w:val="24"/>
                <w:lang w:val="en-US"/>
              </w:rPr>
              <w:tab/>
            </w:r>
            <w:r w:rsidR="00955D0D" w:rsidRPr="00955D0D">
              <w:rPr>
                <w:rStyle w:val="af4"/>
                <w:rFonts w:ascii="Times New Roman" w:hAnsi="Times New Roman" w:cs="Times New Roman"/>
                <w:b/>
                <w:color w:val="0070C0"/>
                <w:sz w:val="24"/>
                <w:szCs w:val="24"/>
                <w:shd w:val="clear" w:color="auto" w:fill="FFFFFF"/>
              </w:rPr>
              <w:t>Responsabilitatea auditorului într-un audit al conformității</w:t>
            </w:r>
            <w:r w:rsidR="00955D0D" w:rsidRPr="00955D0D">
              <w:rPr>
                <w:rFonts w:ascii="Times New Roman" w:hAnsi="Times New Roman" w:cs="Times New Roman"/>
                <w:webHidden/>
                <w:color w:val="0070C0"/>
                <w:sz w:val="24"/>
                <w:szCs w:val="24"/>
              </w:rPr>
              <w:tab/>
            </w:r>
            <w:r w:rsidR="00955D0D" w:rsidRPr="00955D0D">
              <w:rPr>
                <w:rFonts w:ascii="Times New Roman" w:hAnsi="Times New Roman" w:cs="Times New Roman"/>
                <w:webHidden/>
                <w:color w:val="0070C0"/>
                <w:sz w:val="24"/>
                <w:szCs w:val="24"/>
              </w:rPr>
              <w:fldChar w:fldCharType="begin"/>
            </w:r>
            <w:r w:rsidR="00955D0D" w:rsidRPr="00955D0D">
              <w:rPr>
                <w:rFonts w:ascii="Times New Roman" w:hAnsi="Times New Roman" w:cs="Times New Roman"/>
                <w:webHidden/>
                <w:color w:val="0070C0"/>
                <w:sz w:val="24"/>
                <w:szCs w:val="24"/>
              </w:rPr>
              <w:instrText xml:space="preserve"> PAGEREF _Toc158015921 \h </w:instrText>
            </w:r>
            <w:r w:rsidR="00955D0D" w:rsidRPr="00955D0D">
              <w:rPr>
                <w:rFonts w:ascii="Times New Roman" w:hAnsi="Times New Roman" w:cs="Times New Roman"/>
                <w:webHidden/>
                <w:color w:val="0070C0"/>
                <w:sz w:val="24"/>
                <w:szCs w:val="24"/>
              </w:rPr>
            </w:r>
            <w:r w:rsidR="00955D0D" w:rsidRPr="00955D0D">
              <w:rPr>
                <w:rFonts w:ascii="Times New Roman" w:hAnsi="Times New Roman" w:cs="Times New Roman"/>
                <w:webHidden/>
                <w:color w:val="0070C0"/>
                <w:sz w:val="24"/>
                <w:szCs w:val="24"/>
              </w:rPr>
              <w:fldChar w:fldCharType="separate"/>
            </w:r>
            <w:r w:rsidR="00753EA2">
              <w:rPr>
                <w:rFonts w:ascii="Times New Roman" w:hAnsi="Times New Roman" w:cs="Times New Roman"/>
                <w:webHidden/>
                <w:color w:val="0070C0"/>
                <w:sz w:val="24"/>
                <w:szCs w:val="24"/>
              </w:rPr>
              <w:t>11</w:t>
            </w:r>
            <w:r w:rsidR="00955D0D" w:rsidRPr="00955D0D">
              <w:rPr>
                <w:rFonts w:ascii="Times New Roman" w:hAnsi="Times New Roman" w:cs="Times New Roman"/>
                <w:webHidden/>
                <w:color w:val="0070C0"/>
                <w:sz w:val="24"/>
                <w:szCs w:val="24"/>
              </w:rPr>
              <w:fldChar w:fldCharType="end"/>
            </w:r>
          </w:hyperlink>
        </w:p>
        <w:p w14:paraId="14352FB5" w14:textId="6361A4F2" w:rsidR="00955D0D" w:rsidRPr="00955D0D" w:rsidRDefault="00A0698C" w:rsidP="009F475C">
          <w:pPr>
            <w:pStyle w:val="11"/>
            <w:rPr>
              <w:rFonts w:eastAsiaTheme="minorEastAsia"/>
              <w:lang w:val="en-US"/>
            </w:rPr>
          </w:pPr>
          <w:hyperlink w:anchor="_Toc158015922" w:history="1">
            <w:r w:rsidR="00955D0D" w:rsidRPr="00955D0D">
              <w:rPr>
                <w:rStyle w:val="af4"/>
                <w:rFonts w:ascii="Times New Roman" w:hAnsi="Times New Roman" w:cs="Times New Roman"/>
                <w:sz w:val="24"/>
                <w:szCs w:val="24"/>
              </w:rPr>
              <w:t>IV.</w:t>
            </w:r>
            <w:r w:rsidR="00955D0D" w:rsidRPr="00955D0D">
              <w:rPr>
                <w:rFonts w:eastAsiaTheme="minorEastAsia"/>
                <w:lang w:val="en-US"/>
              </w:rPr>
              <w:tab/>
            </w:r>
            <w:r w:rsidR="00955D0D" w:rsidRPr="00955D0D">
              <w:rPr>
                <w:rStyle w:val="af4"/>
                <w:rFonts w:ascii="Times New Roman" w:hAnsi="Times New Roman" w:cs="Times New Roman"/>
                <w:sz w:val="24"/>
                <w:szCs w:val="24"/>
              </w:rPr>
              <w:t>CONSTATĂRI</w:t>
            </w:r>
            <w:r w:rsidR="00955D0D" w:rsidRPr="00955D0D">
              <w:rPr>
                <w:webHidden/>
              </w:rPr>
              <w:tab/>
            </w:r>
            <w:r w:rsidR="00955D0D" w:rsidRPr="00955D0D">
              <w:rPr>
                <w:webHidden/>
              </w:rPr>
              <w:fldChar w:fldCharType="begin"/>
            </w:r>
            <w:r w:rsidR="00955D0D" w:rsidRPr="00955D0D">
              <w:rPr>
                <w:webHidden/>
              </w:rPr>
              <w:instrText xml:space="preserve"> PAGEREF _Toc158015922 \h </w:instrText>
            </w:r>
            <w:r w:rsidR="00955D0D" w:rsidRPr="00955D0D">
              <w:rPr>
                <w:webHidden/>
              </w:rPr>
            </w:r>
            <w:r w:rsidR="00955D0D" w:rsidRPr="00955D0D">
              <w:rPr>
                <w:webHidden/>
              </w:rPr>
              <w:fldChar w:fldCharType="separate"/>
            </w:r>
            <w:r w:rsidR="00753EA2">
              <w:rPr>
                <w:webHidden/>
              </w:rPr>
              <w:t>11</w:t>
            </w:r>
            <w:r w:rsidR="00955D0D" w:rsidRPr="00955D0D">
              <w:rPr>
                <w:webHidden/>
              </w:rPr>
              <w:fldChar w:fldCharType="end"/>
            </w:r>
          </w:hyperlink>
        </w:p>
        <w:p w14:paraId="5773F451" w14:textId="42FE28E7" w:rsidR="00955D0D" w:rsidRPr="00955D0D" w:rsidRDefault="00A0698C" w:rsidP="009F475C">
          <w:pPr>
            <w:pStyle w:val="21"/>
            <w:rPr>
              <w:rFonts w:eastAsiaTheme="minorEastAsia"/>
              <w:shd w:val="clear" w:color="auto" w:fill="auto"/>
              <w:lang w:val="en-US" w:eastAsia="en-US" w:bidi="ar-SA"/>
            </w:rPr>
          </w:pPr>
          <w:hyperlink w:anchor="_Toc158015923" w:history="1">
            <w:r w:rsidR="00955D0D" w:rsidRPr="00955D0D">
              <w:rPr>
                <w:rStyle w:val="af4"/>
                <w:sz w:val="24"/>
                <w:szCs w:val="24"/>
              </w:rPr>
              <w:t>4.1.</w:t>
            </w:r>
            <w:r w:rsidR="00955D0D" w:rsidRPr="00955D0D">
              <w:rPr>
                <w:rFonts w:eastAsiaTheme="minorEastAsia"/>
                <w:shd w:val="clear" w:color="auto" w:fill="auto"/>
                <w:lang w:val="en-US" w:eastAsia="en-US" w:bidi="ar-SA"/>
              </w:rPr>
              <w:tab/>
            </w:r>
            <w:r w:rsidR="00955D0D" w:rsidRPr="00955D0D">
              <w:rPr>
                <w:rStyle w:val="af4"/>
                <w:sz w:val="24"/>
                <w:szCs w:val="24"/>
              </w:rPr>
              <w:t xml:space="preserve">OBIECTIVUL nr.1: </w:t>
            </w:r>
            <w:r w:rsidR="00955D0D" w:rsidRPr="00955D0D">
              <w:rPr>
                <w:rStyle w:val="af4"/>
                <w:b w:val="0"/>
                <w:sz w:val="24"/>
                <w:szCs w:val="24"/>
              </w:rPr>
              <w:t>Cancelaria de Stat și instituțiile monitorizate au asigurat managementul financiar al resurselor publice potrivit regulilor și procedurilor bugetar-fiscale prestabilite?</w:t>
            </w:r>
            <w:r w:rsidR="00955D0D" w:rsidRPr="00955D0D">
              <w:rPr>
                <w:webHidden/>
              </w:rPr>
              <w:tab/>
            </w:r>
            <w:r w:rsidR="00955D0D" w:rsidRPr="00955D0D">
              <w:rPr>
                <w:webHidden/>
              </w:rPr>
              <w:fldChar w:fldCharType="begin"/>
            </w:r>
            <w:r w:rsidR="00955D0D" w:rsidRPr="00955D0D">
              <w:rPr>
                <w:webHidden/>
              </w:rPr>
              <w:instrText xml:space="preserve"> PAGEREF _Toc158015923 \h </w:instrText>
            </w:r>
            <w:r w:rsidR="00955D0D" w:rsidRPr="00955D0D">
              <w:rPr>
                <w:webHidden/>
              </w:rPr>
            </w:r>
            <w:r w:rsidR="00955D0D" w:rsidRPr="00955D0D">
              <w:rPr>
                <w:webHidden/>
              </w:rPr>
              <w:fldChar w:fldCharType="separate"/>
            </w:r>
            <w:r w:rsidR="00753EA2">
              <w:rPr>
                <w:webHidden/>
              </w:rPr>
              <w:t>11</w:t>
            </w:r>
            <w:r w:rsidR="00955D0D" w:rsidRPr="00955D0D">
              <w:rPr>
                <w:webHidden/>
              </w:rPr>
              <w:fldChar w:fldCharType="end"/>
            </w:r>
          </w:hyperlink>
        </w:p>
        <w:p w14:paraId="16709ECC" w14:textId="1B41917F" w:rsidR="00955D0D" w:rsidRPr="00955D0D" w:rsidRDefault="00A0698C" w:rsidP="009F475C">
          <w:pPr>
            <w:pStyle w:val="21"/>
            <w:rPr>
              <w:rFonts w:eastAsiaTheme="minorEastAsia"/>
              <w:shd w:val="clear" w:color="auto" w:fill="auto"/>
              <w:lang w:val="en-US" w:eastAsia="en-US" w:bidi="ar-SA"/>
            </w:rPr>
          </w:pPr>
          <w:hyperlink w:anchor="_Toc158015924" w:history="1">
            <w:r w:rsidR="00955D0D" w:rsidRPr="00955D0D">
              <w:rPr>
                <w:rStyle w:val="af4"/>
                <w:sz w:val="24"/>
                <w:szCs w:val="24"/>
              </w:rPr>
              <w:t>4.2.</w:t>
            </w:r>
            <w:r w:rsidR="00955D0D" w:rsidRPr="00955D0D">
              <w:rPr>
                <w:rFonts w:eastAsiaTheme="minorEastAsia"/>
                <w:shd w:val="clear" w:color="auto" w:fill="auto"/>
                <w:lang w:val="en-US" w:eastAsia="en-US" w:bidi="ar-SA"/>
              </w:rPr>
              <w:tab/>
            </w:r>
            <w:r w:rsidR="00955D0D" w:rsidRPr="00955D0D">
              <w:rPr>
                <w:rStyle w:val="af4"/>
                <w:sz w:val="24"/>
                <w:szCs w:val="24"/>
              </w:rPr>
              <w:t>OBIECTIVUL nr.2:</w:t>
            </w:r>
            <w:r w:rsidR="00955D0D" w:rsidRPr="00955D0D">
              <w:rPr>
                <w:rStyle w:val="af4"/>
                <w:b w:val="0"/>
                <w:sz w:val="24"/>
                <w:szCs w:val="24"/>
              </w:rPr>
              <w:t xml:space="preserve"> Politicile și instrumentele existente asigură executarea de către CS a monitoring-ului activității instituțiilor publice fondate?</w:t>
            </w:r>
            <w:r w:rsidR="00955D0D" w:rsidRPr="00955D0D">
              <w:rPr>
                <w:webHidden/>
              </w:rPr>
              <w:tab/>
            </w:r>
            <w:r w:rsidR="00955D0D" w:rsidRPr="00955D0D">
              <w:rPr>
                <w:webHidden/>
              </w:rPr>
              <w:fldChar w:fldCharType="begin"/>
            </w:r>
            <w:r w:rsidR="00955D0D" w:rsidRPr="00955D0D">
              <w:rPr>
                <w:webHidden/>
              </w:rPr>
              <w:instrText xml:space="preserve"> PAGEREF _Toc158015924 \h </w:instrText>
            </w:r>
            <w:r w:rsidR="00955D0D" w:rsidRPr="00955D0D">
              <w:rPr>
                <w:webHidden/>
              </w:rPr>
            </w:r>
            <w:r w:rsidR="00955D0D" w:rsidRPr="00955D0D">
              <w:rPr>
                <w:webHidden/>
              </w:rPr>
              <w:fldChar w:fldCharType="separate"/>
            </w:r>
            <w:r w:rsidR="00753EA2">
              <w:rPr>
                <w:webHidden/>
              </w:rPr>
              <w:t>24</w:t>
            </w:r>
            <w:r w:rsidR="00955D0D" w:rsidRPr="00955D0D">
              <w:rPr>
                <w:webHidden/>
              </w:rPr>
              <w:fldChar w:fldCharType="end"/>
            </w:r>
          </w:hyperlink>
        </w:p>
        <w:p w14:paraId="7988A3A4" w14:textId="2C4DBA2B" w:rsidR="00955D0D" w:rsidRPr="00955D0D" w:rsidRDefault="00A0698C" w:rsidP="009F475C">
          <w:pPr>
            <w:pStyle w:val="21"/>
            <w:rPr>
              <w:rFonts w:eastAsiaTheme="minorEastAsia"/>
              <w:shd w:val="clear" w:color="auto" w:fill="auto"/>
              <w:lang w:val="en-US" w:eastAsia="en-US" w:bidi="ar-SA"/>
            </w:rPr>
          </w:pPr>
          <w:hyperlink w:anchor="_Toc158015925" w:history="1">
            <w:r w:rsidR="00955D0D" w:rsidRPr="00955D0D">
              <w:rPr>
                <w:rStyle w:val="af4"/>
                <w:sz w:val="24"/>
                <w:szCs w:val="24"/>
              </w:rPr>
              <w:t>4.3.</w:t>
            </w:r>
            <w:r w:rsidR="00955D0D" w:rsidRPr="00955D0D">
              <w:rPr>
                <w:rFonts w:eastAsiaTheme="minorEastAsia"/>
                <w:shd w:val="clear" w:color="auto" w:fill="auto"/>
                <w:lang w:val="en-US" w:eastAsia="en-US" w:bidi="ar-SA"/>
              </w:rPr>
              <w:tab/>
            </w:r>
            <w:r w:rsidR="00955D0D" w:rsidRPr="00955D0D">
              <w:rPr>
                <w:rStyle w:val="af4"/>
                <w:sz w:val="24"/>
                <w:szCs w:val="24"/>
              </w:rPr>
              <w:t xml:space="preserve">OBIECTIVUL nr. 3: </w:t>
            </w:r>
            <w:r w:rsidR="00955D0D" w:rsidRPr="00955D0D">
              <w:rPr>
                <w:rStyle w:val="af4"/>
                <w:b w:val="0"/>
                <w:sz w:val="24"/>
                <w:szCs w:val="24"/>
              </w:rPr>
              <w:t>Cancelaria de Stat și unele instituții publice din subordine au asigurat conformitatea administrării patrimoniului public aflat/transmis în gestiune?</w:t>
            </w:r>
            <w:r w:rsidR="00955D0D" w:rsidRPr="00955D0D">
              <w:rPr>
                <w:webHidden/>
              </w:rPr>
              <w:tab/>
            </w:r>
            <w:r w:rsidR="00955D0D" w:rsidRPr="00955D0D">
              <w:rPr>
                <w:webHidden/>
              </w:rPr>
              <w:fldChar w:fldCharType="begin"/>
            </w:r>
            <w:r w:rsidR="00955D0D" w:rsidRPr="00955D0D">
              <w:rPr>
                <w:webHidden/>
              </w:rPr>
              <w:instrText xml:space="preserve"> PAGEREF _Toc158015925 \h </w:instrText>
            </w:r>
            <w:r w:rsidR="00955D0D" w:rsidRPr="00955D0D">
              <w:rPr>
                <w:webHidden/>
              </w:rPr>
            </w:r>
            <w:r w:rsidR="00955D0D" w:rsidRPr="00955D0D">
              <w:rPr>
                <w:webHidden/>
              </w:rPr>
              <w:fldChar w:fldCharType="separate"/>
            </w:r>
            <w:r w:rsidR="00753EA2">
              <w:rPr>
                <w:webHidden/>
              </w:rPr>
              <w:t>29</w:t>
            </w:r>
            <w:r w:rsidR="00955D0D" w:rsidRPr="00955D0D">
              <w:rPr>
                <w:webHidden/>
              </w:rPr>
              <w:fldChar w:fldCharType="end"/>
            </w:r>
          </w:hyperlink>
        </w:p>
        <w:p w14:paraId="09FAB8E0" w14:textId="3F794B17" w:rsidR="00955D0D" w:rsidRPr="00955D0D" w:rsidRDefault="00A0698C" w:rsidP="009F475C">
          <w:pPr>
            <w:pStyle w:val="21"/>
            <w:rPr>
              <w:rFonts w:eastAsiaTheme="minorEastAsia"/>
              <w:shd w:val="clear" w:color="auto" w:fill="auto"/>
              <w:lang w:val="en-US" w:eastAsia="en-US" w:bidi="ar-SA"/>
            </w:rPr>
          </w:pPr>
          <w:hyperlink w:anchor="_Toc158015926" w:history="1">
            <w:r w:rsidR="00955D0D" w:rsidRPr="00955D0D">
              <w:rPr>
                <w:rStyle w:val="af4"/>
                <w:sz w:val="24"/>
                <w:szCs w:val="24"/>
              </w:rPr>
              <w:t>4.4.</w:t>
            </w:r>
            <w:r w:rsidR="00955D0D" w:rsidRPr="00955D0D">
              <w:rPr>
                <w:rFonts w:eastAsiaTheme="minorEastAsia"/>
                <w:shd w:val="clear" w:color="auto" w:fill="auto"/>
                <w:lang w:val="en-US" w:eastAsia="en-US" w:bidi="ar-SA"/>
              </w:rPr>
              <w:tab/>
            </w:r>
            <w:r w:rsidR="00955D0D" w:rsidRPr="00955D0D">
              <w:rPr>
                <w:rStyle w:val="af4"/>
                <w:sz w:val="24"/>
                <w:szCs w:val="24"/>
              </w:rPr>
              <w:t xml:space="preserve">OBIECTIVUL nr.4: </w:t>
            </w:r>
            <w:r w:rsidR="00955D0D" w:rsidRPr="00955D0D">
              <w:rPr>
                <w:rStyle w:val="af4"/>
                <w:b w:val="0"/>
                <w:sz w:val="24"/>
                <w:szCs w:val="24"/>
              </w:rPr>
              <w:t>CS în calitate de autoritate publică centrală, are implementat un sistem de control intern managerial funcțional?</w:t>
            </w:r>
            <w:r w:rsidR="00955D0D" w:rsidRPr="00955D0D">
              <w:rPr>
                <w:webHidden/>
              </w:rPr>
              <w:tab/>
            </w:r>
            <w:r w:rsidR="00955D0D" w:rsidRPr="00955D0D">
              <w:rPr>
                <w:webHidden/>
              </w:rPr>
              <w:fldChar w:fldCharType="begin"/>
            </w:r>
            <w:r w:rsidR="00955D0D" w:rsidRPr="00955D0D">
              <w:rPr>
                <w:webHidden/>
              </w:rPr>
              <w:instrText xml:space="preserve"> PAGEREF _Toc158015926 \h </w:instrText>
            </w:r>
            <w:r w:rsidR="00955D0D" w:rsidRPr="00955D0D">
              <w:rPr>
                <w:webHidden/>
              </w:rPr>
            </w:r>
            <w:r w:rsidR="00955D0D" w:rsidRPr="00955D0D">
              <w:rPr>
                <w:webHidden/>
              </w:rPr>
              <w:fldChar w:fldCharType="separate"/>
            </w:r>
            <w:r w:rsidR="00753EA2">
              <w:rPr>
                <w:webHidden/>
              </w:rPr>
              <w:t>49</w:t>
            </w:r>
            <w:r w:rsidR="00955D0D" w:rsidRPr="00955D0D">
              <w:rPr>
                <w:webHidden/>
              </w:rPr>
              <w:fldChar w:fldCharType="end"/>
            </w:r>
          </w:hyperlink>
        </w:p>
        <w:p w14:paraId="72932B3C" w14:textId="347AFC79" w:rsidR="00955D0D" w:rsidRPr="00955D0D" w:rsidRDefault="00A0698C" w:rsidP="009F475C">
          <w:pPr>
            <w:pStyle w:val="11"/>
            <w:rPr>
              <w:rFonts w:eastAsiaTheme="minorEastAsia"/>
              <w:lang w:val="en-US"/>
            </w:rPr>
          </w:pPr>
          <w:hyperlink w:anchor="_Toc158015927" w:history="1">
            <w:r w:rsidR="00955D0D" w:rsidRPr="00955D0D">
              <w:rPr>
                <w:rStyle w:val="af4"/>
                <w:rFonts w:ascii="Times New Roman" w:hAnsi="Times New Roman" w:cs="Times New Roman"/>
                <w:sz w:val="24"/>
                <w:szCs w:val="24"/>
              </w:rPr>
              <w:t>V.</w:t>
            </w:r>
            <w:r w:rsidR="00955D0D" w:rsidRPr="00955D0D">
              <w:rPr>
                <w:rFonts w:eastAsiaTheme="minorEastAsia"/>
                <w:lang w:val="en-US"/>
              </w:rPr>
              <w:tab/>
            </w:r>
            <w:r w:rsidR="00955D0D" w:rsidRPr="00955D0D">
              <w:rPr>
                <w:rStyle w:val="af4"/>
                <w:rFonts w:ascii="Times New Roman" w:hAnsi="Times New Roman" w:cs="Times New Roman"/>
                <w:sz w:val="24"/>
                <w:szCs w:val="24"/>
              </w:rPr>
              <w:t>CONCLUZIA GENERALĂ</w:t>
            </w:r>
            <w:r w:rsidR="00955D0D" w:rsidRPr="00955D0D">
              <w:rPr>
                <w:webHidden/>
              </w:rPr>
              <w:tab/>
            </w:r>
            <w:r w:rsidR="00955D0D" w:rsidRPr="00955D0D">
              <w:rPr>
                <w:webHidden/>
              </w:rPr>
              <w:fldChar w:fldCharType="begin"/>
            </w:r>
            <w:r w:rsidR="00955D0D" w:rsidRPr="00955D0D">
              <w:rPr>
                <w:webHidden/>
              </w:rPr>
              <w:instrText xml:space="preserve"> PAGEREF _Toc158015927 \h </w:instrText>
            </w:r>
            <w:r w:rsidR="00955D0D" w:rsidRPr="00955D0D">
              <w:rPr>
                <w:webHidden/>
              </w:rPr>
            </w:r>
            <w:r w:rsidR="00955D0D" w:rsidRPr="00955D0D">
              <w:rPr>
                <w:webHidden/>
              </w:rPr>
              <w:fldChar w:fldCharType="separate"/>
            </w:r>
            <w:r w:rsidR="00753EA2">
              <w:rPr>
                <w:webHidden/>
              </w:rPr>
              <w:t>50</w:t>
            </w:r>
            <w:r w:rsidR="00955D0D" w:rsidRPr="00955D0D">
              <w:rPr>
                <w:webHidden/>
              </w:rPr>
              <w:fldChar w:fldCharType="end"/>
            </w:r>
          </w:hyperlink>
        </w:p>
        <w:p w14:paraId="12EE900A" w14:textId="11C3805F" w:rsidR="00955D0D" w:rsidRPr="00955D0D" w:rsidRDefault="00A0698C" w:rsidP="009F475C">
          <w:pPr>
            <w:pStyle w:val="11"/>
            <w:rPr>
              <w:rFonts w:eastAsiaTheme="minorEastAsia"/>
              <w:lang w:val="en-US"/>
            </w:rPr>
          </w:pPr>
          <w:hyperlink w:anchor="_Toc158015928" w:history="1">
            <w:r w:rsidR="00955D0D" w:rsidRPr="00955D0D">
              <w:rPr>
                <w:rStyle w:val="af4"/>
                <w:rFonts w:ascii="Times New Roman" w:hAnsi="Times New Roman" w:cs="Times New Roman"/>
                <w:sz w:val="24"/>
                <w:szCs w:val="24"/>
              </w:rPr>
              <w:t>VI.</w:t>
            </w:r>
            <w:r w:rsidR="00955D0D" w:rsidRPr="00955D0D">
              <w:rPr>
                <w:rFonts w:eastAsiaTheme="minorEastAsia"/>
                <w:lang w:val="en-US"/>
              </w:rPr>
              <w:tab/>
            </w:r>
            <w:r w:rsidR="00955D0D" w:rsidRPr="00955D0D">
              <w:rPr>
                <w:rStyle w:val="af4"/>
                <w:rFonts w:ascii="Times New Roman" w:hAnsi="Times New Roman" w:cs="Times New Roman"/>
                <w:sz w:val="24"/>
                <w:szCs w:val="24"/>
              </w:rPr>
              <w:t>RECOMANDĂRI</w:t>
            </w:r>
            <w:r w:rsidR="00955D0D" w:rsidRPr="00955D0D">
              <w:rPr>
                <w:webHidden/>
              </w:rPr>
              <w:tab/>
            </w:r>
            <w:r w:rsidR="00955D0D" w:rsidRPr="00955D0D">
              <w:rPr>
                <w:webHidden/>
              </w:rPr>
              <w:fldChar w:fldCharType="begin"/>
            </w:r>
            <w:r w:rsidR="00955D0D" w:rsidRPr="00955D0D">
              <w:rPr>
                <w:webHidden/>
              </w:rPr>
              <w:instrText xml:space="preserve"> PAGEREF _Toc158015928 \h </w:instrText>
            </w:r>
            <w:r w:rsidR="00955D0D" w:rsidRPr="00955D0D">
              <w:rPr>
                <w:webHidden/>
              </w:rPr>
            </w:r>
            <w:r w:rsidR="00955D0D" w:rsidRPr="00955D0D">
              <w:rPr>
                <w:webHidden/>
              </w:rPr>
              <w:fldChar w:fldCharType="separate"/>
            </w:r>
            <w:r w:rsidR="00753EA2">
              <w:rPr>
                <w:webHidden/>
              </w:rPr>
              <w:t>51</w:t>
            </w:r>
            <w:r w:rsidR="00955D0D" w:rsidRPr="00955D0D">
              <w:rPr>
                <w:webHidden/>
              </w:rPr>
              <w:fldChar w:fldCharType="end"/>
            </w:r>
          </w:hyperlink>
        </w:p>
        <w:p w14:paraId="65189131" w14:textId="3EEA66C0" w:rsidR="00955D0D" w:rsidRPr="00955D0D" w:rsidRDefault="00A0698C" w:rsidP="009F475C">
          <w:pPr>
            <w:pStyle w:val="11"/>
            <w:rPr>
              <w:rFonts w:eastAsiaTheme="minorEastAsia"/>
              <w:lang w:val="en-US"/>
            </w:rPr>
          </w:pPr>
          <w:hyperlink w:anchor="_Toc158015929" w:history="1">
            <w:r w:rsidR="00955D0D" w:rsidRPr="00955D0D">
              <w:rPr>
                <w:rStyle w:val="af4"/>
                <w:rFonts w:ascii="Times New Roman" w:eastAsia="TimesNewRoman" w:hAnsi="Times New Roman" w:cs="Times New Roman"/>
                <w:sz w:val="24"/>
                <w:szCs w:val="24"/>
              </w:rPr>
              <w:t>VII.</w:t>
            </w:r>
            <w:r w:rsidR="00955D0D" w:rsidRPr="00955D0D">
              <w:rPr>
                <w:rFonts w:eastAsiaTheme="minorEastAsia"/>
                <w:lang w:val="en-US"/>
              </w:rPr>
              <w:tab/>
            </w:r>
            <w:r w:rsidR="00955D0D" w:rsidRPr="00955D0D">
              <w:rPr>
                <w:rStyle w:val="af4"/>
                <w:rFonts w:ascii="Times New Roman" w:eastAsia="TimesNewRoman" w:hAnsi="Times New Roman" w:cs="Times New Roman"/>
                <w:sz w:val="24"/>
                <w:szCs w:val="24"/>
              </w:rPr>
              <w:t>SEMNĂTURILE ECHIPEI MISIUNII</w:t>
            </w:r>
            <w:r w:rsidR="00955D0D" w:rsidRPr="00955D0D">
              <w:rPr>
                <w:webHidden/>
              </w:rPr>
              <w:tab/>
            </w:r>
            <w:r w:rsidR="00955D0D" w:rsidRPr="00955D0D">
              <w:rPr>
                <w:webHidden/>
              </w:rPr>
              <w:fldChar w:fldCharType="begin"/>
            </w:r>
            <w:r w:rsidR="00955D0D" w:rsidRPr="00955D0D">
              <w:rPr>
                <w:webHidden/>
              </w:rPr>
              <w:instrText xml:space="preserve"> PAGEREF _Toc158015929 \h </w:instrText>
            </w:r>
            <w:r w:rsidR="00955D0D" w:rsidRPr="00955D0D">
              <w:rPr>
                <w:webHidden/>
              </w:rPr>
            </w:r>
            <w:r w:rsidR="00955D0D" w:rsidRPr="00955D0D">
              <w:rPr>
                <w:webHidden/>
              </w:rPr>
              <w:fldChar w:fldCharType="separate"/>
            </w:r>
            <w:r w:rsidR="00753EA2">
              <w:rPr>
                <w:webHidden/>
              </w:rPr>
              <w:t>53</w:t>
            </w:r>
            <w:r w:rsidR="00955D0D" w:rsidRPr="00955D0D">
              <w:rPr>
                <w:webHidden/>
              </w:rPr>
              <w:fldChar w:fldCharType="end"/>
            </w:r>
          </w:hyperlink>
        </w:p>
        <w:p w14:paraId="7A870287" w14:textId="33A491FF" w:rsidR="00955D0D" w:rsidRPr="00955D0D" w:rsidRDefault="00A0698C" w:rsidP="009F475C">
          <w:pPr>
            <w:pStyle w:val="11"/>
            <w:rPr>
              <w:rFonts w:eastAsiaTheme="minorEastAsia"/>
              <w:lang w:val="en-US"/>
            </w:rPr>
          </w:pPr>
          <w:hyperlink w:anchor="_Toc158015930" w:history="1">
            <w:r w:rsidR="00955D0D" w:rsidRPr="00955D0D">
              <w:rPr>
                <w:rStyle w:val="af4"/>
                <w:rFonts w:ascii="Times New Roman" w:hAnsi="Times New Roman" w:cs="Times New Roman"/>
                <w:sz w:val="24"/>
                <w:szCs w:val="24"/>
              </w:rPr>
              <w:t>ANEXE</w:t>
            </w:r>
            <w:r w:rsidR="00955D0D" w:rsidRPr="00955D0D">
              <w:rPr>
                <w:webHidden/>
              </w:rPr>
              <w:tab/>
            </w:r>
            <w:r w:rsidR="00955D0D" w:rsidRPr="00955D0D">
              <w:rPr>
                <w:webHidden/>
              </w:rPr>
              <w:fldChar w:fldCharType="begin"/>
            </w:r>
            <w:r w:rsidR="00955D0D" w:rsidRPr="00955D0D">
              <w:rPr>
                <w:webHidden/>
              </w:rPr>
              <w:instrText xml:space="preserve"> PAGEREF _Toc158015930 \h </w:instrText>
            </w:r>
            <w:r w:rsidR="00955D0D" w:rsidRPr="00955D0D">
              <w:rPr>
                <w:webHidden/>
              </w:rPr>
            </w:r>
            <w:r w:rsidR="00955D0D" w:rsidRPr="00955D0D">
              <w:rPr>
                <w:webHidden/>
              </w:rPr>
              <w:fldChar w:fldCharType="separate"/>
            </w:r>
            <w:r w:rsidR="00753EA2">
              <w:rPr>
                <w:webHidden/>
              </w:rPr>
              <w:t>54</w:t>
            </w:r>
            <w:r w:rsidR="00955D0D" w:rsidRPr="00955D0D">
              <w:rPr>
                <w:webHidden/>
              </w:rPr>
              <w:fldChar w:fldCharType="end"/>
            </w:r>
          </w:hyperlink>
        </w:p>
        <w:p w14:paraId="25340BC3" w14:textId="6C39D7FE" w:rsidR="006049D5" w:rsidRPr="003B329E" w:rsidRDefault="006049D5" w:rsidP="009F475C">
          <w:pPr>
            <w:pStyle w:val="11"/>
            <w:rPr>
              <w:rFonts w:eastAsiaTheme="minorEastAsia"/>
              <w:lang w:val="en-US"/>
            </w:rPr>
          </w:pPr>
          <w:r w:rsidRPr="00955D0D">
            <w:rPr>
              <w:sz w:val="24"/>
              <w:szCs w:val="24"/>
            </w:rPr>
            <w:fldChar w:fldCharType="end"/>
          </w:r>
        </w:p>
      </w:sdtContent>
    </w:sdt>
    <w:p w14:paraId="40C5E87C" w14:textId="4BC380F1" w:rsidR="009F475C" w:rsidRDefault="009F475C" w:rsidP="00FF5FCB">
      <w:pPr>
        <w:pStyle w:val="1"/>
        <w:spacing w:line="276" w:lineRule="auto"/>
        <w:rPr>
          <w:rFonts w:ascii="Times New Roman" w:hAnsi="Times New Roman" w:cs="Times New Roman"/>
          <w:b/>
          <w:color w:val="auto"/>
          <w:sz w:val="24"/>
          <w:szCs w:val="24"/>
          <w:shd w:val="clear" w:color="auto" w:fill="FFFFFF"/>
        </w:rPr>
      </w:pPr>
      <w:bookmarkStart w:id="1" w:name="_Toc60045167"/>
      <w:bookmarkStart w:id="2" w:name="_Toc127032649"/>
      <w:bookmarkStart w:id="3" w:name="_Toc141374103"/>
      <w:bookmarkStart w:id="4" w:name="_Toc158015911"/>
    </w:p>
    <w:p w14:paraId="26368388" w14:textId="5F34B7B7" w:rsidR="009F475C" w:rsidRDefault="009F475C" w:rsidP="009F475C"/>
    <w:p w14:paraId="0478DAE0" w14:textId="43AD848F" w:rsidR="009F475C" w:rsidRDefault="009F475C" w:rsidP="009F475C"/>
    <w:p w14:paraId="72C33DE2" w14:textId="70F0B315" w:rsidR="009F475C" w:rsidRDefault="009F475C" w:rsidP="009F475C"/>
    <w:p w14:paraId="5D13257D" w14:textId="618EC714" w:rsidR="009F475C" w:rsidRDefault="009F475C" w:rsidP="009F475C"/>
    <w:p w14:paraId="3D783F3B" w14:textId="77777777" w:rsidR="009F475C" w:rsidRPr="009F475C" w:rsidRDefault="009F475C" w:rsidP="009F475C"/>
    <w:p w14:paraId="0B319EC3" w14:textId="7B1FA369" w:rsidR="00015BF3" w:rsidRDefault="00015BF3" w:rsidP="00FF5FCB">
      <w:pPr>
        <w:pStyle w:val="1"/>
        <w:spacing w:line="276" w:lineRule="auto"/>
        <w:rPr>
          <w:rFonts w:ascii="Times New Roman" w:hAnsi="Times New Roman" w:cs="Times New Roman"/>
          <w:b/>
          <w:color w:val="auto"/>
          <w:sz w:val="24"/>
          <w:szCs w:val="24"/>
          <w:shd w:val="clear" w:color="auto" w:fill="FFFFFF"/>
        </w:rPr>
      </w:pPr>
      <w:r w:rsidRPr="003B329E">
        <w:rPr>
          <w:rFonts w:ascii="Times New Roman" w:hAnsi="Times New Roman" w:cs="Times New Roman"/>
          <w:b/>
          <w:color w:val="auto"/>
          <w:sz w:val="24"/>
          <w:szCs w:val="24"/>
          <w:shd w:val="clear" w:color="auto" w:fill="FFFFFF"/>
        </w:rPr>
        <w:t>LISTA ACRONIMELOR</w:t>
      </w:r>
      <w:bookmarkEnd w:id="1"/>
      <w:bookmarkEnd w:id="2"/>
      <w:bookmarkEnd w:id="3"/>
      <w:bookmarkEnd w:id="4"/>
    </w:p>
    <w:tbl>
      <w:tblPr>
        <w:tblpPr w:leftFromText="180" w:rightFromText="180" w:vertAnchor="text" w:horzAnchor="margin" w:tblpY="220"/>
        <w:tblW w:w="9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168"/>
      </w:tblGrid>
      <w:tr w:rsidR="000E07D1" w:rsidRPr="00F938DF" w14:paraId="566AD542" w14:textId="77777777" w:rsidTr="009F475C">
        <w:tc>
          <w:tcPr>
            <w:tcW w:w="2273" w:type="dxa"/>
            <w:tcBorders>
              <w:top w:val="nil"/>
              <w:left w:val="nil"/>
              <w:bottom w:val="single" w:sz="4" w:space="0" w:color="auto"/>
              <w:right w:val="single" w:sz="4" w:space="0" w:color="auto"/>
            </w:tcBorders>
            <w:shd w:val="clear" w:color="auto" w:fill="auto"/>
          </w:tcPr>
          <w:p w14:paraId="68CFE5C2" w14:textId="77777777" w:rsidR="000E07D1" w:rsidRPr="00F938DF" w:rsidRDefault="000E07D1" w:rsidP="00121B98">
            <w:pPr>
              <w:spacing w:after="0" w:line="276" w:lineRule="auto"/>
              <w:jc w:val="both"/>
              <w:rPr>
                <w:rFonts w:ascii="Times New Roman" w:eastAsia="Times New Roman" w:hAnsi="Times New Roman" w:cs="Times New Roman"/>
                <w:b/>
                <w:sz w:val="20"/>
                <w:szCs w:val="20"/>
                <w:lang w:eastAsia="ru-RU"/>
              </w:rPr>
            </w:pPr>
            <w:r w:rsidRPr="00F938DF">
              <w:rPr>
                <w:rFonts w:ascii="Times New Roman" w:eastAsia="Times New Roman" w:hAnsi="Times New Roman" w:cs="Times New Roman"/>
                <w:b/>
                <w:sz w:val="20"/>
                <w:szCs w:val="20"/>
                <w:lang w:eastAsia="ru-RU"/>
              </w:rPr>
              <w:t>CS</w:t>
            </w:r>
          </w:p>
        </w:tc>
        <w:tc>
          <w:tcPr>
            <w:tcW w:w="7168" w:type="dxa"/>
            <w:tcBorders>
              <w:top w:val="nil"/>
              <w:left w:val="single" w:sz="4" w:space="0" w:color="auto"/>
              <w:bottom w:val="single" w:sz="4" w:space="0" w:color="auto"/>
              <w:right w:val="nil"/>
            </w:tcBorders>
            <w:shd w:val="clear" w:color="auto" w:fill="auto"/>
          </w:tcPr>
          <w:p w14:paraId="0AAE2916" w14:textId="77777777" w:rsidR="000E07D1" w:rsidRPr="00F938DF" w:rsidRDefault="000E07D1" w:rsidP="00121B98">
            <w:pPr>
              <w:spacing w:after="0" w:line="276" w:lineRule="auto"/>
              <w:jc w:val="both"/>
              <w:rPr>
                <w:rFonts w:ascii="Times New Roman" w:eastAsia="Times New Roman" w:hAnsi="Times New Roman" w:cs="Times New Roman"/>
                <w:sz w:val="20"/>
                <w:szCs w:val="20"/>
                <w:lang w:eastAsia="ru-RU"/>
              </w:rPr>
            </w:pPr>
            <w:r w:rsidRPr="00F938DF">
              <w:rPr>
                <w:rFonts w:ascii="Times New Roman" w:eastAsia="Times New Roman" w:hAnsi="Times New Roman" w:cs="Times New Roman"/>
                <w:sz w:val="20"/>
                <w:szCs w:val="20"/>
                <w:lang w:eastAsia="ru-RU"/>
              </w:rPr>
              <w:t>Cancelaria de Stat</w:t>
            </w:r>
          </w:p>
        </w:tc>
      </w:tr>
      <w:tr w:rsidR="000E07D1" w:rsidRPr="00F938DF" w14:paraId="5A25D8C8" w14:textId="77777777" w:rsidTr="009F475C">
        <w:tc>
          <w:tcPr>
            <w:tcW w:w="2273" w:type="dxa"/>
            <w:tcBorders>
              <w:top w:val="single" w:sz="4" w:space="0" w:color="auto"/>
              <w:left w:val="nil"/>
              <w:bottom w:val="single" w:sz="4" w:space="0" w:color="auto"/>
              <w:right w:val="single" w:sz="4" w:space="0" w:color="auto"/>
            </w:tcBorders>
            <w:shd w:val="clear" w:color="auto" w:fill="auto"/>
          </w:tcPr>
          <w:p w14:paraId="5B841B84" w14:textId="77777777" w:rsidR="000E07D1" w:rsidRPr="00F938DF" w:rsidRDefault="000E07D1" w:rsidP="00121B98">
            <w:pPr>
              <w:spacing w:after="0" w:line="276" w:lineRule="auto"/>
              <w:jc w:val="both"/>
              <w:rPr>
                <w:rFonts w:ascii="Times New Roman" w:eastAsia="Times New Roman" w:hAnsi="Times New Roman" w:cs="Times New Roman"/>
                <w:b/>
                <w:sz w:val="20"/>
                <w:szCs w:val="20"/>
                <w:lang w:eastAsia="ru-RU"/>
              </w:rPr>
            </w:pPr>
            <w:r w:rsidRPr="00F938DF">
              <w:rPr>
                <w:rFonts w:ascii="Times New Roman" w:eastAsia="Times New Roman" w:hAnsi="Times New Roman" w:cs="Times New Roman"/>
                <w:b/>
                <w:sz w:val="20"/>
                <w:szCs w:val="20"/>
                <w:lang w:eastAsia="ru-RU"/>
              </w:rPr>
              <w:t>CCRM</w:t>
            </w:r>
          </w:p>
        </w:tc>
        <w:tc>
          <w:tcPr>
            <w:tcW w:w="7168" w:type="dxa"/>
            <w:tcBorders>
              <w:top w:val="nil"/>
              <w:left w:val="single" w:sz="4" w:space="0" w:color="auto"/>
              <w:bottom w:val="single" w:sz="4" w:space="0" w:color="auto"/>
              <w:right w:val="nil"/>
            </w:tcBorders>
            <w:shd w:val="clear" w:color="auto" w:fill="auto"/>
          </w:tcPr>
          <w:p w14:paraId="76208F49" w14:textId="77777777" w:rsidR="000E07D1" w:rsidRPr="00F938DF" w:rsidRDefault="000E07D1" w:rsidP="00121B98">
            <w:pPr>
              <w:spacing w:after="0" w:line="276" w:lineRule="auto"/>
              <w:jc w:val="both"/>
              <w:rPr>
                <w:rFonts w:ascii="Times New Roman" w:eastAsia="Times New Roman" w:hAnsi="Times New Roman" w:cs="Times New Roman"/>
                <w:sz w:val="20"/>
                <w:szCs w:val="20"/>
                <w:lang w:eastAsia="ru-RU"/>
              </w:rPr>
            </w:pPr>
            <w:r w:rsidRPr="00F938DF">
              <w:rPr>
                <w:rFonts w:ascii="Times New Roman" w:eastAsia="Times New Roman" w:hAnsi="Times New Roman" w:cs="Times New Roman"/>
                <w:sz w:val="20"/>
                <w:szCs w:val="20"/>
                <w:lang w:eastAsia="ru-RU"/>
              </w:rPr>
              <w:t>Curtea de Conturi a Republicii Moldova</w:t>
            </w:r>
          </w:p>
        </w:tc>
      </w:tr>
      <w:tr w:rsidR="000E07D1" w:rsidRPr="00F938DF" w14:paraId="1D0EE281" w14:textId="77777777" w:rsidTr="009F475C">
        <w:tc>
          <w:tcPr>
            <w:tcW w:w="2273" w:type="dxa"/>
            <w:tcBorders>
              <w:top w:val="single" w:sz="4" w:space="0" w:color="auto"/>
              <w:left w:val="nil"/>
              <w:bottom w:val="single" w:sz="4" w:space="0" w:color="auto"/>
              <w:right w:val="single" w:sz="4" w:space="0" w:color="auto"/>
            </w:tcBorders>
            <w:shd w:val="clear" w:color="auto" w:fill="auto"/>
          </w:tcPr>
          <w:p w14:paraId="78FA54D5" w14:textId="77777777" w:rsidR="000E07D1" w:rsidRPr="00F938DF" w:rsidRDefault="000E07D1" w:rsidP="00121B98">
            <w:pPr>
              <w:spacing w:after="0" w:line="276" w:lineRule="auto"/>
              <w:jc w:val="both"/>
              <w:rPr>
                <w:rFonts w:ascii="Times New Roman" w:eastAsia="Times New Roman" w:hAnsi="Times New Roman" w:cs="Times New Roman"/>
                <w:b/>
                <w:sz w:val="20"/>
                <w:szCs w:val="20"/>
                <w:lang w:eastAsia="ru-RU"/>
              </w:rPr>
            </w:pPr>
            <w:r w:rsidRPr="00F938DF">
              <w:rPr>
                <w:rFonts w:ascii="Times New Roman" w:eastAsia="Times New Roman" w:hAnsi="Times New Roman" w:cs="Times New Roman"/>
                <w:b/>
                <w:sz w:val="20"/>
                <w:szCs w:val="20"/>
                <w:lang w:eastAsia="ru-RU"/>
              </w:rPr>
              <w:t>MF</w:t>
            </w:r>
          </w:p>
        </w:tc>
        <w:tc>
          <w:tcPr>
            <w:tcW w:w="7168" w:type="dxa"/>
            <w:tcBorders>
              <w:top w:val="nil"/>
              <w:left w:val="single" w:sz="4" w:space="0" w:color="auto"/>
              <w:bottom w:val="single" w:sz="4" w:space="0" w:color="auto"/>
              <w:right w:val="nil"/>
            </w:tcBorders>
            <w:shd w:val="clear" w:color="auto" w:fill="auto"/>
          </w:tcPr>
          <w:p w14:paraId="369569F6" w14:textId="77777777" w:rsidR="000E07D1" w:rsidRPr="00F938DF" w:rsidRDefault="000E07D1" w:rsidP="00121B98">
            <w:pPr>
              <w:spacing w:after="0" w:line="276" w:lineRule="auto"/>
              <w:jc w:val="both"/>
              <w:rPr>
                <w:rFonts w:ascii="Times New Roman" w:eastAsia="Times New Roman" w:hAnsi="Times New Roman" w:cs="Times New Roman"/>
                <w:sz w:val="20"/>
                <w:szCs w:val="20"/>
                <w:lang w:eastAsia="ru-RU"/>
              </w:rPr>
            </w:pPr>
            <w:r w:rsidRPr="00F938DF">
              <w:rPr>
                <w:rFonts w:ascii="Times New Roman" w:eastAsia="Times New Roman" w:hAnsi="Times New Roman" w:cs="Times New Roman"/>
                <w:sz w:val="20"/>
                <w:szCs w:val="20"/>
                <w:lang w:eastAsia="ru-RU"/>
              </w:rPr>
              <w:t>Ministerul Finanțelor</w:t>
            </w:r>
          </w:p>
        </w:tc>
      </w:tr>
      <w:tr w:rsidR="000E07D1" w:rsidRPr="00F938DF" w14:paraId="143A41AC" w14:textId="77777777" w:rsidTr="009F475C">
        <w:tc>
          <w:tcPr>
            <w:tcW w:w="2273" w:type="dxa"/>
            <w:tcBorders>
              <w:top w:val="single" w:sz="4" w:space="0" w:color="auto"/>
              <w:left w:val="nil"/>
              <w:bottom w:val="single" w:sz="4" w:space="0" w:color="auto"/>
              <w:right w:val="single" w:sz="4" w:space="0" w:color="auto"/>
            </w:tcBorders>
            <w:shd w:val="clear" w:color="auto" w:fill="auto"/>
          </w:tcPr>
          <w:p w14:paraId="5F142410" w14:textId="77777777" w:rsidR="000E07D1" w:rsidRPr="00F938DF" w:rsidRDefault="000E07D1" w:rsidP="00121B98">
            <w:pPr>
              <w:spacing w:after="0" w:line="276" w:lineRule="auto"/>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BNM</w:t>
            </w:r>
          </w:p>
        </w:tc>
        <w:tc>
          <w:tcPr>
            <w:tcW w:w="7168" w:type="dxa"/>
            <w:tcBorders>
              <w:top w:val="nil"/>
              <w:left w:val="single" w:sz="4" w:space="0" w:color="auto"/>
              <w:bottom w:val="single" w:sz="4" w:space="0" w:color="auto"/>
              <w:right w:val="nil"/>
            </w:tcBorders>
            <w:shd w:val="clear" w:color="auto" w:fill="auto"/>
          </w:tcPr>
          <w:p w14:paraId="22B8524E" w14:textId="77777777" w:rsidR="000E07D1" w:rsidRPr="00F938DF" w:rsidRDefault="000E07D1" w:rsidP="00121B98">
            <w:pPr>
              <w:spacing w:after="0" w:line="276"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Banca Națională a Moldovei</w:t>
            </w:r>
          </w:p>
        </w:tc>
      </w:tr>
      <w:tr w:rsidR="000E07D1" w:rsidRPr="00F938DF" w14:paraId="1B89A666" w14:textId="77777777" w:rsidTr="009F475C">
        <w:tc>
          <w:tcPr>
            <w:tcW w:w="2273" w:type="dxa"/>
            <w:tcBorders>
              <w:top w:val="single" w:sz="4" w:space="0" w:color="auto"/>
              <w:left w:val="nil"/>
              <w:bottom w:val="single" w:sz="4" w:space="0" w:color="auto"/>
              <w:right w:val="single" w:sz="4" w:space="0" w:color="auto"/>
            </w:tcBorders>
            <w:shd w:val="clear" w:color="auto" w:fill="auto"/>
          </w:tcPr>
          <w:p w14:paraId="19F613F7" w14:textId="77777777" w:rsidR="000E07D1" w:rsidRPr="00F938DF" w:rsidRDefault="000E07D1" w:rsidP="00121B98">
            <w:pPr>
              <w:spacing w:after="0" w:line="276" w:lineRule="auto"/>
              <w:jc w:val="both"/>
              <w:rPr>
                <w:rFonts w:ascii="Times New Roman" w:eastAsia="Times New Roman" w:hAnsi="Times New Roman" w:cs="Times New Roman"/>
                <w:b/>
                <w:sz w:val="20"/>
                <w:szCs w:val="20"/>
                <w:lang w:eastAsia="ru-RU"/>
              </w:rPr>
            </w:pPr>
            <w:r w:rsidRPr="00F938DF">
              <w:rPr>
                <w:rFonts w:ascii="Times New Roman" w:eastAsia="Times New Roman" w:hAnsi="Times New Roman" w:cs="Times New Roman"/>
                <w:b/>
                <w:sz w:val="20"/>
                <w:szCs w:val="20"/>
                <w:lang w:eastAsia="ru-RU"/>
              </w:rPr>
              <w:t>DGACG/I.P. „DGACG”</w:t>
            </w:r>
          </w:p>
        </w:tc>
        <w:tc>
          <w:tcPr>
            <w:tcW w:w="7168" w:type="dxa"/>
            <w:tcBorders>
              <w:top w:val="nil"/>
              <w:left w:val="single" w:sz="4" w:space="0" w:color="auto"/>
              <w:bottom w:val="single" w:sz="4" w:space="0" w:color="auto"/>
              <w:right w:val="nil"/>
            </w:tcBorders>
            <w:shd w:val="clear" w:color="auto" w:fill="auto"/>
          </w:tcPr>
          <w:p w14:paraId="1068B237" w14:textId="77777777" w:rsidR="000E07D1" w:rsidRPr="00F938DF" w:rsidRDefault="000E07D1" w:rsidP="00121B98">
            <w:pPr>
              <w:spacing w:after="0" w:line="276" w:lineRule="auto"/>
              <w:jc w:val="both"/>
              <w:rPr>
                <w:rFonts w:ascii="Times New Roman" w:eastAsia="Times New Roman" w:hAnsi="Times New Roman" w:cs="Times New Roman"/>
                <w:sz w:val="20"/>
                <w:szCs w:val="20"/>
                <w:lang w:eastAsia="ru-RU"/>
              </w:rPr>
            </w:pPr>
            <w:r w:rsidRPr="00F938DF">
              <w:rPr>
                <w:rFonts w:ascii="Times New Roman" w:eastAsia="Times New Roman" w:hAnsi="Times New Roman" w:cs="Times New Roman"/>
                <w:sz w:val="20"/>
                <w:szCs w:val="20"/>
                <w:lang w:eastAsia="ru-RU"/>
              </w:rPr>
              <w:t>I.P. „Direcți</w:t>
            </w:r>
            <w:r>
              <w:rPr>
                <w:rFonts w:ascii="Times New Roman" w:eastAsia="Times New Roman" w:hAnsi="Times New Roman" w:cs="Times New Roman"/>
                <w:sz w:val="20"/>
                <w:szCs w:val="20"/>
                <w:lang w:eastAsia="ru-RU"/>
              </w:rPr>
              <w:t>a</w:t>
            </w:r>
            <w:r w:rsidRPr="00F938DF">
              <w:rPr>
                <w:rFonts w:ascii="Times New Roman" w:eastAsia="Times New Roman" w:hAnsi="Times New Roman" w:cs="Times New Roman"/>
                <w:sz w:val="20"/>
                <w:szCs w:val="20"/>
                <w:lang w:eastAsia="ru-RU"/>
              </w:rPr>
              <w:t xml:space="preserve"> General</w:t>
            </w:r>
            <w:r>
              <w:rPr>
                <w:rFonts w:ascii="Times New Roman" w:eastAsia="Times New Roman" w:hAnsi="Times New Roman" w:cs="Times New Roman"/>
                <w:sz w:val="20"/>
                <w:szCs w:val="20"/>
                <w:lang w:eastAsia="ru-RU"/>
              </w:rPr>
              <w:t>ă</w:t>
            </w:r>
            <w:r w:rsidRPr="00F938DF">
              <w:rPr>
                <w:rFonts w:ascii="Times New Roman" w:eastAsia="Times New Roman" w:hAnsi="Times New Roman" w:cs="Times New Roman"/>
                <w:sz w:val="20"/>
                <w:szCs w:val="20"/>
                <w:lang w:eastAsia="ru-RU"/>
              </w:rPr>
              <w:t xml:space="preserve"> pentru Administrarea Clădirilor Guvernului”</w:t>
            </w:r>
          </w:p>
        </w:tc>
      </w:tr>
      <w:tr w:rsidR="000E07D1" w:rsidRPr="00F938DF" w14:paraId="60456A7D" w14:textId="77777777" w:rsidTr="009F475C">
        <w:tc>
          <w:tcPr>
            <w:tcW w:w="2273" w:type="dxa"/>
            <w:tcBorders>
              <w:top w:val="single" w:sz="4" w:space="0" w:color="auto"/>
              <w:left w:val="nil"/>
              <w:bottom w:val="single" w:sz="4" w:space="0" w:color="auto"/>
              <w:right w:val="single" w:sz="4" w:space="0" w:color="auto"/>
            </w:tcBorders>
            <w:shd w:val="clear" w:color="auto" w:fill="auto"/>
          </w:tcPr>
          <w:p w14:paraId="0AC1564C" w14:textId="77777777" w:rsidR="000E07D1" w:rsidRPr="00F938DF" w:rsidRDefault="000E07D1" w:rsidP="00121B98">
            <w:pPr>
              <w:spacing w:after="0" w:line="276" w:lineRule="auto"/>
              <w:jc w:val="both"/>
              <w:rPr>
                <w:rFonts w:ascii="Times New Roman" w:eastAsia="Times New Roman" w:hAnsi="Times New Roman" w:cs="Times New Roman"/>
                <w:b/>
                <w:sz w:val="20"/>
                <w:szCs w:val="20"/>
                <w:lang w:eastAsia="ru-RU"/>
              </w:rPr>
            </w:pPr>
            <w:r w:rsidRPr="00F938DF">
              <w:rPr>
                <w:rFonts w:ascii="Times New Roman" w:eastAsia="Times New Roman" w:hAnsi="Times New Roman" w:cs="Times New Roman"/>
                <w:b/>
                <w:sz w:val="20"/>
                <w:szCs w:val="20"/>
                <w:lang w:eastAsia="ru-RU"/>
              </w:rPr>
              <w:t>BA/ BA a CS</w:t>
            </w:r>
          </w:p>
        </w:tc>
        <w:tc>
          <w:tcPr>
            <w:tcW w:w="7168" w:type="dxa"/>
            <w:tcBorders>
              <w:top w:val="nil"/>
              <w:left w:val="single" w:sz="4" w:space="0" w:color="auto"/>
              <w:bottom w:val="single" w:sz="4" w:space="0" w:color="auto"/>
              <w:right w:val="nil"/>
            </w:tcBorders>
            <w:shd w:val="clear" w:color="auto" w:fill="auto"/>
          </w:tcPr>
          <w:p w14:paraId="361860C6" w14:textId="77777777" w:rsidR="000E07D1" w:rsidRPr="00F938DF" w:rsidRDefault="000E07D1" w:rsidP="00121B98">
            <w:pPr>
              <w:spacing w:after="0" w:line="276" w:lineRule="auto"/>
              <w:jc w:val="both"/>
              <w:rPr>
                <w:rFonts w:ascii="Times New Roman" w:eastAsia="Times New Roman" w:hAnsi="Times New Roman" w:cs="Times New Roman"/>
                <w:sz w:val="20"/>
                <w:szCs w:val="20"/>
                <w:lang w:eastAsia="ru-RU"/>
              </w:rPr>
            </w:pPr>
            <w:r w:rsidRPr="00F938DF">
              <w:rPr>
                <w:rFonts w:ascii="Times New Roman" w:eastAsia="Times New Roman" w:hAnsi="Times New Roman" w:cs="Times New Roman"/>
                <w:sz w:val="20"/>
                <w:szCs w:val="20"/>
                <w:lang w:eastAsia="ru-RU"/>
              </w:rPr>
              <w:t>I.P. „Baza Auto</w:t>
            </w:r>
            <w:r>
              <w:rPr>
                <w:rFonts w:ascii="Times New Roman" w:eastAsia="Times New Roman" w:hAnsi="Times New Roman" w:cs="Times New Roman"/>
                <w:sz w:val="20"/>
                <w:szCs w:val="20"/>
                <w:lang w:eastAsia="ru-RU"/>
              </w:rPr>
              <w:t xml:space="preserve"> a Cancelariei de Stat</w:t>
            </w:r>
            <w:r w:rsidRPr="00F938DF">
              <w:rPr>
                <w:rFonts w:ascii="Times New Roman" w:eastAsia="Times New Roman" w:hAnsi="Times New Roman" w:cs="Times New Roman"/>
                <w:sz w:val="20"/>
                <w:szCs w:val="20"/>
                <w:lang w:eastAsia="ru-RU"/>
              </w:rPr>
              <w:t>”</w:t>
            </w:r>
          </w:p>
        </w:tc>
      </w:tr>
      <w:tr w:rsidR="000E07D1" w:rsidRPr="00F938DF" w14:paraId="5C30DD38" w14:textId="77777777" w:rsidTr="009F475C">
        <w:tc>
          <w:tcPr>
            <w:tcW w:w="2273" w:type="dxa"/>
            <w:tcBorders>
              <w:top w:val="single" w:sz="4" w:space="0" w:color="auto"/>
              <w:left w:val="nil"/>
              <w:bottom w:val="single" w:sz="4" w:space="0" w:color="auto"/>
              <w:right w:val="single" w:sz="4" w:space="0" w:color="auto"/>
            </w:tcBorders>
            <w:shd w:val="clear" w:color="auto" w:fill="auto"/>
          </w:tcPr>
          <w:p w14:paraId="62132017" w14:textId="77777777" w:rsidR="000E07D1" w:rsidRPr="00F938DF" w:rsidRDefault="000E07D1" w:rsidP="00121B98">
            <w:pPr>
              <w:spacing w:after="0" w:line="276" w:lineRule="auto"/>
              <w:jc w:val="both"/>
              <w:rPr>
                <w:rFonts w:ascii="Times New Roman" w:eastAsia="Times New Roman" w:hAnsi="Times New Roman" w:cs="Times New Roman"/>
                <w:b/>
                <w:sz w:val="20"/>
                <w:szCs w:val="20"/>
                <w:lang w:eastAsia="ru-RU"/>
              </w:rPr>
            </w:pPr>
            <w:r w:rsidRPr="00F938DF">
              <w:rPr>
                <w:rFonts w:ascii="Times New Roman" w:eastAsia="Times New Roman" w:hAnsi="Times New Roman" w:cs="Times New Roman"/>
                <w:b/>
                <w:sz w:val="20"/>
                <w:szCs w:val="20"/>
                <w:lang w:eastAsia="ru-RU"/>
              </w:rPr>
              <w:t>Pensiunea din Holercani</w:t>
            </w:r>
          </w:p>
        </w:tc>
        <w:tc>
          <w:tcPr>
            <w:tcW w:w="7168" w:type="dxa"/>
            <w:tcBorders>
              <w:top w:val="nil"/>
              <w:left w:val="single" w:sz="4" w:space="0" w:color="auto"/>
              <w:bottom w:val="single" w:sz="4" w:space="0" w:color="auto"/>
              <w:right w:val="nil"/>
            </w:tcBorders>
            <w:shd w:val="clear" w:color="auto" w:fill="auto"/>
          </w:tcPr>
          <w:p w14:paraId="12C2F4AA" w14:textId="77777777" w:rsidR="000E07D1" w:rsidRPr="00F938DF" w:rsidRDefault="000E07D1" w:rsidP="00121B98">
            <w:pPr>
              <w:spacing w:after="0" w:line="276" w:lineRule="auto"/>
              <w:jc w:val="both"/>
              <w:rPr>
                <w:rFonts w:ascii="Times New Roman" w:eastAsia="Times New Roman" w:hAnsi="Times New Roman" w:cs="Times New Roman"/>
                <w:sz w:val="20"/>
                <w:szCs w:val="20"/>
                <w:lang w:eastAsia="ru-RU"/>
              </w:rPr>
            </w:pPr>
            <w:r w:rsidRPr="00F938DF">
              <w:rPr>
                <w:rFonts w:ascii="Times New Roman" w:eastAsia="Times New Roman" w:hAnsi="Times New Roman" w:cs="Times New Roman"/>
                <w:sz w:val="20"/>
                <w:szCs w:val="20"/>
                <w:lang w:eastAsia="ru-RU"/>
              </w:rPr>
              <w:t>I.P. „Pensiunea din Holercani”</w:t>
            </w:r>
          </w:p>
        </w:tc>
      </w:tr>
      <w:tr w:rsidR="000E07D1" w:rsidRPr="00F938DF" w14:paraId="1ABE5238" w14:textId="77777777" w:rsidTr="009F475C">
        <w:tc>
          <w:tcPr>
            <w:tcW w:w="2273" w:type="dxa"/>
            <w:tcBorders>
              <w:top w:val="single" w:sz="4" w:space="0" w:color="auto"/>
              <w:left w:val="nil"/>
              <w:bottom w:val="single" w:sz="4" w:space="0" w:color="auto"/>
              <w:right w:val="single" w:sz="4" w:space="0" w:color="auto"/>
            </w:tcBorders>
            <w:shd w:val="clear" w:color="auto" w:fill="auto"/>
          </w:tcPr>
          <w:p w14:paraId="59A3A7C6" w14:textId="77777777" w:rsidR="000E07D1" w:rsidRPr="00F938DF" w:rsidRDefault="000E07D1" w:rsidP="00121B98">
            <w:pPr>
              <w:spacing w:after="0" w:line="276" w:lineRule="auto"/>
              <w:jc w:val="both"/>
              <w:rPr>
                <w:rFonts w:ascii="Times New Roman" w:eastAsia="Times New Roman" w:hAnsi="Times New Roman" w:cs="Times New Roman"/>
                <w:b/>
                <w:sz w:val="20"/>
                <w:szCs w:val="20"/>
                <w:lang w:eastAsia="ru-RU"/>
              </w:rPr>
            </w:pPr>
            <w:r w:rsidRPr="00F938DF">
              <w:rPr>
                <w:rFonts w:ascii="Times New Roman" w:eastAsia="Times New Roman" w:hAnsi="Times New Roman" w:cs="Times New Roman"/>
                <w:b/>
                <w:sz w:val="20"/>
                <w:szCs w:val="20"/>
                <w:lang w:eastAsia="ru-RU"/>
              </w:rPr>
              <w:t>Palatul Republicii</w:t>
            </w:r>
          </w:p>
        </w:tc>
        <w:tc>
          <w:tcPr>
            <w:tcW w:w="7168" w:type="dxa"/>
            <w:tcBorders>
              <w:top w:val="nil"/>
              <w:left w:val="single" w:sz="4" w:space="0" w:color="auto"/>
              <w:bottom w:val="single" w:sz="4" w:space="0" w:color="auto"/>
              <w:right w:val="nil"/>
            </w:tcBorders>
            <w:shd w:val="clear" w:color="auto" w:fill="auto"/>
          </w:tcPr>
          <w:p w14:paraId="76684F7C" w14:textId="77777777" w:rsidR="000E07D1" w:rsidRPr="00F938DF" w:rsidRDefault="000E07D1" w:rsidP="00121B98">
            <w:pPr>
              <w:spacing w:after="0" w:line="276" w:lineRule="auto"/>
              <w:jc w:val="both"/>
              <w:rPr>
                <w:rFonts w:ascii="Times New Roman" w:eastAsia="Times New Roman" w:hAnsi="Times New Roman" w:cs="Times New Roman"/>
                <w:sz w:val="20"/>
                <w:szCs w:val="20"/>
                <w:lang w:eastAsia="ru-RU"/>
              </w:rPr>
            </w:pPr>
            <w:r w:rsidRPr="00F938DF">
              <w:rPr>
                <w:rFonts w:ascii="Times New Roman" w:eastAsia="Times New Roman" w:hAnsi="Times New Roman" w:cs="Times New Roman"/>
                <w:sz w:val="20"/>
                <w:szCs w:val="20"/>
                <w:lang w:eastAsia="ru-RU"/>
              </w:rPr>
              <w:t>I.P. „P</w:t>
            </w:r>
            <w:r>
              <w:rPr>
                <w:rFonts w:ascii="Times New Roman" w:eastAsia="Times New Roman" w:hAnsi="Times New Roman" w:cs="Times New Roman"/>
                <w:sz w:val="20"/>
                <w:szCs w:val="20"/>
                <w:lang w:eastAsia="ru-RU"/>
              </w:rPr>
              <w:t>a</w:t>
            </w:r>
            <w:r w:rsidRPr="00F938DF">
              <w:rPr>
                <w:rFonts w:ascii="Times New Roman" w:eastAsia="Times New Roman" w:hAnsi="Times New Roman" w:cs="Times New Roman"/>
                <w:sz w:val="20"/>
                <w:szCs w:val="20"/>
                <w:lang w:eastAsia="ru-RU"/>
              </w:rPr>
              <w:t>latul Republicii”</w:t>
            </w:r>
          </w:p>
        </w:tc>
      </w:tr>
      <w:tr w:rsidR="000E07D1" w:rsidRPr="00F938DF" w14:paraId="47BC4FD1" w14:textId="77777777" w:rsidTr="009F475C">
        <w:tc>
          <w:tcPr>
            <w:tcW w:w="2273" w:type="dxa"/>
            <w:tcBorders>
              <w:top w:val="single" w:sz="4" w:space="0" w:color="auto"/>
              <w:left w:val="nil"/>
              <w:bottom w:val="single" w:sz="4" w:space="0" w:color="auto"/>
              <w:right w:val="single" w:sz="4" w:space="0" w:color="auto"/>
            </w:tcBorders>
            <w:shd w:val="clear" w:color="auto" w:fill="auto"/>
          </w:tcPr>
          <w:p w14:paraId="1264DFB9" w14:textId="77777777" w:rsidR="000E07D1" w:rsidRPr="00F938DF" w:rsidRDefault="000E07D1" w:rsidP="00121B98">
            <w:pPr>
              <w:spacing w:after="0" w:line="276" w:lineRule="auto"/>
              <w:jc w:val="both"/>
              <w:rPr>
                <w:rFonts w:ascii="Times New Roman" w:eastAsia="Times New Roman" w:hAnsi="Times New Roman" w:cs="Times New Roman"/>
                <w:b/>
                <w:sz w:val="20"/>
                <w:szCs w:val="20"/>
                <w:lang w:eastAsia="ru-RU"/>
              </w:rPr>
            </w:pPr>
            <w:r w:rsidRPr="00F938DF">
              <w:rPr>
                <w:rFonts w:ascii="Times New Roman" w:eastAsia="Times New Roman" w:hAnsi="Times New Roman" w:cs="Times New Roman"/>
                <w:b/>
                <w:sz w:val="20"/>
                <w:szCs w:val="20"/>
                <w:lang w:eastAsia="ru-RU"/>
              </w:rPr>
              <w:t>AGE/ I.P. „AGE”</w:t>
            </w:r>
          </w:p>
        </w:tc>
        <w:tc>
          <w:tcPr>
            <w:tcW w:w="7168" w:type="dxa"/>
            <w:tcBorders>
              <w:top w:val="nil"/>
              <w:left w:val="single" w:sz="4" w:space="0" w:color="auto"/>
              <w:bottom w:val="single" w:sz="4" w:space="0" w:color="auto"/>
              <w:right w:val="nil"/>
            </w:tcBorders>
            <w:shd w:val="clear" w:color="auto" w:fill="auto"/>
          </w:tcPr>
          <w:p w14:paraId="42E78A95" w14:textId="77777777" w:rsidR="000E07D1" w:rsidRPr="00F938DF" w:rsidRDefault="000E07D1" w:rsidP="00121B98">
            <w:pPr>
              <w:spacing w:after="0" w:line="276" w:lineRule="auto"/>
              <w:jc w:val="both"/>
              <w:rPr>
                <w:rFonts w:ascii="Times New Roman" w:eastAsia="Times New Roman" w:hAnsi="Times New Roman" w:cs="Times New Roman"/>
                <w:sz w:val="20"/>
                <w:szCs w:val="20"/>
                <w:lang w:eastAsia="ru-RU"/>
              </w:rPr>
            </w:pPr>
            <w:r w:rsidRPr="00F938DF">
              <w:rPr>
                <w:rFonts w:ascii="Times New Roman" w:eastAsia="Times New Roman" w:hAnsi="Times New Roman" w:cs="Times New Roman"/>
                <w:sz w:val="20"/>
                <w:szCs w:val="20"/>
                <w:lang w:eastAsia="ru-RU"/>
              </w:rPr>
              <w:t>I.P. „Agenția de Guvernare Electronică”</w:t>
            </w:r>
          </w:p>
        </w:tc>
      </w:tr>
      <w:tr w:rsidR="000E07D1" w:rsidRPr="00F938DF" w14:paraId="5E23EB09" w14:textId="77777777" w:rsidTr="009F475C">
        <w:tc>
          <w:tcPr>
            <w:tcW w:w="2273" w:type="dxa"/>
            <w:tcBorders>
              <w:top w:val="single" w:sz="4" w:space="0" w:color="auto"/>
              <w:left w:val="nil"/>
              <w:bottom w:val="single" w:sz="4" w:space="0" w:color="auto"/>
              <w:right w:val="single" w:sz="4" w:space="0" w:color="auto"/>
            </w:tcBorders>
            <w:shd w:val="clear" w:color="auto" w:fill="auto"/>
          </w:tcPr>
          <w:p w14:paraId="1E4EEF07" w14:textId="77777777" w:rsidR="000E07D1" w:rsidRPr="00F938DF" w:rsidRDefault="000E07D1" w:rsidP="00121B98">
            <w:pPr>
              <w:spacing w:after="0" w:line="276" w:lineRule="auto"/>
              <w:jc w:val="both"/>
              <w:rPr>
                <w:rFonts w:ascii="Times New Roman" w:eastAsia="Times New Roman" w:hAnsi="Times New Roman" w:cs="Times New Roman"/>
                <w:b/>
                <w:sz w:val="20"/>
                <w:szCs w:val="20"/>
                <w:lang w:eastAsia="ru-RU"/>
              </w:rPr>
            </w:pPr>
            <w:r w:rsidRPr="00F938DF">
              <w:rPr>
                <w:rFonts w:ascii="Times New Roman" w:eastAsia="Times New Roman" w:hAnsi="Times New Roman" w:cs="Times New Roman"/>
                <w:b/>
                <w:sz w:val="20"/>
                <w:szCs w:val="20"/>
                <w:lang w:eastAsia="ru-RU"/>
              </w:rPr>
              <w:t>STISC/I.P. „STISC”</w:t>
            </w:r>
          </w:p>
        </w:tc>
        <w:tc>
          <w:tcPr>
            <w:tcW w:w="7168" w:type="dxa"/>
            <w:tcBorders>
              <w:top w:val="nil"/>
              <w:left w:val="single" w:sz="4" w:space="0" w:color="auto"/>
              <w:bottom w:val="single" w:sz="4" w:space="0" w:color="auto"/>
              <w:right w:val="nil"/>
            </w:tcBorders>
            <w:shd w:val="clear" w:color="auto" w:fill="auto"/>
          </w:tcPr>
          <w:p w14:paraId="55349ACF" w14:textId="77777777" w:rsidR="000E07D1" w:rsidRPr="00F938DF" w:rsidRDefault="000E07D1" w:rsidP="00121B98">
            <w:pPr>
              <w:spacing w:after="0" w:line="276" w:lineRule="auto"/>
              <w:jc w:val="both"/>
              <w:rPr>
                <w:rFonts w:ascii="Times New Roman" w:eastAsia="Times New Roman" w:hAnsi="Times New Roman" w:cs="Times New Roman"/>
                <w:sz w:val="20"/>
                <w:szCs w:val="20"/>
                <w:lang w:eastAsia="ru-RU"/>
              </w:rPr>
            </w:pPr>
            <w:r w:rsidRPr="00F938DF">
              <w:rPr>
                <w:rFonts w:ascii="Times New Roman" w:eastAsia="Times New Roman" w:hAnsi="Times New Roman" w:cs="Times New Roman"/>
                <w:sz w:val="20"/>
                <w:szCs w:val="20"/>
                <w:lang w:eastAsia="ru-RU"/>
              </w:rPr>
              <w:t xml:space="preserve">I.P. </w:t>
            </w:r>
            <w:r>
              <w:rPr>
                <w:rFonts w:ascii="Times New Roman" w:eastAsia="Times New Roman" w:hAnsi="Times New Roman" w:cs="Times New Roman"/>
                <w:sz w:val="20"/>
                <w:szCs w:val="20"/>
                <w:lang w:eastAsia="ru-RU"/>
              </w:rPr>
              <w:t>„</w:t>
            </w:r>
            <w:r w:rsidRPr="00F938DF">
              <w:rPr>
                <w:rFonts w:ascii="Times New Roman" w:eastAsia="Times New Roman" w:hAnsi="Times New Roman" w:cs="Times New Roman"/>
                <w:sz w:val="20"/>
                <w:szCs w:val="20"/>
                <w:lang w:eastAsia="ru-RU"/>
              </w:rPr>
              <w:t>Serviciul Tehnologia Informației și Securitate Cibernetică</w:t>
            </w:r>
            <w:r>
              <w:rPr>
                <w:rFonts w:ascii="Times New Roman" w:eastAsia="Times New Roman" w:hAnsi="Times New Roman" w:cs="Times New Roman"/>
                <w:sz w:val="20"/>
                <w:szCs w:val="20"/>
                <w:lang w:eastAsia="ru-RU"/>
              </w:rPr>
              <w:t>”</w:t>
            </w:r>
          </w:p>
        </w:tc>
      </w:tr>
      <w:tr w:rsidR="000E07D1" w:rsidRPr="00F938DF" w14:paraId="63DED727" w14:textId="77777777" w:rsidTr="009F475C">
        <w:tc>
          <w:tcPr>
            <w:tcW w:w="2273" w:type="dxa"/>
            <w:tcBorders>
              <w:top w:val="single" w:sz="4" w:space="0" w:color="auto"/>
              <w:left w:val="nil"/>
              <w:bottom w:val="single" w:sz="4" w:space="0" w:color="auto"/>
              <w:right w:val="single" w:sz="4" w:space="0" w:color="auto"/>
            </w:tcBorders>
            <w:shd w:val="clear" w:color="auto" w:fill="auto"/>
          </w:tcPr>
          <w:p w14:paraId="22FCB16E" w14:textId="77777777" w:rsidR="000E07D1" w:rsidRPr="00F938DF" w:rsidRDefault="000E07D1" w:rsidP="00121B98">
            <w:pPr>
              <w:spacing w:after="0" w:line="276" w:lineRule="auto"/>
              <w:jc w:val="both"/>
              <w:rPr>
                <w:rFonts w:ascii="Times New Roman" w:eastAsia="Times New Roman" w:hAnsi="Times New Roman" w:cs="Times New Roman"/>
                <w:b/>
                <w:sz w:val="20"/>
                <w:szCs w:val="20"/>
                <w:lang w:eastAsia="ru-RU"/>
              </w:rPr>
            </w:pPr>
            <w:r w:rsidRPr="00F938DF">
              <w:rPr>
                <w:rFonts w:ascii="Times New Roman" w:eastAsia="Times New Roman" w:hAnsi="Times New Roman" w:cs="Times New Roman"/>
                <w:b/>
                <w:sz w:val="20"/>
                <w:szCs w:val="20"/>
                <w:lang w:eastAsia="ru-RU"/>
              </w:rPr>
              <w:t>APP</w:t>
            </w:r>
          </w:p>
        </w:tc>
        <w:tc>
          <w:tcPr>
            <w:tcW w:w="7168" w:type="dxa"/>
            <w:tcBorders>
              <w:top w:val="nil"/>
              <w:left w:val="single" w:sz="4" w:space="0" w:color="auto"/>
              <w:bottom w:val="single" w:sz="4" w:space="0" w:color="auto"/>
              <w:right w:val="nil"/>
            </w:tcBorders>
            <w:shd w:val="clear" w:color="auto" w:fill="auto"/>
          </w:tcPr>
          <w:p w14:paraId="532F97C9" w14:textId="77777777" w:rsidR="000E07D1" w:rsidRPr="00F938DF" w:rsidRDefault="000E07D1" w:rsidP="00121B98">
            <w:pPr>
              <w:spacing w:after="0" w:line="276" w:lineRule="auto"/>
              <w:jc w:val="both"/>
              <w:rPr>
                <w:rFonts w:ascii="Times New Roman" w:eastAsia="Times New Roman" w:hAnsi="Times New Roman" w:cs="Times New Roman"/>
                <w:sz w:val="20"/>
                <w:szCs w:val="20"/>
                <w:lang w:eastAsia="ru-RU"/>
              </w:rPr>
            </w:pPr>
            <w:r w:rsidRPr="00F938DF">
              <w:rPr>
                <w:rFonts w:ascii="Times New Roman" w:eastAsia="Times New Roman" w:hAnsi="Times New Roman" w:cs="Times New Roman"/>
                <w:sz w:val="20"/>
                <w:szCs w:val="20"/>
                <w:lang w:eastAsia="ru-RU"/>
              </w:rPr>
              <w:t>Agenția Proprietății Publice</w:t>
            </w:r>
          </w:p>
        </w:tc>
      </w:tr>
      <w:tr w:rsidR="000E07D1" w:rsidRPr="00F938DF" w14:paraId="5E7D07E4" w14:textId="77777777" w:rsidTr="009F475C">
        <w:tc>
          <w:tcPr>
            <w:tcW w:w="2273" w:type="dxa"/>
            <w:tcBorders>
              <w:top w:val="single" w:sz="4" w:space="0" w:color="auto"/>
              <w:left w:val="nil"/>
              <w:bottom w:val="single" w:sz="4" w:space="0" w:color="auto"/>
              <w:right w:val="single" w:sz="4" w:space="0" w:color="auto"/>
            </w:tcBorders>
            <w:shd w:val="clear" w:color="auto" w:fill="auto"/>
          </w:tcPr>
          <w:p w14:paraId="76F0EAE6" w14:textId="77777777" w:rsidR="000E07D1" w:rsidRPr="00F938DF" w:rsidRDefault="000E07D1" w:rsidP="00121B98">
            <w:pPr>
              <w:spacing w:after="0" w:line="276" w:lineRule="auto"/>
              <w:jc w:val="both"/>
              <w:rPr>
                <w:rFonts w:ascii="Times New Roman" w:eastAsia="Times New Roman" w:hAnsi="Times New Roman" w:cs="Times New Roman"/>
                <w:b/>
                <w:sz w:val="20"/>
                <w:szCs w:val="20"/>
                <w:lang w:eastAsia="ru-RU"/>
              </w:rPr>
            </w:pPr>
            <w:r w:rsidRPr="00F938DF">
              <w:rPr>
                <w:rFonts w:ascii="Times New Roman" w:eastAsia="Times New Roman" w:hAnsi="Times New Roman" w:cs="Times New Roman"/>
                <w:b/>
                <w:sz w:val="20"/>
                <w:szCs w:val="20"/>
                <w:lang w:eastAsia="ru-RU"/>
              </w:rPr>
              <w:t>ASP/I.P. „ASP”</w:t>
            </w:r>
          </w:p>
        </w:tc>
        <w:tc>
          <w:tcPr>
            <w:tcW w:w="7168" w:type="dxa"/>
            <w:tcBorders>
              <w:top w:val="single" w:sz="4" w:space="0" w:color="auto"/>
              <w:left w:val="single" w:sz="4" w:space="0" w:color="auto"/>
              <w:bottom w:val="single" w:sz="4" w:space="0" w:color="auto"/>
              <w:right w:val="nil"/>
            </w:tcBorders>
            <w:shd w:val="clear" w:color="auto" w:fill="auto"/>
          </w:tcPr>
          <w:p w14:paraId="137083CD" w14:textId="77777777" w:rsidR="000E07D1" w:rsidRPr="00F938DF" w:rsidRDefault="000E07D1" w:rsidP="00121B98">
            <w:pPr>
              <w:spacing w:after="0" w:line="276" w:lineRule="auto"/>
              <w:jc w:val="both"/>
              <w:rPr>
                <w:rFonts w:ascii="Times New Roman" w:eastAsia="Times New Roman" w:hAnsi="Times New Roman" w:cs="Times New Roman"/>
                <w:sz w:val="20"/>
                <w:szCs w:val="20"/>
                <w:lang w:eastAsia="ru-RU"/>
              </w:rPr>
            </w:pPr>
            <w:r w:rsidRPr="00F938DF">
              <w:rPr>
                <w:rFonts w:ascii="Times New Roman" w:eastAsia="Times New Roman" w:hAnsi="Times New Roman" w:cs="Times New Roman"/>
                <w:sz w:val="20"/>
                <w:szCs w:val="20"/>
                <w:lang w:eastAsia="ru-RU"/>
              </w:rPr>
              <w:t>I</w:t>
            </w:r>
            <w:r>
              <w:rPr>
                <w:rFonts w:ascii="Times New Roman" w:eastAsia="Times New Roman" w:hAnsi="Times New Roman" w:cs="Times New Roman"/>
                <w:sz w:val="20"/>
                <w:szCs w:val="20"/>
                <w:lang w:eastAsia="ru-RU"/>
              </w:rPr>
              <w:t>.</w:t>
            </w:r>
            <w:r w:rsidRPr="00F938DF">
              <w:rPr>
                <w:rFonts w:ascii="Times New Roman" w:eastAsia="Times New Roman" w:hAnsi="Times New Roman" w:cs="Times New Roman"/>
                <w:sz w:val="20"/>
                <w:szCs w:val="20"/>
                <w:lang w:eastAsia="ru-RU"/>
              </w:rPr>
              <w:t>P</w:t>
            </w:r>
            <w:r>
              <w:rPr>
                <w:rFonts w:ascii="Times New Roman" w:eastAsia="Times New Roman" w:hAnsi="Times New Roman" w:cs="Times New Roman"/>
                <w:sz w:val="20"/>
                <w:szCs w:val="20"/>
                <w:lang w:eastAsia="ru-RU"/>
              </w:rPr>
              <w:t>.</w:t>
            </w:r>
            <w:r w:rsidRPr="00F938DF">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w:t>
            </w:r>
            <w:r w:rsidRPr="00F938DF">
              <w:rPr>
                <w:rFonts w:ascii="Times New Roman" w:eastAsia="Times New Roman" w:hAnsi="Times New Roman" w:cs="Times New Roman"/>
                <w:sz w:val="20"/>
                <w:szCs w:val="20"/>
                <w:lang w:eastAsia="ru-RU"/>
              </w:rPr>
              <w:t>Agenția Servicii Publice</w:t>
            </w:r>
            <w:r>
              <w:rPr>
                <w:rFonts w:ascii="Times New Roman" w:eastAsia="Times New Roman" w:hAnsi="Times New Roman" w:cs="Times New Roman"/>
                <w:sz w:val="20"/>
                <w:szCs w:val="20"/>
                <w:lang w:eastAsia="ru-RU"/>
              </w:rPr>
              <w:t>”</w:t>
            </w:r>
          </w:p>
        </w:tc>
      </w:tr>
      <w:tr w:rsidR="000E07D1" w:rsidRPr="00F938DF" w14:paraId="04E1CFCF" w14:textId="77777777" w:rsidTr="009F475C">
        <w:tc>
          <w:tcPr>
            <w:tcW w:w="2273" w:type="dxa"/>
            <w:tcBorders>
              <w:top w:val="single" w:sz="4" w:space="0" w:color="auto"/>
              <w:left w:val="nil"/>
              <w:bottom w:val="single" w:sz="4" w:space="0" w:color="auto"/>
              <w:right w:val="single" w:sz="4" w:space="0" w:color="auto"/>
            </w:tcBorders>
            <w:shd w:val="clear" w:color="auto" w:fill="auto"/>
          </w:tcPr>
          <w:p w14:paraId="7DA4AD69" w14:textId="77777777" w:rsidR="000E07D1" w:rsidRPr="00F938DF" w:rsidRDefault="000E07D1" w:rsidP="00121B98">
            <w:pPr>
              <w:spacing w:after="0" w:line="276" w:lineRule="auto"/>
              <w:jc w:val="both"/>
              <w:rPr>
                <w:rFonts w:ascii="Times New Roman" w:eastAsia="Times New Roman" w:hAnsi="Times New Roman" w:cs="Times New Roman"/>
                <w:b/>
                <w:sz w:val="20"/>
                <w:szCs w:val="20"/>
                <w:lang w:eastAsia="ru-RU"/>
              </w:rPr>
            </w:pPr>
            <w:r w:rsidRPr="00F938DF">
              <w:rPr>
                <w:rFonts w:ascii="Times New Roman" w:eastAsia="Times New Roman" w:hAnsi="Times New Roman" w:cs="Times New Roman"/>
                <w:b/>
                <w:sz w:val="20"/>
                <w:szCs w:val="20"/>
                <w:lang w:eastAsia="ru-RU"/>
              </w:rPr>
              <w:t>HG</w:t>
            </w:r>
          </w:p>
        </w:tc>
        <w:tc>
          <w:tcPr>
            <w:tcW w:w="7168" w:type="dxa"/>
            <w:tcBorders>
              <w:top w:val="single" w:sz="4" w:space="0" w:color="auto"/>
              <w:left w:val="single" w:sz="4" w:space="0" w:color="auto"/>
              <w:bottom w:val="single" w:sz="4" w:space="0" w:color="auto"/>
              <w:right w:val="nil"/>
            </w:tcBorders>
            <w:shd w:val="clear" w:color="auto" w:fill="auto"/>
          </w:tcPr>
          <w:p w14:paraId="319D9174" w14:textId="77777777" w:rsidR="000E07D1" w:rsidRPr="00F938DF" w:rsidRDefault="000E07D1" w:rsidP="00121B98">
            <w:pPr>
              <w:spacing w:after="0" w:line="276" w:lineRule="auto"/>
              <w:jc w:val="both"/>
              <w:rPr>
                <w:rFonts w:ascii="Times New Roman" w:eastAsia="Times New Roman" w:hAnsi="Times New Roman" w:cs="Times New Roman"/>
                <w:sz w:val="20"/>
                <w:szCs w:val="20"/>
                <w:lang w:eastAsia="ru-RU"/>
              </w:rPr>
            </w:pPr>
            <w:r w:rsidRPr="00F938DF">
              <w:rPr>
                <w:rFonts w:ascii="Times New Roman" w:eastAsia="Times New Roman" w:hAnsi="Times New Roman" w:cs="Times New Roman"/>
                <w:sz w:val="20"/>
                <w:szCs w:val="20"/>
                <w:lang w:eastAsia="ru-RU"/>
              </w:rPr>
              <w:t>Hotărârea Guvernului</w:t>
            </w:r>
          </w:p>
        </w:tc>
      </w:tr>
      <w:tr w:rsidR="000E07D1" w:rsidRPr="00F938DF" w14:paraId="63529C5F" w14:textId="77777777" w:rsidTr="009F475C">
        <w:tc>
          <w:tcPr>
            <w:tcW w:w="2273" w:type="dxa"/>
            <w:tcBorders>
              <w:top w:val="single" w:sz="4" w:space="0" w:color="auto"/>
              <w:left w:val="nil"/>
              <w:bottom w:val="single" w:sz="4" w:space="0" w:color="auto"/>
              <w:right w:val="single" w:sz="4" w:space="0" w:color="auto"/>
            </w:tcBorders>
            <w:shd w:val="clear" w:color="auto" w:fill="auto"/>
          </w:tcPr>
          <w:p w14:paraId="65EDE24F" w14:textId="77777777" w:rsidR="000E07D1" w:rsidRPr="00F938DF" w:rsidRDefault="000E07D1" w:rsidP="00121B98">
            <w:pPr>
              <w:spacing w:after="0" w:line="276" w:lineRule="auto"/>
              <w:jc w:val="both"/>
              <w:rPr>
                <w:rFonts w:ascii="Times New Roman" w:eastAsia="Times New Roman" w:hAnsi="Times New Roman" w:cs="Times New Roman"/>
                <w:b/>
                <w:sz w:val="20"/>
                <w:szCs w:val="20"/>
                <w:lang w:eastAsia="ru-RU"/>
              </w:rPr>
            </w:pPr>
            <w:r w:rsidRPr="00F938DF">
              <w:rPr>
                <w:rFonts w:ascii="Times New Roman" w:eastAsia="Times New Roman" w:hAnsi="Times New Roman" w:cs="Times New Roman"/>
                <w:b/>
                <w:sz w:val="20"/>
                <w:szCs w:val="20"/>
                <w:lang w:eastAsia="ru-RU"/>
              </w:rPr>
              <w:t>HCC</w:t>
            </w:r>
          </w:p>
        </w:tc>
        <w:tc>
          <w:tcPr>
            <w:tcW w:w="7168" w:type="dxa"/>
            <w:tcBorders>
              <w:top w:val="single" w:sz="4" w:space="0" w:color="auto"/>
              <w:left w:val="single" w:sz="4" w:space="0" w:color="auto"/>
              <w:bottom w:val="single" w:sz="4" w:space="0" w:color="auto"/>
              <w:right w:val="nil"/>
            </w:tcBorders>
            <w:shd w:val="clear" w:color="auto" w:fill="auto"/>
          </w:tcPr>
          <w:p w14:paraId="720FCDAF" w14:textId="77777777" w:rsidR="000E07D1" w:rsidRPr="00F938DF" w:rsidRDefault="000E07D1" w:rsidP="00121B98">
            <w:pPr>
              <w:spacing w:after="0" w:line="276" w:lineRule="auto"/>
              <w:jc w:val="both"/>
              <w:rPr>
                <w:rFonts w:ascii="Times New Roman" w:eastAsia="Times New Roman" w:hAnsi="Times New Roman" w:cs="Times New Roman"/>
                <w:sz w:val="20"/>
                <w:szCs w:val="20"/>
                <w:lang w:eastAsia="ru-RU"/>
              </w:rPr>
            </w:pPr>
            <w:r w:rsidRPr="00F938DF">
              <w:rPr>
                <w:rFonts w:ascii="Times New Roman" w:eastAsia="Times New Roman" w:hAnsi="Times New Roman" w:cs="Times New Roman"/>
                <w:sz w:val="20"/>
                <w:szCs w:val="20"/>
                <w:lang w:eastAsia="ru-RU"/>
              </w:rPr>
              <w:t>Hotărârea Curții de Conturi</w:t>
            </w:r>
          </w:p>
        </w:tc>
      </w:tr>
      <w:tr w:rsidR="000E07D1" w:rsidRPr="00F938DF" w14:paraId="36598503" w14:textId="77777777" w:rsidTr="009F475C">
        <w:tc>
          <w:tcPr>
            <w:tcW w:w="2273" w:type="dxa"/>
            <w:tcBorders>
              <w:top w:val="single" w:sz="4" w:space="0" w:color="auto"/>
              <w:left w:val="nil"/>
              <w:bottom w:val="single" w:sz="4" w:space="0" w:color="auto"/>
              <w:right w:val="single" w:sz="4" w:space="0" w:color="auto"/>
            </w:tcBorders>
            <w:shd w:val="clear" w:color="auto" w:fill="auto"/>
          </w:tcPr>
          <w:p w14:paraId="7345D4A1" w14:textId="77777777" w:rsidR="000E07D1" w:rsidRPr="00F938DF" w:rsidRDefault="000E07D1" w:rsidP="00121B98">
            <w:pPr>
              <w:spacing w:after="0" w:line="276" w:lineRule="auto"/>
              <w:jc w:val="both"/>
              <w:rPr>
                <w:rFonts w:ascii="Times New Roman" w:eastAsia="Times New Roman" w:hAnsi="Times New Roman" w:cs="Times New Roman"/>
                <w:b/>
                <w:sz w:val="20"/>
                <w:szCs w:val="20"/>
                <w:lang w:eastAsia="ru-RU"/>
              </w:rPr>
            </w:pPr>
            <w:r w:rsidRPr="00F938DF">
              <w:rPr>
                <w:rFonts w:ascii="Times New Roman" w:eastAsia="Times New Roman" w:hAnsi="Times New Roman" w:cs="Times New Roman"/>
                <w:b/>
                <w:sz w:val="20"/>
                <w:szCs w:val="20"/>
                <w:lang w:eastAsia="ru-RU"/>
              </w:rPr>
              <w:t>CIM</w:t>
            </w:r>
          </w:p>
        </w:tc>
        <w:tc>
          <w:tcPr>
            <w:tcW w:w="7168" w:type="dxa"/>
            <w:tcBorders>
              <w:top w:val="single" w:sz="4" w:space="0" w:color="auto"/>
              <w:left w:val="single" w:sz="4" w:space="0" w:color="auto"/>
              <w:bottom w:val="single" w:sz="4" w:space="0" w:color="auto"/>
              <w:right w:val="nil"/>
            </w:tcBorders>
            <w:shd w:val="clear" w:color="auto" w:fill="auto"/>
          </w:tcPr>
          <w:p w14:paraId="58FB28CF" w14:textId="77777777" w:rsidR="000E07D1" w:rsidRPr="00F938DF" w:rsidRDefault="000E07D1" w:rsidP="00121B98">
            <w:pPr>
              <w:spacing w:after="0" w:line="276" w:lineRule="auto"/>
              <w:jc w:val="both"/>
              <w:rPr>
                <w:rFonts w:ascii="Times New Roman" w:eastAsia="Times New Roman" w:hAnsi="Times New Roman" w:cs="Times New Roman"/>
                <w:sz w:val="20"/>
                <w:szCs w:val="20"/>
                <w:lang w:eastAsia="ru-RU"/>
              </w:rPr>
            </w:pPr>
            <w:r w:rsidRPr="00F938DF">
              <w:rPr>
                <w:rFonts w:ascii="Times New Roman" w:eastAsia="Times New Roman" w:hAnsi="Times New Roman" w:cs="Times New Roman"/>
                <w:sz w:val="20"/>
                <w:szCs w:val="20"/>
                <w:lang w:eastAsia="ru-RU"/>
              </w:rPr>
              <w:t>Control intern managerial</w:t>
            </w:r>
          </w:p>
        </w:tc>
      </w:tr>
      <w:tr w:rsidR="000E07D1" w:rsidRPr="00F938DF" w14:paraId="4AE75FE7" w14:textId="77777777" w:rsidTr="009F475C">
        <w:tc>
          <w:tcPr>
            <w:tcW w:w="2273" w:type="dxa"/>
            <w:tcBorders>
              <w:top w:val="single" w:sz="4" w:space="0" w:color="auto"/>
              <w:left w:val="nil"/>
              <w:bottom w:val="single" w:sz="4" w:space="0" w:color="auto"/>
              <w:right w:val="single" w:sz="4" w:space="0" w:color="auto"/>
            </w:tcBorders>
            <w:shd w:val="clear" w:color="auto" w:fill="auto"/>
          </w:tcPr>
          <w:p w14:paraId="23508894" w14:textId="77777777" w:rsidR="000E07D1" w:rsidRPr="00F938DF" w:rsidRDefault="000E07D1" w:rsidP="00121B98">
            <w:pPr>
              <w:spacing w:after="0" w:line="276" w:lineRule="auto"/>
              <w:jc w:val="both"/>
              <w:rPr>
                <w:rFonts w:ascii="Times New Roman" w:eastAsia="Times New Roman" w:hAnsi="Times New Roman" w:cs="Times New Roman"/>
                <w:b/>
                <w:sz w:val="20"/>
                <w:szCs w:val="20"/>
                <w:lang w:eastAsia="ru-RU"/>
              </w:rPr>
            </w:pPr>
            <w:r w:rsidRPr="00F938DF">
              <w:rPr>
                <w:rFonts w:ascii="Times New Roman" w:eastAsia="Times New Roman" w:hAnsi="Times New Roman" w:cs="Times New Roman"/>
                <w:b/>
                <w:sz w:val="20"/>
                <w:szCs w:val="20"/>
                <w:lang w:eastAsia="ru-RU"/>
              </w:rPr>
              <w:t>I</w:t>
            </w:r>
            <w:r>
              <w:rPr>
                <w:rFonts w:ascii="Times New Roman" w:eastAsia="Times New Roman" w:hAnsi="Times New Roman" w:cs="Times New Roman"/>
                <w:b/>
                <w:sz w:val="20"/>
                <w:szCs w:val="20"/>
                <w:lang w:eastAsia="ru-RU"/>
              </w:rPr>
              <w:t>.</w:t>
            </w:r>
            <w:r w:rsidRPr="00F938DF">
              <w:rPr>
                <w:rFonts w:ascii="Times New Roman" w:eastAsia="Times New Roman" w:hAnsi="Times New Roman" w:cs="Times New Roman"/>
                <w:b/>
                <w:sz w:val="20"/>
                <w:szCs w:val="20"/>
                <w:lang w:eastAsia="ru-RU"/>
              </w:rPr>
              <w:t>P</w:t>
            </w:r>
            <w:r>
              <w:rPr>
                <w:rFonts w:ascii="Times New Roman" w:eastAsia="Times New Roman" w:hAnsi="Times New Roman" w:cs="Times New Roman"/>
                <w:b/>
                <w:sz w:val="20"/>
                <w:szCs w:val="20"/>
                <w:lang w:eastAsia="ru-RU"/>
              </w:rPr>
              <w:t>.</w:t>
            </w:r>
          </w:p>
        </w:tc>
        <w:tc>
          <w:tcPr>
            <w:tcW w:w="7168" w:type="dxa"/>
            <w:tcBorders>
              <w:top w:val="single" w:sz="4" w:space="0" w:color="auto"/>
              <w:left w:val="single" w:sz="4" w:space="0" w:color="auto"/>
              <w:bottom w:val="single" w:sz="4" w:space="0" w:color="auto"/>
              <w:right w:val="nil"/>
            </w:tcBorders>
            <w:shd w:val="clear" w:color="auto" w:fill="auto"/>
          </w:tcPr>
          <w:p w14:paraId="639449FD" w14:textId="77777777" w:rsidR="000E07D1" w:rsidRPr="00F938DF" w:rsidRDefault="000E07D1" w:rsidP="00121B98">
            <w:pPr>
              <w:spacing w:after="0" w:line="276" w:lineRule="auto"/>
              <w:jc w:val="both"/>
              <w:rPr>
                <w:rFonts w:ascii="Times New Roman" w:eastAsia="Times New Roman" w:hAnsi="Times New Roman" w:cs="Times New Roman"/>
                <w:sz w:val="20"/>
                <w:szCs w:val="20"/>
                <w:lang w:val="en-US" w:eastAsia="ru-RU"/>
              </w:rPr>
            </w:pPr>
            <w:r w:rsidRPr="00F938DF">
              <w:rPr>
                <w:rFonts w:ascii="Times New Roman" w:eastAsia="Times New Roman" w:hAnsi="Times New Roman" w:cs="Times New Roman"/>
                <w:sz w:val="20"/>
                <w:szCs w:val="20"/>
                <w:lang w:eastAsia="ru-RU"/>
              </w:rPr>
              <w:t>Instituți</w:t>
            </w:r>
            <w:r>
              <w:rPr>
                <w:rFonts w:ascii="Times New Roman" w:eastAsia="Times New Roman" w:hAnsi="Times New Roman" w:cs="Times New Roman"/>
                <w:sz w:val="20"/>
                <w:szCs w:val="20"/>
                <w:lang w:eastAsia="ru-RU"/>
              </w:rPr>
              <w:t>e</w:t>
            </w:r>
            <w:r w:rsidRPr="00F938DF">
              <w:rPr>
                <w:rFonts w:ascii="Times New Roman" w:eastAsia="Times New Roman" w:hAnsi="Times New Roman" w:cs="Times New Roman"/>
                <w:sz w:val="20"/>
                <w:szCs w:val="20"/>
                <w:lang w:eastAsia="ru-RU"/>
              </w:rPr>
              <w:t xml:space="preserve"> public</w:t>
            </w:r>
            <w:r>
              <w:rPr>
                <w:rFonts w:ascii="Times New Roman" w:eastAsia="Times New Roman" w:hAnsi="Times New Roman" w:cs="Times New Roman"/>
                <w:sz w:val="20"/>
                <w:szCs w:val="20"/>
                <w:lang w:eastAsia="ru-RU"/>
              </w:rPr>
              <w:t>ă</w:t>
            </w:r>
          </w:p>
        </w:tc>
      </w:tr>
      <w:tr w:rsidR="000F096B" w:rsidRPr="00F938DF" w14:paraId="5EE8BB8B" w14:textId="77777777" w:rsidTr="009F475C">
        <w:tc>
          <w:tcPr>
            <w:tcW w:w="2273" w:type="dxa"/>
            <w:tcBorders>
              <w:top w:val="single" w:sz="4" w:space="0" w:color="auto"/>
              <w:left w:val="nil"/>
              <w:bottom w:val="single" w:sz="4" w:space="0" w:color="auto"/>
              <w:right w:val="single" w:sz="4" w:space="0" w:color="auto"/>
            </w:tcBorders>
            <w:shd w:val="clear" w:color="auto" w:fill="auto"/>
          </w:tcPr>
          <w:p w14:paraId="455DB952" w14:textId="6FDF7212" w:rsidR="000F096B" w:rsidRPr="00F938DF" w:rsidRDefault="000F096B" w:rsidP="00121B98">
            <w:pPr>
              <w:spacing w:after="0" w:line="276" w:lineRule="auto"/>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SI/SIA</w:t>
            </w:r>
          </w:p>
        </w:tc>
        <w:tc>
          <w:tcPr>
            <w:tcW w:w="7168" w:type="dxa"/>
            <w:tcBorders>
              <w:top w:val="single" w:sz="4" w:space="0" w:color="auto"/>
              <w:left w:val="single" w:sz="4" w:space="0" w:color="auto"/>
              <w:bottom w:val="single" w:sz="4" w:space="0" w:color="auto"/>
              <w:right w:val="nil"/>
            </w:tcBorders>
            <w:shd w:val="clear" w:color="auto" w:fill="auto"/>
          </w:tcPr>
          <w:p w14:paraId="379B6119" w14:textId="00B963AF" w:rsidR="000F096B" w:rsidRPr="00F938DF" w:rsidRDefault="000F096B" w:rsidP="00121B98">
            <w:pPr>
              <w:spacing w:after="0" w:line="276"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Sistem informațional automatizat</w:t>
            </w:r>
          </w:p>
        </w:tc>
      </w:tr>
    </w:tbl>
    <w:p w14:paraId="24839D5B" w14:textId="31A0A073" w:rsidR="00015BF3" w:rsidRDefault="00015BF3" w:rsidP="00E93970">
      <w:pPr>
        <w:pStyle w:val="1"/>
        <w:spacing w:after="120" w:line="276" w:lineRule="auto"/>
        <w:rPr>
          <w:rFonts w:ascii="Times New Roman" w:hAnsi="Times New Roman" w:cs="Times New Roman"/>
          <w:b/>
          <w:color w:val="auto"/>
          <w:sz w:val="24"/>
          <w:szCs w:val="24"/>
          <w:shd w:val="clear" w:color="auto" w:fill="FFFFFF"/>
        </w:rPr>
      </w:pPr>
      <w:bookmarkStart w:id="5" w:name="_Toc125470829"/>
      <w:bookmarkStart w:id="6" w:name="_Toc127032650"/>
      <w:bookmarkStart w:id="7" w:name="_Toc141374104"/>
      <w:bookmarkStart w:id="8" w:name="_Toc158015912"/>
      <w:r w:rsidRPr="000113C4">
        <w:rPr>
          <w:rFonts w:ascii="Times New Roman" w:hAnsi="Times New Roman" w:cs="Times New Roman"/>
          <w:b/>
          <w:color w:val="auto"/>
          <w:sz w:val="24"/>
          <w:szCs w:val="24"/>
          <w:shd w:val="clear" w:color="auto" w:fill="FFFFFF"/>
        </w:rPr>
        <w:t>GLOSAR</w:t>
      </w:r>
      <w:bookmarkEnd w:id="5"/>
      <w:bookmarkEnd w:id="6"/>
      <w:bookmarkEnd w:id="7"/>
      <w:bookmarkEnd w:id="8"/>
    </w:p>
    <w:tbl>
      <w:tblPr>
        <w:tblW w:w="9498" w:type="dxa"/>
        <w:tblBorders>
          <w:insideH w:val="single" w:sz="4" w:space="0" w:color="auto"/>
          <w:insideV w:val="single" w:sz="4" w:space="0" w:color="auto"/>
        </w:tblBorders>
        <w:tblLook w:val="04A0" w:firstRow="1" w:lastRow="0" w:firstColumn="1" w:lastColumn="0" w:noHBand="0" w:noVBand="1"/>
      </w:tblPr>
      <w:tblGrid>
        <w:gridCol w:w="2268"/>
        <w:gridCol w:w="7230"/>
      </w:tblGrid>
      <w:tr w:rsidR="000E07D1" w:rsidRPr="000113C4" w14:paraId="2F4889F8" w14:textId="77777777" w:rsidTr="00753EA2">
        <w:tc>
          <w:tcPr>
            <w:tcW w:w="2268" w:type="dxa"/>
          </w:tcPr>
          <w:p w14:paraId="363F61E3" w14:textId="77777777" w:rsidR="000E07D1" w:rsidRPr="000113C4" w:rsidRDefault="000E07D1" w:rsidP="00D02FF5">
            <w:pPr>
              <w:spacing w:line="276" w:lineRule="auto"/>
              <w:rPr>
                <w:rFonts w:ascii="Times New Roman" w:hAnsi="Times New Roman" w:cs="Times New Roman"/>
                <w:b/>
                <w:sz w:val="20"/>
                <w:szCs w:val="20"/>
              </w:rPr>
            </w:pPr>
            <w:r w:rsidRPr="000113C4">
              <w:rPr>
                <w:rFonts w:ascii="Times New Roman" w:hAnsi="Times New Roman" w:cs="Times New Roman"/>
                <w:b/>
                <w:sz w:val="20"/>
                <w:szCs w:val="20"/>
              </w:rPr>
              <w:t>Autoritate/instituție publică la autogestiune </w:t>
            </w:r>
          </w:p>
        </w:tc>
        <w:tc>
          <w:tcPr>
            <w:tcW w:w="7230" w:type="dxa"/>
          </w:tcPr>
          <w:p w14:paraId="389B0CD8" w14:textId="77777777" w:rsidR="000E07D1" w:rsidRPr="000113C4" w:rsidRDefault="000E07D1" w:rsidP="00BD6B0F">
            <w:pPr>
              <w:spacing w:after="0" w:line="276" w:lineRule="auto"/>
              <w:jc w:val="both"/>
              <w:rPr>
                <w:rFonts w:ascii="Times New Roman" w:hAnsi="Times New Roman" w:cs="Times New Roman"/>
                <w:sz w:val="20"/>
                <w:szCs w:val="20"/>
              </w:rPr>
            </w:pPr>
            <w:r>
              <w:rPr>
                <w:rFonts w:ascii="Times New Roman" w:hAnsi="Times New Roman" w:cs="Times New Roman"/>
                <w:sz w:val="20"/>
                <w:szCs w:val="20"/>
              </w:rPr>
              <w:t>e</w:t>
            </w:r>
            <w:r w:rsidRPr="000113C4">
              <w:rPr>
                <w:rFonts w:ascii="Times New Roman" w:hAnsi="Times New Roman" w:cs="Times New Roman"/>
                <w:sz w:val="20"/>
                <w:szCs w:val="20"/>
              </w:rPr>
              <w:t>ntitate de drept public care, potrivit actului normativ prin care a fost fondată, desfășoară activitate necomercială (nonprofit) şi activează în baza principiilor de autogestiune.</w:t>
            </w:r>
          </w:p>
        </w:tc>
      </w:tr>
      <w:tr w:rsidR="000E07D1" w:rsidRPr="000113C4" w14:paraId="206F9D2A" w14:textId="77777777" w:rsidTr="00753EA2">
        <w:tc>
          <w:tcPr>
            <w:tcW w:w="2268" w:type="dxa"/>
          </w:tcPr>
          <w:p w14:paraId="0CE1BE39" w14:textId="77777777" w:rsidR="000E07D1" w:rsidRPr="000113C4" w:rsidRDefault="000E07D1" w:rsidP="00D02FF5">
            <w:pPr>
              <w:spacing w:line="276" w:lineRule="auto"/>
              <w:rPr>
                <w:rFonts w:ascii="Times New Roman" w:hAnsi="Times New Roman" w:cs="Times New Roman"/>
                <w:b/>
                <w:sz w:val="20"/>
                <w:szCs w:val="20"/>
              </w:rPr>
            </w:pPr>
            <w:r w:rsidRPr="000113C4">
              <w:rPr>
                <w:rFonts w:ascii="Times New Roman" w:hAnsi="Times New Roman" w:cs="Times New Roman"/>
                <w:b/>
                <w:sz w:val="20"/>
                <w:szCs w:val="20"/>
              </w:rPr>
              <w:t>Patrimoniu public</w:t>
            </w:r>
          </w:p>
        </w:tc>
        <w:tc>
          <w:tcPr>
            <w:tcW w:w="7230" w:type="dxa"/>
          </w:tcPr>
          <w:p w14:paraId="4B4B3CFD" w14:textId="77777777" w:rsidR="000E07D1" w:rsidRPr="000113C4" w:rsidRDefault="000E07D1" w:rsidP="00BD6B0F">
            <w:pPr>
              <w:spacing w:after="0" w:line="276" w:lineRule="auto"/>
              <w:jc w:val="both"/>
              <w:rPr>
                <w:rFonts w:ascii="Times New Roman" w:hAnsi="Times New Roman" w:cs="Times New Roman"/>
                <w:sz w:val="20"/>
                <w:szCs w:val="20"/>
              </w:rPr>
            </w:pPr>
            <w:r>
              <w:rPr>
                <w:rFonts w:ascii="Times New Roman" w:hAnsi="Times New Roman" w:cs="Times New Roman"/>
                <w:sz w:val="20"/>
                <w:szCs w:val="20"/>
              </w:rPr>
              <w:t>t</w:t>
            </w:r>
            <w:r w:rsidRPr="000113C4">
              <w:rPr>
                <w:rFonts w:ascii="Times New Roman" w:hAnsi="Times New Roman" w:cs="Times New Roman"/>
                <w:sz w:val="20"/>
                <w:szCs w:val="20"/>
              </w:rPr>
              <w:t>otalitatea drepturilor și a obligațiilor cu valoare economică, precum și a bunurilor materiale la care se referă aceste drepturi, care aparțin unui subiect de drept public</w:t>
            </w:r>
            <w:r>
              <w:rPr>
                <w:rFonts w:ascii="Times New Roman" w:hAnsi="Times New Roman" w:cs="Times New Roman"/>
                <w:sz w:val="20"/>
                <w:szCs w:val="20"/>
              </w:rPr>
              <w:t>.</w:t>
            </w:r>
          </w:p>
        </w:tc>
      </w:tr>
      <w:tr w:rsidR="000E07D1" w:rsidRPr="000113C4" w14:paraId="6A451EA5" w14:textId="77777777" w:rsidTr="00753EA2">
        <w:tc>
          <w:tcPr>
            <w:tcW w:w="2268" w:type="dxa"/>
          </w:tcPr>
          <w:p w14:paraId="74ED1345" w14:textId="77777777" w:rsidR="000E07D1" w:rsidRPr="000113C4" w:rsidRDefault="000E07D1" w:rsidP="00D02FF5">
            <w:pPr>
              <w:spacing w:line="276" w:lineRule="auto"/>
              <w:rPr>
                <w:rFonts w:ascii="Times New Roman" w:hAnsi="Times New Roman" w:cs="Times New Roman"/>
                <w:b/>
                <w:sz w:val="20"/>
                <w:szCs w:val="20"/>
              </w:rPr>
            </w:pPr>
            <w:r w:rsidRPr="000113C4">
              <w:rPr>
                <w:rFonts w:ascii="Times New Roman" w:hAnsi="Times New Roman" w:cs="Times New Roman"/>
                <w:b/>
                <w:sz w:val="20"/>
                <w:szCs w:val="20"/>
              </w:rPr>
              <w:t>Administrare a patrimoniului public</w:t>
            </w:r>
          </w:p>
        </w:tc>
        <w:tc>
          <w:tcPr>
            <w:tcW w:w="7230" w:type="dxa"/>
          </w:tcPr>
          <w:p w14:paraId="4609350D" w14:textId="77777777" w:rsidR="000E07D1" w:rsidRPr="000113C4" w:rsidRDefault="000E07D1" w:rsidP="00BD6B0F">
            <w:pPr>
              <w:spacing w:after="0" w:line="276" w:lineRule="auto"/>
              <w:jc w:val="both"/>
              <w:rPr>
                <w:rFonts w:ascii="Times New Roman" w:hAnsi="Times New Roman" w:cs="Times New Roman"/>
                <w:sz w:val="20"/>
                <w:szCs w:val="20"/>
              </w:rPr>
            </w:pPr>
            <w:r w:rsidRPr="000113C4">
              <w:rPr>
                <w:rFonts w:ascii="Times New Roman" w:hAnsi="Times New Roman" w:cs="Times New Roman"/>
                <w:sz w:val="20"/>
                <w:szCs w:val="20"/>
              </w:rPr>
              <w:t>realizarea activităților ce țin de exercitarea și modificarea drepturilor de proprietate, inclusiv prin ținerea evidenței acest</w:t>
            </w:r>
            <w:r>
              <w:rPr>
                <w:rFonts w:ascii="Times New Roman" w:hAnsi="Times New Roman" w:cs="Times New Roman"/>
                <w:sz w:val="20"/>
                <w:szCs w:val="20"/>
              </w:rPr>
              <w:t>ora</w:t>
            </w:r>
            <w:r w:rsidRPr="000113C4">
              <w:rPr>
                <w:rFonts w:ascii="Times New Roman" w:hAnsi="Times New Roman" w:cs="Times New Roman"/>
                <w:sz w:val="20"/>
                <w:szCs w:val="20"/>
              </w:rPr>
              <w:t>, efectuarea monitoringului economico-financiar și asigurarea integrității și folosirii lui eficiente.</w:t>
            </w:r>
          </w:p>
        </w:tc>
      </w:tr>
      <w:tr w:rsidR="000E07D1" w:rsidRPr="000113C4" w14:paraId="39C66DB8" w14:textId="77777777" w:rsidTr="00753EA2">
        <w:tc>
          <w:tcPr>
            <w:tcW w:w="2268" w:type="dxa"/>
          </w:tcPr>
          <w:p w14:paraId="78B5817F" w14:textId="77777777" w:rsidR="000E07D1" w:rsidRPr="000113C4" w:rsidRDefault="000E07D1" w:rsidP="00D02FF5">
            <w:pPr>
              <w:spacing w:line="276" w:lineRule="auto"/>
              <w:rPr>
                <w:rFonts w:ascii="Times New Roman" w:hAnsi="Times New Roman" w:cs="Times New Roman"/>
                <w:b/>
                <w:sz w:val="20"/>
                <w:szCs w:val="20"/>
              </w:rPr>
            </w:pPr>
            <w:r w:rsidRPr="000113C4">
              <w:rPr>
                <w:rFonts w:ascii="Times New Roman" w:hAnsi="Times New Roman" w:cs="Times New Roman"/>
                <w:b/>
                <w:sz w:val="20"/>
                <w:szCs w:val="20"/>
              </w:rPr>
              <w:t>Contract de administrare fiduciară</w:t>
            </w:r>
          </w:p>
        </w:tc>
        <w:tc>
          <w:tcPr>
            <w:tcW w:w="7230" w:type="dxa"/>
          </w:tcPr>
          <w:p w14:paraId="6635D201" w14:textId="26719C5C" w:rsidR="000E07D1" w:rsidRPr="000113C4" w:rsidRDefault="000E07D1" w:rsidP="00BD6B0F">
            <w:pPr>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acord prin care </w:t>
            </w:r>
            <w:r w:rsidRPr="000113C4">
              <w:rPr>
                <w:rFonts w:ascii="Times New Roman" w:hAnsi="Times New Roman" w:cs="Times New Roman"/>
                <w:sz w:val="20"/>
                <w:szCs w:val="20"/>
              </w:rPr>
              <w:t xml:space="preserve">o parte (fondator al administrării, fiduciant) predă bunuri în administrare fiduciară celeilalte </w:t>
            </w:r>
            <w:r w:rsidR="00BD6B0F" w:rsidRPr="000113C4">
              <w:rPr>
                <w:rFonts w:ascii="Times New Roman" w:hAnsi="Times New Roman" w:cs="Times New Roman"/>
                <w:sz w:val="20"/>
                <w:szCs w:val="20"/>
              </w:rPr>
              <w:t>părți</w:t>
            </w:r>
            <w:r w:rsidRPr="000113C4">
              <w:rPr>
                <w:rFonts w:ascii="Times New Roman" w:hAnsi="Times New Roman" w:cs="Times New Roman"/>
                <w:sz w:val="20"/>
                <w:szCs w:val="20"/>
              </w:rPr>
              <w:t xml:space="preserve"> (administrator fiduciar), iar aceasta se obligă să administreze patrimoniul în interesul fondatorului administrării.</w:t>
            </w:r>
          </w:p>
        </w:tc>
      </w:tr>
      <w:tr w:rsidR="000E07D1" w:rsidRPr="000113C4" w14:paraId="152DCEBB" w14:textId="77777777" w:rsidTr="00753EA2">
        <w:tc>
          <w:tcPr>
            <w:tcW w:w="2268" w:type="dxa"/>
          </w:tcPr>
          <w:p w14:paraId="0C6C0144" w14:textId="77777777" w:rsidR="000E07D1" w:rsidRPr="000113C4" w:rsidRDefault="000E07D1" w:rsidP="00D02FF5">
            <w:pPr>
              <w:spacing w:line="276" w:lineRule="auto"/>
              <w:rPr>
                <w:rFonts w:ascii="Times New Roman" w:hAnsi="Times New Roman" w:cs="Times New Roman"/>
                <w:b/>
                <w:sz w:val="20"/>
                <w:szCs w:val="20"/>
              </w:rPr>
            </w:pPr>
            <w:r w:rsidRPr="000113C4">
              <w:rPr>
                <w:rFonts w:ascii="Times New Roman" w:hAnsi="Times New Roman" w:cs="Times New Roman"/>
                <w:b/>
                <w:sz w:val="20"/>
                <w:szCs w:val="20"/>
              </w:rPr>
              <w:t>Operator economic</w:t>
            </w:r>
          </w:p>
        </w:tc>
        <w:tc>
          <w:tcPr>
            <w:tcW w:w="7230" w:type="dxa"/>
          </w:tcPr>
          <w:p w14:paraId="267943E1" w14:textId="77777777" w:rsidR="000E07D1" w:rsidRPr="000113C4" w:rsidRDefault="000E07D1" w:rsidP="00BD6B0F">
            <w:pPr>
              <w:spacing w:after="0" w:line="276" w:lineRule="auto"/>
              <w:jc w:val="both"/>
              <w:rPr>
                <w:rFonts w:ascii="Times New Roman" w:hAnsi="Times New Roman" w:cs="Times New Roman"/>
                <w:sz w:val="20"/>
                <w:szCs w:val="20"/>
              </w:rPr>
            </w:pPr>
            <w:r>
              <w:rPr>
                <w:rFonts w:ascii="Times New Roman" w:hAnsi="Times New Roman" w:cs="Times New Roman"/>
                <w:sz w:val="20"/>
                <w:szCs w:val="20"/>
              </w:rPr>
              <w:t>o</w:t>
            </w:r>
            <w:r w:rsidRPr="000113C4">
              <w:rPr>
                <w:rFonts w:ascii="Times New Roman" w:hAnsi="Times New Roman" w:cs="Times New Roman"/>
                <w:sz w:val="20"/>
                <w:szCs w:val="20"/>
              </w:rPr>
              <w:t>rice persoană fizică sau juridică, orice entitate publică sau asociație a acestor persoane și/sau entități care furnizează bunuri, execută lucrări și/sau prestează servicii pe piață</w:t>
            </w:r>
            <w:r>
              <w:rPr>
                <w:rFonts w:ascii="Times New Roman" w:hAnsi="Times New Roman" w:cs="Times New Roman"/>
                <w:sz w:val="20"/>
                <w:szCs w:val="20"/>
              </w:rPr>
              <w:t>.</w:t>
            </w:r>
          </w:p>
        </w:tc>
      </w:tr>
      <w:tr w:rsidR="000E07D1" w:rsidRPr="000113C4" w14:paraId="4DEA5089" w14:textId="77777777" w:rsidTr="00753EA2">
        <w:tc>
          <w:tcPr>
            <w:tcW w:w="2268" w:type="dxa"/>
          </w:tcPr>
          <w:p w14:paraId="1960940F" w14:textId="77777777" w:rsidR="000E07D1" w:rsidRPr="000113C4" w:rsidRDefault="000E07D1" w:rsidP="00D02FF5">
            <w:pPr>
              <w:spacing w:line="276" w:lineRule="auto"/>
              <w:rPr>
                <w:rFonts w:ascii="Times New Roman" w:hAnsi="Times New Roman" w:cs="Times New Roman"/>
                <w:b/>
                <w:sz w:val="20"/>
                <w:szCs w:val="20"/>
              </w:rPr>
            </w:pPr>
            <w:r w:rsidRPr="000113C4">
              <w:rPr>
                <w:rFonts w:ascii="Times New Roman" w:hAnsi="Times New Roman" w:cs="Times New Roman"/>
                <w:b/>
                <w:sz w:val="20"/>
                <w:szCs w:val="20"/>
              </w:rPr>
              <w:t>Subvenții</w:t>
            </w:r>
          </w:p>
        </w:tc>
        <w:tc>
          <w:tcPr>
            <w:tcW w:w="7230" w:type="dxa"/>
          </w:tcPr>
          <w:p w14:paraId="291CB8CD" w14:textId="011384C5" w:rsidR="000E07D1" w:rsidRPr="000E07D1" w:rsidRDefault="00BD6B0F" w:rsidP="00BD6B0F">
            <w:pPr>
              <w:spacing w:after="0"/>
              <w:jc w:val="both"/>
              <w:rPr>
                <w:rFonts w:ascii="Times New Roman" w:hAnsi="Times New Roman" w:cs="Times New Roman"/>
                <w:sz w:val="20"/>
                <w:szCs w:val="20"/>
              </w:rPr>
            </w:pPr>
            <w:r w:rsidRPr="000E07D1">
              <w:rPr>
                <w:rFonts w:ascii="Times New Roman" w:hAnsi="Times New Roman" w:cs="Times New Roman"/>
                <w:sz w:val="20"/>
                <w:szCs w:val="20"/>
              </w:rPr>
              <w:t>plăți</w:t>
            </w:r>
            <w:r w:rsidR="000E07D1" w:rsidRPr="000E07D1">
              <w:rPr>
                <w:rFonts w:ascii="Times New Roman" w:hAnsi="Times New Roman" w:cs="Times New Roman"/>
                <w:sz w:val="20"/>
                <w:szCs w:val="20"/>
              </w:rPr>
              <w:t xml:space="preserve"> achitate</w:t>
            </w:r>
            <w:r w:rsidR="000E07D1" w:rsidRPr="00BD6B0F">
              <w:rPr>
                <w:rStyle w:val="a5"/>
                <w:rFonts w:ascii="Times New Roman" w:hAnsi="Times New Roman" w:cs="Times New Roman"/>
                <w:sz w:val="20"/>
                <w:szCs w:val="20"/>
              </w:rPr>
              <w:footnoteReference w:id="1"/>
            </w:r>
            <w:r w:rsidR="000E07D1" w:rsidRPr="000E07D1">
              <w:rPr>
                <w:rFonts w:ascii="Times New Roman" w:hAnsi="Times New Roman" w:cs="Times New Roman"/>
                <w:sz w:val="20"/>
                <w:szCs w:val="20"/>
              </w:rPr>
              <w:t xml:space="preserve"> entităților producătoare sau prestatoare de servicii, cu scopul de a </w:t>
            </w:r>
            <w:r w:rsidRPr="000E07D1">
              <w:rPr>
                <w:rFonts w:ascii="Times New Roman" w:hAnsi="Times New Roman" w:cs="Times New Roman"/>
                <w:sz w:val="20"/>
                <w:szCs w:val="20"/>
              </w:rPr>
              <w:t>influența</w:t>
            </w:r>
            <w:r w:rsidR="000E07D1" w:rsidRPr="000E07D1">
              <w:rPr>
                <w:rFonts w:ascii="Times New Roman" w:hAnsi="Times New Roman" w:cs="Times New Roman"/>
                <w:sz w:val="20"/>
                <w:szCs w:val="20"/>
              </w:rPr>
              <w:t xml:space="preserve"> procesul de producere sau </w:t>
            </w:r>
            <w:r w:rsidRPr="000E07D1">
              <w:rPr>
                <w:rFonts w:ascii="Times New Roman" w:hAnsi="Times New Roman" w:cs="Times New Roman"/>
                <w:sz w:val="20"/>
                <w:szCs w:val="20"/>
              </w:rPr>
              <w:t>prețurile</w:t>
            </w:r>
            <w:r w:rsidR="000E07D1" w:rsidRPr="000E07D1">
              <w:rPr>
                <w:rFonts w:ascii="Times New Roman" w:hAnsi="Times New Roman" w:cs="Times New Roman"/>
                <w:sz w:val="20"/>
                <w:szCs w:val="20"/>
              </w:rPr>
              <w:t xml:space="preserve"> de livrare</w:t>
            </w:r>
          </w:p>
        </w:tc>
      </w:tr>
      <w:tr w:rsidR="000E07D1" w:rsidRPr="000113C4" w14:paraId="70340969" w14:textId="77777777" w:rsidTr="00753EA2">
        <w:tc>
          <w:tcPr>
            <w:tcW w:w="2268" w:type="dxa"/>
          </w:tcPr>
          <w:p w14:paraId="31207D39" w14:textId="77777777" w:rsidR="000E07D1" w:rsidRPr="000113C4" w:rsidRDefault="000E07D1" w:rsidP="00D02FF5">
            <w:pPr>
              <w:spacing w:line="276" w:lineRule="auto"/>
              <w:rPr>
                <w:rFonts w:ascii="Times New Roman" w:hAnsi="Times New Roman" w:cs="Times New Roman"/>
                <w:b/>
                <w:sz w:val="20"/>
                <w:szCs w:val="20"/>
              </w:rPr>
            </w:pPr>
            <w:r w:rsidRPr="000113C4">
              <w:rPr>
                <w:rFonts w:ascii="Times New Roman" w:hAnsi="Times New Roman" w:cs="Times New Roman"/>
                <w:b/>
                <w:sz w:val="20"/>
                <w:szCs w:val="20"/>
              </w:rPr>
              <w:t>Granturi</w:t>
            </w:r>
          </w:p>
        </w:tc>
        <w:tc>
          <w:tcPr>
            <w:tcW w:w="7230" w:type="dxa"/>
          </w:tcPr>
          <w:p w14:paraId="4670CB4C" w14:textId="16169781" w:rsidR="000E07D1" w:rsidRPr="000E07D1" w:rsidRDefault="000E07D1" w:rsidP="00BD6B0F">
            <w:pPr>
              <w:jc w:val="both"/>
              <w:rPr>
                <w:rFonts w:ascii="Times New Roman" w:hAnsi="Times New Roman" w:cs="Times New Roman"/>
                <w:sz w:val="20"/>
                <w:szCs w:val="20"/>
              </w:rPr>
            </w:pPr>
            <w:r w:rsidRPr="000E07D1">
              <w:rPr>
                <w:rFonts w:ascii="Times New Roman" w:hAnsi="Times New Roman" w:cs="Times New Roman"/>
                <w:sz w:val="20"/>
                <w:szCs w:val="20"/>
              </w:rPr>
              <w:t>transferuri</w:t>
            </w:r>
            <w:r w:rsidRPr="00BD6B0F">
              <w:rPr>
                <w:rStyle w:val="a5"/>
                <w:rFonts w:ascii="Times New Roman" w:hAnsi="Times New Roman" w:cs="Times New Roman"/>
                <w:sz w:val="20"/>
                <w:szCs w:val="20"/>
              </w:rPr>
              <w:footnoteReference w:id="2"/>
            </w:r>
            <w:r w:rsidRPr="00BD6B0F">
              <w:rPr>
                <w:rFonts w:ascii="Times New Roman" w:hAnsi="Times New Roman" w:cs="Times New Roman"/>
                <w:sz w:val="20"/>
                <w:szCs w:val="20"/>
                <w:vertAlign w:val="superscript"/>
              </w:rPr>
              <w:t xml:space="preserve"> </w:t>
            </w:r>
            <w:r w:rsidRPr="000E07D1">
              <w:rPr>
                <w:rFonts w:ascii="Times New Roman" w:hAnsi="Times New Roman" w:cs="Times New Roman"/>
                <w:sz w:val="20"/>
                <w:szCs w:val="20"/>
              </w:rPr>
              <w:t xml:space="preserve">către instituțiile publice la autogestiune prin intermediul autorităților publice fondatoare ale acestora, în temeiul prevederilor actelor normative, precum și transferuri către alți beneficiari. La </w:t>
            </w:r>
            <w:r w:rsidR="00BD6B0F" w:rsidRPr="000E07D1">
              <w:rPr>
                <w:rFonts w:ascii="Times New Roman" w:hAnsi="Times New Roman" w:cs="Times New Roman"/>
                <w:sz w:val="20"/>
                <w:szCs w:val="20"/>
              </w:rPr>
              <w:t>rândul</w:t>
            </w:r>
            <w:r w:rsidRPr="000E07D1">
              <w:rPr>
                <w:rFonts w:ascii="Times New Roman" w:hAnsi="Times New Roman" w:cs="Times New Roman"/>
                <w:sz w:val="20"/>
                <w:szCs w:val="20"/>
              </w:rPr>
              <w:t xml:space="preserve"> său, granturile sunt clasificate după tipul instituției beneficiare, iar ulterior în funcție de caracterul lor – curente sau capitale.</w:t>
            </w:r>
          </w:p>
        </w:tc>
      </w:tr>
      <w:tr w:rsidR="000E07D1" w:rsidRPr="000113C4" w14:paraId="55C914CB" w14:textId="77777777" w:rsidTr="00753EA2">
        <w:tc>
          <w:tcPr>
            <w:tcW w:w="2268" w:type="dxa"/>
          </w:tcPr>
          <w:p w14:paraId="1759E314" w14:textId="77777777" w:rsidR="000E07D1" w:rsidRPr="000113C4" w:rsidRDefault="000E07D1" w:rsidP="00D02FF5">
            <w:pPr>
              <w:spacing w:line="276" w:lineRule="auto"/>
              <w:rPr>
                <w:rFonts w:ascii="Times New Roman" w:hAnsi="Times New Roman" w:cs="Times New Roman"/>
                <w:b/>
                <w:sz w:val="20"/>
                <w:szCs w:val="20"/>
              </w:rPr>
            </w:pPr>
            <w:r w:rsidRPr="000113C4">
              <w:rPr>
                <w:rFonts w:ascii="Times New Roman" w:hAnsi="Times New Roman" w:cs="Times New Roman"/>
                <w:b/>
                <w:sz w:val="20"/>
                <w:szCs w:val="20"/>
              </w:rPr>
              <w:t>Granturi curente</w:t>
            </w:r>
          </w:p>
        </w:tc>
        <w:tc>
          <w:tcPr>
            <w:tcW w:w="7230" w:type="dxa"/>
          </w:tcPr>
          <w:p w14:paraId="6E693953" w14:textId="77777777" w:rsidR="000E07D1" w:rsidRPr="000E07D1" w:rsidRDefault="000E07D1" w:rsidP="00BD6B0F">
            <w:pPr>
              <w:jc w:val="both"/>
              <w:rPr>
                <w:rFonts w:ascii="Times New Roman" w:hAnsi="Times New Roman" w:cs="Times New Roman"/>
                <w:sz w:val="20"/>
                <w:szCs w:val="20"/>
              </w:rPr>
            </w:pPr>
            <w:r w:rsidRPr="000E07D1">
              <w:rPr>
                <w:rFonts w:ascii="Times New Roman" w:hAnsi="Times New Roman" w:cs="Times New Roman"/>
                <w:sz w:val="20"/>
                <w:szCs w:val="20"/>
              </w:rPr>
              <w:t xml:space="preserve">transferuri acordate în scopul efectuării cheltuielilor cu caracter curent. </w:t>
            </w:r>
          </w:p>
        </w:tc>
      </w:tr>
      <w:tr w:rsidR="000E07D1" w:rsidRPr="000113C4" w14:paraId="39F6A559" w14:textId="77777777" w:rsidTr="00753EA2">
        <w:tc>
          <w:tcPr>
            <w:tcW w:w="2268" w:type="dxa"/>
          </w:tcPr>
          <w:p w14:paraId="1E2FA277" w14:textId="77777777" w:rsidR="000E07D1" w:rsidRPr="000113C4" w:rsidRDefault="000E07D1" w:rsidP="00D02FF5">
            <w:pPr>
              <w:spacing w:line="276" w:lineRule="auto"/>
              <w:rPr>
                <w:rFonts w:ascii="Times New Roman" w:hAnsi="Times New Roman" w:cs="Times New Roman"/>
                <w:b/>
                <w:sz w:val="20"/>
                <w:szCs w:val="20"/>
              </w:rPr>
            </w:pPr>
            <w:r w:rsidRPr="000113C4">
              <w:rPr>
                <w:rFonts w:ascii="Times New Roman" w:hAnsi="Times New Roman" w:cs="Times New Roman"/>
                <w:b/>
                <w:sz w:val="20"/>
                <w:szCs w:val="20"/>
              </w:rPr>
              <w:t>Granturi capitale</w:t>
            </w:r>
          </w:p>
        </w:tc>
        <w:tc>
          <w:tcPr>
            <w:tcW w:w="7230" w:type="dxa"/>
          </w:tcPr>
          <w:p w14:paraId="2478663B" w14:textId="77777777" w:rsidR="000E07D1" w:rsidRPr="000E07D1" w:rsidRDefault="000E07D1" w:rsidP="00BD6B0F">
            <w:pPr>
              <w:jc w:val="both"/>
              <w:rPr>
                <w:rFonts w:ascii="Times New Roman" w:hAnsi="Times New Roman" w:cs="Times New Roman"/>
                <w:sz w:val="20"/>
                <w:szCs w:val="20"/>
              </w:rPr>
            </w:pPr>
            <w:r w:rsidRPr="000E07D1">
              <w:rPr>
                <w:rFonts w:ascii="Times New Roman" w:hAnsi="Times New Roman" w:cs="Times New Roman"/>
                <w:sz w:val="20"/>
                <w:szCs w:val="20"/>
              </w:rPr>
              <w:t>transferuri acordate pentru cheltuieli cu caracter capital și care, conform cadrului normativ, majorează valoarea bunurilor transmise în gestiune economică.</w:t>
            </w:r>
          </w:p>
        </w:tc>
      </w:tr>
      <w:tr w:rsidR="00C079ED" w:rsidRPr="000113C4" w14:paraId="111AEEB6" w14:textId="77777777" w:rsidTr="00753EA2">
        <w:tc>
          <w:tcPr>
            <w:tcW w:w="2268" w:type="dxa"/>
          </w:tcPr>
          <w:p w14:paraId="15F95300" w14:textId="4A6C2D7C" w:rsidR="00C079ED" w:rsidRPr="000113C4" w:rsidRDefault="00C079ED" w:rsidP="00FF5FCB">
            <w:pPr>
              <w:spacing w:after="0" w:line="276" w:lineRule="auto"/>
              <w:jc w:val="both"/>
              <w:rPr>
                <w:rFonts w:ascii="Times New Roman" w:hAnsi="Times New Roman" w:cs="Times New Roman"/>
                <w:b/>
                <w:iCs/>
                <w:sz w:val="20"/>
                <w:szCs w:val="20"/>
              </w:rPr>
            </w:pPr>
            <w:r>
              <w:rPr>
                <w:rFonts w:ascii="Times New Roman" w:hAnsi="Times New Roman" w:cs="Times New Roman"/>
                <w:b/>
                <w:iCs/>
                <w:sz w:val="20"/>
                <w:szCs w:val="20"/>
              </w:rPr>
              <w:t>Managementul finanțelor publice</w:t>
            </w:r>
          </w:p>
        </w:tc>
        <w:tc>
          <w:tcPr>
            <w:tcW w:w="7230" w:type="dxa"/>
          </w:tcPr>
          <w:p w14:paraId="18F1D8E8" w14:textId="53641E02" w:rsidR="00C079ED" w:rsidRPr="000113C4" w:rsidRDefault="00C079ED" w:rsidP="00BD6B0F">
            <w:pPr>
              <w:pStyle w:val="af0"/>
              <w:spacing w:after="0" w:line="276" w:lineRule="auto"/>
              <w:jc w:val="both"/>
              <w:rPr>
                <w:sz w:val="20"/>
                <w:szCs w:val="20"/>
                <w:lang w:val="pt-BR"/>
              </w:rPr>
            </w:pPr>
            <w:r w:rsidRPr="00C079ED">
              <w:rPr>
                <w:sz w:val="20"/>
                <w:szCs w:val="20"/>
                <w:lang w:val="pt-BR"/>
              </w:rPr>
              <w:t>reprezintă sistemul prin care resursele financiare sunt planificate, direcționate și controlate, pentru a permite și a influența îndeplinirea eficientă și eficace a obiectivelor serviciilor publice.</w:t>
            </w:r>
          </w:p>
        </w:tc>
      </w:tr>
    </w:tbl>
    <w:p w14:paraId="1F55DF48" w14:textId="07919962" w:rsidR="006049D5" w:rsidRDefault="00015BF3" w:rsidP="00E93970">
      <w:pPr>
        <w:spacing w:after="240" w:line="276" w:lineRule="auto"/>
        <w:jc w:val="both"/>
        <w:rPr>
          <w:rFonts w:ascii="Times New Roman" w:eastAsia="Times New Roman" w:hAnsi="Times New Roman" w:cs="Times New Roman"/>
          <w:i/>
          <w:sz w:val="20"/>
          <w:szCs w:val="20"/>
          <w:lang w:eastAsia="ro-MD"/>
        </w:rPr>
      </w:pPr>
      <w:r w:rsidRPr="003B329E">
        <w:rPr>
          <w:rFonts w:ascii="Times New Roman" w:eastAsia="Times New Roman" w:hAnsi="Times New Roman" w:cs="Times New Roman"/>
          <w:b/>
          <w:bCs/>
          <w:i/>
          <w:iCs/>
          <w:sz w:val="20"/>
          <w:szCs w:val="20"/>
          <w:lang w:eastAsia="ro-MD"/>
        </w:rPr>
        <w:t>Notă:</w:t>
      </w:r>
      <w:r w:rsidRPr="003B329E">
        <w:rPr>
          <w:rFonts w:ascii="Times New Roman" w:eastAsia="Times New Roman" w:hAnsi="Times New Roman" w:cs="Times New Roman"/>
          <w:bCs/>
          <w:i/>
          <w:iCs/>
          <w:sz w:val="20"/>
          <w:szCs w:val="20"/>
          <w:lang w:eastAsia="ro-MD"/>
        </w:rPr>
        <w:t xml:space="preserve"> </w:t>
      </w:r>
      <w:r w:rsidRPr="003B329E">
        <w:rPr>
          <w:rFonts w:ascii="Times New Roman" w:eastAsia="Times New Roman" w:hAnsi="Times New Roman" w:cs="Times New Roman"/>
          <w:i/>
          <w:sz w:val="20"/>
          <w:szCs w:val="20"/>
          <w:lang w:eastAsia="ro-MD"/>
        </w:rPr>
        <w:t>Glosarul de termeni prezentat are un rol informativ și nu produce efecte legale</w:t>
      </w:r>
    </w:p>
    <w:p w14:paraId="3C63886D" w14:textId="018D7837" w:rsidR="00564B70" w:rsidRPr="003B329E" w:rsidRDefault="009F475C" w:rsidP="00BD2237">
      <w:pPr>
        <w:pStyle w:val="1"/>
        <w:numPr>
          <w:ilvl w:val="0"/>
          <w:numId w:val="6"/>
        </w:numPr>
        <w:tabs>
          <w:tab w:val="left" w:pos="3600"/>
          <w:tab w:val="left" w:pos="3780"/>
        </w:tabs>
        <w:spacing w:before="0" w:after="120" w:line="276" w:lineRule="auto"/>
        <w:ind w:left="142" w:firstLine="0"/>
        <w:rPr>
          <w:rFonts w:ascii="Times New Roman" w:eastAsiaTheme="minorHAnsi" w:hAnsi="Times New Roman" w:cs="Times New Roman"/>
          <w:b/>
          <w:color w:val="2F5496" w:themeColor="accent5" w:themeShade="BF"/>
          <w:sz w:val="28"/>
          <w:szCs w:val="28"/>
          <w:shd w:val="clear" w:color="auto" w:fill="FFFFFF"/>
        </w:rPr>
      </w:pPr>
      <w:bookmarkStart w:id="9" w:name="_Toc141776925"/>
      <w:bookmarkStart w:id="10" w:name="_Toc158015913"/>
      <w:r>
        <w:rPr>
          <w:rFonts w:ascii="Times New Roman" w:eastAsiaTheme="minorHAnsi" w:hAnsi="Times New Roman" w:cs="Times New Roman"/>
          <w:b/>
          <w:color w:val="2F5496" w:themeColor="accent5" w:themeShade="BF"/>
          <w:sz w:val="28"/>
          <w:szCs w:val="28"/>
          <w:shd w:val="clear" w:color="auto" w:fill="FFFFFF"/>
        </w:rPr>
        <w:t xml:space="preserve"> </w:t>
      </w:r>
      <w:r w:rsidR="00564B70" w:rsidRPr="003B329E">
        <w:rPr>
          <w:rFonts w:ascii="Times New Roman" w:eastAsiaTheme="minorHAnsi" w:hAnsi="Times New Roman" w:cs="Times New Roman"/>
          <w:b/>
          <w:color w:val="2F5496" w:themeColor="accent5" w:themeShade="BF"/>
          <w:sz w:val="28"/>
          <w:szCs w:val="28"/>
          <w:shd w:val="clear" w:color="auto" w:fill="FFFFFF"/>
        </w:rPr>
        <w:t>SINTEZA</w:t>
      </w:r>
      <w:bookmarkEnd w:id="9"/>
      <w:bookmarkEnd w:id="10"/>
    </w:p>
    <w:p w14:paraId="1FB95774" w14:textId="76CE2560" w:rsidR="00291C57" w:rsidRPr="00291C57" w:rsidRDefault="00291C57" w:rsidP="00D93C64">
      <w:pPr>
        <w:spacing w:after="80" w:line="276" w:lineRule="auto"/>
        <w:jc w:val="both"/>
        <w:rPr>
          <w:rFonts w:ascii="Times New Roman" w:hAnsi="Times New Roman" w:cs="Times New Roman"/>
          <w:sz w:val="24"/>
          <w:szCs w:val="24"/>
        </w:rPr>
      </w:pPr>
      <w:r w:rsidRPr="00291C57">
        <w:rPr>
          <w:rFonts w:ascii="Times New Roman" w:hAnsi="Times New Roman" w:cs="Times New Roman"/>
          <w:sz w:val="24"/>
          <w:szCs w:val="24"/>
        </w:rPr>
        <w:t>Cancelaria de Stat reprezintă unul dintre pilonii de bază în organizarea sistemul</w:t>
      </w:r>
      <w:r w:rsidR="005943FF">
        <w:rPr>
          <w:rFonts w:ascii="Times New Roman" w:hAnsi="Times New Roman" w:cs="Times New Roman"/>
          <w:sz w:val="24"/>
          <w:szCs w:val="24"/>
        </w:rPr>
        <w:t>ui</w:t>
      </w:r>
      <w:r w:rsidRPr="00291C57">
        <w:rPr>
          <w:rFonts w:ascii="Times New Roman" w:hAnsi="Times New Roman" w:cs="Times New Roman"/>
          <w:sz w:val="24"/>
          <w:szCs w:val="24"/>
        </w:rPr>
        <w:t xml:space="preserve"> de administrație publică. În calitate de autoritate pub</w:t>
      </w:r>
      <w:r w:rsidR="00D02FF5">
        <w:rPr>
          <w:rFonts w:ascii="Times New Roman" w:hAnsi="Times New Roman" w:cs="Times New Roman"/>
          <w:sz w:val="24"/>
          <w:szCs w:val="24"/>
        </w:rPr>
        <w:t>lică centrală, entitatea,</w:t>
      </w:r>
      <w:r w:rsidRPr="00291C57">
        <w:rPr>
          <w:rFonts w:ascii="Times New Roman" w:hAnsi="Times New Roman" w:cs="Times New Roman"/>
          <w:sz w:val="24"/>
          <w:szCs w:val="24"/>
        </w:rPr>
        <w:t xml:space="preserve"> beneficiază </w:t>
      </w:r>
      <w:r w:rsidR="00D02FF5">
        <w:rPr>
          <w:rFonts w:ascii="Times New Roman" w:hAnsi="Times New Roman" w:cs="Times New Roman"/>
          <w:sz w:val="24"/>
          <w:szCs w:val="24"/>
        </w:rPr>
        <w:t xml:space="preserve">anual </w:t>
      </w:r>
      <w:r w:rsidRPr="00291C57">
        <w:rPr>
          <w:rFonts w:ascii="Times New Roman" w:hAnsi="Times New Roman" w:cs="Times New Roman"/>
          <w:sz w:val="24"/>
          <w:szCs w:val="24"/>
        </w:rPr>
        <w:t xml:space="preserve">de mijloace bugetare semnificative atât pentru asigurarea funcționalității autorității, cât și a celor opt instituții publice fondate. Pe parcursul ultimilor cinci ani, cuantumul resurselor bugetare valorificate de către CS și instituțiile monitorizate a înregistrat un trend crescător, acesta majorându-se cu 21% în anul 2022 (410,7 mil. lei), comparativ cu anul 2018 (339,9 mil. lei). Având în vedere că sumele alocate reprezintă costuri pentru buget, este important ca gestionarea acestora să fie efectuată în baza unor decizii manageriale conforme, aliniate principiilor bunei guvernări. </w:t>
      </w:r>
    </w:p>
    <w:p w14:paraId="245CC260" w14:textId="1EE2AAD2" w:rsidR="00291C57" w:rsidRPr="00291C57" w:rsidRDefault="00291C57" w:rsidP="00BD6B0F">
      <w:pPr>
        <w:spacing w:after="80" w:line="276" w:lineRule="auto"/>
        <w:jc w:val="both"/>
        <w:rPr>
          <w:rFonts w:ascii="Times New Roman" w:hAnsi="Times New Roman" w:cs="Times New Roman"/>
          <w:bCs/>
          <w:sz w:val="24"/>
          <w:szCs w:val="24"/>
        </w:rPr>
      </w:pPr>
      <w:r w:rsidRPr="00291C57">
        <w:rPr>
          <w:rFonts w:ascii="Times New Roman" w:hAnsi="Times New Roman" w:cs="Times New Roman"/>
          <w:bCs/>
          <w:sz w:val="24"/>
          <w:szCs w:val="24"/>
        </w:rPr>
        <w:t xml:space="preserve">La baza </w:t>
      </w:r>
      <w:r w:rsidRPr="00291C57">
        <w:rPr>
          <w:rFonts w:ascii="Times New Roman" w:hAnsi="Times New Roman" w:cs="Times New Roman"/>
          <w:sz w:val="24"/>
          <w:szCs w:val="24"/>
        </w:rPr>
        <w:t>selectării entității și tematicii pentru auditare au stat atât cele menționate mai sus, pentru a verifica dacă procesele și activitățile instituite de CS și instituțiile monitorizate asigură conformitatea valorificării alocațiilor</w:t>
      </w:r>
      <w:r w:rsidRPr="00291C57">
        <w:rPr>
          <w:rFonts w:ascii="Times New Roman" w:hAnsi="Times New Roman" w:cs="Times New Roman"/>
          <w:bCs/>
          <w:sz w:val="24"/>
          <w:szCs w:val="24"/>
        </w:rPr>
        <w:t xml:space="preserve"> bugetare, precum și a gestionării patrimoniului public, cât și aplicarea</w:t>
      </w:r>
      <w:r w:rsidR="00BA69A9">
        <w:rPr>
          <w:rFonts w:ascii="Times New Roman" w:hAnsi="Times New Roman" w:cs="Times New Roman"/>
          <w:bCs/>
          <w:sz w:val="24"/>
          <w:szCs w:val="24"/>
        </w:rPr>
        <w:t xml:space="preserve"> </w:t>
      </w:r>
      <w:r w:rsidRPr="00291C57">
        <w:rPr>
          <w:rFonts w:ascii="Times New Roman" w:hAnsi="Times New Roman" w:cs="Times New Roman"/>
          <w:sz w:val="24"/>
          <w:szCs w:val="24"/>
        </w:rPr>
        <w:t xml:space="preserve">criteriului periodicității acoperirii cu activități de audit a autorităților publice (o dată la 3-5 ani). </w:t>
      </w:r>
      <w:r w:rsidRPr="00291C57">
        <w:rPr>
          <w:rFonts w:ascii="Times New Roman" w:hAnsi="Times New Roman" w:cs="Times New Roman"/>
          <w:bCs/>
          <w:sz w:val="24"/>
          <w:szCs w:val="24"/>
        </w:rPr>
        <w:t>Astfel, Curtea de Conturi, în conformitate cu Programul activității de audit pe anul 2023</w:t>
      </w:r>
      <w:r w:rsidRPr="00291C57">
        <w:rPr>
          <w:rFonts w:ascii="Times New Roman" w:hAnsi="Times New Roman" w:cs="Times New Roman"/>
          <w:bCs/>
          <w:sz w:val="24"/>
          <w:szCs w:val="24"/>
          <w:vertAlign w:val="superscript"/>
        </w:rPr>
        <w:footnoteReference w:id="3"/>
      </w:r>
      <w:r w:rsidRPr="00291C57">
        <w:rPr>
          <w:rFonts w:ascii="Times New Roman" w:hAnsi="Times New Roman" w:cs="Times New Roman"/>
          <w:bCs/>
          <w:sz w:val="24"/>
          <w:szCs w:val="24"/>
        </w:rPr>
        <w:t xml:space="preserve">, </w:t>
      </w:r>
      <w:r w:rsidR="00BE4EBE">
        <w:rPr>
          <w:rFonts w:ascii="Times New Roman" w:hAnsi="Times New Roman" w:cs="Times New Roman"/>
          <w:bCs/>
          <w:sz w:val="24"/>
          <w:szCs w:val="24"/>
        </w:rPr>
        <w:t xml:space="preserve">și potrivit </w:t>
      </w:r>
      <w:r w:rsidR="00BE4EBE" w:rsidRPr="003B329E">
        <w:rPr>
          <w:rFonts w:ascii="Times New Roman" w:eastAsia="Times New Roman" w:hAnsi="Times New Roman" w:cs="Times New Roman"/>
          <w:color w:val="000000" w:themeColor="text1"/>
          <w:sz w:val="24"/>
          <w:szCs w:val="24"/>
        </w:rPr>
        <w:t>Standardele Internaționale ale Instituțiilor Supreme de Audit (ISSAI 100, ISSAI 400 și ISSAI 4000)</w:t>
      </w:r>
      <w:r w:rsidR="00BE4EBE">
        <w:rPr>
          <w:rFonts w:ascii="Times New Roman" w:eastAsia="Times New Roman" w:hAnsi="Times New Roman" w:cs="Times New Roman"/>
          <w:color w:val="000000" w:themeColor="text1"/>
          <w:sz w:val="24"/>
          <w:szCs w:val="24"/>
        </w:rPr>
        <w:t xml:space="preserve">, a </w:t>
      </w:r>
      <w:r w:rsidRPr="00291C57">
        <w:rPr>
          <w:rFonts w:ascii="Times New Roman" w:hAnsi="Times New Roman" w:cs="Times New Roman"/>
          <w:sz w:val="24"/>
          <w:szCs w:val="24"/>
        </w:rPr>
        <w:t>efectuat prezenta misiune de audit, care a avut drept scop evaluarea conformității asupra modului de formare, administrare și întrebuințare a resurselor financiare publice și a patrimoniului public de către CS în perioada 2018-2022.</w:t>
      </w:r>
      <w:r w:rsidR="00BE4EBE">
        <w:rPr>
          <w:rFonts w:ascii="Times New Roman" w:hAnsi="Times New Roman" w:cs="Times New Roman"/>
          <w:sz w:val="24"/>
          <w:szCs w:val="24"/>
        </w:rPr>
        <w:t xml:space="preserve"> </w:t>
      </w:r>
    </w:p>
    <w:p w14:paraId="1599B06C" w14:textId="2C626765" w:rsidR="00291C57" w:rsidRPr="00291C57" w:rsidRDefault="00291C57" w:rsidP="00BD6B0F">
      <w:pPr>
        <w:spacing w:after="120" w:line="276" w:lineRule="auto"/>
        <w:jc w:val="both"/>
        <w:rPr>
          <w:rFonts w:ascii="Times New Roman" w:hAnsi="Times New Roman" w:cs="Times New Roman"/>
          <w:bCs/>
          <w:sz w:val="24"/>
          <w:szCs w:val="24"/>
        </w:rPr>
      </w:pPr>
      <w:r w:rsidRPr="00291C57">
        <w:rPr>
          <w:rFonts w:ascii="Times New Roman" w:hAnsi="Times New Roman" w:cs="Times New Roman"/>
          <w:bCs/>
          <w:sz w:val="24"/>
          <w:szCs w:val="24"/>
        </w:rPr>
        <w:t>Generalizând constatările și concluziile formulate în prezentul Raport, auditul public extern conchide că mijloacele bugetare alocate CS preponderent au fost gestionate în conformitate cu reglementările prestabilite, totuși existând anumite procese deficitare în cadrul cărora s-au constat</w:t>
      </w:r>
      <w:r w:rsidR="00D02FF5">
        <w:rPr>
          <w:rFonts w:ascii="Times New Roman" w:hAnsi="Times New Roman" w:cs="Times New Roman"/>
          <w:bCs/>
          <w:sz w:val="24"/>
          <w:szCs w:val="24"/>
        </w:rPr>
        <w:t>at</w:t>
      </w:r>
      <w:r w:rsidRPr="00291C57">
        <w:rPr>
          <w:rFonts w:ascii="Times New Roman" w:hAnsi="Times New Roman" w:cs="Times New Roman"/>
          <w:bCs/>
          <w:sz w:val="24"/>
          <w:szCs w:val="24"/>
        </w:rPr>
        <w:t xml:space="preserve"> neconformități și un șir de probleme. În contextul menționat, expunem următoarele observații de audit.</w:t>
      </w:r>
    </w:p>
    <w:p w14:paraId="4411E704" w14:textId="7645C881" w:rsidR="00291C57" w:rsidRPr="00291C57" w:rsidRDefault="00291C57" w:rsidP="00D93C64">
      <w:pPr>
        <w:spacing w:after="120" w:line="276" w:lineRule="auto"/>
        <w:jc w:val="both"/>
        <w:rPr>
          <w:rFonts w:ascii="Times New Roman" w:hAnsi="Times New Roman" w:cs="Times New Roman"/>
          <w:bCs/>
          <w:i/>
          <w:sz w:val="24"/>
          <w:szCs w:val="24"/>
        </w:rPr>
      </w:pPr>
      <w:r w:rsidRPr="00291C57">
        <w:rPr>
          <w:rFonts w:ascii="Times New Roman" w:hAnsi="Times New Roman" w:cs="Times New Roman"/>
          <w:bCs/>
          <w:i/>
          <w:sz w:val="24"/>
          <w:szCs w:val="24"/>
        </w:rPr>
        <w:t>Referitor la managementul financiar al gestionării resurselor publice de către CS și unele I</w:t>
      </w:r>
      <w:r w:rsidR="00BA69A9">
        <w:rPr>
          <w:rFonts w:ascii="Times New Roman" w:hAnsi="Times New Roman" w:cs="Times New Roman"/>
          <w:bCs/>
          <w:i/>
          <w:sz w:val="24"/>
          <w:szCs w:val="24"/>
        </w:rPr>
        <w:t>.</w:t>
      </w:r>
      <w:r w:rsidRPr="00291C57">
        <w:rPr>
          <w:rFonts w:ascii="Times New Roman" w:hAnsi="Times New Roman" w:cs="Times New Roman"/>
          <w:bCs/>
          <w:i/>
          <w:sz w:val="24"/>
          <w:szCs w:val="24"/>
        </w:rPr>
        <w:t>P</w:t>
      </w:r>
      <w:r w:rsidR="00BA69A9">
        <w:rPr>
          <w:rFonts w:ascii="Times New Roman" w:hAnsi="Times New Roman" w:cs="Times New Roman"/>
          <w:bCs/>
          <w:i/>
          <w:sz w:val="24"/>
          <w:szCs w:val="24"/>
        </w:rPr>
        <w:t>.</w:t>
      </w:r>
      <w:r w:rsidRPr="00291C57">
        <w:rPr>
          <w:rFonts w:ascii="Times New Roman" w:hAnsi="Times New Roman" w:cs="Times New Roman"/>
          <w:bCs/>
          <w:i/>
          <w:sz w:val="24"/>
          <w:szCs w:val="24"/>
        </w:rPr>
        <w:t xml:space="preserve"> monitorizate </w:t>
      </w:r>
    </w:p>
    <w:p w14:paraId="270A398A" w14:textId="7A24BAED" w:rsidR="00D02FF5" w:rsidRDefault="00291C57" w:rsidP="00D02FF5">
      <w:pPr>
        <w:numPr>
          <w:ilvl w:val="0"/>
          <w:numId w:val="31"/>
        </w:numPr>
        <w:spacing w:after="120" w:line="276" w:lineRule="auto"/>
        <w:ind w:left="709" w:hanging="567"/>
        <w:jc w:val="both"/>
        <w:rPr>
          <w:rFonts w:ascii="Times New Roman" w:hAnsi="Times New Roman" w:cs="Times New Roman"/>
          <w:sz w:val="24"/>
          <w:szCs w:val="24"/>
        </w:rPr>
      </w:pPr>
      <w:r w:rsidRPr="00291C57">
        <w:rPr>
          <w:rFonts w:ascii="Times New Roman" w:hAnsi="Times New Roman" w:cs="Times New Roman"/>
          <w:sz w:val="24"/>
          <w:szCs w:val="24"/>
        </w:rPr>
        <w:t>Existența unor deficiențe în procesul de planificare și fundamentare c</w:t>
      </w:r>
      <w:r w:rsidR="00BA69A9">
        <w:rPr>
          <w:rFonts w:ascii="Times New Roman" w:hAnsi="Times New Roman" w:cs="Times New Roman"/>
          <w:sz w:val="24"/>
          <w:szCs w:val="24"/>
        </w:rPr>
        <w:t xml:space="preserve">orespunzătoare a cheltuielilor </w:t>
      </w:r>
      <w:r w:rsidRPr="00291C57">
        <w:rPr>
          <w:rFonts w:ascii="Times New Roman" w:hAnsi="Times New Roman" w:cs="Times New Roman"/>
          <w:sz w:val="24"/>
          <w:szCs w:val="24"/>
        </w:rPr>
        <w:t xml:space="preserve">bugetului CS, a condus la un grad redus de absorbție a resurselor financiare publice alocate autorității. Astfel, devierile subexecuției cheltuielilor în aspect economic, comparativ cu bugetul precizat, au depășit în medie 23%, iar față de bugetul inițial aprobat </w:t>
      </w:r>
      <w:r w:rsidR="00D02FF5">
        <w:rPr>
          <w:rFonts w:ascii="Times New Roman" w:hAnsi="Times New Roman" w:cs="Times New Roman"/>
          <w:sz w:val="24"/>
          <w:szCs w:val="24"/>
        </w:rPr>
        <w:t>- cu</w:t>
      </w:r>
      <w:r w:rsidRPr="00291C57">
        <w:rPr>
          <w:rFonts w:ascii="Times New Roman" w:hAnsi="Times New Roman" w:cs="Times New Roman"/>
          <w:sz w:val="24"/>
          <w:szCs w:val="24"/>
        </w:rPr>
        <w:t xml:space="preserve"> 32,0%, or, potrivit bunelor practici</w:t>
      </w:r>
      <w:r w:rsidRPr="00291C57">
        <w:rPr>
          <w:rFonts w:ascii="Times New Roman" w:hAnsi="Times New Roman" w:cs="Times New Roman"/>
          <w:sz w:val="24"/>
          <w:szCs w:val="24"/>
          <w:vertAlign w:val="superscript"/>
        </w:rPr>
        <w:footnoteReference w:id="4"/>
      </w:r>
      <w:r w:rsidRPr="00291C57">
        <w:rPr>
          <w:rFonts w:ascii="Times New Roman" w:hAnsi="Times New Roman" w:cs="Times New Roman"/>
          <w:sz w:val="24"/>
          <w:szCs w:val="24"/>
        </w:rPr>
        <w:t>, variația optimă este plafonată sub 10%</w:t>
      </w:r>
      <w:r w:rsidR="009308E7">
        <w:rPr>
          <w:rFonts w:ascii="Times New Roman" w:hAnsi="Times New Roman" w:cs="Times New Roman"/>
          <w:sz w:val="24"/>
          <w:szCs w:val="24"/>
        </w:rPr>
        <w:t xml:space="preserve"> (pct. 4.1.1.)</w:t>
      </w:r>
      <w:r w:rsidRPr="00291C57">
        <w:rPr>
          <w:rFonts w:ascii="Times New Roman" w:hAnsi="Times New Roman" w:cs="Times New Roman"/>
          <w:sz w:val="24"/>
          <w:szCs w:val="24"/>
        </w:rPr>
        <w:t>.</w:t>
      </w:r>
      <w:r w:rsidR="00BA69A9">
        <w:rPr>
          <w:rFonts w:ascii="Times New Roman" w:hAnsi="Times New Roman" w:cs="Times New Roman"/>
          <w:sz w:val="24"/>
          <w:szCs w:val="24"/>
        </w:rPr>
        <w:t xml:space="preserve"> </w:t>
      </w:r>
    </w:p>
    <w:p w14:paraId="70B77424" w14:textId="2C68CEC2" w:rsidR="00291C57" w:rsidRPr="00D02FF5" w:rsidRDefault="00D02FF5" w:rsidP="00D02FF5">
      <w:pPr>
        <w:numPr>
          <w:ilvl w:val="0"/>
          <w:numId w:val="31"/>
        </w:numPr>
        <w:spacing w:after="120" w:line="276" w:lineRule="auto"/>
        <w:ind w:left="709" w:hanging="567"/>
        <w:jc w:val="both"/>
        <w:rPr>
          <w:rFonts w:ascii="Times New Roman" w:hAnsi="Times New Roman" w:cs="Times New Roman"/>
          <w:sz w:val="24"/>
          <w:szCs w:val="24"/>
        </w:rPr>
      </w:pPr>
      <w:r w:rsidRPr="00D02FF5">
        <w:rPr>
          <w:rFonts w:ascii="Times New Roman" w:hAnsi="Times New Roman" w:cs="Times New Roman"/>
          <w:sz w:val="24"/>
          <w:szCs w:val="24"/>
        </w:rPr>
        <w:t>Lipsa cadrului normativ care ar reglementa gestionarea sumelor alocate entităților sub formă de granturi și subvenții, creează premise de valorificare neconformă a acestora, dar și reduce din transparența utilizării acestor mijloace. Se evidențiază că unele I.P. fondate de CS nu au instituit un proces aliniat rigorilor bunei guvernări la valorificarea resurselor financiare</w:t>
      </w:r>
      <w:r w:rsidR="00D00279">
        <w:rPr>
          <w:rFonts w:ascii="Times New Roman" w:hAnsi="Times New Roman" w:cs="Times New Roman"/>
          <w:sz w:val="24"/>
          <w:szCs w:val="24"/>
        </w:rPr>
        <w:t xml:space="preserve"> publice</w:t>
      </w:r>
      <w:r w:rsidRPr="00D02FF5">
        <w:rPr>
          <w:rFonts w:ascii="Times New Roman" w:hAnsi="Times New Roman" w:cs="Times New Roman"/>
          <w:sz w:val="24"/>
          <w:szCs w:val="24"/>
        </w:rPr>
        <w:t xml:space="preserve">, inclusiv a mijloacelor bugetare alocate sub formă de granturi. În speță, se evidențiază situația defectuoasă constatată la STISC, care: </w:t>
      </w:r>
      <w:r w:rsidRPr="00D02FF5">
        <w:rPr>
          <w:rFonts w:ascii="Times New Roman" w:hAnsi="Times New Roman" w:cs="Times New Roman"/>
          <w:b/>
          <w:sz w:val="24"/>
          <w:szCs w:val="24"/>
        </w:rPr>
        <w:t>i)</w:t>
      </w:r>
      <w:r w:rsidRPr="00D02FF5">
        <w:rPr>
          <w:rFonts w:ascii="Times New Roman" w:hAnsi="Times New Roman" w:cs="Times New Roman"/>
          <w:sz w:val="24"/>
          <w:szCs w:val="24"/>
        </w:rPr>
        <w:t xml:space="preserve"> a valorificat mijloace financiare pentru echipamente și soluții TI care nu sunt utilizate în procesul tehnologic al entității, factorii decidenți semnând acte neveridice privind </w:t>
      </w:r>
      <w:r w:rsidR="00D00279">
        <w:rPr>
          <w:rFonts w:ascii="Times New Roman" w:hAnsi="Times New Roman" w:cs="Times New Roman"/>
          <w:sz w:val="24"/>
          <w:szCs w:val="24"/>
        </w:rPr>
        <w:t>darea în exploatare</w:t>
      </w:r>
      <w:r w:rsidRPr="00D02FF5">
        <w:rPr>
          <w:rFonts w:ascii="Times New Roman" w:hAnsi="Times New Roman" w:cs="Times New Roman"/>
          <w:sz w:val="24"/>
          <w:szCs w:val="24"/>
        </w:rPr>
        <w:t xml:space="preserve"> a acestora</w:t>
      </w:r>
      <w:r w:rsidR="00D00279">
        <w:rPr>
          <w:rFonts w:ascii="Times New Roman" w:hAnsi="Times New Roman" w:cs="Times New Roman"/>
          <w:sz w:val="24"/>
          <w:szCs w:val="24"/>
        </w:rPr>
        <w:t xml:space="preserve"> în evidența contabilă</w:t>
      </w:r>
      <w:r w:rsidRPr="00D02FF5">
        <w:rPr>
          <w:rFonts w:ascii="Times New Roman" w:hAnsi="Times New Roman" w:cs="Times New Roman"/>
          <w:sz w:val="24"/>
          <w:szCs w:val="24"/>
        </w:rPr>
        <w:t xml:space="preserve">; </w:t>
      </w:r>
      <w:r w:rsidRPr="00D02FF5">
        <w:rPr>
          <w:rFonts w:ascii="Times New Roman" w:hAnsi="Times New Roman" w:cs="Times New Roman"/>
          <w:b/>
          <w:sz w:val="24"/>
          <w:szCs w:val="24"/>
        </w:rPr>
        <w:t>ii)</w:t>
      </w:r>
      <w:r w:rsidRPr="00D02FF5">
        <w:rPr>
          <w:rFonts w:ascii="Times New Roman" w:hAnsi="Times New Roman" w:cs="Times New Roman"/>
          <w:sz w:val="24"/>
          <w:szCs w:val="24"/>
        </w:rPr>
        <w:t xml:space="preserve"> utilizarea irațională a mijloacelor pentru achiziția de bunuri la prețuri exagerate, comparativ cu cele existente pe piață sau cu cele de import, fapt condiționat și de neaplicarea de către entitate a procedurilor de achiziție internațională.</w:t>
      </w:r>
      <w:r w:rsidR="00291C57" w:rsidRPr="00D02FF5">
        <w:rPr>
          <w:rFonts w:ascii="Times New Roman" w:hAnsi="Times New Roman" w:cs="Times New Roman"/>
          <w:sz w:val="24"/>
          <w:szCs w:val="24"/>
        </w:rPr>
        <w:t xml:space="preserve"> </w:t>
      </w:r>
    </w:p>
    <w:p w14:paraId="48EF701B" w14:textId="109E1752" w:rsidR="00291C57" w:rsidRPr="00291C57" w:rsidRDefault="00291C57" w:rsidP="00D93C64">
      <w:pPr>
        <w:numPr>
          <w:ilvl w:val="0"/>
          <w:numId w:val="31"/>
        </w:numPr>
        <w:spacing w:after="120" w:line="276" w:lineRule="auto"/>
        <w:ind w:left="709" w:hanging="567"/>
        <w:jc w:val="both"/>
        <w:rPr>
          <w:rFonts w:ascii="Times New Roman" w:hAnsi="Times New Roman" w:cs="Times New Roman"/>
          <w:sz w:val="24"/>
          <w:szCs w:val="24"/>
        </w:rPr>
      </w:pPr>
      <w:r w:rsidRPr="00291C57">
        <w:rPr>
          <w:rFonts w:ascii="Times New Roman" w:hAnsi="Times New Roman" w:cs="Times New Roman"/>
          <w:sz w:val="24"/>
          <w:szCs w:val="24"/>
        </w:rPr>
        <w:t xml:space="preserve">Nerespectarea de către CS a regulilor de evidență a mijloacelor bugetare alocate sub formă de granturi capitale în sumă totală de 53,3 mil. lei, a determinat trecerea neconformă a acestora la cheltuieli, în loc să fie înregistrate în </w:t>
      </w:r>
      <w:r w:rsidR="000F4443">
        <w:rPr>
          <w:rFonts w:ascii="Times New Roman" w:hAnsi="Times New Roman" w:cs="Times New Roman"/>
          <w:sz w:val="24"/>
          <w:szCs w:val="24"/>
        </w:rPr>
        <w:t>rapoartele</w:t>
      </w:r>
      <w:r w:rsidRPr="00291C57">
        <w:rPr>
          <w:rFonts w:ascii="Times New Roman" w:hAnsi="Times New Roman" w:cs="Times New Roman"/>
          <w:sz w:val="24"/>
          <w:szCs w:val="24"/>
        </w:rPr>
        <w:t xml:space="preserve"> financiare ca investiții ale fondatorului. În așa mod au fost denaturați indicatorii din rapoartele financiare ale CS</w:t>
      </w:r>
      <w:r w:rsidR="009308E7">
        <w:rPr>
          <w:rFonts w:ascii="Times New Roman" w:hAnsi="Times New Roman" w:cs="Times New Roman"/>
          <w:sz w:val="24"/>
          <w:szCs w:val="24"/>
        </w:rPr>
        <w:t xml:space="preserve"> (pct. 4.1.3.)</w:t>
      </w:r>
      <w:r w:rsidRPr="00291C57">
        <w:rPr>
          <w:rFonts w:ascii="Times New Roman" w:hAnsi="Times New Roman" w:cs="Times New Roman"/>
          <w:sz w:val="24"/>
          <w:szCs w:val="24"/>
        </w:rPr>
        <w:t xml:space="preserve">. </w:t>
      </w:r>
    </w:p>
    <w:p w14:paraId="24AC8C5C" w14:textId="48896513" w:rsidR="00291C57" w:rsidRPr="00291C57" w:rsidRDefault="00291C57" w:rsidP="00D93C64">
      <w:pPr>
        <w:numPr>
          <w:ilvl w:val="0"/>
          <w:numId w:val="31"/>
        </w:numPr>
        <w:spacing w:after="120" w:line="276" w:lineRule="auto"/>
        <w:ind w:left="709" w:hanging="567"/>
        <w:jc w:val="both"/>
        <w:rPr>
          <w:rFonts w:ascii="Times New Roman" w:hAnsi="Times New Roman" w:cs="Times New Roman"/>
          <w:sz w:val="24"/>
          <w:szCs w:val="24"/>
        </w:rPr>
      </w:pPr>
      <w:r w:rsidRPr="00291C57">
        <w:rPr>
          <w:rFonts w:ascii="Times New Roman" w:hAnsi="Times New Roman" w:cs="Times New Roman"/>
          <w:sz w:val="24"/>
          <w:szCs w:val="24"/>
        </w:rPr>
        <w:t>Existența unor reguli discreționare, statuate în actele de constituire a I</w:t>
      </w:r>
      <w:r w:rsidR="00BA69A9">
        <w:rPr>
          <w:rFonts w:ascii="Times New Roman" w:hAnsi="Times New Roman" w:cs="Times New Roman"/>
          <w:sz w:val="24"/>
          <w:szCs w:val="24"/>
        </w:rPr>
        <w:t>.</w:t>
      </w:r>
      <w:r w:rsidRPr="00291C57">
        <w:rPr>
          <w:rFonts w:ascii="Times New Roman" w:hAnsi="Times New Roman" w:cs="Times New Roman"/>
          <w:sz w:val="24"/>
          <w:szCs w:val="24"/>
        </w:rPr>
        <w:t>P</w:t>
      </w:r>
      <w:r w:rsidR="00BA69A9">
        <w:rPr>
          <w:rFonts w:ascii="Times New Roman" w:hAnsi="Times New Roman" w:cs="Times New Roman"/>
          <w:sz w:val="24"/>
          <w:szCs w:val="24"/>
        </w:rPr>
        <w:t xml:space="preserve">. fondate de CS, privind </w:t>
      </w:r>
      <w:r w:rsidRPr="00291C57">
        <w:rPr>
          <w:rFonts w:ascii="Times New Roman" w:hAnsi="Times New Roman" w:cs="Times New Roman"/>
          <w:sz w:val="24"/>
          <w:szCs w:val="24"/>
        </w:rPr>
        <w:t>rambursarea la buget a soldurilor granturilor nevalorificate pe parcursul anului bugetar. Unele organe de conducere ale I</w:t>
      </w:r>
      <w:r w:rsidR="00BA69A9">
        <w:rPr>
          <w:rFonts w:ascii="Times New Roman" w:hAnsi="Times New Roman" w:cs="Times New Roman"/>
          <w:sz w:val="24"/>
          <w:szCs w:val="24"/>
        </w:rPr>
        <w:t>.</w:t>
      </w:r>
      <w:r w:rsidRPr="00291C57">
        <w:rPr>
          <w:rFonts w:ascii="Times New Roman" w:hAnsi="Times New Roman" w:cs="Times New Roman"/>
          <w:sz w:val="24"/>
          <w:szCs w:val="24"/>
        </w:rPr>
        <w:t>P</w:t>
      </w:r>
      <w:r w:rsidR="00BA69A9">
        <w:rPr>
          <w:rFonts w:ascii="Times New Roman" w:hAnsi="Times New Roman" w:cs="Times New Roman"/>
          <w:sz w:val="24"/>
          <w:szCs w:val="24"/>
        </w:rPr>
        <w:t>.</w:t>
      </w:r>
      <w:r w:rsidR="000F4443" w:rsidRPr="009B0595">
        <w:rPr>
          <w:vertAlign w:val="superscript"/>
        </w:rPr>
        <w:footnoteReference w:id="5"/>
      </w:r>
      <w:r w:rsidRPr="00291C57">
        <w:rPr>
          <w:rFonts w:ascii="Times New Roman" w:hAnsi="Times New Roman" w:cs="Times New Roman"/>
          <w:sz w:val="24"/>
          <w:szCs w:val="24"/>
        </w:rPr>
        <w:t xml:space="preserve"> nu și-au exercitat responsabilitatea de a adopta decizii privind restituirea soldurilor de granturi neutilizate la buget, în timp ce altele</w:t>
      </w:r>
      <w:r w:rsidR="000F4443" w:rsidRPr="009B0595">
        <w:rPr>
          <w:vertAlign w:val="superscript"/>
        </w:rPr>
        <w:footnoteReference w:id="6"/>
      </w:r>
      <w:r w:rsidRPr="00291C57">
        <w:rPr>
          <w:rFonts w:ascii="Times New Roman" w:hAnsi="Times New Roman" w:cs="Times New Roman"/>
          <w:sz w:val="24"/>
          <w:szCs w:val="24"/>
        </w:rPr>
        <w:t xml:space="preserve"> nu s-au conformat regulilor stabilite și nu au transferat la buget mijloacele bugetare neutilizate</w:t>
      </w:r>
      <w:r w:rsidR="009308E7">
        <w:rPr>
          <w:rFonts w:ascii="Times New Roman" w:hAnsi="Times New Roman" w:cs="Times New Roman"/>
          <w:sz w:val="24"/>
          <w:szCs w:val="24"/>
        </w:rPr>
        <w:t xml:space="preserve"> (pct. 4.1.4.)</w:t>
      </w:r>
      <w:r w:rsidRPr="00291C57">
        <w:rPr>
          <w:rFonts w:ascii="Times New Roman" w:hAnsi="Times New Roman" w:cs="Times New Roman"/>
          <w:sz w:val="24"/>
          <w:szCs w:val="24"/>
        </w:rPr>
        <w:t>.</w:t>
      </w:r>
    </w:p>
    <w:p w14:paraId="0A916304" w14:textId="5E03558E" w:rsidR="00291C57" w:rsidRPr="00291C57" w:rsidRDefault="00291C57" w:rsidP="00D93C64">
      <w:pPr>
        <w:numPr>
          <w:ilvl w:val="0"/>
          <w:numId w:val="31"/>
        </w:numPr>
        <w:spacing w:after="120" w:line="276" w:lineRule="auto"/>
        <w:ind w:left="709" w:hanging="567"/>
        <w:jc w:val="both"/>
        <w:rPr>
          <w:rFonts w:ascii="Times New Roman" w:hAnsi="Times New Roman" w:cs="Times New Roman"/>
          <w:sz w:val="24"/>
          <w:szCs w:val="24"/>
        </w:rPr>
      </w:pPr>
      <w:r w:rsidRPr="00291C57">
        <w:rPr>
          <w:rFonts w:ascii="Times New Roman" w:hAnsi="Times New Roman" w:cs="Times New Roman"/>
          <w:sz w:val="24"/>
          <w:szCs w:val="24"/>
        </w:rPr>
        <w:t>Admiterea unor neconformități sistemice la achiziția de bunuri și servicii de către CS și unele I</w:t>
      </w:r>
      <w:r w:rsidR="00BA69A9">
        <w:rPr>
          <w:rFonts w:ascii="Times New Roman" w:hAnsi="Times New Roman" w:cs="Times New Roman"/>
          <w:sz w:val="24"/>
          <w:szCs w:val="24"/>
        </w:rPr>
        <w:t>.</w:t>
      </w:r>
      <w:r w:rsidRPr="00291C57">
        <w:rPr>
          <w:rFonts w:ascii="Times New Roman" w:hAnsi="Times New Roman" w:cs="Times New Roman"/>
          <w:sz w:val="24"/>
          <w:szCs w:val="24"/>
        </w:rPr>
        <w:t>P</w:t>
      </w:r>
      <w:r w:rsidR="00BA69A9">
        <w:rPr>
          <w:rFonts w:ascii="Times New Roman" w:hAnsi="Times New Roman" w:cs="Times New Roman"/>
          <w:sz w:val="24"/>
          <w:szCs w:val="24"/>
        </w:rPr>
        <w:t>.</w:t>
      </w:r>
      <w:r w:rsidRPr="00291C57">
        <w:rPr>
          <w:rFonts w:ascii="Times New Roman" w:hAnsi="Times New Roman" w:cs="Times New Roman"/>
          <w:sz w:val="24"/>
          <w:szCs w:val="24"/>
        </w:rPr>
        <w:t xml:space="preserve"> monitorizate, în principal caracterizate de: fundamentarea necorespunzătoare a achizițiilor de bunuri și servicii; semnarea contractelor de mică valoare la procurarea bunurilor și serviciilor, cu evitarea procedurilor competitive de achiziționare a acestora. Toate acestea conduc la utilizarea banilor publici pentru achiziții în condiții neconcurențiale și în lipsă de transparență</w:t>
      </w:r>
      <w:r w:rsidR="009308E7">
        <w:rPr>
          <w:rFonts w:ascii="Times New Roman" w:hAnsi="Times New Roman" w:cs="Times New Roman"/>
          <w:sz w:val="24"/>
          <w:szCs w:val="24"/>
        </w:rPr>
        <w:t xml:space="preserve"> (pct. 4.1.6.)</w:t>
      </w:r>
      <w:r w:rsidRPr="00291C57">
        <w:rPr>
          <w:rFonts w:ascii="Times New Roman" w:hAnsi="Times New Roman" w:cs="Times New Roman"/>
          <w:sz w:val="24"/>
          <w:szCs w:val="24"/>
        </w:rPr>
        <w:t>.</w:t>
      </w:r>
    </w:p>
    <w:p w14:paraId="06904FC5" w14:textId="797299FA" w:rsidR="00291C57" w:rsidRPr="00291C57" w:rsidRDefault="00291C57" w:rsidP="00D93C64">
      <w:pPr>
        <w:spacing w:after="120" w:line="276" w:lineRule="auto"/>
        <w:ind w:left="709" w:hanging="567"/>
        <w:jc w:val="both"/>
        <w:rPr>
          <w:rFonts w:ascii="Times New Roman" w:hAnsi="Times New Roman" w:cs="Times New Roman"/>
          <w:bCs/>
          <w:i/>
          <w:sz w:val="24"/>
          <w:szCs w:val="24"/>
        </w:rPr>
      </w:pPr>
      <w:r w:rsidRPr="00291C57">
        <w:rPr>
          <w:rFonts w:ascii="Times New Roman" w:hAnsi="Times New Roman" w:cs="Times New Roman"/>
          <w:bCs/>
          <w:i/>
          <w:sz w:val="24"/>
          <w:szCs w:val="24"/>
        </w:rPr>
        <w:t>Cu referire la exercitarea de către CS a monitoringului</w:t>
      </w:r>
      <w:r w:rsidR="00BA69A9">
        <w:rPr>
          <w:rFonts w:ascii="Times New Roman" w:hAnsi="Times New Roman" w:cs="Times New Roman"/>
          <w:bCs/>
          <w:i/>
          <w:sz w:val="24"/>
          <w:szCs w:val="24"/>
        </w:rPr>
        <w:t xml:space="preserve"> </w:t>
      </w:r>
      <w:r w:rsidRPr="00291C57">
        <w:rPr>
          <w:rFonts w:ascii="Times New Roman" w:hAnsi="Times New Roman" w:cs="Times New Roman"/>
          <w:bCs/>
          <w:i/>
          <w:sz w:val="24"/>
          <w:szCs w:val="24"/>
        </w:rPr>
        <w:t xml:space="preserve">instituțiilor fondate </w:t>
      </w:r>
    </w:p>
    <w:p w14:paraId="6950FEB2" w14:textId="13757C8A" w:rsidR="00291C57" w:rsidRPr="00291C57" w:rsidRDefault="00362240" w:rsidP="00D93C64">
      <w:pPr>
        <w:numPr>
          <w:ilvl w:val="0"/>
          <w:numId w:val="31"/>
        </w:numPr>
        <w:spacing w:after="120" w:line="276"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Existența </w:t>
      </w:r>
      <w:r w:rsidR="00291C57" w:rsidRPr="00291C57">
        <w:rPr>
          <w:rFonts w:ascii="Times New Roman" w:hAnsi="Times New Roman" w:cs="Times New Roman"/>
          <w:sz w:val="24"/>
          <w:szCs w:val="24"/>
        </w:rPr>
        <w:t>unui vid legislativ privind reglementarea organizării și funcționării instituțiilor publice,</w:t>
      </w:r>
      <w:r>
        <w:rPr>
          <w:rFonts w:ascii="Times New Roman" w:hAnsi="Times New Roman" w:cs="Times New Roman"/>
          <w:sz w:val="24"/>
          <w:szCs w:val="24"/>
        </w:rPr>
        <w:t xml:space="preserve"> a determinat necesitatea elaborării</w:t>
      </w:r>
      <w:r w:rsidR="00291C57" w:rsidRPr="00291C57">
        <w:rPr>
          <w:rFonts w:ascii="Times New Roman" w:hAnsi="Times New Roman" w:cs="Times New Roman"/>
          <w:sz w:val="24"/>
          <w:szCs w:val="24"/>
        </w:rPr>
        <w:t xml:space="preserve"> </w:t>
      </w:r>
      <w:r w:rsidR="00917A74">
        <w:rPr>
          <w:rFonts w:ascii="Times New Roman" w:hAnsi="Times New Roman" w:cs="Times New Roman"/>
          <w:sz w:val="24"/>
          <w:szCs w:val="24"/>
        </w:rPr>
        <w:t>de către CS a unui act</w:t>
      </w:r>
      <w:r w:rsidR="00291C57" w:rsidRPr="00291C57">
        <w:rPr>
          <w:rFonts w:ascii="Times New Roman" w:hAnsi="Times New Roman" w:cs="Times New Roman"/>
          <w:sz w:val="24"/>
          <w:szCs w:val="24"/>
        </w:rPr>
        <w:t xml:space="preserve"> normativ</w:t>
      </w:r>
      <w:r w:rsidR="00917A74">
        <w:rPr>
          <w:rFonts w:ascii="Times New Roman" w:hAnsi="Times New Roman" w:cs="Times New Roman"/>
          <w:sz w:val="24"/>
          <w:szCs w:val="24"/>
        </w:rPr>
        <w:t xml:space="preserve"> aferent</w:t>
      </w:r>
      <w:r>
        <w:rPr>
          <w:rFonts w:ascii="Times New Roman" w:hAnsi="Times New Roman" w:cs="Times New Roman"/>
          <w:sz w:val="24"/>
          <w:szCs w:val="24"/>
        </w:rPr>
        <w:t xml:space="preserve">, </w:t>
      </w:r>
      <w:r w:rsidR="00917A74">
        <w:rPr>
          <w:rFonts w:ascii="Times New Roman" w:hAnsi="Times New Roman" w:cs="Times New Roman"/>
          <w:sz w:val="24"/>
          <w:szCs w:val="24"/>
        </w:rPr>
        <w:t>î</w:t>
      </w:r>
      <w:r w:rsidR="00F74488">
        <w:rPr>
          <w:rFonts w:ascii="Times New Roman" w:hAnsi="Times New Roman" w:cs="Times New Roman"/>
          <w:sz w:val="24"/>
          <w:szCs w:val="24"/>
        </w:rPr>
        <w:t xml:space="preserve">nsă, </w:t>
      </w:r>
      <w:r w:rsidR="00291C57" w:rsidRPr="00291C57">
        <w:rPr>
          <w:rFonts w:ascii="Times New Roman" w:hAnsi="Times New Roman" w:cs="Times New Roman"/>
          <w:sz w:val="24"/>
          <w:szCs w:val="24"/>
        </w:rPr>
        <w:t>această activitate nu a avut fi</w:t>
      </w:r>
      <w:r w:rsidR="00917A74">
        <w:rPr>
          <w:rFonts w:ascii="Times New Roman" w:hAnsi="Times New Roman" w:cs="Times New Roman"/>
          <w:sz w:val="24"/>
          <w:szCs w:val="24"/>
        </w:rPr>
        <w:t xml:space="preserve">nalitate, fapt ce a determinat </w:t>
      </w:r>
      <w:r w:rsidR="00291C57" w:rsidRPr="00291C57">
        <w:rPr>
          <w:rFonts w:ascii="Times New Roman" w:hAnsi="Times New Roman" w:cs="Times New Roman"/>
          <w:sz w:val="24"/>
          <w:szCs w:val="24"/>
        </w:rPr>
        <w:t xml:space="preserve">nerealizarea de către CS a </w:t>
      </w:r>
      <w:r w:rsidR="00917A74">
        <w:rPr>
          <w:rFonts w:ascii="Times New Roman" w:hAnsi="Times New Roman" w:cs="Times New Roman"/>
          <w:sz w:val="24"/>
          <w:szCs w:val="24"/>
        </w:rPr>
        <w:t>sarcinii</w:t>
      </w:r>
      <w:r w:rsidR="00BA69A9">
        <w:rPr>
          <w:rFonts w:ascii="Times New Roman" w:hAnsi="Times New Roman" w:cs="Times New Roman"/>
          <w:sz w:val="24"/>
          <w:szCs w:val="24"/>
        </w:rPr>
        <w:t xml:space="preserve"> </w:t>
      </w:r>
      <w:r w:rsidR="00291C57" w:rsidRPr="00291C57">
        <w:rPr>
          <w:rFonts w:ascii="Times New Roman" w:hAnsi="Times New Roman" w:cs="Times New Roman"/>
          <w:sz w:val="24"/>
          <w:szCs w:val="24"/>
        </w:rPr>
        <w:t>din Planul de acțiuni al Guvernului. Lipsa unor reguli de organizare și funcționare a instituțiilor publice creează, în principal, neclarități și incertitudini privind modul de finanțare</w:t>
      </w:r>
      <w:r w:rsidR="00BA69A9">
        <w:rPr>
          <w:rFonts w:ascii="Times New Roman" w:hAnsi="Times New Roman" w:cs="Times New Roman"/>
          <w:sz w:val="24"/>
          <w:szCs w:val="24"/>
        </w:rPr>
        <w:t xml:space="preserve"> a acestor structuri din contul</w:t>
      </w:r>
      <w:r w:rsidR="00291C57" w:rsidRPr="00291C57">
        <w:rPr>
          <w:rFonts w:ascii="Times New Roman" w:hAnsi="Times New Roman" w:cs="Times New Roman"/>
          <w:sz w:val="24"/>
          <w:szCs w:val="24"/>
        </w:rPr>
        <w:t xml:space="preserve"> mijloacelor bugetare, dar și în administrarea acestora. Cele menționate conduc și la existența unor discrepanțe semnificative privind salarizarea acelorași categorii de angajați, care activează în cadrul instituțiilor publice finanțate de la buget și în instituțiile publice care activează în condiții de autofinanțare, </w:t>
      </w:r>
      <w:r w:rsidR="00BA69A9">
        <w:rPr>
          <w:rFonts w:ascii="Times New Roman" w:hAnsi="Times New Roman" w:cs="Times New Roman"/>
          <w:sz w:val="24"/>
          <w:szCs w:val="24"/>
        </w:rPr>
        <w:t>chiar dacă</w:t>
      </w:r>
      <w:r w:rsidR="00291C57" w:rsidRPr="00291C57">
        <w:rPr>
          <w:rFonts w:ascii="Times New Roman" w:hAnsi="Times New Roman" w:cs="Times New Roman"/>
          <w:sz w:val="24"/>
          <w:szCs w:val="24"/>
        </w:rPr>
        <w:t xml:space="preserve"> ultimele sunt finanțate preponderent de la bugetul de stat, în formă de subvenții și granturi</w:t>
      </w:r>
      <w:r w:rsidR="009308E7">
        <w:rPr>
          <w:rFonts w:ascii="Times New Roman" w:hAnsi="Times New Roman" w:cs="Times New Roman"/>
          <w:sz w:val="24"/>
          <w:szCs w:val="24"/>
        </w:rPr>
        <w:t xml:space="preserve"> (pct. 4.2.1.)</w:t>
      </w:r>
      <w:r w:rsidR="00291C57" w:rsidRPr="00291C57">
        <w:rPr>
          <w:rFonts w:ascii="Times New Roman" w:hAnsi="Times New Roman" w:cs="Times New Roman"/>
          <w:sz w:val="24"/>
          <w:szCs w:val="24"/>
        </w:rPr>
        <w:t>.</w:t>
      </w:r>
    </w:p>
    <w:p w14:paraId="6347F377" w14:textId="77263CE9" w:rsidR="00291C57" w:rsidRPr="00291C57" w:rsidRDefault="00291C57" w:rsidP="00D93C64">
      <w:pPr>
        <w:numPr>
          <w:ilvl w:val="0"/>
          <w:numId w:val="31"/>
        </w:numPr>
        <w:spacing w:after="120" w:line="276" w:lineRule="auto"/>
        <w:ind w:left="709" w:hanging="567"/>
        <w:jc w:val="both"/>
        <w:rPr>
          <w:rFonts w:ascii="Times New Roman" w:hAnsi="Times New Roman" w:cs="Times New Roman"/>
          <w:sz w:val="24"/>
          <w:szCs w:val="24"/>
        </w:rPr>
      </w:pPr>
      <w:r w:rsidRPr="00291C57">
        <w:rPr>
          <w:rFonts w:ascii="Times New Roman" w:hAnsi="Times New Roman" w:cs="Times New Roman"/>
          <w:sz w:val="24"/>
          <w:szCs w:val="24"/>
        </w:rPr>
        <w:t>Deși cadrul normativ pr</w:t>
      </w:r>
      <w:r w:rsidR="00BB4C28">
        <w:rPr>
          <w:rFonts w:ascii="Times New Roman" w:hAnsi="Times New Roman" w:cs="Times New Roman"/>
          <w:sz w:val="24"/>
          <w:szCs w:val="24"/>
        </w:rPr>
        <w:t>evede că CS exercită monitoring</w:t>
      </w:r>
      <w:r w:rsidRPr="00291C57">
        <w:rPr>
          <w:rFonts w:ascii="Times New Roman" w:hAnsi="Times New Roman" w:cs="Times New Roman"/>
          <w:sz w:val="24"/>
          <w:szCs w:val="24"/>
        </w:rPr>
        <w:t xml:space="preserve">ul instituțiilor publice în care are calitatea de fondator, autoritatea nu și-a formalizat și instituționalizat acest proces operațional, inclusiv cu stabilirea distinctă a activităților și responsabilităților care îi revin. </w:t>
      </w:r>
      <w:r w:rsidR="008912A3" w:rsidRPr="00291C57">
        <w:rPr>
          <w:rFonts w:ascii="Times New Roman" w:hAnsi="Times New Roman" w:cs="Times New Roman"/>
          <w:sz w:val="24"/>
          <w:szCs w:val="24"/>
        </w:rPr>
        <w:t>Cele menționate au condus la unele deficiențe și neconformități în aplicabilitatea politicilor tarifare de către unele I</w:t>
      </w:r>
      <w:r w:rsidR="008912A3">
        <w:rPr>
          <w:rFonts w:ascii="Times New Roman" w:hAnsi="Times New Roman" w:cs="Times New Roman"/>
          <w:sz w:val="24"/>
          <w:szCs w:val="24"/>
        </w:rPr>
        <w:t>.</w:t>
      </w:r>
      <w:r w:rsidR="008912A3" w:rsidRPr="00291C57">
        <w:rPr>
          <w:rFonts w:ascii="Times New Roman" w:hAnsi="Times New Roman" w:cs="Times New Roman"/>
          <w:sz w:val="24"/>
          <w:szCs w:val="24"/>
        </w:rPr>
        <w:t>P</w:t>
      </w:r>
      <w:r w:rsidR="008912A3">
        <w:rPr>
          <w:rFonts w:ascii="Times New Roman" w:hAnsi="Times New Roman" w:cs="Times New Roman"/>
          <w:sz w:val="24"/>
          <w:szCs w:val="24"/>
        </w:rPr>
        <w:t>.</w:t>
      </w:r>
      <w:r w:rsidR="008912A3" w:rsidRPr="00291C57">
        <w:rPr>
          <w:rFonts w:ascii="Times New Roman" w:hAnsi="Times New Roman" w:cs="Times New Roman"/>
          <w:sz w:val="24"/>
          <w:szCs w:val="24"/>
        </w:rPr>
        <w:t xml:space="preserve"> monitorizate, în speță a prestării unor servicii în lipsa tarife</w:t>
      </w:r>
      <w:r w:rsidR="008912A3">
        <w:rPr>
          <w:rFonts w:ascii="Times New Roman" w:hAnsi="Times New Roman" w:cs="Times New Roman"/>
          <w:sz w:val="24"/>
          <w:szCs w:val="24"/>
        </w:rPr>
        <w:t>lor</w:t>
      </w:r>
      <w:r w:rsidR="008912A3" w:rsidRPr="00291C57">
        <w:rPr>
          <w:rFonts w:ascii="Times New Roman" w:hAnsi="Times New Roman" w:cs="Times New Roman"/>
          <w:sz w:val="24"/>
          <w:szCs w:val="24"/>
        </w:rPr>
        <w:t xml:space="preserve"> aprobate regulamentar sau la costuri diminuate</w:t>
      </w:r>
      <w:r w:rsidR="008912A3">
        <w:rPr>
          <w:rFonts w:ascii="Times New Roman" w:hAnsi="Times New Roman" w:cs="Times New Roman"/>
          <w:sz w:val="24"/>
          <w:szCs w:val="24"/>
        </w:rPr>
        <w:t xml:space="preserve"> </w:t>
      </w:r>
      <w:r w:rsidR="009308E7">
        <w:rPr>
          <w:rFonts w:ascii="Times New Roman" w:hAnsi="Times New Roman" w:cs="Times New Roman"/>
          <w:sz w:val="24"/>
          <w:szCs w:val="24"/>
        </w:rPr>
        <w:t>(pct-le 4.2.2.-4.2.3</w:t>
      </w:r>
      <w:r w:rsidR="008912A3">
        <w:rPr>
          <w:rFonts w:ascii="Times New Roman" w:hAnsi="Times New Roman" w:cs="Times New Roman"/>
          <w:sz w:val="24"/>
          <w:szCs w:val="24"/>
        </w:rPr>
        <w:t>).</w:t>
      </w:r>
    </w:p>
    <w:p w14:paraId="5A53FF49" w14:textId="77777777" w:rsidR="00291C57" w:rsidRPr="00D6714D" w:rsidRDefault="00291C57" w:rsidP="00D6714D">
      <w:pPr>
        <w:spacing w:after="120" w:line="276" w:lineRule="auto"/>
        <w:jc w:val="both"/>
        <w:rPr>
          <w:rFonts w:ascii="Times New Roman" w:hAnsi="Times New Roman" w:cs="Times New Roman"/>
          <w:bCs/>
          <w:i/>
          <w:sz w:val="24"/>
          <w:szCs w:val="24"/>
        </w:rPr>
      </w:pPr>
      <w:r w:rsidRPr="00D6714D">
        <w:rPr>
          <w:rFonts w:ascii="Times New Roman" w:hAnsi="Times New Roman" w:cs="Times New Roman"/>
          <w:bCs/>
          <w:i/>
          <w:sz w:val="24"/>
          <w:szCs w:val="24"/>
        </w:rPr>
        <w:t>Cu referire la administrarea patrimoniului</w:t>
      </w:r>
    </w:p>
    <w:p w14:paraId="6375724D" w14:textId="76862A6E" w:rsidR="00291C57" w:rsidRPr="00291C57" w:rsidRDefault="00291C57" w:rsidP="00D93C64">
      <w:pPr>
        <w:numPr>
          <w:ilvl w:val="0"/>
          <w:numId w:val="31"/>
        </w:numPr>
        <w:spacing w:after="120" w:line="276" w:lineRule="auto"/>
        <w:ind w:left="709" w:hanging="567"/>
        <w:jc w:val="both"/>
        <w:rPr>
          <w:rFonts w:ascii="Times New Roman" w:hAnsi="Times New Roman" w:cs="Times New Roman"/>
          <w:sz w:val="24"/>
          <w:szCs w:val="24"/>
        </w:rPr>
      </w:pPr>
      <w:r w:rsidRPr="00291C57">
        <w:rPr>
          <w:rFonts w:ascii="Times New Roman" w:hAnsi="Times New Roman" w:cs="Times New Roman"/>
          <w:sz w:val="24"/>
          <w:szCs w:val="24"/>
        </w:rPr>
        <w:t xml:space="preserve">Autoritatea centrală, în calitate de fondator, nu deține o imagine </w:t>
      </w:r>
      <w:r w:rsidR="008912A3">
        <w:rPr>
          <w:rFonts w:ascii="Times New Roman" w:hAnsi="Times New Roman" w:cs="Times New Roman"/>
          <w:sz w:val="24"/>
          <w:szCs w:val="24"/>
        </w:rPr>
        <w:t>de ansamblu</w:t>
      </w:r>
      <w:r w:rsidRPr="00291C57">
        <w:rPr>
          <w:rFonts w:ascii="Times New Roman" w:hAnsi="Times New Roman" w:cs="Times New Roman"/>
          <w:sz w:val="24"/>
          <w:szCs w:val="24"/>
        </w:rPr>
        <w:t xml:space="preserve"> privind valoarea patrimoniului public administrat și transmis în gestiune economică I</w:t>
      </w:r>
      <w:r w:rsidR="00BA69A9">
        <w:rPr>
          <w:rFonts w:ascii="Times New Roman" w:hAnsi="Times New Roman" w:cs="Times New Roman"/>
          <w:sz w:val="24"/>
          <w:szCs w:val="24"/>
        </w:rPr>
        <w:t>.</w:t>
      </w:r>
      <w:r w:rsidRPr="00291C57">
        <w:rPr>
          <w:rFonts w:ascii="Times New Roman" w:hAnsi="Times New Roman" w:cs="Times New Roman"/>
          <w:sz w:val="24"/>
          <w:szCs w:val="24"/>
        </w:rPr>
        <w:t>P</w:t>
      </w:r>
      <w:r w:rsidR="00BA69A9">
        <w:rPr>
          <w:rFonts w:ascii="Times New Roman" w:hAnsi="Times New Roman" w:cs="Times New Roman"/>
          <w:sz w:val="24"/>
          <w:szCs w:val="24"/>
        </w:rPr>
        <w:t>.</w:t>
      </w:r>
      <w:r w:rsidRPr="00291C57">
        <w:rPr>
          <w:rFonts w:ascii="Times New Roman" w:hAnsi="Times New Roman" w:cs="Times New Roman"/>
          <w:sz w:val="24"/>
          <w:szCs w:val="24"/>
        </w:rPr>
        <w:t xml:space="preserve"> monitorizate, ca urmare a neînregistrării integrale a valorii acestuia în evidența contabilă. În principal, CS nu a </w:t>
      </w:r>
      <w:r w:rsidRPr="00D93C64">
        <w:rPr>
          <w:rFonts w:ascii="Times New Roman" w:hAnsi="Times New Roman" w:cs="Times New Roman"/>
          <w:sz w:val="24"/>
          <w:szCs w:val="24"/>
        </w:rPr>
        <w:t>asigurat contabilizarea la investiții în părți legate a patrimo</w:t>
      </w:r>
      <w:r w:rsidR="00A22258" w:rsidRPr="00D93C64">
        <w:rPr>
          <w:rFonts w:ascii="Times New Roman" w:hAnsi="Times New Roman" w:cs="Times New Roman"/>
          <w:sz w:val="24"/>
          <w:szCs w:val="24"/>
        </w:rPr>
        <w:t xml:space="preserve">niului </w:t>
      </w:r>
      <w:r w:rsidR="00A25419">
        <w:rPr>
          <w:rFonts w:ascii="Times New Roman" w:hAnsi="Times New Roman" w:cs="Times New Roman"/>
          <w:sz w:val="24"/>
          <w:szCs w:val="24"/>
        </w:rPr>
        <w:t>aflat</w:t>
      </w:r>
      <w:r w:rsidR="00636D21">
        <w:rPr>
          <w:rFonts w:ascii="Times New Roman" w:hAnsi="Times New Roman" w:cs="Times New Roman"/>
          <w:sz w:val="24"/>
          <w:szCs w:val="24"/>
        </w:rPr>
        <w:t>/transmis</w:t>
      </w:r>
      <w:r w:rsidR="00B00347" w:rsidRPr="00D93C64">
        <w:rPr>
          <w:rFonts w:ascii="Times New Roman" w:hAnsi="Times New Roman" w:cs="Times New Roman"/>
          <w:sz w:val="24"/>
          <w:szCs w:val="24"/>
        </w:rPr>
        <w:t xml:space="preserve"> în gestiune la trei I</w:t>
      </w:r>
      <w:r w:rsidR="00BA69A9">
        <w:rPr>
          <w:rFonts w:ascii="Times New Roman" w:hAnsi="Times New Roman" w:cs="Times New Roman"/>
          <w:sz w:val="24"/>
          <w:szCs w:val="24"/>
        </w:rPr>
        <w:t>.</w:t>
      </w:r>
      <w:r w:rsidR="00B00347" w:rsidRPr="00D93C64">
        <w:rPr>
          <w:rFonts w:ascii="Times New Roman" w:hAnsi="Times New Roman" w:cs="Times New Roman"/>
          <w:sz w:val="24"/>
          <w:szCs w:val="24"/>
        </w:rPr>
        <w:t>P</w:t>
      </w:r>
      <w:r w:rsidR="00BA69A9">
        <w:rPr>
          <w:rFonts w:ascii="Times New Roman" w:hAnsi="Times New Roman" w:cs="Times New Roman"/>
          <w:sz w:val="24"/>
          <w:szCs w:val="24"/>
        </w:rPr>
        <w:t>.</w:t>
      </w:r>
      <w:r w:rsidR="00B00347" w:rsidRPr="00D93C64">
        <w:rPr>
          <w:rFonts w:ascii="Times New Roman" w:hAnsi="Times New Roman" w:cs="Times New Roman"/>
          <w:sz w:val="24"/>
          <w:szCs w:val="24"/>
        </w:rPr>
        <w:t xml:space="preserve"> fondate care potrivit constatărilor de audit reprezintă </w:t>
      </w:r>
      <w:r w:rsidR="00DB6926" w:rsidRPr="00D93C64">
        <w:rPr>
          <w:rFonts w:ascii="Times New Roman" w:hAnsi="Times New Roman" w:cs="Times New Roman"/>
          <w:sz w:val="24"/>
          <w:szCs w:val="24"/>
        </w:rPr>
        <w:t>suma</w:t>
      </w:r>
      <w:r w:rsidR="00B00347" w:rsidRPr="00D93C64">
        <w:rPr>
          <w:rFonts w:ascii="Times New Roman" w:hAnsi="Times New Roman" w:cs="Times New Roman"/>
          <w:sz w:val="24"/>
          <w:szCs w:val="24"/>
        </w:rPr>
        <w:t xml:space="preserve"> de</w:t>
      </w:r>
      <w:r w:rsidR="00A22258" w:rsidRPr="00D93C64">
        <w:rPr>
          <w:rFonts w:ascii="Times New Roman" w:hAnsi="Times New Roman" w:cs="Times New Roman"/>
          <w:sz w:val="24"/>
          <w:szCs w:val="24"/>
        </w:rPr>
        <w:t xml:space="preserve"> </w:t>
      </w:r>
      <w:r w:rsidR="00F17FF0" w:rsidRPr="00D93C64">
        <w:rPr>
          <w:rFonts w:ascii="Times New Roman" w:hAnsi="Times New Roman" w:cs="Times New Roman"/>
          <w:sz w:val="24"/>
          <w:szCs w:val="24"/>
        </w:rPr>
        <w:t>82,7</w:t>
      </w:r>
      <w:r w:rsidR="00B00347" w:rsidRPr="00D93C64">
        <w:rPr>
          <w:rFonts w:ascii="Times New Roman" w:hAnsi="Times New Roman" w:cs="Times New Roman"/>
          <w:sz w:val="24"/>
          <w:szCs w:val="24"/>
        </w:rPr>
        <w:t xml:space="preserve"> mil. lei</w:t>
      </w:r>
      <w:r w:rsidR="00DB6926" w:rsidRPr="00D93C64">
        <w:rPr>
          <w:rFonts w:ascii="Times New Roman" w:hAnsi="Times New Roman" w:cs="Times New Roman"/>
          <w:sz w:val="24"/>
          <w:szCs w:val="24"/>
        </w:rPr>
        <w:t>, valoare</w:t>
      </w:r>
      <w:r w:rsidR="00AD3402" w:rsidRPr="00D93C64">
        <w:rPr>
          <w:rFonts w:ascii="Times New Roman" w:hAnsi="Times New Roman" w:cs="Times New Roman"/>
          <w:sz w:val="24"/>
          <w:szCs w:val="24"/>
        </w:rPr>
        <w:t xml:space="preserve"> care urmează a fi </w:t>
      </w:r>
      <w:r w:rsidR="00F26B30" w:rsidRPr="00D93C64">
        <w:rPr>
          <w:rFonts w:ascii="Times New Roman" w:hAnsi="Times New Roman" w:cs="Times New Roman"/>
          <w:sz w:val="24"/>
          <w:szCs w:val="24"/>
        </w:rPr>
        <w:t xml:space="preserve">determinată </w:t>
      </w:r>
      <w:r w:rsidR="00AD3402" w:rsidRPr="00D93C64">
        <w:rPr>
          <w:rFonts w:ascii="Times New Roman" w:hAnsi="Times New Roman" w:cs="Times New Roman"/>
          <w:sz w:val="24"/>
          <w:szCs w:val="24"/>
        </w:rPr>
        <w:t xml:space="preserve">sub aspectul plenitudinii tuturor elementelor patrimoniale transmise. </w:t>
      </w:r>
      <w:r w:rsidRPr="00D93C64">
        <w:rPr>
          <w:rFonts w:ascii="Times New Roman" w:hAnsi="Times New Roman" w:cs="Times New Roman"/>
          <w:sz w:val="24"/>
          <w:szCs w:val="24"/>
        </w:rPr>
        <w:t>Nici entitățile monitorizate de CS nu s-au conformat în totalitate normelor legale privind înregistrarea în evidența contabilă</w:t>
      </w:r>
      <w:r w:rsidR="00BA69A9">
        <w:rPr>
          <w:rFonts w:ascii="Times New Roman" w:hAnsi="Times New Roman" w:cs="Times New Roman"/>
          <w:sz w:val="24"/>
          <w:szCs w:val="24"/>
        </w:rPr>
        <w:t xml:space="preserve"> </w:t>
      </w:r>
      <w:r w:rsidRPr="00D93C64">
        <w:rPr>
          <w:rFonts w:ascii="Times New Roman" w:hAnsi="Times New Roman" w:cs="Times New Roman"/>
          <w:sz w:val="24"/>
          <w:szCs w:val="24"/>
        </w:rPr>
        <w:t>a patrimoniului primit cu drept de gestiune și cu drept de proprietate, auditul constatând erori contabile la acest aspect</w:t>
      </w:r>
      <w:r w:rsidR="009308E7" w:rsidRPr="00D93C64">
        <w:rPr>
          <w:rFonts w:ascii="Times New Roman" w:hAnsi="Times New Roman" w:cs="Times New Roman"/>
          <w:sz w:val="24"/>
          <w:szCs w:val="24"/>
        </w:rPr>
        <w:t xml:space="preserve"> (pct. 4.3.1.)</w:t>
      </w:r>
      <w:r w:rsidRPr="00D93C64">
        <w:rPr>
          <w:rFonts w:ascii="Times New Roman" w:hAnsi="Times New Roman" w:cs="Times New Roman"/>
          <w:sz w:val="24"/>
          <w:szCs w:val="24"/>
        </w:rPr>
        <w:t>.</w:t>
      </w:r>
    </w:p>
    <w:p w14:paraId="2BAEEB8F" w14:textId="741DD962" w:rsidR="00291C57" w:rsidRPr="00291C57" w:rsidRDefault="00291C57" w:rsidP="00D93C64">
      <w:pPr>
        <w:numPr>
          <w:ilvl w:val="0"/>
          <w:numId w:val="31"/>
        </w:numPr>
        <w:spacing w:after="120" w:line="276" w:lineRule="auto"/>
        <w:ind w:left="709" w:hanging="567"/>
        <w:jc w:val="both"/>
        <w:rPr>
          <w:rFonts w:ascii="Times New Roman" w:hAnsi="Times New Roman" w:cs="Times New Roman"/>
          <w:sz w:val="24"/>
          <w:szCs w:val="24"/>
        </w:rPr>
      </w:pPr>
      <w:r w:rsidRPr="00291C57">
        <w:rPr>
          <w:rFonts w:ascii="Times New Roman" w:hAnsi="Times New Roman" w:cs="Times New Roman"/>
          <w:sz w:val="24"/>
          <w:szCs w:val="24"/>
        </w:rPr>
        <w:t>Se atestă transmiterea neconformă de către CS în administrare fiduciară unui agent economic a terenului cu suprafața de 24,8 ha din fondul forestier al statului, amplasat pe malul drept al râului Nistru, pent</w:t>
      </w:r>
      <w:r w:rsidR="00F74488">
        <w:rPr>
          <w:rFonts w:ascii="Times New Roman" w:hAnsi="Times New Roman" w:cs="Times New Roman"/>
          <w:sz w:val="24"/>
          <w:szCs w:val="24"/>
        </w:rPr>
        <w:t>ru implementarea unui proiect</w:t>
      </w:r>
      <w:r w:rsidR="00BA69A9">
        <w:rPr>
          <w:rFonts w:ascii="Times New Roman" w:hAnsi="Times New Roman" w:cs="Times New Roman"/>
          <w:sz w:val="24"/>
          <w:szCs w:val="24"/>
        </w:rPr>
        <w:t xml:space="preserve"> </w:t>
      </w:r>
      <w:r w:rsidRPr="00291C57">
        <w:rPr>
          <w:rFonts w:ascii="Times New Roman" w:hAnsi="Times New Roman" w:cs="Times New Roman"/>
          <w:sz w:val="24"/>
          <w:szCs w:val="24"/>
        </w:rPr>
        <w:t xml:space="preserve">a cărui realizare </w:t>
      </w:r>
      <w:r w:rsidR="00F74488">
        <w:rPr>
          <w:rFonts w:ascii="Times New Roman" w:hAnsi="Times New Roman" w:cs="Times New Roman"/>
          <w:sz w:val="24"/>
          <w:szCs w:val="24"/>
        </w:rPr>
        <w:t>contravine</w:t>
      </w:r>
      <w:r w:rsidRPr="00291C57">
        <w:rPr>
          <w:rFonts w:ascii="Times New Roman" w:hAnsi="Times New Roman" w:cs="Times New Roman"/>
          <w:sz w:val="24"/>
          <w:szCs w:val="24"/>
        </w:rPr>
        <w:t xml:space="preserve"> un</w:t>
      </w:r>
      <w:r w:rsidR="00F74488">
        <w:rPr>
          <w:rFonts w:ascii="Times New Roman" w:hAnsi="Times New Roman" w:cs="Times New Roman"/>
          <w:sz w:val="24"/>
          <w:szCs w:val="24"/>
        </w:rPr>
        <w:t>ui</w:t>
      </w:r>
      <w:r w:rsidRPr="00291C57">
        <w:rPr>
          <w:rFonts w:ascii="Times New Roman" w:hAnsi="Times New Roman" w:cs="Times New Roman"/>
          <w:sz w:val="24"/>
          <w:szCs w:val="24"/>
        </w:rPr>
        <w:t xml:space="preserve"> șir de norme legale, inclusiv aferente mediului. Deși agentul economic a utilizat terenurile proprietate publică în condiții suspecte și dezavantajoase statului, nerealizând proiectul asumat, dat fiind ilegală edificarea construcțiilor capitale destinate recreerii pe terenuri</w:t>
      </w:r>
      <w:r w:rsidR="008912A3">
        <w:rPr>
          <w:rFonts w:ascii="Times New Roman" w:hAnsi="Times New Roman" w:cs="Times New Roman"/>
          <w:sz w:val="24"/>
          <w:szCs w:val="24"/>
        </w:rPr>
        <w:t>le</w:t>
      </w:r>
      <w:r w:rsidRPr="00291C57">
        <w:rPr>
          <w:rFonts w:ascii="Times New Roman" w:hAnsi="Times New Roman" w:cs="Times New Roman"/>
          <w:sz w:val="24"/>
          <w:szCs w:val="24"/>
        </w:rPr>
        <w:t xml:space="preserve"> împădurite proprietate publică a statului, autoritățile </w:t>
      </w:r>
      <w:r w:rsidR="008912A3">
        <w:rPr>
          <w:rFonts w:ascii="Times New Roman" w:hAnsi="Times New Roman" w:cs="Times New Roman"/>
          <w:sz w:val="24"/>
          <w:szCs w:val="24"/>
        </w:rPr>
        <w:t>de resort</w:t>
      </w:r>
      <w:r w:rsidRPr="00291C57">
        <w:rPr>
          <w:rFonts w:ascii="Times New Roman" w:hAnsi="Times New Roman" w:cs="Times New Roman"/>
          <w:sz w:val="24"/>
          <w:szCs w:val="24"/>
        </w:rPr>
        <w:t xml:space="preserve"> nu au întreprins măsuri suficiente privind returnarea în posesia statului a terenului respectiv. Se atestă și alte două cazuri de transmitere neregulamentară a unor imobile din gestiunea I</w:t>
      </w:r>
      <w:r w:rsidR="00BA69A9">
        <w:rPr>
          <w:rFonts w:ascii="Times New Roman" w:hAnsi="Times New Roman" w:cs="Times New Roman"/>
          <w:sz w:val="24"/>
          <w:szCs w:val="24"/>
        </w:rPr>
        <w:t>.</w:t>
      </w:r>
      <w:r w:rsidRPr="00291C57">
        <w:rPr>
          <w:rFonts w:ascii="Times New Roman" w:hAnsi="Times New Roman" w:cs="Times New Roman"/>
          <w:sz w:val="24"/>
          <w:szCs w:val="24"/>
        </w:rPr>
        <w:t>P</w:t>
      </w:r>
      <w:r w:rsidR="00BA69A9">
        <w:rPr>
          <w:rFonts w:ascii="Times New Roman" w:hAnsi="Times New Roman" w:cs="Times New Roman"/>
          <w:sz w:val="24"/>
          <w:szCs w:val="24"/>
        </w:rPr>
        <w:t>.</w:t>
      </w:r>
      <w:r w:rsidRPr="00291C57">
        <w:rPr>
          <w:rFonts w:ascii="Times New Roman" w:hAnsi="Times New Roman" w:cs="Times New Roman"/>
          <w:sz w:val="24"/>
          <w:szCs w:val="24"/>
        </w:rPr>
        <w:t xml:space="preserve"> fondate de CS în gestiunea altor entități, fapt ce creează impedimente privind</w:t>
      </w:r>
      <w:r w:rsidR="00BA69A9">
        <w:rPr>
          <w:rFonts w:ascii="Times New Roman" w:hAnsi="Times New Roman" w:cs="Times New Roman"/>
          <w:sz w:val="24"/>
          <w:szCs w:val="24"/>
        </w:rPr>
        <w:t xml:space="preserve"> </w:t>
      </w:r>
      <w:r w:rsidRPr="00291C57">
        <w:rPr>
          <w:rFonts w:ascii="Times New Roman" w:hAnsi="Times New Roman" w:cs="Times New Roman"/>
          <w:sz w:val="24"/>
          <w:szCs w:val="24"/>
        </w:rPr>
        <w:t>înregistrarea cadastrală a acestora și erori în înregistrarea contabilă a bunurilor</w:t>
      </w:r>
      <w:r w:rsidR="009308E7">
        <w:rPr>
          <w:rFonts w:ascii="Times New Roman" w:hAnsi="Times New Roman" w:cs="Times New Roman"/>
          <w:sz w:val="24"/>
          <w:szCs w:val="24"/>
        </w:rPr>
        <w:t xml:space="preserve"> (pct. 4.3.2)</w:t>
      </w:r>
      <w:r w:rsidRPr="00291C57">
        <w:rPr>
          <w:rFonts w:ascii="Times New Roman" w:hAnsi="Times New Roman" w:cs="Times New Roman"/>
          <w:sz w:val="24"/>
          <w:szCs w:val="24"/>
        </w:rPr>
        <w:t>.</w:t>
      </w:r>
      <w:r w:rsidR="00BA69A9">
        <w:rPr>
          <w:rFonts w:ascii="Times New Roman" w:hAnsi="Times New Roman" w:cs="Times New Roman"/>
          <w:sz w:val="24"/>
          <w:szCs w:val="24"/>
        </w:rPr>
        <w:t xml:space="preserve"> </w:t>
      </w:r>
    </w:p>
    <w:p w14:paraId="708FA2E4" w14:textId="78FDBB93" w:rsidR="00291C57" w:rsidRPr="00291C57" w:rsidRDefault="00291C57" w:rsidP="00D93C64">
      <w:pPr>
        <w:numPr>
          <w:ilvl w:val="0"/>
          <w:numId w:val="31"/>
        </w:numPr>
        <w:spacing w:after="120" w:line="276" w:lineRule="auto"/>
        <w:ind w:left="709" w:hanging="567"/>
        <w:jc w:val="both"/>
        <w:rPr>
          <w:rFonts w:ascii="Times New Roman" w:hAnsi="Times New Roman" w:cs="Times New Roman"/>
          <w:sz w:val="24"/>
          <w:szCs w:val="24"/>
        </w:rPr>
      </w:pPr>
      <w:r w:rsidRPr="00291C57">
        <w:rPr>
          <w:rFonts w:ascii="Times New Roman" w:hAnsi="Times New Roman" w:cs="Times New Roman"/>
          <w:sz w:val="24"/>
          <w:szCs w:val="24"/>
        </w:rPr>
        <w:t>Tergiversarea întreprinderii unor măsuri privind revigorarea activității celor trei baze de odihnă, amplasate în Parcul Nistrean din Vadul lui Vodă, transmise în gestiune DGACG, conduce la degradarea unor imobile care aparțin acestora. În plus, obiectivele respective</w:t>
      </w:r>
      <w:r w:rsidR="00BA69A9">
        <w:rPr>
          <w:rFonts w:ascii="Times New Roman" w:hAnsi="Times New Roman" w:cs="Times New Roman"/>
          <w:sz w:val="24"/>
          <w:szCs w:val="24"/>
        </w:rPr>
        <w:t xml:space="preserve"> </w:t>
      </w:r>
      <w:r w:rsidRPr="00291C57">
        <w:rPr>
          <w:rFonts w:ascii="Times New Roman" w:hAnsi="Times New Roman" w:cs="Times New Roman"/>
          <w:sz w:val="24"/>
          <w:szCs w:val="24"/>
        </w:rPr>
        <w:t>suportă an de an pierderi din activitatea de bază, concomitent acestea fiind susținute financiar din</w:t>
      </w:r>
      <w:r w:rsidR="00BA69A9">
        <w:rPr>
          <w:rFonts w:ascii="Times New Roman" w:hAnsi="Times New Roman" w:cs="Times New Roman"/>
          <w:sz w:val="24"/>
          <w:szCs w:val="24"/>
        </w:rPr>
        <w:t xml:space="preserve"> </w:t>
      </w:r>
      <w:r w:rsidRPr="00291C57">
        <w:rPr>
          <w:rFonts w:ascii="Times New Roman" w:hAnsi="Times New Roman" w:cs="Times New Roman"/>
          <w:sz w:val="24"/>
          <w:szCs w:val="24"/>
        </w:rPr>
        <w:t>contul mijloacelor bugetului de stat în sumă de 4,4 mil. lei. Lipsa unor decizii man</w:t>
      </w:r>
      <w:r w:rsidR="008912A3">
        <w:rPr>
          <w:rFonts w:ascii="Times New Roman" w:hAnsi="Times New Roman" w:cs="Times New Roman"/>
          <w:sz w:val="24"/>
          <w:szCs w:val="24"/>
        </w:rPr>
        <w:t xml:space="preserve">ageriale în termene oportune, a periclitat </w:t>
      </w:r>
      <w:r w:rsidRPr="00291C57">
        <w:rPr>
          <w:rFonts w:ascii="Times New Roman" w:hAnsi="Times New Roman" w:cs="Times New Roman"/>
          <w:sz w:val="24"/>
          <w:szCs w:val="24"/>
        </w:rPr>
        <w:t>transmiterea în gestiunea DGACG a bunurilor materiale ale bazei „IT-Relax</w:t>
      </w:r>
      <w:r w:rsidR="00BA69A9">
        <w:rPr>
          <w:rFonts w:ascii="Times New Roman" w:hAnsi="Times New Roman" w:cs="Times New Roman"/>
          <w:sz w:val="24"/>
          <w:szCs w:val="24"/>
        </w:rPr>
        <w:t>”</w:t>
      </w:r>
      <w:r w:rsidR="009308E7">
        <w:rPr>
          <w:rFonts w:ascii="Times New Roman" w:hAnsi="Times New Roman" w:cs="Times New Roman"/>
          <w:sz w:val="24"/>
          <w:szCs w:val="24"/>
        </w:rPr>
        <w:t xml:space="preserve"> (pct. 4.3.2)</w:t>
      </w:r>
      <w:r w:rsidRPr="00291C57">
        <w:rPr>
          <w:rFonts w:ascii="Times New Roman" w:hAnsi="Times New Roman" w:cs="Times New Roman"/>
          <w:sz w:val="24"/>
          <w:szCs w:val="24"/>
        </w:rPr>
        <w:t xml:space="preserve">. </w:t>
      </w:r>
    </w:p>
    <w:p w14:paraId="5168EBC7" w14:textId="29B28E14" w:rsidR="00291C57" w:rsidRPr="00291C57" w:rsidRDefault="00291C57" w:rsidP="00D93C64">
      <w:pPr>
        <w:numPr>
          <w:ilvl w:val="0"/>
          <w:numId w:val="31"/>
        </w:numPr>
        <w:spacing w:after="120" w:line="276" w:lineRule="auto"/>
        <w:ind w:left="709" w:hanging="567"/>
        <w:jc w:val="both"/>
        <w:rPr>
          <w:rFonts w:ascii="Times New Roman" w:hAnsi="Times New Roman" w:cs="Times New Roman"/>
          <w:sz w:val="24"/>
          <w:szCs w:val="24"/>
        </w:rPr>
      </w:pPr>
      <w:r w:rsidRPr="00291C57">
        <w:rPr>
          <w:rFonts w:ascii="Times New Roman" w:hAnsi="Times New Roman" w:cs="Times New Roman"/>
          <w:sz w:val="24"/>
          <w:szCs w:val="24"/>
        </w:rPr>
        <w:t>Multiple nereguli și deficiențe au fost admise de factorii responsabili ai IP</w:t>
      </w:r>
      <w:r w:rsidR="00F74488" w:rsidRPr="003B237C">
        <w:rPr>
          <w:vertAlign w:val="superscript"/>
        </w:rPr>
        <w:footnoteReference w:id="7"/>
      </w:r>
      <w:r w:rsidRPr="00291C57">
        <w:rPr>
          <w:rFonts w:ascii="Times New Roman" w:hAnsi="Times New Roman" w:cs="Times New Roman"/>
          <w:sz w:val="24"/>
          <w:szCs w:val="24"/>
        </w:rPr>
        <w:t xml:space="preserve"> monitorizate de CS în procesul de administrare a patrimoniului public, care se exprimă prin: neînregistrarea în evidența contabilă a 17 bunuri imobile gestionate, nefiind asigurată corectitudinea </w:t>
      </w:r>
      <w:r w:rsidRPr="00D93C64">
        <w:rPr>
          <w:rFonts w:ascii="Times New Roman" w:hAnsi="Times New Roman" w:cs="Times New Roman"/>
          <w:sz w:val="24"/>
          <w:szCs w:val="24"/>
        </w:rPr>
        <w:t>datelor raportate la acest aspect; neînregistrarea integrală în RBI a drepturilor reale asupra a 75 de bunuri cu suprafața de 17,5 mii m.p., în valoare de 65,6 mil. lei</w:t>
      </w:r>
      <w:r w:rsidR="008912A3">
        <w:rPr>
          <w:rFonts w:ascii="Times New Roman" w:hAnsi="Times New Roman" w:cs="Times New Roman"/>
          <w:sz w:val="24"/>
          <w:szCs w:val="24"/>
        </w:rPr>
        <w:t>,</w:t>
      </w:r>
      <w:r w:rsidRPr="00D93C64">
        <w:rPr>
          <w:rFonts w:ascii="Times New Roman" w:hAnsi="Times New Roman" w:cs="Times New Roman"/>
          <w:sz w:val="24"/>
          <w:szCs w:val="24"/>
        </w:rPr>
        <w:t xml:space="preserve"> deținute în gestiune, precum și neevaluarea și necontabilizarea corespunzătoare a valorii </w:t>
      </w:r>
      <w:r w:rsidRPr="00291C57">
        <w:rPr>
          <w:rFonts w:ascii="Times New Roman" w:hAnsi="Times New Roman" w:cs="Times New Roman"/>
          <w:sz w:val="24"/>
          <w:szCs w:val="24"/>
        </w:rPr>
        <w:t>unor bunuri imobile conform datelor reevaluate de către organul cadastral</w:t>
      </w:r>
      <w:r w:rsidR="009308E7">
        <w:rPr>
          <w:rFonts w:ascii="Times New Roman" w:hAnsi="Times New Roman" w:cs="Times New Roman"/>
          <w:sz w:val="24"/>
          <w:szCs w:val="24"/>
        </w:rPr>
        <w:t xml:space="preserve"> (pct. 4.3.4)</w:t>
      </w:r>
      <w:r w:rsidRPr="00291C57">
        <w:rPr>
          <w:rFonts w:ascii="Times New Roman" w:hAnsi="Times New Roman" w:cs="Times New Roman"/>
          <w:sz w:val="24"/>
          <w:szCs w:val="24"/>
        </w:rPr>
        <w:t>.</w:t>
      </w:r>
    </w:p>
    <w:p w14:paraId="412A2150" w14:textId="2568660E" w:rsidR="00291C57" w:rsidRPr="00291C57" w:rsidRDefault="00291C57" w:rsidP="00D93C64">
      <w:pPr>
        <w:numPr>
          <w:ilvl w:val="0"/>
          <w:numId w:val="31"/>
        </w:numPr>
        <w:spacing w:after="120" w:line="276" w:lineRule="auto"/>
        <w:ind w:left="709" w:hanging="567"/>
        <w:jc w:val="both"/>
        <w:rPr>
          <w:rFonts w:ascii="Times New Roman" w:hAnsi="Times New Roman" w:cs="Times New Roman"/>
          <w:sz w:val="24"/>
          <w:szCs w:val="24"/>
        </w:rPr>
      </w:pPr>
      <w:r w:rsidRPr="00291C57">
        <w:rPr>
          <w:rFonts w:ascii="Times New Roman" w:hAnsi="Times New Roman" w:cs="Times New Roman"/>
          <w:sz w:val="24"/>
          <w:szCs w:val="24"/>
        </w:rPr>
        <w:t xml:space="preserve">Deși potrivit cadrului legal nu sunt pasibile de privatizare încăperile nelocuibile din clădirile în care sunt amplasate autorități publice, întreprinderi, organizații </w:t>
      </w:r>
      <w:r w:rsidR="0043323C" w:rsidRPr="00291C57">
        <w:rPr>
          <w:rFonts w:ascii="Times New Roman" w:hAnsi="Times New Roman" w:cs="Times New Roman"/>
          <w:sz w:val="24"/>
          <w:szCs w:val="24"/>
        </w:rPr>
        <w:t>și</w:t>
      </w:r>
      <w:r w:rsidRPr="00291C57">
        <w:rPr>
          <w:rFonts w:ascii="Times New Roman" w:hAnsi="Times New Roman" w:cs="Times New Roman"/>
          <w:sz w:val="24"/>
          <w:szCs w:val="24"/>
        </w:rPr>
        <w:t xml:space="preserve"> in</w:t>
      </w:r>
      <w:r w:rsidR="00BA69A9">
        <w:rPr>
          <w:rFonts w:ascii="Times New Roman" w:hAnsi="Times New Roman" w:cs="Times New Roman"/>
          <w:sz w:val="24"/>
          <w:szCs w:val="24"/>
        </w:rPr>
        <w:t>stituții de stat, cu acceptul DG</w:t>
      </w:r>
      <w:r w:rsidRPr="00291C57">
        <w:rPr>
          <w:rFonts w:ascii="Times New Roman" w:hAnsi="Times New Roman" w:cs="Times New Roman"/>
          <w:sz w:val="24"/>
          <w:szCs w:val="24"/>
        </w:rPr>
        <w:t>ACG, APP a emis decizia referitor la privatizarea ilegală a unor spații amplasate la etajul doi din imobilul gestionat de instituție. Mai mult decât atât, potrivit constatărilor unui alt audit public extern</w:t>
      </w:r>
      <w:r w:rsidR="00F74488" w:rsidRPr="00E913E3">
        <w:rPr>
          <w:vertAlign w:val="superscript"/>
        </w:rPr>
        <w:footnoteReference w:id="8"/>
      </w:r>
      <w:r w:rsidRPr="00291C57">
        <w:rPr>
          <w:rFonts w:ascii="Times New Roman" w:hAnsi="Times New Roman" w:cs="Times New Roman"/>
          <w:sz w:val="24"/>
          <w:szCs w:val="24"/>
        </w:rPr>
        <w:t>, se atestă că la privatizarea acestor suprafețe s-au</w:t>
      </w:r>
      <w:r w:rsidR="00BA69A9">
        <w:rPr>
          <w:rFonts w:ascii="Times New Roman" w:hAnsi="Times New Roman" w:cs="Times New Roman"/>
          <w:sz w:val="24"/>
          <w:szCs w:val="24"/>
        </w:rPr>
        <w:t xml:space="preserve"> </w:t>
      </w:r>
      <w:r w:rsidRPr="00291C57">
        <w:rPr>
          <w:rFonts w:ascii="Times New Roman" w:hAnsi="Times New Roman" w:cs="Times New Roman"/>
          <w:sz w:val="24"/>
          <w:szCs w:val="24"/>
        </w:rPr>
        <w:t>ratat venituri în sumă de 345,1 mii lei, acestea fiind înstrăinate printr-un preț diminuat, comparativ cu prețurile minime de piață existente la vânzarea unor obiective similare</w:t>
      </w:r>
      <w:r w:rsidR="009308E7">
        <w:rPr>
          <w:rFonts w:ascii="Times New Roman" w:hAnsi="Times New Roman" w:cs="Times New Roman"/>
          <w:sz w:val="24"/>
          <w:szCs w:val="24"/>
        </w:rPr>
        <w:t xml:space="preserve"> (pct. 4.3.2)</w:t>
      </w:r>
      <w:r w:rsidRPr="00291C57">
        <w:rPr>
          <w:rFonts w:ascii="Times New Roman" w:hAnsi="Times New Roman" w:cs="Times New Roman"/>
          <w:sz w:val="24"/>
          <w:szCs w:val="24"/>
        </w:rPr>
        <w:t>.</w:t>
      </w:r>
      <w:r w:rsidR="00BA69A9">
        <w:rPr>
          <w:rFonts w:ascii="Times New Roman" w:hAnsi="Times New Roman" w:cs="Times New Roman"/>
          <w:sz w:val="24"/>
          <w:szCs w:val="24"/>
        </w:rPr>
        <w:t xml:space="preserve"> </w:t>
      </w:r>
    </w:p>
    <w:p w14:paraId="00148000" w14:textId="30CC7A31" w:rsidR="009308E7" w:rsidRDefault="009308E7" w:rsidP="00D93C64">
      <w:pPr>
        <w:numPr>
          <w:ilvl w:val="0"/>
          <w:numId w:val="31"/>
        </w:numPr>
        <w:spacing w:after="120" w:line="276" w:lineRule="auto"/>
        <w:ind w:left="709" w:hanging="567"/>
        <w:jc w:val="both"/>
        <w:rPr>
          <w:rFonts w:ascii="Times New Roman" w:hAnsi="Times New Roman" w:cs="Times New Roman"/>
          <w:sz w:val="24"/>
          <w:szCs w:val="24"/>
        </w:rPr>
      </w:pPr>
      <w:r w:rsidRPr="009308E7">
        <w:rPr>
          <w:rFonts w:ascii="Times New Roman" w:hAnsi="Times New Roman" w:cs="Times New Roman"/>
          <w:sz w:val="24"/>
          <w:szCs w:val="24"/>
        </w:rPr>
        <w:t>Un aspect deficitar reprezintă asigurarea cu transport auto de către BA a unor instituții medicale care nu se regăsesc în categoria autorităților/instituțiilor beneficiare de transport oferit fără plată de stat, ceea ce a condiționat suportarea unor cheltuieli suplimentare de către instituție</w:t>
      </w:r>
      <w:r w:rsidR="008912A3">
        <w:rPr>
          <w:rFonts w:ascii="Times New Roman" w:hAnsi="Times New Roman" w:cs="Times New Roman"/>
          <w:sz w:val="24"/>
          <w:szCs w:val="24"/>
        </w:rPr>
        <w:t>,</w:t>
      </w:r>
      <w:r w:rsidRPr="009308E7">
        <w:rPr>
          <w:rFonts w:ascii="Times New Roman" w:hAnsi="Times New Roman" w:cs="Times New Roman"/>
          <w:sz w:val="24"/>
          <w:szCs w:val="24"/>
        </w:rPr>
        <w:t xml:space="preserve"> în sumă totală de circa 2,3 mil. lei</w:t>
      </w:r>
      <w:r>
        <w:rPr>
          <w:rFonts w:ascii="Times New Roman" w:hAnsi="Times New Roman" w:cs="Times New Roman"/>
          <w:sz w:val="24"/>
          <w:szCs w:val="24"/>
        </w:rPr>
        <w:t xml:space="preserve"> (pct. 4.3.3.)</w:t>
      </w:r>
      <w:r w:rsidRPr="009308E7">
        <w:rPr>
          <w:rFonts w:ascii="Times New Roman" w:hAnsi="Times New Roman" w:cs="Times New Roman"/>
          <w:sz w:val="24"/>
          <w:szCs w:val="24"/>
        </w:rPr>
        <w:t>.</w:t>
      </w:r>
    </w:p>
    <w:p w14:paraId="084CC2BF" w14:textId="7C09D179" w:rsidR="00291C57" w:rsidRPr="00291C57" w:rsidRDefault="00291C57" w:rsidP="00D93C64">
      <w:pPr>
        <w:numPr>
          <w:ilvl w:val="0"/>
          <w:numId w:val="31"/>
        </w:numPr>
        <w:spacing w:after="120" w:line="276" w:lineRule="auto"/>
        <w:ind w:left="709" w:hanging="567"/>
        <w:jc w:val="both"/>
        <w:rPr>
          <w:rFonts w:ascii="Times New Roman" w:hAnsi="Times New Roman" w:cs="Times New Roman"/>
          <w:sz w:val="24"/>
          <w:szCs w:val="24"/>
        </w:rPr>
      </w:pPr>
      <w:r w:rsidRPr="00291C57">
        <w:rPr>
          <w:rFonts w:ascii="Times New Roman" w:hAnsi="Times New Roman" w:cs="Times New Roman"/>
          <w:sz w:val="24"/>
          <w:szCs w:val="24"/>
        </w:rPr>
        <w:t xml:space="preserve">Factorii </w:t>
      </w:r>
      <w:r w:rsidR="008226D0">
        <w:rPr>
          <w:rFonts w:ascii="Times New Roman" w:hAnsi="Times New Roman" w:cs="Times New Roman"/>
          <w:sz w:val="24"/>
          <w:szCs w:val="24"/>
        </w:rPr>
        <w:t>deci</w:t>
      </w:r>
      <w:r w:rsidR="00F76757">
        <w:rPr>
          <w:rFonts w:ascii="Times New Roman" w:hAnsi="Times New Roman" w:cs="Times New Roman"/>
          <w:sz w:val="24"/>
          <w:szCs w:val="24"/>
        </w:rPr>
        <w:t>z</w:t>
      </w:r>
      <w:r w:rsidR="008226D0">
        <w:rPr>
          <w:rFonts w:ascii="Times New Roman" w:hAnsi="Times New Roman" w:cs="Times New Roman"/>
          <w:sz w:val="24"/>
          <w:szCs w:val="24"/>
        </w:rPr>
        <w:t>ionali</w:t>
      </w:r>
      <w:r w:rsidRPr="00291C57">
        <w:rPr>
          <w:rFonts w:ascii="Times New Roman" w:hAnsi="Times New Roman" w:cs="Times New Roman"/>
          <w:sz w:val="24"/>
          <w:szCs w:val="24"/>
        </w:rPr>
        <w:t xml:space="preserve"> ai unor I</w:t>
      </w:r>
      <w:r w:rsidR="00BA69A9">
        <w:rPr>
          <w:rFonts w:ascii="Times New Roman" w:hAnsi="Times New Roman" w:cs="Times New Roman"/>
          <w:sz w:val="24"/>
          <w:szCs w:val="24"/>
        </w:rPr>
        <w:t>.</w:t>
      </w:r>
      <w:r w:rsidRPr="00291C57">
        <w:rPr>
          <w:rFonts w:ascii="Times New Roman" w:hAnsi="Times New Roman" w:cs="Times New Roman"/>
          <w:sz w:val="24"/>
          <w:szCs w:val="24"/>
        </w:rPr>
        <w:t>P</w:t>
      </w:r>
      <w:r w:rsidR="00BA69A9">
        <w:rPr>
          <w:rFonts w:ascii="Times New Roman" w:hAnsi="Times New Roman" w:cs="Times New Roman"/>
          <w:sz w:val="24"/>
          <w:szCs w:val="24"/>
        </w:rPr>
        <w:t>.</w:t>
      </w:r>
      <w:r w:rsidRPr="00291C57">
        <w:rPr>
          <w:rFonts w:ascii="Times New Roman" w:hAnsi="Times New Roman" w:cs="Times New Roman"/>
          <w:sz w:val="24"/>
          <w:szCs w:val="24"/>
        </w:rPr>
        <w:t xml:space="preserve"> monitorizate</w:t>
      </w:r>
      <w:r w:rsidR="00A671CB" w:rsidRPr="00BA69A9">
        <w:rPr>
          <w:vertAlign w:val="superscript"/>
        </w:rPr>
        <w:footnoteReference w:id="9"/>
      </w:r>
      <w:r w:rsidRPr="00BA69A9">
        <w:rPr>
          <w:rFonts w:ascii="Times New Roman" w:hAnsi="Times New Roman" w:cs="Times New Roman"/>
          <w:sz w:val="24"/>
          <w:szCs w:val="24"/>
          <w:vertAlign w:val="superscript"/>
        </w:rPr>
        <w:t xml:space="preserve"> </w:t>
      </w:r>
      <w:r w:rsidRPr="00291C57">
        <w:rPr>
          <w:rFonts w:ascii="Times New Roman" w:hAnsi="Times New Roman" w:cs="Times New Roman"/>
          <w:sz w:val="24"/>
          <w:szCs w:val="24"/>
        </w:rPr>
        <w:t>au admis cazuri de transmitere neregulamentară în locațiune a unor imobile, fapt ce a condiționat ratarea unor venituri în sumă totală de 2,9 mil. lei</w:t>
      </w:r>
      <w:r w:rsidR="009308E7">
        <w:rPr>
          <w:rFonts w:ascii="Times New Roman" w:hAnsi="Times New Roman" w:cs="Times New Roman"/>
          <w:sz w:val="24"/>
          <w:szCs w:val="24"/>
        </w:rPr>
        <w:t xml:space="preserve"> (pct. 4.3.5)</w:t>
      </w:r>
      <w:r w:rsidRPr="00291C57">
        <w:rPr>
          <w:rFonts w:ascii="Times New Roman" w:hAnsi="Times New Roman" w:cs="Times New Roman"/>
          <w:sz w:val="24"/>
          <w:szCs w:val="24"/>
        </w:rPr>
        <w:t xml:space="preserve">. </w:t>
      </w:r>
    </w:p>
    <w:p w14:paraId="03D7D436" w14:textId="3CA66632" w:rsidR="00291C57" w:rsidRPr="00291C57" w:rsidRDefault="00291C57" w:rsidP="00291C57">
      <w:pPr>
        <w:spacing w:line="276" w:lineRule="auto"/>
        <w:jc w:val="both"/>
        <w:rPr>
          <w:rFonts w:ascii="Times New Roman" w:hAnsi="Times New Roman" w:cs="Times New Roman"/>
          <w:sz w:val="24"/>
          <w:szCs w:val="24"/>
        </w:rPr>
      </w:pPr>
      <w:r w:rsidRPr="00291C57">
        <w:rPr>
          <w:rFonts w:ascii="Times New Roman" w:hAnsi="Times New Roman" w:cs="Times New Roman"/>
          <w:sz w:val="24"/>
          <w:szCs w:val="24"/>
        </w:rPr>
        <w:t xml:space="preserve">Misiunea de audit public extern, în general, are ca scop valorificarea rezultatelor obținute și oferirea acestora părților interesate (Parlament, Guvern și societatea civilă), fiind formulate și înaintate recomandări în vederea îmbunătățirii proceselor de planificare și utilizare a mijloacelor bugetare, precum și la gestionarea patrimoniului public, </w:t>
      </w:r>
      <w:r w:rsidR="00901D85">
        <w:rPr>
          <w:rFonts w:ascii="Times New Roman" w:hAnsi="Times New Roman" w:cs="Times New Roman"/>
          <w:sz w:val="24"/>
          <w:szCs w:val="24"/>
        </w:rPr>
        <w:t xml:space="preserve">care </w:t>
      </w:r>
      <w:r w:rsidR="009906F2">
        <w:rPr>
          <w:rFonts w:ascii="Times New Roman" w:hAnsi="Times New Roman" w:cs="Times New Roman"/>
          <w:sz w:val="24"/>
          <w:szCs w:val="24"/>
        </w:rPr>
        <w:t>au fost comunicate și acceptate de către responsabilii entităților auditate.</w:t>
      </w:r>
    </w:p>
    <w:p w14:paraId="37515D31" w14:textId="3A9A8B8D" w:rsidR="006049D5" w:rsidRPr="003B329E" w:rsidRDefault="008912A3" w:rsidP="00BD2237">
      <w:pPr>
        <w:pStyle w:val="1"/>
        <w:numPr>
          <w:ilvl w:val="0"/>
          <w:numId w:val="6"/>
        </w:numPr>
        <w:tabs>
          <w:tab w:val="left" w:pos="3600"/>
          <w:tab w:val="left" w:pos="3780"/>
        </w:tabs>
        <w:spacing w:before="0" w:after="120" w:line="276" w:lineRule="auto"/>
        <w:ind w:left="284" w:firstLine="0"/>
        <w:rPr>
          <w:rFonts w:ascii="Times New Roman" w:eastAsiaTheme="minorHAnsi" w:hAnsi="Times New Roman" w:cs="Times New Roman"/>
          <w:b/>
          <w:color w:val="2F5496" w:themeColor="accent5" w:themeShade="BF"/>
          <w:sz w:val="28"/>
          <w:szCs w:val="28"/>
          <w:shd w:val="clear" w:color="auto" w:fill="FFFFFF"/>
        </w:rPr>
      </w:pPr>
      <w:r>
        <w:rPr>
          <w:rFonts w:ascii="Times New Roman" w:eastAsiaTheme="minorHAnsi" w:hAnsi="Times New Roman" w:cs="Times New Roman"/>
          <w:b/>
          <w:color w:val="2F5496" w:themeColor="accent5" w:themeShade="BF"/>
          <w:sz w:val="28"/>
          <w:szCs w:val="28"/>
          <w:shd w:val="clear" w:color="auto" w:fill="FFFFFF"/>
        </w:rPr>
        <w:t xml:space="preserve"> </w:t>
      </w:r>
      <w:bookmarkStart w:id="11" w:name="_Toc158015914"/>
      <w:r w:rsidR="006049D5" w:rsidRPr="003B329E">
        <w:rPr>
          <w:rFonts w:ascii="Times New Roman" w:eastAsiaTheme="minorHAnsi" w:hAnsi="Times New Roman" w:cs="Times New Roman"/>
          <w:b/>
          <w:color w:val="2F5496" w:themeColor="accent5" w:themeShade="BF"/>
          <w:sz w:val="28"/>
          <w:szCs w:val="28"/>
          <w:shd w:val="clear" w:color="auto" w:fill="FFFFFF"/>
        </w:rPr>
        <w:t>PREZENTAREA GENERALĂ</w:t>
      </w:r>
      <w:bookmarkEnd w:id="11"/>
    </w:p>
    <w:p w14:paraId="4770E1FD" w14:textId="77777777" w:rsidR="006049D5" w:rsidRPr="003B329E" w:rsidRDefault="006049D5" w:rsidP="00BD2237">
      <w:pPr>
        <w:pStyle w:val="3"/>
        <w:numPr>
          <w:ilvl w:val="1"/>
          <w:numId w:val="6"/>
        </w:numPr>
        <w:tabs>
          <w:tab w:val="left" w:pos="426"/>
        </w:tabs>
        <w:spacing w:after="80" w:line="276" w:lineRule="auto"/>
        <w:ind w:left="0" w:firstLine="0"/>
        <w:rPr>
          <w:rFonts w:ascii="Times New Roman" w:eastAsiaTheme="minorEastAsia" w:hAnsi="Times New Roman" w:cs="Times New Roman"/>
          <w:b/>
          <w:color w:val="2E74B5" w:themeColor="accent1" w:themeShade="BF"/>
          <w:lang w:eastAsia="ru-RU"/>
        </w:rPr>
      </w:pPr>
      <w:bookmarkStart w:id="12" w:name="_Toc158015915"/>
      <w:r w:rsidRPr="003B329E">
        <w:rPr>
          <w:rFonts w:ascii="Times New Roman" w:eastAsiaTheme="minorEastAsia" w:hAnsi="Times New Roman" w:cs="Times New Roman"/>
          <w:b/>
          <w:color w:val="2E74B5" w:themeColor="accent1" w:themeShade="BF"/>
          <w:lang w:eastAsia="ru-RU"/>
        </w:rPr>
        <w:t>Dom</w:t>
      </w:r>
      <w:r w:rsidR="00B61893" w:rsidRPr="003B329E">
        <w:rPr>
          <w:rFonts w:ascii="Times New Roman" w:eastAsiaTheme="minorEastAsia" w:hAnsi="Times New Roman" w:cs="Times New Roman"/>
          <w:b/>
          <w:color w:val="2E74B5" w:themeColor="accent1" w:themeShade="BF"/>
          <w:lang w:eastAsia="ru-RU"/>
        </w:rPr>
        <w:t>eniul de activitate al entităților</w:t>
      </w:r>
      <w:r w:rsidRPr="003B329E">
        <w:rPr>
          <w:rFonts w:ascii="Times New Roman" w:eastAsiaTheme="minorEastAsia" w:hAnsi="Times New Roman" w:cs="Times New Roman"/>
          <w:b/>
          <w:color w:val="2E74B5" w:themeColor="accent1" w:themeShade="BF"/>
          <w:lang w:eastAsia="ru-RU"/>
        </w:rPr>
        <w:t xml:space="preserve"> auditate</w:t>
      </w:r>
      <w:bookmarkEnd w:id="12"/>
    </w:p>
    <w:p w14:paraId="56A98C36" w14:textId="77777777" w:rsidR="008912A3" w:rsidRPr="003B329E" w:rsidRDefault="008912A3" w:rsidP="008912A3">
      <w:pPr>
        <w:spacing w:after="120" w:line="276" w:lineRule="auto"/>
        <w:jc w:val="both"/>
        <w:rPr>
          <w:rFonts w:ascii="Times New Roman" w:hAnsi="Times New Roman" w:cs="Times New Roman"/>
          <w:sz w:val="24"/>
          <w:szCs w:val="24"/>
        </w:rPr>
      </w:pPr>
      <w:r w:rsidRPr="003B329E">
        <w:rPr>
          <w:rFonts w:ascii="Times New Roman" w:hAnsi="Times New Roman" w:cs="Times New Roman"/>
          <w:sz w:val="24"/>
          <w:szCs w:val="24"/>
        </w:rPr>
        <w:t>Rolul, competențele și locul Cancelariei de Stat în sistemul administrației publice este definit de mai multe acte normative</w:t>
      </w:r>
      <w:r w:rsidRPr="003B329E">
        <w:rPr>
          <w:rStyle w:val="a5"/>
          <w:rFonts w:ascii="Times New Roman" w:hAnsi="Times New Roman" w:cs="Times New Roman"/>
          <w:sz w:val="24"/>
          <w:szCs w:val="24"/>
        </w:rPr>
        <w:footnoteReference w:id="10"/>
      </w:r>
      <w:r w:rsidRPr="003B329E">
        <w:rPr>
          <w:rFonts w:ascii="Times New Roman" w:hAnsi="Times New Roman" w:cs="Times New Roman"/>
          <w:sz w:val="24"/>
          <w:szCs w:val="24"/>
        </w:rPr>
        <w:t>, în principal autoritatea publică are misiunea să asigure realizarea de către Guvern a prerogativelor sale constituționale privind realizarea politicii interne și externe a statului, asigurarea promovării și realizării politicii statului în domeniul serviciului public, în special a managementului resurselor umane, precum și exercitarea conducerii generale a administrației publice. În mod detaliat și exhaustiv, sarcinile și funcțiile Cancelariei de Stat sunt stabilite</w:t>
      </w:r>
      <w:r>
        <w:rPr>
          <w:rFonts w:ascii="Times New Roman" w:hAnsi="Times New Roman" w:cs="Times New Roman"/>
          <w:sz w:val="24"/>
          <w:szCs w:val="24"/>
        </w:rPr>
        <w:t xml:space="preserve"> de către</w:t>
      </w:r>
      <w:r w:rsidRPr="003B329E">
        <w:rPr>
          <w:rFonts w:ascii="Times New Roman" w:hAnsi="Times New Roman" w:cs="Times New Roman"/>
          <w:sz w:val="24"/>
          <w:szCs w:val="24"/>
        </w:rPr>
        <w:t xml:space="preserve"> legislația secundară specială. </w:t>
      </w:r>
    </w:p>
    <w:p w14:paraId="5272559C" w14:textId="58716C0C" w:rsidR="00F634FD" w:rsidRPr="003B329E" w:rsidRDefault="008912A3" w:rsidP="008912A3">
      <w:pPr>
        <w:spacing w:after="120" w:line="276" w:lineRule="auto"/>
        <w:jc w:val="both"/>
        <w:rPr>
          <w:rFonts w:ascii="Times New Roman" w:hAnsi="Times New Roman" w:cs="Times New Roman"/>
          <w:sz w:val="24"/>
          <w:szCs w:val="24"/>
        </w:rPr>
      </w:pPr>
      <w:r w:rsidRPr="003B329E">
        <w:rPr>
          <w:rFonts w:ascii="Times New Roman" w:hAnsi="Times New Roman" w:cs="Times New Roman"/>
          <w:sz w:val="24"/>
          <w:szCs w:val="24"/>
        </w:rPr>
        <w:t>Potrivit HG nr.657 din 06.11.2009</w:t>
      </w:r>
      <w:r w:rsidRPr="003B329E">
        <w:rPr>
          <w:rStyle w:val="a5"/>
          <w:rFonts w:ascii="Times New Roman" w:hAnsi="Times New Roman" w:cs="Times New Roman"/>
          <w:sz w:val="24"/>
          <w:szCs w:val="24"/>
        </w:rPr>
        <w:footnoteReference w:id="11"/>
      </w:r>
      <w:r w:rsidRPr="003B329E">
        <w:rPr>
          <w:rFonts w:ascii="Times New Roman" w:hAnsi="Times New Roman" w:cs="Times New Roman"/>
          <w:sz w:val="24"/>
          <w:szCs w:val="24"/>
        </w:rPr>
        <w:t>, Cancelaria de Stat este condusă de secretarul ge</w:t>
      </w:r>
      <w:r w:rsidR="009E1280">
        <w:rPr>
          <w:rFonts w:ascii="Times New Roman" w:hAnsi="Times New Roman" w:cs="Times New Roman"/>
          <w:sz w:val="24"/>
          <w:szCs w:val="24"/>
        </w:rPr>
        <w:t>neral al Guvernului, asistat de</w:t>
      </w:r>
      <w:r w:rsidR="009E1280" w:rsidRPr="009E1280">
        <w:rPr>
          <w:rFonts w:ascii="Times New Roman" w:hAnsi="Times New Roman" w:cs="Times New Roman"/>
          <w:sz w:val="24"/>
          <w:szCs w:val="24"/>
        </w:rPr>
        <w:t xml:space="preserve"> doi</w:t>
      </w:r>
      <w:r w:rsidR="009E1280">
        <w:rPr>
          <w:rFonts w:ascii="Times New Roman" w:hAnsi="Times New Roman" w:cs="Times New Roman"/>
          <w:sz w:val="24"/>
          <w:szCs w:val="24"/>
        </w:rPr>
        <w:t xml:space="preserve"> secretari de stat</w:t>
      </w:r>
      <w:r w:rsidR="009E1280" w:rsidRPr="009E1280">
        <w:rPr>
          <w:rFonts w:ascii="Times New Roman" w:hAnsi="Times New Roman" w:cs="Times New Roman"/>
          <w:sz w:val="24"/>
          <w:szCs w:val="24"/>
        </w:rPr>
        <w:t xml:space="preserve"> și de patru secretari</w:t>
      </w:r>
      <w:r w:rsidR="009E1280">
        <w:rPr>
          <w:rFonts w:ascii="Times New Roman" w:hAnsi="Times New Roman" w:cs="Times New Roman"/>
          <w:sz w:val="24"/>
          <w:szCs w:val="24"/>
        </w:rPr>
        <w:t xml:space="preserve"> generali adjuncți</w:t>
      </w:r>
      <w:r>
        <w:rPr>
          <w:rFonts w:ascii="Times New Roman" w:hAnsi="Times New Roman" w:cs="Times New Roman"/>
          <w:sz w:val="24"/>
          <w:szCs w:val="24"/>
        </w:rPr>
        <w:t>,</w:t>
      </w:r>
      <w:r w:rsidRPr="003B329E">
        <w:rPr>
          <w:rFonts w:ascii="Times New Roman" w:hAnsi="Times New Roman" w:cs="Times New Roman"/>
          <w:sz w:val="24"/>
          <w:szCs w:val="24"/>
        </w:rPr>
        <w:t xml:space="preserve"> iar funcționarea autorității este asigurată cu un efectiv-limită de 210 unități</w:t>
      </w:r>
      <w:r w:rsidRPr="003B329E">
        <w:rPr>
          <w:rStyle w:val="a5"/>
          <w:rFonts w:ascii="Times New Roman" w:hAnsi="Times New Roman" w:cs="Times New Roman"/>
          <w:sz w:val="24"/>
          <w:szCs w:val="24"/>
        </w:rPr>
        <w:footnoteReference w:id="12"/>
      </w:r>
      <w:r w:rsidRPr="003B329E">
        <w:rPr>
          <w:rFonts w:ascii="Times New Roman" w:hAnsi="Times New Roman" w:cs="Times New Roman"/>
          <w:sz w:val="24"/>
          <w:szCs w:val="24"/>
        </w:rPr>
        <w:t>. Totodată, CS asigură, prin subdiviziunile sale specializate, activitățile financiar-contabile și logistice a 10 oficii teritoriale, cu efectivul-limită de 100 de unități. Conform aceleiași hotăr</w:t>
      </w:r>
      <w:r>
        <w:rPr>
          <w:rFonts w:ascii="Times New Roman" w:hAnsi="Times New Roman" w:cs="Times New Roman"/>
          <w:sz w:val="24"/>
          <w:szCs w:val="24"/>
        </w:rPr>
        <w:t>â</w:t>
      </w:r>
      <w:r w:rsidRPr="003B329E">
        <w:rPr>
          <w:rFonts w:ascii="Times New Roman" w:hAnsi="Times New Roman" w:cs="Times New Roman"/>
          <w:sz w:val="24"/>
          <w:szCs w:val="24"/>
        </w:rPr>
        <w:t>ri, CS</w:t>
      </w:r>
      <w:r>
        <w:rPr>
          <w:rFonts w:ascii="Times New Roman" w:hAnsi="Times New Roman" w:cs="Times New Roman"/>
          <w:sz w:val="24"/>
          <w:szCs w:val="24"/>
        </w:rPr>
        <w:t>,</w:t>
      </w:r>
      <w:r w:rsidRPr="003B329E">
        <w:rPr>
          <w:rFonts w:ascii="Times New Roman" w:hAnsi="Times New Roman" w:cs="Times New Roman"/>
          <w:sz w:val="24"/>
          <w:szCs w:val="24"/>
        </w:rPr>
        <w:t xml:space="preserve"> la situația din 31.12.2022, monitoriza activitatea a 8 instituții publice, av</w:t>
      </w:r>
      <w:r>
        <w:rPr>
          <w:rFonts w:ascii="Times New Roman" w:hAnsi="Times New Roman" w:cs="Times New Roman"/>
          <w:sz w:val="24"/>
          <w:szCs w:val="24"/>
        </w:rPr>
        <w:t>â</w:t>
      </w:r>
      <w:r w:rsidRPr="003B329E">
        <w:rPr>
          <w:rFonts w:ascii="Times New Roman" w:hAnsi="Times New Roman" w:cs="Times New Roman"/>
          <w:sz w:val="24"/>
          <w:szCs w:val="24"/>
        </w:rPr>
        <w:t>nd statutul de fondator.</w:t>
      </w:r>
      <w:r w:rsidR="00F634FD" w:rsidRPr="003B329E">
        <w:rPr>
          <w:rFonts w:ascii="Times New Roman" w:hAnsi="Times New Roman" w:cs="Times New Roman"/>
          <w:sz w:val="24"/>
          <w:szCs w:val="24"/>
        </w:rPr>
        <w:t xml:space="preserve"> </w:t>
      </w:r>
    </w:p>
    <w:p w14:paraId="074B2E19" w14:textId="77777777" w:rsidR="006049D5" w:rsidRPr="003B329E" w:rsidRDefault="006049D5" w:rsidP="00BD2237">
      <w:pPr>
        <w:pStyle w:val="3"/>
        <w:numPr>
          <w:ilvl w:val="1"/>
          <w:numId w:val="6"/>
        </w:numPr>
        <w:tabs>
          <w:tab w:val="left" w:pos="426"/>
        </w:tabs>
        <w:spacing w:after="120" w:line="276" w:lineRule="auto"/>
        <w:ind w:left="0" w:firstLine="0"/>
        <w:rPr>
          <w:rFonts w:ascii="Times New Roman" w:eastAsiaTheme="minorEastAsia" w:hAnsi="Times New Roman" w:cs="Times New Roman"/>
          <w:b/>
          <w:color w:val="0070C0"/>
          <w:lang w:eastAsia="ru-RU"/>
        </w:rPr>
      </w:pPr>
      <w:bookmarkStart w:id="13" w:name="_Toc158015916"/>
      <w:r w:rsidRPr="003B329E">
        <w:rPr>
          <w:rFonts w:ascii="Times New Roman" w:eastAsiaTheme="minorEastAsia" w:hAnsi="Times New Roman" w:cs="Times New Roman"/>
          <w:b/>
          <w:color w:val="0070C0"/>
          <w:lang w:eastAsia="ru-RU"/>
        </w:rPr>
        <w:t xml:space="preserve">Responsabilitatea </w:t>
      </w:r>
      <w:r w:rsidR="00A176C9" w:rsidRPr="003B329E">
        <w:rPr>
          <w:rFonts w:ascii="Times New Roman" w:eastAsiaTheme="minorEastAsia" w:hAnsi="Times New Roman" w:cs="Times New Roman"/>
          <w:b/>
          <w:color w:val="0070C0"/>
          <w:lang w:eastAsia="ru-RU"/>
        </w:rPr>
        <w:t>părților implicate</w:t>
      </w:r>
      <w:bookmarkEnd w:id="13"/>
    </w:p>
    <w:p w14:paraId="2DB9FFA5" w14:textId="38FF171B" w:rsidR="008912A3" w:rsidRPr="003B329E" w:rsidRDefault="008912A3" w:rsidP="008912A3">
      <w:pPr>
        <w:widowControl w:val="0"/>
        <w:autoSpaceDE w:val="0"/>
        <w:autoSpaceDN w:val="0"/>
        <w:adjustRightInd w:val="0"/>
        <w:spacing w:after="0" w:line="276" w:lineRule="auto"/>
        <w:jc w:val="both"/>
        <w:rPr>
          <w:rFonts w:ascii="Times New Roman" w:hAnsi="Times New Roman" w:cs="Times New Roman"/>
          <w:sz w:val="24"/>
          <w:szCs w:val="24"/>
        </w:rPr>
      </w:pPr>
      <w:r w:rsidRPr="003B329E">
        <w:rPr>
          <w:rFonts w:ascii="Times New Roman" w:hAnsi="Times New Roman" w:cs="Times New Roman"/>
          <w:b/>
          <w:sz w:val="24"/>
          <w:szCs w:val="24"/>
        </w:rPr>
        <w:t xml:space="preserve">Responsabilitatea Cancelariei de Stat </w:t>
      </w:r>
      <w:r w:rsidRPr="003B329E">
        <w:rPr>
          <w:rFonts w:ascii="Times New Roman" w:hAnsi="Times New Roman" w:cs="Times New Roman"/>
          <w:sz w:val="24"/>
          <w:szCs w:val="24"/>
        </w:rPr>
        <w:t xml:space="preserve">constă în elaborarea, promovarea și monitorizarea implementării politicii statului în diferite domenii primordiale ale politicii interne </w:t>
      </w:r>
      <w:r w:rsidR="004B7B99" w:rsidRPr="003B329E">
        <w:rPr>
          <w:rFonts w:ascii="Times New Roman" w:hAnsi="Times New Roman" w:cs="Times New Roman"/>
          <w:sz w:val="24"/>
          <w:szCs w:val="24"/>
        </w:rPr>
        <w:t>și</w:t>
      </w:r>
      <w:r w:rsidRPr="003B329E">
        <w:rPr>
          <w:rFonts w:ascii="Times New Roman" w:hAnsi="Times New Roman" w:cs="Times New Roman"/>
          <w:sz w:val="24"/>
          <w:szCs w:val="24"/>
        </w:rPr>
        <w:t xml:space="preserve"> externe a statului. Responsabilitatea Cancelariei de Stat în calitate de fondator, potrivit prevederilor pct. 7 lit. k</w:t>
      </w:r>
      <w:r w:rsidRPr="003B329E">
        <w:rPr>
          <w:rFonts w:ascii="Times New Roman" w:hAnsi="Times New Roman" w:cs="Times New Roman"/>
          <w:sz w:val="24"/>
          <w:szCs w:val="24"/>
          <w:vertAlign w:val="superscript"/>
        </w:rPr>
        <w:t>2</w:t>
      </w:r>
      <w:r w:rsidRPr="003B329E">
        <w:rPr>
          <w:rFonts w:ascii="Times New Roman" w:hAnsi="Times New Roman" w:cs="Times New Roman"/>
          <w:sz w:val="24"/>
          <w:szCs w:val="24"/>
        </w:rPr>
        <w:t>) din HG 657/2009</w:t>
      </w:r>
      <w:r>
        <w:rPr>
          <w:rFonts w:ascii="Times New Roman" w:hAnsi="Times New Roman" w:cs="Times New Roman"/>
          <w:sz w:val="24"/>
          <w:szCs w:val="24"/>
        </w:rPr>
        <w:t>,</w:t>
      </w:r>
      <w:r w:rsidRPr="003B329E">
        <w:rPr>
          <w:rFonts w:ascii="Times New Roman" w:hAnsi="Times New Roman" w:cs="Times New Roman"/>
          <w:sz w:val="24"/>
          <w:szCs w:val="24"/>
        </w:rPr>
        <w:t xml:space="preserve"> se rezumă la coordonarea și monitorizarea activității structurilor organizaționale din sfera sa de competență.</w:t>
      </w:r>
    </w:p>
    <w:p w14:paraId="53912F83" w14:textId="77777777" w:rsidR="008912A3" w:rsidRPr="003B329E" w:rsidRDefault="008912A3" w:rsidP="008912A3">
      <w:pPr>
        <w:widowControl w:val="0"/>
        <w:autoSpaceDE w:val="0"/>
        <w:autoSpaceDN w:val="0"/>
        <w:adjustRightInd w:val="0"/>
        <w:spacing w:after="0" w:line="276" w:lineRule="auto"/>
        <w:jc w:val="both"/>
        <w:rPr>
          <w:rFonts w:ascii="Times New Roman" w:hAnsi="Times New Roman" w:cs="Times New Roman"/>
          <w:sz w:val="24"/>
          <w:szCs w:val="24"/>
        </w:rPr>
      </w:pPr>
      <w:r w:rsidRPr="003B329E">
        <w:rPr>
          <w:rFonts w:ascii="Times New Roman" w:hAnsi="Times New Roman" w:cs="Times New Roman"/>
          <w:b/>
          <w:sz w:val="24"/>
          <w:szCs w:val="24"/>
        </w:rPr>
        <w:t>Responsabilitatea Consiliilor</w:t>
      </w:r>
      <w:r w:rsidRPr="003B329E">
        <w:rPr>
          <w:rStyle w:val="a5"/>
          <w:rFonts w:ascii="Times New Roman" w:hAnsi="Times New Roman" w:cs="Times New Roman"/>
          <w:b/>
          <w:sz w:val="24"/>
          <w:szCs w:val="24"/>
        </w:rPr>
        <w:footnoteReference w:id="13"/>
      </w:r>
      <w:r w:rsidRPr="003B329E">
        <w:rPr>
          <w:rFonts w:ascii="Times New Roman" w:hAnsi="Times New Roman" w:cs="Times New Roman"/>
          <w:b/>
          <w:sz w:val="24"/>
          <w:szCs w:val="24"/>
        </w:rPr>
        <w:t xml:space="preserve"> I</w:t>
      </w:r>
      <w:r>
        <w:rPr>
          <w:rFonts w:ascii="Times New Roman" w:hAnsi="Times New Roman" w:cs="Times New Roman"/>
          <w:b/>
          <w:sz w:val="24"/>
          <w:szCs w:val="24"/>
        </w:rPr>
        <w:t>.</w:t>
      </w:r>
      <w:r w:rsidRPr="003B329E">
        <w:rPr>
          <w:rFonts w:ascii="Times New Roman" w:hAnsi="Times New Roman" w:cs="Times New Roman"/>
          <w:b/>
          <w:sz w:val="24"/>
          <w:szCs w:val="24"/>
        </w:rPr>
        <w:t>P</w:t>
      </w:r>
      <w:r>
        <w:rPr>
          <w:rFonts w:ascii="Times New Roman" w:hAnsi="Times New Roman" w:cs="Times New Roman"/>
          <w:b/>
          <w:sz w:val="24"/>
          <w:szCs w:val="24"/>
        </w:rPr>
        <w:t>.</w:t>
      </w:r>
      <w:r w:rsidRPr="003B329E">
        <w:rPr>
          <w:rFonts w:ascii="Times New Roman" w:hAnsi="Times New Roman" w:cs="Times New Roman"/>
          <w:b/>
          <w:sz w:val="24"/>
          <w:szCs w:val="24"/>
        </w:rPr>
        <w:t xml:space="preserve"> </w:t>
      </w:r>
      <w:r w:rsidRPr="003B329E">
        <w:rPr>
          <w:rFonts w:ascii="Times New Roman" w:hAnsi="Times New Roman" w:cs="Times New Roman"/>
          <w:sz w:val="24"/>
          <w:szCs w:val="24"/>
        </w:rPr>
        <w:t>constă în supraveghe</w:t>
      </w:r>
      <w:r>
        <w:rPr>
          <w:rFonts w:ascii="Times New Roman" w:hAnsi="Times New Roman" w:cs="Times New Roman"/>
          <w:sz w:val="24"/>
          <w:szCs w:val="24"/>
        </w:rPr>
        <w:t>rea</w:t>
      </w:r>
      <w:r w:rsidRPr="003B329E">
        <w:rPr>
          <w:rFonts w:ascii="Times New Roman" w:hAnsi="Times New Roman" w:cs="Times New Roman"/>
          <w:sz w:val="24"/>
          <w:szCs w:val="24"/>
        </w:rPr>
        <w:t xml:space="preserve"> activității I</w:t>
      </w:r>
      <w:r>
        <w:rPr>
          <w:rFonts w:ascii="Times New Roman" w:hAnsi="Times New Roman" w:cs="Times New Roman"/>
          <w:sz w:val="24"/>
          <w:szCs w:val="24"/>
        </w:rPr>
        <w:t>.</w:t>
      </w:r>
      <w:r w:rsidRPr="003B329E">
        <w:rPr>
          <w:rFonts w:ascii="Times New Roman" w:hAnsi="Times New Roman" w:cs="Times New Roman"/>
          <w:sz w:val="24"/>
          <w:szCs w:val="24"/>
        </w:rPr>
        <w:t>P</w:t>
      </w:r>
      <w:r>
        <w:rPr>
          <w:rFonts w:ascii="Times New Roman" w:hAnsi="Times New Roman" w:cs="Times New Roman"/>
          <w:sz w:val="24"/>
          <w:szCs w:val="24"/>
        </w:rPr>
        <w:t>.</w:t>
      </w:r>
      <w:r w:rsidRPr="003B329E">
        <w:rPr>
          <w:rFonts w:ascii="Times New Roman" w:hAnsi="Times New Roman" w:cs="Times New Roman"/>
          <w:sz w:val="24"/>
          <w:szCs w:val="24"/>
        </w:rPr>
        <w:t>, prin aprobarea planurilor și direcțiilor de activitate, alocarea resurselor pentru implementarea acestora, precum și supravegherea implementării acestora prin examinarea rapoartelor periodice de monitorizare a conformității și performanțelor atinse.</w:t>
      </w:r>
    </w:p>
    <w:p w14:paraId="03D894E0" w14:textId="77777777" w:rsidR="008912A3" w:rsidRPr="003B329E" w:rsidRDefault="008912A3" w:rsidP="008912A3">
      <w:pPr>
        <w:widowControl w:val="0"/>
        <w:autoSpaceDE w:val="0"/>
        <w:autoSpaceDN w:val="0"/>
        <w:adjustRightInd w:val="0"/>
        <w:spacing w:after="0" w:line="276" w:lineRule="auto"/>
        <w:jc w:val="both"/>
        <w:rPr>
          <w:rFonts w:ascii="Times New Roman" w:hAnsi="Times New Roman" w:cs="Times New Roman"/>
          <w:sz w:val="24"/>
          <w:szCs w:val="24"/>
        </w:rPr>
      </w:pPr>
      <w:r w:rsidRPr="003B329E">
        <w:rPr>
          <w:rFonts w:ascii="Times New Roman" w:hAnsi="Times New Roman" w:cs="Times New Roman"/>
          <w:b/>
          <w:sz w:val="24"/>
          <w:szCs w:val="24"/>
        </w:rPr>
        <w:t>Responsabilitatea conducerii I</w:t>
      </w:r>
      <w:r>
        <w:rPr>
          <w:rFonts w:ascii="Times New Roman" w:hAnsi="Times New Roman" w:cs="Times New Roman"/>
          <w:b/>
          <w:sz w:val="24"/>
          <w:szCs w:val="24"/>
        </w:rPr>
        <w:t>.</w:t>
      </w:r>
      <w:r w:rsidRPr="003B329E">
        <w:rPr>
          <w:rFonts w:ascii="Times New Roman" w:hAnsi="Times New Roman" w:cs="Times New Roman"/>
          <w:b/>
          <w:sz w:val="24"/>
          <w:szCs w:val="24"/>
        </w:rPr>
        <w:t>P</w:t>
      </w:r>
      <w:r>
        <w:rPr>
          <w:rFonts w:ascii="Times New Roman" w:hAnsi="Times New Roman" w:cs="Times New Roman"/>
          <w:b/>
          <w:sz w:val="24"/>
          <w:szCs w:val="24"/>
        </w:rPr>
        <w:t>.</w:t>
      </w:r>
      <w:r w:rsidRPr="003B329E">
        <w:rPr>
          <w:rFonts w:ascii="Times New Roman" w:hAnsi="Times New Roman" w:cs="Times New Roman"/>
          <w:b/>
          <w:sz w:val="24"/>
          <w:szCs w:val="24"/>
        </w:rPr>
        <w:t xml:space="preserve"> </w:t>
      </w:r>
      <w:r w:rsidRPr="003B329E">
        <w:rPr>
          <w:rFonts w:ascii="Times New Roman" w:eastAsia="Times New Roman" w:hAnsi="Times New Roman" w:cs="Times New Roman"/>
          <w:sz w:val="24"/>
          <w:szCs w:val="24"/>
        </w:rPr>
        <w:t xml:space="preserve">constă în organizarea unui sistem de management care să asigure că </w:t>
      </w:r>
      <w:r w:rsidRPr="003B329E">
        <w:rPr>
          <w:rFonts w:ascii="Times New Roman" w:hAnsi="Times New Roman" w:cs="Times New Roman"/>
          <w:sz w:val="24"/>
          <w:szCs w:val="24"/>
        </w:rPr>
        <w:t xml:space="preserve">activitățile, tranzacțiile financiare și informațiile aferente atingerii </w:t>
      </w:r>
      <w:r w:rsidRPr="003B329E">
        <w:rPr>
          <w:rFonts w:ascii="Times New Roman" w:eastAsia="Times New Roman" w:hAnsi="Times New Roman" w:cs="Times New Roman"/>
          <w:sz w:val="24"/>
          <w:szCs w:val="24"/>
        </w:rPr>
        <w:t xml:space="preserve">obiectivelor operaționale ale instituției </w:t>
      </w:r>
      <w:r w:rsidRPr="003B329E">
        <w:rPr>
          <w:rFonts w:ascii="Times New Roman" w:hAnsi="Times New Roman" w:cs="Times New Roman"/>
          <w:sz w:val="24"/>
          <w:szCs w:val="24"/>
        </w:rPr>
        <w:t>respectă, în toate privințele semnificative, actele normative care reglementează domeniile în care activează.</w:t>
      </w:r>
    </w:p>
    <w:p w14:paraId="32681D29" w14:textId="18E398CF" w:rsidR="00A176C9" w:rsidRPr="003B329E" w:rsidRDefault="008912A3" w:rsidP="008912A3">
      <w:pPr>
        <w:widowControl w:val="0"/>
        <w:autoSpaceDE w:val="0"/>
        <w:autoSpaceDN w:val="0"/>
        <w:adjustRightInd w:val="0"/>
        <w:spacing w:after="120" w:line="276" w:lineRule="auto"/>
        <w:jc w:val="both"/>
        <w:rPr>
          <w:rFonts w:ascii="Times New Roman" w:eastAsia="Times New Roman" w:hAnsi="Times New Roman" w:cs="Times New Roman"/>
          <w:sz w:val="24"/>
          <w:szCs w:val="24"/>
        </w:rPr>
      </w:pPr>
      <w:r w:rsidRPr="003B329E">
        <w:rPr>
          <w:rFonts w:ascii="Times New Roman" w:hAnsi="Times New Roman" w:cs="Times New Roman"/>
          <w:sz w:val="24"/>
          <w:szCs w:val="24"/>
        </w:rPr>
        <w:t xml:space="preserve">Informații detaliate aferente responsabilităților organelor de conducere ale CS și instituțiilor monitorizate sunt prezentate în </w:t>
      </w:r>
      <w:r w:rsidRPr="003B329E">
        <w:rPr>
          <w:rFonts w:ascii="Times New Roman" w:hAnsi="Times New Roman" w:cs="Times New Roman"/>
          <w:i/>
          <w:sz w:val="24"/>
          <w:szCs w:val="24"/>
        </w:rPr>
        <w:t>Anexa nr.1</w:t>
      </w:r>
      <w:r w:rsidRPr="003B329E">
        <w:rPr>
          <w:rFonts w:ascii="Times New Roman" w:hAnsi="Times New Roman" w:cs="Times New Roman"/>
          <w:sz w:val="24"/>
          <w:szCs w:val="24"/>
        </w:rPr>
        <w:t xml:space="preserve"> </w:t>
      </w:r>
      <w:r w:rsidRPr="005F1AD1">
        <w:rPr>
          <w:rFonts w:ascii="Times New Roman" w:hAnsi="Times New Roman" w:cs="Times New Roman"/>
          <w:i/>
          <w:sz w:val="24"/>
          <w:szCs w:val="24"/>
        </w:rPr>
        <w:t>la prezentul Raport de audit.</w:t>
      </w:r>
    </w:p>
    <w:p w14:paraId="5F337214" w14:textId="77777777" w:rsidR="006049D5" w:rsidRPr="003B329E" w:rsidRDefault="00934B5E" w:rsidP="00BD2237">
      <w:pPr>
        <w:pStyle w:val="3"/>
        <w:numPr>
          <w:ilvl w:val="1"/>
          <w:numId w:val="6"/>
        </w:numPr>
        <w:tabs>
          <w:tab w:val="left" w:pos="426"/>
        </w:tabs>
        <w:spacing w:after="120" w:line="276" w:lineRule="auto"/>
        <w:ind w:left="0" w:firstLine="0"/>
        <w:rPr>
          <w:rFonts w:ascii="Times New Roman" w:hAnsi="Times New Roman" w:cs="Times New Roman"/>
          <w:b/>
          <w:color w:val="0070C0"/>
        </w:rPr>
      </w:pPr>
      <w:bookmarkStart w:id="14" w:name="_Toc158015917"/>
      <w:r w:rsidRPr="003B329E">
        <w:rPr>
          <w:rFonts w:ascii="Times New Roman" w:hAnsi="Times New Roman" w:cs="Times New Roman"/>
          <w:b/>
          <w:color w:val="0070C0"/>
        </w:rPr>
        <w:t>B</w:t>
      </w:r>
      <w:r w:rsidR="006049D5" w:rsidRPr="003B329E">
        <w:rPr>
          <w:rFonts w:ascii="Times New Roman" w:hAnsi="Times New Roman" w:cs="Times New Roman"/>
          <w:b/>
          <w:color w:val="0070C0"/>
        </w:rPr>
        <w:t xml:space="preserve">ugetul </w:t>
      </w:r>
      <w:r w:rsidRPr="003B329E">
        <w:rPr>
          <w:rFonts w:ascii="Times New Roman" w:hAnsi="Times New Roman" w:cs="Times New Roman"/>
          <w:b/>
          <w:color w:val="0070C0"/>
        </w:rPr>
        <w:t xml:space="preserve">și patrimoniu gestionat </w:t>
      </w:r>
      <w:r w:rsidR="001317DF" w:rsidRPr="003B329E">
        <w:rPr>
          <w:rFonts w:ascii="Times New Roman" w:hAnsi="Times New Roman" w:cs="Times New Roman"/>
          <w:b/>
          <w:color w:val="0070C0"/>
        </w:rPr>
        <w:t xml:space="preserve">de </w:t>
      </w:r>
      <w:r w:rsidR="00393654" w:rsidRPr="003B329E">
        <w:rPr>
          <w:rFonts w:ascii="Times New Roman" w:hAnsi="Times New Roman" w:cs="Times New Roman"/>
          <w:b/>
          <w:color w:val="0070C0"/>
        </w:rPr>
        <w:t>CS</w:t>
      </w:r>
      <w:r w:rsidR="006049D5" w:rsidRPr="003B329E">
        <w:rPr>
          <w:rFonts w:ascii="Times New Roman" w:hAnsi="Times New Roman" w:cs="Times New Roman"/>
          <w:b/>
          <w:color w:val="0070C0"/>
        </w:rPr>
        <w:t xml:space="preserve"> în anii 2018-2022</w:t>
      </w:r>
      <w:bookmarkEnd w:id="14"/>
    </w:p>
    <w:p w14:paraId="7CD61AC2" w14:textId="687E1EBA" w:rsidR="00464DC4" w:rsidRPr="0005722C" w:rsidRDefault="00690AB9" w:rsidP="00464DC4">
      <w:pPr>
        <w:pStyle w:val="a7"/>
        <w:numPr>
          <w:ilvl w:val="0"/>
          <w:numId w:val="8"/>
        </w:numPr>
        <w:tabs>
          <w:tab w:val="left" w:pos="426"/>
        </w:tabs>
        <w:spacing w:after="120" w:line="276" w:lineRule="auto"/>
        <w:ind w:left="0" w:firstLine="0"/>
        <w:contextualSpacing w:val="0"/>
        <w:jc w:val="both"/>
        <w:rPr>
          <w:rFonts w:ascii="Times New Roman" w:hAnsi="Times New Roman" w:cs="Times New Roman"/>
          <w:sz w:val="24"/>
          <w:szCs w:val="24"/>
        </w:rPr>
      </w:pPr>
      <w:r w:rsidRPr="0005722C">
        <w:rPr>
          <w:rFonts w:ascii="Times New Roman" w:hAnsi="Times New Roman" w:cs="Times New Roman"/>
          <w:sz w:val="24"/>
          <w:szCs w:val="24"/>
        </w:rPr>
        <w:t>În perioada 2018-2022, Cancelariei de Stat</w:t>
      </w:r>
      <w:r>
        <w:rPr>
          <w:rFonts w:ascii="Times New Roman" w:hAnsi="Times New Roman" w:cs="Times New Roman"/>
          <w:sz w:val="24"/>
          <w:szCs w:val="24"/>
        </w:rPr>
        <w:t>,</w:t>
      </w:r>
      <w:r w:rsidRPr="0005722C">
        <w:rPr>
          <w:rFonts w:ascii="Times New Roman" w:hAnsi="Times New Roman" w:cs="Times New Roman"/>
          <w:sz w:val="24"/>
          <w:szCs w:val="24"/>
        </w:rPr>
        <w:t xml:space="preserve"> în calitate de autoritate publică centrală, i-au fost precizate mijloace bugetare în sum</w:t>
      </w:r>
      <w:r>
        <w:rPr>
          <w:rFonts w:ascii="Times New Roman" w:hAnsi="Times New Roman" w:cs="Times New Roman"/>
          <w:sz w:val="24"/>
          <w:szCs w:val="24"/>
        </w:rPr>
        <w:t>ă</w:t>
      </w:r>
      <w:r w:rsidRPr="0005722C">
        <w:rPr>
          <w:rFonts w:ascii="Times New Roman" w:hAnsi="Times New Roman" w:cs="Times New Roman"/>
          <w:sz w:val="24"/>
          <w:szCs w:val="24"/>
        </w:rPr>
        <w:t xml:space="preserve"> de 2 370,0 mil. lei</w:t>
      </w:r>
      <w:r>
        <w:rPr>
          <w:rFonts w:ascii="Times New Roman" w:hAnsi="Times New Roman" w:cs="Times New Roman"/>
          <w:sz w:val="24"/>
          <w:szCs w:val="24"/>
        </w:rPr>
        <w:t>,</w:t>
      </w:r>
      <w:r w:rsidRPr="0005722C">
        <w:rPr>
          <w:rFonts w:ascii="Times New Roman" w:hAnsi="Times New Roman" w:cs="Times New Roman"/>
          <w:sz w:val="24"/>
          <w:szCs w:val="24"/>
        </w:rPr>
        <w:t xml:space="preserve"> dintre care  efectiv s-au executat mijloace bugetare în sumă de 1 816,5 mil. lei. </w:t>
      </w:r>
      <w:r w:rsidRPr="0005722C">
        <w:rPr>
          <w:rFonts w:ascii="Times New Roman" w:hAnsi="Times New Roman" w:cs="Times New Roman"/>
          <w:sz w:val="24"/>
          <w:szCs w:val="24"/>
          <w:lang w:val="ro-RO"/>
        </w:rPr>
        <w:t xml:space="preserve">Resursele utilizate de la bugetul de stat au fost direcționate atât pentru finanțarea necesităților Cancelariei de Stat, inclusiv Oficiilor Teritoriale, în sumă de </w:t>
      </w:r>
      <w:r>
        <w:rPr>
          <w:rFonts w:ascii="Times New Roman" w:hAnsi="Times New Roman" w:cs="Times New Roman"/>
          <w:sz w:val="24"/>
          <w:szCs w:val="24"/>
          <w:lang w:val="ro-RO"/>
        </w:rPr>
        <w:t xml:space="preserve">324,8 </w:t>
      </w:r>
      <w:r w:rsidRPr="0005722C">
        <w:rPr>
          <w:rFonts w:ascii="Times New Roman" w:hAnsi="Times New Roman" w:cs="Times New Roman"/>
          <w:sz w:val="24"/>
          <w:szCs w:val="24"/>
          <w:lang w:val="ro-RO"/>
        </w:rPr>
        <w:t>mil.lei (</w:t>
      </w:r>
      <w:r>
        <w:rPr>
          <w:rFonts w:ascii="Times New Roman" w:hAnsi="Times New Roman" w:cs="Times New Roman"/>
          <w:sz w:val="24"/>
          <w:szCs w:val="24"/>
          <w:lang w:val="ro-RO"/>
        </w:rPr>
        <w:t>18</w:t>
      </w:r>
      <w:r w:rsidRPr="0005722C">
        <w:rPr>
          <w:rFonts w:ascii="Times New Roman" w:hAnsi="Times New Roman" w:cs="Times New Roman"/>
          <w:sz w:val="24"/>
          <w:szCs w:val="24"/>
          <w:lang w:val="ro-RO"/>
        </w:rPr>
        <w:t>%)</w:t>
      </w:r>
      <w:r>
        <w:rPr>
          <w:rFonts w:ascii="Times New Roman" w:hAnsi="Times New Roman" w:cs="Times New Roman"/>
          <w:sz w:val="24"/>
          <w:szCs w:val="24"/>
          <w:lang w:val="ro-RO"/>
        </w:rPr>
        <w:t>,</w:t>
      </w:r>
      <w:r w:rsidRPr="0005722C">
        <w:rPr>
          <w:rFonts w:ascii="Times New Roman" w:hAnsi="Times New Roman" w:cs="Times New Roman"/>
          <w:sz w:val="24"/>
          <w:szCs w:val="24"/>
          <w:lang w:val="ro-RO"/>
        </w:rPr>
        <w:t xml:space="preserve"> cât și a instituțiilor publice monitorizate –</w:t>
      </w:r>
      <w:r>
        <w:rPr>
          <w:rFonts w:ascii="Times New Roman" w:hAnsi="Times New Roman" w:cs="Times New Roman"/>
          <w:sz w:val="24"/>
          <w:szCs w:val="24"/>
          <w:lang w:val="ro-RO"/>
        </w:rPr>
        <w:t xml:space="preserve"> 1 491,7 </w:t>
      </w:r>
      <w:r w:rsidRPr="0005722C">
        <w:rPr>
          <w:rFonts w:ascii="Times New Roman" w:hAnsi="Times New Roman" w:cs="Times New Roman"/>
          <w:sz w:val="24"/>
          <w:szCs w:val="24"/>
          <w:lang w:val="ro-RO"/>
        </w:rPr>
        <w:t>mil. lei (</w:t>
      </w:r>
      <w:r>
        <w:rPr>
          <w:rFonts w:ascii="Times New Roman" w:hAnsi="Times New Roman" w:cs="Times New Roman"/>
          <w:sz w:val="24"/>
          <w:szCs w:val="24"/>
          <w:lang w:val="ro-RO"/>
        </w:rPr>
        <w:t>82</w:t>
      </w:r>
      <w:r w:rsidRPr="0005722C">
        <w:rPr>
          <w:rFonts w:ascii="Times New Roman" w:hAnsi="Times New Roman" w:cs="Times New Roman"/>
          <w:sz w:val="24"/>
          <w:szCs w:val="24"/>
          <w:lang w:val="ro-RO"/>
        </w:rPr>
        <w:t>%), fiind alocate sub diferite tipuri de finanțare, inclusiv sub formă de resurse generale, subvenții și granturi. Informați</w:t>
      </w:r>
      <w:r>
        <w:rPr>
          <w:rFonts w:ascii="Times New Roman" w:hAnsi="Times New Roman" w:cs="Times New Roman"/>
          <w:sz w:val="24"/>
          <w:szCs w:val="24"/>
          <w:lang w:val="ro-RO"/>
        </w:rPr>
        <w:t>i</w:t>
      </w:r>
      <w:r w:rsidRPr="0005722C">
        <w:rPr>
          <w:rFonts w:ascii="Times New Roman" w:hAnsi="Times New Roman" w:cs="Times New Roman"/>
          <w:sz w:val="24"/>
          <w:szCs w:val="24"/>
          <w:lang w:val="ro-RO"/>
        </w:rPr>
        <w:t xml:space="preserve"> descifrat</w:t>
      </w:r>
      <w:r>
        <w:rPr>
          <w:rFonts w:ascii="Times New Roman" w:hAnsi="Times New Roman" w:cs="Times New Roman"/>
          <w:sz w:val="24"/>
          <w:szCs w:val="24"/>
          <w:lang w:val="ro-RO"/>
        </w:rPr>
        <w:t>e</w:t>
      </w:r>
      <w:r w:rsidRPr="0005722C">
        <w:rPr>
          <w:rFonts w:ascii="Times New Roman" w:hAnsi="Times New Roman" w:cs="Times New Roman"/>
          <w:sz w:val="24"/>
          <w:szCs w:val="24"/>
          <w:lang w:val="ro-RO"/>
        </w:rPr>
        <w:t xml:space="preserve"> pe tipuri de finanțare și autorități/instituții beneficiare se reprezintă în tabelul din </w:t>
      </w:r>
      <w:r w:rsidRPr="0005722C">
        <w:rPr>
          <w:rFonts w:ascii="Times New Roman" w:hAnsi="Times New Roman" w:cs="Times New Roman"/>
          <w:bCs/>
          <w:i/>
          <w:sz w:val="24"/>
          <w:szCs w:val="24"/>
        </w:rPr>
        <w:t xml:space="preserve">Anexa nr. </w:t>
      </w:r>
      <w:r>
        <w:rPr>
          <w:rFonts w:ascii="Times New Roman" w:hAnsi="Times New Roman" w:cs="Times New Roman"/>
          <w:bCs/>
          <w:i/>
          <w:sz w:val="24"/>
          <w:szCs w:val="24"/>
        </w:rPr>
        <w:t>2 la prezentul Raport de audit</w:t>
      </w:r>
      <w:r w:rsidRPr="0005722C">
        <w:rPr>
          <w:rFonts w:ascii="Times New Roman" w:hAnsi="Times New Roman" w:cs="Times New Roman"/>
          <w:sz w:val="24"/>
          <w:szCs w:val="24"/>
          <w:lang w:val="ro-RO"/>
        </w:rPr>
        <w:t xml:space="preserve">. Astfel, </w:t>
      </w:r>
      <w:r w:rsidRPr="0005722C">
        <w:rPr>
          <w:rFonts w:ascii="Times New Roman" w:hAnsi="Times New Roman" w:cs="Times New Roman"/>
          <w:sz w:val="24"/>
          <w:szCs w:val="24"/>
        </w:rPr>
        <w:t>analiza pe tip</w:t>
      </w:r>
      <w:r>
        <w:rPr>
          <w:rFonts w:ascii="Times New Roman" w:hAnsi="Times New Roman" w:cs="Times New Roman"/>
          <w:sz w:val="24"/>
          <w:szCs w:val="24"/>
        </w:rPr>
        <w:t>uri</w:t>
      </w:r>
      <w:r w:rsidRPr="0005722C">
        <w:rPr>
          <w:rFonts w:ascii="Times New Roman" w:hAnsi="Times New Roman" w:cs="Times New Roman"/>
          <w:sz w:val="24"/>
          <w:szCs w:val="24"/>
        </w:rPr>
        <w:t xml:space="preserve"> de finanțare acordată CS și instituțiil</w:t>
      </w:r>
      <w:r>
        <w:rPr>
          <w:rFonts w:ascii="Times New Roman" w:hAnsi="Times New Roman" w:cs="Times New Roman"/>
          <w:sz w:val="24"/>
          <w:szCs w:val="24"/>
        </w:rPr>
        <w:t>or</w:t>
      </w:r>
      <w:r w:rsidRPr="0005722C">
        <w:rPr>
          <w:rFonts w:ascii="Times New Roman" w:hAnsi="Times New Roman" w:cs="Times New Roman"/>
          <w:sz w:val="24"/>
          <w:szCs w:val="24"/>
        </w:rPr>
        <w:t xml:space="preserve"> monitorizate relevă următoarele:</w:t>
      </w:r>
    </w:p>
    <w:p w14:paraId="1E18B98C" w14:textId="77777777" w:rsidR="00690AB9" w:rsidRPr="003B329E" w:rsidRDefault="00690AB9" w:rsidP="00690AB9">
      <w:pPr>
        <w:pStyle w:val="a7"/>
        <w:numPr>
          <w:ilvl w:val="0"/>
          <w:numId w:val="7"/>
        </w:numPr>
        <w:spacing w:after="80" w:line="276" w:lineRule="auto"/>
        <w:ind w:left="425" w:hanging="357"/>
        <w:contextualSpacing w:val="0"/>
        <w:jc w:val="both"/>
        <w:rPr>
          <w:rFonts w:ascii="Times New Roman" w:hAnsi="Times New Roman" w:cs="Times New Roman"/>
          <w:sz w:val="24"/>
          <w:szCs w:val="24"/>
        </w:rPr>
      </w:pPr>
      <w:r>
        <w:rPr>
          <w:rFonts w:ascii="Times New Roman" w:eastAsiaTheme="minorEastAsia" w:hAnsi="Times New Roman" w:cs="Times New Roman"/>
          <w:b/>
          <w:sz w:val="24"/>
          <w:szCs w:val="24"/>
          <w:lang w:val="ro-RO" w:eastAsia="ja-JP"/>
        </w:rPr>
        <w:t>70</w:t>
      </w:r>
      <w:r w:rsidRPr="003B329E">
        <w:rPr>
          <w:rFonts w:ascii="Times New Roman" w:hAnsi="Times New Roman" w:cs="Times New Roman"/>
          <w:b/>
          <w:sz w:val="24"/>
          <w:szCs w:val="24"/>
          <w:lang w:val="ro-RO"/>
        </w:rPr>
        <w:t>%</w:t>
      </w:r>
      <w:r>
        <w:rPr>
          <w:rFonts w:ascii="Times New Roman" w:hAnsi="Times New Roman" w:cs="Times New Roman"/>
          <w:b/>
          <w:sz w:val="24"/>
          <w:szCs w:val="24"/>
          <w:lang w:val="ro-RO"/>
        </w:rPr>
        <w:t>,</w:t>
      </w:r>
      <w:r w:rsidRPr="003B329E">
        <w:rPr>
          <w:rFonts w:ascii="Times New Roman" w:hAnsi="Times New Roman" w:cs="Times New Roman"/>
          <w:b/>
          <w:sz w:val="24"/>
          <w:szCs w:val="24"/>
          <w:lang w:val="ro-RO"/>
        </w:rPr>
        <w:t xml:space="preserve"> sau </w:t>
      </w:r>
      <w:r>
        <w:rPr>
          <w:rFonts w:ascii="Times New Roman" w:hAnsi="Times New Roman" w:cs="Times New Roman"/>
          <w:b/>
          <w:sz w:val="24"/>
          <w:szCs w:val="24"/>
          <w:lang w:val="ro-RO"/>
        </w:rPr>
        <w:t xml:space="preserve">1 272,9 </w:t>
      </w:r>
      <w:r w:rsidRPr="003B329E">
        <w:rPr>
          <w:rFonts w:ascii="Times New Roman" w:hAnsi="Times New Roman" w:cs="Times New Roman"/>
          <w:b/>
          <w:sz w:val="24"/>
          <w:szCs w:val="24"/>
          <w:lang w:val="ro-RO"/>
        </w:rPr>
        <w:t>mil. lei</w:t>
      </w:r>
      <w:r>
        <w:rPr>
          <w:rFonts w:ascii="Times New Roman" w:hAnsi="Times New Roman" w:cs="Times New Roman"/>
          <w:b/>
          <w:sz w:val="24"/>
          <w:szCs w:val="24"/>
          <w:lang w:val="ro-RO"/>
        </w:rPr>
        <w:t>,</w:t>
      </w:r>
      <w:r w:rsidRPr="003B329E">
        <w:rPr>
          <w:rFonts w:ascii="Times New Roman" w:hAnsi="Times New Roman" w:cs="Times New Roman"/>
          <w:b/>
          <w:sz w:val="24"/>
          <w:szCs w:val="24"/>
          <w:lang w:val="ro-RO"/>
        </w:rPr>
        <w:t xml:space="preserve"> </w:t>
      </w:r>
      <w:r w:rsidRPr="003B329E">
        <w:rPr>
          <w:rFonts w:ascii="Times New Roman" w:hAnsi="Times New Roman" w:cs="Times New Roman"/>
          <w:sz w:val="24"/>
          <w:szCs w:val="24"/>
        </w:rPr>
        <w:t>din totalul mijloacelor alocate, de la componenta de resurse generale au fost direcționate pentru întreținerea autorităților/instituțiilor cu finanțare integrală de la buget (CS, DGACG, BA și</w:t>
      </w:r>
      <w:r>
        <w:rPr>
          <w:rFonts w:ascii="Times New Roman" w:hAnsi="Times New Roman" w:cs="Times New Roman"/>
          <w:sz w:val="24"/>
          <w:szCs w:val="24"/>
        </w:rPr>
        <w:t xml:space="preserve"> APP</w:t>
      </w:r>
      <w:r w:rsidRPr="003B329E">
        <w:rPr>
          <w:rFonts w:ascii="Times New Roman" w:hAnsi="Times New Roman" w:cs="Times New Roman"/>
          <w:sz w:val="24"/>
          <w:szCs w:val="24"/>
        </w:rPr>
        <w:t>);</w:t>
      </w:r>
    </w:p>
    <w:p w14:paraId="3592FD09" w14:textId="77777777" w:rsidR="00690AB9" w:rsidRPr="003B329E" w:rsidRDefault="00690AB9" w:rsidP="00690AB9">
      <w:pPr>
        <w:pStyle w:val="a7"/>
        <w:numPr>
          <w:ilvl w:val="0"/>
          <w:numId w:val="7"/>
        </w:numPr>
        <w:spacing w:after="80" w:line="276" w:lineRule="auto"/>
        <w:ind w:left="425" w:hanging="357"/>
        <w:contextualSpacing w:val="0"/>
        <w:jc w:val="both"/>
        <w:rPr>
          <w:rFonts w:ascii="Times New Roman" w:hAnsi="Times New Roman" w:cs="Times New Roman"/>
          <w:sz w:val="24"/>
          <w:szCs w:val="24"/>
        </w:rPr>
      </w:pPr>
      <w:r>
        <w:rPr>
          <w:rFonts w:ascii="Times New Roman" w:eastAsiaTheme="minorEastAsia" w:hAnsi="Times New Roman" w:cs="Times New Roman"/>
          <w:b/>
          <w:sz w:val="24"/>
          <w:szCs w:val="24"/>
          <w:lang w:val="ro-RO" w:eastAsia="ja-JP"/>
        </w:rPr>
        <w:t>12</w:t>
      </w:r>
      <w:r w:rsidRPr="003B329E">
        <w:rPr>
          <w:rFonts w:ascii="Times New Roman" w:eastAsiaTheme="minorEastAsia" w:hAnsi="Times New Roman" w:cs="Times New Roman"/>
          <w:b/>
          <w:sz w:val="24"/>
          <w:szCs w:val="24"/>
          <w:lang w:val="ro-RO" w:eastAsia="ja-JP"/>
        </w:rPr>
        <w:t>%</w:t>
      </w:r>
      <w:r>
        <w:rPr>
          <w:rFonts w:ascii="Times New Roman" w:eastAsiaTheme="minorEastAsia" w:hAnsi="Times New Roman" w:cs="Times New Roman"/>
          <w:b/>
          <w:sz w:val="24"/>
          <w:szCs w:val="24"/>
          <w:lang w:val="ro-RO" w:eastAsia="ja-JP"/>
        </w:rPr>
        <w:t>,</w:t>
      </w:r>
      <w:r w:rsidRPr="003B329E">
        <w:rPr>
          <w:rFonts w:ascii="Times New Roman" w:eastAsiaTheme="minorEastAsia" w:hAnsi="Times New Roman" w:cs="Times New Roman"/>
          <w:b/>
          <w:sz w:val="24"/>
          <w:szCs w:val="24"/>
          <w:lang w:val="ro-RO" w:eastAsia="ja-JP"/>
        </w:rPr>
        <w:t xml:space="preserve"> sau </w:t>
      </w:r>
      <w:r>
        <w:rPr>
          <w:rFonts w:ascii="Times New Roman" w:eastAsiaTheme="minorEastAsia" w:hAnsi="Times New Roman" w:cs="Times New Roman"/>
          <w:b/>
          <w:sz w:val="24"/>
          <w:szCs w:val="24"/>
          <w:lang w:val="ro-RO" w:eastAsia="ja-JP"/>
        </w:rPr>
        <w:t xml:space="preserve">219,6 </w:t>
      </w:r>
      <w:r w:rsidRPr="003B329E">
        <w:rPr>
          <w:rFonts w:ascii="Times New Roman" w:eastAsiaTheme="minorEastAsia" w:hAnsi="Times New Roman" w:cs="Times New Roman"/>
          <w:b/>
          <w:sz w:val="24"/>
          <w:szCs w:val="24"/>
          <w:lang w:val="ro-RO" w:eastAsia="ja-JP"/>
        </w:rPr>
        <w:t>mil. lei</w:t>
      </w:r>
      <w:r>
        <w:rPr>
          <w:rFonts w:ascii="Times New Roman" w:eastAsiaTheme="minorEastAsia" w:hAnsi="Times New Roman" w:cs="Times New Roman"/>
          <w:b/>
          <w:sz w:val="24"/>
          <w:szCs w:val="24"/>
          <w:lang w:val="ro-RO" w:eastAsia="ja-JP"/>
        </w:rPr>
        <w:t>,</w:t>
      </w:r>
      <w:r w:rsidRPr="003B329E">
        <w:rPr>
          <w:rFonts w:ascii="Times New Roman" w:hAnsi="Times New Roman" w:cs="Times New Roman"/>
          <w:sz w:val="24"/>
          <w:szCs w:val="24"/>
        </w:rPr>
        <w:t xml:space="preserve"> s-au alocat CS sub formă</w:t>
      </w:r>
      <w:r>
        <w:rPr>
          <w:rFonts w:ascii="Times New Roman" w:hAnsi="Times New Roman" w:cs="Times New Roman"/>
          <w:sz w:val="24"/>
          <w:szCs w:val="24"/>
        </w:rPr>
        <w:t xml:space="preserve"> de</w:t>
      </w:r>
      <w:r w:rsidRPr="003B329E">
        <w:rPr>
          <w:rFonts w:ascii="Times New Roman" w:hAnsi="Times New Roman" w:cs="Times New Roman"/>
          <w:sz w:val="24"/>
          <w:szCs w:val="24"/>
        </w:rPr>
        <w:t xml:space="preserve"> granturi curente și capitale pentru finanțarea acțiunilor prevăzute în programul guvernamental „e-Transformare a Guvernării”</w:t>
      </w:r>
      <w:r w:rsidRPr="003B329E">
        <w:rPr>
          <w:rStyle w:val="a5"/>
          <w:rFonts w:ascii="Times New Roman" w:hAnsi="Times New Roman" w:cs="Times New Roman"/>
          <w:sz w:val="24"/>
          <w:szCs w:val="24"/>
        </w:rPr>
        <w:footnoteReference w:id="14"/>
      </w:r>
      <w:r>
        <w:rPr>
          <w:rFonts w:ascii="Times New Roman" w:hAnsi="Times New Roman" w:cs="Times New Roman"/>
          <w:sz w:val="24"/>
          <w:szCs w:val="24"/>
        </w:rPr>
        <w:t>,</w:t>
      </w:r>
      <w:r w:rsidRPr="003B329E">
        <w:rPr>
          <w:rFonts w:ascii="Times New Roman" w:hAnsi="Times New Roman" w:cs="Times New Roman"/>
          <w:sz w:val="24"/>
          <w:szCs w:val="24"/>
        </w:rPr>
        <w:t xml:space="preserve"> implementat de către I</w:t>
      </w:r>
      <w:r>
        <w:rPr>
          <w:rFonts w:ascii="Times New Roman" w:hAnsi="Times New Roman" w:cs="Times New Roman"/>
          <w:sz w:val="24"/>
          <w:szCs w:val="24"/>
        </w:rPr>
        <w:t>.</w:t>
      </w:r>
      <w:r w:rsidRPr="003B329E">
        <w:rPr>
          <w:rFonts w:ascii="Times New Roman" w:hAnsi="Times New Roman" w:cs="Times New Roman"/>
          <w:sz w:val="24"/>
          <w:szCs w:val="24"/>
        </w:rPr>
        <w:t>P</w:t>
      </w:r>
      <w:r>
        <w:rPr>
          <w:rFonts w:ascii="Times New Roman" w:hAnsi="Times New Roman" w:cs="Times New Roman"/>
          <w:sz w:val="24"/>
          <w:szCs w:val="24"/>
        </w:rPr>
        <w:t>.</w:t>
      </w:r>
      <w:r w:rsidRPr="003B329E">
        <w:rPr>
          <w:rFonts w:ascii="Times New Roman" w:hAnsi="Times New Roman" w:cs="Times New Roman"/>
          <w:sz w:val="24"/>
          <w:szCs w:val="24"/>
        </w:rPr>
        <w:t xml:space="preserve"> „AGE” și I</w:t>
      </w:r>
      <w:r>
        <w:rPr>
          <w:rFonts w:ascii="Times New Roman" w:hAnsi="Times New Roman" w:cs="Times New Roman"/>
          <w:sz w:val="24"/>
          <w:szCs w:val="24"/>
        </w:rPr>
        <w:t>.</w:t>
      </w:r>
      <w:r w:rsidRPr="003B329E">
        <w:rPr>
          <w:rFonts w:ascii="Times New Roman" w:hAnsi="Times New Roman" w:cs="Times New Roman"/>
          <w:sz w:val="24"/>
          <w:szCs w:val="24"/>
        </w:rPr>
        <w:t>P</w:t>
      </w:r>
      <w:r>
        <w:rPr>
          <w:rFonts w:ascii="Times New Roman" w:hAnsi="Times New Roman" w:cs="Times New Roman"/>
          <w:sz w:val="24"/>
          <w:szCs w:val="24"/>
        </w:rPr>
        <w:t>.</w:t>
      </w:r>
      <w:r w:rsidRPr="003B329E">
        <w:rPr>
          <w:rFonts w:ascii="Times New Roman" w:hAnsi="Times New Roman" w:cs="Times New Roman"/>
          <w:sz w:val="24"/>
          <w:szCs w:val="24"/>
        </w:rPr>
        <w:t xml:space="preserve"> „STISC”</w:t>
      </w:r>
      <w:r>
        <w:rPr>
          <w:rFonts w:ascii="Times New Roman" w:hAnsi="Times New Roman" w:cs="Times New Roman"/>
          <w:sz w:val="24"/>
          <w:szCs w:val="24"/>
        </w:rPr>
        <w:t>,</w:t>
      </w:r>
      <w:r w:rsidRPr="003B329E">
        <w:rPr>
          <w:rFonts w:ascii="Times New Roman" w:hAnsi="Times New Roman" w:cs="Times New Roman"/>
          <w:sz w:val="24"/>
          <w:szCs w:val="24"/>
        </w:rPr>
        <w:t xml:space="preserve"> precum și a unui șir de servicii</w:t>
      </w:r>
      <w:r w:rsidRPr="003B329E">
        <w:rPr>
          <w:rStyle w:val="a5"/>
          <w:rFonts w:ascii="Times New Roman" w:hAnsi="Times New Roman" w:cs="Times New Roman"/>
          <w:sz w:val="24"/>
          <w:szCs w:val="24"/>
        </w:rPr>
        <w:footnoteReference w:id="15"/>
      </w:r>
      <w:r w:rsidRPr="003B329E">
        <w:rPr>
          <w:rFonts w:ascii="Times New Roman" w:hAnsi="Times New Roman" w:cs="Times New Roman"/>
          <w:sz w:val="24"/>
          <w:szCs w:val="24"/>
        </w:rPr>
        <w:t xml:space="preserve"> publice acordate de I</w:t>
      </w:r>
      <w:r>
        <w:rPr>
          <w:rFonts w:ascii="Times New Roman" w:hAnsi="Times New Roman" w:cs="Times New Roman"/>
          <w:sz w:val="24"/>
          <w:szCs w:val="24"/>
        </w:rPr>
        <w:t>.</w:t>
      </w:r>
      <w:r w:rsidRPr="003B329E">
        <w:rPr>
          <w:rFonts w:ascii="Times New Roman" w:hAnsi="Times New Roman" w:cs="Times New Roman"/>
          <w:sz w:val="24"/>
          <w:szCs w:val="24"/>
        </w:rPr>
        <w:t>P</w:t>
      </w:r>
      <w:r>
        <w:rPr>
          <w:rFonts w:ascii="Times New Roman" w:hAnsi="Times New Roman" w:cs="Times New Roman"/>
          <w:sz w:val="24"/>
          <w:szCs w:val="24"/>
        </w:rPr>
        <w:t>.</w:t>
      </w:r>
      <w:r w:rsidRPr="003B329E">
        <w:rPr>
          <w:rFonts w:ascii="Times New Roman" w:hAnsi="Times New Roman" w:cs="Times New Roman"/>
          <w:sz w:val="24"/>
          <w:szCs w:val="24"/>
        </w:rPr>
        <w:t xml:space="preserve"> „STISC”;</w:t>
      </w:r>
    </w:p>
    <w:p w14:paraId="638169E5" w14:textId="363AADCE" w:rsidR="00690AB9" w:rsidRPr="00690AB9" w:rsidRDefault="00690AB9" w:rsidP="00161D23">
      <w:pPr>
        <w:pStyle w:val="af0"/>
        <w:numPr>
          <w:ilvl w:val="0"/>
          <w:numId w:val="7"/>
        </w:numPr>
        <w:tabs>
          <w:tab w:val="left" w:pos="426"/>
        </w:tabs>
        <w:spacing w:after="0" w:line="276" w:lineRule="auto"/>
        <w:ind w:left="426"/>
        <w:jc w:val="both"/>
        <w:rPr>
          <w:lang w:val="ro-RO"/>
        </w:rPr>
      </w:pPr>
      <w:r w:rsidRPr="00690AB9">
        <w:rPr>
          <w:b/>
          <w:lang w:val="ro-RO"/>
        </w:rPr>
        <w:t>18%, sau 324,0 mil. lei,</w:t>
      </w:r>
      <w:r w:rsidRPr="00690AB9">
        <w:rPr>
          <w:lang w:val="ro-RO"/>
        </w:rPr>
        <w:t xml:space="preserve"> au fost alocate sub formă de subvenții instituțiilor publice aflate la autogestiune, inclusiv: I.P. „Palatul Republicii”, pentru acoperirea cheltuielilor aferente întreținerii sediului și serviciilor comunale – 19,5 mil. lei, precum și I.P. „Pensiunea din Holercani”, pentru acoperirea cheltuielilor de personal, serviciilor comunale și altele – 19,5 mil. lei. La fel, ASP i-au fost transferate de la buget mijloace financiare pentru acoperirea costului formularelor utilizate pentru confecționarea actelor de stare civilă unor categorii de populație, conform prevederilor art. 72 lit.(4) al Legii nr.100/2001</w:t>
      </w:r>
      <w:r w:rsidRPr="003B329E">
        <w:rPr>
          <w:rStyle w:val="a5"/>
          <w:lang w:val="ro-RO"/>
        </w:rPr>
        <w:footnoteReference w:id="16"/>
      </w:r>
      <w:r w:rsidRPr="00690AB9">
        <w:rPr>
          <w:lang w:val="ro-RO"/>
        </w:rPr>
        <w:t xml:space="preserve"> și HG nr.210/2014</w:t>
      </w:r>
      <w:r w:rsidRPr="003B329E">
        <w:rPr>
          <w:rStyle w:val="a5"/>
          <w:lang w:val="ro-RO"/>
        </w:rPr>
        <w:footnoteReference w:id="17"/>
      </w:r>
      <w:r w:rsidRPr="00690AB9">
        <w:rPr>
          <w:lang w:val="ro-RO"/>
        </w:rPr>
        <w:t>.</w:t>
      </w:r>
    </w:p>
    <w:p w14:paraId="76C851D3" w14:textId="6F440666" w:rsidR="00690AB9" w:rsidRDefault="00690AB9" w:rsidP="00690AB9">
      <w:pPr>
        <w:pStyle w:val="af0"/>
        <w:tabs>
          <w:tab w:val="left" w:pos="284"/>
        </w:tabs>
        <w:spacing w:after="0" w:line="276" w:lineRule="auto"/>
        <w:ind w:left="426"/>
        <w:jc w:val="both"/>
        <w:rPr>
          <w:lang w:val="ro-RO"/>
        </w:rPr>
      </w:pPr>
      <w:r w:rsidRPr="003B329E">
        <w:rPr>
          <w:lang w:val="ro-RO"/>
        </w:rPr>
        <w:t>Potrivit cadrului legal, până în anul 2020 mijloacele bugetare de care au beneficiat I</w:t>
      </w:r>
      <w:r>
        <w:rPr>
          <w:lang w:val="ro-RO"/>
        </w:rPr>
        <w:t>.</w:t>
      </w:r>
      <w:r w:rsidRPr="003B329E">
        <w:rPr>
          <w:lang w:val="ro-RO"/>
        </w:rPr>
        <w:t>P</w:t>
      </w:r>
      <w:r>
        <w:rPr>
          <w:lang w:val="ro-RO"/>
        </w:rPr>
        <w:t>.</w:t>
      </w:r>
      <w:r w:rsidRPr="003B329E">
        <w:rPr>
          <w:lang w:val="ro-RO"/>
        </w:rPr>
        <w:t xml:space="preserve"> </w:t>
      </w:r>
      <w:r w:rsidR="00D21915">
        <w:rPr>
          <w:lang w:val="ro-RO"/>
        </w:rPr>
        <w:t>„</w:t>
      </w:r>
      <w:r w:rsidRPr="003B329E">
        <w:rPr>
          <w:lang w:val="ro-RO"/>
        </w:rPr>
        <w:t>AGE</w:t>
      </w:r>
      <w:r w:rsidR="00D21915">
        <w:rPr>
          <w:lang w:val="ro-RO"/>
        </w:rPr>
        <w:t>”</w:t>
      </w:r>
      <w:r w:rsidRPr="003B329E">
        <w:rPr>
          <w:lang w:val="ro-RO"/>
        </w:rPr>
        <w:t xml:space="preserve"> și I</w:t>
      </w:r>
      <w:r>
        <w:rPr>
          <w:lang w:val="ro-RO"/>
        </w:rPr>
        <w:t>.</w:t>
      </w:r>
      <w:r w:rsidRPr="003B329E">
        <w:rPr>
          <w:lang w:val="ro-RO"/>
        </w:rPr>
        <w:t>P</w:t>
      </w:r>
      <w:r>
        <w:rPr>
          <w:lang w:val="ro-RO"/>
        </w:rPr>
        <w:t>.</w:t>
      </w:r>
      <w:r w:rsidRPr="003B329E">
        <w:rPr>
          <w:lang w:val="ro-RO"/>
        </w:rPr>
        <w:t xml:space="preserve"> </w:t>
      </w:r>
      <w:r w:rsidR="00D21915">
        <w:rPr>
          <w:lang w:val="ro-RO"/>
        </w:rPr>
        <w:t>„</w:t>
      </w:r>
      <w:r w:rsidRPr="003B329E">
        <w:rPr>
          <w:lang w:val="ro-RO"/>
        </w:rPr>
        <w:t>STISC</w:t>
      </w:r>
      <w:r w:rsidR="00D21915">
        <w:rPr>
          <w:lang w:val="ro-RO"/>
        </w:rPr>
        <w:t>”</w:t>
      </w:r>
      <w:r w:rsidRPr="003B329E">
        <w:rPr>
          <w:lang w:val="ro-RO"/>
        </w:rPr>
        <w:t xml:space="preserve"> erau alocate sub formă de subsidii care</w:t>
      </w:r>
      <w:r>
        <w:rPr>
          <w:lang w:val="ro-RO"/>
        </w:rPr>
        <w:t>,</w:t>
      </w:r>
      <w:r w:rsidRPr="003B329E">
        <w:rPr>
          <w:lang w:val="ro-RO"/>
        </w:rPr>
        <w:t xml:space="preserve"> odată cu aprobarea modificărilor de rigoare, au fost redenumite</w:t>
      </w:r>
      <w:r>
        <w:rPr>
          <w:rStyle w:val="a5"/>
          <w:lang w:val="ro-RO"/>
        </w:rPr>
        <w:footnoteReference w:id="18"/>
      </w:r>
      <w:r w:rsidRPr="003B329E">
        <w:rPr>
          <w:lang w:val="ro-RO"/>
        </w:rPr>
        <w:t xml:space="preserve"> în subvenții, în acest sens fiind utilizate de instituții</w:t>
      </w:r>
      <w:r>
        <w:rPr>
          <w:lang w:val="ro-RO"/>
        </w:rPr>
        <w:t>,</w:t>
      </w:r>
      <w:r w:rsidRPr="003B329E">
        <w:rPr>
          <w:lang w:val="ro-RO"/>
        </w:rPr>
        <w:t xml:space="preserve"> respectiv</w:t>
      </w:r>
      <w:r>
        <w:rPr>
          <w:lang w:val="ro-RO"/>
        </w:rPr>
        <w:t>,</w:t>
      </w:r>
      <w:r w:rsidRPr="003B329E">
        <w:rPr>
          <w:lang w:val="ro-RO"/>
        </w:rPr>
        <w:t xml:space="preserve"> sumele de 42,3 mil. lei și 177,1 mil. lei.</w:t>
      </w:r>
      <w:r>
        <w:rPr>
          <w:lang w:val="ro-RO"/>
        </w:rPr>
        <w:t xml:space="preserve"> </w:t>
      </w:r>
    </w:p>
    <w:p w14:paraId="7DF81179" w14:textId="77777777" w:rsidR="00690AB9" w:rsidRPr="003B329E" w:rsidRDefault="00690AB9" w:rsidP="00690AB9">
      <w:pPr>
        <w:pStyle w:val="af0"/>
        <w:tabs>
          <w:tab w:val="left" w:pos="284"/>
        </w:tabs>
        <w:spacing w:after="120" w:line="276" w:lineRule="auto"/>
        <w:ind w:left="425"/>
        <w:jc w:val="both"/>
        <w:rPr>
          <w:lang w:val="ro-RO"/>
        </w:rPr>
      </w:pPr>
      <w:r w:rsidRPr="003B329E">
        <w:rPr>
          <w:lang w:val="ro-RO"/>
        </w:rPr>
        <w:t>În perioada 2018-2019, de mijloace financiare alocate din buget sub formă de subsidii au beneficiat și unele I</w:t>
      </w:r>
      <w:r>
        <w:rPr>
          <w:lang w:val="ro-RO"/>
        </w:rPr>
        <w:t>.</w:t>
      </w:r>
      <w:r w:rsidRPr="003B329E">
        <w:rPr>
          <w:lang w:val="ro-RO"/>
        </w:rPr>
        <w:t>P</w:t>
      </w:r>
      <w:r>
        <w:rPr>
          <w:lang w:val="ro-RO"/>
        </w:rPr>
        <w:t>.</w:t>
      </w:r>
      <w:r w:rsidRPr="003B329E">
        <w:rPr>
          <w:lang w:val="ro-RO"/>
        </w:rPr>
        <w:t xml:space="preserve"> monitorizate de CS din domeniul sănătății care</w:t>
      </w:r>
      <w:r>
        <w:rPr>
          <w:lang w:val="ro-RO"/>
        </w:rPr>
        <w:t>,</w:t>
      </w:r>
      <w:r w:rsidRPr="003B329E">
        <w:rPr>
          <w:lang w:val="ro-RO"/>
        </w:rPr>
        <w:t xml:space="preserve"> potrivit HG</w:t>
      </w:r>
      <w:r>
        <w:rPr>
          <w:lang w:val="ro-RO"/>
        </w:rPr>
        <w:t xml:space="preserve"> nr.</w:t>
      </w:r>
      <w:r w:rsidRPr="003B329E">
        <w:rPr>
          <w:lang w:val="ro-RO"/>
        </w:rPr>
        <w:t xml:space="preserve"> 410/2019, au fost transmise în administrarea Ministerului Sănătății, Muncii și Protecției Sociale.</w:t>
      </w:r>
    </w:p>
    <w:p w14:paraId="420EF67E" w14:textId="0BD6941D" w:rsidR="005A558F" w:rsidRPr="003B329E" w:rsidRDefault="00971A21" w:rsidP="00D93C64">
      <w:pPr>
        <w:pStyle w:val="a7"/>
        <w:numPr>
          <w:ilvl w:val="0"/>
          <w:numId w:val="8"/>
        </w:numPr>
        <w:tabs>
          <w:tab w:val="left" w:pos="426"/>
        </w:tabs>
        <w:spacing w:after="0" w:line="276" w:lineRule="auto"/>
        <w:ind w:left="0" w:firstLine="0"/>
        <w:contextualSpacing w:val="0"/>
        <w:jc w:val="both"/>
        <w:rPr>
          <w:rFonts w:ascii="Times New Roman" w:hAnsi="Times New Roman" w:cs="Times New Roman"/>
          <w:sz w:val="24"/>
          <w:szCs w:val="24"/>
        </w:rPr>
      </w:pPr>
      <w:r w:rsidRPr="003B329E">
        <w:rPr>
          <w:rFonts w:ascii="Times New Roman" w:hAnsi="Times New Roman" w:cs="Times New Roman"/>
          <w:sz w:val="24"/>
          <w:szCs w:val="24"/>
        </w:rPr>
        <w:t>La data de 31.12.2022</w:t>
      </w:r>
      <w:r w:rsidR="00934B5E" w:rsidRPr="003B329E">
        <w:rPr>
          <w:rFonts w:ascii="Times New Roman" w:hAnsi="Times New Roman" w:cs="Times New Roman"/>
          <w:sz w:val="24"/>
          <w:szCs w:val="24"/>
        </w:rPr>
        <w:t xml:space="preserve">, valoarea totală a activelor gestionate de </w:t>
      </w:r>
      <w:r w:rsidR="00540F3E" w:rsidRPr="003B329E">
        <w:rPr>
          <w:rFonts w:ascii="Times New Roman" w:hAnsi="Times New Roman" w:cs="Times New Roman"/>
          <w:sz w:val="24"/>
          <w:szCs w:val="24"/>
        </w:rPr>
        <w:t>către CS</w:t>
      </w:r>
      <w:r w:rsidR="00934B5E" w:rsidRPr="003B329E">
        <w:rPr>
          <w:rFonts w:ascii="Times New Roman" w:hAnsi="Times New Roman" w:cs="Times New Roman"/>
          <w:sz w:val="24"/>
          <w:szCs w:val="24"/>
        </w:rPr>
        <w:t xml:space="preserve"> a constituit </w:t>
      </w:r>
      <w:r w:rsidR="004F0167">
        <w:rPr>
          <w:rFonts w:ascii="Times New Roman" w:hAnsi="Times New Roman" w:cs="Times New Roman"/>
          <w:sz w:val="24"/>
          <w:szCs w:val="24"/>
        </w:rPr>
        <w:t>577</w:t>
      </w:r>
      <w:r w:rsidR="00AD4295">
        <w:rPr>
          <w:rFonts w:ascii="Times New Roman" w:hAnsi="Times New Roman" w:cs="Times New Roman"/>
          <w:sz w:val="24"/>
          <w:szCs w:val="24"/>
        </w:rPr>
        <w:t>,</w:t>
      </w:r>
      <w:r w:rsidR="00B279B2" w:rsidRPr="003B329E">
        <w:rPr>
          <w:rFonts w:ascii="Times New Roman" w:hAnsi="Times New Roman" w:cs="Times New Roman"/>
          <w:sz w:val="24"/>
          <w:szCs w:val="24"/>
        </w:rPr>
        <w:t>9</w:t>
      </w:r>
      <w:r w:rsidR="00AD4295">
        <w:rPr>
          <w:rFonts w:ascii="Times New Roman" w:hAnsi="Times New Roman" w:cs="Times New Roman"/>
          <w:sz w:val="24"/>
          <w:szCs w:val="24"/>
        </w:rPr>
        <w:t xml:space="preserve"> </w:t>
      </w:r>
      <w:r w:rsidR="00B279B2" w:rsidRPr="003B329E">
        <w:rPr>
          <w:rFonts w:ascii="Times New Roman" w:hAnsi="Times New Roman" w:cs="Times New Roman"/>
          <w:sz w:val="24"/>
          <w:szCs w:val="24"/>
        </w:rPr>
        <w:t>mi</w:t>
      </w:r>
      <w:r w:rsidR="00AD4295">
        <w:rPr>
          <w:rFonts w:ascii="Times New Roman" w:hAnsi="Times New Roman" w:cs="Times New Roman"/>
          <w:sz w:val="24"/>
          <w:szCs w:val="24"/>
        </w:rPr>
        <w:t>l.</w:t>
      </w:r>
      <w:r w:rsidR="00934B5E" w:rsidRPr="003B329E">
        <w:rPr>
          <w:rFonts w:ascii="Times New Roman" w:hAnsi="Times New Roman" w:cs="Times New Roman"/>
          <w:sz w:val="24"/>
          <w:szCs w:val="24"/>
        </w:rPr>
        <w:t xml:space="preserve"> lei, fiind în </w:t>
      </w:r>
      <w:r w:rsidR="00B279B2" w:rsidRPr="003B329E">
        <w:rPr>
          <w:rFonts w:ascii="Times New Roman" w:hAnsi="Times New Roman" w:cs="Times New Roman"/>
          <w:sz w:val="24"/>
          <w:szCs w:val="24"/>
        </w:rPr>
        <w:t>de</w:t>
      </w:r>
      <w:r w:rsidR="004F0167">
        <w:rPr>
          <w:rFonts w:ascii="Times New Roman" w:hAnsi="Times New Roman" w:cs="Times New Roman"/>
          <w:sz w:val="24"/>
          <w:szCs w:val="24"/>
        </w:rPr>
        <w:t>s</w:t>
      </w:r>
      <w:r w:rsidR="00934B5E" w:rsidRPr="003B329E">
        <w:rPr>
          <w:rFonts w:ascii="Times New Roman" w:hAnsi="Times New Roman" w:cs="Times New Roman"/>
          <w:sz w:val="24"/>
          <w:szCs w:val="24"/>
        </w:rPr>
        <w:t>creștere</w:t>
      </w:r>
      <w:r w:rsidR="004F0167">
        <w:rPr>
          <w:rStyle w:val="a5"/>
          <w:rFonts w:ascii="Times New Roman" w:hAnsi="Times New Roman" w:cs="Times New Roman"/>
          <w:sz w:val="24"/>
          <w:szCs w:val="24"/>
        </w:rPr>
        <w:footnoteReference w:id="19"/>
      </w:r>
      <w:r w:rsidR="00934B5E" w:rsidRPr="003B329E">
        <w:rPr>
          <w:rFonts w:ascii="Times New Roman" w:hAnsi="Times New Roman" w:cs="Times New Roman"/>
          <w:sz w:val="24"/>
          <w:szCs w:val="24"/>
        </w:rPr>
        <w:t xml:space="preserve"> cu </w:t>
      </w:r>
      <w:r w:rsidR="004F0167">
        <w:rPr>
          <w:rFonts w:ascii="Times New Roman" w:hAnsi="Times New Roman" w:cs="Times New Roman"/>
          <w:sz w:val="24"/>
          <w:szCs w:val="24"/>
        </w:rPr>
        <w:t>205,8</w:t>
      </w:r>
      <w:r w:rsidR="00AD4295">
        <w:rPr>
          <w:rFonts w:ascii="Times New Roman" w:hAnsi="Times New Roman" w:cs="Times New Roman"/>
          <w:sz w:val="24"/>
          <w:szCs w:val="24"/>
        </w:rPr>
        <w:t xml:space="preserve"> mil.</w:t>
      </w:r>
      <w:r w:rsidR="00934B5E" w:rsidRPr="003B329E">
        <w:rPr>
          <w:rFonts w:ascii="Times New Roman" w:hAnsi="Times New Roman" w:cs="Times New Roman"/>
          <w:sz w:val="24"/>
          <w:szCs w:val="24"/>
        </w:rPr>
        <w:t xml:space="preserve"> lei comparativ cu soldul activelor înregistrate la situația din 01.01.</w:t>
      </w:r>
      <w:r w:rsidR="00B279B2" w:rsidRPr="003B329E">
        <w:rPr>
          <w:rFonts w:ascii="Times New Roman" w:hAnsi="Times New Roman" w:cs="Times New Roman"/>
          <w:sz w:val="24"/>
          <w:szCs w:val="24"/>
        </w:rPr>
        <w:t>2018</w:t>
      </w:r>
      <w:r w:rsidR="00934B5E" w:rsidRPr="003B329E">
        <w:rPr>
          <w:rFonts w:ascii="Times New Roman" w:hAnsi="Times New Roman" w:cs="Times New Roman"/>
          <w:sz w:val="24"/>
          <w:szCs w:val="24"/>
        </w:rPr>
        <w:t xml:space="preserve"> (</w:t>
      </w:r>
      <w:r w:rsidR="004F0167">
        <w:rPr>
          <w:rFonts w:ascii="Times New Roman" w:hAnsi="Times New Roman" w:cs="Times New Roman"/>
          <w:sz w:val="24"/>
          <w:szCs w:val="24"/>
        </w:rPr>
        <w:t>783</w:t>
      </w:r>
      <w:r w:rsidR="00AD4295">
        <w:rPr>
          <w:rFonts w:ascii="Times New Roman" w:hAnsi="Times New Roman" w:cs="Times New Roman"/>
          <w:sz w:val="24"/>
          <w:szCs w:val="24"/>
        </w:rPr>
        <w:t>,7 mil.</w:t>
      </w:r>
      <w:r w:rsidR="004F0167">
        <w:rPr>
          <w:rFonts w:ascii="Times New Roman" w:hAnsi="Times New Roman" w:cs="Times New Roman"/>
          <w:sz w:val="24"/>
          <w:szCs w:val="24"/>
        </w:rPr>
        <w:t xml:space="preserve"> lei). </w:t>
      </w:r>
      <w:r w:rsidR="00934B5E" w:rsidRPr="003B329E">
        <w:rPr>
          <w:rFonts w:ascii="Times New Roman" w:hAnsi="Times New Roman" w:cs="Times New Roman"/>
          <w:color w:val="000000"/>
          <w:sz w:val="24"/>
          <w:szCs w:val="24"/>
        </w:rPr>
        <w:t>Activele ne</w:t>
      </w:r>
      <w:r w:rsidR="004B688B" w:rsidRPr="003B329E">
        <w:rPr>
          <w:rFonts w:ascii="Times New Roman" w:hAnsi="Times New Roman" w:cs="Times New Roman"/>
          <w:color w:val="000000"/>
          <w:sz w:val="24"/>
          <w:szCs w:val="24"/>
        </w:rPr>
        <w:t>financiare reprezintă circa 52</w:t>
      </w:r>
      <w:r w:rsidR="00934B5E" w:rsidRPr="003B329E">
        <w:rPr>
          <w:rFonts w:ascii="Times New Roman" w:hAnsi="Times New Roman" w:cs="Times New Roman"/>
          <w:color w:val="000000"/>
          <w:sz w:val="24"/>
          <w:szCs w:val="24"/>
        </w:rPr>
        <w:t xml:space="preserve"> % din valoarea totală a activelor, iar activele financiare – </w:t>
      </w:r>
      <w:r w:rsidR="004B688B" w:rsidRPr="003B329E">
        <w:rPr>
          <w:rFonts w:ascii="Times New Roman" w:hAnsi="Times New Roman" w:cs="Times New Roman"/>
          <w:color w:val="000000"/>
          <w:sz w:val="24"/>
          <w:szCs w:val="24"/>
        </w:rPr>
        <w:t>48</w:t>
      </w:r>
      <w:r w:rsidR="00934B5E" w:rsidRPr="003B329E">
        <w:rPr>
          <w:rFonts w:ascii="Times New Roman" w:hAnsi="Times New Roman" w:cs="Times New Roman"/>
          <w:color w:val="000000"/>
          <w:sz w:val="24"/>
          <w:szCs w:val="24"/>
        </w:rPr>
        <w:t>%.</w:t>
      </w:r>
      <w:r w:rsidR="00934B5E" w:rsidRPr="003B329E">
        <w:rPr>
          <w:rFonts w:ascii="Times New Roman" w:hAnsi="Times New Roman" w:cs="Times New Roman"/>
          <w:sz w:val="24"/>
          <w:szCs w:val="24"/>
        </w:rPr>
        <w:t xml:space="preserve"> </w:t>
      </w:r>
    </w:p>
    <w:p w14:paraId="66EA01F3" w14:textId="7FF0A205" w:rsidR="00690AB9" w:rsidRPr="003B329E" w:rsidRDefault="00690AB9" w:rsidP="00690AB9">
      <w:pPr>
        <w:pStyle w:val="a7"/>
        <w:tabs>
          <w:tab w:val="left" w:pos="426"/>
        </w:tabs>
        <w:spacing w:line="276" w:lineRule="auto"/>
        <w:ind w:left="0"/>
        <w:contextualSpacing w:val="0"/>
        <w:jc w:val="both"/>
        <w:rPr>
          <w:rFonts w:ascii="Times New Roman" w:hAnsi="Times New Roman" w:cs="Times New Roman"/>
          <w:sz w:val="24"/>
          <w:szCs w:val="24"/>
        </w:rPr>
      </w:pPr>
      <w:r w:rsidRPr="003B329E">
        <w:rPr>
          <w:rFonts w:ascii="Times New Roman" w:hAnsi="Times New Roman" w:cs="Times New Roman"/>
          <w:sz w:val="24"/>
          <w:szCs w:val="24"/>
        </w:rPr>
        <w:t>La fel</w:t>
      </w:r>
      <w:r>
        <w:rPr>
          <w:rFonts w:ascii="Times New Roman" w:hAnsi="Times New Roman" w:cs="Times New Roman"/>
          <w:sz w:val="24"/>
          <w:szCs w:val="24"/>
        </w:rPr>
        <w:t>,</w:t>
      </w:r>
      <w:r w:rsidRPr="003B329E">
        <w:rPr>
          <w:rFonts w:ascii="Times New Roman" w:hAnsi="Times New Roman" w:cs="Times New Roman"/>
          <w:sz w:val="24"/>
          <w:szCs w:val="24"/>
        </w:rPr>
        <w:t xml:space="preserve"> potrivit datelor raportate de CS, la finele anului 2022 autoritatea publică avea în gestiunea sa mijloace fixe cu valoarea de bilanț de 691</w:t>
      </w:r>
      <w:r>
        <w:rPr>
          <w:rFonts w:ascii="Times New Roman" w:hAnsi="Times New Roman" w:cs="Times New Roman"/>
          <w:sz w:val="24"/>
          <w:szCs w:val="24"/>
        </w:rPr>
        <w:t>,</w:t>
      </w:r>
      <w:r w:rsidRPr="003B329E">
        <w:rPr>
          <w:rFonts w:ascii="Times New Roman" w:hAnsi="Times New Roman" w:cs="Times New Roman"/>
          <w:sz w:val="24"/>
          <w:szCs w:val="24"/>
        </w:rPr>
        <w:t>5</w:t>
      </w:r>
      <w:r>
        <w:rPr>
          <w:rFonts w:ascii="Times New Roman" w:hAnsi="Times New Roman" w:cs="Times New Roman"/>
          <w:sz w:val="24"/>
          <w:szCs w:val="24"/>
        </w:rPr>
        <w:t xml:space="preserve"> mil.</w:t>
      </w:r>
      <w:r w:rsidRPr="003B329E">
        <w:rPr>
          <w:rFonts w:ascii="Times New Roman" w:hAnsi="Times New Roman" w:cs="Times New Roman"/>
          <w:sz w:val="24"/>
          <w:szCs w:val="24"/>
        </w:rPr>
        <w:t xml:space="preserve"> lei, a</w:t>
      </w:r>
      <w:r>
        <w:rPr>
          <w:rFonts w:ascii="Times New Roman" w:hAnsi="Times New Roman" w:cs="Times New Roman"/>
          <w:sz w:val="24"/>
          <w:szCs w:val="24"/>
        </w:rPr>
        <w:t>l</w:t>
      </w:r>
      <w:r w:rsidRPr="003B329E">
        <w:rPr>
          <w:rFonts w:ascii="Times New Roman" w:hAnsi="Times New Roman" w:cs="Times New Roman"/>
          <w:sz w:val="24"/>
          <w:szCs w:val="24"/>
        </w:rPr>
        <w:t xml:space="preserve"> căror nivel de uzură constituia 64%. Ponderea semnificativă, sau 58% din totalul mijloacel</w:t>
      </w:r>
      <w:r>
        <w:rPr>
          <w:rFonts w:ascii="Times New Roman" w:hAnsi="Times New Roman" w:cs="Times New Roman"/>
          <w:sz w:val="24"/>
          <w:szCs w:val="24"/>
        </w:rPr>
        <w:t>or</w:t>
      </w:r>
      <w:r w:rsidRPr="003B329E">
        <w:rPr>
          <w:rFonts w:ascii="Times New Roman" w:hAnsi="Times New Roman" w:cs="Times New Roman"/>
          <w:sz w:val="24"/>
          <w:szCs w:val="24"/>
        </w:rPr>
        <w:t xml:space="preserve"> fixe deținute de CS</w:t>
      </w:r>
      <w:r>
        <w:rPr>
          <w:rFonts w:ascii="Times New Roman" w:hAnsi="Times New Roman" w:cs="Times New Roman"/>
          <w:sz w:val="24"/>
          <w:szCs w:val="24"/>
        </w:rPr>
        <w:t>,</w:t>
      </w:r>
      <w:r w:rsidRPr="003B329E">
        <w:rPr>
          <w:rFonts w:ascii="Times New Roman" w:hAnsi="Times New Roman" w:cs="Times New Roman"/>
          <w:sz w:val="24"/>
          <w:szCs w:val="24"/>
        </w:rPr>
        <w:t xml:space="preserve"> revine clădirilor aflate în gestiunea I</w:t>
      </w:r>
      <w:r>
        <w:rPr>
          <w:rFonts w:ascii="Times New Roman" w:hAnsi="Times New Roman" w:cs="Times New Roman"/>
          <w:sz w:val="24"/>
          <w:szCs w:val="24"/>
        </w:rPr>
        <w:t>.</w:t>
      </w:r>
      <w:r w:rsidRPr="003B329E">
        <w:rPr>
          <w:rFonts w:ascii="Times New Roman" w:hAnsi="Times New Roman" w:cs="Times New Roman"/>
          <w:sz w:val="24"/>
          <w:szCs w:val="24"/>
        </w:rPr>
        <w:t>P</w:t>
      </w:r>
      <w:r>
        <w:rPr>
          <w:rFonts w:ascii="Times New Roman" w:hAnsi="Times New Roman" w:cs="Times New Roman"/>
          <w:sz w:val="24"/>
          <w:szCs w:val="24"/>
        </w:rPr>
        <w:t>.</w:t>
      </w:r>
      <w:r w:rsidRPr="003B329E">
        <w:rPr>
          <w:rFonts w:ascii="Times New Roman" w:hAnsi="Times New Roman" w:cs="Times New Roman"/>
          <w:sz w:val="24"/>
          <w:szCs w:val="24"/>
        </w:rPr>
        <w:t xml:space="preserve"> </w:t>
      </w:r>
      <w:r w:rsidR="004B7B99">
        <w:rPr>
          <w:rFonts w:ascii="Times New Roman" w:hAnsi="Times New Roman" w:cs="Times New Roman"/>
          <w:sz w:val="24"/>
          <w:szCs w:val="24"/>
        </w:rPr>
        <w:t>„</w:t>
      </w:r>
      <w:r w:rsidRPr="003B329E">
        <w:rPr>
          <w:rFonts w:ascii="Times New Roman" w:hAnsi="Times New Roman" w:cs="Times New Roman"/>
          <w:sz w:val="24"/>
          <w:szCs w:val="24"/>
        </w:rPr>
        <w:t>DGACG</w:t>
      </w:r>
      <w:r w:rsidR="004B7B99">
        <w:rPr>
          <w:rFonts w:ascii="Times New Roman" w:hAnsi="Times New Roman" w:cs="Times New Roman"/>
          <w:sz w:val="24"/>
          <w:szCs w:val="24"/>
        </w:rPr>
        <w:t>”</w:t>
      </w:r>
      <w:r w:rsidRPr="003B329E">
        <w:rPr>
          <w:rFonts w:ascii="Times New Roman" w:hAnsi="Times New Roman" w:cs="Times New Roman"/>
          <w:sz w:val="24"/>
          <w:szCs w:val="24"/>
        </w:rPr>
        <w:t xml:space="preserve"> și I</w:t>
      </w:r>
      <w:r>
        <w:rPr>
          <w:rFonts w:ascii="Times New Roman" w:hAnsi="Times New Roman" w:cs="Times New Roman"/>
          <w:sz w:val="24"/>
          <w:szCs w:val="24"/>
        </w:rPr>
        <w:t>.</w:t>
      </w:r>
      <w:r w:rsidRPr="003B329E">
        <w:rPr>
          <w:rFonts w:ascii="Times New Roman" w:hAnsi="Times New Roman" w:cs="Times New Roman"/>
          <w:sz w:val="24"/>
          <w:szCs w:val="24"/>
        </w:rPr>
        <w:t>P</w:t>
      </w:r>
      <w:r>
        <w:rPr>
          <w:rFonts w:ascii="Times New Roman" w:hAnsi="Times New Roman" w:cs="Times New Roman"/>
          <w:sz w:val="24"/>
          <w:szCs w:val="24"/>
        </w:rPr>
        <w:t>.</w:t>
      </w:r>
      <w:r w:rsidRPr="003B329E">
        <w:rPr>
          <w:rFonts w:ascii="Times New Roman" w:hAnsi="Times New Roman" w:cs="Times New Roman"/>
          <w:sz w:val="24"/>
          <w:szCs w:val="24"/>
        </w:rPr>
        <w:t xml:space="preserve"> </w:t>
      </w:r>
      <w:r w:rsidR="004B7B99">
        <w:rPr>
          <w:rFonts w:ascii="Times New Roman" w:hAnsi="Times New Roman" w:cs="Times New Roman"/>
          <w:sz w:val="24"/>
          <w:szCs w:val="24"/>
        </w:rPr>
        <w:t>„</w:t>
      </w:r>
      <w:r w:rsidRPr="003B329E">
        <w:rPr>
          <w:rFonts w:ascii="Times New Roman" w:hAnsi="Times New Roman" w:cs="Times New Roman"/>
          <w:sz w:val="24"/>
          <w:szCs w:val="24"/>
        </w:rPr>
        <w:t>BA</w:t>
      </w:r>
      <w:r w:rsidR="004B7B99">
        <w:rPr>
          <w:rFonts w:ascii="Times New Roman" w:hAnsi="Times New Roman" w:cs="Times New Roman"/>
          <w:sz w:val="24"/>
          <w:szCs w:val="24"/>
        </w:rPr>
        <w:t>”</w:t>
      </w:r>
      <w:r w:rsidRPr="003B329E">
        <w:rPr>
          <w:rFonts w:ascii="Times New Roman" w:hAnsi="Times New Roman" w:cs="Times New Roman"/>
          <w:sz w:val="24"/>
          <w:szCs w:val="24"/>
        </w:rPr>
        <w:t>. Concomitent, conform datelor evidenței contabile, autoritatea publică</w:t>
      </w:r>
      <w:r>
        <w:rPr>
          <w:rFonts w:ascii="Times New Roman" w:hAnsi="Times New Roman" w:cs="Times New Roman"/>
          <w:sz w:val="24"/>
          <w:szCs w:val="24"/>
        </w:rPr>
        <w:t xml:space="preserve">, la finele anului 2022, </w:t>
      </w:r>
      <w:r w:rsidRPr="003B329E">
        <w:rPr>
          <w:rFonts w:ascii="Times New Roman" w:hAnsi="Times New Roman" w:cs="Times New Roman"/>
          <w:sz w:val="24"/>
          <w:szCs w:val="24"/>
        </w:rPr>
        <w:t>avea înregistrat în bilanț patrimoniu transmis în proprietate/gestiune economică la două</w:t>
      </w:r>
      <w:r w:rsidRPr="003B329E">
        <w:rPr>
          <w:rStyle w:val="a5"/>
          <w:rFonts w:ascii="Times New Roman" w:hAnsi="Times New Roman" w:cs="Times New Roman"/>
          <w:sz w:val="24"/>
          <w:szCs w:val="24"/>
        </w:rPr>
        <w:footnoteReference w:id="20"/>
      </w:r>
      <w:r w:rsidRPr="003B329E">
        <w:rPr>
          <w:rFonts w:ascii="Times New Roman" w:hAnsi="Times New Roman" w:cs="Times New Roman"/>
          <w:sz w:val="24"/>
          <w:szCs w:val="24"/>
        </w:rPr>
        <w:t xml:space="preserve"> instituții publice monitorizate, în valoare de 230</w:t>
      </w:r>
      <w:r>
        <w:rPr>
          <w:rFonts w:ascii="Times New Roman" w:hAnsi="Times New Roman" w:cs="Times New Roman"/>
          <w:sz w:val="24"/>
          <w:szCs w:val="24"/>
        </w:rPr>
        <w:t>,</w:t>
      </w:r>
      <w:r w:rsidRPr="003B329E">
        <w:rPr>
          <w:rFonts w:ascii="Times New Roman" w:hAnsi="Times New Roman" w:cs="Times New Roman"/>
          <w:sz w:val="24"/>
          <w:szCs w:val="24"/>
        </w:rPr>
        <w:t>4</w:t>
      </w:r>
      <w:r>
        <w:rPr>
          <w:rFonts w:ascii="Times New Roman" w:hAnsi="Times New Roman" w:cs="Times New Roman"/>
          <w:sz w:val="24"/>
          <w:szCs w:val="24"/>
        </w:rPr>
        <w:t xml:space="preserve"> mil.</w:t>
      </w:r>
      <w:r w:rsidRPr="003B329E">
        <w:rPr>
          <w:rFonts w:ascii="Times New Roman" w:hAnsi="Times New Roman" w:cs="Times New Roman"/>
          <w:sz w:val="24"/>
          <w:szCs w:val="24"/>
        </w:rPr>
        <w:t xml:space="preserve"> lei, cifra nefiind însă una veridică întrucât nu incorporează valoarea bunurilor transmise la alte </w:t>
      </w:r>
      <w:r>
        <w:rPr>
          <w:rFonts w:ascii="Times New Roman" w:hAnsi="Times New Roman" w:cs="Times New Roman"/>
          <w:sz w:val="24"/>
          <w:szCs w:val="24"/>
        </w:rPr>
        <w:t>trei</w:t>
      </w:r>
      <w:r w:rsidRPr="003B329E">
        <w:rPr>
          <w:rFonts w:ascii="Times New Roman" w:hAnsi="Times New Roman" w:cs="Times New Roman"/>
          <w:sz w:val="24"/>
          <w:szCs w:val="24"/>
        </w:rPr>
        <w:t xml:space="preserve"> instituții publice, constatările de audit la acest aspect regăsindu-se în prezentul Raport</w:t>
      </w:r>
      <w:r>
        <w:rPr>
          <w:rFonts w:ascii="Times New Roman" w:hAnsi="Times New Roman" w:cs="Times New Roman"/>
          <w:sz w:val="24"/>
          <w:szCs w:val="24"/>
        </w:rPr>
        <w:t xml:space="preserve"> de audit</w:t>
      </w:r>
      <w:r w:rsidRPr="003B329E">
        <w:rPr>
          <w:rFonts w:ascii="Times New Roman" w:hAnsi="Times New Roman" w:cs="Times New Roman"/>
          <w:sz w:val="24"/>
          <w:szCs w:val="24"/>
        </w:rPr>
        <w:t xml:space="preserve">. Analiza bilanțului contabil consolidat al CS se prezintă în </w:t>
      </w:r>
      <w:r w:rsidRPr="003B329E">
        <w:rPr>
          <w:rFonts w:ascii="Times New Roman" w:hAnsi="Times New Roman" w:cs="Times New Roman"/>
          <w:bCs/>
          <w:i/>
          <w:sz w:val="24"/>
          <w:szCs w:val="24"/>
        </w:rPr>
        <w:t>Anexa nr.</w:t>
      </w:r>
      <w:r>
        <w:rPr>
          <w:rFonts w:ascii="Times New Roman" w:hAnsi="Times New Roman" w:cs="Times New Roman"/>
          <w:bCs/>
          <w:i/>
          <w:sz w:val="24"/>
          <w:szCs w:val="24"/>
        </w:rPr>
        <w:t>3</w:t>
      </w:r>
      <w:r w:rsidRPr="003B329E">
        <w:rPr>
          <w:rFonts w:ascii="Times New Roman" w:hAnsi="Times New Roman" w:cs="Times New Roman"/>
          <w:b/>
          <w:bCs/>
          <w:sz w:val="24"/>
          <w:szCs w:val="24"/>
        </w:rPr>
        <w:t xml:space="preserve"> </w:t>
      </w:r>
      <w:r w:rsidRPr="000854D0">
        <w:rPr>
          <w:rFonts w:ascii="Times New Roman" w:hAnsi="Times New Roman" w:cs="Times New Roman"/>
          <w:bCs/>
          <w:i/>
          <w:sz w:val="24"/>
          <w:szCs w:val="24"/>
        </w:rPr>
        <w:t>la Raportul de audit</w:t>
      </w:r>
      <w:r w:rsidRPr="003B329E">
        <w:rPr>
          <w:rFonts w:ascii="Times New Roman" w:hAnsi="Times New Roman" w:cs="Times New Roman"/>
          <w:sz w:val="24"/>
          <w:szCs w:val="24"/>
        </w:rPr>
        <w:t xml:space="preserve">.  </w:t>
      </w:r>
    </w:p>
    <w:p w14:paraId="0181474F" w14:textId="1076E582" w:rsidR="006B4652" w:rsidRPr="006B4652" w:rsidRDefault="00690AB9" w:rsidP="006B4652">
      <w:pPr>
        <w:pStyle w:val="a7"/>
        <w:numPr>
          <w:ilvl w:val="0"/>
          <w:numId w:val="8"/>
        </w:numPr>
        <w:shd w:val="clear" w:color="auto" w:fill="FFFFFF"/>
        <w:tabs>
          <w:tab w:val="left" w:pos="426"/>
        </w:tabs>
        <w:spacing w:after="120" w:line="276" w:lineRule="auto"/>
        <w:ind w:left="0" w:right="-1"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În </w:t>
      </w:r>
      <w:r w:rsidR="006B4652" w:rsidRPr="006B4652">
        <w:rPr>
          <w:rFonts w:ascii="Times New Roman" w:hAnsi="Times New Roman" w:cs="Times New Roman"/>
          <w:sz w:val="24"/>
          <w:szCs w:val="24"/>
        </w:rPr>
        <w:t xml:space="preserve">2018-2022, Cancelaria de Sta </w:t>
      </w:r>
      <w:r w:rsidR="006B4652" w:rsidRPr="006B4652">
        <w:rPr>
          <w:rFonts w:ascii="Times New Roman" w:eastAsia="Calibri" w:hAnsi="Times New Roman" w:cs="Times New Roman"/>
          <w:sz w:val="24"/>
          <w:szCs w:val="24"/>
        </w:rPr>
        <w:t>și instituțiile monitorizate</w:t>
      </w:r>
      <w:r w:rsidR="006B4652" w:rsidRPr="006B4652">
        <w:rPr>
          <w:rFonts w:ascii="Times New Roman" w:eastAsia="Calibri" w:hAnsi="Times New Roman" w:cs="Times New Roman"/>
          <w:sz w:val="24"/>
          <w:szCs w:val="24"/>
          <w:vertAlign w:val="superscript"/>
        </w:rPr>
        <w:footnoteReference w:id="21"/>
      </w:r>
      <w:r w:rsidR="006B4652" w:rsidRPr="006B4652">
        <w:rPr>
          <w:rFonts w:ascii="Times New Roman" w:hAnsi="Times New Roman" w:cs="Times New Roman"/>
          <w:sz w:val="24"/>
          <w:szCs w:val="24"/>
        </w:rPr>
        <w:t xml:space="preserve"> au efectuat achiziții publice în valoare totală de </w:t>
      </w:r>
      <w:r w:rsidR="006B4652">
        <w:rPr>
          <w:rFonts w:ascii="Times New Roman" w:hAnsi="Times New Roman" w:cs="Times New Roman"/>
          <w:sz w:val="24"/>
          <w:szCs w:val="24"/>
        </w:rPr>
        <w:t xml:space="preserve">1 </w:t>
      </w:r>
      <w:r w:rsidR="006B4652" w:rsidRPr="006B4652">
        <w:rPr>
          <w:rFonts w:ascii="Times New Roman" w:hAnsi="Times New Roman" w:cs="Times New Roman"/>
          <w:sz w:val="24"/>
          <w:szCs w:val="24"/>
        </w:rPr>
        <w:t>183,5 mil. lei, cu organizarea a 488</w:t>
      </w:r>
      <w:r>
        <w:rPr>
          <w:rFonts w:ascii="Times New Roman" w:hAnsi="Times New Roman" w:cs="Times New Roman"/>
          <w:sz w:val="24"/>
          <w:szCs w:val="24"/>
        </w:rPr>
        <w:t xml:space="preserve"> de</w:t>
      </w:r>
      <w:r w:rsidR="006B4652" w:rsidRPr="006B4652">
        <w:rPr>
          <w:rFonts w:ascii="Times New Roman" w:hAnsi="Times New Roman" w:cs="Times New Roman"/>
          <w:sz w:val="24"/>
          <w:szCs w:val="24"/>
        </w:rPr>
        <w:t xml:space="preserve"> licitații deschise, 296 de proceduri ale</w:t>
      </w:r>
      <w:r w:rsidR="00BA69A9">
        <w:rPr>
          <w:rFonts w:ascii="Times New Roman" w:hAnsi="Times New Roman" w:cs="Times New Roman"/>
          <w:sz w:val="24"/>
          <w:szCs w:val="24"/>
        </w:rPr>
        <w:t xml:space="preserve"> </w:t>
      </w:r>
      <w:r w:rsidR="006B4652" w:rsidRPr="006B4652">
        <w:rPr>
          <w:rFonts w:ascii="Times New Roman" w:hAnsi="Times New Roman" w:cs="Times New Roman"/>
          <w:sz w:val="24"/>
          <w:szCs w:val="24"/>
        </w:rPr>
        <w:t>cererii ofertelor de prețuri, 3</w:t>
      </w:r>
      <w:r>
        <w:rPr>
          <w:rFonts w:ascii="Times New Roman" w:hAnsi="Times New Roman" w:cs="Times New Roman"/>
          <w:sz w:val="24"/>
          <w:szCs w:val="24"/>
        </w:rPr>
        <w:t xml:space="preserve"> </w:t>
      </w:r>
      <w:r w:rsidR="006B4652" w:rsidRPr="006B4652">
        <w:rPr>
          <w:rFonts w:ascii="Times New Roman" w:hAnsi="Times New Roman" w:cs="Times New Roman"/>
          <w:sz w:val="24"/>
          <w:szCs w:val="24"/>
        </w:rPr>
        <w:t xml:space="preserve">862 </w:t>
      </w:r>
      <w:r>
        <w:rPr>
          <w:rFonts w:ascii="Times New Roman" w:hAnsi="Times New Roman" w:cs="Times New Roman"/>
          <w:sz w:val="24"/>
          <w:szCs w:val="24"/>
        </w:rPr>
        <w:t xml:space="preserve">de </w:t>
      </w:r>
      <w:r w:rsidR="006B4652" w:rsidRPr="006B4652">
        <w:rPr>
          <w:rFonts w:ascii="Times New Roman" w:hAnsi="Times New Roman" w:cs="Times New Roman"/>
          <w:sz w:val="24"/>
          <w:szCs w:val="24"/>
        </w:rPr>
        <w:t xml:space="preserve">contracte de valoare mică și 148 de proceduri de negociere fără publicarea anunțului de participare. </w:t>
      </w:r>
      <w:r w:rsidR="006B4652">
        <w:rPr>
          <w:rFonts w:ascii="Times New Roman" w:eastAsia="Calibri" w:hAnsi="Times New Roman" w:cs="Times New Roman"/>
          <w:sz w:val="24"/>
          <w:szCs w:val="24"/>
        </w:rPr>
        <w:t>Informația</w:t>
      </w:r>
      <w:r w:rsidR="006B4652" w:rsidRPr="006B4652">
        <w:rPr>
          <w:rFonts w:ascii="Times New Roman" w:eastAsia="Calibri" w:hAnsi="Times New Roman" w:cs="Times New Roman"/>
          <w:sz w:val="24"/>
          <w:szCs w:val="24"/>
        </w:rPr>
        <w:t xml:space="preserve"> privind ponderea valorii procedurilor de achiziții publice de bunuri, lucrări și servicii, desfășurate de CS și instituțiile monitorizate în perioada auditată, sunt expuse în următoarea diagramă.</w:t>
      </w:r>
    </w:p>
    <w:p w14:paraId="2E68A7EA" w14:textId="052B7D1D" w:rsidR="006B4652" w:rsidRPr="00D93C64" w:rsidRDefault="006B4652" w:rsidP="00D93C64">
      <w:pPr>
        <w:shd w:val="clear" w:color="auto" w:fill="FFFFFF"/>
        <w:tabs>
          <w:tab w:val="left" w:pos="0"/>
          <w:tab w:val="left" w:pos="450"/>
          <w:tab w:val="left" w:pos="990"/>
        </w:tabs>
        <w:spacing w:after="0" w:line="240" w:lineRule="auto"/>
        <w:ind w:right="11"/>
        <w:jc w:val="center"/>
        <w:rPr>
          <w:rFonts w:ascii="Times New Roman" w:eastAsia="Calibri" w:hAnsi="Times New Roman" w:cs="Times New Roman"/>
          <w:b/>
          <w:i/>
          <w:sz w:val="24"/>
          <w:szCs w:val="24"/>
        </w:rPr>
      </w:pPr>
      <w:r w:rsidRPr="00D93C64">
        <w:rPr>
          <w:rFonts w:ascii="Times New Roman" w:eastAsia="Calibri" w:hAnsi="Times New Roman" w:cs="Times New Roman"/>
          <w:b/>
          <w:i/>
          <w:sz w:val="24"/>
          <w:szCs w:val="24"/>
        </w:rPr>
        <w:t>Diagrama nr.1: Valoarea procedurilor de achiziții publice de bunuri, lucrări și</w:t>
      </w:r>
    </w:p>
    <w:p w14:paraId="60C265CD" w14:textId="13389C33" w:rsidR="006B4652" w:rsidRPr="004D0174" w:rsidRDefault="006B4652" w:rsidP="00D93C64">
      <w:pPr>
        <w:shd w:val="clear" w:color="auto" w:fill="FFFFFF"/>
        <w:tabs>
          <w:tab w:val="left" w:pos="0"/>
          <w:tab w:val="left" w:pos="450"/>
          <w:tab w:val="left" w:pos="990"/>
        </w:tabs>
        <w:spacing w:after="0" w:line="240" w:lineRule="auto"/>
        <w:ind w:right="11"/>
        <w:jc w:val="center"/>
        <w:rPr>
          <w:rFonts w:asciiTheme="majorHAnsi" w:eastAsia="Calibri" w:hAnsiTheme="majorHAnsi" w:cstheme="majorHAnsi"/>
          <w:b/>
          <w:i/>
          <w:sz w:val="24"/>
          <w:szCs w:val="24"/>
        </w:rPr>
      </w:pPr>
      <w:r w:rsidRPr="00D93C64">
        <w:rPr>
          <w:rFonts w:ascii="Times New Roman" w:eastAsia="Calibri" w:hAnsi="Times New Roman" w:cs="Times New Roman"/>
          <w:b/>
          <w:i/>
          <w:sz w:val="24"/>
          <w:szCs w:val="24"/>
        </w:rPr>
        <w:t xml:space="preserve"> servicii la CS și I</w:t>
      </w:r>
      <w:r w:rsidR="00690AB9">
        <w:rPr>
          <w:rFonts w:ascii="Times New Roman" w:eastAsia="Calibri" w:hAnsi="Times New Roman" w:cs="Times New Roman"/>
          <w:b/>
          <w:i/>
          <w:sz w:val="24"/>
          <w:szCs w:val="24"/>
        </w:rPr>
        <w:t>.</w:t>
      </w:r>
      <w:r w:rsidRPr="00D93C64">
        <w:rPr>
          <w:rFonts w:ascii="Times New Roman" w:eastAsia="Calibri" w:hAnsi="Times New Roman" w:cs="Times New Roman"/>
          <w:b/>
          <w:i/>
          <w:sz w:val="24"/>
          <w:szCs w:val="24"/>
        </w:rPr>
        <w:t>P</w:t>
      </w:r>
      <w:r w:rsidR="00690AB9">
        <w:rPr>
          <w:rFonts w:ascii="Times New Roman" w:eastAsia="Calibri" w:hAnsi="Times New Roman" w:cs="Times New Roman"/>
          <w:b/>
          <w:i/>
          <w:sz w:val="24"/>
          <w:szCs w:val="24"/>
        </w:rPr>
        <w:t xml:space="preserve">. monitorizate </w:t>
      </w:r>
      <w:r w:rsidRPr="00D93C64">
        <w:rPr>
          <w:rFonts w:ascii="Times New Roman" w:eastAsia="Calibri" w:hAnsi="Times New Roman" w:cs="Times New Roman"/>
          <w:b/>
          <w:i/>
          <w:sz w:val="24"/>
          <w:szCs w:val="24"/>
        </w:rPr>
        <w:t>în anii 2018</w:t>
      </w:r>
      <w:r w:rsidR="00690AB9">
        <w:rPr>
          <w:rFonts w:ascii="Times New Roman" w:eastAsia="Calibri" w:hAnsi="Times New Roman" w:cs="Times New Roman"/>
          <w:b/>
          <w:i/>
          <w:sz w:val="24"/>
          <w:szCs w:val="24"/>
        </w:rPr>
        <w:t>-</w:t>
      </w:r>
      <w:r w:rsidRPr="00D93C64">
        <w:rPr>
          <w:rFonts w:ascii="Times New Roman" w:eastAsia="Calibri" w:hAnsi="Times New Roman" w:cs="Times New Roman"/>
          <w:b/>
          <w:i/>
          <w:sz w:val="24"/>
          <w:szCs w:val="24"/>
        </w:rPr>
        <w:t>2022</w:t>
      </w:r>
      <w:r w:rsidR="00D93C64" w:rsidRPr="00B57351">
        <w:rPr>
          <w:rFonts w:asciiTheme="majorHAnsi" w:eastAsia="Calibri" w:hAnsiTheme="majorHAnsi" w:cstheme="majorHAnsi"/>
          <w:b/>
          <w:i/>
          <w:noProof/>
          <w:color w:val="767171" w:themeColor="background2" w:themeShade="80"/>
          <w:sz w:val="24"/>
          <w:szCs w:val="24"/>
          <w:u w:val="single"/>
          <w:lang w:val="ru-RU" w:eastAsia="ru-RU"/>
        </w:rPr>
        <w:drawing>
          <wp:inline distT="0" distB="0" distL="0" distR="0" wp14:anchorId="0999EC8B" wp14:editId="3DFB78C4">
            <wp:extent cx="5577840" cy="2270760"/>
            <wp:effectExtent l="0" t="0" r="3810" b="1524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CC85466" w14:textId="3B721B5D" w:rsidR="006B4652" w:rsidRPr="00A3776B" w:rsidRDefault="00BA69A9" w:rsidP="00024BA2">
      <w:pPr>
        <w:shd w:val="clear" w:color="auto" w:fill="FFFFFF"/>
        <w:tabs>
          <w:tab w:val="left" w:pos="0"/>
          <w:tab w:val="left" w:pos="450"/>
          <w:tab w:val="left" w:pos="990"/>
        </w:tabs>
        <w:spacing w:after="120" w:line="276" w:lineRule="auto"/>
        <w:ind w:right="11"/>
        <w:jc w:val="both"/>
        <w:rPr>
          <w:rFonts w:asciiTheme="majorHAnsi" w:eastAsia="Calibri" w:hAnsiTheme="majorHAnsi" w:cstheme="majorHAnsi"/>
          <w:i/>
          <w:sz w:val="20"/>
          <w:szCs w:val="20"/>
        </w:rPr>
      </w:pPr>
      <w:r>
        <w:rPr>
          <w:rFonts w:asciiTheme="majorHAnsi" w:eastAsia="Calibri" w:hAnsiTheme="majorHAnsi" w:cstheme="majorHAnsi"/>
          <w:b/>
          <w:i/>
          <w:sz w:val="20"/>
          <w:szCs w:val="20"/>
        </w:rPr>
        <w:t xml:space="preserve">     </w:t>
      </w:r>
      <w:r w:rsidR="00690AB9">
        <w:rPr>
          <w:rFonts w:asciiTheme="majorHAnsi" w:eastAsia="Calibri" w:hAnsiTheme="majorHAnsi" w:cstheme="majorHAnsi"/>
          <w:b/>
          <w:i/>
          <w:sz w:val="20"/>
          <w:szCs w:val="20"/>
        </w:rPr>
        <w:t xml:space="preserve">  </w:t>
      </w:r>
      <w:r w:rsidR="006B4652" w:rsidRPr="004D0174">
        <w:rPr>
          <w:rFonts w:asciiTheme="majorHAnsi" w:eastAsia="Calibri" w:hAnsiTheme="majorHAnsi" w:cstheme="majorHAnsi"/>
          <w:b/>
          <w:i/>
          <w:sz w:val="20"/>
          <w:szCs w:val="20"/>
        </w:rPr>
        <w:t>Sursa:</w:t>
      </w:r>
      <w:r>
        <w:rPr>
          <w:rFonts w:asciiTheme="majorHAnsi" w:eastAsia="Calibri" w:hAnsiTheme="majorHAnsi" w:cstheme="majorHAnsi"/>
          <w:b/>
          <w:i/>
          <w:sz w:val="20"/>
          <w:szCs w:val="20"/>
        </w:rPr>
        <w:t xml:space="preserve"> </w:t>
      </w:r>
      <w:r w:rsidR="006B4652" w:rsidRPr="004D0174">
        <w:rPr>
          <w:rFonts w:asciiTheme="majorHAnsi" w:eastAsia="Calibri" w:hAnsiTheme="majorHAnsi" w:cstheme="majorHAnsi"/>
          <w:i/>
          <w:sz w:val="20"/>
          <w:szCs w:val="20"/>
        </w:rPr>
        <w:t xml:space="preserve">Informație generalizată de echipa de audit </w:t>
      </w:r>
    </w:p>
    <w:p w14:paraId="178C0C32" w14:textId="5030F4C3" w:rsidR="006B4652" w:rsidRPr="003C0F3C" w:rsidRDefault="006B4652" w:rsidP="003C7E08">
      <w:pPr>
        <w:shd w:val="clear" w:color="auto" w:fill="FFFFFF"/>
        <w:tabs>
          <w:tab w:val="left" w:pos="0"/>
          <w:tab w:val="left" w:pos="450"/>
          <w:tab w:val="left" w:pos="990"/>
        </w:tabs>
        <w:spacing w:after="120" w:line="276" w:lineRule="auto"/>
        <w:ind w:right="11"/>
        <w:jc w:val="both"/>
        <w:rPr>
          <w:b/>
        </w:rPr>
      </w:pPr>
      <w:r w:rsidRPr="006B4652">
        <w:rPr>
          <w:rFonts w:ascii="Times New Roman" w:eastAsia="Calibri" w:hAnsi="Times New Roman" w:cs="Times New Roman"/>
          <w:sz w:val="24"/>
          <w:szCs w:val="24"/>
        </w:rPr>
        <w:t>Datele prezentate în diagramă relevă că valoarea procedurilor de achiziții efectuate prin procedura de licitație deschisă deține ponderea c</w:t>
      </w:r>
      <w:r w:rsidR="00B052A2">
        <w:rPr>
          <w:rFonts w:ascii="Times New Roman" w:eastAsia="Calibri" w:hAnsi="Times New Roman" w:cs="Times New Roman"/>
          <w:sz w:val="24"/>
          <w:szCs w:val="24"/>
        </w:rPr>
        <w:t>ea mai mare – 67</w:t>
      </w:r>
      <w:r w:rsidR="003C0F3C">
        <w:rPr>
          <w:rFonts w:ascii="Times New Roman" w:eastAsia="Calibri" w:hAnsi="Times New Roman" w:cs="Times New Roman"/>
          <w:sz w:val="24"/>
          <w:szCs w:val="24"/>
        </w:rPr>
        <w:t>%, sau 784,8 mil.</w:t>
      </w:r>
      <w:r w:rsidRPr="006B4652">
        <w:rPr>
          <w:rFonts w:ascii="Times New Roman" w:eastAsia="Calibri" w:hAnsi="Times New Roman" w:cs="Times New Roman"/>
          <w:sz w:val="24"/>
          <w:szCs w:val="24"/>
        </w:rPr>
        <w:t xml:space="preserve"> lei, fiind urmată de procedura de </w:t>
      </w:r>
      <w:r w:rsidRPr="006B4652">
        <w:rPr>
          <w:rFonts w:ascii="Times New Roman" w:hAnsi="Times New Roman" w:cs="Times New Roman"/>
          <w:sz w:val="24"/>
          <w:szCs w:val="24"/>
        </w:rPr>
        <w:t xml:space="preserve">negociere fără publicarea anunțului de </w:t>
      </w:r>
      <w:r w:rsidR="003C0F3C">
        <w:rPr>
          <w:rFonts w:ascii="Times New Roman" w:hAnsi="Times New Roman" w:cs="Times New Roman"/>
          <w:sz w:val="24"/>
          <w:szCs w:val="24"/>
        </w:rPr>
        <w:t>participare – 14%, sau 165,</w:t>
      </w:r>
      <w:r w:rsidR="00B052A2">
        <w:rPr>
          <w:rFonts w:ascii="Times New Roman" w:hAnsi="Times New Roman" w:cs="Times New Roman"/>
          <w:sz w:val="24"/>
          <w:szCs w:val="24"/>
        </w:rPr>
        <w:t>2</w:t>
      </w:r>
      <w:r w:rsidR="003C0F3C">
        <w:rPr>
          <w:rFonts w:ascii="Times New Roman" w:hAnsi="Times New Roman" w:cs="Times New Roman"/>
          <w:sz w:val="24"/>
          <w:szCs w:val="24"/>
        </w:rPr>
        <w:t xml:space="preserve"> mil.</w:t>
      </w:r>
      <w:r w:rsidRPr="006B4652">
        <w:rPr>
          <w:rFonts w:ascii="Times New Roman" w:hAnsi="Times New Roman" w:cs="Times New Roman"/>
          <w:sz w:val="24"/>
          <w:szCs w:val="24"/>
        </w:rPr>
        <w:t xml:space="preserve"> lei,</w:t>
      </w:r>
      <w:r w:rsidRPr="006B4652">
        <w:rPr>
          <w:rFonts w:ascii="Times New Roman" w:eastAsia="Calibri" w:hAnsi="Times New Roman" w:cs="Times New Roman"/>
          <w:sz w:val="24"/>
          <w:szCs w:val="24"/>
        </w:rPr>
        <w:t xml:space="preserve"> achiziț</w:t>
      </w:r>
      <w:r w:rsidR="00B052A2">
        <w:rPr>
          <w:rFonts w:ascii="Times New Roman" w:eastAsia="Calibri" w:hAnsi="Times New Roman" w:cs="Times New Roman"/>
          <w:sz w:val="24"/>
          <w:szCs w:val="24"/>
        </w:rPr>
        <w:t>ii de mică valoare – 13,0 %, sau 145,2</w:t>
      </w:r>
      <w:r w:rsidRPr="006B4652">
        <w:rPr>
          <w:rFonts w:ascii="Times New Roman" w:eastAsia="Calibri" w:hAnsi="Times New Roman" w:cs="Times New Roman"/>
          <w:sz w:val="24"/>
          <w:szCs w:val="24"/>
        </w:rPr>
        <w:t xml:space="preserve"> mil. lei, </w:t>
      </w:r>
      <w:r w:rsidRPr="006B4652">
        <w:rPr>
          <w:rFonts w:ascii="Times New Roman" w:hAnsi="Times New Roman" w:cs="Times New Roman"/>
          <w:sz w:val="24"/>
          <w:szCs w:val="24"/>
        </w:rPr>
        <w:t>cererea ofe</w:t>
      </w:r>
      <w:r w:rsidR="00B052A2">
        <w:rPr>
          <w:rFonts w:ascii="Times New Roman" w:hAnsi="Times New Roman" w:cs="Times New Roman"/>
          <w:sz w:val="24"/>
          <w:szCs w:val="24"/>
        </w:rPr>
        <w:t>rtelor de prețuri – 6%, sau 74,0</w:t>
      </w:r>
      <w:r w:rsidRPr="006B4652">
        <w:rPr>
          <w:rFonts w:ascii="Times New Roman" w:hAnsi="Times New Roman" w:cs="Times New Roman"/>
          <w:sz w:val="24"/>
          <w:szCs w:val="24"/>
        </w:rPr>
        <w:t xml:space="preserve"> mil. lei.</w:t>
      </w:r>
      <w:r w:rsidR="003C0F3C">
        <w:rPr>
          <w:rFonts w:ascii="Times New Roman" w:hAnsi="Times New Roman" w:cs="Times New Roman"/>
          <w:sz w:val="24"/>
          <w:szCs w:val="24"/>
        </w:rPr>
        <w:t xml:space="preserve"> </w:t>
      </w:r>
      <w:r w:rsidR="003C0F3C" w:rsidRPr="003C0F3C">
        <w:rPr>
          <w:rFonts w:ascii="Times New Roman" w:eastAsia="Calibri" w:hAnsi="Times New Roman" w:cs="Times New Roman"/>
          <w:sz w:val="24"/>
          <w:szCs w:val="24"/>
        </w:rPr>
        <w:t>Concomitent, a</w:t>
      </w:r>
      <w:r w:rsidRPr="003C0F3C">
        <w:rPr>
          <w:rFonts w:ascii="Times New Roman" w:eastAsia="Calibri" w:hAnsi="Times New Roman" w:cs="Times New Roman"/>
          <w:sz w:val="24"/>
          <w:szCs w:val="24"/>
        </w:rPr>
        <w:t>uditul relevă că, deși procedura de achiziții de valoare mică nu face parte din procedurile competitive, î</w:t>
      </w:r>
      <w:r w:rsidR="003C0F3C">
        <w:rPr>
          <w:rFonts w:ascii="Times New Roman" w:eastAsia="Calibri" w:hAnsi="Times New Roman" w:cs="Times New Roman"/>
          <w:sz w:val="24"/>
          <w:szCs w:val="24"/>
        </w:rPr>
        <w:t>n perioada de referință aceast</w:t>
      </w:r>
      <w:r w:rsidRPr="003C0F3C">
        <w:rPr>
          <w:rFonts w:ascii="Times New Roman" w:eastAsia="Calibri" w:hAnsi="Times New Roman" w:cs="Times New Roman"/>
          <w:sz w:val="24"/>
          <w:szCs w:val="24"/>
        </w:rPr>
        <w:t>a</w:t>
      </w:r>
      <w:r w:rsidR="003C0F3C">
        <w:rPr>
          <w:rFonts w:ascii="Times New Roman" w:eastAsia="Calibri" w:hAnsi="Times New Roman" w:cs="Times New Roman"/>
          <w:sz w:val="24"/>
          <w:szCs w:val="24"/>
        </w:rPr>
        <w:t xml:space="preserve"> a</w:t>
      </w:r>
      <w:r w:rsidRPr="003C0F3C">
        <w:rPr>
          <w:rFonts w:ascii="Times New Roman" w:eastAsia="Calibri" w:hAnsi="Times New Roman" w:cs="Times New Roman"/>
          <w:sz w:val="24"/>
          <w:szCs w:val="24"/>
        </w:rPr>
        <w:t xml:space="preserve"> fost </w:t>
      </w:r>
      <w:r w:rsidR="003C0F3C">
        <w:rPr>
          <w:rFonts w:ascii="Times New Roman" w:eastAsia="Calibri" w:hAnsi="Times New Roman" w:cs="Times New Roman"/>
          <w:sz w:val="24"/>
          <w:szCs w:val="24"/>
        </w:rPr>
        <w:t>preponderent</w:t>
      </w:r>
      <w:r w:rsidRPr="003C0F3C">
        <w:rPr>
          <w:rFonts w:ascii="Times New Roman" w:eastAsia="Calibri" w:hAnsi="Times New Roman" w:cs="Times New Roman"/>
          <w:sz w:val="24"/>
          <w:szCs w:val="24"/>
        </w:rPr>
        <w:t xml:space="preserve"> utilizată </w:t>
      </w:r>
      <w:r w:rsidR="003C0F3C">
        <w:rPr>
          <w:rFonts w:ascii="Times New Roman" w:eastAsia="Calibri" w:hAnsi="Times New Roman" w:cs="Times New Roman"/>
          <w:sz w:val="24"/>
          <w:szCs w:val="24"/>
        </w:rPr>
        <w:t xml:space="preserve">atât </w:t>
      </w:r>
      <w:r w:rsidRPr="003C0F3C">
        <w:rPr>
          <w:rFonts w:ascii="Times New Roman" w:eastAsia="Calibri" w:hAnsi="Times New Roman" w:cs="Times New Roman"/>
          <w:sz w:val="24"/>
          <w:szCs w:val="24"/>
        </w:rPr>
        <w:t>de către CS</w:t>
      </w:r>
      <w:r w:rsidR="00024BA2">
        <w:rPr>
          <w:rFonts w:ascii="Times New Roman" w:eastAsia="Calibri" w:hAnsi="Times New Roman" w:cs="Times New Roman"/>
          <w:sz w:val="24"/>
          <w:szCs w:val="24"/>
        </w:rPr>
        <w:t>,</w:t>
      </w:r>
      <w:r w:rsidRPr="003C0F3C">
        <w:rPr>
          <w:rFonts w:ascii="Times New Roman" w:eastAsia="Calibri" w:hAnsi="Times New Roman" w:cs="Times New Roman"/>
          <w:sz w:val="24"/>
          <w:szCs w:val="24"/>
        </w:rPr>
        <w:t xml:space="preserve"> </w:t>
      </w:r>
      <w:r w:rsidR="003C0F3C">
        <w:rPr>
          <w:rFonts w:ascii="Times New Roman" w:eastAsia="Calibri" w:hAnsi="Times New Roman" w:cs="Times New Roman"/>
          <w:sz w:val="24"/>
          <w:szCs w:val="24"/>
        </w:rPr>
        <w:t xml:space="preserve">cât </w:t>
      </w:r>
      <w:r w:rsidRPr="003C0F3C">
        <w:rPr>
          <w:rFonts w:ascii="Times New Roman" w:eastAsia="Calibri" w:hAnsi="Times New Roman" w:cs="Times New Roman"/>
          <w:sz w:val="24"/>
          <w:szCs w:val="24"/>
        </w:rPr>
        <w:t xml:space="preserve">și </w:t>
      </w:r>
      <w:r w:rsidR="00024BA2">
        <w:rPr>
          <w:rFonts w:ascii="Times New Roman" w:eastAsia="Calibri" w:hAnsi="Times New Roman" w:cs="Times New Roman"/>
          <w:sz w:val="24"/>
          <w:szCs w:val="24"/>
        </w:rPr>
        <w:t xml:space="preserve">de </w:t>
      </w:r>
      <w:r w:rsidRPr="003C0F3C">
        <w:rPr>
          <w:rFonts w:ascii="Times New Roman" w:eastAsia="Calibri" w:hAnsi="Times New Roman" w:cs="Times New Roman"/>
          <w:sz w:val="24"/>
          <w:szCs w:val="24"/>
        </w:rPr>
        <w:t>instituțiile monitorizate</w:t>
      </w:r>
      <w:r w:rsidR="003C0F3C">
        <w:rPr>
          <w:rFonts w:ascii="Times New Roman" w:eastAsia="Calibri" w:hAnsi="Times New Roman" w:cs="Times New Roman"/>
          <w:sz w:val="24"/>
          <w:szCs w:val="24"/>
        </w:rPr>
        <w:t xml:space="preserve">. </w:t>
      </w:r>
      <w:r w:rsidR="00024BA2">
        <w:rPr>
          <w:rFonts w:ascii="Times New Roman" w:eastAsia="Calibri" w:hAnsi="Times New Roman" w:cs="Times New Roman"/>
          <w:sz w:val="24"/>
          <w:szCs w:val="24"/>
        </w:rPr>
        <w:t xml:space="preserve">În acest context se menționează că ponderea contractelor de mică valoare în totalul numărului de contracte de </w:t>
      </w:r>
      <w:r w:rsidR="00024BA2" w:rsidRPr="003C0F3C">
        <w:rPr>
          <w:rFonts w:ascii="Times New Roman" w:eastAsia="Calibri" w:hAnsi="Times New Roman" w:cs="Times New Roman"/>
          <w:sz w:val="24"/>
          <w:szCs w:val="24"/>
        </w:rPr>
        <w:t xml:space="preserve">achiziții publice </w:t>
      </w:r>
      <w:r w:rsidR="00024BA2">
        <w:rPr>
          <w:rFonts w:ascii="Times New Roman" w:eastAsia="Calibri" w:hAnsi="Times New Roman" w:cs="Times New Roman"/>
          <w:sz w:val="24"/>
          <w:szCs w:val="24"/>
        </w:rPr>
        <w:t xml:space="preserve">este una semnificativă, </w:t>
      </w:r>
      <w:r w:rsidR="003C0F3C">
        <w:rPr>
          <w:rFonts w:ascii="Times New Roman" w:eastAsia="Calibri" w:hAnsi="Times New Roman" w:cs="Times New Roman"/>
          <w:sz w:val="24"/>
          <w:szCs w:val="24"/>
        </w:rPr>
        <w:t xml:space="preserve">sau 81%. </w:t>
      </w:r>
      <w:r w:rsidR="003C7E08">
        <w:rPr>
          <w:rFonts w:ascii="Times New Roman" w:eastAsia="Calibri" w:hAnsi="Times New Roman" w:cs="Times New Roman"/>
          <w:sz w:val="24"/>
          <w:szCs w:val="24"/>
        </w:rPr>
        <w:t>Informația privind</w:t>
      </w:r>
      <w:r w:rsidR="00BA69A9">
        <w:rPr>
          <w:rFonts w:ascii="Times New Roman" w:eastAsia="Calibri" w:hAnsi="Times New Roman" w:cs="Times New Roman"/>
          <w:sz w:val="24"/>
          <w:szCs w:val="24"/>
        </w:rPr>
        <w:t xml:space="preserve"> </w:t>
      </w:r>
      <w:r w:rsidRPr="003C7E08">
        <w:rPr>
          <w:rFonts w:ascii="Times New Roman" w:eastAsia="Calibri" w:hAnsi="Times New Roman" w:cs="Times New Roman"/>
          <w:sz w:val="24"/>
          <w:szCs w:val="24"/>
        </w:rPr>
        <w:t xml:space="preserve">valoarea achizițiilor </w:t>
      </w:r>
      <w:r w:rsidR="00785EB6" w:rsidRPr="003C7E08">
        <w:rPr>
          <w:rFonts w:ascii="Times New Roman" w:eastAsia="Calibri" w:hAnsi="Times New Roman" w:cs="Times New Roman"/>
          <w:sz w:val="24"/>
          <w:szCs w:val="24"/>
        </w:rPr>
        <w:t xml:space="preserve">executate de către </w:t>
      </w:r>
      <w:r w:rsidR="00F37DD3">
        <w:rPr>
          <w:rFonts w:ascii="Times New Roman" w:eastAsia="Calibri" w:hAnsi="Times New Roman" w:cs="Times New Roman"/>
          <w:sz w:val="24"/>
          <w:szCs w:val="24"/>
        </w:rPr>
        <w:t xml:space="preserve">CS și </w:t>
      </w:r>
      <w:r w:rsidRPr="003C7E08">
        <w:rPr>
          <w:rFonts w:ascii="Times New Roman" w:eastAsia="Calibri" w:hAnsi="Times New Roman" w:cs="Times New Roman"/>
          <w:sz w:val="24"/>
          <w:szCs w:val="24"/>
        </w:rPr>
        <w:t>inst</w:t>
      </w:r>
      <w:r w:rsidR="00F37DD3">
        <w:rPr>
          <w:rFonts w:ascii="Times New Roman" w:eastAsia="Calibri" w:hAnsi="Times New Roman" w:cs="Times New Roman"/>
          <w:sz w:val="24"/>
          <w:szCs w:val="24"/>
        </w:rPr>
        <w:t>ituții</w:t>
      </w:r>
      <w:r w:rsidR="00024BA2">
        <w:rPr>
          <w:rFonts w:ascii="Times New Roman" w:eastAsia="Calibri" w:hAnsi="Times New Roman" w:cs="Times New Roman"/>
          <w:sz w:val="24"/>
          <w:szCs w:val="24"/>
        </w:rPr>
        <w:t>le</w:t>
      </w:r>
      <w:r w:rsidR="00F37DD3">
        <w:rPr>
          <w:rFonts w:ascii="Times New Roman" w:eastAsia="Calibri" w:hAnsi="Times New Roman" w:cs="Times New Roman"/>
          <w:sz w:val="24"/>
          <w:szCs w:val="24"/>
        </w:rPr>
        <w:t xml:space="preserve"> publice monitorizate</w:t>
      </w:r>
      <w:r w:rsidRPr="003C7E08">
        <w:rPr>
          <w:rFonts w:ascii="Times New Roman" w:eastAsia="Calibri" w:hAnsi="Times New Roman" w:cs="Times New Roman"/>
          <w:sz w:val="24"/>
          <w:szCs w:val="24"/>
        </w:rPr>
        <w:t>,</w:t>
      </w:r>
      <w:r w:rsidR="003C7E08">
        <w:rPr>
          <w:rFonts w:ascii="Times New Roman" w:eastAsia="Calibri" w:hAnsi="Times New Roman" w:cs="Times New Roman"/>
          <w:sz w:val="24"/>
          <w:szCs w:val="24"/>
        </w:rPr>
        <w:t xml:space="preserve"> </w:t>
      </w:r>
      <w:r w:rsidR="00F12680" w:rsidRPr="003C7E08">
        <w:rPr>
          <w:rFonts w:ascii="Times New Roman" w:eastAsia="Calibri" w:hAnsi="Times New Roman" w:cs="Times New Roman"/>
          <w:sz w:val="24"/>
          <w:szCs w:val="24"/>
        </w:rPr>
        <w:t>nivelul de realizare a achizițiilor planificate,</w:t>
      </w:r>
      <w:r w:rsidR="00F37DD3">
        <w:rPr>
          <w:rFonts w:ascii="Times New Roman" w:eastAsia="Calibri" w:hAnsi="Times New Roman" w:cs="Times New Roman"/>
          <w:sz w:val="24"/>
          <w:szCs w:val="24"/>
        </w:rPr>
        <w:t xml:space="preserve"> precum și</w:t>
      </w:r>
      <w:r w:rsidR="00BA69A9">
        <w:rPr>
          <w:rFonts w:ascii="Times New Roman" w:eastAsia="Calibri" w:hAnsi="Times New Roman" w:cs="Times New Roman"/>
          <w:sz w:val="24"/>
          <w:szCs w:val="24"/>
        </w:rPr>
        <w:t xml:space="preserve"> </w:t>
      </w:r>
      <w:r w:rsidR="00F12680" w:rsidRPr="003C7E08">
        <w:rPr>
          <w:rFonts w:ascii="Times New Roman" w:eastAsia="Calibri" w:hAnsi="Times New Roman" w:cs="Times New Roman"/>
          <w:sz w:val="24"/>
          <w:szCs w:val="24"/>
        </w:rPr>
        <w:t xml:space="preserve">evoluția cheltuielilor aferent </w:t>
      </w:r>
      <w:r w:rsidR="00F37DD3">
        <w:rPr>
          <w:rFonts w:ascii="Times New Roman" w:eastAsia="Calibri" w:hAnsi="Times New Roman" w:cs="Times New Roman"/>
          <w:sz w:val="24"/>
          <w:szCs w:val="24"/>
        </w:rPr>
        <w:t>acestui proces în</w:t>
      </w:r>
      <w:r w:rsidR="00F12680" w:rsidRPr="003C7E08">
        <w:rPr>
          <w:rFonts w:ascii="Times New Roman" w:eastAsia="Calibri" w:hAnsi="Times New Roman" w:cs="Times New Roman"/>
          <w:sz w:val="24"/>
          <w:szCs w:val="24"/>
        </w:rPr>
        <w:t xml:space="preserve"> perioada auditată</w:t>
      </w:r>
      <w:r w:rsidR="00024BA2">
        <w:rPr>
          <w:rFonts w:ascii="Times New Roman" w:eastAsia="Calibri" w:hAnsi="Times New Roman" w:cs="Times New Roman"/>
          <w:sz w:val="24"/>
          <w:szCs w:val="24"/>
        </w:rPr>
        <w:t>,</w:t>
      </w:r>
      <w:r w:rsidR="00F12680" w:rsidRPr="003C7E08">
        <w:rPr>
          <w:rFonts w:ascii="Times New Roman" w:eastAsia="Calibri" w:hAnsi="Times New Roman" w:cs="Times New Roman"/>
          <w:sz w:val="24"/>
          <w:szCs w:val="24"/>
        </w:rPr>
        <w:t xml:space="preserve"> </w:t>
      </w:r>
      <w:r w:rsidR="003C0F3C" w:rsidRPr="003C7E08">
        <w:rPr>
          <w:rFonts w:ascii="Times New Roman" w:eastAsia="Calibri" w:hAnsi="Times New Roman" w:cs="Times New Roman"/>
          <w:sz w:val="24"/>
          <w:szCs w:val="24"/>
        </w:rPr>
        <w:t xml:space="preserve">sunt expuse în </w:t>
      </w:r>
      <w:r w:rsidR="00024BA2" w:rsidRPr="00024BA2">
        <w:rPr>
          <w:rFonts w:ascii="Times New Roman" w:eastAsia="Calibri" w:hAnsi="Times New Roman" w:cs="Times New Roman"/>
          <w:i/>
          <w:sz w:val="24"/>
          <w:szCs w:val="24"/>
        </w:rPr>
        <w:t>Anexa nr.4 la prezentul Raport de audit</w:t>
      </w:r>
      <w:r w:rsidR="00F12680" w:rsidRPr="00024BA2">
        <w:rPr>
          <w:rFonts w:ascii="Times New Roman" w:eastAsia="Calibri" w:hAnsi="Times New Roman" w:cs="Times New Roman"/>
          <w:i/>
          <w:sz w:val="24"/>
          <w:szCs w:val="24"/>
        </w:rPr>
        <w:t>.</w:t>
      </w:r>
    </w:p>
    <w:p w14:paraId="25BD4CEF" w14:textId="532E49C0" w:rsidR="006049D5" w:rsidRPr="003B329E" w:rsidRDefault="00624A63" w:rsidP="00BD2237">
      <w:pPr>
        <w:pStyle w:val="1"/>
        <w:numPr>
          <w:ilvl w:val="0"/>
          <w:numId w:val="6"/>
        </w:numPr>
        <w:tabs>
          <w:tab w:val="left" w:pos="284"/>
        </w:tabs>
        <w:spacing w:after="120" w:line="276" w:lineRule="auto"/>
        <w:ind w:left="0" w:firstLine="284"/>
        <w:rPr>
          <w:rFonts w:ascii="Times New Roman" w:hAnsi="Times New Roman" w:cs="Times New Roman"/>
          <w:b/>
          <w:color w:val="2F5496" w:themeColor="accent5" w:themeShade="BF"/>
          <w:sz w:val="28"/>
          <w:szCs w:val="28"/>
        </w:rPr>
      </w:pPr>
      <w:bookmarkStart w:id="15" w:name="_Toc48732717"/>
      <w:bookmarkStart w:id="16" w:name="_Toc76371129"/>
      <w:bookmarkStart w:id="17" w:name="_Toc127171492"/>
      <w:r>
        <w:rPr>
          <w:rFonts w:ascii="Times New Roman" w:hAnsi="Times New Roman" w:cs="Times New Roman"/>
          <w:b/>
          <w:color w:val="2F5496" w:themeColor="accent5" w:themeShade="BF"/>
          <w:sz w:val="28"/>
          <w:szCs w:val="28"/>
        </w:rPr>
        <w:t xml:space="preserve"> </w:t>
      </w:r>
      <w:bookmarkStart w:id="18" w:name="_Toc158015918"/>
      <w:r w:rsidR="006049D5" w:rsidRPr="003B329E">
        <w:rPr>
          <w:rFonts w:ascii="Times New Roman" w:hAnsi="Times New Roman" w:cs="Times New Roman"/>
          <w:b/>
          <w:color w:val="2F5496" w:themeColor="accent5" w:themeShade="BF"/>
          <w:sz w:val="28"/>
          <w:szCs w:val="28"/>
        </w:rPr>
        <w:t>SFERA ȘI ABORDAREA AUDITULUI</w:t>
      </w:r>
      <w:bookmarkEnd w:id="15"/>
      <w:bookmarkEnd w:id="16"/>
      <w:bookmarkEnd w:id="17"/>
      <w:bookmarkEnd w:id="18"/>
    </w:p>
    <w:p w14:paraId="6A3D314E" w14:textId="77777777" w:rsidR="006049D5" w:rsidRPr="003B329E" w:rsidRDefault="006049D5" w:rsidP="00BD2237">
      <w:pPr>
        <w:pStyle w:val="3"/>
        <w:numPr>
          <w:ilvl w:val="1"/>
          <w:numId w:val="6"/>
        </w:numPr>
        <w:tabs>
          <w:tab w:val="left" w:pos="426"/>
        </w:tabs>
        <w:spacing w:after="80" w:line="276" w:lineRule="auto"/>
        <w:ind w:left="0" w:firstLine="0"/>
        <w:rPr>
          <w:rFonts w:ascii="Times New Roman" w:hAnsi="Times New Roman" w:cs="Times New Roman"/>
          <w:b/>
          <w:color w:val="2E74B5" w:themeColor="accent1" w:themeShade="BF"/>
          <w:shd w:val="clear" w:color="auto" w:fill="FFFFFF"/>
        </w:rPr>
      </w:pPr>
      <w:bookmarkStart w:id="19" w:name="_Toc127171493"/>
      <w:bookmarkStart w:id="20" w:name="_Toc158015919"/>
      <w:r w:rsidRPr="003B329E">
        <w:rPr>
          <w:rFonts w:ascii="Times New Roman" w:hAnsi="Times New Roman" w:cs="Times New Roman"/>
          <w:b/>
          <w:color w:val="2E74B5" w:themeColor="accent1" w:themeShade="BF"/>
          <w:shd w:val="clear" w:color="auto" w:fill="FFFFFF"/>
        </w:rPr>
        <w:t>Mandatul legal și scopul auditului</w:t>
      </w:r>
      <w:bookmarkEnd w:id="19"/>
      <w:bookmarkEnd w:id="20"/>
      <w:r w:rsidRPr="003B329E">
        <w:rPr>
          <w:rFonts w:ascii="Times New Roman" w:hAnsi="Times New Roman" w:cs="Times New Roman"/>
          <w:b/>
          <w:color w:val="2E74B5" w:themeColor="accent1" w:themeShade="BF"/>
          <w:shd w:val="clear" w:color="auto" w:fill="FFFFFF"/>
        </w:rPr>
        <w:t xml:space="preserve"> </w:t>
      </w:r>
    </w:p>
    <w:p w14:paraId="441DC67C" w14:textId="77777777" w:rsidR="00624A63" w:rsidRPr="003B329E" w:rsidRDefault="00624A63" w:rsidP="00624A63">
      <w:pPr>
        <w:spacing w:line="276" w:lineRule="auto"/>
        <w:jc w:val="both"/>
        <w:rPr>
          <w:rFonts w:ascii="Times New Roman" w:hAnsi="Times New Roman" w:cs="Times New Roman"/>
          <w:color w:val="000000"/>
          <w:sz w:val="24"/>
          <w:szCs w:val="24"/>
          <w:shd w:val="clear" w:color="auto" w:fill="FFFFFF"/>
        </w:rPr>
      </w:pPr>
      <w:r w:rsidRPr="003B329E">
        <w:rPr>
          <w:rFonts w:ascii="Times New Roman" w:hAnsi="Times New Roman" w:cs="Times New Roman"/>
          <w:sz w:val="24"/>
          <w:szCs w:val="24"/>
          <w:shd w:val="clear" w:color="auto" w:fill="FFFFFF"/>
        </w:rPr>
        <w:t>Misiunea de audit public extern s-a desfășurat în temeiul art.5, art.31 și art.32 din Legea privind organizarea și funcționarea Curții de Conturi a Republicii Moldova nr.260 din 07.12.2017, având drept scop evaluarea conformității modului de formare, administrare și întrebuințare a resurselor financiare publice și a patrimoniului public de către Cancelaria de Stat în perioada 2018-2022, în raport cu prevederile cadrului normativ aplicabil.</w:t>
      </w:r>
    </w:p>
    <w:p w14:paraId="45544B21" w14:textId="77777777" w:rsidR="00624A63" w:rsidRPr="003B329E" w:rsidRDefault="00624A63" w:rsidP="00624A63">
      <w:pPr>
        <w:spacing w:after="0" w:line="276" w:lineRule="auto"/>
        <w:jc w:val="both"/>
        <w:rPr>
          <w:rFonts w:ascii="Times New Roman" w:hAnsi="Times New Roman" w:cs="Times New Roman"/>
          <w:color w:val="000000"/>
          <w:sz w:val="24"/>
          <w:szCs w:val="24"/>
          <w:shd w:val="clear" w:color="auto" w:fill="FFFFFF"/>
        </w:rPr>
      </w:pPr>
      <w:r w:rsidRPr="003B329E">
        <w:rPr>
          <w:rFonts w:ascii="Times New Roman" w:hAnsi="Times New Roman" w:cs="Times New Roman"/>
          <w:color w:val="000000"/>
          <w:sz w:val="24"/>
          <w:szCs w:val="24"/>
          <w:shd w:val="clear" w:color="auto" w:fill="FFFFFF"/>
        </w:rPr>
        <w:t>În acest sens, au fost determinate următoarele obiective specifice:</w:t>
      </w:r>
    </w:p>
    <w:p w14:paraId="4DD300C9" w14:textId="77777777" w:rsidR="00624A63" w:rsidRPr="000345F6" w:rsidRDefault="00624A63" w:rsidP="00624A63">
      <w:pPr>
        <w:numPr>
          <w:ilvl w:val="0"/>
          <w:numId w:val="1"/>
        </w:numPr>
        <w:tabs>
          <w:tab w:val="left" w:pos="284"/>
          <w:tab w:val="left" w:pos="426"/>
        </w:tabs>
        <w:spacing w:after="120" w:line="276" w:lineRule="auto"/>
        <w:ind w:left="0" w:firstLine="0"/>
        <w:jc w:val="both"/>
        <w:rPr>
          <w:rFonts w:ascii="Times New Roman" w:eastAsia="Times New Roman" w:hAnsi="Times New Roman" w:cs="Times New Roman"/>
          <w:i/>
          <w:sz w:val="24"/>
          <w:szCs w:val="24"/>
        </w:rPr>
      </w:pPr>
      <w:r w:rsidRPr="000345F6">
        <w:rPr>
          <w:rFonts w:ascii="Times New Roman" w:eastAsia="Times New Roman" w:hAnsi="Times New Roman" w:cs="Times New Roman"/>
          <w:i/>
          <w:sz w:val="24"/>
          <w:szCs w:val="24"/>
        </w:rPr>
        <w:t>Cancelaria de Stat și instituțiile monitorizate au asigurat managementul financiar al resurselor publice potrivit regulilor și procedurilor bugetar-fiscale prestabilite?</w:t>
      </w:r>
    </w:p>
    <w:p w14:paraId="32D20A05" w14:textId="77777777" w:rsidR="00624A63" w:rsidRPr="00E60147" w:rsidRDefault="00624A63" w:rsidP="00624A63">
      <w:pPr>
        <w:numPr>
          <w:ilvl w:val="0"/>
          <w:numId w:val="1"/>
        </w:numPr>
        <w:tabs>
          <w:tab w:val="left" w:pos="284"/>
          <w:tab w:val="left" w:pos="426"/>
        </w:tabs>
        <w:spacing w:after="120" w:line="276" w:lineRule="auto"/>
        <w:ind w:left="0" w:firstLine="0"/>
        <w:jc w:val="both"/>
        <w:rPr>
          <w:rFonts w:ascii="Times New Roman" w:eastAsia="Times New Roman" w:hAnsi="Times New Roman" w:cs="Times New Roman"/>
          <w:i/>
          <w:sz w:val="24"/>
          <w:szCs w:val="24"/>
        </w:rPr>
      </w:pPr>
      <w:r w:rsidRPr="00E60147">
        <w:rPr>
          <w:rFonts w:ascii="Times New Roman" w:eastAsia="Times New Roman" w:hAnsi="Times New Roman" w:cs="Times New Roman"/>
          <w:i/>
          <w:sz w:val="24"/>
          <w:szCs w:val="24"/>
        </w:rPr>
        <w:t>Politicile și instrumentele existente asigură executarea de către CS a monitoringului activității instituțiilor publice fondate?</w:t>
      </w:r>
    </w:p>
    <w:p w14:paraId="3ED723FA" w14:textId="77777777" w:rsidR="00624A63" w:rsidRPr="003B329E" w:rsidRDefault="00624A63" w:rsidP="00624A63">
      <w:pPr>
        <w:numPr>
          <w:ilvl w:val="0"/>
          <w:numId w:val="1"/>
        </w:numPr>
        <w:tabs>
          <w:tab w:val="left" w:pos="284"/>
          <w:tab w:val="left" w:pos="426"/>
        </w:tabs>
        <w:spacing w:after="120" w:line="276" w:lineRule="auto"/>
        <w:ind w:left="0" w:firstLine="0"/>
        <w:jc w:val="both"/>
        <w:rPr>
          <w:rFonts w:ascii="Times New Roman" w:eastAsia="Times New Roman" w:hAnsi="Times New Roman" w:cs="Times New Roman"/>
          <w:i/>
          <w:sz w:val="24"/>
          <w:szCs w:val="24"/>
        </w:rPr>
      </w:pPr>
      <w:r w:rsidRPr="003B329E">
        <w:rPr>
          <w:rFonts w:ascii="Times New Roman" w:eastAsia="Times New Roman" w:hAnsi="Times New Roman" w:cs="Times New Roman"/>
          <w:i/>
          <w:sz w:val="24"/>
          <w:szCs w:val="24"/>
        </w:rPr>
        <w:t xml:space="preserve">Cancelaria de Stat și unele instituții publice </w:t>
      </w:r>
      <w:r>
        <w:rPr>
          <w:rFonts w:ascii="Times New Roman" w:eastAsia="Times New Roman" w:hAnsi="Times New Roman" w:cs="Times New Roman"/>
          <w:i/>
          <w:sz w:val="24"/>
          <w:szCs w:val="24"/>
        </w:rPr>
        <w:t xml:space="preserve">fondate </w:t>
      </w:r>
      <w:r w:rsidRPr="003B329E">
        <w:rPr>
          <w:rFonts w:ascii="Times New Roman" w:eastAsia="Times New Roman" w:hAnsi="Times New Roman" w:cs="Times New Roman"/>
          <w:i/>
          <w:sz w:val="24"/>
          <w:szCs w:val="24"/>
        </w:rPr>
        <w:t>au asigurat conformitatea administrării patrimoniului public aflat/transmis în gestiune?</w:t>
      </w:r>
    </w:p>
    <w:p w14:paraId="7D7122D3" w14:textId="7BC4508E" w:rsidR="006049D5" w:rsidRPr="00624A63" w:rsidRDefault="00624A63" w:rsidP="00624A63">
      <w:pPr>
        <w:numPr>
          <w:ilvl w:val="0"/>
          <w:numId w:val="1"/>
        </w:numPr>
        <w:tabs>
          <w:tab w:val="left" w:pos="284"/>
          <w:tab w:val="left" w:pos="426"/>
        </w:tabs>
        <w:spacing w:after="120" w:line="276" w:lineRule="auto"/>
        <w:ind w:left="0" w:firstLine="0"/>
        <w:jc w:val="both"/>
        <w:rPr>
          <w:rFonts w:ascii="Times New Roman" w:eastAsia="Times New Roman" w:hAnsi="Times New Roman" w:cs="Times New Roman"/>
          <w:i/>
          <w:sz w:val="24"/>
          <w:szCs w:val="24"/>
        </w:rPr>
      </w:pPr>
      <w:r w:rsidRPr="003B329E">
        <w:rPr>
          <w:rFonts w:ascii="Times New Roman" w:eastAsia="Times New Roman" w:hAnsi="Times New Roman" w:cs="Times New Roman"/>
          <w:i/>
          <w:sz w:val="24"/>
          <w:szCs w:val="24"/>
        </w:rPr>
        <w:t>CS</w:t>
      </w:r>
      <w:r>
        <w:rPr>
          <w:rFonts w:ascii="Times New Roman" w:eastAsia="Times New Roman" w:hAnsi="Times New Roman" w:cs="Times New Roman"/>
          <w:i/>
          <w:sz w:val="24"/>
          <w:szCs w:val="24"/>
        </w:rPr>
        <w:t>,</w:t>
      </w:r>
      <w:r w:rsidRPr="003B329E">
        <w:rPr>
          <w:rFonts w:ascii="Times New Roman" w:eastAsia="Times New Roman" w:hAnsi="Times New Roman" w:cs="Times New Roman"/>
          <w:i/>
          <w:sz w:val="24"/>
          <w:szCs w:val="24"/>
        </w:rPr>
        <w:t xml:space="preserve"> în calitate de autoritate publică centrală, are implementat un sistem de control intern managerial  funcțional?</w:t>
      </w:r>
    </w:p>
    <w:p w14:paraId="7851EC43" w14:textId="77777777" w:rsidR="006049D5" w:rsidRPr="003B329E" w:rsidRDefault="006049D5" w:rsidP="00BD2237">
      <w:pPr>
        <w:pStyle w:val="3"/>
        <w:numPr>
          <w:ilvl w:val="1"/>
          <w:numId w:val="6"/>
        </w:numPr>
        <w:tabs>
          <w:tab w:val="left" w:pos="426"/>
        </w:tabs>
        <w:spacing w:after="80" w:line="276" w:lineRule="auto"/>
        <w:ind w:left="0" w:firstLine="0"/>
        <w:rPr>
          <w:rFonts w:ascii="Times New Roman" w:hAnsi="Times New Roman" w:cs="Times New Roman"/>
          <w:b/>
          <w:color w:val="2E74B5" w:themeColor="accent1" w:themeShade="BF"/>
          <w:shd w:val="clear" w:color="auto" w:fill="FFFFFF"/>
        </w:rPr>
      </w:pPr>
      <w:bookmarkStart w:id="21" w:name="_Toc127171494"/>
      <w:bookmarkStart w:id="22" w:name="_Toc158015920"/>
      <w:r w:rsidRPr="003B329E">
        <w:rPr>
          <w:rFonts w:ascii="Times New Roman" w:hAnsi="Times New Roman" w:cs="Times New Roman"/>
          <w:b/>
          <w:color w:val="2E74B5" w:themeColor="accent1" w:themeShade="BF"/>
          <w:shd w:val="clear" w:color="auto" w:fill="FFFFFF"/>
        </w:rPr>
        <w:t>Abordarea auditului</w:t>
      </w:r>
      <w:bookmarkEnd w:id="21"/>
      <w:bookmarkEnd w:id="22"/>
    </w:p>
    <w:p w14:paraId="79E1D107" w14:textId="2001AC1F" w:rsidR="006049D5" w:rsidRPr="003B329E" w:rsidRDefault="006049D5" w:rsidP="00E93970">
      <w:pPr>
        <w:spacing w:line="276" w:lineRule="auto"/>
        <w:jc w:val="both"/>
        <w:rPr>
          <w:rFonts w:ascii="Times New Roman" w:eastAsia="Times New Roman" w:hAnsi="Times New Roman" w:cs="Times New Roman"/>
          <w:color w:val="000000" w:themeColor="text1"/>
          <w:sz w:val="24"/>
          <w:szCs w:val="24"/>
        </w:rPr>
      </w:pPr>
      <w:r w:rsidRPr="003B329E">
        <w:rPr>
          <w:rFonts w:ascii="Times New Roman" w:eastAsia="Times New Roman" w:hAnsi="Times New Roman" w:cs="Times New Roman"/>
          <w:color w:val="000000" w:themeColor="text1"/>
          <w:sz w:val="24"/>
          <w:szCs w:val="24"/>
        </w:rPr>
        <w:t>Misiunea de audit p</w:t>
      </w:r>
      <w:r w:rsidR="002308A2" w:rsidRPr="003B329E">
        <w:rPr>
          <w:rFonts w:ascii="Times New Roman" w:eastAsia="Times New Roman" w:hAnsi="Times New Roman" w:cs="Times New Roman"/>
          <w:color w:val="000000" w:themeColor="text1"/>
          <w:sz w:val="24"/>
          <w:szCs w:val="24"/>
        </w:rPr>
        <w:t xml:space="preserve">ublic extern s-a desfășurat la CS și </w:t>
      </w:r>
      <w:r w:rsidR="00624A63">
        <w:rPr>
          <w:rFonts w:ascii="Times New Roman" w:eastAsia="Times New Roman" w:hAnsi="Times New Roman" w:cs="Times New Roman"/>
          <w:color w:val="000000" w:themeColor="text1"/>
          <w:sz w:val="24"/>
          <w:szCs w:val="24"/>
        </w:rPr>
        <w:t xml:space="preserve">la </w:t>
      </w:r>
      <w:r w:rsidR="002308A2" w:rsidRPr="003B329E">
        <w:rPr>
          <w:rFonts w:ascii="Times New Roman" w:eastAsia="Times New Roman" w:hAnsi="Times New Roman" w:cs="Times New Roman"/>
          <w:color w:val="000000" w:themeColor="text1"/>
          <w:sz w:val="24"/>
          <w:szCs w:val="24"/>
        </w:rPr>
        <w:t>unele instituții monitorizate</w:t>
      </w:r>
      <w:r w:rsidRPr="003B329E">
        <w:rPr>
          <w:rFonts w:ascii="Times New Roman" w:eastAsia="Times New Roman" w:hAnsi="Times New Roman" w:cs="Times New Roman"/>
          <w:color w:val="000000" w:themeColor="text1"/>
          <w:sz w:val="24"/>
          <w:szCs w:val="24"/>
        </w:rPr>
        <w:t>, în conformitate cu Standardele Internaționale ale Instituțiilor Supreme de Audit (ISSAI 100, ISSAI 400 și ISSAI 4000)</w:t>
      </w:r>
      <w:r w:rsidRPr="003B329E">
        <w:rPr>
          <w:rFonts w:ascii="Times New Roman" w:eastAsia="Times New Roman" w:hAnsi="Times New Roman" w:cs="Times New Roman"/>
          <w:color w:val="000000" w:themeColor="text1"/>
          <w:sz w:val="24"/>
          <w:szCs w:val="24"/>
          <w:vertAlign w:val="superscript"/>
        </w:rPr>
        <w:footnoteReference w:id="22"/>
      </w:r>
      <w:r w:rsidRPr="003B329E">
        <w:rPr>
          <w:rFonts w:ascii="Times New Roman" w:eastAsia="Times New Roman" w:hAnsi="Times New Roman" w:cs="Times New Roman"/>
          <w:color w:val="000000" w:themeColor="text1"/>
          <w:sz w:val="24"/>
          <w:szCs w:val="24"/>
        </w:rPr>
        <w:t xml:space="preserve"> și </w:t>
      </w:r>
      <w:r w:rsidR="000212DA" w:rsidRPr="003B329E">
        <w:rPr>
          <w:rFonts w:ascii="Times New Roman" w:eastAsia="Times New Roman" w:hAnsi="Times New Roman" w:cs="Times New Roman"/>
          <w:color w:val="000000" w:themeColor="text1"/>
          <w:sz w:val="24"/>
          <w:szCs w:val="24"/>
        </w:rPr>
        <w:t xml:space="preserve">cu cadrul normativ-metodologic </w:t>
      </w:r>
      <w:r w:rsidRPr="003B329E">
        <w:rPr>
          <w:rFonts w:ascii="Times New Roman" w:eastAsia="Times New Roman" w:hAnsi="Times New Roman" w:cs="Times New Roman"/>
          <w:color w:val="000000" w:themeColor="text1"/>
          <w:sz w:val="24"/>
          <w:szCs w:val="24"/>
        </w:rPr>
        <w:t>instituțional aferent, aplicate de Curtea de Conturi.</w:t>
      </w:r>
      <w:r w:rsidR="00667516">
        <w:rPr>
          <w:rFonts w:ascii="Times New Roman" w:eastAsia="Times New Roman" w:hAnsi="Times New Roman" w:cs="Times New Roman"/>
          <w:color w:val="000000" w:themeColor="text1"/>
          <w:sz w:val="24"/>
          <w:szCs w:val="24"/>
        </w:rPr>
        <w:t xml:space="preserve"> </w:t>
      </w:r>
    </w:p>
    <w:p w14:paraId="671D0223" w14:textId="4B3D5773" w:rsidR="00501B3B" w:rsidRDefault="006049D5" w:rsidP="00501B3B">
      <w:pPr>
        <w:spacing w:line="276" w:lineRule="auto"/>
        <w:jc w:val="both"/>
        <w:rPr>
          <w:rFonts w:ascii="Times New Roman" w:eastAsia="Times New Roman" w:hAnsi="Times New Roman" w:cs="Times New Roman"/>
          <w:color w:val="000000" w:themeColor="text1"/>
          <w:sz w:val="24"/>
          <w:szCs w:val="24"/>
        </w:rPr>
      </w:pPr>
      <w:r w:rsidRPr="003B329E">
        <w:rPr>
          <w:rFonts w:ascii="Times New Roman" w:eastAsia="Times New Roman" w:hAnsi="Times New Roman" w:cs="Times New Roman"/>
          <w:b/>
          <w:i/>
          <w:color w:val="000000" w:themeColor="text1"/>
          <w:sz w:val="24"/>
          <w:szCs w:val="24"/>
        </w:rPr>
        <w:t>Abordarea auditului public extern</w:t>
      </w:r>
      <w:r w:rsidRPr="003B329E">
        <w:rPr>
          <w:rFonts w:ascii="Times New Roman" w:eastAsia="Times New Roman" w:hAnsi="Times New Roman" w:cs="Times New Roman"/>
          <w:color w:val="000000" w:themeColor="text1"/>
          <w:sz w:val="24"/>
          <w:szCs w:val="24"/>
        </w:rPr>
        <w:t xml:space="preserve"> s-a bazat pe riscuri, fapt ce presupune orientarea activității de audit as</w:t>
      </w:r>
      <w:r w:rsidR="00A3301F" w:rsidRPr="003B329E">
        <w:rPr>
          <w:rFonts w:ascii="Times New Roman" w:eastAsia="Times New Roman" w:hAnsi="Times New Roman" w:cs="Times New Roman"/>
          <w:color w:val="000000" w:themeColor="text1"/>
          <w:sz w:val="24"/>
          <w:szCs w:val="24"/>
        </w:rPr>
        <w:t>upra acelor procese din cadrul CS</w:t>
      </w:r>
      <w:r w:rsidR="00501B3B">
        <w:rPr>
          <w:rFonts w:ascii="Times New Roman" w:eastAsia="Times New Roman" w:hAnsi="Times New Roman" w:cs="Times New Roman"/>
          <w:color w:val="000000" w:themeColor="text1"/>
          <w:sz w:val="24"/>
          <w:szCs w:val="24"/>
        </w:rPr>
        <w:t xml:space="preserve"> și a</w:t>
      </w:r>
      <w:r w:rsidR="00624A63">
        <w:rPr>
          <w:rFonts w:ascii="Times New Roman" w:eastAsia="Times New Roman" w:hAnsi="Times New Roman" w:cs="Times New Roman"/>
          <w:color w:val="000000" w:themeColor="text1"/>
          <w:sz w:val="24"/>
          <w:szCs w:val="24"/>
        </w:rPr>
        <w:t>l</w:t>
      </w:r>
      <w:r w:rsidR="00501B3B">
        <w:rPr>
          <w:rFonts w:ascii="Times New Roman" w:eastAsia="Times New Roman" w:hAnsi="Times New Roman" w:cs="Times New Roman"/>
          <w:color w:val="000000" w:themeColor="text1"/>
          <w:sz w:val="24"/>
          <w:szCs w:val="24"/>
        </w:rPr>
        <w:t xml:space="preserve"> unor instituții publice monitorizate</w:t>
      </w:r>
      <w:r w:rsidRPr="003B329E">
        <w:rPr>
          <w:rFonts w:ascii="Times New Roman" w:eastAsia="Times New Roman" w:hAnsi="Times New Roman" w:cs="Times New Roman"/>
          <w:color w:val="000000" w:themeColor="text1"/>
          <w:sz w:val="24"/>
          <w:szCs w:val="24"/>
        </w:rPr>
        <w:t xml:space="preserve"> care sunt predispuse unor neconformități semnificative. </w:t>
      </w:r>
      <w:r w:rsidR="00501B3B" w:rsidRPr="003B329E">
        <w:rPr>
          <w:rFonts w:ascii="Times New Roman" w:eastAsia="Times New Roman" w:hAnsi="Times New Roman" w:cs="Times New Roman"/>
          <w:color w:val="000000" w:themeColor="text1"/>
          <w:sz w:val="24"/>
          <w:szCs w:val="24"/>
        </w:rPr>
        <w:t>Angajamentul auditului a fost cel de raportare directă. Prin urmare, procesele auditate au fost evaluate în raport cu criteriile de audit extrase din prevederile cadrului normativ aplicabil, iar asigurarea limitată oferită ne permite, în baza constatărilor susținute de probele de audit, să formulăm concluzia generală</w:t>
      </w:r>
      <w:r w:rsidR="00501B3B">
        <w:rPr>
          <w:rFonts w:ascii="Times New Roman" w:eastAsia="Times New Roman" w:hAnsi="Times New Roman" w:cs="Times New Roman"/>
          <w:color w:val="000000" w:themeColor="text1"/>
          <w:sz w:val="24"/>
          <w:szCs w:val="24"/>
        </w:rPr>
        <w:t>.</w:t>
      </w:r>
      <w:r w:rsidR="005A273C">
        <w:rPr>
          <w:rFonts w:ascii="Times New Roman" w:eastAsia="Times New Roman" w:hAnsi="Times New Roman" w:cs="Times New Roman"/>
          <w:color w:val="000000" w:themeColor="text1"/>
          <w:sz w:val="24"/>
          <w:szCs w:val="24"/>
        </w:rPr>
        <w:t xml:space="preserve"> </w:t>
      </w:r>
    </w:p>
    <w:p w14:paraId="5EE7D7A6" w14:textId="500007A8" w:rsidR="006049D5" w:rsidRPr="003B329E" w:rsidRDefault="006049D5" w:rsidP="00501B3B">
      <w:pPr>
        <w:spacing w:line="276" w:lineRule="auto"/>
        <w:jc w:val="both"/>
        <w:rPr>
          <w:rFonts w:ascii="Times New Roman" w:eastAsia="Times New Roman" w:hAnsi="Times New Roman" w:cs="Times New Roman"/>
          <w:color w:val="000000" w:themeColor="text1"/>
          <w:sz w:val="24"/>
          <w:szCs w:val="24"/>
        </w:rPr>
      </w:pPr>
      <w:r w:rsidRPr="003B329E">
        <w:rPr>
          <w:rFonts w:ascii="Times New Roman" w:eastAsia="Times New Roman" w:hAnsi="Times New Roman" w:cs="Times New Roman"/>
          <w:b/>
          <w:i/>
          <w:color w:val="000000" w:themeColor="text1"/>
          <w:sz w:val="24"/>
          <w:szCs w:val="24"/>
        </w:rPr>
        <w:t>Probele de audit</w:t>
      </w:r>
      <w:r w:rsidRPr="003B329E">
        <w:rPr>
          <w:rFonts w:ascii="Times New Roman" w:eastAsia="Times New Roman" w:hAnsi="Times New Roman" w:cs="Times New Roman"/>
          <w:color w:val="000000" w:themeColor="text1"/>
          <w:sz w:val="24"/>
          <w:szCs w:val="24"/>
        </w:rPr>
        <w:t xml:space="preserve"> au fost colectate</w:t>
      </w:r>
      <w:r w:rsidR="004C7035">
        <w:rPr>
          <w:rFonts w:ascii="Times New Roman" w:eastAsia="Times New Roman" w:hAnsi="Times New Roman" w:cs="Times New Roman"/>
          <w:color w:val="000000" w:themeColor="text1"/>
          <w:sz w:val="24"/>
          <w:szCs w:val="24"/>
        </w:rPr>
        <w:t xml:space="preserve"> </w:t>
      </w:r>
      <w:r w:rsidR="0043323C">
        <w:rPr>
          <w:rFonts w:ascii="Times New Roman" w:eastAsia="Times New Roman" w:hAnsi="Times New Roman" w:cs="Times New Roman"/>
          <w:color w:val="000000" w:themeColor="text1"/>
          <w:sz w:val="24"/>
          <w:szCs w:val="24"/>
        </w:rPr>
        <w:t>atât</w:t>
      </w:r>
      <w:r w:rsidR="004C7035">
        <w:rPr>
          <w:rFonts w:ascii="Times New Roman" w:eastAsia="Times New Roman" w:hAnsi="Times New Roman" w:cs="Times New Roman"/>
          <w:color w:val="000000" w:themeColor="text1"/>
          <w:sz w:val="24"/>
          <w:szCs w:val="24"/>
        </w:rPr>
        <w:t xml:space="preserve"> de la CS </w:t>
      </w:r>
      <w:r w:rsidR="0043323C">
        <w:rPr>
          <w:rFonts w:ascii="Times New Roman" w:eastAsia="Times New Roman" w:hAnsi="Times New Roman" w:cs="Times New Roman"/>
          <w:color w:val="000000" w:themeColor="text1"/>
          <w:sz w:val="24"/>
          <w:szCs w:val="24"/>
        </w:rPr>
        <w:t>cât</w:t>
      </w:r>
      <w:r w:rsidR="004C7035">
        <w:rPr>
          <w:rFonts w:ascii="Times New Roman" w:eastAsia="Times New Roman" w:hAnsi="Times New Roman" w:cs="Times New Roman"/>
          <w:color w:val="000000" w:themeColor="text1"/>
          <w:sz w:val="24"/>
          <w:szCs w:val="24"/>
        </w:rPr>
        <w:t xml:space="preserve"> și de la instituțiile publice monitorizate (</w:t>
      </w:r>
      <w:r w:rsidR="004B7B99">
        <w:rPr>
          <w:rFonts w:ascii="Times New Roman" w:eastAsia="Times New Roman" w:hAnsi="Times New Roman" w:cs="Times New Roman"/>
          <w:color w:val="000000" w:themeColor="text1"/>
          <w:sz w:val="24"/>
          <w:szCs w:val="24"/>
        </w:rPr>
        <w:t>I.P. „</w:t>
      </w:r>
      <w:r w:rsidR="004C7035" w:rsidRPr="004C7035">
        <w:rPr>
          <w:rFonts w:ascii="Times New Roman" w:eastAsia="Times New Roman" w:hAnsi="Times New Roman" w:cs="Times New Roman"/>
          <w:color w:val="000000" w:themeColor="text1"/>
          <w:sz w:val="24"/>
          <w:szCs w:val="24"/>
        </w:rPr>
        <w:t>DGACG</w:t>
      </w:r>
      <w:r w:rsidR="004B7B99">
        <w:rPr>
          <w:rFonts w:ascii="Times New Roman" w:eastAsia="Times New Roman" w:hAnsi="Times New Roman" w:cs="Times New Roman"/>
          <w:color w:val="000000" w:themeColor="text1"/>
          <w:sz w:val="24"/>
          <w:szCs w:val="24"/>
        </w:rPr>
        <w:t>”</w:t>
      </w:r>
      <w:r w:rsidR="004C7035" w:rsidRPr="004C7035">
        <w:rPr>
          <w:rFonts w:ascii="Times New Roman" w:eastAsia="Times New Roman" w:hAnsi="Times New Roman" w:cs="Times New Roman"/>
          <w:color w:val="000000" w:themeColor="text1"/>
          <w:sz w:val="24"/>
          <w:szCs w:val="24"/>
        </w:rPr>
        <w:t xml:space="preserve">, </w:t>
      </w:r>
      <w:r w:rsidR="004B7B99">
        <w:rPr>
          <w:rFonts w:ascii="Times New Roman" w:eastAsia="Times New Roman" w:hAnsi="Times New Roman" w:cs="Times New Roman"/>
          <w:color w:val="000000" w:themeColor="text1"/>
          <w:sz w:val="24"/>
          <w:szCs w:val="24"/>
        </w:rPr>
        <w:t>I.P. „</w:t>
      </w:r>
      <w:r w:rsidR="004C7035" w:rsidRPr="004C7035">
        <w:rPr>
          <w:rFonts w:ascii="Times New Roman" w:eastAsia="Times New Roman" w:hAnsi="Times New Roman" w:cs="Times New Roman"/>
          <w:color w:val="000000" w:themeColor="text1"/>
          <w:sz w:val="24"/>
          <w:szCs w:val="24"/>
        </w:rPr>
        <w:t>BA</w:t>
      </w:r>
      <w:r w:rsidR="004B7B99">
        <w:rPr>
          <w:rFonts w:ascii="Times New Roman" w:eastAsia="Times New Roman" w:hAnsi="Times New Roman" w:cs="Times New Roman"/>
          <w:color w:val="000000" w:themeColor="text1"/>
          <w:sz w:val="24"/>
          <w:szCs w:val="24"/>
        </w:rPr>
        <w:t xml:space="preserve"> a CS”</w:t>
      </w:r>
      <w:r w:rsidR="004C7035" w:rsidRPr="004C7035">
        <w:rPr>
          <w:rFonts w:ascii="Times New Roman" w:eastAsia="Times New Roman" w:hAnsi="Times New Roman" w:cs="Times New Roman"/>
          <w:color w:val="000000" w:themeColor="text1"/>
          <w:sz w:val="24"/>
          <w:szCs w:val="24"/>
        </w:rPr>
        <w:t>, I.P. „Palatul Republicii</w:t>
      </w:r>
      <w:r w:rsidR="004C7035">
        <w:rPr>
          <w:rFonts w:ascii="Times New Roman" w:eastAsia="Times New Roman" w:hAnsi="Times New Roman" w:cs="Times New Roman"/>
          <w:color w:val="000000" w:themeColor="text1"/>
          <w:sz w:val="24"/>
          <w:szCs w:val="24"/>
        </w:rPr>
        <w:t xml:space="preserve">”, </w:t>
      </w:r>
      <w:r w:rsidR="004C7035" w:rsidRPr="004C7035">
        <w:rPr>
          <w:rFonts w:ascii="Times New Roman" w:eastAsia="Times New Roman" w:hAnsi="Times New Roman" w:cs="Times New Roman"/>
          <w:color w:val="000000" w:themeColor="text1"/>
          <w:sz w:val="24"/>
          <w:szCs w:val="24"/>
        </w:rPr>
        <w:t xml:space="preserve">I.P. „Pensiunea din Holercani”, </w:t>
      </w:r>
      <w:r w:rsidR="004B7B99">
        <w:rPr>
          <w:rFonts w:ascii="Times New Roman" w:eastAsia="Times New Roman" w:hAnsi="Times New Roman" w:cs="Times New Roman"/>
          <w:color w:val="000000" w:themeColor="text1"/>
          <w:sz w:val="24"/>
          <w:szCs w:val="24"/>
        </w:rPr>
        <w:t>I.P. „</w:t>
      </w:r>
      <w:r w:rsidR="004C7035" w:rsidRPr="004C7035">
        <w:rPr>
          <w:rFonts w:ascii="Times New Roman" w:eastAsia="Times New Roman" w:hAnsi="Times New Roman" w:cs="Times New Roman"/>
          <w:color w:val="000000" w:themeColor="text1"/>
          <w:sz w:val="24"/>
          <w:szCs w:val="24"/>
        </w:rPr>
        <w:t>STISC</w:t>
      </w:r>
      <w:r w:rsidR="004B7B99">
        <w:rPr>
          <w:rFonts w:ascii="Times New Roman" w:eastAsia="Times New Roman" w:hAnsi="Times New Roman" w:cs="Times New Roman"/>
          <w:color w:val="000000" w:themeColor="text1"/>
          <w:sz w:val="24"/>
          <w:szCs w:val="24"/>
        </w:rPr>
        <w:t>”</w:t>
      </w:r>
      <w:r w:rsidR="004C7035" w:rsidRPr="004C7035">
        <w:rPr>
          <w:rFonts w:ascii="Times New Roman" w:eastAsia="Times New Roman" w:hAnsi="Times New Roman" w:cs="Times New Roman"/>
          <w:color w:val="000000" w:themeColor="text1"/>
          <w:sz w:val="24"/>
          <w:szCs w:val="24"/>
        </w:rPr>
        <w:t xml:space="preserve">, </w:t>
      </w:r>
      <w:r w:rsidR="004B7B99">
        <w:rPr>
          <w:rFonts w:ascii="Times New Roman" w:eastAsia="Times New Roman" w:hAnsi="Times New Roman" w:cs="Times New Roman"/>
          <w:color w:val="000000" w:themeColor="text1"/>
          <w:sz w:val="24"/>
          <w:szCs w:val="24"/>
        </w:rPr>
        <w:t>I.P. „</w:t>
      </w:r>
      <w:r w:rsidR="004C7035" w:rsidRPr="004C7035">
        <w:rPr>
          <w:rFonts w:ascii="Times New Roman" w:eastAsia="Times New Roman" w:hAnsi="Times New Roman" w:cs="Times New Roman"/>
          <w:color w:val="000000" w:themeColor="text1"/>
          <w:sz w:val="24"/>
          <w:szCs w:val="24"/>
        </w:rPr>
        <w:t>AGE</w:t>
      </w:r>
      <w:r w:rsidR="004B7B99">
        <w:rPr>
          <w:rFonts w:ascii="Times New Roman" w:eastAsia="Times New Roman" w:hAnsi="Times New Roman" w:cs="Times New Roman"/>
          <w:color w:val="000000" w:themeColor="text1"/>
          <w:sz w:val="24"/>
          <w:szCs w:val="24"/>
        </w:rPr>
        <w:t>”</w:t>
      </w:r>
      <w:r w:rsidR="004C7035" w:rsidRPr="004C7035">
        <w:rPr>
          <w:rFonts w:ascii="Times New Roman" w:eastAsia="Times New Roman" w:hAnsi="Times New Roman" w:cs="Times New Roman"/>
          <w:color w:val="000000" w:themeColor="text1"/>
          <w:sz w:val="24"/>
          <w:szCs w:val="24"/>
        </w:rPr>
        <w:t>,</w:t>
      </w:r>
      <w:r w:rsidR="004C7035">
        <w:rPr>
          <w:rFonts w:ascii="Times New Roman" w:eastAsia="Times New Roman" w:hAnsi="Times New Roman" w:cs="Times New Roman"/>
          <w:color w:val="000000" w:themeColor="text1"/>
          <w:sz w:val="24"/>
          <w:szCs w:val="24"/>
        </w:rPr>
        <w:t xml:space="preserve"> </w:t>
      </w:r>
      <w:r w:rsidR="004C7035" w:rsidRPr="004C7035">
        <w:rPr>
          <w:rFonts w:ascii="Times New Roman" w:eastAsia="Times New Roman" w:hAnsi="Times New Roman" w:cs="Times New Roman"/>
          <w:color w:val="000000" w:themeColor="text1"/>
          <w:sz w:val="24"/>
          <w:szCs w:val="24"/>
        </w:rPr>
        <w:t>I</w:t>
      </w:r>
      <w:r w:rsidR="004C7035">
        <w:rPr>
          <w:rFonts w:ascii="Times New Roman" w:eastAsia="Times New Roman" w:hAnsi="Times New Roman" w:cs="Times New Roman"/>
          <w:color w:val="000000" w:themeColor="text1"/>
          <w:sz w:val="24"/>
          <w:szCs w:val="24"/>
        </w:rPr>
        <w:t>.</w:t>
      </w:r>
      <w:r w:rsidR="004C7035" w:rsidRPr="004C7035">
        <w:rPr>
          <w:rFonts w:ascii="Times New Roman" w:eastAsia="Times New Roman" w:hAnsi="Times New Roman" w:cs="Times New Roman"/>
          <w:color w:val="000000" w:themeColor="text1"/>
          <w:sz w:val="24"/>
          <w:szCs w:val="24"/>
        </w:rPr>
        <w:t>P</w:t>
      </w:r>
      <w:r w:rsidR="004C7035">
        <w:rPr>
          <w:rFonts w:ascii="Times New Roman" w:eastAsia="Times New Roman" w:hAnsi="Times New Roman" w:cs="Times New Roman"/>
          <w:color w:val="000000" w:themeColor="text1"/>
          <w:sz w:val="24"/>
          <w:szCs w:val="24"/>
        </w:rPr>
        <w:t>.</w:t>
      </w:r>
      <w:r w:rsidR="003E4630">
        <w:rPr>
          <w:rFonts w:ascii="Times New Roman" w:eastAsia="Times New Roman" w:hAnsi="Times New Roman" w:cs="Times New Roman"/>
          <w:color w:val="000000" w:themeColor="text1"/>
          <w:sz w:val="24"/>
          <w:szCs w:val="24"/>
        </w:rPr>
        <w:t xml:space="preserve"> AIS</w:t>
      </w:r>
      <w:r w:rsidR="004C7035" w:rsidRPr="004C7035">
        <w:rPr>
          <w:rFonts w:ascii="Times New Roman" w:eastAsia="Times New Roman" w:hAnsi="Times New Roman" w:cs="Times New Roman"/>
          <w:color w:val="000000" w:themeColor="text1"/>
          <w:sz w:val="24"/>
          <w:szCs w:val="24"/>
        </w:rPr>
        <w:t xml:space="preserve"> </w:t>
      </w:r>
      <w:r w:rsidR="004C7035">
        <w:rPr>
          <w:rFonts w:ascii="Times New Roman" w:eastAsia="Times New Roman" w:hAnsi="Times New Roman" w:cs="Times New Roman"/>
          <w:color w:val="000000" w:themeColor="text1"/>
          <w:sz w:val="24"/>
          <w:szCs w:val="24"/>
        </w:rPr>
        <w:t>„</w:t>
      </w:r>
      <w:r w:rsidR="004C7035" w:rsidRPr="004C7035">
        <w:rPr>
          <w:rFonts w:ascii="Times New Roman" w:eastAsia="Times New Roman" w:hAnsi="Times New Roman" w:cs="Times New Roman"/>
          <w:color w:val="000000" w:themeColor="text1"/>
          <w:sz w:val="24"/>
          <w:szCs w:val="24"/>
        </w:rPr>
        <w:t>M</w:t>
      </w:r>
      <w:r w:rsidR="004C7035">
        <w:rPr>
          <w:rFonts w:ascii="Times New Roman" w:eastAsia="Times New Roman" w:hAnsi="Times New Roman" w:cs="Times New Roman"/>
          <w:color w:val="000000" w:themeColor="text1"/>
          <w:sz w:val="24"/>
          <w:szCs w:val="24"/>
        </w:rPr>
        <w:t>o</w:t>
      </w:r>
      <w:r w:rsidR="003E4630">
        <w:rPr>
          <w:rFonts w:ascii="Times New Roman" w:eastAsia="Times New Roman" w:hAnsi="Times New Roman" w:cs="Times New Roman"/>
          <w:color w:val="000000" w:themeColor="text1"/>
          <w:sz w:val="24"/>
          <w:szCs w:val="24"/>
        </w:rPr>
        <w:t>ldpres</w:t>
      </w:r>
      <w:r w:rsidR="004C7035" w:rsidRPr="004C7035">
        <w:rPr>
          <w:rFonts w:ascii="Times New Roman" w:eastAsia="Times New Roman" w:hAnsi="Times New Roman" w:cs="Times New Roman"/>
          <w:color w:val="000000" w:themeColor="text1"/>
          <w:sz w:val="24"/>
          <w:szCs w:val="24"/>
        </w:rPr>
        <w:t>”</w:t>
      </w:r>
      <w:r w:rsidR="004C7035">
        <w:rPr>
          <w:rFonts w:ascii="Times New Roman" w:eastAsia="Times New Roman" w:hAnsi="Times New Roman" w:cs="Times New Roman"/>
          <w:color w:val="000000" w:themeColor="text1"/>
          <w:sz w:val="24"/>
          <w:szCs w:val="24"/>
        </w:rPr>
        <w:t xml:space="preserve"> și</w:t>
      </w:r>
      <w:r w:rsidR="004C7035" w:rsidRPr="004C7035">
        <w:rPr>
          <w:rFonts w:ascii="Times New Roman" w:eastAsia="Times New Roman" w:hAnsi="Times New Roman" w:cs="Times New Roman"/>
          <w:color w:val="000000" w:themeColor="text1"/>
          <w:sz w:val="24"/>
          <w:szCs w:val="24"/>
        </w:rPr>
        <w:t xml:space="preserve"> </w:t>
      </w:r>
      <w:r w:rsidR="004B7B99">
        <w:rPr>
          <w:rFonts w:ascii="Times New Roman" w:eastAsia="Times New Roman" w:hAnsi="Times New Roman" w:cs="Times New Roman"/>
          <w:color w:val="000000" w:themeColor="text1"/>
          <w:sz w:val="24"/>
          <w:szCs w:val="24"/>
        </w:rPr>
        <w:t>I.P. „</w:t>
      </w:r>
      <w:r w:rsidR="004C7035" w:rsidRPr="004C7035">
        <w:rPr>
          <w:rFonts w:ascii="Times New Roman" w:eastAsia="Times New Roman" w:hAnsi="Times New Roman" w:cs="Times New Roman"/>
          <w:color w:val="000000" w:themeColor="text1"/>
          <w:sz w:val="24"/>
          <w:szCs w:val="24"/>
        </w:rPr>
        <w:t>ASP</w:t>
      </w:r>
      <w:r w:rsidR="004B7B99">
        <w:rPr>
          <w:rFonts w:ascii="Times New Roman" w:eastAsia="Times New Roman" w:hAnsi="Times New Roman" w:cs="Times New Roman"/>
          <w:color w:val="000000" w:themeColor="text1"/>
          <w:sz w:val="24"/>
          <w:szCs w:val="24"/>
        </w:rPr>
        <w:t>”</w:t>
      </w:r>
      <w:r w:rsidR="004C7035">
        <w:rPr>
          <w:rFonts w:ascii="Times New Roman" w:eastAsia="Times New Roman" w:hAnsi="Times New Roman" w:cs="Times New Roman"/>
          <w:color w:val="000000" w:themeColor="text1"/>
          <w:sz w:val="24"/>
          <w:szCs w:val="24"/>
        </w:rPr>
        <w:t>), prin observații</w:t>
      </w:r>
      <w:r w:rsidRPr="003B329E">
        <w:rPr>
          <w:rFonts w:ascii="Times New Roman" w:eastAsia="Times New Roman" w:hAnsi="Times New Roman" w:cs="Times New Roman"/>
          <w:color w:val="000000" w:themeColor="text1"/>
          <w:sz w:val="24"/>
          <w:szCs w:val="24"/>
        </w:rPr>
        <w:t xml:space="preserve"> la fața locului, prin verificarea tranzacțiilor și documentelor aferente domeniului, contrapunerea și generarea informațiilor din sist</w:t>
      </w:r>
      <w:r w:rsidR="00A3301F" w:rsidRPr="003B329E">
        <w:rPr>
          <w:rFonts w:ascii="Times New Roman" w:eastAsia="Times New Roman" w:hAnsi="Times New Roman" w:cs="Times New Roman"/>
          <w:color w:val="000000" w:themeColor="text1"/>
          <w:sz w:val="24"/>
          <w:szCs w:val="24"/>
        </w:rPr>
        <w:t>emul informațional utilizat de CS</w:t>
      </w:r>
      <w:r w:rsidRPr="003B329E">
        <w:rPr>
          <w:rFonts w:ascii="Times New Roman" w:eastAsia="Times New Roman" w:hAnsi="Times New Roman" w:cs="Times New Roman"/>
          <w:color w:val="000000" w:themeColor="text1"/>
          <w:sz w:val="24"/>
          <w:szCs w:val="24"/>
        </w:rPr>
        <w:t>, observare</w:t>
      </w:r>
      <w:r w:rsidR="004B7B99">
        <w:rPr>
          <w:rFonts w:ascii="Times New Roman" w:eastAsia="Times New Roman" w:hAnsi="Times New Roman" w:cs="Times New Roman"/>
          <w:color w:val="000000" w:themeColor="text1"/>
          <w:sz w:val="24"/>
          <w:szCs w:val="24"/>
        </w:rPr>
        <w:t xml:space="preserve">a, investigarea, intervievarea, confirmarea și </w:t>
      </w:r>
      <w:r w:rsidR="00624A63">
        <w:rPr>
          <w:rFonts w:ascii="Times New Roman" w:eastAsia="Times New Roman" w:hAnsi="Times New Roman" w:cs="Times New Roman"/>
          <w:color w:val="000000" w:themeColor="text1"/>
          <w:sz w:val="24"/>
          <w:szCs w:val="24"/>
        </w:rPr>
        <w:t>recalcularea</w:t>
      </w:r>
      <w:r w:rsidRPr="003B329E">
        <w:rPr>
          <w:rFonts w:ascii="Times New Roman" w:eastAsia="Times New Roman" w:hAnsi="Times New Roman" w:cs="Times New Roman"/>
          <w:color w:val="000000" w:themeColor="text1"/>
          <w:sz w:val="24"/>
          <w:szCs w:val="24"/>
        </w:rPr>
        <w:t>.</w:t>
      </w:r>
    </w:p>
    <w:p w14:paraId="7F48DA76" w14:textId="64357860" w:rsidR="00FB7D8B" w:rsidRDefault="00624A63" w:rsidP="00501B3B">
      <w:pPr>
        <w:spacing w:line="276" w:lineRule="auto"/>
        <w:jc w:val="both"/>
        <w:rPr>
          <w:rFonts w:ascii="Times New Roman" w:eastAsia="Times New Roman" w:hAnsi="Times New Roman" w:cs="Times New Roman"/>
          <w:color w:val="000000" w:themeColor="text1"/>
          <w:sz w:val="24"/>
          <w:szCs w:val="24"/>
        </w:rPr>
      </w:pPr>
      <w:r w:rsidRPr="003B329E">
        <w:rPr>
          <w:rFonts w:ascii="Times New Roman" w:eastAsia="Times New Roman" w:hAnsi="Times New Roman" w:cs="Times New Roman"/>
          <w:b/>
          <w:i/>
          <w:color w:val="000000" w:themeColor="text1"/>
          <w:sz w:val="24"/>
          <w:szCs w:val="24"/>
        </w:rPr>
        <w:t xml:space="preserve">Sfera și abordarea auditului, </w:t>
      </w:r>
      <w:r w:rsidRPr="00D21915">
        <w:rPr>
          <w:rFonts w:ascii="Times New Roman" w:eastAsia="Times New Roman" w:hAnsi="Times New Roman" w:cs="Times New Roman"/>
          <w:color w:val="000000" w:themeColor="text1"/>
          <w:sz w:val="24"/>
          <w:szCs w:val="24"/>
        </w:rPr>
        <w:t>sursele și criteriile de audit, precum și procedurile de audit aplicate</w:t>
      </w:r>
      <w:r w:rsidRPr="003B329E">
        <w:rPr>
          <w:rFonts w:ascii="Times New Roman" w:eastAsia="Times New Roman" w:hAnsi="Times New Roman" w:cs="Times New Roman"/>
          <w:color w:val="000000" w:themeColor="text1"/>
          <w:sz w:val="24"/>
          <w:szCs w:val="24"/>
        </w:rPr>
        <w:t xml:space="preserve"> la testarea riscurilor de neconformitate se prezintă în </w:t>
      </w:r>
      <w:r w:rsidRPr="00C0360E">
        <w:rPr>
          <w:rFonts w:ascii="Times New Roman" w:eastAsia="Times New Roman" w:hAnsi="Times New Roman" w:cs="Times New Roman"/>
          <w:i/>
          <w:color w:val="000000" w:themeColor="text1"/>
          <w:sz w:val="24"/>
          <w:szCs w:val="24"/>
        </w:rPr>
        <w:t>Anexa nr. 5</w:t>
      </w:r>
      <w:r w:rsidRPr="003B329E">
        <w:rPr>
          <w:rFonts w:ascii="Times New Roman" w:eastAsia="Times New Roman" w:hAnsi="Times New Roman" w:cs="Times New Roman"/>
          <w:color w:val="000000" w:themeColor="text1"/>
          <w:sz w:val="24"/>
          <w:szCs w:val="24"/>
        </w:rPr>
        <w:t xml:space="preserve"> </w:t>
      </w:r>
      <w:r w:rsidRPr="002A7D70">
        <w:rPr>
          <w:rFonts w:ascii="Times New Roman" w:eastAsia="Times New Roman" w:hAnsi="Times New Roman" w:cs="Times New Roman"/>
          <w:i/>
          <w:color w:val="000000" w:themeColor="text1"/>
          <w:sz w:val="24"/>
          <w:szCs w:val="24"/>
        </w:rPr>
        <w:t>la prezentul Raport de audit</w:t>
      </w:r>
      <w:r w:rsidR="006049D5" w:rsidRPr="003B329E">
        <w:rPr>
          <w:rFonts w:ascii="Times New Roman" w:eastAsia="Times New Roman" w:hAnsi="Times New Roman" w:cs="Times New Roman"/>
          <w:color w:val="000000" w:themeColor="text1"/>
          <w:sz w:val="24"/>
          <w:szCs w:val="24"/>
        </w:rPr>
        <w:t>.</w:t>
      </w:r>
      <w:r w:rsidR="00501B3B" w:rsidRPr="00501B3B">
        <w:rPr>
          <w:rFonts w:ascii="Times New Roman" w:eastAsia="Times New Roman" w:hAnsi="Times New Roman" w:cs="Times New Roman"/>
          <w:color w:val="000000" w:themeColor="text1"/>
          <w:sz w:val="24"/>
          <w:szCs w:val="24"/>
        </w:rPr>
        <w:t xml:space="preserve"> </w:t>
      </w:r>
    </w:p>
    <w:p w14:paraId="28F1D4EF" w14:textId="7C4C2222" w:rsidR="006049D5" w:rsidRPr="003B329E" w:rsidRDefault="006049D5" w:rsidP="001C3855">
      <w:pPr>
        <w:pStyle w:val="3"/>
        <w:numPr>
          <w:ilvl w:val="1"/>
          <w:numId w:val="6"/>
        </w:numPr>
        <w:tabs>
          <w:tab w:val="left" w:pos="426"/>
        </w:tabs>
        <w:spacing w:after="80" w:line="276" w:lineRule="auto"/>
        <w:ind w:left="0" w:firstLine="0"/>
        <w:rPr>
          <w:rFonts w:ascii="Times New Roman" w:hAnsi="Times New Roman" w:cs="Times New Roman"/>
          <w:b/>
          <w:color w:val="2E74B5" w:themeColor="accent1" w:themeShade="BF"/>
          <w:shd w:val="clear" w:color="auto" w:fill="FFFFFF"/>
        </w:rPr>
      </w:pPr>
      <w:bookmarkStart w:id="23" w:name="_Toc127171495"/>
      <w:bookmarkStart w:id="24" w:name="_Toc158015921"/>
      <w:r w:rsidRPr="003B329E">
        <w:rPr>
          <w:rFonts w:ascii="Times New Roman" w:hAnsi="Times New Roman" w:cs="Times New Roman"/>
          <w:b/>
          <w:color w:val="2E74B5" w:themeColor="accent1" w:themeShade="BF"/>
          <w:shd w:val="clear" w:color="auto" w:fill="FFFFFF"/>
        </w:rPr>
        <w:t xml:space="preserve">Responsabilitatea </w:t>
      </w:r>
      <w:bookmarkEnd w:id="23"/>
      <w:r w:rsidR="001C3855" w:rsidRPr="001C3855">
        <w:rPr>
          <w:rFonts w:ascii="Times New Roman" w:hAnsi="Times New Roman" w:cs="Times New Roman"/>
          <w:b/>
          <w:color w:val="2E74B5" w:themeColor="accent1" w:themeShade="BF"/>
          <w:shd w:val="clear" w:color="auto" w:fill="FFFFFF"/>
        </w:rPr>
        <w:t>auditorului într-un audit al conformității</w:t>
      </w:r>
      <w:bookmarkEnd w:id="24"/>
    </w:p>
    <w:p w14:paraId="344C9E5B" w14:textId="24CF368E" w:rsidR="004773CE" w:rsidRDefault="006049D5" w:rsidP="00231A57">
      <w:pPr>
        <w:tabs>
          <w:tab w:val="left" w:pos="709"/>
        </w:tabs>
        <w:spacing w:after="240" w:line="276" w:lineRule="auto"/>
        <w:jc w:val="both"/>
        <w:rPr>
          <w:rFonts w:ascii="Times New Roman" w:hAnsi="Times New Roman" w:cs="Times New Roman"/>
          <w:color w:val="000000"/>
          <w:sz w:val="24"/>
          <w:szCs w:val="24"/>
          <w:shd w:val="clear" w:color="auto" w:fill="FFFFFF"/>
        </w:rPr>
      </w:pPr>
      <w:r w:rsidRPr="003B329E">
        <w:rPr>
          <w:rFonts w:ascii="Times New Roman" w:hAnsi="Times New Roman" w:cs="Times New Roman"/>
          <w:color w:val="000000"/>
          <w:sz w:val="24"/>
          <w:szCs w:val="24"/>
          <w:shd w:val="clear" w:color="auto" w:fill="FFFFFF"/>
        </w:rPr>
        <w:t>Responsabilitatea auditorului public</w:t>
      </w:r>
      <w:r w:rsidR="004773CE">
        <w:rPr>
          <w:rFonts w:ascii="Times New Roman" w:hAnsi="Times New Roman" w:cs="Times New Roman"/>
          <w:color w:val="000000"/>
          <w:sz w:val="24"/>
          <w:szCs w:val="24"/>
          <w:shd w:val="clear" w:color="auto" w:fill="FFFFFF"/>
        </w:rPr>
        <w:t xml:space="preserve"> constă în evaluarea conformității </w:t>
      </w:r>
      <w:r w:rsidR="004773CE" w:rsidRPr="003B329E">
        <w:rPr>
          <w:rFonts w:ascii="Times New Roman" w:hAnsi="Times New Roman" w:cs="Times New Roman"/>
          <w:color w:val="000000"/>
          <w:sz w:val="24"/>
          <w:szCs w:val="24"/>
          <w:shd w:val="clear" w:color="auto" w:fill="FFFFFF"/>
        </w:rPr>
        <w:t>modului de formare, administrare și întrebuințare a resurselor financiare publice și a patrimoniului public de către Cancelaria de Stat în perioada 2018-2022</w:t>
      </w:r>
      <w:r w:rsidR="004773CE">
        <w:rPr>
          <w:rFonts w:ascii="Times New Roman" w:hAnsi="Times New Roman" w:cs="Times New Roman"/>
          <w:color w:val="000000"/>
          <w:sz w:val="24"/>
          <w:szCs w:val="24"/>
          <w:shd w:val="clear" w:color="auto" w:fill="FFFFFF"/>
        </w:rPr>
        <w:t xml:space="preserve">, </w:t>
      </w:r>
      <w:r w:rsidR="004773CE" w:rsidRPr="004773CE">
        <w:rPr>
          <w:rFonts w:ascii="Times New Roman" w:hAnsi="Times New Roman" w:cs="Times New Roman"/>
          <w:color w:val="000000"/>
          <w:sz w:val="24"/>
          <w:szCs w:val="24"/>
          <w:shd w:val="clear" w:color="auto" w:fill="FFFFFF"/>
        </w:rPr>
        <w:t>în raport cu prevederile cadrului normativ aplicabil, prin obținerea probelor de audit suficiente și adecvate pentru susținerea constatărilor de audit și concluziei generale. Auditorul nu este responsabil de prevenirea faptelor de fraudă și eroare.</w:t>
      </w:r>
      <w:r w:rsidR="003E4630">
        <w:rPr>
          <w:rFonts w:ascii="Times New Roman" w:hAnsi="Times New Roman" w:cs="Times New Roman"/>
          <w:color w:val="000000"/>
          <w:sz w:val="24"/>
          <w:szCs w:val="24"/>
          <w:shd w:val="clear" w:color="auto" w:fill="FFFFFF"/>
        </w:rPr>
        <w:t xml:space="preserve"> </w:t>
      </w:r>
      <w:r w:rsidR="004773CE" w:rsidRPr="004773CE">
        <w:rPr>
          <w:rFonts w:ascii="Times New Roman" w:hAnsi="Times New Roman" w:cs="Times New Roman"/>
          <w:color w:val="000000"/>
          <w:sz w:val="24"/>
          <w:szCs w:val="24"/>
          <w:shd w:val="clear" w:color="auto" w:fill="FFFFFF"/>
        </w:rPr>
        <w:t>Auditorul public a fost independent față de entitate și a îndeplinit responsabilitățile de etică în conformitate cu cerințele Co</w:t>
      </w:r>
      <w:r w:rsidR="003E4630">
        <w:rPr>
          <w:rFonts w:ascii="Times New Roman" w:hAnsi="Times New Roman" w:cs="Times New Roman"/>
          <w:color w:val="000000"/>
          <w:sz w:val="24"/>
          <w:szCs w:val="24"/>
          <w:shd w:val="clear" w:color="auto" w:fill="FFFFFF"/>
        </w:rPr>
        <w:t>dului etic al Curții de Conturi</w:t>
      </w:r>
      <w:r w:rsidR="003E4630" w:rsidRPr="003B329E">
        <w:rPr>
          <w:rFonts w:ascii="Times New Roman" w:eastAsia="Times New Roman" w:hAnsi="Times New Roman" w:cs="Times New Roman"/>
          <w:szCs w:val="24"/>
          <w:vertAlign w:val="superscript"/>
        </w:rPr>
        <w:footnoteReference w:id="23"/>
      </w:r>
      <w:r w:rsidR="004773CE" w:rsidRPr="004773CE">
        <w:rPr>
          <w:rFonts w:ascii="Times New Roman" w:hAnsi="Times New Roman" w:cs="Times New Roman"/>
          <w:color w:val="000000"/>
          <w:sz w:val="24"/>
          <w:szCs w:val="24"/>
          <w:shd w:val="clear" w:color="auto" w:fill="FFFFFF"/>
        </w:rPr>
        <w:t>.</w:t>
      </w:r>
    </w:p>
    <w:p w14:paraId="4C8E59FE" w14:textId="77777777" w:rsidR="006049D5" w:rsidRPr="003B329E" w:rsidRDefault="006049D5" w:rsidP="00D64DBD">
      <w:pPr>
        <w:pStyle w:val="1"/>
        <w:numPr>
          <w:ilvl w:val="0"/>
          <w:numId w:val="6"/>
        </w:numPr>
        <w:tabs>
          <w:tab w:val="left" w:pos="284"/>
        </w:tabs>
        <w:spacing w:before="0" w:after="120" w:line="276" w:lineRule="auto"/>
        <w:ind w:left="142" w:firstLine="284"/>
        <w:rPr>
          <w:rFonts w:ascii="Times New Roman" w:hAnsi="Times New Roman" w:cs="Times New Roman"/>
          <w:b/>
          <w:color w:val="2F5496" w:themeColor="accent5" w:themeShade="BF"/>
          <w:sz w:val="28"/>
          <w:szCs w:val="28"/>
        </w:rPr>
      </w:pPr>
      <w:bookmarkStart w:id="25" w:name="_Toc128989576"/>
      <w:bookmarkStart w:id="26" w:name="_Toc158015922"/>
      <w:r w:rsidRPr="003B329E">
        <w:rPr>
          <w:rFonts w:ascii="Times New Roman" w:hAnsi="Times New Roman" w:cs="Times New Roman"/>
          <w:b/>
          <w:color w:val="2F5496" w:themeColor="accent5" w:themeShade="BF"/>
          <w:sz w:val="28"/>
          <w:szCs w:val="28"/>
        </w:rPr>
        <w:t>CONSTATĂR</w:t>
      </w:r>
      <w:bookmarkEnd w:id="25"/>
      <w:r w:rsidRPr="003B329E">
        <w:rPr>
          <w:rFonts w:ascii="Times New Roman" w:hAnsi="Times New Roman" w:cs="Times New Roman"/>
          <w:b/>
          <w:color w:val="2F5496" w:themeColor="accent5" w:themeShade="BF"/>
          <w:sz w:val="28"/>
          <w:szCs w:val="28"/>
        </w:rPr>
        <w:t>I</w:t>
      </w:r>
      <w:bookmarkEnd w:id="26"/>
    </w:p>
    <w:p w14:paraId="0C1F52D2" w14:textId="5EAEDA84" w:rsidR="00393654" w:rsidRPr="00AE392E" w:rsidRDefault="006049D5" w:rsidP="00D64DBD">
      <w:pPr>
        <w:pStyle w:val="2"/>
        <w:numPr>
          <w:ilvl w:val="1"/>
          <w:numId w:val="4"/>
        </w:numPr>
        <w:tabs>
          <w:tab w:val="left" w:pos="567"/>
        </w:tabs>
        <w:spacing w:after="120" w:line="276" w:lineRule="auto"/>
        <w:ind w:left="0" w:firstLine="0"/>
        <w:jc w:val="both"/>
        <w:rPr>
          <w:rFonts w:ascii="Times New Roman" w:hAnsi="Times New Roman" w:cs="Times New Roman"/>
          <w:b/>
          <w:color w:val="2F5496" w:themeColor="accent5" w:themeShade="BF"/>
          <w:sz w:val="28"/>
          <w:szCs w:val="28"/>
          <w:lang w:eastAsia="ro-RO" w:bidi="ro-RO"/>
        </w:rPr>
      </w:pPr>
      <w:bookmarkStart w:id="27" w:name="_Toc158015923"/>
      <w:r w:rsidRPr="00AE392E">
        <w:rPr>
          <w:rFonts w:ascii="Times New Roman" w:hAnsi="Times New Roman" w:cs="Times New Roman"/>
          <w:b/>
          <w:color w:val="2F5496" w:themeColor="accent5" w:themeShade="BF"/>
          <w:sz w:val="28"/>
          <w:szCs w:val="28"/>
          <w:lang w:eastAsia="ro-RO" w:bidi="ro-RO"/>
        </w:rPr>
        <w:t>OBIECTIVUL nr.1:</w:t>
      </w:r>
      <w:r w:rsidR="00A878CE" w:rsidRPr="003B329E">
        <w:rPr>
          <w:rFonts w:ascii="Times New Roman" w:hAnsi="Times New Roman" w:cs="Times New Roman"/>
          <w:b/>
          <w:sz w:val="28"/>
          <w:szCs w:val="28"/>
          <w:lang w:eastAsia="ro-RO" w:bidi="ro-RO"/>
        </w:rPr>
        <w:t xml:space="preserve"> </w:t>
      </w:r>
      <w:r w:rsidR="00D64DBD" w:rsidRPr="00AE392E">
        <w:rPr>
          <w:rFonts w:ascii="Times New Roman" w:hAnsi="Times New Roman" w:cs="Times New Roman"/>
          <w:b/>
          <w:color w:val="2F5496" w:themeColor="accent5" w:themeShade="BF"/>
          <w:sz w:val="28"/>
          <w:szCs w:val="28"/>
          <w:lang w:eastAsia="ro-RO" w:bidi="ro-RO"/>
        </w:rPr>
        <w:t>Cancelaria de Stat și instituțiile monitorizate au asigurat managementul financiar al resurselor publice potrivit regulilor și procedurilor bugetar-fiscale prestabilite</w:t>
      </w:r>
      <w:r w:rsidR="00A878CE" w:rsidRPr="00AE392E">
        <w:rPr>
          <w:rFonts w:ascii="Times New Roman" w:hAnsi="Times New Roman" w:cs="Times New Roman"/>
          <w:b/>
          <w:color w:val="2F5496" w:themeColor="accent5" w:themeShade="BF"/>
          <w:sz w:val="28"/>
          <w:szCs w:val="28"/>
          <w:lang w:eastAsia="ro-RO" w:bidi="ro-RO"/>
        </w:rPr>
        <w:t>?</w:t>
      </w:r>
      <w:bookmarkEnd w:id="27"/>
    </w:p>
    <w:tbl>
      <w:tblPr>
        <w:tblStyle w:val="a6"/>
        <w:tblW w:w="0" w:type="auto"/>
        <w:tblLook w:val="04A0" w:firstRow="1" w:lastRow="0" w:firstColumn="1" w:lastColumn="0" w:noHBand="0" w:noVBand="1"/>
      </w:tblPr>
      <w:tblGrid>
        <w:gridCol w:w="9344"/>
      </w:tblGrid>
      <w:tr w:rsidR="00DE1EEA" w14:paraId="1198C26C" w14:textId="77777777" w:rsidTr="00556F33">
        <w:tc>
          <w:tcPr>
            <w:tcW w:w="9678" w:type="dxa"/>
            <w:shd w:val="clear" w:color="auto" w:fill="F2F2F2" w:themeFill="background1" w:themeFillShade="F2"/>
          </w:tcPr>
          <w:p w14:paraId="4E89B550" w14:textId="77777777" w:rsidR="009A11FB" w:rsidRPr="009A11FB" w:rsidRDefault="009A11FB" w:rsidP="009A11FB">
            <w:pPr>
              <w:spacing w:after="80" w:line="276" w:lineRule="auto"/>
              <w:jc w:val="both"/>
              <w:rPr>
                <w:rFonts w:ascii="Times New Roman" w:hAnsi="Times New Roman" w:cs="Times New Roman"/>
                <w:sz w:val="24"/>
                <w:szCs w:val="24"/>
              </w:rPr>
            </w:pPr>
            <w:r w:rsidRPr="009A11FB">
              <w:rPr>
                <w:rFonts w:ascii="Times New Roman" w:hAnsi="Times New Roman" w:cs="Times New Roman"/>
                <w:sz w:val="24"/>
                <w:szCs w:val="24"/>
              </w:rPr>
              <w:t xml:space="preserve">Deși în perioada auditată CS, per general, a asigurat un management financiar conformat regulilor bugetar-fiscale, unele procese operaționale aferente gestionării resurselor bugetare au inclus controale interne funcționale, concomitent altele fiind afectate de neregularități. Auditul atestă rezerve în procesul de fundamentare a proiectelor de buget de către CS, or, gradul de absorbție a mijloacelor bugetare în perioada auditată constituind 77%, fiind înregistrată o discrepanță semnificativă între estimările de resurse publice necesare și execuția de casă a bugetului. </w:t>
            </w:r>
          </w:p>
          <w:p w14:paraId="13FD8FBD" w14:textId="77777777" w:rsidR="009A11FB" w:rsidRPr="009A11FB" w:rsidRDefault="009A11FB" w:rsidP="009A11FB">
            <w:pPr>
              <w:spacing w:after="80" w:line="276" w:lineRule="auto"/>
              <w:jc w:val="both"/>
              <w:rPr>
                <w:rFonts w:ascii="Times New Roman" w:hAnsi="Times New Roman" w:cs="Times New Roman"/>
                <w:sz w:val="24"/>
                <w:szCs w:val="24"/>
              </w:rPr>
            </w:pPr>
            <w:r w:rsidRPr="009A11FB">
              <w:rPr>
                <w:rFonts w:ascii="Times New Roman" w:hAnsi="Times New Roman" w:cs="Times New Roman"/>
                <w:sz w:val="24"/>
                <w:szCs w:val="24"/>
              </w:rPr>
              <w:t xml:space="preserve">CS nu a organizat înregistrarea conformă în evidența contabilă a valorii granturilor capitale în sumă totală de 53,3 mil. lei, acestea fiind trecute neîntemeiat la cheltuielile autorității, în așa mod fiind denaturați și indicatorii financiari raportați. </w:t>
            </w:r>
          </w:p>
          <w:p w14:paraId="017FF8B1" w14:textId="0761F2A1" w:rsidR="009A11FB" w:rsidRPr="009A11FB" w:rsidRDefault="009A11FB" w:rsidP="009A11FB">
            <w:pPr>
              <w:spacing w:after="80" w:line="276" w:lineRule="auto"/>
              <w:jc w:val="both"/>
              <w:rPr>
                <w:rFonts w:ascii="Times New Roman" w:hAnsi="Times New Roman" w:cs="Times New Roman"/>
                <w:sz w:val="24"/>
                <w:szCs w:val="24"/>
              </w:rPr>
            </w:pPr>
            <w:r w:rsidRPr="009A11FB">
              <w:rPr>
                <w:rFonts w:ascii="Times New Roman" w:hAnsi="Times New Roman" w:cs="Times New Roman"/>
                <w:sz w:val="24"/>
                <w:szCs w:val="24"/>
              </w:rPr>
              <w:t>Auditul atestă existența unor reguli discreționare privind obligativitatea rambursării soldurilor granturilor și subvențiilor nevalorificate de către IP, fapt ce a condus la dezafectarea mijloacelor bugetare, la finele anilor 2021-2022 soldul de mijloace bugetare rămase în conturile entităților</w:t>
            </w:r>
            <w:r w:rsidR="00BA69A9">
              <w:rPr>
                <w:rFonts w:ascii="Times New Roman" w:hAnsi="Times New Roman" w:cs="Times New Roman"/>
                <w:sz w:val="24"/>
                <w:szCs w:val="24"/>
              </w:rPr>
              <w:t xml:space="preserve"> </w:t>
            </w:r>
            <w:r w:rsidRPr="009A11FB">
              <w:rPr>
                <w:rFonts w:ascii="Times New Roman" w:hAnsi="Times New Roman" w:cs="Times New Roman"/>
                <w:sz w:val="24"/>
                <w:szCs w:val="24"/>
              </w:rPr>
              <w:t xml:space="preserve">constituind respectiv suma de 40,2 mil. lei și de 12,6 mil. lei. </w:t>
            </w:r>
          </w:p>
          <w:p w14:paraId="2574462A" w14:textId="17C9C18F" w:rsidR="009A11FB" w:rsidRPr="009A11FB" w:rsidRDefault="009A11FB" w:rsidP="009A11FB">
            <w:pPr>
              <w:spacing w:after="80" w:line="276" w:lineRule="auto"/>
              <w:jc w:val="both"/>
              <w:rPr>
                <w:rFonts w:ascii="Times New Roman" w:hAnsi="Times New Roman" w:cs="Times New Roman"/>
                <w:sz w:val="24"/>
                <w:szCs w:val="24"/>
              </w:rPr>
            </w:pPr>
            <w:r w:rsidRPr="009A11FB">
              <w:rPr>
                <w:rFonts w:ascii="Times New Roman" w:hAnsi="Times New Roman" w:cs="Times New Roman"/>
                <w:sz w:val="24"/>
                <w:szCs w:val="24"/>
              </w:rPr>
              <w:t>Nereglementarea modului de acordare și valorificare a mijloacelor bugetare sub formă de granturi și subvenții redistribuite instituțiilor publice de către fondator, precum și neinstituirea unui control riguros din partea acestuia la componenta respectivă, au condiționat utilizarea neconformă și neargumentată a fondurilor publice de către unele entități. În acest context se menționează situația privind utilizarea defectuoasă a mijloacelor financiare în sumă totală de 9,4 mil. lei de către STISC la achiziționarea unor bunuri aferente creării semnăturilor electronice, în fapt acestea nefiind utilizate în activitatea entității. Mai mult decât atât, potrivit evidenței contabile</w:t>
            </w:r>
            <w:r w:rsidR="00624A63">
              <w:rPr>
                <w:rFonts w:ascii="Times New Roman" w:hAnsi="Times New Roman" w:cs="Times New Roman"/>
                <w:sz w:val="24"/>
                <w:szCs w:val="24"/>
              </w:rPr>
              <w:t>,</w:t>
            </w:r>
            <w:r w:rsidRPr="009A11FB">
              <w:rPr>
                <w:rFonts w:ascii="Times New Roman" w:hAnsi="Times New Roman" w:cs="Times New Roman"/>
                <w:sz w:val="24"/>
                <w:szCs w:val="24"/>
              </w:rPr>
              <w:t xml:space="preserve"> aceste bunuri au fost date în exploatare fiindu-le calculată neregulamentar amortizarea în sumă totală de 2,0 mil. lei, în aceste condiții fiind majorate neîntemeiat cheltuielile instituției.</w:t>
            </w:r>
          </w:p>
          <w:p w14:paraId="78B48502" w14:textId="77777777" w:rsidR="009A11FB" w:rsidRPr="009A11FB" w:rsidRDefault="009A11FB" w:rsidP="009A11FB">
            <w:pPr>
              <w:spacing w:after="80" w:line="276" w:lineRule="auto"/>
              <w:jc w:val="both"/>
              <w:rPr>
                <w:rFonts w:ascii="Times New Roman" w:hAnsi="Times New Roman" w:cs="Times New Roman"/>
                <w:sz w:val="24"/>
                <w:szCs w:val="24"/>
              </w:rPr>
            </w:pPr>
            <w:r w:rsidRPr="009A11FB">
              <w:rPr>
                <w:rFonts w:ascii="Times New Roman" w:hAnsi="Times New Roman" w:cs="Times New Roman"/>
                <w:sz w:val="24"/>
                <w:szCs w:val="24"/>
              </w:rPr>
              <w:t>Neconformități sistemice au fost constatate și în gestionarea altor procese operaționale de către CS, DGACG și BA, în speță: i) divizarea achizițiilor prin semnarea contractelor de mică valoare la procurarea bunurilor și serviciilor, cu evitarea procedurilor competitive de achiziționare a acestora; ii) nereguli la executarea și contabilizarea mijloacelor financiare utilizate pentru reparații capitale ale clădirilor gestionate; și iii) cheltuieli neconforme privind utilizarea combustibilului, carburanților și lubrifianților.</w:t>
            </w:r>
          </w:p>
          <w:p w14:paraId="4065847F" w14:textId="26184A9B" w:rsidR="00DE1EEA" w:rsidRPr="00C44EA3" w:rsidRDefault="009A11FB" w:rsidP="00950FD9">
            <w:pPr>
              <w:spacing w:after="80" w:line="276" w:lineRule="auto"/>
              <w:jc w:val="both"/>
              <w:rPr>
                <w:rFonts w:ascii="Times New Roman" w:hAnsi="Times New Roman" w:cs="Times New Roman"/>
                <w:sz w:val="24"/>
                <w:szCs w:val="24"/>
              </w:rPr>
            </w:pPr>
            <w:r w:rsidRPr="009A11FB">
              <w:rPr>
                <w:rFonts w:ascii="Times New Roman" w:hAnsi="Times New Roman" w:cs="Times New Roman"/>
                <w:sz w:val="24"/>
                <w:szCs w:val="24"/>
              </w:rPr>
              <w:t>O altă problemă ține de evitarea desfășurării unor achiziții internaționale de către STISC, or instituția procură bunuri și servicii de la unii și aceiași operatori locali, în multiple cazuri participând doar un singur ofertant la procedura de achiziție, în consecință prețul de procurare, în unele cazuri, fiind majorat de 2-3 ori comparativ cu prețurile de import. La fel, se constată caracterul dubios la procurarea de către entitate a serviciilor de reîncărc</w:t>
            </w:r>
            <w:r w:rsidR="00950FD9">
              <w:rPr>
                <w:rFonts w:ascii="Times New Roman" w:hAnsi="Times New Roman" w:cs="Times New Roman"/>
                <w:sz w:val="24"/>
                <w:szCs w:val="24"/>
              </w:rPr>
              <w:t xml:space="preserve">are și regenerare a cartușelor </w:t>
            </w:r>
            <w:r w:rsidRPr="009A11FB">
              <w:rPr>
                <w:rFonts w:ascii="Times New Roman" w:hAnsi="Times New Roman" w:cs="Times New Roman"/>
                <w:sz w:val="24"/>
                <w:szCs w:val="24"/>
              </w:rPr>
              <w:t>precum și a unor</w:t>
            </w:r>
            <w:r w:rsidR="001E0EDA">
              <w:rPr>
                <w:rFonts w:ascii="Times New Roman" w:hAnsi="Times New Roman" w:cs="Times New Roman"/>
                <w:sz w:val="24"/>
                <w:szCs w:val="24"/>
              </w:rPr>
              <w:t xml:space="preserve"> bunuri în valoare totală de 0,6</w:t>
            </w:r>
            <w:r w:rsidRPr="009A11FB">
              <w:rPr>
                <w:rFonts w:ascii="Times New Roman" w:hAnsi="Times New Roman" w:cs="Times New Roman"/>
                <w:sz w:val="24"/>
                <w:szCs w:val="24"/>
              </w:rPr>
              <w:t xml:space="preserve"> mil. lei.</w:t>
            </w:r>
            <w:r w:rsidR="00BA69A9">
              <w:rPr>
                <w:rFonts w:ascii="Times New Roman" w:hAnsi="Times New Roman" w:cs="Times New Roman"/>
                <w:sz w:val="24"/>
                <w:szCs w:val="24"/>
              </w:rPr>
              <w:t xml:space="preserve">  </w:t>
            </w:r>
          </w:p>
        </w:tc>
      </w:tr>
    </w:tbl>
    <w:p w14:paraId="2C676B3F" w14:textId="5B0EC854" w:rsidR="003C5DA2" w:rsidRPr="003B7FFA" w:rsidRDefault="00624A63" w:rsidP="00624A63">
      <w:pPr>
        <w:pStyle w:val="a7"/>
        <w:numPr>
          <w:ilvl w:val="2"/>
          <w:numId w:val="4"/>
        </w:numPr>
        <w:tabs>
          <w:tab w:val="left" w:pos="567"/>
        </w:tabs>
        <w:spacing w:before="120" w:after="120" w:line="276" w:lineRule="auto"/>
        <w:ind w:left="0" w:firstLine="0"/>
        <w:contextualSpacing w:val="0"/>
        <w:jc w:val="both"/>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 </w:t>
      </w:r>
      <w:r w:rsidR="004D46EC" w:rsidRPr="003B7FFA">
        <w:rPr>
          <w:rFonts w:ascii="Times New Roman" w:hAnsi="Times New Roman" w:cs="Times New Roman"/>
          <w:b/>
          <w:color w:val="0070C0"/>
          <w:sz w:val="24"/>
          <w:szCs w:val="24"/>
        </w:rPr>
        <w:t xml:space="preserve">Deși </w:t>
      </w:r>
      <w:r w:rsidR="00084322" w:rsidRPr="003B7FFA">
        <w:rPr>
          <w:rFonts w:ascii="Times New Roman" w:hAnsi="Times New Roman" w:cs="Times New Roman"/>
          <w:b/>
          <w:color w:val="0070C0"/>
          <w:sz w:val="24"/>
          <w:szCs w:val="24"/>
        </w:rPr>
        <w:t xml:space="preserve">CS </w:t>
      </w:r>
      <w:r w:rsidR="0002627D" w:rsidRPr="003B7FFA">
        <w:rPr>
          <w:rFonts w:ascii="Times New Roman" w:hAnsi="Times New Roman" w:cs="Times New Roman"/>
          <w:b/>
          <w:color w:val="0070C0"/>
          <w:sz w:val="24"/>
          <w:szCs w:val="24"/>
        </w:rPr>
        <w:t>are implementate</w:t>
      </w:r>
      <w:r w:rsidR="00F45A00" w:rsidRPr="003B7FFA">
        <w:rPr>
          <w:rFonts w:ascii="Times New Roman" w:hAnsi="Times New Roman" w:cs="Times New Roman"/>
          <w:b/>
          <w:color w:val="0070C0"/>
          <w:sz w:val="24"/>
          <w:szCs w:val="24"/>
        </w:rPr>
        <w:t xml:space="preserve"> elemente ale </w:t>
      </w:r>
      <w:r w:rsidR="005D1984" w:rsidRPr="003B7FFA">
        <w:rPr>
          <w:rFonts w:ascii="Times New Roman" w:hAnsi="Times New Roman" w:cs="Times New Roman"/>
          <w:b/>
          <w:color w:val="0070C0"/>
          <w:sz w:val="24"/>
          <w:szCs w:val="24"/>
        </w:rPr>
        <w:t>sistemului de control intern managerial,</w:t>
      </w:r>
      <w:r w:rsidR="00651920" w:rsidRPr="003B7FFA">
        <w:rPr>
          <w:rFonts w:ascii="Times New Roman" w:hAnsi="Times New Roman" w:cs="Times New Roman"/>
          <w:b/>
          <w:color w:val="0070C0"/>
          <w:sz w:val="24"/>
          <w:szCs w:val="24"/>
        </w:rPr>
        <w:t xml:space="preserve"> care</w:t>
      </w:r>
      <w:r w:rsidR="005D1984" w:rsidRPr="003B7FFA">
        <w:rPr>
          <w:rFonts w:ascii="Times New Roman" w:hAnsi="Times New Roman" w:cs="Times New Roman"/>
          <w:b/>
          <w:color w:val="0070C0"/>
          <w:sz w:val="24"/>
          <w:szCs w:val="24"/>
        </w:rPr>
        <w:t xml:space="preserve"> preponderent au asigurat</w:t>
      </w:r>
      <w:r w:rsidR="00084322" w:rsidRPr="003B7FFA">
        <w:rPr>
          <w:rFonts w:ascii="Times New Roman" w:hAnsi="Times New Roman" w:cs="Times New Roman"/>
          <w:b/>
          <w:color w:val="0070C0"/>
          <w:sz w:val="24"/>
          <w:szCs w:val="24"/>
        </w:rPr>
        <w:t xml:space="preserve"> </w:t>
      </w:r>
      <w:r w:rsidR="005D1984" w:rsidRPr="003B7FFA">
        <w:rPr>
          <w:rFonts w:ascii="Times New Roman" w:hAnsi="Times New Roman" w:cs="Times New Roman"/>
          <w:b/>
          <w:color w:val="0070C0"/>
          <w:sz w:val="24"/>
          <w:szCs w:val="24"/>
        </w:rPr>
        <w:t>executarea conformă</w:t>
      </w:r>
      <w:r w:rsidR="003C5DA2" w:rsidRPr="003B7FFA">
        <w:rPr>
          <w:rFonts w:ascii="Times New Roman" w:hAnsi="Times New Roman" w:cs="Times New Roman"/>
          <w:b/>
          <w:color w:val="0070C0"/>
          <w:sz w:val="24"/>
          <w:szCs w:val="24"/>
        </w:rPr>
        <w:t xml:space="preserve"> </w:t>
      </w:r>
      <w:r w:rsidR="005D1984" w:rsidRPr="003B7FFA">
        <w:rPr>
          <w:rFonts w:ascii="Times New Roman" w:hAnsi="Times New Roman" w:cs="Times New Roman"/>
          <w:b/>
          <w:color w:val="0070C0"/>
          <w:sz w:val="24"/>
          <w:szCs w:val="24"/>
        </w:rPr>
        <w:t xml:space="preserve">a </w:t>
      </w:r>
      <w:r w:rsidR="004416C3" w:rsidRPr="003B7FFA">
        <w:rPr>
          <w:rFonts w:ascii="Times New Roman" w:hAnsi="Times New Roman" w:cs="Times New Roman"/>
          <w:b/>
          <w:color w:val="0070C0"/>
          <w:sz w:val="24"/>
          <w:szCs w:val="24"/>
        </w:rPr>
        <w:t xml:space="preserve">resurselor </w:t>
      </w:r>
      <w:r w:rsidR="00084322" w:rsidRPr="003B7FFA">
        <w:rPr>
          <w:rFonts w:ascii="Times New Roman" w:hAnsi="Times New Roman" w:cs="Times New Roman"/>
          <w:b/>
          <w:color w:val="0070C0"/>
          <w:sz w:val="24"/>
          <w:szCs w:val="24"/>
        </w:rPr>
        <w:t xml:space="preserve">bugetare, </w:t>
      </w:r>
      <w:r w:rsidR="004416C3" w:rsidRPr="003B7FFA">
        <w:rPr>
          <w:rFonts w:ascii="Times New Roman" w:hAnsi="Times New Roman" w:cs="Times New Roman"/>
          <w:b/>
          <w:color w:val="0070C0"/>
          <w:sz w:val="24"/>
          <w:szCs w:val="24"/>
        </w:rPr>
        <w:t xml:space="preserve">totuși </w:t>
      </w:r>
      <w:r w:rsidR="00F45A00" w:rsidRPr="003B7FFA">
        <w:rPr>
          <w:rFonts w:ascii="Times New Roman" w:hAnsi="Times New Roman" w:cs="Times New Roman"/>
          <w:b/>
          <w:color w:val="0070C0"/>
          <w:sz w:val="24"/>
          <w:szCs w:val="24"/>
        </w:rPr>
        <w:t xml:space="preserve">se atestă </w:t>
      </w:r>
      <w:r w:rsidR="004416C3" w:rsidRPr="003B7FFA">
        <w:rPr>
          <w:rFonts w:ascii="Times New Roman" w:hAnsi="Times New Roman" w:cs="Times New Roman"/>
          <w:b/>
          <w:color w:val="0070C0"/>
          <w:sz w:val="24"/>
          <w:szCs w:val="24"/>
        </w:rPr>
        <w:t xml:space="preserve">unele </w:t>
      </w:r>
      <w:r w:rsidR="005D1984" w:rsidRPr="003B7FFA">
        <w:rPr>
          <w:rFonts w:ascii="Times New Roman" w:hAnsi="Times New Roman" w:cs="Times New Roman"/>
          <w:b/>
          <w:color w:val="0070C0"/>
          <w:sz w:val="24"/>
          <w:szCs w:val="24"/>
        </w:rPr>
        <w:t xml:space="preserve">procese operaționale </w:t>
      </w:r>
      <w:r w:rsidR="004416C3" w:rsidRPr="003B7FFA">
        <w:rPr>
          <w:rFonts w:ascii="Times New Roman" w:hAnsi="Times New Roman" w:cs="Times New Roman"/>
          <w:b/>
          <w:color w:val="0070C0"/>
          <w:sz w:val="24"/>
          <w:szCs w:val="24"/>
        </w:rPr>
        <w:t>vulnerab</w:t>
      </w:r>
      <w:r w:rsidR="005D1984" w:rsidRPr="003B7FFA">
        <w:rPr>
          <w:rFonts w:ascii="Times New Roman" w:hAnsi="Times New Roman" w:cs="Times New Roman"/>
          <w:b/>
          <w:color w:val="0070C0"/>
          <w:sz w:val="24"/>
          <w:szCs w:val="24"/>
        </w:rPr>
        <w:t>ile</w:t>
      </w:r>
      <w:r>
        <w:rPr>
          <w:rFonts w:ascii="Times New Roman" w:hAnsi="Times New Roman" w:cs="Times New Roman"/>
          <w:b/>
          <w:color w:val="0070C0"/>
          <w:sz w:val="24"/>
          <w:szCs w:val="24"/>
        </w:rPr>
        <w:t>.</w:t>
      </w:r>
      <w:r w:rsidR="005D1984" w:rsidRPr="003B7FFA">
        <w:rPr>
          <w:rFonts w:ascii="Times New Roman" w:hAnsi="Times New Roman" w:cs="Times New Roman"/>
          <w:b/>
          <w:color w:val="0070C0"/>
          <w:sz w:val="24"/>
          <w:szCs w:val="24"/>
        </w:rPr>
        <w:t xml:space="preserve"> </w:t>
      </w:r>
    </w:p>
    <w:p w14:paraId="555A0954" w14:textId="77777777" w:rsidR="00624A63" w:rsidRPr="00AB7FC7" w:rsidRDefault="00624A63" w:rsidP="00624A63">
      <w:pPr>
        <w:tabs>
          <w:tab w:val="left" w:pos="426"/>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Î</w:t>
      </w:r>
      <w:r w:rsidRPr="0005722C">
        <w:rPr>
          <w:rFonts w:ascii="Times New Roman" w:hAnsi="Times New Roman" w:cs="Times New Roman"/>
          <w:sz w:val="24"/>
          <w:szCs w:val="24"/>
        </w:rPr>
        <w:t>n perioada 2018-2022, Cancelariei de Stat</w:t>
      </w:r>
      <w:r>
        <w:rPr>
          <w:rFonts w:ascii="Times New Roman" w:hAnsi="Times New Roman" w:cs="Times New Roman"/>
          <w:sz w:val="24"/>
          <w:szCs w:val="24"/>
        </w:rPr>
        <w:t>,</w:t>
      </w:r>
      <w:r w:rsidRPr="0005722C">
        <w:rPr>
          <w:rFonts w:ascii="Times New Roman" w:hAnsi="Times New Roman" w:cs="Times New Roman"/>
          <w:sz w:val="24"/>
          <w:szCs w:val="24"/>
        </w:rPr>
        <w:t xml:space="preserve"> în calitate de autoritate publică centrală, pentru implementarea acțiunilor din PAG</w:t>
      </w:r>
      <w:r w:rsidRPr="003B329E">
        <w:rPr>
          <w:rStyle w:val="a5"/>
          <w:rFonts w:ascii="Times New Roman" w:hAnsi="Times New Roman" w:cs="Times New Roman"/>
          <w:sz w:val="24"/>
          <w:szCs w:val="24"/>
        </w:rPr>
        <w:footnoteReference w:id="24"/>
      </w:r>
      <w:r w:rsidRPr="0005722C">
        <w:rPr>
          <w:rFonts w:ascii="Times New Roman" w:hAnsi="Times New Roman" w:cs="Times New Roman"/>
          <w:sz w:val="24"/>
          <w:szCs w:val="24"/>
        </w:rPr>
        <w:t xml:space="preserve"> ale Guvernului și a unui șir de </w:t>
      </w:r>
      <w:r>
        <w:rPr>
          <w:rFonts w:ascii="Times New Roman" w:hAnsi="Times New Roman" w:cs="Times New Roman"/>
          <w:sz w:val="24"/>
          <w:szCs w:val="24"/>
        </w:rPr>
        <w:t>p</w:t>
      </w:r>
      <w:r w:rsidRPr="0005722C">
        <w:rPr>
          <w:rFonts w:ascii="Times New Roman" w:hAnsi="Times New Roman" w:cs="Times New Roman"/>
          <w:sz w:val="24"/>
          <w:szCs w:val="24"/>
        </w:rPr>
        <w:t>rograme/</w:t>
      </w:r>
      <w:r>
        <w:rPr>
          <w:rFonts w:ascii="Times New Roman" w:hAnsi="Times New Roman" w:cs="Times New Roman"/>
          <w:sz w:val="24"/>
          <w:szCs w:val="24"/>
        </w:rPr>
        <w:t>p</w:t>
      </w:r>
      <w:r w:rsidRPr="0005722C">
        <w:rPr>
          <w:rFonts w:ascii="Times New Roman" w:hAnsi="Times New Roman" w:cs="Times New Roman"/>
          <w:sz w:val="24"/>
          <w:szCs w:val="24"/>
        </w:rPr>
        <w:t>roiecte, i-au fost precizate mijloace bugetare în sum</w:t>
      </w:r>
      <w:r>
        <w:rPr>
          <w:rFonts w:ascii="Times New Roman" w:hAnsi="Times New Roman" w:cs="Times New Roman"/>
          <w:sz w:val="24"/>
          <w:szCs w:val="24"/>
        </w:rPr>
        <w:t>ă</w:t>
      </w:r>
      <w:r w:rsidRPr="0005722C">
        <w:rPr>
          <w:rFonts w:ascii="Times New Roman" w:hAnsi="Times New Roman" w:cs="Times New Roman"/>
          <w:sz w:val="24"/>
          <w:szCs w:val="24"/>
        </w:rPr>
        <w:t xml:space="preserve"> de 2 370,0 mil. lei</w:t>
      </w:r>
      <w:r>
        <w:rPr>
          <w:rFonts w:ascii="Times New Roman" w:hAnsi="Times New Roman" w:cs="Times New Roman"/>
          <w:sz w:val="24"/>
          <w:szCs w:val="24"/>
        </w:rPr>
        <w:t>,</w:t>
      </w:r>
      <w:r w:rsidRPr="0005722C">
        <w:rPr>
          <w:rFonts w:ascii="Times New Roman" w:hAnsi="Times New Roman" w:cs="Times New Roman"/>
          <w:sz w:val="24"/>
          <w:szCs w:val="24"/>
        </w:rPr>
        <w:t xml:space="preserve"> sau cu 297,2 mil. lei mai puțin comparativ cu planul inițial aprobat. Se atestă că efectiv s-au executat mijloace bugetare în sumă de 1 816,5 mil. lei, nivelul de executare la partea de cheltuieli fiind </w:t>
      </w:r>
      <w:r>
        <w:rPr>
          <w:rFonts w:ascii="Times New Roman" w:hAnsi="Times New Roman" w:cs="Times New Roman"/>
          <w:sz w:val="24"/>
          <w:szCs w:val="24"/>
        </w:rPr>
        <w:t xml:space="preserve">de </w:t>
      </w:r>
      <w:r w:rsidRPr="0005722C">
        <w:rPr>
          <w:rFonts w:ascii="Times New Roman" w:hAnsi="Times New Roman" w:cs="Times New Roman"/>
          <w:sz w:val="24"/>
          <w:szCs w:val="24"/>
        </w:rPr>
        <w:t xml:space="preserve">77%. </w:t>
      </w:r>
      <w:r w:rsidRPr="00AB7FC7">
        <w:rPr>
          <w:rFonts w:ascii="Times New Roman" w:hAnsi="Times New Roman" w:cs="Times New Roman"/>
          <w:sz w:val="24"/>
          <w:szCs w:val="24"/>
        </w:rPr>
        <w:t>Nivelul de execuție a cheltuielilor de casă și cheltuielilor efective înregistrate de entitate în anii 2018-202</w:t>
      </w:r>
      <w:r>
        <w:rPr>
          <w:rFonts w:ascii="Times New Roman" w:hAnsi="Times New Roman" w:cs="Times New Roman"/>
          <w:sz w:val="24"/>
          <w:szCs w:val="24"/>
        </w:rPr>
        <w:t>2</w:t>
      </w:r>
      <w:r w:rsidRPr="00AB7FC7">
        <w:rPr>
          <w:rFonts w:ascii="Times New Roman" w:hAnsi="Times New Roman" w:cs="Times New Roman"/>
          <w:sz w:val="24"/>
          <w:szCs w:val="24"/>
        </w:rPr>
        <w:t xml:space="preserve">, în comparație cu mijloacele precizate, se prezintă în </w:t>
      </w:r>
      <w:r>
        <w:rPr>
          <w:rFonts w:ascii="Times New Roman" w:hAnsi="Times New Roman" w:cs="Times New Roman"/>
          <w:sz w:val="24"/>
          <w:szCs w:val="24"/>
        </w:rPr>
        <w:t>tabelul</w:t>
      </w:r>
      <w:r w:rsidRPr="00AB7FC7">
        <w:rPr>
          <w:rFonts w:ascii="Times New Roman" w:hAnsi="Times New Roman" w:cs="Times New Roman"/>
          <w:sz w:val="24"/>
          <w:szCs w:val="24"/>
        </w:rPr>
        <w:t xml:space="preserve"> nr.1.</w:t>
      </w:r>
    </w:p>
    <w:p w14:paraId="312CFE8F" w14:textId="77777777" w:rsidR="00624A63" w:rsidRPr="00AB7FC7" w:rsidRDefault="00624A63" w:rsidP="00624A63">
      <w:pPr>
        <w:tabs>
          <w:tab w:val="left" w:pos="426"/>
        </w:tabs>
        <w:spacing w:after="120" w:line="276" w:lineRule="auto"/>
        <w:jc w:val="center"/>
        <w:rPr>
          <w:rFonts w:ascii="Times New Roman" w:hAnsi="Times New Roman" w:cs="Times New Roman"/>
          <w:i/>
          <w:sz w:val="24"/>
          <w:szCs w:val="24"/>
        </w:rPr>
      </w:pPr>
      <w:r w:rsidRPr="00AB7FC7">
        <w:rPr>
          <w:rFonts w:ascii="Times New Roman" w:hAnsi="Times New Roman" w:cs="Times New Roman"/>
          <w:i/>
          <w:sz w:val="24"/>
          <w:szCs w:val="24"/>
        </w:rPr>
        <w:t xml:space="preserve">Tabelul nr. 1: Dinamica executării cheltuielilor </w:t>
      </w:r>
      <w:r>
        <w:rPr>
          <w:rFonts w:ascii="Times New Roman" w:hAnsi="Times New Roman" w:cs="Times New Roman"/>
          <w:i/>
          <w:sz w:val="24"/>
          <w:szCs w:val="24"/>
        </w:rPr>
        <w:t>de către</w:t>
      </w:r>
      <w:r w:rsidRPr="00AB7FC7">
        <w:rPr>
          <w:rFonts w:ascii="Times New Roman" w:hAnsi="Times New Roman" w:cs="Times New Roman"/>
          <w:i/>
          <w:sz w:val="24"/>
          <w:szCs w:val="24"/>
        </w:rPr>
        <w:t xml:space="preserve"> CS</w:t>
      </w:r>
      <w:r>
        <w:rPr>
          <w:rFonts w:ascii="Times New Roman" w:hAnsi="Times New Roman" w:cs="Times New Roman"/>
          <w:i/>
          <w:sz w:val="24"/>
          <w:szCs w:val="24"/>
        </w:rPr>
        <w:t xml:space="preserve"> în</w:t>
      </w:r>
      <w:r w:rsidRPr="00AB7FC7">
        <w:rPr>
          <w:rFonts w:ascii="Times New Roman" w:hAnsi="Times New Roman" w:cs="Times New Roman"/>
          <w:i/>
          <w:sz w:val="24"/>
          <w:szCs w:val="24"/>
        </w:rPr>
        <w:t xml:space="preserve"> perioada 2018-2022</w:t>
      </w:r>
    </w:p>
    <w:tbl>
      <w:tblPr>
        <w:tblW w:w="9880" w:type="dxa"/>
        <w:tblInd w:w="-5" w:type="dxa"/>
        <w:tblLook w:val="04A0" w:firstRow="1" w:lastRow="0" w:firstColumn="1" w:lastColumn="0" w:noHBand="0" w:noVBand="1"/>
      </w:tblPr>
      <w:tblGrid>
        <w:gridCol w:w="738"/>
        <w:gridCol w:w="1814"/>
        <w:gridCol w:w="1135"/>
        <w:gridCol w:w="1321"/>
        <w:gridCol w:w="1248"/>
        <w:gridCol w:w="1371"/>
        <w:gridCol w:w="981"/>
        <w:gridCol w:w="1272"/>
      </w:tblGrid>
      <w:tr w:rsidR="00624A63" w:rsidRPr="00F524C0" w14:paraId="3FE71CC1" w14:textId="77777777" w:rsidTr="00624A63">
        <w:trPr>
          <w:trHeight w:val="367"/>
        </w:trPr>
        <w:tc>
          <w:tcPr>
            <w:tcW w:w="738"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262E8ACB" w14:textId="77777777" w:rsidR="00624A63" w:rsidRPr="002A7D70" w:rsidRDefault="00624A63" w:rsidP="00161D23">
            <w:pPr>
              <w:spacing w:after="0" w:line="240" w:lineRule="auto"/>
              <w:jc w:val="center"/>
              <w:rPr>
                <w:rFonts w:ascii="Times New Roman" w:eastAsia="Times New Roman" w:hAnsi="Times New Roman" w:cs="Times New Roman"/>
                <w:color w:val="000000"/>
                <w:sz w:val="20"/>
                <w:szCs w:val="20"/>
              </w:rPr>
            </w:pPr>
            <w:r w:rsidRPr="002A7D70">
              <w:rPr>
                <w:rFonts w:ascii="Times New Roman" w:eastAsia="Times New Roman" w:hAnsi="Times New Roman" w:cs="Times New Roman"/>
                <w:color w:val="000000"/>
                <w:sz w:val="20"/>
                <w:szCs w:val="20"/>
              </w:rPr>
              <w:t>Nr.crt.</w:t>
            </w:r>
          </w:p>
        </w:tc>
        <w:tc>
          <w:tcPr>
            <w:tcW w:w="1814" w:type="dxa"/>
            <w:vMerge w:val="restart"/>
            <w:tcBorders>
              <w:top w:val="single" w:sz="4" w:space="0" w:color="auto"/>
              <w:left w:val="nil"/>
              <w:bottom w:val="single" w:sz="4" w:space="0" w:color="auto"/>
              <w:right w:val="single" w:sz="4" w:space="0" w:color="auto"/>
            </w:tcBorders>
            <w:shd w:val="clear" w:color="auto" w:fill="auto"/>
            <w:hideMark/>
          </w:tcPr>
          <w:p w14:paraId="628F553A" w14:textId="77777777" w:rsidR="00624A63" w:rsidRPr="0005722C" w:rsidRDefault="00624A63" w:rsidP="00161D23">
            <w:pPr>
              <w:spacing w:after="0" w:line="240" w:lineRule="auto"/>
              <w:rPr>
                <w:rFonts w:ascii="Times New Roman" w:eastAsia="Times New Roman" w:hAnsi="Times New Roman" w:cs="Times New Roman"/>
                <w:sz w:val="20"/>
                <w:szCs w:val="20"/>
              </w:rPr>
            </w:pPr>
            <w:r w:rsidRPr="00F524C0">
              <w:rPr>
                <w:rFonts w:ascii="Times New Roman" w:eastAsia="Times New Roman" w:hAnsi="Times New Roman" w:cs="Times New Roman"/>
                <w:sz w:val="20"/>
                <w:szCs w:val="20"/>
              </w:rPr>
              <w:t>Anii bugetari</w:t>
            </w:r>
          </w:p>
        </w:tc>
        <w:tc>
          <w:tcPr>
            <w:tcW w:w="3704" w:type="dxa"/>
            <w:gridSpan w:val="3"/>
            <w:tcBorders>
              <w:top w:val="single" w:sz="4" w:space="0" w:color="auto"/>
              <w:left w:val="single" w:sz="4" w:space="0" w:color="auto"/>
              <w:bottom w:val="single" w:sz="4" w:space="0" w:color="auto"/>
              <w:right w:val="single" w:sz="4" w:space="0" w:color="auto"/>
            </w:tcBorders>
          </w:tcPr>
          <w:p w14:paraId="2FC576DA" w14:textId="77777777" w:rsidR="00624A63" w:rsidRPr="0005722C" w:rsidRDefault="00624A63" w:rsidP="00161D23">
            <w:pPr>
              <w:spacing w:after="0" w:line="240" w:lineRule="auto"/>
              <w:jc w:val="center"/>
              <w:rPr>
                <w:rFonts w:ascii="Times New Roman" w:eastAsia="Times New Roman" w:hAnsi="Times New Roman" w:cs="Times New Roman"/>
                <w:sz w:val="20"/>
                <w:szCs w:val="20"/>
              </w:rPr>
            </w:pPr>
            <w:r w:rsidRPr="00F524C0">
              <w:rPr>
                <w:rFonts w:ascii="Times New Roman" w:eastAsia="Times New Roman" w:hAnsi="Times New Roman" w:cs="Times New Roman"/>
                <w:sz w:val="20"/>
                <w:szCs w:val="20"/>
              </w:rPr>
              <w:t>Mijloace bugetare</w:t>
            </w:r>
            <w:r>
              <w:rPr>
                <w:rFonts w:ascii="Times New Roman" w:eastAsia="Times New Roman" w:hAnsi="Times New Roman" w:cs="Times New Roman"/>
                <w:sz w:val="20"/>
                <w:szCs w:val="20"/>
              </w:rPr>
              <w:t>, inclusiv:</w:t>
            </w:r>
          </w:p>
        </w:tc>
        <w:tc>
          <w:tcPr>
            <w:tcW w:w="2352" w:type="dxa"/>
            <w:gridSpan w:val="2"/>
            <w:tcBorders>
              <w:top w:val="single" w:sz="4" w:space="0" w:color="auto"/>
              <w:left w:val="nil"/>
              <w:bottom w:val="single" w:sz="4" w:space="0" w:color="auto"/>
              <w:right w:val="single" w:sz="4" w:space="0" w:color="auto"/>
            </w:tcBorders>
            <w:shd w:val="clear" w:color="auto" w:fill="auto"/>
            <w:hideMark/>
          </w:tcPr>
          <w:p w14:paraId="456D486F" w14:textId="77777777" w:rsidR="00624A63" w:rsidRPr="0005722C" w:rsidRDefault="00624A63" w:rsidP="00161D23">
            <w:pPr>
              <w:spacing w:after="0" w:line="240" w:lineRule="auto"/>
              <w:jc w:val="center"/>
              <w:rPr>
                <w:rFonts w:ascii="Times New Roman" w:eastAsia="Times New Roman" w:hAnsi="Times New Roman" w:cs="Times New Roman"/>
                <w:sz w:val="20"/>
                <w:szCs w:val="20"/>
              </w:rPr>
            </w:pPr>
            <w:r w:rsidRPr="0005722C">
              <w:rPr>
                <w:rFonts w:ascii="Times New Roman" w:eastAsia="Times New Roman" w:hAnsi="Times New Roman" w:cs="Times New Roman"/>
                <w:sz w:val="20"/>
                <w:szCs w:val="20"/>
              </w:rPr>
              <w:t>Executat fa</w:t>
            </w:r>
            <w:r>
              <w:rPr>
                <w:rFonts w:ascii="Times New Roman" w:eastAsia="Times New Roman" w:hAnsi="Times New Roman" w:cs="Times New Roman"/>
                <w:sz w:val="20"/>
                <w:szCs w:val="20"/>
              </w:rPr>
              <w:t>ță</w:t>
            </w:r>
            <w:r w:rsidRPr="0005722C">
              <w:rPr>
                <w:rFonts w:ascii="Times New Roman" w:eastAsia="Times New Roman" w:hAnsi="Times New Roman" w:cs="Times New Roman"/>
                <w:sz w:val="20"/>
                <w:szCs w:val="20"/>
              </w:rPr>
              <w:t xml:space="preserve"> de precizat</w:t>
            </w:r>
          </w:p>
        </w:tc>
        <w:tc>
          <w:tcPr>
            <w:tcW w:w="1272" w:type="dxa"/>
            <w:vMerge w:val="restart"/>
            <w:tcBorders>
              <w:top w:val="single" w:sz="4" w:space="0" w:color="auto"/>
              <w:left w:val="nil"/>
              <w:right w:val="single" w:sz="4" w:space="0" w:color="auto"/>
            </w:tcBorders>
          </w:tcPr>
          <w:p w14:paraId="0C80AFDB" w14:textId="77777777" w:rsidR="00624A63" w:rsidRPr="00B50379" w:rsidRDefault="00624A63" w:rsidP="00161D23">
            <w:pPr>
              <w:spacing w:after="0" w:line="240" w:lineRule="auto"/>
              <w:jc w:val="center"/>
              <w:rPr>
                <w:rFonts w:ascii="Times New Roman" w:eastAsia="Times New Roman" w:hAnsi="Times New Roman" w:cs="Times New Roman"/>
                <w:sz w:val="16"/>
                <w:szCs w:val="16"/>
              </w:rPr>
            </w:pPr>
            <w:r w:rsidRPr="00B50379">
              <w:rPr>
                <w:rFonts w:ascii="Times New Roman" w:eastAsia="Times New Roman" w:hAnsi="Times New Roman" w:cs="Times New Roman"/>
                <w:sz w:val="16"/>
                <w:szCs w:val="16"/>
              </w:rPr>
              <w:t>Ponderea mijloacelor bugetare executate față de indicii inițiali</w:t>
            </w:r>
          </w:p>
        </w:tc>
      </w:tr>
      <w:tr w:rsidR="00624A63" w:rsidRPr="00F524C0" w14:paraId="7B74BB05" w14:textId="77777777" w:rsidTr="00624A63">
        <w:trPr>
          <w:trHeight w:val="264"/>
        </w:trPr>
        <w:tc>
          <w:tcPr>
            <w:tcW w:w="738" w:type="dxa"/>
            <w:vMerge/>
            <w:tcBorders>
              <w:top w:val="single" w:sz="4" w:space="0" w:color="auto"/>
              <w:left w:val="single" w:sz="4" w:space="0" w:color="auto"/>
              <w:bottom w:val="single" w:sz="4" w:space="0" w:color="000000"/>
              <w:right w:val="single" w:sz="4" w:space="0" w:color="auto"/>
            </w:tcBorders>
            <w:vAlign w:val="center"/>
            <w:hideMark/>
          </w:tcPr>
          <w:p w14:paraId="2046FACC" w14:textId="77777777" w:rsidR="00624A63" w:rsidRPr="002A7D70" w:rsidRDefault="00624A63" w:rsidP="00161D23">
            <w:pPr>
              <w:spacing w:after="0" w:line="240" w:lineRule="auto"/>
              <w:rPr>
                <w:rFonts w:ascii="Times New Roman" w:eastAsia="Times New Roman" w:hAnsi="Times New Roman" w:cs="Times New Roman"/>
                <w:color w:val="000000"/>
                <w:sz w:val="20"/>
                <w:szCs w:val="20"/>
              </w:rPr>
            </w:pPr>
          </w:p>
        </w:tc>
        <w:tc>
          <w:tcPr>
            <w:tcW w:w="1814" w:type="dxa"/>
            <w:vMerge/>
            <w:tcBorders>
              <w:top w:val="single" w:sz="4" w:space="0" w:color="auto"/>
              <w:left w:val="nil"/>
              <w:bottom w:val="single" w:sz="4" w:space="0" w:color="auto"/>
              <w:right w:val="single" w:sz="4" w:space="0" w:color="auto"/>
            </w:tcBorders>
            <w:vAlign w:val="center"/>
            <w:hideMark/>
          </w:tcPr>
          <w:p w14:paraId="5E10200D" w14:textId="77777777" w:rsidR="00624A63" w:rsidRPr="0005722C" w:rsidRDefault="00624A63" w:rsidP="00161D23">
            <w:pPr>
              <w:spacing w:after="0" w:line="240" w:lineRule="auto"/>
              <w:rPr>
                <w:rFonts w:ascii="Times New Roman" w:eastAsia="Times New Roman" w:hAnsi="Times New Roman" w:cs="Times New Roman"/>
                <w:sz w:val="20"/>
                <w:szCs w:val="20"/>
              </w:rPr>
            </w:pPr>
          </w:p>
        </w:tc>
        <w:tc>
          <w:tcPr>
            <w:tcW w:w="1135" w:type="dxa"/>
            <w:tcBorders>
              <w:top w:val="single" w:sz="4" w:space="0" w:color="auto"/>
              <w:left w:val="single" w:sz="4" w:space="0" w:color="auto"/>
              <w:bottom w:val="single" w:sz="4" w:space="0" w:color="auto"/>
              <w:right w:val="single" w:sz="4" w:space="0" w:color="auto"/>
            </w:tcBorders>
          </w:tcPr>
          <w:p w14:paraId="2BAA788D" w14:textId="77777777" w:rsidR="00624A63" w:rsidRPr="0005722C" w:rsidRDefault="00624A63" w:rsidP="00161D23">
            <w:pPr>
              <w:spacing w:after="0" w:line="240" w:lineRule="auto"/>
              <w:ind w:left="-61" w:right="-13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Planificate inițial</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DF8D4B" w14:textId="77777777" w:rsidR="00624A63" w:rsidRPr="00F524C0" w:rsidRDefault="00624A63" w:rsidP="00161D23">
            <w:pPr>
              <w:spacing w:after="0" w:line="240" w:lineRule="auto"/>
              <w:jc w:val="center"/>
              <w:rPr>
                <w:rFonts w:ascii="Times New Roman" w:eastAsia="Times New Roman" w:hAnsi="Times New Roman" w:cs="Times New Roman"/>
                <w:sz w:val="20"/>
                <w:szCs w:val="20"/>
              </w:rPr>
            </w:pPr>
            <w:r w:rsidRPr="0005722C">
              <w:rPr>
                <w:rFonts w:ascii="Times New Roman" w:eastAsia="Times New Roman" w:hAnsi="Times New Roman" w:cs="Times New Roman"/>
                <w:sz w:val="20"/>
                <w:szCs w:val="20"/>
              </w:rPr>
              <w:t>Precizat</w:t>
            </w:r>
            <w:r w:rsidRPr="00F524C0">
              <w:rPr>
                <w:rFonts w:ascii="Times New Roman" w:eastAsia="Times New Roman" w:hAnsi="Times New Roman" w:cs="Times New Roman"/>
                <w:sz w:val="20"/>
                <w:szCs w:val="20"/>
              </w:rPr>
              <w:t>e</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2C3C4872" w14:textId="77777777" w:rsidR="00624A63" w:rsidRPr="0005722C" w:rsidRDefault="00624A63" w:rsidP="00161D23">
            <w:pPr>
              <w:spacing w:after="0" w:line="240" w:lineRule="auto"/>
              <w:rPr>
                <w:rFonts w:ascii="Times New Roman" w:eastAsia="Times New Roman" w:hAnsi="Times New Roman" w:cs="Times New Roman"/>
                <w:sz w:val="20"/>
                <w:szCs w:val="20"/>
              </w:rPr>
            </w:pPr>
            <w:r w:rsidRPr="0005722C">
              <w:rPr>
                <w:rFonts w:ascii="Times New Roman" w:eastAsia="Times New Roman" w:hAnsi="Times New Roman" w:cs="Times New Roman"/>
                <w:sz w:val="20"/>
                <w:szCs w:val="20"/>
              </w:rPr>
              <w:t>Executat</w:t>
            </w:r>
          </w:p>
        </w:tc>
        <w:tc>
          <w:tcPr>
            <w:tcW w:w="1371" w:type="dxa"/>
            <w:tcBorders>
              <w:top w:val="nil"/>
              <w:left w:val="nil"/>
              <w:bottom w:val="single" w:sz="4" w:space="0" w:color="auto"/>
              <w:right w:val="single" w:sz="4" w:space="0" w:color="auto"/>
            </w:tcBorders>
            <w:shd w:val="clear" w:color="auto" w:fill="auto"/>
            <w:hideMark/>
          </w:tcPr>
          <w:p w14:paraId="1FB3FADC" w14:textId="77777777" w:rsidR="00624A63" w:rsidRPr="0005722C" w:rsidRDefault="00624A63" w:rsidP="00161D23">
            <w:pPr>
              <w:spacing w:after="0" w:line="240" w:lineRule="auto"/>
              <w:jc w:val="center"/>
              <w:rPr>
                <w:rFonts w:ascii="Times New Roman" w:eastAsia="Times New Roman" w:hAnsi="Times New Roman" w:cs="Times New Roman"/>
                <w:sz w:val="20"/>
                <w:szCs w:val="20"/>
              </w:rPr>
            </w:pPr>
            <w:r w:rsidRPr="0005722C">
              <w:rPr>
                <w:rFonts w:ascii="Times New Roman" w:eastAsia="Times New Roman" w:hAnsi="Times New Roman" w:cs="Times New Roman"/>
                <w:sz w:val="20"/>
                <w:szCs w:val="20"/>
              </w:rPr>
              <w:t>mii lei</w:t>
            </w:r>
          </w:p>
        </w:tc>
        <w:tc>
          <w:tcPr>
            <w:tcW w:w="981" w:type="dxa"/>
            <w:tcBorders>
              <w:top w:val="nil"/>
              <w:left w:val="nil"/>
              <w:bottom w:val="single" w:sz="4" w:space="0" w:color="auto"/>
              <w:right w:val="single" w:sz="4" w:space="0" w:color="auto"/>
            </w:tcBorders>
            <w:shd w:val="clear" w:color="auto" w:fill="auto"/>
            <w:hideMark/>
          </w:tcPr>
          <w:p w14:paraId="56AB7B4C" w14:textId="77777777" w:rsidR="00624A63" w:rsidRPr="0005722C" w:rsidRDefault="00624A63" w:rsidP="00161D23">
            <w:pPr>
              <w:spacing w:after="0" w:line="240" w:lineRule="auto"/>
              <w:jc w:val="center"/>
              <w:rPr>
                <w:rFonts w:ascii="Times New Roman" w:eastAsia="Times New Roman" w:hAnsi="Times New Roman" w:cs="Times New Roman"/>
                <w:sz w:val="20"/>
                <w:szCs w:val="20"/>
              </w:rPr>
            </w:pPr>
            <w:r w:rsidRPr="0005722C">
              <w:rPr>
                <w:rFonts w:ascii="Times New Roman" w:eastAsia="Times New Roman" w:hAnsi="Times New Roman" w:cs="Times New Roman"/>
                <w:sz w:val="20"/>
                <w:szCs w:val="20"/>
              </w:rPr>
              <w:t>%</w:t>
            </w:r>
          </w:p>
        </w:tc>
        <w:tc>
          <w:tcPr>
            <w:tcW w:w="1272" w:type="dxa"/>
            <w:vMerge/>
            <w:tcBorders>
              <w:left w:val="nil"/>
              <w:bottom w:val="single" w:sz="4" w:space="0" w:color="auto"/>
              <w:right w:val="single" w:sz="4" w:space="0" w:color="auto"/>
            </w:tcBorders>
          </w:tcPr>
          <w:p w14:paraId="0BA6075A" w14:textId="77777777" w:rsidR="00624A63" w:rsidRPr="0005722C" w:rsidRDefault="00624A63" w:rsidP="00161D23">
            <w:pPr>
              <w:spacing w:after="0" w:line="240" w:lineRule="auto"/>
              <w:jc w:val="center"/>
              <w:rPr>
                <w:rFonts w:ascii="Times New Roman" w:eastAsia="Times New Roman" w:hAnsi="Times New Roman" w:cs="Times New Roman"/>
                <w:sz w:val="20"/>
                <w:szCs w:val="20"/>
              </w:rPr>
            </w:pPr>
          </w:p>
        </w:tc>
      </w:tr>
      <w:tr w:rsidR="00624A63" w:rsidRPr="0005722C" w14:paraId="356C4036" w14:textId="77777777" w:rsidTr="00624A63">
        <w:trPr>
          <w:trHeight w:val="193"/>
        </w:trPr>
        <w:tc>
          <w:tcPr>
            <w:tcW w:w="738" w:type="dxa"/>
            <w:tcBorders>
              <w:top w:val="nil"/>
              <w:left w:val="single" w:sz="4" w:space="0" w:color="auto"/>
              <w:bottom w:val="single" w:sz="4" w:space="0" w:color="auto"/>
              <w:right w:val="single" w:sz="4" w:space="0" w:color="auto"/>
            </w:tcBorders>
            <w:shd w:val="clear" w:color="000000" w:fill="D9D9D9"/>
            <w:noWrap/>
            <w:vAlign w:val="bottom"/>
            <w:hideMark/>
          </w:tcPr>
          <w:p w14:paraId="483798EA" w14:textId="77777777" w:rsidR="00624A63" w:rsidRPr="002A7D70" w:rsidRDefault="00624A63" w:rsidP="00161D23">
            <w:pPr>
              <w:spacing w:after="0" w:line="240" w:lineRule="auto"/>
              <w:rPr>
                <w:rFonts w:ascii="Times New Roman" w:eastAsia="Times New Roman" w:hAnsi="Times New Roman" w:cs="Times New Roman"/>
                <w:color w:val="000000"/>
                <w:sz w:val="20"/>
                <w:szCs w:val="20"/>
              </w:rPr>
            </w:pPr>
            <w:r w:rsidRPr="002A7D70">
              <w:rPr>
                <w:rFonts w:ascii="Times New Roman" w:eastAsia="Times New Roman" w:hAnsi="Times New Roman" w:cs="Times New Roman"/>
                <w:color w:val="000000"/>
                <w:sz w:val="20"/>
                <w:szCs w:val="20"/>
              </w:rPr>
              <w:t>*</w:t>
            </w:r>
          </w:p>
        </w:tc>
        <w:tc>
          <w:tcPr>
            <w:tcW w:w="1814" w:type="dxa"/>
            <w:tcBorders>
              <w:top w:val="nil"/>
              <w:left w:val="nil"/>
              <w:bottom w:val="single" w:sz="4" w:space="0" w:color="auto"/>
              <w:right w:val="single" w:sz="4" w:space="0" w:color="auto"/>
            </w:tcBorders>
            <w:shd w:val="clear" w:color="000000" w:fill="D9D9D9"/>
            <w:vAlign w:val="center"/>
            <w:hideMark/>
          </w:tcPr>
          <w:p w14:paraId="17F22AA4" w14:textId="77777777" w:rsidR="00624A63" w:rsidRPr="0005722C" w:rsidRDefault="00624A63" w:rsidP="00161D23">
            <w:pPr>
              <w:spacing w:after="0" w:line="240" w:lineRule="auto"/>
              <w:jc w:val="center"/>
              <w:rPr>
                <w:rFonts w:ascii="Times New Roman" w:eastAsia="Times New Roman" w:hAnsi="Times New Roman" w:cs="Times New Roman"/>
                <w:sz w:val="14"/>
                <w:szCs w:val="14"/>
              </w:rPr>
            </w:pPr>
            <w:r w:rsidRPr="0005722C">
              <w:rPr>
                <w:rFonts w:ascii="Times New Roman" w:eastAsia="Times New Roman" w:hAnsi="Times New Roman" w:cs="Times New Roman"/>
                <w:sz w:val="14"/>
                <w:szCs w:val="14"/>
              </w:rPr>
              <w:t>1</w:t>
            </w:r>
          </w:p>
        </w:tc>
        <w:tc>
          <w:tcPr>
            <w:tcW w:w="1135" w:type="dxa"/>
            <w:tcBorders>
              <w:top w:val="single" w:sz="4" w:space="0" w:color="auto"/>
              <w:left w:val="nil"/>
              <w:bottom w:val="single" w:sz="4" w:space="0" w:color="auto"/>
              <w:right w:val="single" w:sz="4" w:space="0" w:color="auto"/>
            </w:tcBorders>
            <w:shd w:val="clear" w:color="000000" w:fill="D9D9D9"/>
          </w:tcPr>
          <w:p w14:paraId="405AA30E" w14:textId="77777777" w:rsidR="00624A63" w:rsidRPr="0005722C" w:rsidRDefault="00624A63" w:rsidP="00161D23">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2</w:t>
            </w:r>
          </w:p>
        </w:tc>
        <w:tc>
          <w:tcPr>
            <w:tcW w:w="1321" w:type="dxa"/>
            <w:tcBorders>
              <w:top w:val="nil"/>
              <w:left w:val="single" w:sz="4" w:space="0" w:color="auto"/>
              <w:bottom w:val="single" w:sz="4" w:space="0" w:color="auto"/>
              <w:right w:val="single" w:sz="4" w:space="0" w:color="auto"/>
            </w:tcBorders>
            <w:shd w:val="clear" w:color="000000" w:fill="D9D9D9"/>
            <w:noWrap/>
            <w:vAlign w:val="center"/>
            <w:hideMark/>
          </w:tcPr>
          <w:p w14:paraId="702E22E1" w14:textId="77777777" w:rsidR="00624A63" w:rsidRPr="0005722C" w:rsidRDefault="00624A63" w:rsidP="00161D23">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3</w:t>
            </w:r>
          </w:p>
        </w:tc>
        <w:tc>
          <w:tcPr>
            <w:tcW w:w="1248" w:type="dxa"/>
            <w:tcBorders>
              <w:top w:val="nil"/>
              <w:left w:val="nil"/>
              <w:bottom w:val="single" w:sz="4" w:space="0" w:color="auto"/>
              <w:right w:val="single" w:sz="4" w:space="0" w:color="auto"/>
            </w:tcBorders>
            <w:shd w:val="clear" w:color="000000" w:fill="D9D9D9"/>
            <w:noWrap/>
            <w:vAlign w:val="center"/>
            <w:hideMark/>
          </w:tcPr>
          <w:p w14:paraId="34FD06ED" w14:textId="77777777" w:rsidR="00624A63" w:rsidRPr="0005722C" w:rsidRDefault="00624A63" w:rsidP="00161D23">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4</w:t>
            </w:r>
          </w:p>
        </w:tc>
        <w:tc>
          <w:tcPr>
            <w:tcW w:w="1371" w:type="dxa"/>
            <w:tcBorders>
              <w:top w:val="nil"/>
              <w:left w:val="nil"/>
              <w:bottom w:val="single" w:sz="4" w:space="0" w:color="auto"/>
              <w:right w:val="single" w:sz="4" w:space="0" w:color="auto"/>
            </w:tcBorders>
            <w:shd w:val="clear" w:color="000000" w:fill="D9D9D9"/>
            <w:noWrap/>
            <w:vAlign w:val="center"/>
            <w:hideMark/>
          </w:tcPr>
          <w:p w14:paraId="69FF8F3B" w14:textId="77777777" w:rsidR="00624A63" w:rsidRPr="0005722C" w:rsidRDefault="00624A63" w:rsidP="00161D23">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5</w:t>
            </w:r>
            <w:r w:rsidRPr="0005722C">
              <w:rPr>
                <w:rFonts w:ascii="Times New Roman" w:eastAsia="Times New Roman" w:hAnsi="Times New Roman" w:cs="Times New Roman"/>
                <w:sz w:val="14"/>
                <w:szCs w:val="14"/>
              </w:rPr>
              <w:t>=</w:t>
            </w:r>
            <w:r>
              <w:rPr>
                <w:rFonts w:ascii="Times New Roman" w:eastAsia="Times New Roman" w:hAnsi="Times New Roman" w:cs="Times New Roman"/>
                <w:sz w:val="14"/>
                <w:szCs w:val="14"/>
              </w:rPr>
              <w:t>4-3</w:t>
            </w:r>
          </w:p>
        </w:tc>
        <w:tc>
          <w:tcPr>
            <w:tcW w:w="981" w:type="dxa"/>
            <w:tcBorders>
              <w:top w:val="nil"/>
              <w:left w:val="nil"/>
              <w:bottom w:val="single" w:sz="4" w:space="0" w:color="auto"/>
              <w:right w:val="single" w:sz="4" w:space="0" w:color="auto"/>
            </w:tcBorders>
            <w:shd w:val="clear" w:color="000000" w:fill="D9D9D9"/>
            <w:noWrap/>
            <w:vAlign w:val="center"/>
            <w:hideMark/>
          </w:tcPr>
          <w:p w14:paraId="0C26C22C" w14:textId="77777777" w:rsidR="00624A63" w:rsidRPr="0005722C" w:rsidRDefault="00624A63" w:rsidP="00161D23">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6=4/3</w:t>
            </w:r>
          </w:p>
        </w:tc>
        <w:tc>
          <w:tcPr>
            <w:tcW w:w="1272" w:type="dxa"/>
            <w:tcBorders>
              <w:top w:val="nil"/>
              <w:left w:val="nil"/>
              <w:bottom w:val="single" w:sz="4" w:space="0" w:color="auto"/>
              <w:right w:val="single" w:sz="4" w:space="0" w:color="auto"/>
            </w:tcBorders>
            <w:shd w:val="clear" w:color="000000" w:fill="D9D9D9"/>
            <w:vAlign w:val="center"/>
          </w:tcPr>
          <w:p w14:paraId="45F3CF80" w14:textId="77777777" w:rsidR="00624A63" w:rsidRDefault="00624A63" w:rsidP="00161D23">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7=4/2</w:t>
            </w:r>
          </w:p>
        </w:tc>
      </w:tr>
      <w:tr w:rsidR="00624A63" w:rsidRPr="00FA3F57" w14:paraId="0EFEE110" w14:textId="77777777" w:rsidTr="00624A63">
        <w:trPr>
          <w:trHeight w:val="288"/>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14E821E0" w14:textId="77777777" w:rsidR="00624A63" w:rsidRPr="002A7D70" w:rsidRDefault="00624A63" w:rsidP="00161D23">
            <w:pPr>
              <w:spacing w:after="0" w:line="240" w:lineRule="auto"/>
              <w:ind w:left="-11" w:right="32"/>
              <w:jc w:val="center"/>
              <w:rPr>
                <w:rFonts w:ascii="Times New Roman" w:eastAsia="Times New Roman" w:hAnsi="Times New Roman" w:cs="Times New Roman"/>
                <w:b/>
                <w:bCs/>
                <w:color w:val="000000"/>
                <w:sz w:val="20"/>
                <w:szCs w:val="20"/>
              </w:rPr>
            </w:pPr>
            <w:r w:rsidRPr="002A7D70">
              <w:rPr>
                <w:rFonts w:ascii="Times New Roman" w:eastAsia="Times New Roman" w:hAnsi="Times New Roman" w:cs="Times New Roman"/>
                <w:b/>
                <w:bCs/>
                <w:color w:val="000000"/>
                <w:sz w:val="20"/>
                <w:szCs w:val="20"/>
              </w:rPr>
              <w:t>1</w:t>
            </w:r>
          </w:p>
        </w:tc>
        <w:tc>
          <w:tcPr>
            <w:tcW w:w="1814" w:type="dxa"/>
            <w:tcBorders>
              <w:top w:val="nil"/>
              <w:left w:val="nil"/>
              <w:bottom w:val="single" w:sz="4" w:space="0" w:color="auto"/>
              <w:right w:val="single" w:sz="4" w:space="0" w:color="auto"/>
            </w:tcBorders>
            <w:shd w:val="clear" w:color="auto" w:fill="auto"/>
            <w:vAlign w:val="center"/>
            <w:hideMark/>
          </w:tcPr>
          <w:p w14:paraId="28684214" w14:textId="77777777" w:rsidR="00624A63" w:rsidRPr="00FA3F57" w:rsidRDefault="00624A63" w:rsidP="00161D23">
            <w:pPr>
              <w:spacing w:after="0" w:line="240" w:lineRule="auto"/>
              <w:ind w:firstLineChars="100" w:firstLine="221"/>
              <w:rPr>
                <w:rFonts w:ascii="Times New Roman" w:eastAsia="Times New Roman" w:hAnsi="Times New Roman" w:cs="Times New Roman"/>
                <w:b/>
                <w:bCs/>
                <w:i/>
                <w:iCs/>
              </w:rPr>
            </w:pPr>
            <w:r w:rsidRPr="00FA3F57">
              <w:rPr>
                <w:rFonts w:ascii="Times New Roman" w:eastAsia="Times New Roman" w:hAnsi="Times New Roman" w:cs="Times New Roman"/>
                <w:b/>
                <w:bCs/>
                <w:i/>
                <w:iCs/>
              </w:rPr>
              <w:t>Anul 2022</w:t>
            </w:r>
          </w:p>
        </w:tc>
        <w:tc>
          <w:tcPr>
            <w:tcW w:w="1135" w:type="dxa"/>
            <w:tcBorders>
              <w:top w:val="single" w:sz="4" w:space="0" w:color="auto"/>
              <w:left w:val="nil"/>
              <w:bottom w:val="single" w:sz="4" w:space="0" w:color="auto"/>
              <w:right w:val="single" w:sz="4" w:space="0" w:color="auto"/>
            </w:tcBorders>
            <w:vAlign w:val="center"/>
          </w:tcPr>
          <w:p w14:paraId="42BBB97B" w14:textId="6CB39FB3" w:rsidR="00624A63" w:rsidRPr="003535BE" w:rsidRDefault="00624A63" w:rsidP="00624A63">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690 </w:t>
            </w:r>
            <w:r w:rsidRPr="003535BE">
              <w:rPr>
                <w:rFonts w:ascii="Times New Roman" w:eastAsia="Times New Roman" w:hAnsi="Times New Roman" w:cs="Times New Roman"/>
                <w:color w:val="000000"/>
                <w:sz w:val="20"/>
                <w:szCs w:val="20"/>
              </w:rPr>
              <w:t>681</w:t>
            </w:r>
            <w:r>
              <w:rPr>
                <w:rFonts w:ascii="Times New Roman" w:eastAsia="Times New Roman" w:hAnsi="Times New Roman" w:cs="Times New Roman"/>
                <w:color w:val="000000"/>
                <w:sz w:val="20"/>
                <w:szCs w:val="20"/>
              </w:rPr>
              <w:t>,</w:t>
            </w:r>
            <w:r w:rsidRPr="003535BE">
              <w:rPr>
                <w:rFonts w:ascii="Times New Roman" w:eastAsia="Times New Roman" w:hAnsi="Times New Roman" w:cs="Times New Roman"/>
                <w:color w:val="000000"/>
                <w:sz w:val="20"/>
                <w:szCs w:val="20"/>
              </w:rPr>
              <w:t>30</w:t>
            </w:r>
          </w:p>
        </w:tc>
        <w:tc>
          <w:tcPr>
            <w:tcW w:w="1321" w:type="dxa"/>
            <w:tcBorders>
              <w:top w:val="nil"/>
              <w:left w:val="single" w:sz="4" w:space="0" w:color="auto"/>
              <w:bottom w:val="single" w:sz="4" w:space="0" w:color="auto"/>
              <w:right w:val="single" w:sz="4" w:space="0" w:color="auto"/>
            </w:tcBorders>
            <w:shd w:val="clear" w:color="auto" w:fill="auto"/>
            <w:noWrap/>
            <w:vAlign w:val="center"/>
            <w:hideMark/>
          </w:tcPr>
          <w:p w14:paraId="36C770B6" w14:textId="27B3F940" w:rsidR="00624A63" w:rsidRPr="00931A25" w:rsidRDefault="00624A63" w:rsidP="00161D23">
            <w:pPr>
              <w:spacing w:after="0" w:line="240" w:lineRule="auto"/>
              <w:jc w:val="right"/>
              <w:rPr>
                <w:rFonts w:ascii="Times New Roman" w:eastAsia="Times New Roman" w:hAnsi="Times New Roman" w:cs="Times New Roman"/>
                <w:color w:val="000000"/>
                <w:sz w:val="20"/>
                <w:szCs w:val="20"/>
              </w:rPr>
            </w:pPr>
            <w:r w:rsidRPr="00931A25">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t>47 995,</w:t>
            </w:r>
            <w:r w:rsidRPr="00931A25">
              <w:rPr>
                <w:rFonts w:ascii="Times New Roman" w:eastAsia="Times New Roman" w:hAnsi="Times New Roman" w:cs="Times New Roman"/>
                <w:color w:val="000000"/>
                <w:sz w:val="20"/>
                <w:szCs w:val="20"/>
              </w:rPr>
              <w:t>10</w:t>
            </w:r>
          </w:p>
        </w:tc>
        <w:tc>
          <w:tcPr>
            <w:tcW w:w="1248" w:type="dxa"/>
            <w:tcBorders>
              <w:top w:val="nil"/>
              <w:left w:val="nil"/>
              <w:bottom w:val="single" w:sz="4" w:space="0" w:color="auto"/>
              <w:right w:val="single" w:sz="4" w:space="0" w:color="auto"/>
            </w:tcBorders>
            <w:shd w:val="clear" w:color="auto" w:fill="auto"/>
            <w:noWrap/>
            <w:vAlign w:val="center"/>
            <w:hideMark/>
          </w:tcPr>
          <w:p w14:paraId="1C3BC578" w14:textId="0BDE4A67" w:rsidR="00624A63" w:rsidRPr="00DB22BD" w:rsidRDefault="00624A63" w:rsidP="00161D23">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410 700,</w:t>
            </w:r>
            <w:r w:rsidRPr="00DB22BD">
              <w:rPr>
                <w:rFonts w:ascii="Times New Roman" w:eastAsia="Times New Roman" w:hAnsi="Times New Roman" w:cs="Times New Roman"/>
                <w:color w:val="000000"/>
                <w:sz w:val="20"/>
                <w:szCs w:val="20"/>
              </w:rPr>
              <w:t>27</w:t>
            </w:r>
          </w:p>
        </w:tc>
        <w:tc>
          <w:tcPr>
            <w:tcW w:w="1371" w:type="dxa"/>
            <w:tcBorders>
              <w:top w:val="nil"/>
              <w:left w:val="nil"/>
              <w:bottom w:val="single" w:sz="4" w:space="0" w:color="auto"/>
              <w:right w:val="single" w:sz="4" w:space="0" w:color="auto"/>
            </w:tcBorders>
            <w:shd w:val="clear" w:color="auto" w:fill="auto"/>
            <w:noWrap/>
            <w:vAlign w:val="center"/>
            <w:hideMark/>
          </w:tcPr>
          <w:p w14:paraId="3C134DC8" w14:textId="2E288388" w:rsidR="00624A63" w:rsidRPr="00FA3F57" w:rsidRDefault="00624A63" w:rsidP="00624A63">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-137 </w:t>
            </w:r>
            <w:r w:rsidRPr="00FA3F57">
              <w:rPr>
                <w:rFonts w:ascii="Times New Roman" w:eastAsia="Times New Roman" w:hAnsi="Times New Roman" w:cs="Times New Roman"/>
                <w:color w:val="000000"/>
                <w:sz w:val="20"/>
                <w:szCs w:val="20"/>
              </w:rPr>
              <w:t>294</w:t>
            </w:r>
            <w:r>
              <w:rPr>
                <w:rFonts w:ascii="Times New Roman" w:eastAsia="Times New Roman" w:hAnsi="Times New Roman" w:cs="Times New Roman"/>
                <w:color w:val="000000"/>
                <w:sz w:val="20"/>
                <w:szCs w:val="20"/>
              </w:rPr>
              <w:t>,</w:t>
            </w:r>
            <w:r w:rsidRPr="00FA3F57">
              <w:rPr>
                <w:rFonts w:ascii="Times New Roman" w:eastAsia="Times New Roman" w:hAnsi="Times New Roman" w:cs="Times New Roman"/>
                <w:color w:val="000000"/>
                <w:sz w:val="20"/>
                <w:szCs w:val="20"/>
              </w:rPr>
              <w:t>83</w:t>
            </w:r>
          </w:p>
        </w:tc>
        <w:tc>
          <w:tcPr>
            <w:tcW w:w="981" w:type="dxa"/>
            <w:tcBorders>
              <w:top w:val="nil"/>
              <w:left w:val="nil"/>
              <w:bottom w:val="single" w:sz="4" w:space="0" w:color="auto"/>
              <w:right w:val="single" w:sz="4" w:space="0" w:color="auto"/>
            </w:tcBorders>
            <w:shd w:val="clear" w:color="auto" w:fill="auto"/>
            <w:noWrap/>
            <w:vAlign w:val="center"/>
            <w:hideMark/>
          </w:tcPr>
          <w:p w14:paraId="4B9BCC8B" w14:textId="77777777" w:rsidR="00624A63" w:rsidRPr="002A7D70" w:rsidRDefault="00624A63" w:rsidP="00161D23">
            <w:pPr>
              <w:spacing w:after="0" w:line="240" w:lineRule="auto"/>
              <w:jc w:val="center"/>
              <w:rPr>
                <w:rFonts w:ascii="Times New Roman" w:eastAsia="Times New Roman" w:hAnsi="Times New Roman" w:cs="Times New Roman"/>
                <w:i/>
                <w:color w:val="000000"/>
                <w:sz w:val="20"/>
                <w:szCs w:val="20"/>
              </w:rPr>
            </w:pPr>
            <w:r w:rsidRPr="002A7D70">
              <w:rPr>
                <w:rFonts w:ascii="Times New Roman" w:eastAsia="Times New Roman" w:hAnsi="Times New Roman" w:cs="Times New Roman"/>
                <w:i/>
                <w:color w:val="000000"/>
                <w:sz w:val="20"/>
                <w:szCs w:val="20"/>
              </w:rPr>
              <w:t>75%</w:t>
            </w:r>
          </w:p>
        </w:tc>
        <w:tc>
          <w:tcPr>
            <w:tcW w:w="1272" w:type="dxa"/>
            <w:tcBorders>
              <w:top w:val="nil"/>
              <w:left w:val="nil"/>
              <w:bottom w:val="single" w:sz="4" w:space="0" w:color="auto"/>
              <w:right w:val="single" w:sz="4" w:space="0" w:color="auto"/>
            </w:tcBorders>
            <w:vAlign w:val="center"/>
          </w:tcPr>
          <w:p w14:paraId="3302D700" w14:textId="77777777" w:rsidR="00624A63" w:rsidRPr="002A7D70" w:rsidRDefault="00624A63" w:rsidP="00161D23">
            <w:pPr>
              <w:spacing w:after="0" w:line="240" w:lineRule="auto"/>
              <w:jc w:val="center"/>
              <w:rPr>
                <w:rFonts w:ascii="Times New Roman" w:eastAsia="Times New Roman" w:hAnsi="Times New Roman" w:cs="Times New Roman"/>
                <w:i/>
                <w:color w:val="000000"/>
                <w:sz w:val="20"/>
                <w:szCs w:val="20"/>
              </w:rPr>
            </w:pPr>
            <w:r w:rsidRPr="002A7D70">
              <w:rPr>
                <w:rFonts w:ascii="Times New Roman" w:eastAsia="Times New Roman" w:hAnsi="Times New Roman" w:cs="Times New Roman"/>
                <w:i/>
                <w:color w:val="000000"/>
                <w:sz w:val="20"/>
                <w:szCs w:val="20"/>
              </w:rPr>
              <w:t>59%</w:t>
            </w:r>
          </w:p>
        </w:tc>
      </w:tr>
      <w:tr w:rsidR="00624A63" w:rsidRPr="00FA3F57" w14:paraId="6CCDAC25" w14:textId="77777777" w:rsidTr="00624A63">
        <w:trPr>
          <w:trHeight w:val="288"/>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630CCFEB" w14:textId="77777777" w:rsidR="00624A63" w:rsidRPr="002A7D70" w:rsidRDefault="00624A63" w:rsidP="00161D23">
            <w:pPr>
              <w:spacing w:after="0" w:line="240" w:lineRule="auto"/>
              <w:ind w:left="-11" w:right="32"/>
              <w:jc w:val="center"/>
              <w:rPr>
                <w:rFonts w:ascii="Times New Roman" w:eastAsia="Times New Roman" w:hAnsi="Times New Roman" w:cs="Times New Roman"/>
                <w:b/>
                <w:bCs/>
                <w:color w:val="000000"/>
                <w:sz w:val="20"/>
                <w:szCs w:val="20"/>
              </w:rPr>
            </w:pPr>
            <w:r w:rsidRPr="002A7D70">
              <w:rPr>
                <w:rFonts w:ascii="Times New Roman" w:eastAsia="Times New Roman" w:hAnsi="Times New Roman" w:cs="Times New Roman"/>
                <w:b/>
                <w:bCs/>
                <w:color w:val="000000"/>
                <w:sz w:val="20"/>
                <w:szCs w:val="20"/>
              </w:rPr>
              <w:t>2</w:t>
            </w:r>
          </w:p>
        </w:tc>
        <w:tc>
          <w:tcPr>
            <w:tcW w:w="1814" w:type="dxa"/>
            <w:tcBorders>
              <w:top w:val="nil"/>
              <w:left w:val="nil"/>
              <w:bottom w:val="single" w:sz="4" w:space="0" w:color="auto"/>
              <w:right w:val="single" w:sz="4" w:space="0" w:color="auto"/>
            </w:tcBorders>
            <w:shd w:val="clear" w:color="auto" w:fill="auto"/>
            <w:vAlign w:val="center"/>
            <w:hideMark/>
          </w:tcPr>
          <w:p w14:paraId="7D91518B" w14:textId="77777777" w:rsidR="00624A63" w:rsidRPr="00FA3F57" w:rsidRDefault="00624A63" w:rsidP="00161D23">
            <w:pPr>
              <w:spacing w:after="0" w:line="240" w:lineRule="auto"/>
              <w:ind w:firstLineChars="100" w:firstLine="221"/>
              <w:rPr>
                <w:rFonts w:ascii="Times New Roman" w:eastAsia="Times New Roman" w:hAnsi="Times New Roman" w:cs="Times New Roman"/>
                <w:b/>
                <w:bCs/>
                <w:i/>
                <w:iCs/>
              </w:rPr>
            </w:pPr>
            <w:r w:rsidRPr="00FA3F57">
              <w:rPr>
                <w:rFonts w:ascii="Times New Roman" w:eastAsia="Times New Roman" w:hAnsi="Times New Roman" w:cs="Times New Roman"/>
                <w:b/>
                <w:bCs/>
                <w:i/>
                <w:iCs/>
              </w:rPr>
              <w:t>Anul 2021</w:t>
            </w:r>
          </w:p>
        </w:tc>
        <w:tc>
          <w:tcPr>
            <w:tcW w:w="1135" w:type="dxa"/>
            <w:tcBorders>
              <w:top w:val="single" w:sz="4" w:space="0" w:color="auto"/>
              <w:left w:val="nil"/>
              <w:bottom w:val="single" w:sz="4" w:space="0" w:color="auto"/>
              <w:right w:val="single" w:sz="4" w:space="0" w:color="auto"/>
            </w:tcBorders>
            <w:vAlign w:val="center"/>
          </w:tcPr>
          <w:p w14:paraId="4AF24645" w14:textId="6B0F54CB" w:rsidR="00624A63" w:rsidRPr="003535BE" w:rsidRDefault="00624A63" w:rsidP="00161D23">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442 385,</w:t>
            </w:r>
            <w:r w:rsidRPr="003535BE">
              <w:rPr>
                <w:rFonts w:ascii="Times New Roman" w:eastAsia="Times New Roman" w:hAnsi="Times New Roman" w:cs="Times New Roman"/>
                <w:color w:val="000000"/>
                <w:sz w:val="20"/>
                <w:szCs w:val="20"/>
              </w:rPr>
              <w:t>70</w:t>
            </w:r>
          </w:p>
        </w:tc>
        <w:tc>
          <w:tcPr>
            <w:tcW w:w="1321" w:type="dxa"/>
            <w:tcBorders>
              <w:top w:val="nil"/>
              <w:left w:val="single" w:sz="4" w:space="0" w:color="auto"/>
              <w:bottom w:val="single" w:sz="4" w:space="0" w:color="auto"/>
              <w:right w:val="single" w:sz="4" w:space="0" w:color="auto"/>
            </w:tcBorders>
            <w:shd w:val="clear" w:color="auto" w:fill="auto"/>
            <w:noWrap/>
            <w:vAlign w:val="center"/>
            <w:hideMark/>
          </w:tcPr>
          <w:p w14:paraId="4B7E99CF" w14:textId="17BB4BA8" w:rsidR="00624A63" w:rsidRPr="00931A25" w:rsidRDefault="00624A63" w:rsidP="00161D23">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438 082,</w:t>
            </w:r>
            <w:r w:rsidRPr="00931A25">
              <w:rPr>
                <w:rFonts w:ascii="Times New Roman" w:eastAsia="Times New Roman" w:hAnsi="Times New Roman" w:cs="Times New Roman"/>
                <w:color w:val="000000"/>
                <w:sz w:val="20"/>
                <w:szCs w:val="20"/>
              </w:rPr>
              <w:t>80</w:t>
            </w:r>
          </w:p>
        </w:tc>
        <w:tc>
          <w:tcPr>
            <w:tcW w:w="1248" w:type="dxa"/>
            <w:tcBorders>
              <w:top w:val="nil"/>
              <w:left w:val="nil"/>
              <w:bottom w:val="single" w:sz="4" w:space="0" w:color="auto"/>
              <w:right w:val="single" w:sz="4" w:space="0" w:color="auto"/>
            </w:tcBorders>
            <w:shd w:val="clear" w:color="auto" w:fill="auto"/>
            <w:noWrap/>
            <w:vAlign w:val="center"/>
            <w:hideMark/>
          </w:tcPr>
          <w:p w14:paraId="52DF84BF" w14:textId="24CDB0E4" w:rsidR="00624A63" w:rsidRPr="00DB22BD" w:rsidRDefault="00624A63" w:rsidP="00161D23">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360 731,</w:t>
            </w:r>
            <w:r w:rsidRPr="00DB22BD">
              <w:rPr>
                <w:rFonts w:ascii="Times New Roman" w:eastAsia="Times New Roman" w:hAnsi="Times New Roman" w:cs="Times New Roman"/>
                <w:color w:val="000000"/>
                <w:sz w:val="20"/>
                <w:szCs w:val="20"/>
              </w:rPr>
              <w:t>51</w:t>
            </w:r>
          </w:p>
        </w:tc>
        <w:tc>
          <w:tcPr>
            <w:tcW w:w="1371" w:type="dxa"/>
            <w:tcBorders>
              <w:top w:val="nil"/>
              <w:left w:val="nil"/>
              <w:bottom w:val="single" w:sz="4" w:space="0" w:color="auto"/>
              <w:right w:val="single" w:sz="4" w:space="0" w:color="auto"/>
            </w:tcBorders>
            <w:shd w:val="clear" w:color="auto" w:fill="auto"/>
            <w:noWrap/>
            <w:vAlign w:val="center"/>
            <w:hideMark/>
          </w:tcPr>
          <w:p w14:paraId="63F47877" w14:textId="4A0350A5" w:rsidR="00624A63" w:rsidRPr="002A7D70" w:rsidRDefault="00624A63" w:rsidP="00624A63">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-77 </w:t>
            </w:r>
            <w:r w:rsidRPr="002A7D70">
              <w:rPr>
                <w:rFonts w:ascii="Times New Roman" w:eastAsia="Times New Roman" w:hAnsi="Times New Roman" w:cs="Times New Roman"/>
                <w:color w:val="000000"/>
                <w:sz w:val="20"/>
                <w:szCs w:val="20"/>
              </w:rPr>
              <w:t>351</w:t>
            </w:r>
            <w:r>
              <w:rPr>
                <w:rFonts w:ascii="Times New Roman" w:eastAsia="Times New Roman" w:hAnsi="Times New Roman" w:cs="Times New Roman"/>
                <w:color w:val="000000"/>
                <w:sz w:val="20"/>
                <w:szCs w:val="20"/>
              </w:rPr>
              <w:t>,</w:t>
            </w:r>
            <w:r w:rsidRPr="002A7D70">
              <w:rPr>
                <w:rFonts w:ascii="Times New Roman" w:eastAsia="Times New Roman" w:hAnsi="Times New Roman" w:cs="Times New Roman"/>
                <w:color w:val="000000"/>
                <w:sz w:val="20"/>
                <w:szCs w:val="20"/>
              </w:rPr>
              <w:t>3</w:t>
            </w:r>
          </w:p>
        </w:tc>
        <w:tc>
          <w:tcPr>
            <w:tcW w:w="981" w:type="dxa"/>
            <w:tcBorders>
              <w:top w:val="nil"/>
              <w:left w:val="nil"/>
              <w:bottom w:val="single" w:sz="4" w:space="0" w:color="auto"/>
              <w:right w:val="single" w:sz="4" w:space="0" w:color="auto"/>
            </w:tcBorders>
            <w:shd w:val="clear" w:color="auto" w:fill="auto"/>
            <w:noWrap/>
            <w:vAlign w:val="center"/>
            <w:hideMark/>
          </w:tcPr>
          <w:p w14:paraId="34BE4858" w14:textId="77777777" w:rsidR="00624A63" w:rsidRPr="002A7D70" w:rsidRDefault="00624A63" w:rsidP="00161D23">
            <w:pPr>
              <w:spacing w:after="0" w:line="240" w:lineRule="auto"/>
              <w:jc w:val="center"/>
              <w:rPr>
                <w:rFonts w:ascii="Times New Roman" w:eastAsia="Times New Roman" w:hAnsi="Times New Roman" w:cs="Times New Roman"/>
                <w:i/>
                <w:color w:val="000000"/>
                <w:sz w:val="20"/>
                <w:szCs w:val="20"/>
              </w:rPr>
            </w:pPr>
            <w:r w:rsidRPr="002A7D70">
              <w:rPr>
                <w:rFonts w:ascii="Times New Roman" w:eastAsia="Times New Roman" w:hAnsi="Times New Roman" w:cs="Times New Roman"/>
                <w:i/>
                <w:color w:val="000000"/>
                <w:sz w:val="20"/>
                <w:szCs w:val="20"/>
              </w:rPr>
              <w:t>82%</w:t>
            </w:r>
          </w:p>
        </w:tc>
        <w:tc>
          <w:tcPr>
            <w:tcW w:w="1272" w:type="dxa"/>
            <w:tcBorders>
              <w:top w:val="nil"/>
              <w:left w:val="nil"/>
              <w:bottom w:val="single" w:sz="4" w:space="0" w:color="auto"/>
              <w:right w:val="single" w:sz="4" w:space="0" w:color="auto"/>
            </w:tcBorders>
            <w:vAlign w:val="center"/>
          </w:tcPr>
          <w:p w14:paraId="02EA2D04" w14:textId="77777777" w:rsidR="00624A63" w:rsidRPr="002A7D70" w:rsidRDefault="00624A63" w:rsidP="00161D23">
            <w:pPr>
              <w:spacing w:after="0" w:line="240" w:lineRule="auto"/>
              <w:jc w:val="center"/>
              <w:rPr>
                <w:rFonts w:ascii="Times New Roman" w:eastAsia="Times New Roman" w:hAnsi="Times New Roman" w:cs="Times New Roman"/>
                <w:i/>
                <w:color w:val="000000"/>
                <w:sz w:val="20"/>
                <w:szCs w:val="20"/>
              </w:rPr>
            </w:pPr>
            <w:r w:rsidRPr="002A7D70">
              <w:rPr>
                <w:rFonts w:ascii="Times New Roman" w:eastAsia="Times New Roman" w:hAnsi="Times New Roman" w:cs="Times New Roman"/>
                <w:i/>
                <w:color w:val="000000"/>
                <w:sz w:val="20"/>
                <w:szCs w:val="20"/>
              </w:rPr>
              <w:t>82%</w:t>
            </w:r>
          </w:p>
        </w:tc>
      </w:tr>
      <w:tr w:rsidR="00624A63" w:rsidRPr="00FA3F57" w14:paraId="1ED754D1" w14:textId="77777777" w:rsidTr="00624A63">
        <w:trPr>
          <w:trHeight w:val="288"/>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29520267" w14:textId="77777777" w:rsidR="00624A63" w:rsidRPr="002A7D70" w:rsidRDefault="00624A63" w:rsidP="00161D23">
            <w:pPr>
              <w:spacing w:after="0" w:line="240" w:lineRule="auto"/>
              <w:ind w:left="-11" w:right="32"/>
              <w:jc w:val="center"/>
              <w:rPr>
                <w:rFonts w:ascii="Times New Roman" w:eastAsia="Times New Roman" w:hAnsi="Times New Roman" w:cs="Times New Roman"/>
                <w:b/>
                <w:bCs/>
                <w:color w:val="000000"/>
                <w:sz w:val="20"/>
                <w:szCs w:val="20"/>
              </w:rPr>
            </w:pPr>
            <w:r w:rsidRPr="002A7D70">
              <w:rPr>
                <w:rFonts w:ascii="Times New Roman" w:eastAsia="Times New Roman" w:hAnsi="Times New Roman" w:cs="Times New Roman"/>
                <w:b/>
                <w:bCs/>
                <w:color w:val="000000"/>
                <w:sz w:val="20"/>
                <w:szCs w:val="20"/>
              </w:rPr>
              <w:t>3</w:t>
            </w:r>
          </w:p>
        </w:tc>
        <w:tc>
          <w:tcPr>
            <w:tcW w:w="1814" w:type="dxa"/>
            <w:tcBorders>
              <w:top w:val="nil"/>
              <w:left w:val="nil"/>
              <w:bottom w:val="single" w:sz="4" w:space="0" w:color="auto"/>
              <w:right w:val="single" w:sz="4" w:space="0" w:color="auto"/>
            </w:tcBorders>
            <w:shd w:val="clear" w:color="auto" w:fill="auto"/>
            <w:vAlign w:val="center"/>
            <w:hideMark/>
          </w:tcPr>
          <w:p w14:paraId="4A32F6AB" w14:textId="77777777" w:rsidR="00624A63" w:rsidRPr="00FA3F57" w:rsidRDefault="00624A63" w:rsidP="00161D23">
            <w:pPr>
              <w:spacing w:after="0" w:line="240" w:lineRule="auto"/>
              <w:ind w:firstLineChars="100" w:firstLine="221"/>
              <w:rPr>
                <w:rFonts w:ascii="Times New Roman" w:eastAsia="Times New Roman" w:hAnsi="Times New Roman" w:cs="Times New Roman"/>
                <w:b/>
                <w:bCs/>
                <w:i/>
                <w:iCs/>
              </w:rPr>
            </w:pPr>
            <w:r w:rsidRPr="00FA3F57">
              <w:rPr>
                <w:rFonts w:ascii="Times New Roman" w:eastAsia="Times New Roman" w:hAnsi="Times New Roman" w:cs="Times New Roman"/>
                <w:b/>
                <w:bCs/>
                <w:i/>
                <w:iCs/>
              </w:rPr>
              <w:t>Anul 2020</w:t>
            </w:r>
          </w:p>
        </w:tc>
        <w:tc>
          <w:tcPr>
            <w:tcW w:w="1135" w:type="dxa"/>
            <w:tcBorders>
              <w:top w:val="single" w:sz="4" w:space="0" w:color="auto"/>
              <w:left w:val="nil"/>
              <w:bottom w:val="single" w:sz="4" w:space="0" w:color="auto"/>
              <w:right w:val="single" w:sz="4" w:space="0" w:color="auto"/>
            </w:tcBorders>
            <w:vAlign w:val="center"/>
          </w:tcPr>
          <w:p w14:paraId="202DE261" w14:textId="46BC8703" w:rsidR="00624A63" w:rsidRPr="003535BE" w:rsidRDefault="00624A63" w:rsidP="00624A63">
            <w:pPr>
              <w:spacing w:after="0" w:line="240" w:lineRule="auto"/>
              <w:jc w:val="right"/>
              <w:rPr>
                <w:rFonts w:ascii="Times New Roman" w:eastAsia="Times New Roman" w:hAnsi="Times New Roman" w:cs="Times New Roman"/>
                <w:color w:val="000000"/>
                <w:sz w:val="20"/>
                <w:szCs w:val="20"/>
              </w:rPr>
            </w:pPr>
            <w:r w:rsidRPr="003535BE">
              <w:rPr>
                <w:rFonts w:ascii="Times New Roman" w:eastAsia="Times New Roman" w:hAnsi="Times New Roman" w:cs="Times New Roman"/>
                <w:color w:val="000000"/>
                <w:sz w:val="20"/>
                <w:szCs w:val="20"/>
              </w:rPr>
              <w:t>636</w:t>
            </w:r>
            <w:r>
              <w:rPr>
                <w:rFonts w:ascii="Times New Roman" w:eastAsia="Times New Roman" w:hAnsi="Times New Roman" w:cs="Times New Roman"/>
                <w:color w:val="000000"/>
                <w:sz w:val="20"/>
                <w:szCs w:val="20"/>
              </w:rPr>
              <w:t xml:space="preserve"> </w:t>
            </w:r>
            <w:r w:rsidRPr="003535BE">
              <w:rPr>
                <w:rFonts w:ascii="Times New Roman" w:eastAsia="Times New Roman" w:hAnsi="Times New Roman" w:cs="Times New Roman"/>
                <w:color w:val="000000"/>
                <w:sz w:val="20"/>
                <w:szCs w:val="20"/>
              </w:rPr>
              <w:t>501</w:t>
            </w:r>
            <w:r>
              <w:rPr>
                <w:rFonts w:ascii="Times New Roman" w:eastAsia="Times New Roman" w:hAnsi="Times New Roman" w:cs="Times New Roman"/>
                <w:color w:val="000000"/>
                <w:sz w:val="20"/>
                <w:szCs w:val="20"/>
              </w:rPr>
              <w:t>,</w:t>
            </w:r>
            <w:r w:rsidRPr="003535BE">
              <w:rPr>
                <w:rFonts w:ascii="Times New Roman" w:eastAsia="Times New Roman" w:hAnsi="Times New Roman" w:cs="Times New Roman"/>
                <w:color w:val="000000"/>
                <w:sz w:val="20"/>
                <w:szCs w:val="20"/>
              </w:rPr>
              <w:t>70</w:t>
            </w:r>
          </w:p>
        </w:tc>
        <w:tc>
          <w:tcPr>
            <w:tcW w:w="1321" w:type="dxa"/>
            <w:tcBorders>
              <w:top w:val="nil"/>
              <w:left w:val="single" w:sz="4" w:space="0" w:color="auto"/>
              <w:bottom w:val="single" w:sz="4" w:space="0" w:color="auto"/>
              <w:right w:val="single" w:sz="4" w:space="0" w:color="auto"/>
            </w:tcBorders>
            <w:shd w:val="clear" w:color="auto" w:fill="auto"/>
            <w:noWrap/>
            <w:vAlign w:val="center"/>
            <w:hideMark/>
          </w:tcPr>
          <w:p w14:paraId="1B525811" w14:textId="43AEC828" w:rsidR="00624A63" w:rsidRPr="00931A25" w:rsidRDefault="00624A63" w:rsidP="00161D23">
            <w:pPr>
              <w:spacing w:after="0" w:line="240" w:lineRule="auto"/>
              <w:jc w:val="right"/>
              <w:rPr>
                <w:rFonts w:ascii="Times New Roman" w:eastAsia="Times New Roman" w:hAnsi="Times New Roman" w:cs="Times New Roman"/>
                <w:color w:val="000000"/>
                <w:sz w:val="20"/>
                <w:szCs w:val="20"/>
              </w:rPr>
            </w:pPr>
            <w:r w:rsidRPr="00931A25">
              <w:rPr>
                <w:rFonts w:ascii="Times New Roman" w:eastAsia="Times New Roman" w:hAnsi="Times New Roman" w:cs="Times New Roman"/>
                <w:color w:val="000000"/>
                <w:sz w:val="20"/>
                <w:szCs w:val="20"/>
              </w:rPr>
              <w:t>4</w:t>
            </w:r>
            <w:r>
              <w:rPr>
                <w:rFonts w:ascii="Times New Roman" w:eastAsia="Times New Roman" w:hAnsi="Times New Roman" w:cs="Times New Roman"/>
                <w:color w:val="000000"/>
                <w:sz w:val="20"/>
                <w:szCs w:val="20"/>
              </w:rPr>
              <w:t>17 055,</w:t>
            </w:r>
            <w:r w:rsidRPr="00931A25">
              <w:rPr>
                <w:rFonts w:ascii="Times New Roman" w:eastAsia="Times New Roman" w:hAnsi="Times New Roman" w:cs="Times New Roman"/>
                <w:color w:val="000000"/>
                <w:sz w:val="20"/>
                <w:szCs w:val="20"/>
              </w:rPr>
              <w:t>30</w:t>
            </w:r>
          </w:p>
        </w:tc>
        <w:tc>
          <w:tcPr>
            <w:tcW w:w="1248" w:type="dxa"/>
            <w:tcBorders>
              <w:top w:val="nil"/>
              <w:left w:val="nil"/>
              <w:bottom w:val="single" w:sz="4" w:space="0" w:color="auto"/>
              <w:right w:val="single" w:sz="4" w:space="0" w:color="auto"/>
            </w:tcBorders>
            <w:shd w:val="clear" w:color="auto" w:fill="auto"/>
            <w:noWrap/>
            <w:vAlign w:val="center"/>
            <w:hideMark/>
          </w:tcPr>
          <w:p w14:paraId="410939D3" w14:textId="3F67B2EE" w:rsidR="00624A63" w:rsidRPr="00DB22BD" w:rsidRDefault="00624A63" w:rsidP="00161D23">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352 606,</w:t>
            </w:r>
            <w:r w:rsidRPr="00DB22BD">
              <w:rPr>
                <w:rFonts w:ascii="Times New Roman" w:eastAsia="Times New Roman" w:hAnsi="Times New Roman" w:cs="Times New Roman"/>
                <w:color w:val="000000"/>
                <w:sz w:val="20"/>
                <w:szCs w:val="20"/>
              </w:rPr>
              <w:t>55</w:t>
            </w:r>
          </w:p>
        </w:tc>
        <w:tc>
          <w:tcPr>
            <w:tcW w:w="1371" w:type="dxa"/>
            <w:tcBorders>
              <w:top w:val="nil"/>
              <w:left w:val="nil"/>
              <w:bottom w:val="single" w:sz="4" w:space="0" w:color="auto"/>
              <w:right w:val="single" w:sz="4" w:space="0" w:color="auto"/>
            </w:tcBorders>
            <w:shd w:val="clear" w:color="auto" w:fill="auto"/>
            <w:noWrap/>
            <w:vAlign w:val="center"/>
            <w:hideMark/>
          </w:tcPr>
          <w:p w14:paraId="19FC2F98" w14:textId="22B6A074" w:rsidR="00624A63" w:rsidRPr="002A7D70" w:rsidRDefault="00624A63" w:rsidP="00624A63">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-64 </w:t>
            </w:r>
            <w:r w:rsidRPr="002A7D70">
              <w:rPr>
                <w:rFonts w:ascii="Times New Roman" w:eastAsia="Times New Roman" w:hAnsi="Times New Roman" w:cs="Times New Roman"/>
                <w:color w:val="000000"/>
                <w:sz w:val="20"/>
                <w:szCs w:val="20"/>
              </w:rPr>
              <w:t>448</w:t>
            </w:r>
            <w:r>
              <w:rPr>
                <w:rFonts w:ascii="Times New Roman" w:eastAsia="Times New Roman" w:hAnsi="Times New Roman" w:cs="Times New Roman"/>
                <w:color w:val="000000"/>
                <w:sz w:val="20"/>
                <w:szCs w:val="20"/>
              </w:rPr>
              <w:t>,</w:t>
            </w:r>
            <w:r w:rsidRPr="002A7D70">
              <w:rPr>
                <w:rFonts w:ascii="Times New Roman" w:eastAsia="Times New Roman" w:hAnsi="Times New Roman" w:cs="Times New Roman"/>
                <w:color w:val="000000"/>
                <w:sz w:val="20"/>
                <w:szCs w:val="20"/>
              </w:rPr>
              <w:t>8</w:t>
            </w:r>
          </w:p>
        </w:tc>
        <w:tc>
          <w:tcPr>
            <w:tcW w:w="981" w:type="dxa"/>
            <w:tcBorders>
              <w:top w:val="nil"/>
              <w:left w:val="nil"/>
              <w:bottom w:val="single" w:sz="4" w:space="0" w:color="auto"/>
              <w:right w:val="single" w:sz="4" w:space="0" w:color="auto"/>
            </w:tcBorders>
            <w:shd w:val="clear" w:color="auto" w:fill="auto"/>
            <w:noWrap/>
            <w:vAlign w:val="center"/>
            <w:hideMark/>
          </w:tcPr>
          <w:p w14:paraId="7ABA88D2" w14:textId="77777777" w:rsidR="00624A63" w:rsidRPr="002A7D70" w:rsidRDefault="00624A63" w:rsidP="00161D23">
            <w:pPr>
              <w:spacing w:after="0" w:line="240" w:lineRule="auto"/>
              <w:jc w:val="center"/>
              <w:rPr>
                <w:rFonts w:ascii="Times New Roman" w:eastAsia="Times New Roman" w:hAnsi="Times New Roman" w:cs="Times New Roman"/>
                <w:i/>
                <w:color w:val="000000"/>
                <w:sz w:val="20"/>
                <w:szCs w:val="20"/>
              </w:rPr>
            </w:pPr>
            <w:r w:rsidRPr="002A7D70">
              <w:rPr>
                <w:rFonts w:ascii="Times New Roman" w:eastAsia="Times New Roman" w:hAnsi="Times New Roman" w:cs="Times New Roman"/>
                <w:i/>
                <w:color w:val="000000"/>
                <w:sz w:val="20"/>
                <w:szCs w:val="20"/>
              </w:rPr>
              <w:t>85%</w:t>
            </w:r>
          </w:p>
        </w:tc>
        <w:tc>
          <w:tcPr>
            <w:tcW w:w="1272" w:type="dxa"/>
            <w:tcBorders>
              <w:top w:val="nil"/>
              <w:left w:val="nil"/>
              <w:bottom w:val="single" w:sz="4" w:space="0" w:color="auto"/>
              <w:right w:val="single" w:sz="4" w:space="0" w:color="auto"/>
            </w:tcBorders>
            <w:vAlign w:val="center"/>
          </w:tcPr>
          <w:p w14:paraId="611FDFBE" w14:textId="77777777" w:rsidR="00624A63" w:rsidRPr="002A7D70" w:rsidRDefault="00624A63" w:rsidP="00161D23">
            <w:pPr>
              <w:spacing w:after="0" w:line="240" w:lineRule="auto"/>
              <w:jc w:val="center"/>
              <w:rPr>
                <w:rFonts w:ascii="Times New Roman" w:eastAsia="Times New Roman" w:hAnsi="Times New Roman" w:cs="Times New Roman"/>
                <w:i/>
                <w:color w:val="000000"/>
                <w:sz w:val="20"/>
                <w:szCs w:val="20"/>
              </w:rPr>
            </w:pPr>
            <w:r w:rsidRPr="002A7D70">
              <w:rPr>
                <w:rFonts w:ascii="Times New Roman" w:eastAsia="Times New Roman" w:hAnsi="Times New Roman" w:cs="Times New Roman"/>
                <w:i/>
                <w:color w:val="000000"/>
                <w:sz w:val="20"/>
                <w:szCs w:val="20"/>
              </w:rPr>
              <w:t>55%</w:t>
            </w:r>
          </w:p>
        </w:tc>
      </w:tr>
      <w:tr w:rsidR="00624A63" w:rsidRPr="00FA3F57" w14:paraId="6D784AEE" w14:textId="77777777" w:rsidTr="00624A63">
        <w:trPr>
          <w:trHeight w:val="288"/>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45DD92C4" w14:textId="77777777" w:rsidR="00624A63" w:rsidRPr="002A7D70" w:rsidRDefault="00624A63" w:rsidP="00161D23">
            <w:pPr>
              <w:spacing w:after="0" w:line="240" w:lineRule="auto"/>
              <w:ind w:left="-11" w:right="32"/>
              <w:jc w:val="center"/>
              <w:rPr>
                <w:rFonts w:ascii="Times New Roman" w:eastAsia="Times New Roman" w:hAnsi="Times New Roman" w:cs="Times New Roman"/>
                <w:b/>
                <w:bCs/>
                <w:color w:val="000000"/>
                <w:sz w:val="20"/>
                <w:szCs w:val="20"/>
              </w:rPr>
            </w:pPr>
            <w:r w:rsidRPr="002A7D70">
              <w:rPr>
                <w:rFonts w:ascii="Times New Roman" w:eastAsia="Times New Roman" w:hAnsi="Times New Roman" w:cs="Times New Roman"/>
                <w:b/>
                <w:bCs/>
                <w:color w:val="000000"/>
                <w:sz w:val="20"/>
                <w:szCs w:val="20"/>
              </w:rPr>
              <w:t>4</w:t>
            </w:r>
          </w:p>
        </w:tc>
        <w:tc>
          <w:tcPr>
            <w:tcW w:w="1814" w:type="dxa"/>
            <w:tcBorders>
              <w:top w:val="nil"/>
              <w:left w:val="nil"/>
              <w:bottom w:val="single" w:sz="4" w:space="0" w:color="auto"/>
              <w:right w:val="single" w:sz="4" w:space="0" w:color="auto"/>
            </w:tcBorders>
            <w:shd w:val="clear" w:color="auto" w:fill="auto"/>
            <w:vAlign w:val="center"/>
            <w:hideMark/>
          </w:tcPr>
          <w:p w14:paraId="605455EC" w14:textId="77777777" w:rsidR="00624A63" w:rsidRPr="00FA3F57" w:rsidRDefault="00624A63" w:rsidP="00161D23">
            <w:pPr>
              <w:spacing w:after="0" w:line="240" w:lineRule="auto"/>
              <w:ind w:firstLineChars="100" w:firstLine="221"/>
              <w:rPr>
                <w:rFonts w:ascii="Times New Roman" w:eastAsia="Times New Roman" w:hAnsi="Times New Roman" w:cs="Times New Roman"/>
                <w:b/>
                <w:bCs/>
                <w:i/>
                <w:iCs/>
              </w:rPr>
            </w:pPr>
            <w:r w:rsidRPr="00FA3F57">
              <w:rPr>
                <w:rFonts w:ascii="Times New Roman" w:eastAsia="Times New Roman" w:hAnsi="Times New Roman" w:cs="Times New Roman"/>
                <w:b/>
                <w:bCs/>
                <w:i/>
                <w:iCs/>
              </w:rPr>
              <w:t>Anul 2019</w:t>
            </w:r>
          </w:p>
        </w:tc>
        <w:tc>
          <w:tcPr>
            <w:tcW w:w="1135" w:type="dxa"/>
            <w:tcBorders>
              <w:top w:val="single" w:sz="4" w:space="0" w:color="auto"/>
              <w:left w:val="nil"/>
              <w:bottom w:val="single" w:sz="4" w:space="0" w:color="auto"/>
              <w:right w:val="single" w:sz="4" w:space="0" w:color="auto"/>
            </w:tcBorders>
            <w:vAlign w:val="center"/>
          </w:tcPr>
          <w:p w14:paraId="1E712E15" w14:textId="7550112C" w:rsidR="00624A63" w:rsidRPr="003535BE" w:rsidRDefault="00624A63" w:rsidP="00624A63">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523 </w:t>
            </w:r>
            <w:r w:rsidRPr="003535BE">
              <w:rPr>
                <w:rFonts w:ascii="Times New Roman" w:eastAsia="Times New Roman" w:hAnsi="Times New Roman" w:cs="Times New Roman"/>
                <w:color w:val="000000"/>
                <w:sz w:val="20"/>
                <w:szCs w:val="20"/>
              </w:rPr>
              <w:t>931</w:t>
            </w:r>
            <w:r>
              <w:rPr>
                <w:rFonts w:ascii="Times New Roman" w:eastAsia="Times New Roman" w:hAnsi="Times New Roman" w:cs="Times New Roman"/>
                <w:color w:val="000000"/>
                <w:sz w:val="20"/>
                <w:szCs w:val="20"/>
              </w:rPr>
              <w:t>,</w:t>
            </w:r>
            <w:r w:rsidRPr="003535BE">
              <w:rPr>
                <w:rFonts w:ascii="Times New Roman" w:eastAsia="Times New Roman" w:hAnsi="Times New Roman" w:cs="Times New Roman"/>
                <w:color w:val="000000"/>
                <w:sz w:val="20"/>
                <w:szCs w:val="20"/>
              </w:rPr>
              <w:t>70</w:t>
            </w:r>
          </w:p>
        </w:tc>
        <w:tc>
          <w:tcPr>
            <w:tcW w:w="1321" w:type="dxa"/>
            <w:tcBorders>
              <w:top w:val="nil"/>
              <w:left w:val="single" w:sz="4" w:space="0" w:color="auto"/>
              <w:bottom w:val="single" w:sz="4" w:space="0" w:color="auto"/>
              <w:right w:val="single" w:sz="4" w:space="0" w:color="auto"/>
            </w:tcBorders>
            <w:shd w:val="clear" w:color="auto" w:fill="auto"/>
            <w:noWrap/>
            <w:vAlign w:val="center"/>
            <w:hideMark/>
          </w:tcPr>
          <w:p w14:paraId="77018BF4" w14:textId="0A09637C" w:rsidR="00624A63" w:rsidRPr="00931A25" w:rsidRDefault="00624A63" w:rsidP="00161D23">
            <w:pPr>
              <w:spacing w:after="0" w:line="240" w:lineRule="auto"/>
              <w:jc w:val="right"/>
              <w:rPr>
                <w:rFonts w:ascii="Times New Roman" w:eastAsia="Times New Roman" w:hAnsi="Times New Roman" w:cs="Times New Roman"/>
                <w:color w:val="000000"/>
                <w:sz w:val="20"/>
                <w:szCs w:val="20"/>
              </w:rPr>
            </w:pPr>
            <w:r w:rsidRPr="00931A25">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t>01 578,</w:t>
            </w:r>
            <w:r w:rsidRPr="00931A25">
              <w:rPr>
                <w:rFonts w:ascii="Times New Roman" w:eastAsia="Times New Roman" w:hAnsi="Times New Roman" w:cs="Times New Roman"/>
                <w:color w:val="000000"/>
                <w:sz w:val="20"/>
                <w:szCs w:val="20"/>
              </w:rPr>
              <w:t>80</w:t>
            </w:r>
          </w:p>
        </w:tc>
        <w:tc>
          <w:tcPr>
            <w:tcW w:w="1248" w:type="dxa"/>
            <w:tcBorders>
              <w:top w:val="nil"/>
              <w:left w:val="nil"/>
              <w:bottom w:val="single" w:sz="4" w:space="0" w:color="auto"/>
              <w:right w:val="single" w:sz="4" w:space="0" w:color="auto"/>
            </w:tcBorders>
            <w:shd w:val="clear" w:color="auto" w:fill="auto"/>
            <w:noWrap/>
            <w:vAlign w:val="center"/>
            <w:hideMark/>
          </w:tcPr>
          <w:p w14:paraId="116315EA" w14:textId="7C1BEB6E" w:rsidR="00624A63" w:rsidRPr="00DB22BD" w:rsidRDefault="00624A63" w:rsidP="00161D23">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352 442,</w:t>
            </w:r>
            <w:r w:rsidRPr="00DB22BD">
              <w:rPr>
                <w:rFonts w:ascii="Times New Roman" w:eastAsia="Times New Roman" w:hAnsi="Times New Roman" w:cs="Times New Roman"/>
                <w:color w:val="000000"/>
                <w:sz w:val="20"/>
                <w:szCs w:val="20"/>
              </w:rPr>
              <w:t>71</w:t>
            </w:r>
          </w:p>
        </w:tc>
        <w:tc>
          <w:tcPr>
            <w:tcW w:w="1371" w:type="dxa"/>
            <w:tcBorders>
              <w:top w:val="nil"/>
              <w:left w:val="nil"/>
              <w:bottom w:val="single" w:sz="4" w:space="0" w:color="auto"/>
              <w:right w:val="single" w:sz="4" w:space="0" w:color="auto"/>
            </w:tcBorders>
            <w:shd w:val="clear" w:color="auto" w:fill="auto"/>
            <w:noWrap/>
            <w:vAlign w:val="center"/>
            <w:hideMark/>
          </w:tcPr>
          <w:p w14:paraId="214C78AB" w14:textId="38DDB613" w:rsidR="00624A63" w:rsidRPr="002A7D70" w:rsidRDefault="00624A63" w:rsidP="00161D23">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-149 136,</w:t>
            </w:r>
            <w:r w:rsidRPr="002A7D70">
              <w:rPr>
                <w:rFonts w:ascii="Times New Roman" w:eastAsia="Times New Roman" w:hAnsi="Times New Roman" w:cs="Times New Roman"/>
                <w:color w:val="000000"/>
                <w:sz w:val="20"/>
                <w:szCs w:val="20"/>
              </w:rPr>
              <w:t>1</w:t>
            </w:r>
          </w:p>
        </w:tc>
        <w:tc>
          <w:tcPr>
            <w:tcW w:w="981" w:type="dxa"/>
            <w:tcBorders>
              <w:top w:val="nil"/>
              <w:left w:val="nil"/>
              <w:bottom w:val="single" w:sz="4" w:space="0" w:color="auto"/>
              <w:right w:val="single" w:sz="4" w:space="0" w:color="auto"/>
            </w:tcBorders>
            <w:shd w:val="clear" w:color="auto" w:fill="auto"/>
            <w:noWrap/>
            <w:vAlign w:val="center"/>
            <w:hideMark/>
          </w:tcPr>
          <w:p w14:paraId="0DBDF69D" w14:textId="77777777" w:rsidR="00624A63" w:rsidRPr="002A7D70" w:rsidRDefault="00624A63" w:rsidP="00161D23">
            <w:pPr>
              <w:spacing w:after="0" w:line="240" w:lineRule="auto"/>
              <w:jc w:val="center"/>
              <w:rPr>
                <w:rFonts w:ascii="Times New Roman" w:eastAsia="Times New Roman" w:hAnsi="Times New Roman" w:cs="Times New Roman"/>
                <w:i/>
                <w:color w:val="000000"/>
                <w:sz w:val="20"/>
                <w:szCs w:val="20"/>
              </w:rPr>
            </w:pPr>
            <w:r w:rsidRPr="002A7D70">
              <w:rPr>
                <w:rFonts w:ascii="Times New Roman" w:eastAsia="Times New Roman" w:hAnsi="Times New Roman" w:cs="Times New Roman"/>
                <w:i/>
                <w:color w:val="000000"/>
                <w:sz w:val="20"/>
                <w:szCs w:val="20"/>
              </w:rPr>
              <w:t>70%</w:t>
            </w:r>
          </w:p>
        </w:tc>
        <w:tc>
          <w:tcPr>
            <w:tcW w:w="1272" w:type="dxa"/>
            <w:tcBorders>
              <w:top w:val="nil"/>
              <w:left w:val="nil"/>
              <w:bottom w:val="single" w:sz="4" w:space="0" w:color="auto"/>
              <w:right w:val="single" w:sz="4" w:space="0" w:color="auto"/>
            </w:tcBorders>
            <w:vAlign w:val="center"/>
          </w:tcPr>
          <w:p w14:paraId="4BAAAB3E" w14:textId="77777777" w:rsidR="00624A63" w:rsidRPr="002A7D70" w:rsidRDefault="00624A63" w:rsidP="00161D23">
            <w:pPr>
              <w:spacing w:after="0" w:line="240" w:lineRule="auto"/>
              <w:jc w:val="center"/>
              <w:rPr>
                <w:rFonts w:ascii="Times New Roman" w:eastAsia="Times New Roman" w:hAnsi="Times New Roman" w:cs="Times New Roman"/>
                <w:i/>
                <w:color w:val="000000"/>
                <w:sz w:val="20"/>
                <w:szCs w:val="20"/>
              </w:rPr>
            </w:pPr>
            <w:r w:rsidRPr="002A7D70">
              <w:rPr>
                <w:rFonts w:ascii="Times New Roman" w:eastAsia="Times New Roman" w:hAnsi="Times New Roman" w:cs="Times New Roman"/>
                <w:i/>
                <w:color w:val="000000"/>
                <w:sz w:val="20"/>
                <w:szCs w:val="20"/>
              </w:rPr>
              <w:t>67%</w:t>
            </w:r>
          </w:p>
        </w:tc>
      </w:tr>
      <w:tr w:rsidR="00624A63" w:rsidRPr="00FA3F57" w14:paraId="1C14963E" w14:textId="77777777" w:rsidTr="00624A63">
        <w:trPr>
          <w:trHeight w:val="288"/>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3ADF6B65" w14:textId="77777777" w:rsidR="00624A63" w:rsidRPr="002A7D70" w:rsidRDefault="00624A63" w:rsidP="00161D23">
            <w:pPr>
              <w:spacing w:after="0" w:line="240" w:lineRule="auto"/>
              <w:ind w:left="-11" w:right="32"/>
              <w:jc w:val="center"/>
              <w:rPr>
                <w:rFonts w:ascii="Times New Roman" w:eastAsia="Times New Roman" w:hAnsi="Times New Roman" w:cs="Times New Roman"/>
                <w:b/>
                <w:bCs/>
                <w:color w:val="000000"/>
                <w:sz w:val="20"/>
                <w:szCs w:val="20"/>
              </w:rPr>
            </w:pPr>
            <w:r w:rsidRPr="002A7D70">
              <w:rPr>
                <w:rFonts w:ascii="Times New Roman" w:eastAsia="Times New Roman" w:hAnsi="Times New Roman" w:cs="Times New Roman"/>
                <w:b/>
                <w:bCs/>
                <w:color w:val="000000"/>
                <w:sz w:val="20"/>
                <w:szCs w:val="20"/>
              </w:rPr>
              <w:t> 5</w:t>
            </w:r>
          </w:p>
        </w:tc>
        <w:tc>
          <w:tcPr>
            <w:tcW w:w="1814" w:type="dxa"/>
            <w:tcBorders>
              <w:top w:val="nil"/>
              <w:left w:val="nil"/>
              <w:bottom w:val="single" w:sz="4" w:space="0" w:color="auto"/>
              <w:right w:val="single" w:sz="4" w:space="0" w:color="auto"/>
            </w:tcBorders>
            <w:shd w:val="clear" w:color="auto" w:fill="auto"/>
            <w:vAlign w:val="center"/>
            <w:hideMark/>
          </w:tcPr>
          <w:p w14:paraId="2827E0ED" w14:textId="77777777" w:rsidR="00624A63" w:rsidRPr="00FA3F57" w:rsidRDefault="00624A63" w:rsidP="00161D23">
            <w:pPr>
              <w:spacing w:after="0" w:line="240" w:lineRule="auto"/>
              <w:ind w:firstLineChars="100" w:firstLine="221"/>
              <w:rPr>
                <w:rFonts w:ascii="Times New Roman" w:eastAsia="Times New Roman" w:hAnsi="Times New Roman" w:cs="Times New Roman"/>
                <w:b/>
                <w:bCs/>
                <w:i/>
                <w:iCs/>
              </w:rPr>
            </w:pPr>
            <w:r w:rsidRPr="00FA3F57">
              <w:rPr>
                <w:rFonts w:ascii="Times New Roman" w:eastAsia="Times New Roman" w:hAnsi="Times New Roman" w:cs="Times New Roman"/>
                <w:b/>
                <w:bCs/>
                <w:i/>
                <w:iCs/>
              </w:rPr>
              <w:t>Anul 2018</w:t>
            </w:r>
          </w:p>
        </w:tc>
        <w:tc>
          <w:tcPr>
            <w:tcW w:w="1135" w:type="dxa"/>
            <w:tcBorders>
              <w:top w:val="single" w:sz="4" w:space="0" w:color="auto"/>
              <w:left w:val="nil"/>
              <w:bottom w:val="single" w:sz="4" w:space="0" w:color="auto"/>
              <w:right w:val="single" w:sz="4" w:space="0" w:color="auto"/>
            </w:tcBorders>
            <w:vAlign w:val="center"/>
          </w:tcPr>
          <w:p w14:paraId="1CECB8C5" w14:textId="68E750CC" w:rsidR="00624A63" w:rsidRPr="00FA3F57" w:rsidRDefault="00624A63" w:rsidP="00624A63">
            <w:pPr>
              <w:spacing w:after="0" w:line="240" w:lineRule="auto"/>
              <w:jc w:val="right"/>
              <w:rPr>
                <w:rFonts w:ascii="Times New Roman" w:eastAsia="Times New Roman" w:hAnsi="Times New Roman" w:cs="Times New Roman"/>
                <w:color w:val="000000"/>
                <w:sz w:val="20"/>
                <w:szCs w:val="20"/>
              </w:rPr>
            </w:pPr>
            <w:r w:rsidRPr="00FA3F57">
              <w:rPr>
                <w:rFonts w:ascii="Times New Roman" w:eastAsia="Times New Roman" w:hAnsi="Times New Roman" w:cs="Times New Roman"/>
                <w:color w:val="000000"/>
                <w:sz w:val="20"/>
                <w:szCs w:val="20"/>
              </w:rPr>
              <w:t>373</w:t>
            </w:r>
            <w:r>
              <w:rPr>
                <w:rFonts w:ascii="Times New Roman" w:eastAsia="Times New Roman" w:hAnsi="Times New Roman" w:cs="Times New Roman"/>
                <w:color w:val="000000"/>
                <w:sz w:val="20"/>
                <w:szCs w:val="20"/>
              </w:rPr>
              <w:t xml:space="preserve"> </w:t>
            </w:r>
            <w:r w:rsidRPr="00FA3F57">
              <w:rPr>
                <w:rFonts w:ascii="Times New Roman" w:eastAsia="Times New Roman" w:hAnsi="Times New Roman" w:cs="Times New Roman"/>
                <w:color w:val="000000"/>
                <w:sz w:val="20"/>
                <w:szCs w:val="20"/>
              </w:rPr>
              <w:t>718</w:t>
            </w:r>
            <w:r>
              <w:rPr>
                <w:rFonts w:ascii="Times New Roman" w:eastAsia="Times New Roman" w:hAnsi="Times New Roman" w:cs="Times New Roman"/>
                <w:color w:val="000000"/>
                <w:sz w:val="20"/>
                <w:szCs w:val="20"/>
              </w:rPr>
              <w:t>,</w:t>
            </w:r>
            <w:r w:rsidRPr="00FA3F57">
              <w:rPr>
                <w:rFonts w:ascii="Times New Roman" w:eastAsia="Times New Roman" w:hAnsi="Times New Roman" w:cs="Times New Roman"/>
                <w:color w:val="000000"/>
                <w:sz w:val="20"/>
                <w:szCs w:val="20"/>
              </w:rPr>
              <w:t>80</w:t>
            </w:r>
          </w:p>
        </w:tc>
        <w:tc>
          <w:tcPr>
            <w:tcW w:w="1321" w:type="dxa"/>
            <w:tcBorders>
              <w:top w:val="nil"/>
              <w:left w:val="single" w:sz="4" w:space="0" w:color="auto"/>
              <w:bottom w:val="single" w:sz="4" w:space="0" w:color="auto"/>
              <w:right w:val="single" w:sz="4" w:space="0" w:color="auto"/>
            </w:tcBorders>
            <w:shd w:val="clear" w:color="auto" w:fill="auto"/>
            <w:noWrap/>
            <w:vAlign w:val="center"/>
            <w:hideMark/>
          </w:tcPr>
          <w:p w14:paraId="40791AC8" w14:textId="522C0213" w:rsidR="00624A63" w:rsidRPr="003535BE" w:rsidRDefault="00624A63" w:rsidP="00161D23">
            <w:pPr>
              <w:spacing w:after="0" w:line="240" w:lineRule="auto"/>
              <w:jc w:val="right"/>
              <w:rPr>
                <w:rFonts w:ascii="Times New Roman" w:eastAsia="Times New Roman" w:hAnsi="Times New Roman" w:cs="Times New Roman"/>
                <w:color w:val="000000"/>
                <w:sz w:val="20"/>
                <w:szCs w:val="20"/>
              </w:rPr>
            </w:pPr>
            <w:r w:rsidRPr="003535BE">
              <w:rPr>
                <w:rFonts w:ascii="Times New Roman" w:eastAsia="Times New Roman" w:hAnsi="Times New Roman" w:cs="Times New Roman"/>
                <w:color w:val="000000"/>
                <w:sz w:val="20"/>
                <w:szCs w:val="20"/>
              </w:rPr>
              <w:t>4</w:t>
            </w:r>
            <w:r>
              <w:rPr>
                <w:rFonts w:ascii="Times New Roman" w:eastAsia="Times New Roman" w:hAnsi="Times New Roman" w:cs="Times New Roman"/>
                <w:color w:val="000000"/>
                <w:sz w:val="20"/>
                <w:szCs w:val="20"/>
              </w:rPr>
              <w:t>65 316,</w:t>
            </w:r>
            <w:r w:rsidRPr="003535BE">
              <w:rPr>
                <w:rFonts w:ascii="Times New Roman" w:eastAsia="Times New Roman" w:hAnsi="Times New Roman" w:cs="Times New Roman"/>
                <w:color w:val="000000"/>
                <w:sz w:val="20"/>
                <w:szCs w:val="20"/>
              </w:rPr>
              <w:t>12</w:t>
            </w:r>
          </w:p>
        </w:tc>
        <w:tc>
          <w:tcPr>
            <w:tcW w:w="1248" w:type="dxa"/>
            <w:tcBorders>
              <w:top w:val="nil"/>
              <w:left w:val="nil"/>
              <w:bottom w:val="single" w:sz="4" w:space="0" w:color="auto"/>
              <w:right w:val="single" w:sz="4" w:space="0" w:color="auto"/>
            </w:tcBorders>
            <w:shd w:val="clear" w:color="auto" w:fill="auto"/>
            <w:noWrap/>
            <w:vAlign w:val="center"/>
            <w:hideMark/>
          </w:tcPr>
          <w:p w14:paraId="010553DC" w14:textId="13B02583" w:rsidR="00624A63" w:rsidRPr="00931A25" w:rsidRDefault="00624A63" w:rsidP="00161D23">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339 978,</w:t>
            </w:r>
            <w:r w:rsidRPr="00931A25">
              <w:rPr>
                <w:rFonts w:ascii="Times New Roman" w:eastAsia="Times New Roman" w:hAnsi="Times New Roman" w:cs="Times New Roman"/>
                <w:color w:val="000000"/>
                <w:sz w:val="20"/>
                <w:szCs w:val="20"/>
              </w:rPr>
              <w:t>46</w:t>
            </w:r>
          </w:p>
        </w:tc>
        <w:tc>
          <w:tcPr>
            <w:tcW w:w="1371" w:type="dxa"/>
            <w:tcBorders>
              <w:top w:val="nil"/>
              <w:left w:val="nil"/>
              <w:bottom w:val="single" w:sz="4" w:space="0" w:color="auto"/>
              <w:right w:val="single" w:sz="4" w:space="0" w:color="auto"/>
            </w:tcBorders>
            <w:shd w:val="clear" w:color="auto" w:fill="auto"/>
            <w:noWrap/>
            <w:vAlign w:val="center"/>
            <w:hideMark/>
          </w:tcPr>
          <w:p w14:paraId="446ED34C" w14:textId="434E6FBA" w:rsidR="00624A63" w:rsidRPr="002A7D70" w:rsidRDefault="00624A63" w:rsidP="00624A63">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-125 </w:t>
            </w:r>
            <w:r w:rsidRPr="002A7D70">
              <w:rPr>
                <w:rFonts w:ascii="Times New Roman" w:eastAsia="Times New Roman" w:hAnsi="Times New Roman" w:cs="Times New Roman"/>
                <w:color w:val="000000"/>
                <w:sz w:val="20"/>
                <w:szCs w:val="20"/>
              </w:rPr>
              <w:t>337</w:t>
            </w:r>
            <w:r>
              <w:rPr>
                <w:rFonts w:ascii="Times New Roman" w:eastAsia="Times New Roman" w:hAnsi="Times New Roman" w:cs="Times New Roman"/>
                <w:color w:val="000000"/>
                <w:sz w:val="20"/>
                <w:szCs w:val="20"/>
              </w:rPr>
              <w:t>,</w:t>
            </w:r>
            <w:r w:rsidRPr="002A7D70">
              <w:rPr>
                <w:rFonts w:ascii="Times New Roman" w:eastAsia="Times New Roman" w:hAnsi="Times New Roman" w:cs="Times New Roman"/>
                <w:color w:val="000000"/>
                <w:sz w:val="20"/>
                <w:szCs w:val="20"/>
              </w:rPr>
              <w:t>7</w:t>
            </w:r>
          </w:p>
        </w:tc>
        <w:tc>
          <w:tcPr>
            <w:tcW w:w="981" w:type="dxa"/>
            <w:tcBorders>
              <w:top w:val="nil"/>
              <w:left w:val="nil"/>
              <w:bottom w:val="single" w:sz="4" w:space="0" w:color="auto"/>
              <w:right w:val="single" w:sz="4" w:space="0" w:color="auto"/>
            </w:tcBorders>
            <w:shd w:val="clear" w:color="auto" w:fill="auto"/>
            <w:noWrap/>
            <w:vAlign w:val="center"/>
            <w:hideMark/>
          </w:tcPr>
          <w:p w14:paraId="6AACE32C" w14:textId="77777777" w:rsidR="00624A63" w:rsidRPr="002A7D70" w:rsidRDefault="00624A63" w:rsidP="00161D23">
            <w:pPr>
              <w:spacing w:after="0" w:line="240" w:lineRule="auto"/>
              <w:jc w:val="center"/>
              <w:rPr>
                <w:rFonts w:ascii="Times New Roman" w:eastAsia="Times New Roman" w:hAnsi="Times New Roman" w:cs="Times New Roman"/>
                <w:i/>
                <w:color w:val="000000"/>
                <w:sz w:val="20"/>
                <w:szCs w:val="20"/>
              </w:rPr>
            </w:pPr>
            <w:r w:rsidRPr="002A7D70">
              <w:rPr>
                <w:rFonts w:ascii="Times New Roman" w:eastAsia="Times New Roman" w:hAnsi="Times New Roman" w:cs="Times New Roman"/>
                <w:i/>
                <w:color w:val="000000"/>
                <w:sz w:val="20"/>
                <w:szCs w:val="20"/>
              </w:rPr>
              <w:t>73%</w:t>
            </w:r>
          </w:p>
        </w:tc>
        <w:tc>
          <w:tcPr>
            <w:tcW w:w="1272" w:type="dxa"/>
            <w:tcBorders>
              <w:top w:val="nil"/>
              <w:left w:val="nil"/>
              <w:bottom w:val="single" w:sz="4" w:space="0" w:color="auto"/>
              <w:right w:val="single" w:sz="4" w:space="0" w:color="auto"/>
            </w:tcBorders>
            <w:vAlign w:val="center"/>
          </w:tcPr>
          <w:p w14:paraId="05940F1E" w14:textId="77777777" w:rsidR="00624A63" w:rsidRPr="002A7D70" w:rsidRDefault="00624A63" w:rsidP="00161D23">
            <w:pPr>
              <w:spacing w:after="0" w:line="240" w:lineRule="auto"/>
              <w:jc w:val="center"/>
              <w:rPr>
                <w:rFonts w:ascii="Times New Roman" w:eastAsia="Times New Roman" w:hAnsi="Times New Roman" w:cs="Times New Roman"/>
                <w:i/>
                <w:color w:val="000000"/>
                <w:sz w:val="20"/>
                <w:szCs w:val="20"/>
              </w:rPr>
            </w:pPr>
            <w:r w:rsidRPr="002A7D70">
              <w:rPr>
                <w:rFonts w:ascii="Times New Roman" w:eastAsia="Times New Roman" w:hAnsi="Times New Roman" w:cs="Times New Roman"/>
                <w:i/>
                <w:color w:val="000000"/>
                <w:sz w:val="20"/>
                <w:szCs w:val="20"/>
              </w:rPr>
              <w:t>91%</w:t>
            </w:r>
          </w:p>
        </w:tc>
      </w:tr>
      <w:tr w:rsidR="00624A63" w:rsidRPr="00FA3F57" w14:paraId="5E1A7C42" w14:textId="77777777" w:rsidTr="00624A63">
        <w:trPr>
          <w:trHeight w:val="288"/>
        </w:trPr>
        <w:tc>
          <w:tcPr>
            <w:tcW w:w="738" w:type="dxa"/>
            <w:tcBorders>
              <w:top w:val="nil"/>
              <w:left w:val="single" w:sz="4" w:space="0" w:color="auto"/>
              <w:bottom w:val="single" w:sz="4" w:space="0" w:color="auto"/>
              <w:right w:val="single" w:sz="4" w:space="0" w:color="auto"/>
            </w:tcBorders>
            <w:shd w:val="clear" w:color="auto" w:fill="auto"/>
            <w:noWrap/>
            <w:vAlign w:val="center"/>
          </w:tcPr>
          <w:p w14:paraId="5CD47FAB" w14:textId="77777777" w:rsidR="00624A63" w:rsidRPr="002A7D70" w:rsidRDefault="00624A63" w:rsidP="00161D23">
            <w:pPr>
              <w:spacing w:after="0" w:line="240" w:lineRule="auto"/>
              <w:ind w:left="-11" w:right="32"/>
              <w:jc w:val="center"/>
              <w:rPr>
                <w:rFonts w:ascii="Times New Roman" w:eastAsia="Times New Roman" w:hAnsi="Times New Roman" w:cs="Times New Roman"/>
                <w:b/>
                <w:bCs/>
                <w:color w:val="000000"/>
                <w:sz w:val="20"/>
                <w:szCs w:val="20"/>
              </w:rPr>
            </w:pPr>
          </w:p>
        </w:tc>
        <w:tc>
          <w:tcPr>
            <w:tcW w:w="1814" w:type="dxa"/>
            <w:tcBorders>
              <w:top w:val="nil"/>
              <w:left w:val="nil"/>
              <w:bottom w:val="single" w:sz="4" w:space="0" w:color="auto"/>
              <w:right w:val="single" w:sz="4" w:space="0" w:color="auto"/>
            </w:tcBorders>
            <w:shd w:val="clear" w:color="000000" w:fill="D9E1F2"/>
            <w:noWrap/>
            <w:vAlign w:val="center"/>
            <w:hideMark/>
          </w:tcPr>
          <w:p w14:paraId="5F32B755" w14:textId="77777777" w:rsidR="00624A63" w:rsidRPr="002A7D70" w:rsidRDefault="00624A63" w:rsidP="00161D23">
            <w:pPr>
              <w:spacing w:after="0" w:line="240" w:lineRule="auto"/>
              <w:rPr>
                <w:rFonts w:ascii="Times New Roman" w:eastAsia="Times New Roman" w:hAnsi="Times New Roman" w:cs="Times New Roman"/>
                <w:b/>
                <w:bCs/>
                <w:sz w:val="20"/>
                <w:szCs w:val="20"/>
              </w:rPr>
            </w:pPr>
            <w:r w:rsidRPr="002A7D70">
              <w:rPr>
                <w:rFonts w:ascii="Times New Roman" w:eastAsia="Times New Roman" w:hAnsi="Times New Roman" w:cs="Times New Roman"/>
                <w:b/>
                <w:bCs/>
                <w:sz w:val="20"/>
                <w:szCs w:val="20"/>
              </w:rPr>
              <w:t>Total în perioada 2018-2022</w:t>
            </w:r>
          </w:p>
        </w:tc>
        <w:tc>
          <w:tcPr>
            <w:tcW w:w="1135" w:type="dxa"/>
            <w:tcBorders>
              <w:top w:val="single" w:sz="4" w:space="0" w:color="auto"/>
              <w:left w:val="nil"/>
              <w:bottom w:val="single" w:sz="4" w:space="0" w:color="auto"/>
              <w:right w:val="single" w:sz="4" w:space="0" w:color="auto"/>
            </w:tcBorders>
            <w:shd w:val="clear" w:color="000000" w:fill="D9E1F2"/>
            <w:vAlign w:val="center"/>
          </w:tcPr>
          <w:p w14:paraId="37B02D84" w14:textId="24C0CEE3" w:rsidR="00624A63" w:rsidRPr="002A7D70" w:rsidRDefault="00624A63" w:rsidP="00624A63">
            <w:pPr>
              <w:spacing w:after="0" w:line="240" w:lineRule="auto"/>
              <w:ind w:left="-112"/>
              <w:jc w:val="right"/>
              <w:rPr>
                <w:rFonts w:ascii="Times New Roman" w:eastAsia="Times New Roman" w:hAnsi="Times New Roman" w:cs="Times New Roman"/>
                <w:b/>
                <w:bCs/>
                <w:sz w:val="20"/>
                <w:szCs w:val="20"/>
              </w:rPr>
            </w:pPr>
            <w:r w:rsidRPr="002A7D70">
              <w:rPr>
                <w:rFonts w:ascii="Times New Roman" w:hAnsi="Times New Roman" w:cs="Times New Roman"/>
                <w:b/>
                <w:bCs/>
                <w:sz w:val="20"/>
                <w:szCs w:val="20"/>
              </w:rPr>
              <w:t>2</w:t>
            </w:r>
            <w:r>
              <w:rPr>
                <w:rFonts w:ascii="Times New Roman" w:hAnsi="Times New Roman" w:cs="Times New Roman"/>
                <w:b/>
                <w:bCs/>
                <w:sz w:val="20"/>
                <w:szCs w:val="20"/>
              </w:rPr>
              <w:t xml:space="preserve"> 667 </w:t>
            </w:r>
            <w:r w:rsidRPr="002A7D70">
              <w:rPr>
                <w:rFonts w:ascii="Times New Roman" w:hAnsi="Times New Roman" w:cs="Times New Roman"/>
                <w:b/>
                <w:bCs/>
                <w:sz w:val="20"/>
                <w:szCs w:val="20"/>
              </w:rPr>
              <w:t>219</w:t>
            </w:r>
            <w:r>
              <w:rPr>
                <w:rFonts w:ascii="Times New Roman" w:hAnsi="Times New Roman" w:cs="Times New Roman"/>
                <w:b/>
                <w:bCs/>
                <w:sz w:val="20"/>
                <w:szCs w:val="20"/>
              </w:rPr>
              <w:t>,</w:t>
            </w:r>
            <w:r w:rsidRPr="002A7D70">
              <w:rPr>
                <w:rFonts w:ascii="Times New Roman" w:hAnsi="Times New Roman" w:cs="Times New Roman"/>
                <w:b/>
                <w:bCs/>
                <w:sz w:val="20"/>
                <w:szCs w:val="20"/>
              </w:rPr>
              <w:t>2</w:t>
            </w:r>
          </w:p>
        </w:tc>
        <w:tc>
          <w:tcPr>
            <w:tcW w:w="1321" w:type="dxa"/>
            <w:tcBorders>
              <w:top w:val="nil"/>
              <w:left w:val="single" w:sz="4" w:space="0" w:color="auto"/>
              <w:bottom w:val="single" w:sz="4" w:space="0" w:color="auto"/>
              <w:right w:val="single" w:sz="4" w:space="0" w:color="auto"/>
            </w:tcBorders>
            <w:shd w:val="clear" w:color="000000" w:fill="D9E1F2"/>
            <w:noWrap/>
            <w:vAlign w:val="center"/>
            <w:hideMark/>
          </w:tcPr>
          <w:p w14:paraId="7CCF0188" w14:textId="2EBE8F6E" w:rsidR="00624A63" w:rsidRPr="002A7D70" w:rsidRDefault="00624A63" w:rsidP="00624A63">
            <w:pPr>
              <w:spacing w:after="0" w:line="240" w:lineRule="auto"/>
              <w:jc w:val="right"/>
              <w:rPr>
                <w:rFonts w:ascii="Times New Roman" w:eastAsia="Times New Roman" w:hAnsi="Times New Roman" w:cs="Times New Roman"/>
                <w:b/>
                <w:bCs/>
                <w:sz w:val="20"/>
                <w:szCs w:val="20"/>
              </w:rPr>
            </w:pPr>
            <w:r w:rsidRPr="002A7D70">
              <w:rPr>
                <w:rFonts w:ascii="Times New Roman" w:eastAsia="Times New Roman" w:hAnsi="Times New Roman" w:cs="Times New Roman"/>
                <w:b/>
                <w:bCs/>
                <w:sz w:val="20"/>
                <w:szCs w:val="20"/>
              </w:rPr>
              <w:t>2</w:t>
            </w:r>
            <w:r>
              <w:rPr>
                <w:rFonts w:ascii="Times New Roman" w:eastAsia="Times New Roman" w:hAnsi="Times New Roman" w:cs="Times New Roman"/>
                <w:b/>
                <w:bCs/>
                <w:sz w:val="20"/>
                <w:szCs w:val="20"/>
              </w:rPr>
              <w:t xml:space="preserve"> </w:t>
            </w:r>
            <w:r w:rsidRPr="002A7D70">
              <w:rPr>
                <w:rFonts w:ascii="Times New Roman" w:eastAsia="Times New Roman" w:hAnsi="Times New Roman" w:cs="Times New Roman"/>
                <w:b/>
                <w:bCs/>
                <w:sz w:val="20"/>
                <w:szCs w:val="20"/>
              </w:rPr>
              <w:t>370</w:t>
            </w:r>
            <w:r>
              <w:rPr>
                <w:rFonts w:ascii="Times New Roman" w:eastAsia="Times New Roman" w:hAnsi="Times New Roman" w:cs="Times New Roman"/>
                <w:b/>
                <w:bCs/>
                <w:sz w:val="20"/>
                <w:szCs w:val="20"/>
              </w:rPr>
              <w:t xml:space="preserve"> 028,</w:t>
            </w:r>
            <w:r w:rsidRPr="002A7D70">
              <w:rPr>
                <w:rFonts w:ascii="Times New Roman" w:eastAsia="Times New Roman" w:hAnsi="Times New Roman" w:cs="Times New Roman"/>
                <w:b/>
                <w:bCs/>
                <w:sz w:val="20"/>
                <w:szCs w:val="20"/>
              </w:rPr>
              <w:t>1</w:t>
            </w:r>
          </w:p>
        </w:tc>
        <w:tc>
          <w:tcPr>
            <w:tcW w:w="1248" w:type="dxa"/>
            <w:tcBorders>
              <w:top w:val="nil"/>
              <w:left w:val="nil"/>
              <w:bottom w:val="single" w:sz="4" w:space="0" w:color="auto"/>
              <w:right w:val="single" w:sz="4" w:space="0" w:color="auto"/>
            </w:tcBorders>
            <w:shd w:val="clear" w:color="000000" w:fill="D9E1F2"/>
            <w:noWrap/>
            <w:vAlign w:val="center"/>
            <w:hideMark/>
          </w:tcPr>
          <w:p w14:paraId="2C7AC3C8" w14:textId="37E783CA" w:rsidR="00624A63" w:rsidRPr="002A7D70" w:rsidRDefault="00624A63" w:rsidP="00624A63">
            <w:pPr>
              <w:spacing w:after="0" w:line="240" w:lineRule="auto"/>
              <w:jc w:val="right"/>
              <w:rPr>
                <w:rFonts w:ascii="Times New Roman" w:eastAsia="Times New Roman" w:hAnsi="Times New Roman" w:cs="Times New Roman"/>
                <w:b/>
                <w:bCs/>
                <w:sz w:val="20"/>
                <w:szCs w:val="20"/>
              </w:rPr>
            </w:pPr>
            <w:r w:rsidRPr="002A7D70">
              <w:rPr>
                <w:rFonts w:ascii="Times New Roman" w:eastAsia="Times New Roman" w:hAnsi="Times New Roman" w:cs="Times New Roman"/>
                <w:b/>
                <w:bCs/>
                <w:sz w:val="20"/>
                <w:szCs w:val="20"/>
              </w:rPr>
              <w:t>1</w:t>
            </w:r>
            <w:r>
              <w:rPr>
                <w:rFonts w:ascii="Times New Roman" w:eastAsia="Times New Roman" w:hAnsi="Times New Roman" w:cs="Times New Roman"/>
                <w:b/>
                <w:bCs/>
                <w:sz w:val="20"/>
                <w:szCs w:val="20"/>
              </w:rPr>
              <w:t xml:space="preserve"> 816 459,</w:t>
            </w:r>
            <w:r w:rsidRPr="002A7D70">
              <w:rPr>
                <w:rFonts w:ascii="Times New Roman" w:eastAsia="Times New Roman" w:hAnsi="Times New Roman" w:cs="Times New Roman"/>
                <w:b/>
                <w:bCs/>
                <w:sz w:val="20"/>
                <w:szCs w:val="20"/>
              </w:rPr>
              <w:t>5</w:t>
            </w:r>
          </w:p>
        </w:tc>
        <w:tc>
          <w:tcPr>
            <w:tcW w:w="1371" w:type="dxa"/>
            <w:tcBorders>
              <w:top w:val="nil"/>
              <w:left w:val="nil"/>
              <w:bottom w:val="single" w:sz="4" w:space="0" w:color="auto"/>
              <w:right w:val="single" w:sz="4" w:space="0" w:color="auto"/>
            </w:tcBorders>
            <w:shd w:val="clear" w:color="000000" w:fill="D9E1F2"/>
            <w:noWrap/>
            <w:vAlign w:val="center"/>
            <w:hideMark/>
          </w:tcPr>
          <w:p w14:paraId="7CB58F6B" w14:textId="1B32B54B" w:rsidR="00624A63" w:rsidRPr="002A7D70" w:rsidRDefault="00624A63" w:rsidP="00161D23">
            <w:pPr>
              <w:spacing w:after="0" w:line="240" w:lineRule="auto"/>
              <w:jc w:val="right"/>
              <w:rPr>
                <w:rFonts w:ascii="Times New Roman" w:eastAsia="Times New Roman" w:hAnsi="Times New Roman" w:cs="Times New Roman"/>
                <w:b/>
                <w:bCs/>
                <w:sz w:val="20"/>
                <w:szCs w:val="20"/>
              </w:rPr>
            </w:pPr>
            <w:r w:rsidRPr="002A7D70">
              <w:rPr>
                <w:rFonts w:ascii="Times New Roman" w:eastAsia="Times New Roman" w:hAnsi="Times New Roman" w:cs="Times New Roman"/>
                <w:b/>
                <w:bCs/>
                <w:sz w:val="20"/>
                <w:szCs w:val="20"/>
              </w:rPr>
              <w:t>-</w:t>
            </w:r>
            <w:r>
              <w:rPr>
                <w:rFonts w:ascii="Times New Roman" w:eastAsia="Times New Roman" w:hAnsi="Times New Roman" w:cs="Times New Roman"/>
                <w:b/>
                <w:bCs/>
                <w:sz w:val="20"/>
                <w:szCs w:val="20"/>
              </w:rPr>
              <w:t>553 568,</w:t>
            </w:r>
            <w:r w:rsidRPr="002A7D70">
              <w:rPr>
                <w:rFonts w:ascii="Times New Roman" w:eastAsia="Times New Roman" w:hAnsi="Times New Roman" w:cs="Times New Roman"/>
                <w:b/>
                <w:bCs/>
                <w:sz w:val="20"/>
                <w:szCs w:val="20"/>
              </w:rPr>
              <w:t>6</w:t>
            </w:r>
          </w:p>
        </w:tc>
        <w:tc>
          <w:tcPr>
            <w:tcW w:w="981" w:type="dxa"/>
            <w:tcBorders>
              <w:top w:val="nil"/>
              <w:left w:val="nil"/>
              <w:bottom w:val="single" w:sz="4" w:space="0" w:color="auto"/>
              <w:right w:val="single" w:sz="4" w:space="0" w:color="auto"/>
            </w:tcBorders>
            <w:shd w:val="clear" w:color="000000" w:fill="D9E1F2"/>
            <w:noWrap/>
            <w:vAlign w:val="center"/>
            <w:hideMark/>
          </w:tcPr>
          <w:p w14:paraId="5C4BEBD0" w14:textId="77777777" w:rsidR="00624A63" w:rsidRPr="002A7D70" w:rsidRDefault="00624A63" w:rsidP="00161D23">
            <w:pPr>
              <w:spacing w:after="0" w:line="240" w:lineRule="auto"/>
              <w:jc w:val="center"/>
              <w:rPr>
                <w:rFonts w:ascii="Times New Roman" w:eastAsia="Times New Roman" w:hAnsi="Times New Roman" w:cs="Times New Roman"/>
                <w:b/>
                <w:bCs/>
                <w:sz w:val="20"/>
                <w:szCs w:val="20"/>
              </w:rPr>
            </w:pPr>
            <w:r w:rsidRPr="002A7D70">
              <w:rPr>
                <w:rFonts w:ascii="Times New Roman" w:eastAsia="Times New Roman" w:hAnsi="Times New Roman" w:cs="Times New Roman"/>
                <w:b/>
                <w:bCs/>
                <w:sz w:val="20"/>
                <w:szCs w:val="20"/>
              </w:rPr>
              <w:t>77%</w:t>
            </w:r>
          </w:p>
        </w:tc>
        <w:tc>
          <w:tcPr>
            <w:tcW w:w="1272" w:type="dxa"/>
            <w:tcBorders>
              <w:top w:val="nil"/>
              <w:left w:val="nil"/>
              <w:bottom w:val="single" w:sz="4" w:space="0" w:color="auto"/>
              <w:right w:val="single" w:sz="4" w:space="0" w:color="auto"/>
            </w:tcBorders>
            <w:shd w:val="clear" w:color="000000" w:fill="D9E1F2"/>
            <w:vAlign w:val="center"/>
          </w:tcPr>
          <w:p w14:paraId="67A272C9" w14:textId="77777777" w:rsidR="00624A63" w:rsidRPr="002A7D70" w:rsidRDefault="00624A63" w:rsidP="00161D23">
            <w:pPr>
              <w:spacing w:after="0" w:line="240" w:lineRule="auto"/>
              <w:jc w:val="center"/>
              <w:rPr>
                <w:rFonts w:ascii="Times New Roman" w:eastAsia="Times New Roman" w:hAnsi="Times New Roman" w:cs="Times New Roman"/>
                <w:b/>
                <w:bCs/>
                <w:sz w:val="20"/>
                <w:szCs w:val="20"/>
              </w:rPr>
            </w:pPr>
            <w:r w:rsidRPr="002A7D70">
              <w:rPr>
                <w:rFonts w:ascii="Times New Roman" w:hAnsi="Times New Roman" w:cs="Times New Roman"/>
                <w:b/>
                <w:bCs/>
                <w:sz w:val="20"/>
                <w:szCs w:val="20"/>
              </w:rPr>
              <w:t>68%</w:t>
            </w:r>
          </w:p>
        </w:tc>
      </w:tr>
    </w:tbl>
    <w:p w14:paraId="391DD7C1" w14:textId="77777777" w:rsidR="00624A63" w:rsidRPr="00FA3F57" w:rsidRDefault="00624A63" w:rsidP="00624A63">
      <w:pPr>
        <w:tabs>
          <w:tab w:val="left" w:pos="426"/>
        </w:tabs>
        <w:spacing w:after="120" w:line="276" w:lineRule="auto"/>
        <w:ind w:left="567"/>
        <w:jc w:val="both"/>
        <w:rPr>
          <w:rFonts w:ascii="Times New Roman" w:hAnsi="Times New Roman" w:cs="Times New Roman"/>
          <w:sz w:val="24"/>
          <w:szCs w:val="24"/>
        </w:rPr>
      </w:pPr>
      <w:r w:rsidRPr="002A7D70">
        <w:rPr>
          <w:rFonts w:ascii="Times New Roman" w:hAnsi="Times New Roman" w:cs="Times New Roman"/>
          <w:b/>
          <w:i/>
          <w:color w:val="000000" w:themeColor="text1"/>
          <w:sz w:val="20"/>
          <w:szCs w:val="20"/>
        </w:rPr>
        <w:t xml:space="preserve">Sursa: </w:t>
      </w:r>
      <w:r w:rsidRPr="002A7D70">
        <w:rPr>
          <w:rFonts w:ascii="Times New Roman" w:hAnsi="Times New Roman" w:cs="Times New Roman"/>
          <w:i/>
          <w:color w:val="000000" w:themeColor="text1"/>
          <w:sz w:val="20"/>
          <w:szCs w:val="20"/>
        </w:rPr>
        <w:t>Date generalizate de audit conform Rapoartelor privind executarea bugetelor pe anii 2018-2022</w:t>
      </w:r>
      <w:r>
        <w:rPr>
          <w:rFonts w:ascii="Times New Roman" w:hAnsi="Times New Roman" w:cs="Times New Roman"/>
          <w:i/>
          <w:color w:val="000000" w:themeColor="text1"/>
          <w:sz w:val="20"/>
          <w:szCs w:val="20"/>
        </w:rPr>
        <w:t>.</w:t>
      </w:r>
    </w:p>
    <w:p w14:paraId="5C8B0BFF" w14:textId="3A3657E6" w:rsidR="0005722C" w:rsidRDefault="00ED7030" w:rsidP="00374E77">
      <w:pPr>
        <w:pStyle w:val="a7"/>
        <w:tabs>
          <w:tab w:val="left" w:pos="567"/>
        </w:tabs>
        <w:spacing w:before="120" w:after="80" w:line="276" w:lineRule="auto"/>
        <w:ind w:left="0"/>
        <w:contextualSpacing w:val="0"/>
        <w:jc w:val="both"/>
        <w:rPr>
          <w:rFonts w:ascii="Times New Roman" w:hAnsi="Times New Roman" w:cs="Times New Roman"/>
          <w:sz w:val="24"/>
          <w:szCs w:val="24"/>
        </w:rPr>
      </w:pPr>
      <w:r w:rsidRPr="00ED7030">
        <w:rPr>
          <w:rFonts w:ascii="Times New Roman" w:hAnsi="Times New Roman" w:cs="Times New Roman"/>
          <w:sz w:val="24"/>
          <w:szCs w:val="24"/>
        </w:rPr>
        <w:t>Datele prezentate atestă că execuția de ansamblu a cheltuielilor valorificate de la bugetul de stat a fost sub limitele alocațiilor precizate CS</w:t>
      </w:r>
      <w:r>
        <w:rPr>
          <w:rFonts w:ascii="Times New Roman" w:hAnsi="Times New Roman" w:cs="Times New Roman"/>
          <w:sz w:val="24"/>
          <w:szCs w:val="24"/>
        </w:rPr>
        <w:t>, situație caracteristică pentr</w:t>
      </w:r>
      <w:r w:rsidR="005D1984">
        <w:rPr>
          <w:rFonts w:ascii="Times New Roman" w:hAnsi="Times New Roman" w:cs="Times New Roman"/>
          <w:sz w:val="24"/>
          <w:szCs w:val="24"/>
        </w:rPr>
        <w:t>u toți anii bugetari verificați. Or,</w:t>
      </w:r>
      <w:r>
        <w:rPr>
          <w:rFonts w:ascii="Times New Roman" w:hAnsi="Times New Roman" w:cs="Times New Roman"/>
          <w:sz w:val="24"/>
          <w:szCs w:val="24"/>
        </w:rPr>
        <w:t xml:space="preserve"> analizele de audit denotă că nivelul de execuție a oscilat de la 70% în anul 2019 până la 85% în anul 2020</w:t>
      </w:r>
      <w:r w:rsidR="005D1984">
        <w:rPr>
          <w:rFonts w:ascii="Times New Roman" w:hAnsi="Times New Roman" w:cs="Times New Roman"/>
          <w:sz w:val="24"/>
          <w:szCs w:val="24"/>
        </w:rPr>
        <w:t>,</w:t>
      </w:r>
      <w:r w:rsidR="005D1984" w:rsidRPr="005D1984">
        <w:rPr>
          <w:rFonts w:ascii="Times New Roman" w:hAnsi="Times New Roman" w:cs="Times New Roman"/>
          <w:sz w:val="24"/>
          <w:szCs w:val="24"/>
        </w:rPr>
        <w:t xml:space="preserve"> </w:t>
      </w:r>
      <w:r w:rsidR="005D1984">
        <w:rPr>
          <w:rFonts w:ascii="Times New Roman" w:hAnsi="Times New Roman" w:cs="Times New Roman"/>
          <w:sz w:val="24"/>
          <w:szCs w:val="24"/>
        </w:rPr>
        <w:t>fiind înregistrată o discrepanță semnificativă între estimările de resurse publice necesare și execuția</w:t>
      </w:r>
      <w:r w:rsidR="0002627D">
        <w:rPr>
          <w:rFonts w:ascii="Times New Roman" w:hAnsi="Times New Roman" w:cs="Times New Roman"/>
          <w:sz w:val="24"/>
          <w:szCs w:val="24"/>
        </w:rPr>
        <w:t xml:space="preserve"> de casă a</w:t>
      </w:r>
      <w:r w:rsidR="005D1984">
        <w:rPr>
          <w:rFonts w:ascii="Times New Roman" w:hAnsi="Times New Roman" w:cs="Times New Roman"/>
          <w:sz w:val="24"/>
          <w:szCs w:val="24"/>
        </w:rPr>
        <w:t xml:space="preserve"> </w:t>
      </w:r>
      <w:r w:rsidR="005D1984" w:rsidRPr="00A6022F">
        <w:rPr>
          <w:rFonts w:ascii="Times New Roman" w:hAnsi="Times New Roman" w:cs="Times New Roman"/>
          <w:sz w:val="24"/>
          <w:szCs w:val="24"/>
        </w:rPr>
        <w:t>buget</w:t>
      </w:r>
      <w:r w:rsidR="0002627D" w:rsidRPr="00A6022F">
        <w:rPr>
          <w:rFonts w:ascii="Times New Roman" w:hAnsi="Times New Roman" w:cs="Times New Roman"/>
          <w:sz w:val="24"/>
          <w:szCs w:val="24"/>
        </w:rPr>
        <w:t>ului</w:t>
      </w:r>
      <w:r w:rsidRPr="00A6022F">
        <w:rPr>
          <w:rFonts w:ascii="Times New Roman" w:hAnsi="Times New Roman" w:cs="Times New Roman"/>
          <w:sz w:val="24"/>
          <w:szCs w:val="24"/>
        </w:rPr>
        <w:t xml:space="preserve">. </w:t>
      </w:r>
      <w:r w:rsidR="00B73D05">
        <w:rPr>
          <w:rFonts w:ascii="Times New Roman" w:hAnsi="Times New Roman" w:cs="Times New Roman"/>
          <w:sz w:val="24"/>
          <w:szCs w:val="24"/>
        </w:rPr>
        <w:t>N</w:t>
      </w:r>
      <w:r w:rsidR="00B73D05" w:rsidRPr="00A6022F">
        <w:rPr>
          <w:rFonts w:ascii="Times New Roman" w:hAnsi="Times New Roman" w:cs="Times New Roman"/>
          <w:sz w:val="24"/>
          <w:szCs w:val="24"/>
        </w:rPr>
        <w:t>ivelul scăzut de valorificare a mijloacelor bugetare alocate CS a fost cauzat</w:t>
      </w:r>
      <w:r w:rsidR="00B73D05">
        <w:rPr>
          <w:rFonts w:ascii="Times New Roman" w:hAnsi="Times New Roman" w:cs="Times New Roman"/>
          <w:sz w:val="24"/>
          <w:szCs w:val="24"/>
        </w:rPr>
        <w:t>, î</w:t>
      </w:r>
      <w:r w:rsidR="00B73D05" w:rsidRPr="00A6022F">
        <w:rPr>
          <w:rFonts w:ascii="Times New Roman" w:hAnsi="Times New Roman" w:cs="Times New Roman"/>
          <w:sz w:val="24"/>
          <w:szCs w:val="24"/>
        </w:rPr>
        <w:t>n principal, de neexecutarea mijloacelor financiare precizate</w:t>
      </w:r>
      <w:r w:rsidR="00B73D05">
        <w:rPr>
          <w:rFonts w:ascii="Times New Roman" w:hAnsi="Times New Roman" w:cs="Times New Roman"/>
          <w:sz w:val="24"/>
          <w:szCs w:val="24"/>
        </w:rPr>
        <w:t xml:space="preserve"> </w:t>
      </w:r>
      <w:r w:rsidR="00B73D05" w:rsidRPr="00A6022F">
        <w:rPr>
          <w:rFonts w:ascii="Times New Roman" w:hAnsi="Times New Roman" w:cs="Times New Roman"/>
          <w:sz w:val="24"/>
          <w:szCs w:val="24"/>
        </w:rPr>
        <w:t xml:space="preserve">Proiectului </w:t>
      </w:r>
      <w:r w:rsidR="00B73D05">
        <w:rPr>
          <w:rFonts w:ascii="Times New Roman" w:eastAsia="Times New Roman" w:hAnsi="Times New Roman" w:cs="Times New Roman"/>
          <w:sz w:val="24"/>
          <w:szCs w:val="24"/>
        </w:rPr>
        <w:t>„</w:t>
      </w:r>
      <w:r w:rsidR="00B73D05" w:rsidRPr="00A6022F">
        <w:rPr>
          <w:rFonts w:ascii="Times New Roman" w:eastAsia="Times New Roman" w:hAnsi="Times New Roman" w:cs="Times New Roman"/>
          <w:sz w:val="24"/>
          <w:szCs w:val="24"/>
        </w:rPr>
        <w:t>Modernizarea serviciilor Guvernamentale” (45,8%)</w:t>
      </w:r>
      <w:r w:rsidR="00B73D05">
        <w:rPr>
          <w:rFonts w:ascii="Times New Roman" w:eastAsia="Times New Roman" w:hAnsi="Times New Roman" w:cs="Times New Roman"/>
          <w:sz w:val="24"/>
          <w:szCs w:val="24"/>
        </w:rPr>
        <w:t>,</w:t>
      </w:r>
      <w:r w:rsidR="00B73D05" w:rsidRPr="00A6022F">
        <w:rPr>
          <w:rFonts w:ascii="Times New Roman" w:eastAsia="Times New Roman" w:hAnsi="Times New Roman" w:cs="Times New Roman"/>
          <w:sz w:val="24"/>
          <w:szCs w:val="24"/>
        </w:rPr>
        <w:t xml:space="preserve"> implementat de AGE și STISC, Proiectului „Înregistrarea și evaluarea funciară” (46,1%)</w:t>
      </w:r>
      <w:r w:rsidR="00B73D05">
        <w:rPr>
          <w:rFonts w:ascii="Times New Roman" w:eastAsia="Times New Roman" w:hAnsi="Times New Roman" w:cs="Times New Roman"/>
          <w:sz w:val="24"/>
          <w:szCs w:val="24"/>
        </w:rPr>
        <w:t>,</w:t>
      </w:r>
      <w:r w:rsidR="00B73D05" w:rsidRPr="00A6022F">
        <w:rPr>
          <w:rFonts w:ascii="Times New Roman" w:eastAsia="Times New Roman" w:hAnsi="Times New Roman" w:cs="Times New Roman"/>
          <w:sz w:val="24"/>
          <w:szCs w:val="24"/>
        </w:rPr>
        <w:t xml:space="preserve"> gestionat de ASP, precum și </w:t>
      </w:r>
      <w:r w:rsidR="00B73D05">
        <w:rPr>
          <w:rFonts w:ascii="Times New Roman" w:eastAsia="Times New Roman" w:hAnsi="Times New Roman" w:cs="Times New Roman"/>
          <w:sz w:val="24"/>
          <w:szCs w:val="24"/>
        </w:rPr>
        <w:t xml:space="preserve">de </w:t>
      </w:r>
      <w:r w:rsidR="00B73D05" w:rsidRPr="00A6022F">
        <w:rPr>
          <w:rFonts w:ascii="Times New Roman" w:eastAsia="Times New Roman" w:hAnsi="Times New Roman" w:cs="Times New Roman"/>
          <w:sz w:val="24"/>
          <w:szCs w:val="24"/>
        </w:rPr>
        <w:t>nevalorific</w:t>
      </w:r>
      <w:r w:rsidR="00B73D05">
        <w:rPr>
          <w:rFonts w:ascii="Times New Roman" w:eastAsia="Times New Roman" w:hAnsi="Times New Roman" w:cs="Times New Roman"/>
          <w:sz w:val="24"/>
          <w:szCs w:val="24"/>
        </w:rPr>
        <w:t>area</w:t>
      </w:r>
      <w:r w:rsidR="00B73D05" w:rsidRPr="00A6022F">
        <w:rPr>
          <w:rFonts w:ascii="Times New Roman" w:eastAsia="Times New Roman" w:hAnsi="Times New Roman" w:cs="Times New Roman"/>
          <w:sz w:val="24"/>
          <w:szCs w:val="24"/>
        </w:rPr>
        <w:t xml:space="preserve"> unor tipuri de cheltuieli</w:t>
      </w:r>
      <w:r w:rsidR="00B73D05" w:rsidRPr="00A6022F">
        <w:rPr>
          <w:rStyle w:val="a5"/>
          <w:rFonts w:ascii="Times New Roman" w:eastAsia="Times New Roman" w:hAnsi="Times New Roman" w:cs="Times New Roman"/>
          <w:sz w:val="24"/>
          <w:szCs w:val="24"/>
        </w:rPr>
        <w:footnoteReference w:id="25"/>
      </w:r>
      <w:r w:rsidR="00B73D05" w:rsidRPr="00A6022F">
        <w:rPr>
          <w:rFonts w:ascii="Times New Roman" w:eastAsia="Times New Roman" w:hAnsi="Times New Roman" w:cs="Times New Roman"/>
          <w:sz w:val="24"/>
          <w:szCs w:val="24"/>
        </w:rPr>
        <w:t xml:space="preserve"> de către</w:t>
      </w:r>
      <w:r w:rsidR="00B73D05">
        <w:rPr>
          <w:rFonts w:ascii="Times New Roman" w:eastAsia="Times New Roman" w:hAnsi="Times New Roman" w:cs="Times New Roman"/>
          <w:sz w:val="24"/>
          <w:szCs w:val="24"/>
        </w:rPr>
        <w:t xml:space="preserve"> CS (93,6%) și unele I</w:t>
      </w:r>
      <w:r w:rsidR="000F096B">
        <w:rPr>
          <w:rFonts w:ascii="Times New Roman" w:eastAsia="Times New Roman" w:hAnsi="Times New Roman" w:cs="Times New Roman"/>
          <w:sz w:val="24"/>
          <w:szCs w:val="24"/>
        </w:rPr>
        <w:t>.</w:t>
      </w:r>
      <w:r w:rsidR="00B73D05">
        <w:rPr>
          <w:rFonts w:ascii="Times New Roman" w:eastAsia="Times New Roman" w:hAnsi="Times New Roman" w:cs="Times New Roman"/>
          <w:sz w:val="24"/>
          <w:szCs w:val="24"/>
        </w:rPr>
        <w:t>P</w:t>
      </w:r>
      <w:r w:rsidR="000F096B">
        <w:rPr>
          <w:rFonts w:ascii="Times New Roman" w:eastAsia="Times New Roman" w:hAnsi="Times New Roman" w:cs="Times New Roman"/>
          <w:sz w:val="24"/>
          <w:szCs w:val="24"/>
        </w:rPr>
        <w:t>.</w:t>
      </w:r>
      <w:r w:rsidR="00B73D05">
        <w:rPr>
          <w:rFonts w:ascii="Times New Roman" w:eastAsia="Times New Roman" w:hAnsi="Times New Roman" w:cs="Times New Roman"/>
          <w:sz w:val="24"/>
          <w:szCs w:val="24"/>
        </w:rPr>
        <w:t xml:space="preserve"> fondate</w:t>
      </w:r>
      <w:r w:rsidR="00741A43" w:rsidRPr="00A6022F">
        <w:rPr>
          <w:rFonts w:ascii="Times New Roman" w:eastAsia="Times New Roman" w:hAnsi="Times New Roman" w:cs="Times New Roman"/>
          <w:sz w:val="24"/>
          <w:szCs w:val="24"/>
        </w:rPr>
        <w:t xml:space="preserve">. </w:t>
      </w:r>
      <w:r w:rsidR="00DF7451">
        <w:rPr>
          <w:rFonts w:ascii="Times New Roman" w:hAnsi="Times New Roman" w:cs="Times New Roman"/>
          <w:sz w:val="24"/>
          <w:szCs w:val="24"/>
        </w:rPr>
        <w:t xml:space="preserve">Cele menționate denotă rezerve în procesul de fundamentare a proiectelor de buget și modificărilor efectuate pe parcursul anului bugetar și ce indică necesitatea fortificării și îmbunătățirii procesului de planificare a unor tipuri de cheltuieli bugetare. </w:t>
      </w:r>
      <w:r w:rsidR="00DF7451" w:rsidRPr="0005722C">
        <w:rPr>
          <w:rFonts w:ascii="Times New Roman" w:hAnsi="Times New Roman" w:cs="Times New Roman"/>
          <w:color w:val="000000" w:themeColor="text1"/>
          <w:sz w:val="24"/>
          <w:szCs w:val="24"/>
        </w:rPr>
        <w:t xml:space="preserve">Sinteza cheltuielilor totale finanțate și executate de către CS în perioada 2018-2022 se prezintă </w:t>
      </w:r>
      <w:r w:rsidR="00DF7451">
        <w:rPr>
          <w:rFonts w:ascii="Times New Roman" w:hAnsi="Times New Roman" w:cs="Times New Roman"/>
          <w:color w:val="000000" w:themeColor="text1"/>
          <w:sz w:val="24"/>
          <w:szCs w:val="24"/>
        </w:rPr>
        <w:t xml:space="preserve">în </w:t>
      </w:r>
      <w:r w:rsidR="00DF7451" w:rsidRPr="00FA3F57">
        <w:rPr>
          <w:rFonts w:ascii="Times New Roman" w:hAnsi="Times New Roman" w:cs="Times New Roman"/>
          <w:i/>
          <w:color w:val="000000" w:themeColor="text1"/>
          <w:sz w:val="24"/>
          <w:szCs w:val="24"/>
        </w:rPr>
        <w:t>Anexa nr. 6</w:t>
      </w:r>
      <w:r w:rsidR="00DF7451" w:rsidRPr="00580290">
        <w:rPr>
          <w:rFonts w:ascii="Times New Roman" w:hAnsi="Times New Roman" w:cs="Times New Roman"/>
          <w:i/>
          <w:color w:val="000000" w:themeColor="text1"/>
          <w:sz w:val="24"/>
          <w:szCs w:val="24"/>
        </w:rPr>
        <w:t xml:space="preserve"> la prezentul </w:t>
      </w:r>
      <w:r w:rsidR="00DF7451">
        <w:rPr>
          <w:rFonts w:ascii="Times New Roman" w:hAnsi="Times New Roman" w:cs="Times New Roman"/>
          <w:i/>
          <w:color w:val="000000" w:themeColor="text1"/>
          <w:sz w:val="24"/>
          <w:szCs w:val="24"/>
        </w:rPr>
        <w:t>R</w:t>
      </w:r>
      <w:r w:rsidR="00DF7451" w:rsidRPr="00580290">
        <w:rPr>
          <w:rFonts w:ascii="Times New Roman" w:hAnsi="Times New Roman" w:cs="Times New Roman"/>
          <w:i/>
          <w:color w:val="000000" w:themeColor="text1"/>
          <w:sz w:val="24"/>
          <w:szCs w:val="24"/>
        </w:rPr>
        <w:t>aport</w:t>
      </w:r>
      <w:r w:rsidR="00DF7451" w:rsidRPr="00580290">
        <w:rPr>
          <w:rFonts w:ascii="Times New Roman" w:hAnsi="Times New Roman" w:cs="Times New Roman"/>
          <w:i/>
          <w:sz w:val="24"/>
          <w:szCs w:val="24"/>
        </w:rPr>
        <w:t xml:space="preserve"> de audit</w:t>
      </w:r>
      <w:r w:rsidR="00DF7451" w:rsidRPr="004D46EC">
        <w:rPr>
          <w:rFonts w:ascii="Times New Roman" w:hAnsi="Times New Roman" w:cs="Times New Roman"/>
          <w:sz w:val="24"/>
          <w:szCs w:val="24"/>
        </w:rPr>
        <w:t xml:space="preserve">. </w:t>
      </w:r>
    </w:p>
    <w:p w14:paraId="5D582F78" w14:textId="308F4266" w:rsidR="007E6971" w:rsidRPr="003A5ACD" w:rsidRDefault="00DF7451" w:rsidP="00651920">
      <w:pPr>
        <w:jc w:val="both"/>
        <w:rPr>
          <w:rFonts w:ascii="Times New Roman" w:hAnsi="Times New Roman" w:cs="Times New Roman"/>
          <w:sz w:val="24"/>
          <w:szCs w:val="24"/>
        </w:rPr>
      </w:pPr>
      <w:r>
        <w:rPr>
          <w:rFonts w:ascii="Times New Roman" w:hAnsi="Times New Roman" w:cs="Times New Roman"/>
          <w:sz w:val="24"/>
          <w:szCs w:val="24"/>
        </w:rPr>
        <w:t xml:space="preserve">Observațiile de audit denotă că CS </w:t>
      </w:r>
      <w:r w:rsidRPr="00651920">
        <w:rPr>
          <w:rFonts w:ascii="Times New Roman" w:hAnsi="Times New Roman" w:cs="Times New Roman"/>
          <w:sz w:val="24"/>
          <w:szCs w:val="24"/>
        </w:rPr>
        <w:t xml:space="preserve">dispune de </w:t>
      </w:r>
      <w:r>
        <w:rPr>
          <w:rFonts w:ascii="Times New Roman" w:hAnsi="Times New Roman" w:cs="Times New Roman"/>
          <w:sz w:val="24"/>
          <w:szCs w:val="24"/>
        </w:rPr>
        <w:t xml:space="preserve">procese operaționale </w:t>
      </w:r>
      <w:r w:rsidRPr="00885B40">
        <w:rPr>
          <w:rFonts w:ascii="Times New Roman" w:hAnsi="Times New Roman" w:cs="Times New Roman"/>
          <w:sz w:val="24"/>
          <w:szCs w:val="24"/>
        </w:rPr>
        <w:t>funcționale care au asigurat conformitatea valorificării mijloacelor pentru remunerarea angajaților</w:t>
      </w:r>
      <w:r>
        <w:rPr>
          <w:rFonts w:ascii="Times New Roman" w:hAnsi="Times New Roman" w:cs="Times New Roman"/>
          <w:sz w:val="24"/>
          <w:szCs w:val="24"/>
        </w:rPr>
        <w:t xml:space="preserve"> autorității</w:t>
      </w:r>
      <w:r w:rsidRPr="00885B40">
        <w:rPr>
          <w:rFonts w:ascii="Times New Roman" w:hAnsi="Times New Roman" w:cs="Times New Roman"/>
          <w:sz w:val="24"/>
          <w:szCs w:val="24"/>
        </w:rPr>
        <w:t>, cheltuielilor  pentru delegarea personalului</w:t>
      </w:r>
      <w:r>
        <w:rPr>
          <w:rFonts w:ascii="Times New Roman" w:hAnsi="Times New Roman" w:cs="Times New Roman"/>
          <w:sz w:val="24"/>
          <w:szCs w:val="24"/>
        </w:rPr>
        <w:t>,</w:t>
      </w:r>
      <w:r w:rsidRPr="00885B40">
        <w:rPr>
          <w:rFonts w:ascii="Times New Roman" w:hAnsi="Times New Roman" w:cs="Times New Roman"/>
          <w:sz w:val="24"/>
          <w:szCs w:val="24"/>
        </w:rPr>
        <w:t xml:space="preserve"> care reprezintă o </w:t>
      </w:r>
      <w:r w:rsidRPr="00DA7801">
        <w:rPr>
          <w:rFonts w:ascii="Times New Roman" w:hAnsi="Times New Roman" w:cs="Times New Roman"/>
          <w:sz w:val="24"/>
          <w:szCs w:val="24"/>
        </w:rPr>
        <w:t>pondere de 21%</w:t>
      </w:r>
      <w:r w:rsidRPr="00885B40">
        <w:rPr>
          <w:rFonts w:ascii="Times New Roman" w:hAnsi="Times New Roman" w:cs="Times New Roman"/>
          <w:sz w:val="24"/>
          <w:szCs w:val="24"/>
        </w:rPr>
        <w:t xml:space="preserve"> </w:t>
      </w:r>
      <w:r>
        <w:rPr>
          <w:rFonts w:ascii="Times New Roman" w:hAnsi="Times New Roman" w:cs="Times New Roman"/>
          <w:sz w:val="24"/>
          <w:szCs w:val="24"/>
        </w:rPr>
        <w:t>din</w:t>
      </w:r>
      <w:r w:rsidRPr="00885B40">
        <w:rPr>
          <w:rFonts w:ascii="Times New Roman" w:hAnsi="Times New Roman" w:cs="Times New Roman"/>
          <w:sz w:val="24"/>
          <w:szCs w:val="24"/>
        </w:rPr>
        <w:t xml:space="preserve"> totalul cheltuieli</w:t>
      </w:r>
      <w:r>
        <w:rPr>
          <w:rFonts w:ascii="Times New Roman" w:hAnsi="Times New Roman" w:cs="Times New Roman"/>
          <w:sz w:val="24"/>
          <w:szCs w:val="24"/>
        </w:rPr>
        <w:t>lor autorității</w:t>
      </w:r>
      <w:r w:rsidRPr="00885B40">
        <w:rPr>
          <w:rFonts w:ascii="Times New Roman" w:hAnsi="Times New Roman" w:cs="Times New Roman"/>
          <w:sz w:val="24"/>
          <w:szCs w:val="24"/>
        </w:rPr>
        <w:t>. Concomitent, se relevă existența unor neconformități și aspecte problematice în valorificarea mijloacelor pentru achiziționarea de bunuri și servicii admise atât de către CS, cât și de către instituțiile monitorizate de autoritate. O situație deficitară se constată la valorificarea resurselor din bugetul de stat, alocate de CS sub formă de granturi și subvenții, fapt condiționat și de lipsa unui cadru normativ care ar reglementa gestionarea mijloacelor respective</w:t>
      </w:r>
      <w:r>
        <w:rPr>
          <w:rFonts w:ascii="Times New Roman" w:hAnsi="Times New Roman" w:cs="Times New Roman"/>
          <w:sz w:val="24"/>
          <w:szCs w:val="24"/>
        </w:rPr>
        <w:t>, constatări expuse în următoarele compartimente</w:t>
      </w:r>
      <w:r w:rsidR="00F35C77" w:rsidRPr="003A5ACD">
        <w:rPr>
          <w:rFonts w:ascii="Times New Roman" w:hAnsi="Times New Roman" w:cs="Times New Roman"/>
          <w:sz w:val="24"/>
          <w:szCs w:val="24"/>
        </w:rPr>
        <w:t xml:space="preserve">. </w:t>
      </w:r>
    </w:p>
    <w:p w14:paraId="1B21F5C6" w14:textId="38EBCB49" w:rsidR="00885B40" w:rsidRPr="003A5ACD" w:rsidRDefault="00DF7451" w:rsidP="003A5ACD">
      <w:pPr>
        <w:pStyle w:val="a7"/>
        <w:numPr>
          <w:ilvl w:val="2"/>
          <w:numId w:val="4"/>
        </w:numPr>
        <w:tabs>
          <w:tab w:val="left" w:pos="567"/>
        </w:tabs>
        <w:spacing w:before="120" w:after="0" w:line="276" w:lineRule="auto"/>
        <w:ind w:left="0" w:firstLine="0"/>
        <w:contextualSpacing w:val="0"/>
        <w:jc w:val="both"/>
        <w:rPr>
          <w:rFonts w:ascii="Times New Roman" w:hAnsi="Times New Roman" w:cs="Times New Roman"/>
          <w:b/>
          <w:color w:val="0070C0"/>
          <w:sz w:val="24"/>
          <w:szCs w:val="24"/>
          <w:lang w:val="ro-RO"/>
        </w:rPr>
      </w:pPr>
      <w:r>
        <w:rPr>
          <w:rFonts w:ascii="Times New Roman" w:hAnsi="Times New Roman" w:cs="Times New Roman"/>
          <w:b/>
          <w:color w:val="0070C0"/>
          <w:sz w:val="24"/>
          <w:szCs w:val="24"/>
          <w:lang w:val="ro-RO"/>
        </w:rPr>
        <w:t xml:space="preserve"> </w:t>
      </w:r>
      <w:r w:rsidRPr="00DF7451">
        <w:rPr>
          <w:rFonts w:ascii="Times New Roman" w:hAnsi="Times New Roman" w:cs="Times New Roman"/>
          <w:b/>
          <w:color w:val="0070C0"/>
          <w:sz w:val="24"/>
          <w:szCs w:val="24"/>
          <w:lang w:val="ro-RO"/>
        </w:rPr>
        <w:t>Lipsa cadrului normativ care ar reglementa gestionarea sumelor alocate entităților sub formă de granturi și subvenții, limitează transparența utilizării lor și creează premise de valorificare neconformă a acestora</w:t>
      </w:r>
      <w:r>
        <w:rPr>
          <w:rFonts w:ascii="Times New Roman" w:hAnsi="Times New Roman" w:cs="Times New Roman"/>
          <w:b/>
          <w:color w:val="0070C0"/>
          <w:sz w:val="24"/>
          <w:szCs w:val="24"/>
          <w:lang w:val="ro-RO"/>
        </w:rPr>
        <w:t>.</w:t>
      </w:r>
    </w:p>
    <w:p w14:paraId="00DE64FB" w14:textId="2AA1FB8F" w:rsidR="00885B40" w:rsidRPr="003B329E" w:rsidRDefault="00885B40" w:rsidP="00471560">
      <w:pPr>
        <w:pStyle w:val="af0"/>
        <w:spacing w:before="120" w:after="80" w:line="276" w:lineRule="auto"/>
        <w:jc w:val="both"/>
        <w:rPr>
          <w:lang w:val="ro-RO"/>
        </w:rPr>
      </w:pPr>
      <w:r w:rsidRPr="003B329E">
        <w:rPr>
          <w:lang w:val="ro-RO"/>
        </w:rPr>
        <w:t>Unele instituții publice autonome monitorizate de CS, pentru realizarea acțiunilor prestabilite și acoperirea necesităților proprii</w:t>
      </w:r>
      <w:r w:rsidR="00DF7451">
        <w:rPr>
          <w:lang w:val="ro-RO"/>
        </w:rPr>
        <w:t>,</w:t>
      </w:r>
      <w:r w:rsidRPr="003B329E">
        <w:rPr>
          <w:lang w:val="ro-RO"/>
        </w:rPr>
        <w:t xml:space="preserve"> au fost sistemic sprijinite financiar de stat prin intermediul fondatorului, fiindu-le alocate mijloace bugetare sub formă de granturi și subvenții.</w:t>
      </w:r>
      <w:r w:rsidR="00BA69A9">
        <w:rPr>
          <w:lang w:val="ro-RO"/>
        </w:rPr>
        <w:t xml:space="preserve"> </w:t>
      </w:r>
    </w:p>
    <w:p w14:paraId="317EDE60" w14:textId="6CD084C2" w:rsidR="00DF7451" w:rsidRPr="003B329E" w:rsidRDefault="00DF7451" w:rsidP="00DF7451">
      <w:pPr>
        <w:pStyle w:val="af0"/>
        <w:spacing w:after="120" w:line="276" w:lineRule="auto"/>
        <w:jc w:val="both"/>
        <w:rPr>
          <w:lang w:val="pt-BR"/>
        </w:rPr>
      </w:pPr>
      <w:r w:rsidRPr="003B329E">
        <w:rPr>
          <w:lang w:val="pt-BR"/>
        </w:rPr>
        <w:t xml:space="preserve">Deși aceste două tipuri de susținere financiară a instituțiilor publice prin natura </w:t>
      </w:r>
      <w:r>
        <w:rPr>
          <w:lang w:val="pt-BR"/>
        </w:rPr>
        <w:t>lor</w:t>
      </w:r>
      <w:r w:rsidRPr="003B329E">
        <w:rPr>
          <w:lang w:val="pt-BR"/>
        </w:rPr>
        <w:t xml:space="preserve"> provin din surse bugetare și urmează a fi gestionate conform regulilor bugetar-fiscale, în Legea finanţelor publice şi responsabilităţii bugetar-fiscale</w:t>
      </w:r>
      <w:r w:rsidRPr="003B329E">
        <w:rPr>
          <w:rStyle w:val="a5"/>
          <w:lang w:val="pt-BR"/>
        </w:rPr>
        <w:footnoteReference w:id="26"/>
      </w:r>
      <w:r w:rsidRPr="003B329E">
        <w:rPr>
          <w:lang w:val="pt-BR"/>
        </w:rPr>
        <w:t xml:space="preserve"> nu se regăsește o definire clară a acestor noțiuni. Mai mult </w:t>
      </w:r>
      <w:r>
        <w:rPr>
          <w:lang w:val="pt-BR"/>
        </w:rPr>
        <w:t>decât</w:t>
      </w:r>
      <w:r w:rsidRPr="003B329E">
        <w:rPr>
          <w:lang w:val="pt-BR"/>
        </w:rPr>
        <w:t xml:space="preserve"> at</w:t>
      </w:r>
      <w:r>
        <w:rPr>
          <w:lang w:val="pt-BR"/>
        </w:rPr>
        <w:t>â</w:t>
      </w:r>
      <w:r w:rsidRPr="003B329E">
        <w:rPr>
          <w:lang w:val="pt-BR"/>
        </w:rPr>
        <w:t>t, în art. 29 din legea prenotată</w:t>
      </w:r>
      <w:r>
        <w:rPr>
          <w:lang w:val="pt-BR"/>
        </w:rPr>
        <w:t>,</w:t>
      </w:r>
      <w:r w:rsidRPr="003B329E">
        <w:rPr>
          <w:lang w:val="pt-BR"/>
        </w:rPr>
        <w:t xml:space="preserve"> la categoriia „cheltuieli bugetare”</w:t>
      </w:r>
      <w:r>
        <w:rPr>
          <w:lang w:val="pt-BR"/>
        </w:rPr>
        <w:t>,</w:t>
      </w:r>
      <w:r w:rsidRPr="003B329E">
        <w:rPr>
          <w:lang w:val="pt-BR"/>
        </w:rPr>
        <w:t xml:space="preserve"> s</w:t>
      </w:r>
      <w:r>
        <w:rPr>
          <w:lang w:val="pt-BR"/>
        </w:rPr>
        <w:t>u</w:t>
      </w:r>
      <w:r w:rsidRPr="003B329E">
        <w:rPr>
          <w:lang w:val="pt-BR"/>
        </w:rPr>
        <w:t xml:space="preserve">nt </w:t>
      </w:r>
      <w:r>
        <w:rPr>
          <w:lang w:val="pt-BR"/>
        </w:rPr>
        <w:t>î</w:t>
      </w:r>
      <w:r w:rsidRPr="003B329E">
        <w:rPr>
          <w:lang w:val="pt-BR"/>
        </w:rPr>
        <w:t>ncorporate cheltuielile provenite din subvenții, c</w:t>
      </w:r>
      <w:r>
        <w:rPr>
          <w:lang w:val="pt-BR"/>
        </w:rPr>
        <w:t>â</w:t>
      </w:r>
      <w:r w:rsidRPr="003B329E">
        <w:rPr>
          <w:lang w:val="pt-BR"/>
        </w:rPr>
        <w:t>t despre cele aferente granturilor n</w:t>
      </w:r>
      <w:r>
        <w:rPr>
          <w:lang w:val="pt-BR"/>
        </w:rPr>
        <w:t>u</w:t>
      </w:r>
      <w:r w:rsidRPr="003B329E">
        <w:rPr>
          <w:lang w:val="pt-BR"/>
        </w:rPr>
        <w:t xml:space="preserve"> se menționează că acestea reprezintă parte componentă a cheltuielilor bugetare. Totuși o definire sumară a acestor tipuri de finanțare</w:t>
      </w:r>
      <w:r w:rsidRPr="003B329E">
        <w:rPr>
          <w:rStyle w:val="a5"/>
          <w:lang w:val="pt-BR"/>
        </w:rPr>
        <w:footnoteReference w:id="27"/>
      </w:r>
      <w:r w:rsidRPr="003B329E">
        <w:rPr>
          <w:lang w:val="pt-BR"/>
        </w:rPr>
        <w:t xml:space="preserve"> se regăsește în Ordinul MF </w:t>
      </w:r>
      <w:r>
        <w:rPr>
          <w:lang w:val="pt-BR"/>
        </w:rPr>
        <w:t xml:space="preserve">nr. </w:t>
      </w:r>
      <w:r w:rsidRPr="003B329E">
        <w:rPr>
          <w:lang w:val="pt-BR"/>
        </w:rPr>
        <w:t xml:space="preserve">216/2015. </w:t>
      </w:r>
    </w:p>
    <w:p w14:paraId="6DFA41DC" w14:textId="6F12E4C0" w:rsidR="00885B40" w:rsidRPr="003B329E" w:rsidRDefault="00DF7451" w:rsidP="00885B40">
      <w:pPr>
        <w:pStyle w:val="af0"/>
        <w:spacing w:before="120" w:after="120" w:line="276" w:lineRule="auto"/>
        <w:jc w:val="both"/>
        <w:rPr>
          <w:lang w:val="ro-RO"/>
        </w:rPr>
      </w:pPr>
      <w:r w:rsidRPr="003B329E">
        <w:rPr>
          <w:lang w:val="ro-RO"/>
        </w:rPr>
        <w:t>Conform datelor raportate de CS, se atestă că în anii 2018-2022 ponderea subvențiilor și granturilor din valoarea totală a mijloacelor bugetare alocate autorității centrale și distribuite instituțiilor publice fondate a fost una semnificativă</w:t>
      </w:r>
      <w:r>
        <w:rPr>
          <w:lang w:val="ro-RO"/>
        </w:rPr>
        <w:t xml:space="preserve"> și se cifrează la suma de 543,6</w:t>
      </w:r>
      <w:r w:rsidRPr="003B329E">
        <w:rPr>
          <w:lang w:val="ro-RO"/>
        </w:rPr>
        <w:t xml:space="preserve"> mil. lei</w:t>
      </w:r>
      <w:r>
        <w:rPr>
          <w:lang w:val="ro-RO"/>
        </w:rPr>
        <w:t>,</w:t>
      </w:r>
      <w:r w:rsidRPr="003B329E">
        <w:rPr>
          <w:lang w:val="ro-RO"/>
        </w:rPr>
        <w:t xml:space="preserve"> sau 30% din totalul mijloacelor gesti</w:t>
      </w:r>
      <w:r>
        <w:rPr>
          <w:lang w:val="ro-RO"/>
        </w:rPr>
        <w:t>onate, inclusiv subvenții – 324,0</w:t>
      </w:r>
      <w:r w:rsidRPr="003B329E">
        <w:rPr>
          <w:lang w:val="ro-RO"/>
        </w:rPr>
        <w:t xml:space="preserve"> mil. lei</w:t>
      </w:r>
      <w:r>
        <w:rPr>
          <w:lang w:val="ro-RO"/>
        </w:rPr>
        <w:t xml:space="preserve">  și granturi – 219,6 mil.lei. </w:t>
      </w:r>
    </w:p>
    <w:p w14:paraId="7F2BCE7D" w14:textId="058BF30B" w:rsidR="00DF7451" w:rsidRPr="003B329E" w:rsidRDefault="00DF7451" w:rsidP="00DF7451">
      <w:pPr>
        <w:pStyle w:val="af0"/>
        <w:spacing w:before="120" w:after="120" w:line="276" w:lineRule="auto"/>
        <w:jc w:val="both"/>
        <w:rPr>
          <w:i/>
          <w:lang w:val="ro-RO"/>
        </w:rPr>
      </w:pPr>
      <w:r w:rsidRPr="003B329E">
        <w:rPr>
          <w:i/>
          <w:lang w:val="ro-RO"/>
        </w:rPr>
        <w:t>Datele privind sumele precizate și alocate sub form</w:t>
      </w:r>
      <w:r>
        <w:rPr>
          <w:i/>
          <w:lang w:val="ro-RO"/>
        </w:rPr>
        <w:t>ă</w:t>
      </w:r>
      <w:r w:rsidRPr="003B329E">
        <w:rPr>
          <w:i/>
          <w:lang w:val="ro-RO"/>
        </w:rPr>
        <w:t xml:space="preserve"> de subvenții/granturi repartizate pe ani se prezintă în Diagrama de mai jos.</w:t>
      </w:r>
    </w:p>
    <w:p w14:paraId="240764F1" w14:textId="07B7AD91" w:rsidR="00885B40" w:rsidRDefault="00BD37DA" w:rsidP="0037034E">
      <w:pPr>
        <w:shd w:val="clear" w:color="auto" w:fill="FFFFFF"/>
        <w:tabs>
          <w:tab w:val="left" w:pos="0"/>
          <w:tab w:val="left" w:pos="450"/>
          <w:tab w:val="left" w:pos="990"/>
        </w:tabs>
        <w:spacing w:after="0" w:line="240" w:lineRule="auto"/>
        <w:ind w:right="11"/>
        <w:jc w:val="center"/>
        <w:rPr>
          <w:noProof/>
          <w:lang w:val="en-US"/>
        </w:rPr>
      </w:pPr>
      <w:r>
        <w:rPr>
          <w:noProof/>
          <w:lang w:val="ru-RU" w:eastAsia="ru-RU"/>
        </w:rPr>
        <mc:AlternateContent>
          <mc:Choice Requires="wps">
            <w:drawing>
              <wp:anchor distT="0" distB="0" distL="114300" distR="114300" simplePos="0" relativeHeight="251665408" behindDoc="0" locked="0" layoutInCell="1" allowOverlap="1" wp14:anchorId="6EFD6338" wp14:editId="099E7672">
                <wp:simplePos x="0" y="0"/>
                <wp:positionH relativeFrom="column">
                  <wp:posOffset>1097280</wp:posOffset>
                </wp:positionH>
                <wp:positionV relativeFrom="paragraph">
                  <wp:posOffset>746760</wp:posOffset>
                </wp:positionV>
                <wp:extent cx="4328160" cy="1380490"/>
                <wp:effectExtent l="19050" t="0" r="15240" b="10160"/>
                <wp:wrapNone/>
                <wp:docPr id="16" name="Freeform 12"/>
                <wp:cNvGraphicFramePr/>
                <a:graphic xmlns:a="http://schemas.openxmlformats.org/drawingml/2006/main">
                  <a:graphicData uri="http://schemas.microsoft.com/office/word/2010/wordprocessingShape">
                    <wps:wsp>
                      <wps:cNvSpPr/>
                      <wps:spPr>
                        <a:xfrm>
                          <a:off x="0" y="0"/>
                          <a:ext cx="4328160" cy="1380490"/>
                        </a:xfrm>
                        <a:custGeom>
                          <a:avLst/>
                          <a:gdLst>
                            <a:gd name="connsiteX0" fmla="*/ 1364 w 4328410"/>
                            <a:gd name="connsiteY0" fmla="*/ 1000517 h 1060692"/>
                            <a:gd name="connsiteX1" fmla="*/ 176624 w 4328410"/>
                            <a:gd name="connsiteY1" fmla="*/ 992897 h 1060692"/>
                            <a:gd name="connsiteX2" fmla="*/ 1106264 w 4328410"/>
                            <a:gd name="connsiteY2" fmla="*/ 314717 h 1060692"/>
                            <a:gd name="connsiteX3" fmla="*/ 2089244 w 4328410"/>
                            <a:gd name="connsiteY3" fmla="*/ 543317 h 1060692"/>
                            <a:gd name="connsiteX4" fmla="*/ 3072224 w 4328410"/>
                            <a:gd name="connsiteY4" fmla="*/ 230897 h 1060692"/>
                            <a:gd name="connsiteX5" fmla="*/ 4192364 w 4328410"/>
                            <a:gd name="connsiteY5" fmla="*/ 32777 h 1060692"/>
                            <a:gd name="connsiteX6" fmla="*/ 4268564 w 4328410"/>
                            <a:gd name="connsiteY6" fmla="*/ 2297 h 10606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28410" h="1060692">
                              <a:moveTo>
                                <a:pt x="1364" y="1000517"/>
                              </a:moveTo>
                              <a:cubicBezTo>
                                <a:pt x="-3081" y="1053857"/>
                                <a:pt x="-7526" y="1107197"/>
                                <a:pt x="176624" y="992897"/>
                              </a:cubicBezTo>
                              <a:cubicBezTo>
                                <a:pt x="360774" y="878597"/>
                                <a:pt x="787494" y="389647"/>
                                <a:pt x="1106264" y="314717"/>
                              </a:cubicBezTo>
                              <a:cubicBezTo>
                                <a:pt x="1425034" y="239787"/>
                                <a:pt x="1761584" y="557287"/>
                                <a:pt x="2089244" y="543317"/>
                              </a:cubicBezTo>
                              <a:cubicBezTo>
                                <a:pt x="2416904" y="529347"/>
                                <a:pt x="2721704" y="315987"/>
                                <a:pt x="3072224" y="230897"/>
                              </a:cubicBezTo>
                              <a:cubicBezTo>
                                <a:pt x="3422744" y="145807"/>
                                <a:pt x="3992974" y="70877"/>
                                <a:pt x="4192364" y="32777"/>
                              </a:cubicBezTo>
                              <a:cubicBezTo>
                                <a:pt x="4391754" y="-5323"/>
                                <a:pt x="4330159" y="-1513"/>
                                <a:pt x="4268564" y="2297"/>
                              </a:cubicBezTo>
                            </a:path>
                          </a:pathLst>
                        </a:custGeom>
                        <a:ln w="12700">
                          <a:solidFill>
                            <a:srgbClr val="FF0000"/>
                          </a:solidFill>
                          <a:prstDash val="sysDash"/>
                        </a:ln>
                      </wps:spPr>
                      <wps:style>
                        <a:lnRef idx="1">
                          <a:schemeClr val="accent2"/>
                        </a:lnRef>
                        <a:fillRef idx="0">
                          <a:schemeClr val="accent2"/>
                        </a:fillRef>
                        <a:effectRef idx="0">
                          <a:schemeClr val="accent2"/>
                        </a:effectRef>
                        <a:fontRef idx="minor">
                          <a:schemeClr val="tx1"/>
                        </a:fontRef>
                      </wps:style>
                      <wps:bodyPr vertOverflow="clip" horzOverflow="clip" rtlCol="0" anchor="t"/>
                    </wps:wsp>
                  </a:graphicData>
                </a:graphic>
              </wp:anchor>
            </w:drawing>
          </mc:Choice>
          <mc:Fallback xmlns:w16se="http://schemas.microsoft.com/office/word/2015/wordml/symex" xmlns:cx1="http://schemas.microsoft.com/office/drawing/2015/9/8/chartex" xmlns:cx="http://schemas.microsoft.com/office/drawing/2014/chartex">
            <w:pict>
              <v:shape w14:anchorId="70BDF134" id="Freeform 12" o:spid="_x0000_s1026" style="position:absolute;margin-left:86.4pt;margin-top:58.8pt;width:340.8pt;height:108.7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4328410,1060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" path="m1364,1000517v-4445,53340,-8890,106680,175260,-7620c360774,878597,787494,389647,1106264,314717v318770,-74930,655320,242570,982980,228600c2416904,529347,2721704,315987,3072224,230897,3422744,145807,3992974,70877,4192364,32777,4391754,-5323,4330159,-1513,4268564,2297e" filled="f" strokecolor="red" strokeweight="1pt">
                <v:stroke dashstyle="3 1" joinstyle="miter"/>
                <v:path arrowok="t" o:connecttype="custom" o:connectlocs="1364,1302172;176614,1292255;1106200,409604;2089123,707127;3072047,300512;4192122,42659;4268317,2990" o:connectangles="0,0,0,0,0,0,0"/>
              </v:shape>
            </w:pict>
          </mc:Fallback>
        </mc:AlternateContent>
      </w:r>
      <w:r w:rsidR="0037034E" w:rsidRPr="00BD37DA">
        <w:rPr>
          <w:rFonts w:ascii="Times New Roman" w:hAnsi="Times New Roman" w:cs="Times New Roman"/>
          <w:b/>
          <w:i/>
          <w:sz w:val="24"/>
          <w:szCs w:val="24"/>
          <w:lang w:val="ro-RO"/>
        </w:rPr>
        <w:t xml:space="preserve">Diagrama nr. 2: </w:t>
      </w:r>
      <w:r w:rsidR="00DF7451" w:rsidRPr="00BD37DA">
        <w:rPr>
          <w:rFonts w:ascii="Times New Roman" w:hAnsi="Times New Roman" w:cs="Times New Roman"/>
          <w:b/>
          <w:i/>
          <w:sz w:val="24"/>
          <w:szCs w:val="24"/>
          <w:lang w:val="ro-RO"/>
        </w:rPr>
        <w:t>Informații cu privire la executarea subvențiilor/granturilor acordate din buget CS, repartizate pe anii</w:t>
      </w:r>
      <w:r w:rsidR="0037034E" w:rsidRPr="00BD37DA">
        <w:rPr>
          <w:rFonts w:ascii="Times New Roman" w:hAnsi="Times New Roman" w:cs="Times New Roman"/>
          <w:b/>
          <w:i/>
          <w:sz w:val="24"/>
          <w:szCs w:val="24"/>
          <w:lang w:val="ro-RO"/>
        </w:rPr>
        <w:t xml:space="preserve"> 2018-2022</w:t>
      </w:r>
      <w:r w:rsidR="00ED6640">
        <w:rPr>
          <w:noProof/>
          <w:lang w:val="ru-RU" w:eastAsia="ru-RU"/>
        </w:rPr>
        <w:drawing>
          <wp:inline distT="0" distB="0" distL="0" distR="0" wp14:anchorId="15D08BE7" wp14:editId="3D77C9E5">
            <wp:extent cx="5288280" cy="3101340"/>
            <wp:effectExtent l="0" t="0" r="7620" b="381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F5634D1" w14:textId="22457F21" w:rsidR="00DF7451" w:rsidRPr="00580290" w:rsidRDefault="00BA69A9" w:rsidP="00DF7451">
      <w:pPr>
        <w:pStyle w:val="af0"/>
        <w:spacing w:after="120"/>
        <w:rPr>
          <w:sz w:val="16"/>
          <w:szCs w:val="16"/>
        </w:rPr>
      </w:pPr>
      <w:r>
        <w:rPr>
          <w:rFonts w:asciiTheme="majorHAnsi" w:hAnsiTheme="majorHAnsi" w:cstheme="majorHAnsi"/>
          <w:i/>
          <w:sz w:val="16"/>
          <w:szCs w:val="16"/>
          <w:lang w:val="ro-RO"/>
        </w:rPr>
        <w:t xml:space="preserve">     </w:t>
      </w:r>
      <w:r w:rsidR="00DF7451">
        <w:rPr>
          <w:rFonts w:asciiTheme="majorHAnsi" w:hAnsiTheme="majorHAnsi" w:cstheme="majorHAnsi"/>
          <w:i/>
          <w:sz w:val="16"/>
          <w:szCs w:val="16"/>
          <w:lang w:val="ro-RO"/>
        </w:rPr>
        <w:t xml:space="preserve">          </w:t>
      </w:r>
      <w:r>
        <w:rPr>
          <w:rFonts w:asciiTheme="majorHAnsi" w:hAnsiTheme="majorHAnsi" w:cstheme="majorHAnsi"/>
          <w:i/>
          <w:sz w:val="16"/>
          <w:szCs w:val="16"/>
          <w:lang w:val="ro-RO"/>
        </w:rPr>
        <w:t xml:space="preserve">     </w:t>
      </w:r>
      <w:r w:rsidR="00DF7451" w:rsidRPr="00580290">
        <w:rPr>
          <w:i/>
          <w:sz w:val="16"/>
          <w:szCs w:val="16"/>
          <w:lang w:val="ro-RO"/>
        </w:rPr>
        <w:t>Sursa</w:t>
      </w:r>
      <w:r w:rsidR="00DF7451" w:rsidRPr="00580290">
        <w:rPr>
          <w:sz w:val="16"/>
          <w:szCs w:val="16"/>
          <w:lang w:val="ro-RO"/>
        </w:rPr>
        <w:t>: Darea de seamă „Informația cu privire la executarea subvențiilor/granturilor acordate CS</w:t>
      </w:r>
      <w:r w:rsidR="00DF7451" w:rsidRPr="00580290">
        <w:rPr>
          <w:sz w:val="16"/>
          <w:szCs w:val="16"/>
        </w:rPr>
        <w:t xml:space="preserve">” </w:t>
      </w:r>
      <w:r w:rsidR="00DF7451" w:rsidRPr="00580290">
        <w:rPr>
          <w:sz w:val="16"/>
          <w:szCs w:val="16"/>
          <w:lang w:val="ro-RO"/>
        </w:rPr>
        <w:t>pentru anii 2018-2022</w:t>
      </w:r>
      <w:r w:rsidR="00DF7451">
        <w:rPr>
          <w:sz w:val="16"/>
          <w:szCs w:val="16"/>
          <w:lang w:val="ro-RO"/>
        </w:rPr>
        <w:t>.</w:t>
      </w:r>
    </w:p>
    <w:p w14:paraId="19AFDE55" w14:textId="2AD55013" w:rsidR="00885B40" w:rsidRPr="003B329E" w:rsidRDefault="00DF7451" w:rsidP="00DF7451">
      <w:pPr>
        <w:pStyle w:val="af0"/>
        <w:jc w:val="both"/>
        <w:rPr>
          <w:lang w:val="pt-BR"/>
        </w:rPr>
      </w:pPr>
      <w:r w:rsidRPr="003E4C15">
        <w:t>D</w:t>
      </w:r>
      <w:r w:rsidRPr="003B329E">
        <w:t>atele sistematizate în diagramă relevă că</w:t>
      </w:r>
      <w:r>
        <w:t>,</w:t>
      </w:r>
      <w:r w:rsidRPr="003B329E">
        <w:t xml:space="preserve"> </w:t>
      </w:r>
      <w:r w:rsidRPr="003B329E">
        <w:rPr>
          <w:lang w:val="ro-RO"/>
        </w:rPr>
        <w:t xml:space="preserve">pe parcursul celor cinci ani analizați, se atestă un trend oscilant al sumelor </w:t>
      </w:r>
      <w:r w:rsidRPr="003B329E">
        <w:t xml:space="preserve">executate de instituțiile monitorizate de CS din contul subvențiilor/granturilor, cele mai semnificative </w:t>
      </w:r>
      <w:r>
        <w:t xml:space="preserve">sume fiind utilizate în anii 2021 și 2022, respectiv fiind valorificate mijloace bugetare în cuantum de </w:t>
      </w:r>
      <w:r w:rsidRPr="003B329E">
        <w:t xml:space="preserve">137,0 mil.lei și </w:t>
      </w:r>
      <w:r>
        <w:t>de 122,0</w:t>
      </w:r>
      <w:r w:rsidRPr="003B329E">
        <w:t xml:space="preserve"> mil.lei. </w:t>
      </w:r>
      <w:r>
        <w:t>Se denotă că în anul 2022 nivelul mijloacelor valorificate din această sursă de către I.P. a depășit valoarea sumelor alocate de la bugetul de stat cu 27,3 mil. lei (24%), situația explicându-se prin utilizarea mijloacelor din contul soldurilor neutilizate de la sfârșitul anului bugetar precedent.</w:t>
      </w:r>
      <w:r w:rsidR="00BA69A9">
        <w:t xml:space="preserve"> </w:t>
      </w:r>
      <w:r w:rsidR="00E61551">
        <w:t xml:space="preserve"> </w:t>
      </w:r>
    </w:p>
    <w:p w14:paraId="64E928CC" w14:textId="77777777" w:rsidR="00DF7451" w:rsidRPr="003B329E" w:rsidRDefault="00DF7451" w:rsidP="00DF7451">
      <w:pPr>
        <w:pStyle w:val="af0"/>
        <w:spacing w:after="120" w:line="276" w:lineRule="auto"/>
        <w:jc w:val="both"/>
        <w:rPr>
          <w:lang w:val="ro-RO"/>
        </w:rPr>
      </w:pPr>
      <w:r w:rsidRPr="003B329E">
        <w:rPr>
          <w:lang w:val="pt-BR"/>
        </w:rPr>
        <w:t>Deși în perioada auditată planificarea granturilor a avut loc în baza circularelor MF privind elaborarea bugetelor anuale</w:t>
      </w:r>
      <w:r w:rsidRPr="003B329E">
        <w:rPr>
          <w:rStyle w:val="a5"/>
          <w:lang w:val="ro-RO"/>
        </w:rPr>
        <w:footnoteReference w:id="28"/>
      </w:r>
      <w:r w:rsidRPr="003B329E">
        <w:rPr>
          <w:lang w:val="pt-BR"/>
        </w:rPr>
        <w:t xml:space="preserve"> (Formularul nr. 5</w:t>
      </w:r>
      <w:r w:rsidRPr="003B329E">
        <w:rPr>
          <w:rStyle w:val="a5"/>
          <w:lang w:val="pt-BR"/>
        </w:rPr>
        <w:footnoteReference w:id="29"/>
      </w:r>
      <w:r w:rsidRPr="003B329E">
        <w:rPr>
          <w:lang w:val="pt-BR"/>
        </w:rPr>
        <w:t>)</w:t>
      </w:r>
      <w:r>
        <w:rPr>
          <w:lang w:val="pt-BR"/>
        </w:rPr>
        <w:t>,</w:t>
      </w:r>
      <w:r w:rsidRPr="003B329E">
        <w:rPr>
          <w:lang w:val="pt-BR"/>
        </w:rPr>
        <w:t xml:space="preserve"> iar raportarea acestor tipuri de alocații s-a efectuat în conformitate cu prevederile Ordinului MF nr. 164/2016 (Anexa nr. 1</w:t>
      </w:r>
      <w:r w:rsidRPr="003B329E">
        <w:rPr>
          <w:rStyle w:val="a5"/>
          <w:lang w:val="pt-BR"/>
        </w:rPr>
        <w:footnoteReference w:id="30"/>
      </w:r>
      <w:r w:rsidRPr="003B329E">
        <w:rPr>
          <w:lang w:val="pt-BR"/>
        </w:rPr>
        <w:t xml:space="preserve"> „Informație cu privire la executarea subvențiilor acordate din buget”), reglementările instituite nu prevăd expunerea datelor la un nivel </w:t>
      </w:r>
      <w:r>
        <w:rPr>
          <w:lang w:val="pt-BR"/>
        </w:rPr>
        <w:t xml:space="preserve">anumit </w:t>
      </w:r>
      <w:r w:rsidRPr="003B329E">
        <w:rPr>
          <w:lang w:val="pt-BR"/>
        </w:rPr>
        <w:t>de detaliere a indicatorilor planificați și raportați, care s-ar conforma regulilor</w:t>
      </w:r>
      <w:r>
        <w:rPr>
          <w:lang w:val="pt-BR"/>
        </w:rPr>
        <w:t xml:space="preserve"> </w:t>
      </w:r>
      <w:r w:rsidRPr="003B329E">
        <w:rPr>
          <w:lang w:val="pt-BR"/>
        </w:rPr>
        <w:t>bugetar</w:t>
      </w:r>
      <w:r>
        <w:rPr>
          <w:lang w:val="pt-BR"/>
        </w:rPr>
        <w:t>-</w:t>
      </w:r>
      <w:r w:rsidRPr="003B329E">
        <w:rPr>
          <w:lang w:val="pt-BR"/>
        </w:rPr>
        <w:t xml:space="preserve">fiscale și ar permite monitoringul din partea fondatorului și MF. </w:t>
      </w:r>
    </w:p>
    <w:p w14:paraId="65D2E35B" w14:textId="790C3153" w:rsidR="00DF7451" w:rsidRPr="003B329E" w:rsidRDefault="00DF7451" w:rsidP="00DF7451">
      <w:pPr>
        <w:pStyle w:val="af0"/>
        <w:spacing w:before="120" w:after="120" w:line="276" w:lineRule="auto"/>
        <w:jc w:val="both"/>
        <w:rPr>
          <w:lang w:val="pt-BR"/>
        </w:rPr>
      </w:pPr>
      <w:r w:rsidRPr="003B329E">
        <w:rPr>
          <w:lang w:val="pt-BR"/>
        </w:rPr>
        <w:t>Reieșind din cele menționate supra, și anume că modalitatea de finanțare a I</w:t>
      </w:r>
      <w:r>
        <w:rPr>
          <w:lang w:val="pt-BR"/>
        </w:rPr>
        <w:t>.</w:t>
      </w:r>
      <w:r w:rsidRPr="003B329E">
        <w:rPr>
          <w:lang w:val="pt-BR"/>
        </w:rPr>
        <w:t>P</w:t>
      </w:r>
      <w:r>
        <w:rPr>
          <w:lang w:val="pt-BR"/>
        </w:rPr>
        <w:t>.</w:t>
      </w:r>
      <w:r w:rsidRPr="003B329E">
        <w:rPr>
          <w:lang w:val="pt-BR"/>
        </w:rPr>
        <w:t xml:space="preserve"> monitorizate de CS prin granturi, în fapt reprezintă un suport financiar acordat de fondator din sursele bugetului de stat pentru realizarea unor acțiuni din planurile de ac</w:t>
      </w:r>
      <w:r>
        <w:rPr>
          <w:lang w:val="pt-BR"/>
        </w:rPr>
        <w:t>t</w:t>
      </w:r>
      <w:r w:rsidRPr="003B329E">
        <w:rPr>
          <w:lang w:val="pt-BR"/>
        </w:rPr>
        <w:t>ivitate a</w:t>
      </w:r>
      <w:r>
        <w:rPr>
          <w:lang w:val="pt-BR"/>
        </w:rPr>
        <w:t>le</w:t>
      </w:r>
      <w:r w:rsidRPr="003B329E">
        <w:rPr>
          <w:lang w:val="pt-BR"/>
        </w:rPr>
        <w:t xml:space="preserve"> entităților (I</w:t>
      </w:r>
      <w:r>
        <w:rPr>
          <w:lang w:val="pt-BR"/>
        </w:rPr>
        <w:t>.</w:t>
      </w:r>
      <w:r w:rsidRPr="003B329E">
        <w:rPr>
          <w:lang w:val="pt-BR"/>
        </w:rPr>
        <w:t>P</w:t>
      </w:r>
      <w:r>
        <w:rPr>
          <w:lang w:val="pt-BR"/>
        </w:rPr>
        <w:t>.</w:t>
      </w:r>
      <w:r w:rsidRPr="003B329E">
        <w:rPr>
          <w:lang w:val="pt-BR"/>
        </w:rPr>
        <w:t xml:space="preserve"> </w:t>
      </w:r>
      <w:r w:rsidR="00D21915">
        <w:rPr>
          <w:lang w:val="pt-BR"/>
        </w:rPr>
        <w:t>„</w:t>
      </w:r>
      <w:r w:rsidRPr="003B329E">
        <w:rPr>
          <w:lang w:val="pt-BR"/>
        </w:rPr>
        <w:t>AGE</w:t>
      </w:r>
      <w:r w:rsidR="00D21915">
        <w:rPr>
          <w:lang w:val="pt-BR"/>
        </w:rPr>
        <w:t>”</w:t>
      </w:r>
      <w:r w:rsidRPr="003B329E">
        <w:rPr>
          <w:lang w:val="pt-BR"/>
        </w:rPr>
        <w:t xml:space="preserve"> și I</w:t>
      </w:r>
      <w:r>
        <w:rPr>
          <w:lang w:val="pt-BR"/>
        </w:rPr>
        <w:t>.</w:t>
      </w:r>
      <w:r w:rsidRPr="003B329E">
        <w:rPr>
          <w:lang w:val="pt-BR"/>
        </w:rPr>
        <w:t>P</w:t>
      </w:r>
      <w:r>
        <w:rPr>
          <w:lang w:val="pt-BR"/>
        </w:rPr>
        <w:t>.</w:t>
      </w:r>
      <w:r w:rsidRPr="003B329E">
        <w:rPr>
          <w:lang w:val="pt-BR"/>
        </w:rPr>
        <w:t xml:space="preserve"> </w:t>
      </w:r>
      <w:r w:rsidR="00D21915">
        <w:rPr>
          <w:lang w:val="pt-BR"/>
        </w:rPr>
        <w:t>„</w:t>
      </w:r>
      <w:r w:rsidRPr="003B329E">
        <w:rPr>
          <w:lang w:val="pt-BR"/>
        </w:rPr>
        <w:t>STISC</w:t>
      </w:r>
      <w:r w:rsidR="00D21915">
        <w:rPr>
          <w:lang w:val="pt-BR"/>
        </w:rPr>
        <w:t>”</w:t>
      </w:r>
      <w:r w:rsidRPr="003B329E">
        <w:rPr>
          <w:lang w:val="pt-BR"/>
        </w:rPr>
        <w:t>), parctica existentă nu corespunde particularităților de acordare a granturi</w:t>
      </w:r>
      <w:r>
        <w:rPr>
          <w:lang w:val="pt-BR"/>
        </w:rPr>
        <w:t>lor</w:t>
      </w:r>
      <w:r w:rsidRPr="003B329E">
        <w:rPr>
          <w:lang w:val="pt-BR"/>
        </w:rPr>
        <w:t xml:space="preserve"> conform bunelor practici. Or, pentru a fi beneficiar de granturi</w:t>
      </w:r>
      <w:r>
        <w:rPr>
          <w:lang w:val="pt-BR"/>
        </w:rPr>
        <w:t>,</w:t>
      </w:r>
      <w:r w:rsidRPr="003B329E">
        <w:rPr>
          <w:lang w:val="pt-BR"/>
        </w:rPr>
        <w:t xml:space="preserve"> </w:t>
      </w:r>
      <w:r>
        <w:rPr>
          <w:lang w:val="pt-BR"/>
        </w:rPr>
        <w:t xml:space="preserve">este </w:t>
      </w:r>
      <w:r w:rsidRPr="003B329E">
        <w:rPr>
          <w:lang w:val="pt-BR"/>
        </w:rPr>
        <w:t>neces</w:t>
      </w:r>
      <w:r>
        <w:rPr>
          <w:lang w:val="pt-BR"/>
        </w:rPr>
        <w:t>ar</w:t>
      </w:r>
      <w:r w:rsidRPr="003B329E">
        <w:rPr>
          <w:lang w:val="pt-BR"/>
        </w:rPr>
        <w:t>ă elaborarea unor proiecte de grant aprobate de către un organ/entitate special creată în baza unor crit</w:t>
      </w:r>
      <w:r>
        <w:rPr>
          <w:lang w:val="pt-BR"/>
        </w:rPr>
        <w:t>erii prestabilite și aprobate. L</w:t>
      </w:r>
      <w:r w:rsidRPr="003B329E">
        <w:rPr>
          <w:lang w:val="pt-BR"/>
        </w:rPr>
        <w:t>a fel</w:t>
      </w:r>
      <w:r>
        <w:rPr>
          <w:lang w:val="pt-BR"/>
        </w:rPr>
        <w:t>,</w:t>
      </w:r>
      <w:r w:rsidRPr="003B329E">
        <w:rPr>
          <w:lang w:val="pt-BR"/>
        </w:rPr>
        <w:t xml:space="preserve"> se menționează că, potrivit practicilor existente, proiectele de grant urmează să se conformeze anumi</w:t>
      </w:r>
      <w:r>
        <w:rPr>
          <w:lang w:val="pt-BR"/>
        </w:rPr>
        <w:t>t</w:t>
      </w:r>
      <w:r w:rsidRPr="003B329E">
        <w:rPr>
          <w:lang w:val="pt-BR"/>
        </w:rPr>
        <w:t>or criterii</w:t>
      </w:r>
      <w:r>
        <w:rPr>
          <w:lang w:val="pt-BR"/>
        </w:rPr>
        <w:t>,</w:t>
      </w:r>
      <w:r w:rsidRPr="003B329E">
        <w:rPr>
          <w:lang w:val="pt-BR"/>
        </w:rPr>
        <w:t xml:space="preserve"> precum și să răspundă la un șir de sarcini/întrebări</w:t>
      </w:r>
      <w:r w:rsidRPr="003B329E">
        <w:rPr>
          <w:rStyle w:val="a5"/>
          <w:lang w:val="pt-BR"/>
        </w:rPr>
        <w:footnoteReference w:id="31"/>
      </w:r>
      <w:r w:rsidRPr="003B329E">
        <w:rPr>
          <w:lang w:val="pt-BR"/>
        </w:rPr>
        <w:t xml:space="preserve">. </w:t>
      </w:r>
    </w:p>
    <w:p w14:paraId="4D6E5BE4" w14:textId="1489A9B1" w:rsidR="00885B40" w:rsidRPr="003B329E" w:rsidRDefault="00DF7451" w:rsidP="00885B40">
      <w:pPr>
        <w:pStyle w:val="af0"/>
        <w:tabs>
          <w:tab w:val="left" w:pos="284"/>
        </w:tabs>
        <w:spacing w:before="120" w:after="0" w:line="276" w:lineRule="auto"/>
        <w:jc w:val="both"/>
        <w:rPr>
          <w:lang w:val="ro-RO"/>
        </w:rPr>
      </w:pPr>
      <w:r w:rsidRPr="003B329E">
        <w:rPr>
          <w:lang w:val="ro-RO"/>
        </w:rPr>
        <w:t xml:space="preserve">Un aspect lacunar aferent etapei de fundamentare a bugetului o reprezintă faptul că nu este reglementată </w:t>
      </w:r>
      <w:r w:rsidRPr="003B329E">
        <w:rPr>
          <w:i/>
          <w:lang w:val="ro-RO"/>
        </w:rPr>
        <w:t xml:space="preserve">modalitatea de modificare a alocațiilor </w:t>
      </w:r>
      <w:r w:rsidRPr="003B329E">
        <w:rPr>
          <w:lang w:val="ro-RO"/>
        </w:rPr>
        <w:t xml:space="preserve">de la pozițiile </w:t>
      </w:r>
      <w:r w:rsidRPr="00824D90">
        <w:rPr>
          <w:lang w:val="ro-RO"/>
        </w:rPr>
        <w:t>bugetare 25 „Subvenții” și 26 „Granturi acordate”. În a</w:t>
      </w:r>
      <w:r w:rsidRPr="003B329E">
        <w:rPr>
          <w:lang w:val="ro-RO"/>
        </w:rPr>
        <w:t>ceste condiții</w:t>
      </w:r>
      <w:r>
        <w:rPr>
          <w:lang w:val="ro-RO"/>
        </w:rPr>
        <w:t>,</w:t>
      </w:r>
      <w:r w:rsidRPr="003B329E">
        <w:rPr>
          <w:lang w:val="ro-RO"/>
        </w:rPr>
        <w:t xml:space="preserve"> actualmente se utilizează formularul</w:t>
      </w:r>
      <w:r w:rsidRPr="003B329E">
        <w:rPr>
          <w:rStyle w:val="a5"/>
          <w:lang w:val="ro-RO"/>
        </w:rPr>
        <w:footnoteReference w:id="32"/>
      </w:r>
      <w:r w:rsidRPr="003B329E">
        <w:rPr>
          <w:lang w:val="ro-RO"/>
        </w:rPr>
        <w:t xml:space="preserve"> destinat solicitărilor de mijloace bugetare în condiții generale, care nu prevede atât necesitatea indicării de către instituție a destinației/scopului subvențiilor/granturilor solicitate suplimentar</w:t>
      </w:r>
      <w:r>
        <w:rPr>
          <w:lang w:val="ro-RO"/>
        </w:rPr>
        <w:t>,</w:t>
      </w:r>
      <w:r w:rsidRPr="003B329E">
        <w:rPr>
          <w:lang w:val="ro-RO"/>
        </w:rPr>
        <w:t xml:space="preserve"> c</w:t>
      </w:r>
      <w:r>
        <w:rPr>
          <w:lang w:val="ro-RO"/>
        </w:rPr>
        <w:t>â</w:t>
      </w:r>
      <w:r w:rsidRPr="003B329E">
        <w:rPr>
          <w:lang w:val="ro-RO"/>
        </w:rPr>
        <w:t>t și repartizarea acestora pe indicatori de activitate, aspecte solicitate la planificarea inițială.</w:t>
      </w:r>
      <w:r w:rsidR="00BA69A9">
        <w:rPr>
          <w:lang w:val="ro-RO"/>
        </w:rPr>
        <w:t xml:space="preserve"> </w:t>
      </w:r>
    </w:p>
    <w:p w14:paraId="1DC82B1F" w14:textId="6182E970" w:rsidR="00885B40" w:rsidRDefault="00DF7451" w:rsidP="00885B40">
      <w:pPr>
        <w:pStyle w:val="af0"/>
        <w:tabs>
          <w:tab w:val="left" w:pos="284"/>
        </w:tabs>
        <w:spacing w:before="120" w:after="120" w:line="276" w:lineRule="auto"/>
        <w:jc w:val="both"/>
        <w:rPr>
          <w:lang w:val="ro-RO"/>
        </w:rPr>
      </w:pPr>
      <w:r w:rsidRPr="003B329E">
        <w:rPr>
          <w:lang w:val="ro-RO"/>
        </w:rPr>
        <w:t>Totuși, se remarcă faptul că CS</w:t>
      </w:r>
      <w:r>
        <w:rPr>
          <w:lang w:val="ro-RO"/>
        </w:rPr>
        <w:t>,</w:t>
      </w:r>
      <w:r w:rsidRPr="003B329E">
        <w:rPr>
          <w:lang w:val="ro-RO"/>
        </w:rPr>
        <w:t xml:space="preserve"> în scopul obținerii unei asigurări că I</w:t>
      </w:r>
      <w:r>
        <w:rPr>
          <w:lang w:val="ro-RO"/>
        </w:rPr>
        <w:t>.</w:t>
      </w:r>
      <w:r w:rsidRPr="003B329E">
        <w:rPr>
          <w:lang w:val="ro-RO"/>
        </w:rPr>
        <w:t>P</w:t>
      </w:r>
      <w:r>
        <w:rPr>
          <w:lang w:val="ro-RO"/>
        </w:rPr>
        <w:t>.</w:t>
      </w:r>
      <w:r w:rsidRPr="003B329E">
        <w:rPr>
          <w:lang w:val="ro-RO"/>
        </w:rPr>
        <w:t xml:space="preserve"> monitorizate planifică valoarea granturilor justificat, solicită documente argumentative în care beneficiari</w:t>
      </w:r>
      <w:r>
        <w:rPr>
          <w:lang w:val="ro-RO"/>
        </w:rPr>
        <w:t>i</w:t>
      </w:r>
      <w:r w:rsidRPr="003B329E">
        <w:rPr>
          <w:lang w:val="ro-RO"/>
        </w:rPr>
        <w:t xml:space="preserve"> define</w:t>
      </w:r>
      <w:r>
        <w:rPr>
          <w:lang w:val="ro-RO"/>
        </w:rPr>
        <w:t>sc</w:t>
      </w:r>
      <w:r w:rsidRPr="003B329E">
        <w:rPr>
          <w:lang w:val="ro-RO"/>
        </w:rPr>
        <w:t xml:space="preserve"> scopurile și calculele confirmative. Însă, </w:t>
      </w:r>
      <w:r>
        <w:rPr>
          <w:lang w:val="ro-RO"/>
        </w:rPr>
        <w:t xml:space="preserve">ca </w:t>
      </w:r>
      <w:r w:rsidRPr="003B329E">
        <w:rPr>
          <w:lang w:val="ro-RO"/>
        </w:rPr>
        <w:t xml:space="preserve">urmare </w:t>
      </w:r>
      <w:r>
        <w:rPr>
          <w:lang w:val="ro-RO"/>
        </w:rPr>
        <w:t xml:space="preserve">a </w:t>
      </w:r>
      <w:r w:rsidRPr="003B329E">
        <w:rPr>
          <w:lang w:val="ro-RO"/>
        </w:rPr>
        <w:t xml:space="preserve">faptului că </w:t>
      </w:r>
      <w:r>
        <w:rPr>
          <w:lang w:val="ro-RO"/>
        </w:rPr>
        <w:t>pentru</w:t>
      </w:r>
      <w:r w:rsidRPr="003B329E">
        <w:rPr>
          <w:lang w:val="ro-RO"/>
        </w:rPr>
        <w:t xml:space="preserve"> acest aspect nu există o procedură instituționalizată, informați</w:t>
      </w:r>
      <w:r>
        <w:rPr>
          <w:lang w:val="ro-RO"/>
        </w:rPr>
        <w:t>ile</w:t>
      </w:r>
      <w:r w:rsidRPr="003B329E">
        <w:rPr>
          <w:lang w:val="ro-RO"/>
        </w:rPr>
        <w:t xml:space="preserve"> prezentat</w:t>
      </w:r>
      <w:r>
        <w:rPr>
          <w:lang w:val="ro-RO"/>
        </w:rPr>
        <w:t>e</w:t>
      </w:r>
      <w:r w:rsidRPr="003B329E">
        <w:rPr>
          <w:lang w:val="ro-RO"/>
        </w:rPr>
        <w:t xml:space="preserve"> de entitățile publice în cadrul solicitărilor de granturi diferă de la </w:t>
      </w:r>
      <w:r>
        <w:rPr>
          <w:lang w:val="ro-RO"/>
        </w:rPr>
        <w:t>una</w:t>
      </w:r>
      <w:r w:rsidRPr="003B329E">
        <w:rPr>
          <w:lang w:val="ro-RO"/>
        </w:rPr>
        <w:t xml:space="preserve"> la alta.</w:t>
      </w:r>
      <w:r w:rsidR="00BA69A9">
        <w:rPr>
          <w:lang w:val="ro-RO"/>
        </w:rPr>
        <w:t xml:space="preserve"> </w:t>
      </w:r>
      <w:r w:rsidR="00885B40" w:rsidRPr="003B329E">
        <w:rPr>
          <w:lang w:val="ro-RO"/>
        </w:rPr>
        <w:t xml:space="preserve"> </w:t>
      </w:r>
    </w:p>
    <w:p w14:paraId="232B1051" w14:textId="78E01616" w:rsidR="00114EF7" w:rsidRPr="003B329E" w:rsidRDefault="00DF7451" w:rsidP="00885B40">
      <w:pPr>
        <w:pStyle w:val="af0"/>
        <w:tabs>
          <w:tab w:val="left" w:pos="284"/>
        </w:tabs>
        <w:spacing w:before="120" w:after="120" w:line="276" w:lineRule="auto"/>
        <w:jc w:val="both"/>
        <w:rPr>
          <w:lang w:val="ro-RO"/>
        </w:rPr>
      </w:pPr>
      <w:r w:rsidRPr="003B329E">
        <w:rPr>
          <w:lang w:val="ro-RO"/>
        </w:rPr>
        <w:t xml:space="preserve">Cu privire la raportarea sumelor alocate la codurile ECO 25 „Subvenții” și 26 „Granturi acordate”, normele aprobate de MF reglementează obligativitatea raportării doar a </w:t>
      </w:r>
      <w:r w:rsidRPr="003B329E">
        <w:rPr>
          <w:lang w:val="pt-BR"/>
        </w:rPr>
        <w:t xml:space="preserve">executării subvențiilor acordate din buget conform Anexei nr. 1 la Ordinul MF </w:t>
      </w:r>
      <w:r>
        <w:rPr>
          <w:lang w:val="pt-BR"/>
        </w:rPr>
        <w:t>nr.</w:t>
      </w:r>
      <w:r w:rsidRPr="003B329E">
        <w:rPr>
          <w:lang w:val="pt-BR"/>
        </w:rPr>
        <w:t>164/2016. C</w:t>
      </w:r>
      <w:r>
        <w:rPr>
          <w:lang w:val="pt-BR"/>
        </w:rPr>
        <w:t>â</w:t>
      </w:r>
      <w:r w:rsidRPr="003B329E">
        <w:rPr>
          <w:lang w:val="pt-BR"/>
        </w:rPr>
        <w:t>t privește sumele alocate ca granturi</w:t>
      </w:r>
      <w:r>
        <w:rPr>
          <w:lang w:val="pt-BR"/>
        </w:rPr>
        <w:t>,</w:t>
      </w:r>
      <w:r w:rsidRPr="003B329E">
        <w:rPr>
          <w:lang w:val="pt-BR"/>
        </w:rPr>
        <w:t xml:space="preserve"> nu există instrucțiuni sau reglementări privind modalitatea și </w:t>
      </w:r>
      <w:r w:rsidRPr="003B329E">
        <w:rPr>
          <w:lang w:val="ro-RO"/>
        </w:rPr>
        <w:t>nivelul de detaliere a indicatorilor raportați atât de I</w:t>
      </w:r>
      <w:r>
        <w:rPr>
          <w:lang w:val="ro-RO"/>
        </w:rPr>
        <w:t>.</w:t>
      </w:r>
      <w:r w:rsidRPr="003B329E">
        <w:rPr>
          <w:lang w:val="ro-RO"/>
        </w:rPr>
        <w:t>P</w:t>
      </w:r>
      <w:r>
        <w:rPr>
          <w:lang w:val="ro-RO"/>
        </w:rPr>
        <w:t xml:space="preserve">., cât și de autoritățile fondatoare. Ca rezultat, </w:t>
      </w:r>
      <w:r w:rsidRPr="003B329E">
        <w:rPr>
          <w:lang w:val="ro-RO"/>
        </w:rPr>
        <w:t>pentru raportarea acestora la sfârșit de an bugetar</w:t>
      </w:r>
      <w:r>
        <w:rPr>
          <w:lang w:val="ro-RO"/>
        </w:rPr>
        <w:t xml:space="preserve">, </w:t>
      </w:r>
      <w:r w:rsidRPr="003B329E">
        <w:rPr>
          <w:lang w:val="ro-RO"/>
        </w:rPr>
        <w:t>entitățile utilizează forma</w:t>
      </w:r>
      <w:r>
        <w:rPr>
          <w:lang w:val="ro-RO"/>
        </w:rPr>
        <w:t xml:space="preserve"> prestabilită pentru subvenții. Însă</w:t>
      </w:r>
      <w:r w:rsidRPr="003B329E">
        <w:rPr>
          <w:lang w:val="ro-RO"/>
        </w:rPr>
        <w:t xml:space="preserve"> acest formular nu prevede expunerea tipului/componentelor analitice pe coduri ECO a</w:t>
      </w:r>
      <w:r>
        <w:rPr>
          <w:lang w:val="ro-RO"/>
        </w:rPr>
        <w:t>le</w:t>
      </w:r>
      <w:r w:rsidRPr="003B329E">
        <w:rPr>
          <w:lang w:val="ro-RO"/>
        </w:rPr>
        <w:t xml:space="preserve"> cheltuielilor efectuate din granturi, forma de raportare a indicatorilor fiind expusă la discreția entităților și se limitează la o indicare succintă a cheltuielilor efective ale instituției publice, lipsind o informație des</w:t>
      </w:r>
      <w:r>
        <w:rPr>
          <w:lang w:val="ro-RO"/>
        </w:rPr>
        <w:t>cifrată a cheltuielilor de casă</w:t>
      </w:r>
      <w:r w:rsidR="00114EF7" w:rsidRPr="003B329E">
        <w:rPr>
          <w:lang w:val="ro-RO"/>
        </w:rPr>
        <w:t>.</w:t>
      </w:r>
      <w:r w:rsidR="00114EF7">
        <w:rPr>
          <w:lang w:val="ro-RO"/>
        </w:rPr>
        <w:t xml:space="preserve"> </w:t>
      </w:r>
    </w:p>
    <w:p w14:paraId="461DB4EA" w14:textId="05D0B04B" w:rsidR="00F35C77" w:rsidRPr="003A5ACD" w:rsidRDefault="00161D23" w:rsidP="003A5ACD">
      <w:pPr>
        <w:pStyle w:val="a7"/>
        <w:numPr>
          <w:ilvl w:val="2"/>
          <w:numId w:val="4"/>
        </w:numPr>
        <w:tabs>
          <w:tab w:val="left" w:pos="567"/>
        </w:tabs>
        <w:spacing w:before="120" w:after="0" w:line="276" w:lineRule="auto"/>
        <w:ind w:left="0" w:firstLine="0"/>
        <w:contextualSpacing w:val="0"/>
        <w:jc w:val="both"/>
        <w:rPr>
          <w:rFonts w:ascii="Times New Roman" w:hAnsi="Times New Roman" w:cs="Times New Roman"/>
          <w:b/>
          <w:color w:val="0070C0"/>
          <w:sz w:val="24"/>
          <w:szCs w:val="24"/>
          <w:lang w:val="ro-RO"/>
        </w:rPr>
      </w:pPr>
      <w:r w:rsidRPr="00161D23">
        <w:rPr>
          <w:rFonts w:ascii="Times New Roman" w:hAnsi="Times New Roman" w:cs="Times New Roman"/>
          <w:b/>
          <w:color w:val="0070C0"/>
          <w:sz w:val="24"/>
          <w:szCs w:val="24"/>
          <w:lang w:val="ro-RO"/>
        </w:rPr>
        <w:t xml:space="preserve">Nerespectarea de către CS a regulilor de evidență a mijloacelor bugetare alocate sub formă de granturi capitale în sumă totală de 53,3 mil. lei a determinat trecerea neconformă a acestora la cheltuieli, fiind denaturate rapoartele financiare anuale. </w:t>
      </w:r>
      <w:r w:rsidR="00F35C77" w:rsidRPr="003A5ACD">
        <w:rPr>
          <w:rFonts w:ascii="Times New Roman" w:hAnsi="Times New Roman" w:cs="Times New Roman"/>
          <w:b/>
          <w:color w:val="0070C0"/>
          <w:sz w:val="24"/>
          <w:szCs w:val="24"/>
          <w:lang w:val="ro-RO"/>
        </w:rPr>
        <w:t xml:space="preserve"> </w:t>
      </w:r>
    </w:p>
    <w:p w14:paraId="7F4EC1C5" w14:textId="77777777" w:rsidR="00161D23" w:rsidRPr="00114EF7" w:rsidRDefault="00161D23" w:rsidP="00161D23">
      <w:pPr>
        <w:pStyle w:val="af0"/>
        <w:tabs>
          <w:tab w:val="left" w:pos="284"/>
        </w:tabs>
        <w:spacing w:before="120" w:after="120" w:line="276" w:lineRule="auto"/>
        <w:jc w:val="both"/>
        <w:rPr>
          <w:lang w:val="ro-RO"/>
        </w:rPr>
      </w:pPr>
      <w:r w:rsidRPr="003B329E">
        <w:rPr>
          <w:lang w:val="ro-RO"/>
        </w:rPr>
        <w:t>Din suma de 219,6 mil. lei acordat</w:t>
      </w:r>
      <w:r>
        <w:rPr>
          <w:lang w:val="ro-RO"/>
        </w:rPr>
        <w:t>ă</w:t>
      </w:r>
      <w:r w:rsidRPr="003B329E">
        <w:rPr>
          <w:lang w:val="ro-RO"/>
        </w:rPr>
        <w:t xml:space="preserve"> ca granturi, 24%</w:t>
      </w:r>
      <w:r>
        <w:rPr>
          <w:lang w:val="ro-RO"/>
        </w:rPr>
        <w:t>,</w:t>
      </w:r>
      <w:r w:rsidRPr="003B329E">
        <w:rPr>
          <w:lang w:val="ro-RO"/>
        </w:rPr>
        <w:t xml:space="preserve"> sau 53,3 mil. lei</w:t>
      </w:r>
      <w:r>
        <w:rPr>
          <w:lang w:val="ro-RO"/>
        </w:rPr>
        <w:t>,</w:t>
      </w:r>
      <w:r w:rsidRPr="003B329E">
        <w:rPr>
          <w:lang w:val="ro-RO"/>
        </w:rPr>
        <w:t xml:space="preserve"> a fost acordată sub formă de granturi capitale pentru finanțarea cheltuielilor cu caracter capital, care </w:t>
      </w:r>
      <w:r>
        <w:rPr>
          <w:lang w:val="ro-RO"/>
        </w:rPr>
        <w:t>potrivit</w:t>
      </w:r>
      <w:r w:rsidRPr="003B329E">
        <w:rPr>
          <w:lang w:val="ro-RO"/>
        </w:rPr>
        <w:t xml:space="preserve"> cadrului normativ </w:t>
      </w:r>
      <w:r w:rsidRPr="003B329E">
        <w:rPr>
          <w:u w:val="single"/>
          <w:lang w:val="ro-RO"/>
        </w:rPr>
        <w:t>majorează valoarea bunurilor transmise în gestiune economică</w:t>
      </w:r>
      <w:r w:rsidRPr="003B329E">
        <w:rPr>
          <w:rStyle w:val="a5"/>
          <w:lang w:val="pt-BR"/>
        </w:rPr>
        <w:footnoteReference w:id="33"/>
      </w:r>
      <w:r w:rsidRPr="003B329E">
        <w:rPr>
          <w:lang w:val="ro-RO"/>
        </w:rPr>
        <w:t>.  La r</w:t>
      </w:r>
      <w:r>
        <w:rPr>
          <w:lang w:val="ro-RO"/>
        </w:rPr>
        <w:t>â</w:t>
      </w:r>
      <w:r w:rsidRPr="003B329E">
        <w:rPr>
          <w:lang w:val="ro-RO"/>
        </w:rPr>
        <w:t xml:space="preserve">ndul său, din </w:t>
      </w:r>
      <w:r>
        <w:rPr>
          <w:lang w:val="ro-RO"/>
        </w:rPr>
        <w:t>suma</w:t>
      </w:r>
      <w:r w:rsidRPr="003B329E">
        <w:rPr>
          <w:lang w:val="ro-RO"/>
        </w:rPr>
        <w:t xml:space="preserve"> de 53,3 mil. lei, 97% (51,7 mil. lei) au fost acordate I</w:t>
      </w:r>
      <w:r>
        <w:rPr>
          <w:lang w:val="ro-RO"/>
        </w:rPr>
        <w:t>.</w:t>
      </w:r>
      <w:r w:rsidRPr="003B329E">
        <w:rPr>
          <w:lang w:val="ro-RO"/>
        </w:rPr>
        <w:t>P</w:t>
      </w:r>
      <w:r>
        <w:rPr>
          <w:lang w:val="ro-RO"/>
        </w:rPr>
        <w:t>.</w:t>
      </w:r>
      <w:r w:rsidRPr="003B329E">
        <w:rPr>
          <w:lang w:val="ro-RO"/>
        </w:rPr>
        <w:t xml:space="preserve"> „STISC” pentru susținere și implementarea unui șir de acțiuni prevăzute în HG, iar 3% (1,7 mil. lei) – I</w:t>
      </w:r>
      <w:r>
        <w:rPr>
          <w:lang w:val="ro-RO"/>
        </w:rPr>
        <w:t>.</w:t>
      </w:r>
      <w:r w:rsidRPr="003B329E">
        <w:rPr>
          <w:lang w:val="ro-RO"/>
        </w:rPr>
        <w:t>P</w:t>
      </w:r>
      <w:r>
        <w:rPr>
          <w:lang w:val="ro-RO"/>
        </w:rPr>
        <w:t>.</w:t>
      </w:r>
      <w:r w:rsidRPr="003B329E">
        <w:rPr>
          <w:lang w:val="ro-RO"/>
        </w:rPr>
        <w:t xml:space="preserve"> „AGE” </w:t>
      </w:r>
      <w:r>
        <w:rPr>
          <w:lang w:val="ro-RO"/>
        </w:rPr>
        <w:t>ca</w:t>
      </w:r>
      <w:r w:rsidRPr="003B329E">
        <w:rPr>
          <w:lang w:val="ro-RO"/>
        </w:rPr>
        <w:t xml:space="preserve"> ajutor fondatorului pentru realizarea proiectului MGSP</w:t>
      </w:r>
      <w:r>
        <w:rPr>
          <w:rStyle w:val="a5"/>
          <w:lang w:val="ro-RO"/>
        </w:rPr>
        <w:footnoteReference w:id="34"/>
      </w:r>
      <w:r w:rsidRPr="003B329E">
        <w:rPr>
          <w:lang w:val="ro-RO"/>
        </w:rPr>
        <w:t>. Verificările de audit la acest aspect denotă neconformități generate de nerespectarea prevederilor cadrului normativ at</w:t>
      </w:r>
      <w:r>
        <w:rPr>
          <w:lang w:val="ro-RO"/>
        </w:rPr>
        <w:t>â</w:t>
      </w:r>
      <w:r w:rsidRPr="003B329E">
        <w:rPr>
          <w:lang w:val="ro-RO"/>
        </w:rPr>
        <w:t>t de către I</w:t>
      </w:r>
      <w:r>
        <w:rPr>
          <w:lang w:val="ro-RO"/>
        </w:rPr>
        <w:t>.</w:t>
      </w:r>
      <w:r w:rsidRPr="003B329E">
        <w:rPr>
          <w:lang w:val="ro-RO"/>
        </w:rPr>
        <w:t>P</w:t>
      </w:r>
      <w:r>
        <w:rPr>
          <w:lang w:val="ro-RO"/>
        </w:rPr>
        <w:t>.</w:t>
      </w:r>
      <w:r w:rsidRPr="003B329E">
        <w:rPr>
          <w:lang w:val="ro-RO"/>
        </w:rPr>
        <w:t xml:space="preserve"> aflate la autogestiune</w:t>
      </w:r>
      <w:r>
        <w:rPr>
          <w:lang w:val="ro-RO"/>
        </w:rPr>
        <w:t>,</w:t>
      </w:r>
      <w:r w:rsidRPr="003B329E">
        <w:rPr>
          <w:lang w:val="ro-RO"/>
        </w:rPr>
        <w:t xml:space="preserve"> c</w:t>
      </w:r>
      <w:r>
        <w:rPr>
          <w:lang w:val="ro-RO"/>
        </w:rPr>
        <w:t>â</w:t>
      </w:r>
      <w:r w:rsidRPr="003B329E">
        <w:rPr>
          <w:lang w:val="ro-RO"/>
        </w:rPr>
        <w:t xml:space="preserve">t și de către CS. </w:t>
      </w:r>
      <w:r>
        <w:rPr>
          <w:lang w:val="ro-RO"/>
        </w:rPr>
        <w:t xml:space="preserve">În contextul expus </w:t>
      </w:r>
      <w:r w:rsidRPr="003B329E">
        <w:rPr>
          <w:lang w:val="ro-RO"/>
        </w:rPr>
        <w:t>se menționează</w:t>
      </w:r>
      <w:r>
        <w:rPr>
          <w:lang w:val="ro-RO"/>
        </w:rPr>
        <w:t xml:space="preserve"> </w:t>
      </w:r>
      <w:r w:rsidRPr="00114EF7">
        <w:rPr>
          <w:lang w:val="ro-RO"/>
        </w:rPr>
        <w:t>trecerea neconformă de către CS la cheltuieli a valorii granturilor capitale în sumă totală de 53,3 mil. lei primit</w:t>
      </w:r>
      <w:r>
        <w:rPr>
          <w:lang w:val="ro-RO"/>
        </w:rPr>
        <w:t>ă</w:t>
      </w:r>
      <w:r w:rsidRPr="00114EF7">
        <w:rPr>
          <w:lang w:val="ro-RO"/>
        </w:rPr>
        <w:t xml:space="preserve"> din buget și redirecționată în anii 2021-2022 la două instituții publice pentru majorarea valorii activelor. Or, potrivit pct. </w:t>
      </w:r>
      <w:r w:rsidRPr="00114EF7">
        <w:rPr>
          <w:lang w:val="it-IT"/>
        </w:rPr>
        <w:t>3.2.40</w:t>
      </w:r>
      <w:r w:rsidRPr="00114EF7">
        <w:rPr>
          <w:vertAlign w:val="superscript"/>
          <w:lang w:val="it-IT"/>
        </w:rPr>
        <w:t>1</w:t>
      </w:r>
      <w:r w:rsidRPr="00114EF7">
        <w:rPr>
          <w:lang w:val="it-IT"/>
        </w:rPr>
        <w:t xml:space="preserve"> din Ordinul </w:t>
      </w:r>
      <w:r>
        <w:rPr>
          <w:lang w:val="it-IT"/>
        </w:rPr>
        <w:t>nr.</w:t>
      </w:r>
      <w:r w:rsidRPr="00114EF7">
        <w:rPr>
          <w:lang w:val="it-IT"/>
        </w:rPr>
        <w:t>216/2015</w:t>
      </w:r>
      <w:r>
        <w:rPr>
          <w:lang w:val="it-IT"/>
        </w:rPr>
        <w:t>,</w:t>
      </w:r>
      <w:r w:rsidRPr="00114EF7">
        <w:rPr>
          <w:lang w:val="it-IT"/>
        </w:rPr>
        <w:t xml:space="preserve"> autoritatea bugetară urmează să înregistreze suma granturilor capitale acordate în debitul subcontului de nivelul II  415310„Investiţii în părţi legate şi nelegate”.</w:t>
      </w:r>
    </w:p>
    <w:p w14:paraId="003F0484" w14:textId="57C415BE" w:rsidR="00161D23" w:rsidRPr="00114EF7" w:rsidRDefault="00161D23" w:rsidP="00161D23">
      <w:pPr>
        <w:tabs>
          <w:tab w:val="left" w:pos="426"/>
        </w:tabs>
        <w:spacing w:after="120" w:line="276" w:lineRule="auto"/>
        <w:jc w:val="both"/>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 xml:space="preserve">Mai mult decât atât, auditul constată </w:t>
      </w:r>
      <w:r w:rsidRPr="00114EF7">
        <w:rPr>
          <w:rFonts w:ascii="Times New Roman" w:eastAsia="Times New Roman" w:hAnsi="Times New Roman" w:cs="Times New Roman"/>
          <w:sz w:val="24"/>
          <w:szCs w:val="24"/>
          <w:lang w:val="ro-RO" w:eastAsia="ru-RU"/>
        </w:rPr>
        <w:t>și nerespectarea de către I</w:t>
      </w:r>
      <w:r>
        <w:rPr>
          <w:rFonts w:ascii="Times New Roman" w:eastAsia="Times New Roman" w:hAnsi="Times New Roman" w:cs="Times New Roman"/>
          <w:sz w:val="24"/>
          <w:szCs w:val="24"/>
          <w:lang w:val="ro-RO" w:eastAsia="ru-RU"/>
        </w:rPr>
        <w:t>.</w:t>
      </w:r>
      <w:r w:rsidRPr="00114EF7">
        <w:rPr>
          <w:rFonts w:ascii="Times New Roman" w:eastAsia="Times New Roman" w:hAnsi="Times New Roman" w:cs="Times New Roman"/>
          <w:sz w:val="24"/>
          <w:szCs w:val="24"/>
          <w:lang w:val="ro-RO" w:eastAsia="ru-RU"/>
        </w:rPr>
        <w:t>P</w:t>
      </w:r>
      <w:r>
        <w:rPr>
          <w:rFonts w:ascii="Times New Roman" w:eastAsia="Times New Roman" w:hAnsi="Times New Roman" w:cs="Times New Roman"/>
          <w:sz w:val="24"/>
          <w:szCs w:val="24"/>
          <w:lang w:val="ro-RO" w:eastAsia="ru-RU"/>
        </w:rPr>
        <w:t xml:space="preserve">. care activează în condiții de </w:t>
      </w:r>
      <w:r w:rsidRPr="00114EF7">
        <w:rPr>
          <w:rFonts w:ascii="Times New Roman" w:eastAsia="Times New Roman" w:hAnsi="Times New Roman" w:cs="Times New Roman"/>
          <w:sz w:val="24"/>
          <w:szCs w:val="24"/>
          <w:lang w:val="ro-RO" w:eastAsia="ru-RU"/>
        </w:rPr>
        <w:t xml:space="preserve"> autogestiune a regulilor privind contabilizarea mijloacelor bugetare primite sub formă de subvenții/granturi, și anume fără diferențierea acestora potrivit destinației: capitale sau curente. </w:t>
      </w:r>
      <w:r>
        <w:rPr>
          <w:rFonts w:ascii="Times New Roman" w:eastAsia="Times New Roman" w:hAnsi="Times New Roman" w:cs="Times New Roman"/>
          <w:sz w:val="24"/>
          <w:szCs w:val="24"/>
          <w:lang w:val="ro-RO" w:eastAsia="ru-RU"/>
        </w:rPr>
        <w:t>Astfel, e</w:t>
      </w:r>
      <w:r w:rsidRPr="00114EF7">
        <w:rPr>
          <w:rFonts w:ascii="Times New Roman" w:eastAsia="Times New Roman" w:hAnsi="Times New Roman" w:cs="Times New Roman"/>
          <w:sz w:val="24"/>
          <w:szCs w:val="24"/>
          <w:lang w:val="ro-RO" w:eastAsia="ru-RU"/>
        </w:rPr>
        <w:t>xaminările de audit denotă practici neconforme la acest aspect, și anume se evidențiază faptul că unele entități țin evidența granturilor/subvențiilor curente la pozițiile destinate înregistrării granturilor/subvențiilor alocate spre capitalizare/cu termen lung sau viceversa (STISC, AGE și I</w:t>
      </w:r>
      <w:r>
        <w:rPr>
          <w:rFonts w:ascii="Times New Roman" w:eastAsia="Times New Roman" w:hAnsi="Times New Roman" w:cs="Times New Roman"/>
          <w:sz w:val="24"/>
          <w:szCs w:val="24"/>
          <w:lang w:val="ro-RO" w:eastAsia="ru-RU"/>
        </w:rPr>
        <w:t>.</w:t>
      </w:r>
      <w:r w:rsidRPr="00114EF7">
        <w:rPr>
          <w:rFonts w:ascii="Times New Roman" w:eastAsia="Times New Roman" w:hAnsi="Times New Roman" w:cs="Times New Roman"/>
          <w:sz w:val="24"/>
          <w:szCs w:val="24"/>
          <w:lang w:val="ro-RO" w:eastAsia="ru-RU"/>
        </w:rPr>
        <w:t>P</w:t>
      </w:r>
      <w:r>
        <w:rPr>
          <w:rFonts w:ascii="Times New Roman" w:eastAsia="Times New Roman" w:hAnsi="Times New Roman" w:cs="Times New Roman"/>
          <w:sz w:val="24"/>
          <w:szCs w:val="24"/>
          <w:lang w:val="ro-RO" w:eastAsia="ru-RU"/>
        </w:rPr>
        <w:t>.</w:t>
      </w:r>
      <w:r w:rsidRPr="00114EF7">
        <w:rPr>
          <w:rFonts w:ascii="Times New Roman" w:eastAsia="Times New Roman" w:hAnsi="Times New Roman" w:cs="Times New Roman"/>
          <w:sz w:val="24"/>
          <w:szCs w:val="24"/>
          <w:lang w:val="ro-RO" w:eastAsia="ru-RU"/>
        </w:rPr>
        <w:t xml:space="preserve"> </w:t>
      </w:r>
      <w:r w:rsidR="00D21915">
        <w:rPr>
          <w:rFonts w:ascii="Times New Roman" w:eastAsia="Times New Roman" w:hAnsi="Times New Roman" w:cs="Times New Roman"/>
          <w:sz w:val="24"/>
          <w:szCs w:val="24"/>
          <w:lang w:val="ro-RO" w:eastAsia="ru-RU"/>
        </w:rPr>
        <w:t>„</w:t>
      </w:r>
      <w:r w:rsidRPr="00114EF7">
        <w:rPr>
          <w:rFonts w:ascii="Times New Roman" w:eastAsia="Times New Roman" w:hAnsi="Times New Roman" w:cs="Times New Roman"/>
          <w:sz w:val="24"/>
          <w:szCs w:val="24"/>
          <w:lang w:val="ro-RO" w:eastAsia="ru-RU"/>
        </w:rPr>
        <w:t>Palatul Republicii</w:t>
      </w:r>
      <w:r w:rsidR="00D21915">
        <w:rPr>
          <w:rFonts w:ascii="Times New Roman" w:eastAsia="Times New Roman" w:hAnsi="Times New Roman" w:cs="Times New Roman"/>
          <w:sz w:val="24"/>
          <w:szCs w:val="24"/>
          <w:lang w:val="ro-RO" w:eastAsia="ru-RU"/>
        </w:rPr>
        <w:t>”</w:t>
      </w:r>
      <w:r w:rsidRPr="00114EF7">
        <w:rPr>
          <w:rFonts w:ascii="Times New Roman" w:eastAsia="Times New Roman" w:hAnsi="Times New Roman" w:cs="Times New Roman"/>
          <w:sz w:val="24"/>
          <w:szCs w:val="24"/>
          <w:lang w:val="ro-RO" w:eastAsia="ru-RU"/>
        </w:rPr>
        <w:t xml:space="preserve">).   </w:t>
      </w:r>
    </w:p>
    <w:p w14:paraId="0C9CEE3C" w14:textId="77777777" w:rsidR="00161D23" w:rsidRPr="003B329E" w:rsidRDefault="00161D23" w:rsidP="00161D23">
      <w:pPr>
        <w:pStyle w:val="af0"/>
        <w:spacing w:before="120" w:after="120" w:line="276" w:lineRule="auto"/>
        <w:jc w:val="both"/>
        <w:rPr>
          <w:lang w:val="ro-RO"/>
        </w:rPr>
      </w:pPr>
      <w:r w:rsidRPr="003B329E">
        <w:rPr>
          <w:lang w:val="ro-RO"/>
        </w:rPr>
        <w:t>Generalizând aspectele expuse la acest aspect, se atestă că</w:t>
      </w:r>
      <w:r>
        <w:rPr>
          <w:lang w:val="ro-RO"/>
        </w:rPr>
        <w:t>,</w:t>
      </w:r>
      <w:r w:rsidRPr="003B329E">
        <w:rPr>
          <w:lang w:val="ro-RO"/>
        </w:rPr>
        <w:t xml:space="preserve"> în mare parte</w:t>
      </w:r>
      <w:r>
        <w:rPr>
          <w:lang w:val="ro-RO"/>
        </w:rPr>
        <w:t>,</w:t>
      </w:r>
      <w:r w:rsidRPr="003B329E">
        <w:rPr>
          <w:lang w:val="ro-RO"/>
        </w:rPr>
        <w:t xml:space="preserve"> neregulile admise au ca cauzalitate lipsa specificării în Politicile de contabilitate a entităților auditate a regulilor și particularităților privind mecanismul de elaborare, executare și raportare a mijloacelor bugetare alocate sub formă de subvenții/granturi, inclusiv a granturilor capitale cu </w:t>
      </w:r>
      <w:r>
        <w:rPr>
          <w:lang w:val="ro-RO"/>
        </w:rPr>
        <w:t xml:space="preserve">a căror </w:t>
      </w:r>
      <w:r w:rsidRPr="003B329E">
        <w:rPr>
          <w:lang w:val="ro-RO"/>
        </w:rPr>
        <w:t>sum</w:t>
      </w:r>
      <w:r>
        <w:rPr>
          <w:lang w:val="ro-RO"/>
        </w:rPr>
        <w:t>ă</w:t>
      </w:r>
      <w:r w:rsidRPr="003B329E">
        <w:rPr>
          <w:lang w:val="ro-RO"/>
        </w:rPr>
        <w:t xml:space="preserve"> se majorează valoarea activelor deținute și procurate de instituțiile publice monitorizate.</w:t>
      </w:r>
    </w:p>
    <w:p w14:paraId="1C8DD44B" w14:textId="19CB0828" w:rsidR="00885B40" w:rsidRPr="003A5ACD" w:rsidRDefault="00161D23" w:rsidP="003A5ACD">
      <w:pPr>
        <w:pStyle w:val="a7"/>
        <w:numPr>
          <w:ilvl w:val="2"/>
          <w:numId w:val="4"/>
        </w:numPr>
        <w:tabs>
          <w:tab w:val="left" w:pos="567"/>
        </w:tabs>
        <w:spacing w:before="120" w:after="0" w:line="276" w:lineRule="auto"/>
        <w:ind w:left="0" w:firstLine="0"/>
        <w:contextualSpacing w:val="0"/>
        <w:jc w:val="both"/>
        <w:rPr>
          <w:rFonts w:ascii="Times New Roman" w:hAnsi="Times New Roman" w:cs="Times New Roman"/>
          <w:b/>
          <w:color w:val="0070C0"/>
          <w:sz w:val="24"/>
          <w:szCs w:val="24"/>
          <w:lang w:val="ro-RO"/>
        </w:rPr>
      </w:pPr>
      <w:r>
        <w:rPr>
          <w:rFonts w:ascii="Times New Roman" w:hAnsi="Times New Roman" w:cs="Times New Roman"/>
          <w:b/>
          <w:color w:val="0070C0"/>
          <w:sz w:val="24"/>
          <w:szCs w:val="24"/>
          <w:lang w:val="ro-RO"/>
        </w:rPr>
        <w:t xml:space="preserve"> </w:t>
      </w:r>
      <w:r w:rsidR="00885B40" w:rsidRPr="003A5ACD">
        <w:rPr>
          <w:rFonts w:ascii="Times New Roman" w:hAnsi="Times New Roman" w:cs="Times New Roman"/>
          <w:b/>
          <w:color w:val="0070C0"/>
          <w:sz w:val="24"/>
          <w:szCs w:val="24"/>
          <w:lang w:val="ro-RO"/>
        </w:rPr>
        <w:t>Neconformități și reguli discreționare în raportarea și rambursarea soldurilor granturilor și subvențiilor primite de I</w:t>
      </w:r>
      <w:r>
        <w:rPr>
          <w:rFonts w:ascii="Times New Roman" w:hAnsi="Times New Roman" w:cs="Times New Roman"/>
          <w:b/>
          <w:color w:val="0070C0"/>
          <w:sz w:val="24"/>
          <w:szCs w:val="24"/>
          <w:lang w:val="ro-RO"/>
        </w:rPr>
        <w:t>.</w:t>
      </w:r>
      <w:r w:rsidR="00885B40" w:rsidRPr="003A5ACD">
        <w:rPr>
          <w:rFonts w:ascii="Times New Roman" w:hAnsi="Times New Roman" w:cs="Times New Roman"/>
          <w:b/>
          <w:color w:val="0070C0"/>
          <w:sz w:val="24"/>
          <w:szCs w:val="24"/>
          <w:lang w:val="ro-RO"/>
        </w:rPr>
        <w:t>P</w:t>
      </w:r>
      <w:r>
        <w:rPr>
          <w:rFonts w:ascii="Times New Roman" w:hAnsi="Times New Roman" w:cs="Times New Roman"/>
          <w:b/>
          <w:color w:val="0070C0"/>
          <w:sz w:val="24"/>
          <w:szCs w:val="24"/>
          <w:lang w:val="ro-RO"/>
        </w:rPr>
        <w:t>.</w:t>
      </w:r>
      <w:r w:rsidR="00885B40" w:rsidRPr="003A5ACD">
        <w:rPr>
          <w:rFonts w:ascii="Times New Roman" w:hAnsi="Times New Roman" w:cs="Times New Roman"/>
          <w:b/>
          <w:color w:val="0070C0"/>
          <w:sz w:val="24"/>
          <w:szCs w:val="24"/>
          <w:lang w:val="ro-RO"/>
        </w:rPr>
        <w:t xml:space="preserve"> prin intermediul fondatorului</w:t>
      </w:r>
      <w:r w:rsidR="00BA69A9">
        <w:rPr>
          <w:rFonts w:ascii="Times New Roman" w:hAnsi="Times New Roman" w:cs="Times New Roman"/>
          <w:b/>
          <w:color w:val="0070C0"/>
          <w:sz w:val="24"/>
          <w:szCs w:val="24"/>
          <w:lang w:val="ro-RO"/>
        </w:rPr>
        <w:t xml:space="preserve"> </w:t>
      </w:r>
    </w:p>
    <w:p w14:paraId="0815FC5E" w14:textId="58380122" w:rsidR="00885B40" w:rsidRPr="003B329E" w:rsidRDefault="00161D23" w:rsidP="00885B40">
      <w:pPr>
        <w:pStyle w:val="af0"/>
        <w:spacing w:after="120" w:line="276" w:lineRule="auto"/>
        <w:jc w:val="both"/>
        <w:rPr>
          <w:lang w:val="pt-BR"/>
        </w:rPr>
      </w:pPr>
      <w:r w:rsidRPr="003B329E">
        <w:rPr>
          <w:lang w:val="pt-BR"/>
        </w:rPr>
        <w:t>La situația din 31.12.2022, potrivit datelor raportate, se înregistrează solduri de mijloace bugetare</w:t>
      </w:r>
      <w:r w:rsidR="00820DC5">
        <w:rPr>
          <w:lang w:val="pt-BR"/>
        </w:rPr>
        <w:t xml:space="preserve"> în conturiile trezoreriale,</w:t>
      </w:r>
      <w:r w:rsidRPr="003B329E">
        <w:rPr>
          <w:lang w:val="pt-BR"/>
        </w:rPr>
        <w:t xml:space="preserve"> în sumă totală de 12,6 mil. lei alocate ca granturi și subvenții, în speță </w:t>
      </w:r>
      <w:r>
        <w:rPr>
          <w:lang w:val="pt-BR"/>
        </w:rPr>
        <w:t xml:space="preserve">ca </w:t>
      </w:r>
      <w:r w:rsidRPr="003B329E">
        <w:rPr>
          <w:lang w:val="pt-BR"/>
        </w:rPr>
        <w:t xml:space="preserve">urmare </w:t>
      </w:r>
      <w:r>
        <w:rPr>
          <w:lang w:val="pt-BR"/>
        </w:rPr>
        <w:t xml:space="preserve">a </w:t>
      </w:r>
      <w:r w:rsidRPr="003B329E">
        <w:rPr>
          <w:lang w:val="pt-BR"/>
        </w:rPr>
        <w:t>neexecutării integrale de către AGE și STISC a resurselor financiare primite de la bugetul de stat prin intermediul CS. O situație analogică a fost constatată și în perioadele anterioare, suma alocațiilor bugetare neutilizate de către I</w:t>
      </w:r>
      <w:r>
        <w:rPr>
          <w:lang w:val="pt-BR"/>
        </w:rPr>
        <w:t>.</w:t>
      </w:r>
      <w:r w:rsidRPr="003B329E">
        <w:rPr>
          <w:lang w:val="pt-BR"/>
        </w:rPr>
        <w:t>P</w:t>
      </w:r>
      <w:r>
        <w:rPr>
          <w:lang w:val="pt-BR"/>
        </w:rPr>
        <w:t>.</w:t>
      </w:r>
      <w:r w:rsidRPr="003B329E">
        <w:rPr>
          <w:lang w:val="pt-BR"/>
        </w:rPr>
        <w:t xml:space="preserve"> înregistr</w:t>
      </w:r>
      <w:r>
        <w:rPr>
          <w:lang w:val="pt-BR"/>
        </w:rPr>
        <w:t>â</w:t>
      </w:r>
      <w:r w:rsidRPr="003B329E">
        <w:rPr>
          <w:lang w:val="pt-BR"/>
        </w:rPr>
        <w:t>nd valori semnificative</w:t>
      </w:r>
      <w:r>
        <w:rPr>
          <w:lang w:val="pt-BR"/>
        </w:rPr>
        <w:t>, acestea majorându-se de la 0,7</w:t>
      </w:r>
      <w:r w:rsidRPr="003B329E">
        <w:rPr>
          <w:lang w:val="pt-BR"/>
        </w:rPr>
        <w:t xml:space="preserve"> mil. lei în anul 2018 p</w:t>
      </w:r>
      <w:r>
        <w:rPr>
          <w:lang w:val="pt-BR"/>
        </w:rPr>
        <w:t>â</w:t>
      </w:r>
      <w:r w:rsidRPr="003B329E">
        <w:rPr>
          <w:lang w:val="pt-BR"/>
        </w:rPr>
        <w:t>nă la 40,2 mil lei în anul 2021</w:t>
      </w:r>
      <w:r w:rsidRPr="003B329E">
        <w:rPr>
          <w:rStyle w:val="a5"/>
          <w:lang w:val="pt-BR"/>
        </w:rPr>
        <w:footnoteReference w:id="35"/>
      </w:r>
      <w:r w:rsidRPr="003B329E">
        <w:rPr>
          <w:lang w:val="pt-BR"/>
        </w:rPr>
        <w:t>, prin ce se atestă imobilizarea resurselor financiare ale BS pe teremen nedeterminat, în condițiile bugetului deficitar și limitării finanț</w:t>
      </w:r>
      <w:r>
        <w:rPr>
          <w:lang w:val="pt-BR"/>
        </w:rPr>
        <w:t>ării</w:t>
      </w:r>
      <w:r w:rsidRPr="003B329E">
        <w:rPr>
          <w:lang w:val="pt-BR"/>
        </w:rPr>
        <w:t xml:space="preserve"> acestuia.</w:t>
      </w:r>
      <w:r w:rsidRPr="003B329E">
        <w:t xml:space="preserve"> </w:t>
      </w:r>
      <w:r w:rsidRPr="003B329E">
        <w:rPr>
          <w:lang w:val="pt-BR"/>
        </w:rPr>
        <w:t xml:space="preserve">Datele aferente sodurilor subvențiilor/granturilor </w:t>
      </w:r>
      <w:r>
        <w:rPr>
          <w:lang w:val="pt-BR"/>
        </w:rPr>
        <w:t xml:space="preserve">per instituție </w:t>
      </w:r>
      <w:r w:rsidRPr="003B329E">
        <w:rPr>
          <w:lang w:val="pt-BR"/>
        </w:rPr>
        <w:t>se prezintă în</w:t>
      </w:r>
      <w:r w:rsidRPr="00FF5055">
        <w:rPr>
          <w:i/>
          <w:lang w:val="pt-BR"/>
        </w:rPr>
        <w:t xml:space="preserve"> </w:t>
      </w:r>
      <w:r w:rsidRPr="00685DB0">
        <w:rPr>
          <w:i/>
          <w:lang w:val="pt-BR"/>
        </w:rPr>
        <w:t>Anexa nr. 7</w:t>
      </w:r>
      <w:r w:rsidRPr="00FF5055">
        <w:rPr>
          <w:i/>
          <w:lang w:val="pt-BR"/>
        </w:rPr>
        <w:t xml:space="preserve"> la prezentul Raport de audit</w:t>
      </w:r>
      <w:r w:rsidRPr="003B329E">
        <w:rPr>
          <w:lang w:val="pt-BR"/>
        </w:rPr>
        <w:t>.</w:t>
      </w:r>
    </w:p>
    <w:p w14:paraId="4E7F61B0" w14:textId="4C4B5AF6" w:rsidR="00885B40" w:rsidRPr="003B329E" w:rsidRDefault="00161D23" w:rsidP="00885B40">
      <w:pPr>
        <w:pStyle w:val="af0"/>
        <w:spacing w:after="120" w:line="276" w:lineRule="auto"/>
        <w:jc w:val="both"/>
        <w:rPr>
          <w:lang w:val="pt-BR"/>
        </w:rPr>
      </w:pPr>
      <w:r w:rsidRPr="003B329E">
        <w:rPr>
          <w:lang w:val="pt-BR"/>
        </w:rPr>
        <w:t>Analiz</w:t>
      </w:r>
      <w:r>
        <w:rPr>
          <w:lang w:val="pt-BR"/>
        </w:rPr>
        <w:t>â</w:t>
      </w:r>
      <w:r w:rsidRPr="003B329E">
        <w:rPr>
          <w:lang w:val="pt-BR"/>
        </w:rPr>
        <w:t>nd cadrul legal privind particularitățile gestionării de către instituțiile publice a soldurilor de mijloace bugetare rămase în conturile acestora și primite ca granturi/subvenții prin intermediul fondatorului de la bugetul de stat, se atestă norme diferite și discreționare care reglementează acest subiect. Astfel exemplificăm că, dacă potrivit prevederilor cadrului normativ AGE</w:t>
      </w:r>
      <w:r w:rsidRPr="003B329E">
        <w:rPr>
          <w:rStyle w:val="a5"/>
          <w:lang w:val="pt-BR"/>
        </w:rPr>
        <w:footnoteReference w:id="36"/>
      </w:r>
      <w:r w:rsidRPr="003B329E">
        <w:rPr>
          <w:lang w:val="pt-BR"/>
        </w:rPr>
        <w:t xml:space="preserve"> și alte instituții</w:t>
      </w:r>
      <w:r w:rsidRPr="003B329E">
        <w:rPr>
          <w:rStyle w:val="a5"/>
          <w:lang w:val="pt-BR"/>
        </w:rPr>
        <w:footnoteReference w:id="37"/>
      </w:r>
      <w:r w:rsidRPr="003B329E">
        <w:rPr>
          <w:lang w:val="pt-BR"/>
        </w:rPr>
        <w:t xml:space="preserve"> au obligativitatea restituirii la bugetul de stat a </w:t>
      </w:r>
      <w:r w:rsidRPr="003B329E">
        <w:t xml:space="preserve">soldului </w:t>
      </w:r>
      <w:r w:rsidRPr="003B329E">
        <w:rPr>
          <w:lang w:val="pt-BR"/>
        </w:rPr>
        <w:t xml:space="preserve">granturilor și subvențiilor </w:t>
      </w:r>
      <w:r>
        <w:rPr>
          <w:lang w:val="pt-BR"/>
        </w:rPr>
        <w:t xml:space="preserve">primite și </w:t>
      </w:r>
      <w:r w:rsidRPr="003B329E">
        <w:rPr>
          <w:lang w:val="pt-BR"/>
        </w:rPr>
        <w:t xml:space="preserve">neutilizate pe parcursul anului, atunci în spețele HG </w:t>
      </w:r>
      <w:r>
        <w:rPr>
          <w:lang w:val="pt-BR"/>
        </w:rPr>
        <w:t>nr.</w:t>
      </w:r>
      <w:r w:rsidRPr="003B329E">
        <w:rPr>
          <w:lang w:val="pt-BR"/>
        </w:rPr>
        <w:t>414/2018</w:t>
      </w:r>
      <w:r w:rsidRPr="003B329E">
        <w:rPr>
          <w:rStyle w:val="a5"/>
          <w:lang w:val="pt-BR"/>
        </w:rPr>
        <w:footnoteReference w:id="38"/>
      </w:r>
      <w:r w:rsidRPr="003B329E">
        <w:rPr>
          <w:lang w:val="pt-BR"/>
        </w:rPr>
        <w:t xml:space="preserve"> se statuează că STISC va rambursa la buget soldul de mijloace</w:t>
      </w:r>
      <w:r>
        <w:rPr>
          <w:lang w:val="pt-BR"/>
        </w:rPr>
        <w:t>,</w:t>
      </w:r>
      <w:r w:rsidRPr="003B329E">
        <w:rPr>
          <w:lang w:val="pt-BR"/>
        </w:rPr>
        <w:t xml:space="preserve"> la decizia</w:t>
      </w:r>
      <w:r w:rsidRPr="003B329E">
        <w:rPr>
          <w:color w:val="000000"/>
        </w:rPr>
        <w:t xml:space="preserve"> </w:t>
      </w:r>
      <w:r w:rsidRPr="003B329E">
        <w:rPr>
          <w:lang w:val="pt-BR"/>
        </w:rPr>
        <w:t>Consiliului de administrare. Se remarcă că, în perioada auditată, membrii Consiliului STISC nu au adoptat astfel de decizii, deși valoarea mijloacelor bănești nevalorificate înregistrează an de an sume semnificative în conturile instituției, inclusiv la sf</w:t>
      </w:r>
      <w:r>
        <w:rPr>
          <w:lang w:val="pt-BR"/>
        </w:rPr>
        <w:t>â</w:t>
      </w:r>
      <w:r w:rsidRPr="003B329E">
        <w:rPr>
          <w:lang w:val="pt-BR"/>
        </w:rPr>
        <w:t xml:space="preserve">rșitul anului: 2019 – 33,3 mil. lei; 2020 – 30,2 mil. lei; 2021 – 39,5 mil. </w:t>
      </w:r>
      <w:r>
        <w:rPr>
          <w:lang w:val="pt-BR"/>
        </w:rPr>
        <w:t>l</w:t>
      </w:r>
      <w:r w:rsidRPr="003B329E">
        <w:rPr>
          <w:lang w:val="pt-BR"/>
        </w:rPr>
        <w:t>ei</w:t>
      </w:r>
      <w:r>
        <w:rPr>
          <w:lang w:val="pt-BR"/>
        </w:rPr>
        <w:t>,</w:t>
      </w:r>
      <w:r w:rsidRPr="003B329E">
        <w:rPr>
          <w:lang w:val="pt-BR"/>
        </w:rPr>
        <w:t xml:space="preserve"> și 2022 – 11,8 mil. lei.</w:t>
      </w:r>
    </w:p>
    <w:p w14:paraId="6679EE6C" w14:textId="77777777" w:rsidR="00161D23" w:rsidRPr="003B329E" w:rsidRDefault="00885B40" w:rsidP="00161D23">
      <w:pPr>
        <w:pStyle w:val="af0"/>
        <w:spacing w:before="120" w:after="120" w:line="276" w:lineRule="auto"/>
        <w:jc w:val="both"/>
        <w:rPr>
          <w:lang w:val="ro-RO"/>
        </w:rPr>
      </w:pPr>
      <w:r w:rsidRPr="003B329E">
        <w:rPr>
          <w:lang w:val="ro-RO"/>
        </w:rPr>
        <w:t xml:space="preserve">Referitor la restituirea de către AGE a </w:t>
      </w:r>
      <w:r w:rsidR="00A733AF">
        <w:rPr>
          <w:lang w:val="ro-RO"/>
        </w:rPr>
        <w:t>soldurile mijloacelor bugetare rămase</w:t>
      </w:r>
      <w:r w:rsidRPr="003B329E">
        <w:rPr>
          <w:lang w:val="ro-RO"/>
        </w:rPr>
        <w:t xml:space="preserve"> în conturile instituției, se atestă că, contrar prevederilor pct. 35 din </w:t>
      </w:r>
      <w:bookmarkStart w:id="28" w:name="_Toc142925752"/>
      <w:r w:rsidR="00161D23" w:rsidRPr="003B329E">
        <w:rPr>
          <w:lang w:val="ro-RO"/>
        </w:rPr>
        <w:t xml:space="preserve">Anexa nr. 1 la HG </w:t>
      </w:r>
      <w:r w:rsidR="00161D23">
        <w:rPr>
          <w:lang w:val="ro-RO"/>
        </w:rPr>
        <w:t>nr.</w:t>
      </w:r>
      <w:r w:rsidR="00161D23" w:rsidRPr="003B329E">
        <w:rPr>
          <w:lang w:val="ro-RO"/>
        </w:rPr>
        <w:t xml:space="preserve">760/2010, AGE nu a asigurat rambursarea la buget a valorii mijloacelor bugetare neutilizate și stocate în conturile bancare la sfârșitul anului 2018 și </w:t>
      </w:r>
      <w:r w:rsidR="00161D23">
        <w:rPr>
          <w:lang w:val="ro-RO"/>
        </w:rPr>
        <w:t xml:space="preserve">anului </w:t>
      </w:r>
      <w:r w:rsidR="00161D23" w:rsidRPr="003B329E">
        <w:rPr>
          <w:lang w:val="ro-RO"/>
        </w:rPr>
        <w:t>2019, respectiv</w:t>
      </w:r>
      <w:r w:rsidR="00161D23">
        <w:rPr>
          <w:lang w:val="ro-RO"/>
        </w:rPr>
        <w:t>,</w:t>
      </w:r>
      <w:r w:rsidR="00161D23" w:rsidRPr="003B329E">
        <w:rPr>
          <w:lang w:val="ro-RO"/>
        </w:rPr>
        <w:t xml:space="preserve"> </w:t>
      </w:r>
      <w:r w:rsidR="00161D23">
        <w:rPr>
          <w:lang w:val="ro-RO"/>
        </w:rPr>
        <w:t xml:space="preserve">a </w:t>
      </w:r>
      <w:r w:rsidR="00161D23" w:rsidRPr="003B329E">
        <w:rPr>
          <w:lang w:val="ro-RO"/>
        </w:rPr>
        <w:t>sum</w:t>
      </w:r>
      <w:r w:rsidR="00161D23">
        <w:rPr>
          <w:lang w:val="ro-RO"/>
        </w:rPr>
        <w:t>elor</w:t>
      </w:r>
      <w:r w:rsidR="00161D23" w:rsidRPr="003B329E">
        <w:rPr>
          <w:lang w:val="ro-RO"/>
        </w:rPr>
        <w:t xml:space="preserve"> de 597,5 mii lei și </w:t>
      </w:r>
      <w:r w:rsidR="00161D23">
        <w:rPr>
          <w:lang w:val="ro-RO"/>
        </w:rPr>
        <w:t xml:space="preserve">de </w:t>
      </w:r>
      <w:r w:rsidR="00161D23" w:rsidRPr="003B329E">
        <w:rPr>
          <w:lang w:val="ro-RO"/>
        </w:rPr>
        <w:t xml:space="preserve">434,4 mii lei. </w:t>
      </w:r>
    </w:p>
    <w:p w14:paraId="6EBC9B65" w14:textId="77777777" w:rsidR="00161D23" w:rsidRDefault="00161D23" w:rsidP="00161D23">
      <w:pPr>
        <w:pStyle w:val="af0"/>
        <w:spacing w:before="120" w:after="120" w:line="276" w:lineRule="auto"/>
        <w:jc w:val="both"/>
        <w:rPr>
          <w:lang w:val="pt-BR"/>
        </w:rPr>
      </w:pPr>
      <w:r w:rsidRPr="003B329E">
        <w:rPr>
          <w:lang w:val="pt-BR"/>
        </w:rPr>
        <w:t>Concomitent</w:t>
      </w:r>
      <w:r>
        <w:rPr>
          <w:lang w:val="pt-BR"/>
        </w:rPr>
        <w:t>,</w:t>
      </w:r>
      <w:r w:rsidRPr="003B329E">
        <w:rPr>
          <w:lang w:val="pt-BR"/>
        </w:rPr>
        <w:t xml:space="preserve"> o altă observație de audit relevă lipsa stabilirii în cadrul legal actual a unei date limite la care urmează a fi restituite mijloacele bănești. În acest context se exemplifică situația constatată în anul 2022 la AGE</w:t>
      </w:r>
      <w:r>
        <w:rPr>
          <w:lang w:val="pt-BR"/>
        </w:rPr>
        <w:t>,</w:t>
      </w:r>
      <w:r w:rsidRPr="003B329E">
        <w:rPr>
          <w:lang w:val="pt-BR"/>
        </w:rPr>
        <w:t xml:space="preserve"> care a restituit soldul granturilor nevalorificate în sumă de 843,5 mii lei în două tranșe, inclusiv: suma de 724,8 mii lei la data de 16 februarie 2023 și 118,6 mii</w:t>
      </w:r>
      <w:r>
        <w:rPr>
          <w:lang w:val="pt-BR"/>
        </w:rPr>
        <w:t xml:space="preserve"> </w:t>
      </w:r>
      <w:r w:rsidRPr="003B329E">
        <w:rPr>
          <w:lang w:val="pt-BR"/>
        </w:rPr>
        <w:t>lei tocmai în trimestru</w:t>
      </w:r>
      <w:r>
        <w:rPr>
          <w:lang w:val="pt-BR"/>
        </w:rPr>
        <w:t>l</w:t>
      </w:r>
      <w:r w:rsidRPr="003B329E">
        <w:rPr>
          <w:lang w:val="pt-BR"/>
        </w:rPr>
        <w:t xml:space="preserve"> II al anului</w:t>
      </w:r>
      <w:r>
        <w:rPr>
          <w:lang w:val="pt-BR"/>
        </w:rPr>
        <w:t>,</w:t>
      </w:r>
      <w:r w:rsidRPr="003B329E">
        <w:rPr>
          <w:lang w:val="pt-BR"/>
        </w:rPr>
        <w:t xml:space="preserve"> la data de 14.06.2023.</w:t>
      </w:r>
    </w:p>
    <w:p w14:paraId="714B2F69" w14:textId="67FA9FE8" w:rsidR="00161D23" w:rsidRPr="0060049A" w:rsidRDefault="00161D23" w:rsidP="0060049A">
      <w:pPr>
        <w:pStyle w:val="a7"/>
        <w:numPr>
          <w:ilvl w:val="2"/>
          <w:numId w:val="4"/>
        </w:numPr>
        <w:tabs>
          <w:tab w:val="left" w:pos="567"/>
        </w:tabs>
        <w:spacing w:before="120" w:after="120" w:line="276" w:lineRule="auto"/>
        <w:ind w:left="0" w:firstLine="0"/>
        <w:contextualSpacing w:val="0"/>
        <w:jc w:val="both"/>
        <w:rPr>
          <w:rFonts w:ascii="Times New Roman" w:hAnsi="Times New Roman" w:cs="Times New Roman"/>
          <w:b/>
          <w:color w:val="0070C0"/>
          <w:sz w:val="24"/>
          <w:szCs w:val="24"/>
          <w:lang w:val="ro-RO"/>
        </w:rPr>
      </w:pPr>
      <w:bookmarkStart w:id="29" w:name="_Toc156400782"/>
      <w:r w:rsidRPr="0060049A">
        <w:rPr>
          <w:rFonts w:ascii="Times New Roman" w:hAnsi="Times New Roman" w:cs="Times New Roman"/>
          <w:b/>
          <w:color w:val="0070C0"/>
          <w:sz w:val="24"/>
          <w:szCs w:val="24"/>
          <w:lang w:val="ro-RO"/>
        </w:rPr>
        <w:t xml:space="preserve"> Unele I.P. fondate de CS nu au instituit un proces conform de valorificare a resurselor financiare publice aliniat rigorilor bunei guvernări</w:t>
      </w:r>
      <w:bookmarkEnd w:id="29"/>
      <w:r w:rsidRPr="0060049A">
        <w:rPr>
          <w:rFonts w:ascii="Times New Roman" w:hAnsi="Times New Roman" w:cs="Times New Roman"/>
          <w:b/>
          <w:color w:val="0070C0"/>
          <w:sz w:val="24"/>
          <w:szCs w:val="24"/>
          <w:lang w:val="ro-RO"/>
        </w:rPr>
        <w:t>.</w:t>
      </w:r>
    </w:p>
    <w:p w14:paraId="20E408BC" w14:textId="77777777" w:rsidR="00DA7801" w:rsidRPr="0008595C" w:rsidRDefault="00DA7801" w:rsidP="00BD2237">
      <w:pPr>
        <w:pStyle w:val="a7"/>
        <w:numPr>
          <w:ilvl w:val="0"/>
          <w:numId w:val="29"/>
        </w:numPr>
        <w:tabs>
          <w:tab w:val="left" w:pos="284"/>
        </w:tabs>
        <w:ind w:left="0" w:firstLine="0"/>
        <w:jc w:val="both"/>
        <w:rPr>
          <w:rFonts w:ascii="Times New Roman" w:hAnsi="Times New Roman" w:cs="Times New Roman"/>
          <w:b/>
          <w:i/>
          <w:sz w:val="24"/>
          <w:szCs w:val="24"/>
          <w:lang w:val="ro-RO"/>
        </w:rPr>
      </w:pPr>
      <w:r w:rsidRPr="0008595C">
        <w:rPr>
          <w:rFonts w:ascii="Times New Roman" w:hAnsi="Times New Roman" w:cs="Times New Roman"/>
          <w:b/>
          <w:i/>
          <w:sz w:val="24"/>
          <w:szCs w:val="24"/>
          <w:lang w:val="ro-RO"/>
        </w:rPr>
        <w:t xml:space="preserve">Cazuri de utilizare defectuoasă și suspiciuni de fraudă la valorificarea resurselor financiare de către STISC </w:t>
      </w:r>
    </w:p>
    <w:p w14:paraId="5D4262CC" w14:textId="77777777" w:rsidR="001A76A4" w:rsidRDefault="001A76A4" w:rsidP="001A76A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În timp ce unele IP solicită fonduri bugetare pentru desfășurarea activității, fiind susținute substanțial sub aspect financiar de către CS, auditul atestă că factorii decizionali ai acestora nu au asigurat un management financiar conformat principiilor </w:t>
      </w:r>
      <w:r w:rsidRPr="003B329E">
        <w:rPr>
          <w:rFonts w:ascii="Times New Roman" w:hAnsi="Times New Roman" w:cs="Times New Roman"/>
          <w:sz w:val="24"/>
          <w:szCs w:val="24"/>
        </w:rPr>
        <w:t xml:space="preserve">bunei gestiuni, cerință statuată în art. 4 din Legea </w:t>
      </w:r>
      <w:r>
        <w:rPr>
          <w:rFonts w:ascii="Times New Roman" w:hAnsi="Times New Roman" w:cs="Times New Roman"/>
          <w:sz w:val="24"/>
          <w:szCs w:val="24"/>
        </w:rPr>
        <w:t>nr.</w:t>
      </w:r>
      <w:r w:rsidRPr="003B329E">
        <w:rPr>
          <w:rFonts w:ascii="Times New Roman" w:hAnsi="Times New Roman" w:cs="Times New Roman"/>
          <w:sz w:val="24"/>
          <w:szCs w:val="24"/>
        </w:rPr>
        <w:t>229/2010.</w:t>
      </w:r>
    </w:p>
    <w:p w14:paraId="1147BD5F" w14:textId="46FC9595" w:rsidR="001A76A4" w:rsidRDefault="001A76A4" w:rsidP="009B2D03">
      <w:pPr>
        <w:spacing w:after="120" w:line="276" w:lineRule="auto"/>
        <w:jc w:val="both"/>
        <w:rPr>
          <w:rFonts w:ascii="Times New Roman" w:hAnsi="Times New Roman" w:cs="Times New Roman"/>
          <w:sz w:val="24"/>
          <w:szCs w:val="24"/>
        </w:rPr>
      </w:pPr>
      <w:r w:rsidRPr="003B329E">
        <w:rPr>
          <w:rFonts w:ascii="Times New Roman" w:hAnsi="Times New Roman" w:cs="Times New Roman"/>
          <w:sz w:val="24"/>
          <w:szCs w:val="24"/>
        </w:rPr>
        <w:t xml:space="preserve">Astfel, </w:t>
      </w:r>
      <w:r>
        <w:rPr>
          <w:rFonts w:ascii="Times New Roman" w:hAnsi="Times New Roman" w:cs="Times New Roman"/>
          <w:sz w:val="24"/>
          <w:szCs w:val="24"/>
        </w:rPr>
        <w:t>verificările de audit au relevat</w:t>
      </w:r>
      <w:r w:rsidRPr="003B329E">
        <w:rPr>
          <w:rFonts w:ascii="Times New Roman" w:hAnsi="Times New Roman" w:cs="Times New Roman"/>
          <w:sz w:val="24"/>
          <w:szCs w:val="24"/>
        </w:rPr>
        <w:t xml:space="preserve"> cazuri de utilizare irațională a mijloacelor financiare de către STISC la achiziționarea</w:t>
      </w:r>
      <w:r>
        <w:rPr>
          <w:rFonts w:ascii="Times New Roman" w:hAnsi="Times New Roman" w:cs="Times New Roman"/>
          <w:sz w:val="24"/>
          <w:szCs w:val="24"/>
        </w:rPr>
        <w:t xml:space="preserve"> </w:t>
      </w:r>
      <w:r w:rsidRPr="003B329E">
        <w:rPr>
          <w:rFonts w:ascii="Times New Roman" w:hAnsi="Times New Roman" w:cs="Times New Roman"/>
          <w:sz w:val="24"/>
          <w:szCs w:val="24"/>
        </w:rPr>
        <w:t xml:space="preserve">SI „MoldovaGovCA” </w:t>
      </w:r>
      <w:r>
        <w:rPr>
          <w:rFonts w:ascii="Times New Roman" w:hAnsi="Times New Roman" w:cs="Times New Roman"/>
          <w:sz w:val="24"/>
          <w:szCs w:val="24"/>
        </w:rPr>
        <w:t xml:space="preserve">și a </w:t>
      </w:r>
      <w:r w:rsidRPr="003B329E">
        <w:rPr>
          <w:rFonts w:ascii="Times New Roman" w:hAnsi="Times New Roman" w:cs="Times New Roman"/>
          <w:sz w:val="24"/>
          <w:szCs w:val="24"/>
        </w:rPr>
        <w:t>unor dispozitive securizate de creare a semnăturilor electronice de tip HSM</w:t>
      </w:r>
      <w:r w:rsidRPr="003B329E">
        <w:rPr>
          <w:rStyle w:val="a5"/>
          <w:rFonts w:ascii="Times New Roman" w:hAnsi="Times New Roman" w:cs="Times New Roman"/>
        </w:rPr>
        <w:footnoteReference w:id="39"/>
      </w:r>
      <w:r w:rsidRPr="003B329E">
        <w:rPr>
          <w:rFonts w:ascii="Times New Roman" w:hAnsi="Times New Roman" w:cs="Times New Roman"/>
          <w:sz w:val="24"/>
          <w:szCs w:val="24"/>
        </w:rPr>
        <w:t xml:space="preserve"> </w:t>
      </w:r>
      <w:r>
        <w:rPr>
          <w:rFonts w:ascii="Times New Roman" w:hAnsi="Times New Roman" w:cs="Times New Roman"/>
          <w:sz w:val="24"/>
          <w:szCs w:val="24"/>
        </w:rPr>
        <w:t xml:space="preserve">în anii 2020 și 2022. Mai mul decât atât, au fost constatate </w:t>
      </w:r>
      <w:r w:rsidRPr="003B329E">
        <w:rPr>
          <w:rFonts w:ascii="Times New Roman" w:hAnsi="Times New Roman" w:cs="Times New Roman"/>
          <w:sz w:val="24"/>
          <w:szCs w:val="24"/>
        </w:rPr>
        <w:t>suspiciuni de fraudă la perfectarea documente</w:t>
      </w:r>
      <w:r>
        <w:rPr>
          <w:rFonts w:ascii="Times New Roman" w:hAnsi="Times New Roman" w:cs="Times New Roman"/>
          <w:sz w:val="24"/>
          <w:szCs w:val="24"/>
        </w:rPr>
        <w:t>lor</w:t>
      </w:r>
      <w:r w:rsidRPr="003B329E">
        <w:rPr>
          <w:rFonts w:ascii="Times New Roman" w:hAnsi="Times New Roman" w:cs="Times New Roman"/>
          <w:sz w:val="24"/>
          <w:szCs w:val="24"/>
        </w:rPr>
        <w:t xml:space="preserve"> privind darea în exploatare </w:t>
      </w:r>
      <w:r>
        <w:rPr>
          <w:rFonts w:ascii="Times New Roman" w:hAnsi="Times New Roman" w:cs="Times New Roman"/>
          <w:sz w:val="24"/>
          <w:szCs w:val="24"/>
        </w:rPr>
        <w:t>atât a SI, cât și a dispozitivelor securizate procurate în anul 2020, de fapt bunurile nefiind</w:t>
      </w:r>
      <w:r w:rsidRPr="003B329E">
        <w:rPr>
          <w:rFonts w:ascii="Times New Roman" w:hAnsi="Times New Roman" w:cs="Times New Roman"/>
          <w:sz w:val="24"/>
          <w:szCs w:val="24"/>
        </w:rPr>
        <w:t xml:space="preserve"> utilizate ani </w:t>
      </w:r>
      <w:r>
        <w:rPr>
          <w:rFonts w:ascii="Times New Roman" w:hAnsi="Times New Roman" w:cs="Times New Roman"/>
          <w:sz w:val="24"/>
          <w:szCs w:val="24"/>
        </w:rPr>
        <w:t>la rând</w:t>
      </w:r>
      <w:r w:rsidRPr="003B329E">
        <w:rPr>
          <w:rFonts w:ascii="Times New Roman" w:hAnsi="Times New Roman" w:cs="Times New Roman"/>
          <w:sz w:val="24"/>
          <w:szCs w:val="24"/>
        </w:rPr>
        <w:t xml:space="preserve"> în activitatea entității</w:t>
      </w:r>
      <w:r>
        <w:rPr>
          <w:rFonts w:ascii="Times New Roman" w:hAnsi="Times New Roman" w:cs="Times New Roman"/>
          <w:sz w:val="24"/>
          <w:szCs w:val="24"/>
        </w:rPr>
        <w:t xml:space="preserve">. </w:t>
      </w:r>
      <w:r w:rsidRPr="007351BD">
        <w:rPr>
          <w:rFonts w:ascii="Times New Roman" w:hAnsi="Times New Roman" w:cs="Times New Roman"/>
          <w:i/>
          <w:sz w:val="24"/>
          <w:szCs w:val="24"/>
        </w:rPr>
        <w:t xml:space="preserve">Acest aspect denotă că </w:t>
      </w:r>
      <w:r>
        <w:rPr>
          <w:rFonts w:ascii="Times New Roman" w:hAnsi="Times New Roman" w:cs="Times New Roman"/>
          <w:i/>
          <w:sz w:val="24"/>
          <w:szCs w:val="24"/>
        </w:rPr>
        <w:t>conținutul tranzacțiilor</w:t>
      </w:r>
      <w:r w:rsidRPr="007351BD">
        <w:rPr>
          <w:rFonts w:ascii="Times New Roman" w:hAnsi="Times New Roman" w:cs="Times New Roman"/>
          <w:i/>
          <w:sz w:val="24"/>
          <w:szCs w:val="24"/>
        </w:rPr>
        <w:t xml:space="preserve"> contabile nu corespund</w:t>
      </w:r>
      <w:r>
        <w:rPr>
          <w:rFonts w:ascii="Times New Roman" w:hAnsi="Times New Roman" w:cs="Times New Roman"/>
          <w:i/>
          <w:sz w:val="24"/>
          <w:szCs w:val="24"/>
        </w:rPr>
        <w:t>e circumstanțelor de facto, astfel</w:t>
      </w:r>
      <w:r w:rsidRPr="007351BD">
        <w:rPr>
          <w:rFonts w:ascii="Times New Roman" w:hAnsi="Times New Roman" w:cs="Times New Roman"/>
          <w:i/>
          <w:sz w:val="24"/>
          <w:szCs w:val="24"/>
        </w:rPr>
        <w:t xml:space="preserve"> documentele de dare în exploatare a acestora și înregistrarea tranzacțiilor în evidența contabilă, nu corespund realității.</w:t>
      </w:r>
      <w:r w:rsidRPr="00F936B6">
        <w:rPr>
          <w:rFonts w:ascii="Times New Roman" w:hAnsi="Times New Roman" w:cs="Times New Roman"/>
          <w:sz w:val="24"/>
          <w:szCs w:val="24"/>
        </w:rPr>
        <w:t xml:space="preserve"> </w:t>
      </w:r>
    </w:p>
    <w:p w14:paraId="5C2A764E" w14:textId="7322E886" w:rsidR="009B2D03" w:rsidRDefault="001A76A4" w:rsidP="009B2D03">
      <w:pPr>
        <w:spacing w:after="120" w:line="276" w:lineRule="auto"/>
        <w:jc w:val="both"/>
        <w:rPr>
          <w:rFonts w:ascii="Times New Roman" w:hAnsi="Times New Roman" w:cs="Times New Roman"/>
          <w:sz w:val="24"/>
          <w:szCs w:val="24"/>
        </w:rPr>
      </w:pPr>
      <w:r w:rsidRPr="003B329E">
        <w:rPr>
          <w:rFonts w:ascii="Times New Roman" w:hAnsi="Times New Roman" w:cs="Times New Roman"/>
          <w:sz w:val="24"/>
          <w:szCs w:val="24"/>
        </w:rPr>
        <w:t>Deși pentru înnoirea infrastructurii cheilor publice administrate de STIS</w:t>
      </w:r>
      <w:r>
        <w:rPr>
          <w:rFonts w:ascii="Times New Roman" w:hAnsi="Times New Roman" w:cs="Times New Roman"/>
          <w:sz w:val="24"/>
          <w:szCs w:val="24"/>
        </w:rPr>
        <w:t xml:space="preserve">C în anii 2019-2022 </w:t>
      </w:r>
      <w:r w:rsidRPr="003B329E">
        <w:rPr>
          <w:rFonts w:ascii="Times New Roman" w:hAnsi="Times New Roman" w:cs="Times New Roman"/>
          <w:sz w:val="24"/>
          <w:szCs w:val="24"/>
        </w:rPr>
        <w:t>s</w:t>
      </w:r>
      <w:r>
        <w:rPr>
          <w:rFonts w:ascii="Times New Roman" w:hAnsi="Times New Roman" w:cs="Times New Roman"/>
          <w:sz w:val="24"/>
          <w:szCs w:val="24"/>
        </w:rPr>
        <w:t>-</w:t>
      </w:r>
      <w:r w:rsidRPr="003B329E">
        <w:rPr>
          <w:rFonts w:ascii="Times New Roman" w:hAnsi="Times New Roman" w:cs="Times New Roman"/>
          <w:sz w:val="24"/>
          <w:szCs w:val="24"/>
        </w:rPr>
        <w:t xml:space="preserve">au utilizat </w:t>
      </w:r>
      <w:r>
        <w:rPr>
          <w:rFonts w:ascii="Times New Roman" w:hAnsi="Times New Roman" w:cs="Times New Roman"/>
          <w:sz w:val="24"/>
          <w:szCs w:val="24"/>
        </w:rPr>
        <w:t>per total</w:t>
      </w:r>
      <w:r w:rsidRPr="003B329E">
        <w:rPr>
          <w:rFonts w:ascii="Times New Roman" w:hAnsi="Times New Roman" w:cs="Times New Roman"/>
          <w:sz w:val="24"/>
          <w:szCs w:val="24"/>
        </w:rPr>
        <w:t xml:space="preserve"> 9,4 mil. lei,</w:t>
      </w:r>
      <w:r>
        <w:rPr>
          <w:rFonts w:ascii="Times New Roman" w:hAnsi="Times New Roman" w:cs="Times New Roman"/>
          <w:sz w:val="24"/>
          <w:szCs w:val="24"/>
        </w:rPr>
        <w:t xml:space="preserve"> </w:t>
      </w:r>
      <w:r w:rsidRPr="003B329E">
        <w:rPr>
          <w:rFonts w:ascii="Times New Roman" w:hAnsi="Times New Roman" w:cs="Times New Roman"/>
          <w:sz w:val="24"/>
          <w:szCs w:val="24"/>
        </w:rPr>
        <w:t>instituția publică, în calitate de prestator de servicii de certificare,</w:t>
      </w:r>
      <w:r>
        <w:rPr>
          <w:rFonts w:ascii="Times New Roman" w:hAnsi="Times New Roman" w:cs="Times New Roman"/>
          <w:sz w:val="24"/>
          <w:szCs w:val="24"/>
        </w:rPr>
        <w:t xml:space="preserve"> la situația din 31.12.2023,</w:t>
      </w:r>
      <w:r w:rsidRPr="003B329E">
        <w:rPr>
          <w:rFonts w:ascii="Times New Roman" w:hAnsi="Times New Roman" w:cs="Times New Roman"/>
          <w:sz w:val="24"/>
          <w:szCs w:val="24"/>
        </w:rPr>
        <w:t xml:space="preserve"> utiliz</w:t>
      </w:r>
      <w:r>
        <w:rPr>
          <w:rFonts w:ascii="Times New Roman" w:hAnsi="Times New Roman" w:cs="Times New Roman"/>
          <w:sz w:val="24"/>
          <w:szCs w:val="24"/>
        </w:rPr>
        <w:t>a</w:t>
      </w:r>
      <w:r w:rsidRPr="003B329E">
        <w:rPr>
          <w:rFonts w:ascii="Times New Roman" w:hAnsi="Times New Roman" w:cs="Times New Roman"/>
          <w:sz w:val="24"/>
          <w:szCs w:val="24"/>
        </w:rPr>
        <w:t xml:space="preserve"> precedenta aplicație</w:t>
      </w:r>
      <w:r>
        <w:rPr>
          <w:rFonts w:ascii="Times New Roman" w:hAnsi="Times New Roman" w:cs="Times New Roman"/>
          <w:sz w:val="24"/>
          <w:szCs w:val="24"/>
        </w:rPr>
        <w:t xml:space="preserve"> achiziționată în anul 2017</w:t>
      </w:r>
      <w:r w:rsidRPr="003B329E">
        <w:rPr>
          <w:rFonts w:ascii="Times New Roman" w:hAnsi="Times New Roman" w:cs="Times New Roman"/>
          <w:sz w:val="24"/>
          <w:szCs w:val="24"/>
        </w:rPr>
        <w:t xml:space="preserve">, și anume </w:t>
      </w:r>
      <w:r>
        <w:rPr>
          <w:rFonts w:ascii="Times New Roman" w:hAnsi="Times New Roman" w:cs="Times New Roman"/>
          <w:sz w:val="24"/>
          <w:szCs w:val="24"/>
        </w:rPr>
        <w:t>„</w:t>
      </w:r>
      <w:r w:rsidRPr="003B329E">
        <w:rPr>
          <w:rFonts w:ascii="Times New Roman" w:hAnsi="Times New Roman" w:cs="Times New Roman"/>
          <w:sz w:val="24"/>
          <w:szCs w:val="24"/>
        </w:rPr>
        <w:t>Moldova CA Soluțion</w:t>
      </w:r>
      <w:r>
        <w:rPr>
          <w:rFonts w:ascii="Times New Roman" w:hAnsi="Times New Roman" w:cs="Times New Roman"/>
          <w:sz w:val="24"/>
          <w:szCs w:val="24"/>
        </w:rPr>
        <w:t>”</w:t>
      </w:r>
      <w:r w:rsidRPr="003B329E">
        <w:rPr>
          <w:rFonts w:ascii="Times New Roman" w:hAnsi="Times New Roman" w:cs="Times New Roman"/>
          <w:sz w:val="24"/>
          <w:szCs w:val="24"/>
        </w:rPr>
        <w:t>, compatibilă cu dispozitivele HSM procurate încă în an</w:t>
      </w:r>
      <w:r>
        <w:rPr>
          <w:rFonts w:ascii="Times New Roman" w:hAnsi="Times New Roman" w:cs="Times New Roman"/>
          <w:sz w:val="24"/>
          <w:szCs w:val="24"/>
        </w:rPr>
        <w:t>ii</w:t>
      </w:r>
      <w:r w:rsidRPr="003B329E">
        <w:rPr>
          <w:rFonts w:ascii="Times New Roman" w:hAnsi="Times New Roman" w:cs="Times New Roman"/>
          <w:sz w:val="24"/>
          <w:szCs w:val="24"/>
        </w:rPr>
        <w:t xml:space="preserve"> 2007 și 2012, fapt ce atestă utilizarea </w:t>
      </w:r>
      <w:r>
        <w:rPr>
          <w:rFonts w:ascii="Times New Roman" w:hAnsi="Times New Roman" w:cs="Times New Roman"/>
          <w:sz w:val="24"/>
          <w:szCs w:val="24"/>
        </w:rPr>
        <w:t>neconformă</w:t>
      </w:r>
      <w:r w:rsidRPr="003B329E">
        <w:rPr>
          <w:rFonts w:ascii="Times New Roman" w:hAnsi="Times New Roman" w:cs="Times New Roman"/>
          <w:sz w:val="24"/>
          <w:szCs w:val="24"/>
        </w:rPr>
        <w:t xml:space="preserve"> a mijloacelor </w:t>
      </w:r>
      <w:r>
        <w:rPr>
          <w:rFonts w:ascii="Times New Roman" w:hAnsi="Times New Roman" w:cs="Times New Roman"/>
          <w:sz w:val="24"/>
          <w:szCs w:val="24"/>
        </w:rPr>
        <w:t>financiare</w:t>
      </w:r>
      <w:r w:rsidRPr="003B329E">
        <w:rPr>
          <w:rFonts w:ascii="Times New Roman" w:hAnsi="Times New Roman" w:cs="Times New Roman"/>
          <w:sz w:val="24"/>
          <w:szCs w:val="24"/>
        </w:rPr>
        <w:t xml:space="preserve"> </w:t>
      </w:r>
      <w:r>
        <w:rPr>
          <w:rFonts w:ascii="Times New Roman" w:hAnsi="Times New Roman" w:cs="Times New Roman"/>
          <w:sz w:val="24"/>
          <w:szCs w:val="24"/>
        </w:rPr>
        <w:t>ca</w:t>
      </w:r>
      <w:r w:rsidRPr="003B329E">
        <w:rPr>
          <w:rFonts w:ascii="Times New Roman" w:hAnsi="Times New Roman" w:cs="Times New Roman"/>
          <w:sz w:val="24"/>
          <w:szCs w:val="24"/>
        </w:rPr>
        <w:t xml:space="preserve"> rezultat</w:t>
      </w:r>
      <w:r>
        <w:rPr>
          <w:rFonts w:ascii="Times New Roman" w:hAnsi="Times New Roman" w:cs="Times New Roman"/>
          <w:sz w:val="24"/>
          <w:szCs w:val="24"/>
        </w:rPr>
        <w:t xml:space="preserve"> a</w:t>
      </w:r>
      <w:r w:rsidRPr="003B329E">
        <w:rPr>
          <w:rFonts w:ascii="Times New Roman" w:hAnsi="Times New Roman" w:cs="Times New Roman"/>
          <w:sz w:val="24"/>
          <w:szCs w:val="24"/>
        </w:rPr>
        <w:t>l procurării și depozitării de către S</w:t>
      </w:r>
      <w:r>
        <w:rPr>
          <w:rFonts w:ascii="Times New Roman" w:hAnsi="Times New Roman" w:cs="Times New Roman"/>
          <w:sz w:val="24"/>
          <w:szCs w:val="24"/>
        </w:rPr>
        <w:t>TISC a bunurilor sus-menționate</w:t>
      </w:r>
      <w:r w:rsidRPr="003B329E">
        <w:rPr>
          <w:rFonts w:ascii="Times New Roman" w:hAnsi="Times New Roman" w:cs="Times New Roman"/>
          <w:sz w:val="24"/>
          <w:szCs w:val="24"/>
        </w:rPr>
        <w:t>. Complimentar se menționează că</w:t>
      </w:r>
      <w:r>
        <w:rPr>
          <w:rFonts w:ascii="Times New Roman" w:hAnsi="Times New Roman" w:cs="Times New Roman"/>
          <w:sz w:val="24"/>
          <w:szCs w:val="24"/>
        </w:rPr>
        <w:t>,</w:t>
      </w:r>
      <w:r w:rsidRPr="003B329E">
        <w:rPr>
          <w:rFonts w:ascii="Times New Roman" w:hAnsi="Times New Roman" w:cs="Times New Roman"/>
          <w:sz w:val="24"/>
          <w:szCs w:val="24"/>
        </w:rPr>
        <w:t xml:space="preserve"> deși bunurile au fost procurate prin intermediul licitațiilor publice, la acestea</w:t>
      </w:r>
      <w:r>
        <w:rPr>
          <w:rFonts w:ascii="Times New Roman" w:hAnsi="Times New Roman" w:cs="Times New Roman"/>
          <w:sz w:val="24"/>
          <w:szCs w:val="24"/>
        </w:rPr>
        <w:t>,</w:t>
      </w:r>
      <w:r w:rsidRPr="003B329E">
        <w:rPr>
          <w:rFonts w:ascii="Times New Roman" w:hAnsi="Times New Roman" w:cs="Times New Roman"/>
          <w:sz w:val="24"/>
          <w:szCs w:val="24"/>
        </w:rPr>
        <w:t xml:space="preserve"> de regulă</w:t>
      </w:r>
      <w:r>
        <w:rPr>
          <w:rFonts w:ascii="Times New Roman" w:hAnsi="Times New Roman" w:cs="Times New Roman"/>
          <w:sz w:val="24"/>
          <w:szCs w:val="24"/>
        </w:rPr>
        <w:t>,</w:t>
      </w:r>
      <w:r w:rsidRPr="003B329E">
        <w:rPr>
          <w:rFonts w:ascii="Times New Roman" w:hAnsi="Times New Roman" w:cs="Times New Roman"/>
          <w:sz w:val="24"/>
          <w:szCs w:val="24"/>
        </w:rPr>
        <w:t xml:space="preserve"> a participat doar câte un singur ofertant, agenți economici care de mai multe ori au câștigat licitațiile organizate de STISC. În lipsă de concurență, membrii grupului de lucru au examinat și </w:t>
      </w:r>
      <w:r>
        <w:rPr>
          <w:rFonts w:ascii="Times New Roman" w:hAnsi="Times New Roman" w:cs="Times New Roman"/>
          <w:sz w:val="24"/>
          <w:szCs w:val="24"/>
        </w:rPr>
        <w:t xml:space="preserve">au </w:t>
      </w:r>
      <w:r w:rsidRPr="003B329E">
        <w:rPr>
          <w:rFonts w:ascii="Times New Roman" w:hAnsi="Times New Roman" w:cs="Times New Roman"/>
          <w:sz w:val="24"/>
          <w:szCs w:val="24"/>
        </w:rPr>
        <w:t>acceptat doar o singură ofertă</w:t>
      </w:r>
      <w:r>
        <w:rPr>
          <w:rFonts w:ascii="Times New Roman" w:hAnsi="Times New Roman" w:cs="Times New Roman"/>
          <w:sz w:val="24"/>
          <w:szCs w:val="24"/>
        </w:rPr>
        <w:t>.</w:t>
      </w:r>
      <w:r w:rsidRPr="003B329E">
        <w:rPr>
          <w:rFonts w:ascii="Times New Roman" w:hAnsi="Times New Roman" w:cs="Times New Roman"/>
          <w:sz w:val="24"/>
          <w:szCs w:val="24"/>
        </w:rPr>
        <w:t xml:space="preserve"> </w:t>
      </w:r>
      <w:r>
        <w:rPr>
          <w:rFonts w:ascii="Times New Roman" w:hAnsi="Times New Roman" w:cs="Times New Roman"/>
          <w:sz w:val="24"/>
          <w:szCs w:val="24"/>
        </w:rPr>
        <w:t>C</w:t>
      </w:r>
      <w:r w:rsidRPr="003B329E">
        <w:rPr>
          <w:rFonts w:ascii="Times New Roman" w:hAnsi="Times New Roman" w:cs="Times New Roman"/>
          <w:sz w:val="24"/>
          <w:szCs w:val="24"/>
        </w:rPr>
        <w:t>oncomitent auditul punctează că prețurile de procurare a bunuri</w:t>
      </w:r>
      <w:r>
        <w:rPr>
          <w:rFonts w:ascii="Times New Roman" w:hAnsi="Times New Roman" w:cs="Times New Roman"/>
          <w:sz w:val="24"/>
          <w:szCs w:val="24"/>
        </w:rPr>
        <w:t>lor</w:t>
      </w:r>
      <w:r w:rsidRPr="003B329E">
        <w:rPr>
          <w:rFonts w:ascii="Times New Roman" w:hAnsi="Times New Roman" w:cs="Times New Roman"/>
          <w:sz w:val="24"/>
          <w:szCs w:val="24"/>
        </w:rPr>
        <w:t xml:space="preserve"> sunt </w:t>
      </w:r>
      <w:r>
        <w:rPr>
          <w:rFonts w:ascii="Times New Roman" w:hAnsi="Times New Roman" w:cs="Times New Roman"/>
          <w:sz w:val="24"/>
          <w:szCs w:val="24"/>
        </w:rPr>
        <w:t xml:space="preserve">de </w:t>
      </w:r>
      <w:r w:rsidRPr="003B329E">
        <w:rPr>
          <w:rFonts w:ascii="Times New Roman" w:hAnsi="Times New Roman" w:cs="Times New Roman"/>
          <w:sz w:val="24"/>
          <w:szCs w:val="24"/>
        </w:rPr>
        <w:t>2-3 ori mai mari decât cele de import</w:t>
      </w:r>
      <w:r w:rsidRPr="003B329E">
        <w:rPr>
          <w:rStyle w:val="a5"/>
          <w:rFonts w:ascii="Times New Roman" w:hAnsi="Times New Roman" w:cs="Times New Roman"/>
        </w:rPr>
        <w:footnoteReference w:id="40"/>
      </w:r>
      <w:r w:rsidRPr="003B329E">
        <w:rPr>
          <w:rFonts w:ascii="Times New Roman" w:hAnsi="Times New Roman" w:cs="Times New Roman"/>
          <w:sz w:val="24"/>
          <w:szCs w:val="24"/>
        </w:rPr>
        <w:t xml:space="preserve">. În </w:t>
      </w:r>
      <w:r>
        <w:rPr>
          <w:rFonts w:ascii="Times New Roman" w:hAnsi="Times New Roman" w:cs="Times New Roman"/>
          <w:sz w:val="24"/>
          <w:szCs w:val="24"/>
        </w:rPr>
        <w:t xml:space="preserve">acest </w:t>
      </w:r>
      <w:r w:rsidRPr="003B329E">
        <w:rPr>
          <w:rFonts w:ascii="Times New Roman" w:hAnsi="Times New Roman" w:cs="Times New Roman"/>
          <w:sz w:val="24"/>
          <w:szCs w:val="24"/>
        </w:rPr>
        <w:t>context se re</w:t>
      </w:r>
      <w:r>
        <w:rPr>
          <w:rFonts w:ascii="Times New Roman" w:hAnsi="Times New Roman" w:cs="Times New Roman"/>
          <w:sz w:val="24"/>
          <w:szCs w:val="24"/>
        </w:rPr>
        <w:t>liefează necesitatea utilizării</w:t>
      </w:r>
      <w:r w:rsidRPr="003B329E">
        <w:rPr>
          <w:rFonts w:ascii="Times New Roman" w:hAnsi="Times New Roman" w:cs="Times New Roman"/>
          <w:sz w:val="24"/>
          <w:szCs w:val="24"/>
        </w:rPr>
        <w:t xml:space="preserve"> de către</w:t>
      </w:r>
      <w:r>
        <w:rPr>
          <w:rFonts w:ascii="Times New Roman" w:hAnsi="Times New Roman" w:cs="Times New Roman"/>
          <w:sz w:val="24"/>
          <w:szCs w:val="24"/>
        </w:rPr>
        <w:t xml:space="preserve"> STISC a</w:t>
      </w:r>
      <w:r w:rsidRPr="003B329E">
        <w:rPr>
          <w:rFonts w:ascii="Times New Roman" w:hAnsi="Times New Roman" w:cs="Times New Roman"/>
          <w:sz w:val="24"/>
          <w:szCs w:val="24"/>
        </w:rPr>
        <w:t xml:space="preserve"> instrumente</w:t>
      </w:r>
      <w:r>
        <w:rPr>
          <w:rFonts w:ascii="Times New Roman" w:hAnsi="Times New Roman" w:cs="Times New Roman"/>
          <w:sz w:val="24"/>
          <w:szCs w:val="24"/>
        </w:rPr>
        <w:t>lor privind desfășurarea</w:t>
      </w:r>
      <w:r w:rsidRPr="003B329E">
        <w:rPr>
          <w:rFonts w:ascii="Times New Roman" w:hAnsi="Times New Roman" w:cs="Times New Roman"/>
          <w:sz w:val="24"/>
          <w:szCs w:val="24"/>
        </w:rPr>
        <w:t xml:space="preserve"> achizițiilor </w:t>
      </w:r>
      <w:r>
        <w:rPr>
          <w:rFonts w:ascii="Times New Roman" w:hAnsi="Times New Roman" w:cs="Times New Roman"/>
          <w:sz w:val="24"/>
          <w:szCs w:val="24"/>
        </w:rPr>
        <w:t>cu participarea ofertanților internaționali</w:t>
      </w:r>
      <w:r w:rsidRPr="003B329E">
        <w:rPr>
          <w:rFonts w:ascii="Times New Roman" w:hAnsi="Times New Roman" w:cs="Times New Roman"/>
          <w:sz w:val="24"/>
          <w:szCs w:val="24"/>
        </w:rPr>
        <w:t xml:space="preserve">. </w:t>
      </w:r>
      <w:r>
        <w:rPr>
          <w:rFonts w:ascii="Times New Roman" w:hAnsi="Times New Roman" w:cs="Times New Roman"/>
          <w:sz w:val="24"/>
          <w:szCs w:val="24"/>
        </w:rPr>
        <w:t>Astfel, auditul</w:t>
      </w:r>
      <w:r w:rsidRPr="003B329E">
        <w:rPr>
          <w:rFonts w:ascii="Times New Roman" w:hAnsi="Times New Roman" w:cs="Times New Roman"/>
          <w:sz w:val="24"/>
          <w:szCs w:val="24"/>
        </w:rPr>
        <w:t xml:space="preserve"> menționează următoarele:  </w:t>
      </w:r>
      <w:r w:rsidR="009B2D03" w:rsidRPr="003B329E">
        <w:rPr>
          <w:rFonts w:ascii="Times New Roman" w:hAnsi="Times New Roman" w:cs="Times New Roman"/>
          <w:sz w:val="24"/>
          <w:szCs w:val="24"/>
        </w:rPr>
        <w:t xml:space="preserve"> </w:t>
      </w:r>
    </w:p>
    <w:p w14:paraId="6409700A" w14:textId="77777777" w:rsidR="009B2D03" w:rsidRDefault="009B2D03" w:rsidP="009B2D03">
      <w:pPr>
        <w:pStyle w:val="a7"/>
        <w:numPr>
          <w:ilvl w:val="0"/>
          <w:numId w:val="26"/>
        </w:numPr>
        <w:spacing w:line="276" w:lineRule="auto"/>
        <w:ind w:left="426"/>
        <w:jc w:val="both"/>
        <w:rPr>
          <w:rFonts w:ascii="Times New Roman" w:hAnsi="Times New Roman" w:cs="Times New Roman"/>
          <w:sz w:val="24"/>
          <w:szCs w:val="24"/>
        </w:rPr>
      </w:pPr>
      <w:r>
        <w:rPr>
          <w:rFonts w:ascii="Times New Roman" w:hAnsi="Times New Roman" w:cs="Times New Roman"/>
          <w:sz w:val="24"/>
          <w:szCs w:val="24"/>
        </w:rPr>
        <w:t>î</w:t>
      </w:r>
      <w:r w:rsidRPr="003B329E">
        <w:rPr>
          <w:rFonts w:ascii="Times New Roman" w:hAnsi="Times New Roman" w:cs="Times New Roman"/>
          <w:sz w:val="24"/>
          <w:szCs w:val="24"/>
        </w:rPr>
        <w:t>n scopul perfecționării i</w:t>
      </w:r>
      <w:r>
        <w:rPr>
          <w:rFonts w:ascii="Times New Roman" w:hAnsi="Times New Roman" w:cs="Times New Roman"/>
          <w:sz w:val="24"/>
          <w:szCs w:val="24"/>
        </w:rPr>
        <w:t>nfrastructurii cheilor publice,</w:t>
      </w:r>
      <w:r w:rsidRPr="003B329E">
        <w:rPr>
          <w:rFonts w:ascii="Times New Roman" w:hAnsi="Times New Roman" w:cs="Times New Roman"/>
          <w:sz w:val="24"/>
          <w:szCs w:val="24"/>
        </w:rPr>
        <w:t xml:space="preserve"> în anul 2019 STISC a procurat un </w:t>
      </w:r>
      <w:r w:rsidRPr="00866611">
        <w:rPr>
          <w:rFonts w:ascii="Times New Roman" w:hAnsi="Times New Roman" w:cs="Times New Roman"/>
          <w:b/>
          <w:sz w:val="24"/>
          <w:szCs w:val="24"/>
        </w:rPr>
        <w:t>sistem informațional specializat</w:t>
      </w:r>
      <w:r>
        <w:rPr>
          <w:rFonts w:ascii="Times New Roman" w:hAnsi="Times New Roman" w:cs="Times New Roman"/>
          <w:b/>
          <w:sz w:val="24"/>
          <w:szCs w:val="24"/>
        </w:rPr>
        <w:t>,</w:t>
      </w:r>
      <w:r w:rsidRPr="00866611">
        <w:rPr>
          <w:rFonts w:ascii="Times New Roman" w:hAnsi="Times New Roman" w:cs="Times New Roman"/>
          <w:b/>
          <w:sz w:val="24"/>
          <w:szCs w:val="24"/>
        </w:rPr>
        <w:t xml:space="preserve"> „MoldovaGovCA”</w:t>
      </w:r>
      <w:r>
        <w:rPr>
          <w:rFonts w:ascii="Times New Roman" w:hAnsi="Times New Roman" w:cs="Times New Roman"/>
          <w:b/>
          <w:sz w:val="24"/>
          <w:szCs w:val="24"/>
        </w:rPr>
        <w:t>,</w:t>
      </w:r>
      <w:r w:rsidRPr="00866611">
        <w:rPr>
          <w:rFonts w:ascii="Times New Roman" w:hAnsi="Times New Roman" w:cs="Times New Roman"/>
          <w:b/>
          <w:sz w:val="24"/>
          <w:szCs w:val="24"/>
        </w:rPr>
        <w:t xml:space="preserve"> în sumă totală de 3,5 mil. lei.</w:t>
      </w:r>
      <w:r w:rsidRPr="003B329E">
        <w:rPr>
          <w:rFonts w:ascii="Times New Roman" w:hAnsi="Times New Roman" w:cs="Times New Roman"/>
          <w:sz w:val="24"/>
          <w:szCs w:val="24"/>
        </w:rPr>
        <w:t xml:space="preserve"> La licitația publică</w:t>
      </w:r>
      <w:r w:rsidRPr="003B329E">
        <w:rPr>
          <w:rStyle w:val="a5"/>
          <w:rFonts w:ascii="Times New Roman" w:hAnsi="Times New Roman" w:cs="Times New Roman"/>
        </w:rPr>
        <w:footnoteReference w:id="41"/>
      </w:r>
      <w:r w:rsidRPr="003B329E">
        <w:rPr>
          <w:rFonts w:ascii="Times New Roman" w:hAnsi="Times New Roman" w:cs="Times New Roman"/>
          <w:sz w:val="24"/>
          <w:szCs w:val="24"/>
        </w:rPr>
        <w:t xml:space="preserve"> a participat un singur agent economic. </w:t>
      </w:r>
      <w:r>
        <w:rPr>
          <w:rFonts w:ascii="Times New Roman" w:hAnsi="Times New Roman" w:cs="Times New Roman"/>
          <w:sz w:val="24"/>
          <w:szCs w:val="24"/>
        </w:rPr>
        <w:t>Potrivit informațiilor</w:t>
      </w:r>
      <w:r w:rsidRPr="001068FE">
        <w:rPr>
          <w:rStyle w:val="a5"/>
          <w:rFonts w:ascii="Times New Roman" w:hAnsi="Times New Roman" w:cs="Times New Roman"/>
        </w:rPr>
        <w:footnoteReference w:id="42"/>
      </w:r>
      <w:r>
        <w:rPr>
          <w:rFonts w:ascii="Times New Roman" w:hAnsi="Times New Roman" w:cs="Times New Roman"/>
          <w:sz w:val="24"/>
          <w:szCs w:val="24"/>
        </w:rPr>
        <w:t xml:space="preserve"> prezentate de entitate și conform unor explicații ale STISC, la etapa desfășurării misiunii de audit, sau peste patru ani de la data procurării, softul se află încă la etapa de testare, ceea ce denotă că acesta nu este utilizat în producere de către entitate. Un alt argument ce denotă neutilizarea soluției TI </w:t>
      </w:r>
      <w:r w:rsidRPr="001068FE">
        <w:rPr>
          <w:rFonts w:ascii="Times New Roman" w:hAnsi="Times New Roman" w:cs="Times New Roman"/>
          <w:sz w:val="24"/>
          <w:szCs w:val="24"/>
        </w:rPr>
        <w:t xml:space="preserve">menționate </w:t>
      </w:r>
      <w:r w:rsidRPr="003B329E">
        <w:rPr>
          <w:rFonts w:ascii="Times New Roman" w:hAnsi="Times New Roman" w:cs="Times New Roman"/>
          <w:sz w:val="24"/>
          <w:szCs w:val="24"/>
        </w:rPr>
        <w:t>o reprezintă și faptul că instituția</w:t>
      </w:r>
      <w:r>
        <w:rPr>
          <w:rFonts w:ascii="Times New Roman" w:hAnsi="Times New Roman" w:cs="Times New Roman"/>
          <w:sz w:val="24"/>
          <w:szCs w:val="24"/>
        </w:rPr>
        <w:t>,</w:t>
      </w:r>
      <w:r w:rsidRPr="003B329E">
        <w:rPr>
          <w:rFonts w:ascii="Times New Roman" w:hAnsi="Times New Roman" w:cs="Times New Roman"/>
          <w:sz w:val="24"/>
          <w:szCs w:val="24"/>
        </w:rPr>
        <w:t xml:space="preserve"> pentru punerea în aplicare a acesteia</w:t>
      </w:r>
      <w:r>
        <w:rPr>
          <w:rFonts w:ascii="Times New Roman" w:hAnsi="Times New Roman" w:cs="Times New Roman"/>
          <w:sz w:val="24"/>
          <w:szCs w:val="24"/>
        </w:rPr>
        <w:t>,</w:t>
      </w:r>
      <w:r w:rsidRPr="003B329E">
        <w:rPr>
          <w:rFonts w:ascii="Times New Roman" w:hAnsi="Times New Roman" w:cs="Times New Roman"/>
          <w:sz w:val="24"/>
          <w:szCs w:val="24"/>
        </w:rPr>
        <w:t xml:space="preserve"> nu dispune de avizul la acest bun de la organul de supraveghere și control (SIS). Or, lipsa avizului din partea organului competent, contravine cadrului normativ</w:t>
      </w:r>
      <w:r w:rsidRPr="003B329E">
        <w:rPr>
          <w:rStyle w:val="a5"/>
          <w:rFonts w:ascii="Times New Roman" w:hAnsi="Times New Roman" w:cs="Times New Roman"/>
        </w:rPr>
        <w:footnoteReference w:id="43"/>
      </w:r>
      <w:r w:rsidRPr="003B329E">
        <w:rPr>
          <w:rFonts w:ascii="Times New Roman" w:hAnsi="Times New Roman" w:cs="Times New Roman"/>
          <w:sz w:val="24"/>
          <w:szCs w:val="24"/>
        </w:rPr>
        <w:t>.</w:t>
      </w:r>
    </w:p>
    <w:p w14:paraId="591C2A70" w14:textId="242F30E1" w:rsidR="009B2D03" w:rsidRPr="00866611" w:rsidRDefault="009B2D03" w:rsidP="009B2D03">
      <w:pPr>
        <w:pStyle w:val="a7"/>
        <w:spacing w:line="276" w:lineRule="auto"/>
        <w:ind w:left="426"/>
        <w:jc w:val="both"/>
        <w:rPr>
          <w:rFonts w:ascii="Times New Roman" w:hAnsi="Times New Roman" w:cs="Times New Roman"/>
          <w:sz w:val="24"/>
          <w:szCs w:val="24"/>
        </w:rPr>
      </w:pPr>
      <w:r w:rsidRPr="00866611">
        <w:rPr>
          <w:rFonts w:ascii="Times New Roman" w:hAnsi="Times New Roman" w:cs="Times New Roman"/>
          <w:sz w:val="24"/>
          <w:szCs w:val="24"/>
        </w:rPr>
        <w:t>Contrar situației menționate supra, potrivit datelor evidenței contabile, Secția contabilitate la data de 01.10.2021</w:t>
      </w:r>
      <w:r>
        <w:rPr>
          <w:rStyle w:val="a5"/>
          <w:rFonts w:ascii="Times New Roman" w:hAnsi="Times New Roman" w:cs="Times New Roman"/>
        </w:rPr>
        <w:footnoteReference w:id="44"/>
      </w:r>
      <w:r w:rsidRPr="00866611">
        <w:rPr>
          <w:rFonts w:ascii="Times New Roman" w:hAnsi="Times New Roman" w:cs="Times New Roman"/>
          <w:sz w:val="24"/>
          <w:szCs w:val="24"/>
        </w:rPr>
        <w:t>, neconform a înregistrat operațiunea economică privind darea în exploatare a acestei aplicații, și anume în lipsa unor documente primare elaborate regulamentar</w:t>
      </w:r>
      <w:r>
        <w:rPr>
          <w:rStyle w:val="a5"/>
          <w:rFonts w:ascii="Times New Roman" w:hAnsi="Times New Roman" w:cs="Times New Roman"/>
        </w:rPr>
        <w:footnoteReference w:id="45"/>
      </w:r>
      <w:r w:rsidRPr="00866611">
        <w:rPr>
          <w:rFonts w:ascii="Times New Roman" w:hAnsi="Times New Roman" w:cs="Times New Roman"/>
          <w:sz w:val="24"/>
          <w:szCs w:val="24"/>
        </w:rPr>
        <w:t xml:space="preserve"> (Proces-verbal/Act de punere în funcțiune) și care ar conține elementele obligatorii prestabilite de art. 19 din Legea contabilității nr. 113/2007. În aceste circumstanțe, auditul constată că tranzacția de dare în exploatare a SI este una suspectă și nu corespunde realității, întrucât a fost efectuată fără constatarea de către o comisie specializată a gestionarului activului, duratei de funcționare, precum și începerii utilizării produsului software, </w:t>
      </w:r>
      <w:r w:rsidR="001A76A4">
        <w:rPr>
          <w:rFonts w:ascii="Times New Roman" w:hAnsi="Times New Roman" w:cs="Times New Roman"/>
          <w:sz w:val="24"/>
          <w:szCs w:val="24"/>
        </w:rPr>
        <w:t xml:space="preserve">ultima </w:t>
      </w:r>
      <w:r w:rsidR="001A76A4" w:rsidRPr="00866611">
        <w:rPr>
          <w:rFonts w:ascii="Times New Roman" w:hAnsi="Times New Roman" w:cs="Times New Roman"/>
          <w:sz w:val="24"/>
          <w:szCs w:val="24"/>
        </w:rPr>
        <w:t>condiție obligatorie</w:t>
      </w:r>
      <w:r w:rsidR="001A76A4">
        <w:rPr>
          <w:rFonts w:ascii="Times New Roman" w:hAnsi="Times New Roman" w:cs="Times New Roman"/>
          <w:sz w:val="24"/>
          <w:szCs w:val="24"/>
        </w:rPr>
        <w:t xml:space="preserve"> fiind</w:t>
      </w:r>
      <w:r w:rsidR="001A76A4" w:rsidRPr="00866611">
        <w:rPr>
          <w:rFonts w:ascii="Times New Roman" w:hAnsi="Times New Roman" w:cs="Times New Roman"/>
          <w:sz w:val="24"/>
          <w:szCs w:val="24"/>
        </w:rPr>
        <w:t xml:space="preserve"> prevăzută și de Ordinul </w:t>
      </w:r>
      <w:r w:rsidR="001A76A4">
        <w:rPr>
          <w:rFonts w:ascii="Times New Roman" w:hAnsi="Times New Roman" w:cs="Times New Roman"/>
          <w:sz w:val="24"/>
          <w:szCs w:val="24"/>
        </w:rPr>
        <w:t>m</w:t>
      </w:r>
      <w:r w:rsidR="001A76A4" w:rsidRPr="00866611">
        <w:rPr>
          <w:rFonts w:ascii="Times New Roman" w:hAnsi="Times New Roman" w:cs="Times New Roman"/>
          <w:sz w:val="24"/>
          <w:szCs w:val="24"/>
        </w:rPr>
        <w:t>inistrului Dezvoltării Informaționale nr. 78 din 01.06.2006</w:t>
      </w:r>
      <w:r w:rsidR="001A76A4">
        <w:rPr>
          <w:rStyle w:val="a5"/>
          <w:rFonts w:ascii="Times New Roman" w:hAnsi="Times New Roman" w:cs="Times New Roman"/>
        </w:rPr>
        <w:footnoteReference w:id="46"/>
      </w:r>
      <w:r w:rsidR="001A76A4">
        <w:rPr>
          <w:rFonts w:ascii="Times New Roman" w:hAnsi="Times New Roman" w:cs="Times New Roman"/>
          <w:sz w:val="24"/>
          <w:szCs w:val="24"/>
        </w:rPr>
        <w:t xml:space="preserve">;  </w:t>
      </w:r>
    </w:p>
    <w:p w14:paraId="2894FFBA" w14:textId="17619CFD" w:rsidR="009B2D03" w:rsidRDefault="009B2D03" w:rsidP="009B2D03">
      <w:pPr>
        <w:pStyle w:val="a7"/>
        <w:numPr>
          <w:ilvl w:val="0"/>
          <w:numId w:val="26"/>
        </w:numPr>
        <w:spacing w:line="276" w:lineRule="auto"/>
        <w:ind w:left="426"/>
        <w:jc w:val="both"/>
        <w:rPr>
          <w:rFonts w:ascii="Times New Roman" w:hAnsi="Times New Roman" w:cs="Times New Roman"/>
          <w:sz w:val="24"/>
          <w:szCs w:val="24"/>
        </w:rPr>
      </w:pPr>
      <w:r>
        <w:rPr>
          <w:rFonts w:ascii="Times New Roman" w:hAnsi="Times New Roman" w:cs="Times New Roman"/>
          <w:sz w:val="24"/>
          <w:szCs w:val="24"/>
        </w:rPr>
        <w:t>l</w:t>
      </w:r>
      <w:r w:rsidRPr="008D3271">
        <w:rPr>
          <w:rFonts w:ascii="Times New Roman" w:hAnsi="Times New Roman" w:cs="Times New Roman"/>
          <w:sz w:val="24"/>
          <w:szCs w:val="24"/>
        </w:rPr>
        <w:t xml:space="preserve">a fel, în </w:t>
      </w:r>
      <w:r w:rsidR="001A76A4">
        <w:rPr>
          <w:rFonts w:ascii="Times New Roman" w:hAnsi="Times New Roman" w:cs="Times New Roman"/>
          <w:sz w:val="24"/>
          <w:szCs w:val="24"/>
        </w:rPr>
        <w:t xml:space="preserve">anii 2020 și </w:t>
      </w:r>
      <w:r w:rsidRPr="008D3271">
        <w:rPr>
          <w:rFonts w:ascii="Times New Roman" w:hAnsi="Times New Roman" w:cs="Times New Roman"/>
          <w:sz w:val="24"/>
          <w:szCs w:val="24"/>
        </w:rPr>
        <w:t>2022, prin intermediul desfășurării licitațiilor publice d</w:t>
      </w:r>
      <w:r>
        <w:rPr>
          <w:rFonts w:ascii="Times New Roman" w:hAnsi="Times New Roman" w:cs="Times New Roman"/>
          <w:sz w:val="24"/>
          <w:szCs w:val="24"/>
        </w:rPr>
        <w:t xml:space="preserve">eschise, STISC a achiziționat </w:t>
      </w:r>
      <w:r w:rsidRPr="008D3271">
        <w:rPr>
          <w:rFonts w:ascii="Times New Roman" w:hAnsi="Times New Roman" w:cs="Times New Roman"/>
          <w:sz w:val="24"/>
          <w:szCs w:val="24"/>
        </w:rPr>
        <w:t>câte două dispozitive securizate de creare a semnăturilor electronice de tip HSM</w:t>
      </w:r>
      <w:r w:rsidRPr="003B329E">
        <w:rPr>
          <w:rStyle w:val="a5"/>
          <w:rFonts w:ascii="Times New Roman" w:hAnsi="Times New Roman" w:cs="Times New Roman"/>
        </w:rPr>
        <w:footnoteReference w:id="47"/>
      </w:r>
      <w:r w:rsidRPr="008D3271">
        <w:rPr>
          <w:rFonts w:ascii="Times New Roman" w:hAnsi="Times New Roman" w:cs="Times New Roman"/>
          <w:sz w:val="24"/>
          <w:szCs w:val="24"/>
        </w:rPr>
        <w:t xml:space="preserve">, </w:t>
      </w:r>
      <w:r w:rsidR="001A76A4">
        <w:rPr>
          <w:rFonts w:ascii="Times New Roman" w:hAnsi="Times New Roman" w:cs="Times New Roman"/>
          <w:sz w:val="24"/>
          <w:szCs w:val="24"/>
        </w:rPr>
        <w:t xml:space="preserve">al căror </w:t>
      </w:r>
      <w:r w:rsidR="001A76A4" w:rsidRPr="008D3271">
        <w:rPr>
          <w:rFonts w:ascii="Times New Roman" w:hAnsi="Times New Roman" w:cs="Times New Roman"/>
          <w:sz w:val="24"/>
          <w:szCs w:val="24"/>
        </w:rPr>
        <w:t>preț constituia 2,5 mil. lei</w:t>
      </w:r>
      <w:r w:rsidRPr="008D3271">
        <w:rPr>
          <w:rFonts w:ascii="Times New Roman" w:hAnsi="Times New Roman" w:cs="Times New Roman"/>
          <w:sz w:val="24"/>
          <w:szCs w:val="24"/>
        </w:rPr>
        <w:t xml:space="preserve"> și</w:t>
      </w:r>
      <w:r>
        <w:rPr>
          <w:rFonts w:ascii="Times New Roman" w:hAnsi="Times New Roman" w:cs="Times New Roman"/>
          <w:sz w:val="24"/>
          <w:szCs w:val="24"/>
        </w:rPr>
        <w:t>,</w:t>
      </w:r>
      <w:r w:rsidRPr="008D3271">
        <w:rPr>
          <w:rFonts w:ascii="Times New Roman" w:hAnsi="Times New Roman" w:cs="Times New Roman"/>
          <w:sz w:val="24"/>
          <w:szCs w:val="24"/>
        </w:rPr>
        <w:t xml:space="preserve"> respectiv</w:t>
      </w:r>
      <w:r>
        <w:rPr>
          <w:rFonts w:ascii="Times New Roman" w:hAnsi="Times New Roman" w:cs="Times New Roman"/>
          <w:sz w:val="24"/>
          <w:szCs w:val="24"/>
        </w:rPr>
        <w:t>,</w:t>
      </w:r>
      <w:r w:rsidRPr="008D3271">
        <w:rPr>
          <w:rFonts w:ascii="Times New Roman" w:hAnsi="Times New Roman" w:cs="Times New Roman"/>
          <w:sz w:val="24"/>
          <w:szCs w:val="24"/>
        </w:rPr>
        <w:t xml:space="preserve"> 3,4 mil. lei</w:t>
      </w:r>
      <w:r>
        <w:rPr>
          <w:rFonts w:ascii="Times New Roman" w:hAnsi="Times New Roman" w:cs="Times New Roman"/>
          <w:sz w:val="24"/>
          <w:szCs w:val="24"/>
        </w:rPr>
        <w:t>.</w:t>
      </w:r>
      <w:r w:rsidRPr="008D3271">
        <w:rPr>
          <w:rFonts w:ascii="Times New Roman" w:hAnsi="Times New Roman" w:cs="Times New Roman"/>
          <w:sz w:val="24"/>
          <w:szCs w:val="24"/>
        </w:rPr>
        <w:t xml:space="preserve"> De menționat că procurarea acestor dispozitive s-a efectuat de către grupul de lucru al STISC fără a deține o evaluare a compatibilității utilajelor cu funcționalitățile SI „MoldovaGovCA”, situația incertă existând și la momentul actual. </w:t>
      </w:r>
      <w:r w:rsidRPr="00866611">
        <w:rPr>
          <w:rFonts w:ascii="Times New Roman" w:hAnsi="Times New Roman" w:cs="Times New Roman"/>
          <w:sz w:val="24"/>
          <w:szCs w:val="24"/>
        </w:rPr>
        <w:t xml:space="preserve">Deși, din momentul procurării primelor </w:t>
      </w:r>
      <w:r w:rsidRPr="00866611">
        <w:rPr>
          <w:rFonts w:ascii="Times New Roman" w:hAnsi="Times New Roman" w:cs="Times New Roman"/>
          <w:b/>
          <w:sz w:val="24"/>
          <w:szCs w:val="24"/>
        </w:rPr>
        <w:t xml:space="preserve">două dispozitive securizate HSM în anul 2020 </w:t>
      </w:r>
      <w:r w:rsidRPr="008D3271">
        <w:rPr>
          <w:rFonts w:ascii="Times New Roman" w:hAnsi="Times New Roman" w:cs="Times New Roman"/>
          <w:sz w:val="24"/>
          <w:szCs w:val="24"/>
        </w:rPr>
        <w:t>au trecut mai mult de trei ani,</w:t>
      </w:r>
      <w:r>
        <w:rPr>
          <w:rFonts w:ascii="Times New Roman" w:hAnsi="Times New Roman" w:cs="Times New Roman"/>
          <w:sz w:val="24"/>
          <w:szCs w:val="24"/>
        </w:rPr>
        <w:t xml:space="preserve"> </w:t>
      </w:r>
      <w:r w:rsidRPr="008D3271">
        <w:rPr>
          <w:rFonts w:ascii="Times New Roman" w:hAnsi="Times New Roman" w:cs="Times New Roman"/>
          <w:sz w:val="24"/>
          <w:szCs w:val="24"/>
        </w:rPr>
        <w:t xml:space="preserve">observațiile </w:t>
      </w:r>
      <w:r w:rsidR="00AC3956">
        <w:rPr>
          <w:rFonts w:ascii="Times New Roman" w:hAnsi="Times New Roman" w:cs="Times New Roman"/>
          <w:sz w:val="24"/>
          <w:szCs w:val="24"/>
        </w:rPr>
        <w:t xml:space="preserve">de audit denotă că acestea nu </w:t>
      </w:r>
      <w:r w:rsidR="00AC3956" w:rsidRPr="008D3271">
        <w:rPr>
          <w:rFonts w:ascii="Times New Roman" w:hAnsi="Times New Roman" w:cs="Times New Roman"/>
          <w:sz w:val="24"/>
          <w:szCs w:val="24"/>
        </w:rPr>
        <w:t>s</w:t>
      </w:r>
      <w:r w:rsidR="00AC3956">
        <w:rPr>
          <w:rFonts w:ascii="Times New Roman" w:hAnsi="Times New Roman" w:cs="Times New Roman"/>
          <w:sz w:val="24"/>
          <w:szCs w:val="24"/>
        </w:rPr>
        <w:t>u</w:t>
      </w:r>
      <w:r w:rsidR="00AC3956" w:rsidRPr="008D3271">
        <w:rPr>
          <w:rFonts w:ascii="Times New Roman" w:hAnsi="Times New Roman" w:cs="Times New Roman"/>
          <w:sz w:val="24"/>
          <w:szCs w:val="24"/>
        </w:rPr>
        <w:t>nt utilizate, iar potrivit unei explicații prezentate de STISC</w:t>
      </w:r>
      <w:r w:rsidR="00AC3956">
        <w:rPr>
          <w:rFonts w:ascii="Times New Roman" w:hAnsi="Times New Roman" w:cs="Times New Roman"/>
          <w:sz w:val="24"/>
          <w:szCs w:val="24"/>
        </w:rPr>
        <w:t>,</w:t>
      </w:r>
      <w:r w:rsidR="00AC3956" w:rsidRPr="008D3271">
        <w:rPr>
          <w:rFonts w:ascii="Times New Roman" w:hAnsi="Times New Roman" w:cs="Times New Roman"/>
          <w:sz w:val="24"/>
          <w:szCs w:val="24"/>
        </w:rPr>
        <w:t xml:space="preserve"> actualmente acestea</w:t>
      </w:r>
      <w:r w:rsidR="00AC3956">
        <w:rPr>
          <w:rFonts w:ascii="Times New Roman" w:hAnsi="Times New Roman" w:cs="Times New Roman"/>
          <w:sz w:val="24"/>
          <w:szCs w:val="24"/>
        </w:rPr>
        <w:t>, similar situației constatate la SI, se regăsesc</w:t>
      </w:r>
      <w:r w:rsidR="00AC3956" w:rsidRPr="008D3271">
        <w:rPr>
          <w:rFonts w:ascii="Times New Roman" w:hAnsi="Times New Roman" w:cs="Times New Roman"/>
          <w:sz w:val="24"/>
          <w:szCs w:val="24"/>
        </w:rPr>
        <w:t xml:space="preserve"> doar la etapa de testare.</w:t>
      </w:r>
      <w:r w:rsidR="00AC3956">
        <w:rPr>
          <w:rFonts w:ascii="Times New Roman" w:hAnsi="Times New Roman" w:cs="Times New Roman"/>
          <w:sz w:val="24"/>
          <w:szCs w:val="24"/>
        </w:rPr>
        <w:t xml:space="preserve"> În pofida acestui fapt, la data </w:t>
      </w:r>
      <w:r w:rsidR="00AC3956" w:rsidRPr="008156D6">
        <w:rPr>
          <w:rFonts w:ascii="Times New Roman" w:hAnsi="Times New Roman" w:cs="Times New Roman"/>
          <w:sz w:val="24"/>
          <w:szCs w:val="24"/>
        </w:rPr>
        <w:t>de 06.08.2021 a</w:t>
      </w:r>
      <w:r w:rsidR="00AC3956">
        <w:rPr>
          <w:rFonts w:ascii="Times New Roman" w:hAnsi="Times New Roman" w:cs="Times New Roman"/>
          <w:sz w:val="24"/>
          <w:szCs w:val="24"/>
        </w:rPr>
        <w:t xml:space="preserve"> fost întocmit Procesul-verbal de punere în funcțiune a mijloacelor fixe</w:t>
      </w:r>
      <w:r w:rsidR="00AC3956">
        <w:rPr>
          <w:rStyle w:val="a5"/>
          <w:rFonts w:ascii="Times New Roman" w:hAnsi="Times New Roman" w:cs="Times New Roman"/>
        </w:rPr>
        <w:footnoteReference w:id="48"/>
      </w:r>
      <w:r w:rsidR="00AC3956">
        <w:rPr>
          <w:rFonts w:ascii="Times New Roman" w:hAnsi="Times New Roman" w:cs="Times New Roman"/>
          <w:sz w:val="24"/>
          <w:szCs w:val="24"/>
        </w:rPr>
        <w:t>, prin care s-a constatat darea acestora în exploatate și folosire în activitatea STISC, respectiv în evidența contabilă fiind înregistrată această tranzacția. Însă, observațiile de audit denotă neveridicitatea actului de dare în exploatare menționat supra și neregulamentară înregistrarea tranzacției în evidența contabilă a instituției, întrucât de fapt bunurile sunt stocate de către STISC, nefiind utilizate conform destinației în activitatea acesteia.</w:t>
      </w:r>
      <w:r>
        <w:rPr>
          <w:rFonts w:ascii="Times New Roman" w:hAnsi="Times New Roman" w:cs="Times New Roman"/>
          <w:sz w:val="24"/>
          <w:szCs w:val="24"/>
        </w:rPr>
        <w:t xml:space="preserve">    </w:t>
      </w:r>
      <w:r w:rsidRPr="008D3271">
        <w:rPr>
          <w:rFonts w:ascii="Times New Roman" w:hAnsi="Times New Roman" w:cs="Times New Roman"/>
          <w:sz w:val="24"/>
          <w:szCs w:val="24"/>
        </w:rPr>
        <w:t xml:space="preserve"> </w:t>
      </w:r>
    </w:p>
    <w:p w14:paraId="772351C4" w14:textId="77777777" w:rsidR="009B2D03" w:rsidRPr="00866611" w:rsidRDefault="009B2D03" w:rsidP="009B2D03">
      <w:pPr>
        <w:pStyle w:val="a7"/>
        <w:spacing w:line="276" w:lineRule="auto"/>
        <w:ind w:left="426"/>
        <w:jc w:val="both"/>
        <w:rPr>
          <w:rFonts w:ascii="Times New Roman" w:hAnsi="Times New Roman" w:cs="Times New Roman"/>
          <w:sz w:val="24"/>
          <w:szCs w:val="24"/>
        </w:rPr>
      </w:pPr>
      <w:r w:rsidRPr="00866611">
        <w:rPr>
          <w:rFonts w:ascii="Times New Roman" w:hAnsi="Times New Roman" w:cs="Times New Roman"/>
          <w:b/>
          <w:sz w:val="24"/>
          <w:szCs w:val="24"/>
        </w:rPr>
        <w:t>Cât privește celelalte două dispozitive securizate HSM procurate în anul 2022</w:t>
      </w:r>
      <w:r w:rsidRPr="00866611">
        <w:rPr>
          <w:rFonts w:ascii="Times New Roman" w:hAnsi="Times New Roman" w:cs="Times New Roman"/>
          <w:sz w:val="24"/>
          <w:szCs w:val="24"/>
        </w:rPr>
        <w:t>, se evidențiază</w:t>
      </w:r>
      <w:r>
        <w:rPr>
          <w:rFonts w:ascii="Times New Roman" w:hAnsi="Times New Roman" w:cs="Times New Roman"/>
          <w:sz w:val="24"/>
          <w:szCs w:val="24"/>
        </w:rPr>
        <w:t xml:space="preserve"> </w:t>
      </w:r>
      <w:r w:rsidRPr="00866611">
        <w:rPr>
          <w:rFonts w:ascii="Times New Roman" w:hAnsi="Times New Roman" w:cs="Times New Roman"/>
          <w:sz w:val="24"/>
          <w:szCs w:val="24"/>
        </w:rPr>
        <w:t xml:space="preserve">lipsa unei justificări concludente privind necesitatea achiziționării lor, întrucât nu era soluționată problema privind punerea în funcțiune a utilajelor procurate încă în anul 2020. </w:t>
      </w:r>
      <w:r>
        <w:rPr>
          <w:rFonts w:ascii="Times New Roman" w:hAnsi="Times New Roman" w:cs="Times New Roman"/>
          <w:sz w:val="24"/>
          <w:szCs w:val="24"/>
        </w:rPr>
        <w:t>La momentul auditului acestea se aflau la etapa de testare.</w:t>
      </w:r>
    </w:p>
    <w:p w14:paraId="2104CC2F" w14:textId="77777777" w:rsidR="009B2D03" w:rsidRDefault="009B2D03" w:rsidP="009B2D03">
      <w:pPr>
        <w:spacing w:after="120" w:line="276" w:lineRule="auto"/>
        <w:jc w:val="both"/>
        <w:rPr>
          <w:rFonts w:ascii="Times New Roman" w:hAnsi="Times New Roman" w:cs="Times New Roman"/>
          <w:sz w:val="24"/>
          <w:szCs w:val="24"/>
        </w:rPr>
      </w:pPr>
      <w:r w:rsidRPr="008D3271">
        <w:rPr>
          <w:rFonts w:ascii="Times New Roman" w:hAnsi="Times New Roman" w:cs="Times New Roman"/>
          <w:sz w:val="24"/>
          <w:szCs w:val="24"/>
        </w:rPr>
        <w:t>Multiple disfuncționalități în aplicabilitatea dispozitivelor procurate de STISC au fost constatate și în cadrul evaluări</w:t>
      </w:r>
      <w:r>
        <w:rPr>
          <w:rFonts w:ascii="Times New Roman" w:hAnsi="Times New Roman" w:cs="Times New Roman"/>
          <w:sz w:val="24"/>
          <w:szCs w:val="24"/>
        </w:rPr>
        <w:t>i</w:t>
      </w:r>
      <w:r>
        <w:rPr>
          <w:rStyle w:val="a5"/>
          <w:rFonts w:ascii="Times New Roman" w:hAnsi="Times New Roman" w:cs="Times New Roman"/>
        </w:rPr>
        <w:footnoteReference w:id="49"/>
      </w:r>
      <w:r w:rsidRPr="008D3271">
        <w:rPr>
          <w:rFonts w:ascii="Times New Roman" w:hAnsi="Times New Roman" w:cs="Times New Roman"/>
          <w:sz w:val="24"/>
          <w:szCs w:val="24"/>
        </w:rPr>
        <w:t xml:space="preserve"> echipamentelor efectuate de experți contractați de instituția publică în anul 2023</w:t>
      </w:r>
      <w:r>
        <w:rPr>
          <w:rFonts w:ascii="Times New Roman" w:hAnsi="Times New Roman" w:cs="Times New Roman"/>
          <w:sz w:val="24"/>
          <w:szCs w:val="24"/>
        </w:rPr>
        <w:t>. Concomitent, s-a constatat că dispozitivele HSM procurate în anul 2020 nu pot fi utilizate în producție sau operațiuni de testare, în așa mod entității</w:t>
      </w:r>
      <w:r w:rsidRPr="00C75B43">
        <w:rPr>
          <w:rFonts w:ascii="Times New Roman" w:hAnsi="Times New Roman" w:cs="Times New Roman"/>
          <w:sz w:val="24"/>
          <w:szCs w:val="24"/>
        </w:rPr>
        <w:t xml:space="preserve"> </w:t>
      </w:r>
      <w:r>
        <w:rPr>
          <w:rFonts w:ascii="Times New Roman" w:hAnsi="Times New Roman" w:cs="Times New Roman"/>
          <w:sz w:val="24"/>
          <w:szCs w:val="24"/>
        </w:rPr>
        <w:t>fiindu-i cauzate pierderi în valoare de 2,5 mil. lei, utilizate la procurarea acestora.</w:t>
      </w:r>
    </w:p>
    <w:p w14:paraId="5019E3D7" w14:textId="2D34708E" w:rsidR="009B2D03" w:rsidRPr="003B329E" w:rsidRDefault="009B2D03" w:rsidP="009B2D03">
      <w:pPr>
        <w:spacing w:before="120" w:after="120" w:line="276" w:lineRule="auto"/>
        <w:jc w:val="both"/>
        <w:rPr>
          <w:rFonts w:ascii="Times New Roman" w:hAnsi="Times New Roman" w:cs="Times New Roman"/>
          <w:sz w:val="24"/>
          <w:szCs w:val="24"/>
        </w:rPr>
      </w:pPr>
      <w:r w:rsidRPr="003B329E">
        <w:rPr>
          <w:rFonts w:ascii="Times New Roman" w:hAnsi="Times New Roman" w:cs="Times New Roman"/>
          <w:sz w:val="24"/>
          <w:szCs w:val="24"/>
        </w:rPr>
        <w:t>Faptul punerii în funcțiune a SIA și a dispozitivelor securizate de creare a semnăturilor electronice de tip HSM procurate în anul 2020 care în realitate nu se aplică în activitatea instituției, a condiționat calcularea neregulamentară a amortizării acestor bunuri, la situația din 31.12.2022 a</w:t>
      </w:r>
      <w:r>
        <w:rPr>
          <w:rFonts w:ascii="Times New Roman" w:hAnsi="Times New Roman" w:cs="Times New Roman"/>
          <w:sz w:val="24"/>
          <w:szCs w:val="24"/>
        </w:rPr>
        <w:t>ceasta</w:t>
      </w:r>
      <w:r w:rsidRPr="003B329E">
        <w:rPr>
          <w:rFonts w:ascii="Times New Roman" w:hAnsi="Times New Roman" w:cs="Times New Roman"/>
          <w:sz w:val="24"/>
          <w:szCs w:val="24"/>
        </w:rPr>
        <w:t xml:space="preserve"> constitui</w:t>
      </w:r>
      <w:r>
        <w:rPr>
          <w:rFonts w:ascii="Times New Roman" w:hAnsi="Times New Roman" w:cs="Times New Roman"/>
          <w:sz w:val="24"/>
          <w:szCs w:val="24"/>
        </w:rPr>
        <w:t>nd</w:t>
      </w:r>
      <w:r w:rsidR="008F22FD">
        <w:rPr>
          <w:rFonts w:ascii="Times New Roman" w:hAnsi="Times New Roman" w:cs="Times New Roman"/>
          <w:sz w:val="24"/>
          <w:szCs w:val="24"/>
        </w:rPr>
        <w:t>,</w:t>
      </w:r>
      <w:r w:rsidRPr="003B329E">
        <w:rPr>
          <w:rFonts w:ascii="Times New Roman" w:hAnsi="Times New Roman" w:cs="Times New Roman"/>
          <w:sz w:val="24"/>
          <w:szCs w:val="24"/>
        </w:rPr>
        <w:t xml:space="preserve"> per total</w:t>
      </w:r>
      <w:r w:rsidR="008F22FD">
        <w:rPr>
          <w:rFonts w:ascii="Times New Roman" w:hAnsi="Times New Roman" w:cs="Times New Roman"/>
          <w:sz w:val="24"/>
          <w:szCs w:val="24"/>
        </w:rPr>
        <w:t>,</w:t>
      </w:r>
      <w:r w:rsidRPr="003B329E">
        <w:rPr>
          <w:rFonts w:ascii="Times New Roman" w:hAnsi="Times New Roman" w:cs="Times New Roman"/>
          <w:sz w:val="24"/>
          <w:szCs w:val="24"/>
        </w:rPr>
        <w:t xml:space="preserve"> 2,0 mil. lei, inclusiv</w:t>
      </w:r>
      <w:r>
        <w:rPr>
          <w:rFonts w:ascii="Times New Roman" w:hAnsi="Times New Roman" w:cs="Times New Roman"/>
          <w:sz w:val="24"/>
          <w:szCs w:val="24"/>
        </w:rPr>
        <w:t>:</w:t>
      </w:r>
      <w:r w:rsidRPr="003B329E">
        <w:rPr>
          <w:rFonts w:ascii="Times New Roman" w:hAnsi="Times New Roman" w:cs="Times New Roman"/>
          <w:sz w:val="24"/>
          <w:szCs w:val="24"/>
        </w:rPr>
        <w:t xml:space="preserve"> la SI </w:t>
      </w:r>
      <w:r>
        <w:rPr>
          <w:rFonts w:ascii="Times New Roman" w:hAnsi="Times New Roman" w:cs="Times New Roman"/>
          <w:sz w:val="24"/>
          <w:szCs w:val="24"/>
        </w:rPr>
        <w:t>–</w:t>
      </w:r>
      <w:r w:rsidRPr="003B329E">
        <w:rPr>
          <w:rFonts w:ascii="Times New Roman" w:hAnsi="Times New Roman" w:cs="Times New Roman"/>
          <w:sz w:val="24"/>
          <w:szCs w:val="24"/>
        </w:rPr>
        <w:t xml:space="preserve"> 1,4 mil. lei (gradul de amortizare fiind de 39%) și la dispozitive </w:t>
      </w:r>
      <w:r>
        <w:rPr>
          <w:rFonts w:ascii="Times New Roman" w:hAnsi="Times New Roman" w:cs="Times New Roman"/>
          <w:sz w:val="24"/>
          <w:szCs w:val="24"/>
        </w:rPr>
        <w:t>–</w:t>
      </w:r>
      <w:r w:rsidRPr="003B329E">
        <w:rPr>
          <w:rFonts w:ascii="Times New Roman" w:hAnsi="Times New Roman" w:cs="Times New Roman"/>
          <w:sz w:val="24"/>
          <w:szCs w:val="24"/>
        </w:rPr>
        <w:t xml:space="preserve"> în valoare de 0,6 mil. lei (27% din valoarea bunurilor). Calcularea neconformă a amortizării a condus și la majorarea neîntemeiată a cheltuielilor STISC și</w:t>
      </w:r>
      <w:r>
        <w:rPr>
          <w:rFonts w:ascii="Times New Roman" w:hAnsi="Times New Roman" w:cs="Times New Roman"/>
          <w:sz w:val="24"/>
          <w:szCs w:val="24"/>
        </w:rPr>
        <w:t>,</w:t>
      </w:r>
      <w:r w:rsidRPr="003B329E">
        <w:rPr>
          <w:rFonts w:ascii="Times New Roman" w:hAnsi="Times New Roman" w:cs="Times New Roman"/>
          <w:sz w:val="24"/>
          <w:szCs w:val="24"/>
        </w:rPr>
        <w:t xml:space="preserve"> respectiv</w:t>
      </w:r>
      <w:r>
        <w:rPr>
          <w:rFonts w:ascii="Times New Roman" w:hAnsi="Times New Roman" w:cs="Times New Roman"/>
          <w:sz w:val="24"/>
          <w:szCs w:val="24"/>
        </w:rPr>
        <w:t>,</w:t>
      </w:r>
      <w:r w:rsidRPr="003B329E">
        <w:rPr>
          <w:rFonts w:ascii="Times New Roman" w:hAnsi="Times New Roman" w:cs="Times New Roman"/>
          <w:sz w:val="24"/>
          <w:szCs w:val="24"/>
        </w:rPr>
        <w:t xml:space="preserve"> la determinarea incorectă a rezultatului fi</w:t>
      </w:r>
      <w:r>
        <w:rPr>
          <w:rFonts w:ascii="Times New Roman" w:hAnsi="Times New Roman" w:cs="Times New Roman"/>
          <w:sz w:val="24"/>
          <w:szCs w:val="24"/>
        </w:rPr>
        <w:t xml:space="preserve">nanciar raportat de instituție </w:t>
      </w:r>
      <w:r w:rsidRPr="003B329E">
        <w:rPr>
          <w:rFonts w:ascii="Times New Roman" w:hAnsi="Times New Roman" w:cs="Times New Roman"/>
          <w:sz w:val="24"/>
          <w:szCs w:val="24"/>
        </w:rPr>
        <w:t xml:space="preserve">cu suma menționată supra. </w:t>
      </w:r>
    </w:p>
    <w:p w14:paraId="1EEC9A1B" w14:textId="77777777" w:rsidR="008F22FD" w:rsidRPr="00CD43A6" w:rsidRDefault="008F22FD" w:rsidP="008F22FD">
      <w:pPr>
        <w:spacing w:after="120"/>
        <w:jc w:val="both"/>
        <w:rPr>
          <w:rFonts w:ascii="Times New Roman" w:hAnsi="Times New Roman" w:cs="Times New Roman"/>
          <w:sz w:val="24"/>
          <w:szCs w:val="24"/>
        </w:rPr>
      </w:pPr>
      <w:r w:rsidRPr="00CD43A6">
        <w:rPr>
          <w:rFonts w:ascii="Times New Roman" w:hAnsi="Times New Roman" w:cs="Times New Roman"/>
          <w:sz w:val="24"/>
          <w:szCs w:val="24"/>
        </w:rPr>
        <w:t>Un alt aspect relevant care necesită a fi evidențiat de audit este și faptul că, potrivit documentației prezentate de entitate, precum și declarațiilor vamale, dispozitivele securizate au fost importate de agentul economic de la care</w:t>
      </w:r>
      <w:r>
        <w:rPr>
          <w:rFonts w:ascii="Times New Roman" w:hAnsi="Times New Roman" w:cs="Times New Roman"/>
          <w:sz w:val="24"/>
          <w:szCs w:val="24"/>
        </w:rPr>
        <w:t>,</w:t>
      </w:r>
      <w:r w:rsidRPr="00CD43A6">
        <w:rPr>
          <w:rFonts w:ascii="Times New Roman" w:hAnsi="Times New Roman" w:cs="Times New Roman"/>
          <w:sz w:val="24"/>
          <w:szCs w:val="24"/>
        </w:rPr>
        <w:t xml:space="preserve"> la rândul său</w:t>
      </w:r>
      <w:r>
        <w:rPr>
          <w:rFonts w:ascii="Times New Roman" w:hAnsi="Times New Roman" w:cs="Times New Roman"/>
          <w:sz w:val="24"/>
          <w:szCs w:val="24"/>
        </w:rPr>
        <w:t>,</w:t>
      </w:r>
      <w:r w:rsidRPr="00CD43A6">
        <w:rPr>
          <w:rFonts w:ascii="Times New Roman" w:hAnsi="Times New Roman" w:cs="Times New Roman"/>
          <w:sz w:val="24"/>
          <w:szCs w:val="24"/>
        </w:rPr>
        <w:t xml:space="preserve"> le-a procurat STISC la prețuri de 2-3 ori mai mari (bunurile procurate în anul 2020 au fost importate cu 472,6 mii lei per unitate, iar STISC le-a achiziționat cu 1</w:t>
      </w:r>
      <w:r>
        <w:rPr>
          <w:rFonts w:ascii="Times New Roman" w:hAnsi="Times New Roman" w:cs="Times New Roman"/>
          <w:sz w:val="24"/>
          <w:szCs w:val="24"/>
        </w:rPr>
        <w:t>.</w:t>
      </w:r>
      <w:r w:rsidRPr="00CD43A6">
        <w:rPr>
          <w:rFonts w:ascii="Times New Roman" w:hAnsi="Times New Roman" w:cs="Times New Roman"/>
          <w:sz w:val="24"/>
          <w:szCs w:val="24"/>
        </w:rPr>
        <w:t>253,3 mii lei, cele din 2022 au fost achiziționate de instituție la prețul de 1</w:t>
      </w:r>
      <w:r>
        <w:rPr>
          <w:rFonts w:ascii="Times New Roman" w:hAnsi="Times New Roman" w:cs="Times New Roman"/>
          <w:sz w:val="24"/>
          <w:szCs w:val="24"/>
        </w:rPr>
        <w:t>.</w:t>
      </w:r>
      <w:r w:rsidRPr="00CD43A6">
        <w:rPr>
          <w:rFonts w:ascii="Times New Roman" w:hAnsi="Times New Roman" w:cs="Times New Roman"/>
          <w:sz w:val="24"/>
          <w:szCs w:val="24"/>
        </w:rPr>
        <w:t xml:space="preserve">693,5 mii lei, iar potrivit declarațiilor vamale costul acestora fiind de 829,7 mii lei). </w:t>
      </w:r>
    </w:p>
    <w:p w14:paraId="179D7EAD" w14:textId="5EE22F0C" w:rsidR="009F5D93" w:rsidRPr="003B329E" w:rsidRDefault="009F5D93" w:rsidP="009B2D03">
      <w:pPr>
        <w:spacing w:after="80" w:line="276" w:lineRule="auto"/>
        <w:jc w:val="both"/>
        <w:rPr>
          <w:rFonts w:ascii="Times New Roman" w:hAnsi="Times New Roman" w:cs="Times New Roman"/>
          <w:sz w:val="24"/>
          <w:szCs w:val="24"/>
        </w:rPr>
      </w:pPr>
      <w:r w:rsidRPr="003B329E">
        <w:rPr>
          <w:rFonts w:ascii="Times New Roman" w:hAnsi="Times New Roman" w:cs="Times New Roman"/>
          <w:sz w:val="24"/>
          <w:szCs w:val="24"/>
        </w:rPr>
        <w:t>Verificările de audit au rel</w:t>
      </w:r>
      <w:r>
        <w:rPr>
          <w:rFonts w:ascii="Times New Roman" w:hAnsi="Times New Roman" w:cs="Times New Roman"/>
          <w:sz w:val="24"/>
          <w:szCs w:val="24"/>
        </w:rPr>
        <w:t>evat</w:t>
      </w:r>
      <w:r w:rsidRPr="003B329E">
        <w:rPr>
          <w:rFonts w:ascii="Times New Roman" w:hAnsi="Times New Roman" w:cs="Times New Roman"/>
          <w:sz w:val="24"/>
          <w:szCs w:val="24"/>
        </w:rPr>
        <w:t xml:space="preserve"> și alte cazuri de efectuare a unor cheltuieli iraționale admise de factorii </w:t>
      </w:r>
      <w:r>
        <w:rPr>
          <w:rFonts w:ascii="Times New Roman" w:hAnsi="Times New Roman" w:cs="Times New Roman"/>
          <w:sz w:val="24"/>
          <w:szCs w:val="24"/>
        </w:rPr>
        <w:t>de decizie</w:t>
      </w:r>
      <w:r w:rsidRPr="003B329E">
        <w:rPr>
          <w:rFonts w:ascii="Times New Roman" w:hAnsi="Times New Roman" w:cs="Times New Roman"/>
          <w:sz w:val="24"/>
          <w:szCs w:val="24"/>
        </w:rPr>
        <w:t xml:space="preserve"> ai entității, și anume:</w:t>
      </w:r>
    </w:p>
    <w:p w14:paraId="10117DDB" w14:textId="77777777" w:rsidR="009F5D93" w:rsidRPr="005E5F68" w:rsidRDefault="009F5D93" w:rsidP="009F5D93">
      <w:pPr>
        <w:pStyle w:val="a7"/>
        <w:numPr>
          <w:ilvl w:val="0"/>
          <w:numId w:val="25"/>
        </w:numPr>
        <w:spacing w:after="80" w:line="276" w:lineRule="auto"/>
        <w:ind w:left="0" w:firstLine="284"/>
        <w:contextualSpacing w:val="0"/>
        <w:jc w:val="both"/>
        <w:rPr>
          <w:rFonts w:ascii="Times New Roman" w:hAnsi="Times New Roman" w:cs="Times New Roman"/>
          <w:sz w:val="24"/>
          <w:szCs w:val="24"/>
        </w:rPr>
      </w:pPr>
      <w:r>
        <w:rPr>
          <w:rFonts w:ascii="Times New Roman" w:hAnsi="Times New Roman" w:cs="Times New Roman"/>
          <w:sz w:val="24"/>
          <w:szCs w:val="24"/>
        </w:rPr>
        <w:t>c</w:t>
      </w:r>
      <w:r w:rsidRPr="003B329E">
        <w:rPr>
          <w:rFonts w:ascii="Times New Roman" w:hAnsi="Times New Roman" w:cs="Times New Roman"/>
          <w:sz w:val="24"/>
          <w:szCs w:val="24"/>
        </w:rPr>
        <w:t>aracterul ineficient al achizițiilor publice organizate de STISC se evidențiază</w:t>
      </w:r>
      <w:r>
        <w:rPr>
          <w:rFonts w:ascii="Times New Roman" w:hAnsi="Times New Roman" w:cs="Times New Roman"/>
          <w:sz w:val="24"/>
          <w:szCs w:val="24"/>
        </w:rPr>
        <w:t xml:space="preserve"> și</w:t>
      </w:r>
      <w:r w:rsidRPr="003B329E">
        <w:rPr>
          <w:rFonts w:ascii="Times New Roman" w:hAnsi="Times New Roman" w:cs="Times New Roman"/>
          <w:sz w:val="24"/>
          <w:szCs w:val="24"/>
        </w:rPr>
        <w:t xml:space="preserve"> la contractarea serviciilor de reîncărcare și regenerare a cartușelor, care în perioada auditată se cifrează la suma totală de 556,0 mii lei. Analizele de audit al prețurilor contractat</w:t>
      </w:r>
      <w:r>
        <w:rPr>
          <w:rFonts w:ascii="Times New Roman" w:hAnsi="Times New Roman" w:cs="Times New Roman"/>
          <w:sz w:val="24"/>
          <w:szCs w:val="24"/>
        </w:rPr>
        <w:t>e</w:t>
      </w:r>
      <w:r w:rsidRPr="003B329E">
        <w:rPr>
          <w:rFonts w:ascii="Times New Roman" w:hAnsi="Times New Roman" w:cs="Times New Roman"/>
          <w:sz w:val="24"/>
          <w:szCs w:val="24"/>
        </w:rPr>
        <w:t xml:space="preserve"> per</w:t>
      </w:r>
      <w:r>
        <w:rPr>
          <w:rFonts w:ascii="Times New Roman" w:hAnsi="Times New Roman" w:cs="Times New Roman"/>
          <w:sz w:val="24"/>
          <w:szCs w:val="24"/>
        </w:rPr>
        <w:t xml:space="preserve"> </w:t>
      </w:r>
      <w:r w:rsidRPr="003B329E">
        <w:rPr>
          <w:rFonts w:ascii="Times New Roman" w:hAnsi="Times New Roman" w:cs="Times New Roman"/>
          <w:sz w:val="24"/>
          <w:szCs w:val="24"/>
        </w:rPr>
        <w:t>unitate de serviciu denotă divergențe semnificative între unu</w:t>
      </w:r>
      <w:r>
        <w:rPr>
          <w:rFonts w:ascii="Times New Roman" w:hAnsi="Times New Roman" w:cs="Times New Roman"/>
          <w:sz w:val="24"/>
          <w:szCs w:val="24"/>
        </w:rPr>
        <w:t>l</w:t>
      </w:r>
      <w:r w:rsidRPr="003B329E">
        <w:rPr>
          <w:rFonts w:ascii="Times New Roman" w:hAnsi="Times New Roman" w:cs="Times New Roman"/>
          <w:sz w:val="24"/>
          <w:szCs w:val="24"/>
        </w:rPr>
        <w:t xml:space="preserve"> și același serviciu procurat în anii 2019-2021</w:t>
      </w:r>
      <w:r>
        <w:rPr>
          <w:rFonts w:ascii="Times New Roman" w:hAnsi="Times New Roman" w:cs="Times New Roman"/>
          <w:sz w:val="24"/>
          <w:szCs w:val="24"/>
        </w:rPr>
        <w:t>,</w:t>
      </w:r>
      <w:r w:rsidRPr="003B329E">
        <w:rPr>
          <w:rFonts w:ascii="Times New Roman" w:hAnsi="Times New Roman" w:cs="Times New Roman"/>
          <w:sz w:val="24"/>
          <w:szCs w:val="24"/>
        </w:rPr>
        <w:t xml:space="preserve"> comparativ cu prețurile </w:t>
      </w:r>
      <w:r>
        <w:rPr>
          <w:rFonts w:ascii="Times New Roman" w:hAnsi="Times New Roman" w:cs="Times New Roman"/>
          <w:sz w:val="24"/>
          <w:szCs w:val="24"/>
        </w:rPr>
        <w:t>din</w:t>
      </w:r>
      <w:r w:rsidRPr="003B329E">
        <w:rPr>
          <w:rFonts w:ascii="Times New Roman" w:hAnsi="Times New Roman" w:cs="Times New Roman"/>
          <w:sz w:val="24"/>
          <w:szCs w:val="24"/>
        </w:rPr>
        <w:t xml:space="preserve"> 2022. În așa mod, costurile suportate în cei trei ani menționați, similar situației expuse supra, s</w:t>
      </w:r>
      <w:r>
        <w:rPr>
          <w:rFonts w:ascii="Times New Roman" w:hAnsi="Times New Roman" w:cs="Times New Roman"/>
          <w:sz w:val="24"/>
          <w:szCs w:val="24"/>
        </w:rPr>
        <w:t>u</w:t>
      </w:r>
      <w:r w:rsidRPr="003B329E">
        <w:rPr>
          <w:rFonts w:ascii="Times New Roman" w:hAnsi="Times New Roman" w:cs="Times New Roman"/>
          <w:sz w:val="24"/>
          <w:szCs w:val="24"/>
        </w:rPr>
        <w:t>nt de 2-3 ori mai mari dec</w:t>
      </w:r>
      <w:r>
        <w:rPr>
          <w:rFonts w:ascii="Times New Roman" w:hAnsi="Times New Roman" w:cs="Times New Roman"/>
          <w:sz w:val="24"/>
          <w:szCs w:val="24"/>
        </w:rPr>
        <w:t>â</w:t>
      </w:r>
      <w:r w:rsidRPr="003B329E">
        <w:rPr>
          <w:rFonts w:ascii="Times New Roman" w:hAnsi="Times New Roman" w:cs="Times New Roman"/>
          <w:sz w:val="24"/>
          <w:szCs w:val="24"/>
        </w:rPr>
        <w:t>t costurile serviciilor contractate în anul 2022. În acest context se exemplifică prețul de procurare a „Servicii</w:t>
      </w:r>
      <w:r>
        <w:rPr>
          <w:rFonts w:ascii="Times New Roman" w:hAnsi="Times New Roman" w:cs="Times New Roman"/>
          <w:sz w:val="24"/>
          <w:szCs w:val="24"/>
        </w:rPr>
        <w:t>lor</w:t>
      </w:r>
      <w:r w:rsidRPr="003B329E">
        <w:rPr>
          <w:rFonts w:ascii="Times New Roman" w:hAnsi="Times New Roman" w:cs="Times New Roman"/>
          <w:sz w:val="24"/>
          <w:szCs w:val="24"/>
        </w:rPr>
        <w:t xml:space="preserve"> de încărcare a cartușelor </w:t>
      </w:r>
      <w:r w:rsidRPr="005E5F68">
        <w:rPr>
          <w:rFonts w:ascii="Times New Roman" w:hAnsi="Times New Roman" w:cs="Times New Roman"/>
          <w:sz w:val="24"/>
          <w:szCs w:val="24"/>
        </w:rPr>
        <w:t>K</w:t>
      </w:r>
      <w:r w:rsidRPr="003B329E">
        <w:rPr>
          <w:rFonts w:ascii="Times New Roman" w:hAnsi="Times New Roman" w:cs="Times New Roman"/>
          <w:sz w:val="24"/>
          <w:szCs w:val="24"/>
        </w:rPr>
        <w:t>yocera TK-1150” care în primii ani era procurat la 340,0 lei/unitate</w:t>
      </w:r>
      <w:r>
        <w:rPr>
          <w:rFonts w:ascii="Times New Roman" w:hAnsi="Times New Roman" w:cs="Times New Roman"/>
          <w:sz w:val="24"/>
          <w:szCs w:val="24"/>
        </w:rPr>
        <w:t>,</w:t>
      </w:r>
      <w:r w:rsidRPr="003B329E">
        <w:rPr>
          <w:rFonts w:ascii="Times New Roman" w:hAnsi="Times New Roman" w:cs="Times New Roman"/>
          <w:sz w:val="24"/>
          <w:szCs w:val="24"/>
        </w:rPr>
        <w:t xml:space="preserve"> iar în ultimul an menționat a scăzut până la 130,0 lei/unitate. </w:t>
      </w:r>
      <w:r w:rsidRPr="005E5F68">
        <w:rPr>
          <w:rFonts w:ascii="Times New Roman" w:hAnsi="Times New Roman" w:cs="Times New Roman"/>
          <w:sz w:val="24"/>
          <w:szCs w:val="24"/>
        </w:rPr>
        <w:t xml:space="preserve">Cazuri de majorare a prețurilor se constată și la celelalte servicii de acest tip achiziționate de la anumiți agenți economici („ICS Center” SRL și „Observer” SRL). </w:t>
      </w:r>
      <w:r w:rsidRPr="005E5F68">
        <w:rPr>
          <w:rFonts w:ascii="Times New Roman" w:eastAsia="Times New Roman" w:hAnsi="Times New Roman" w:cs="Times New Roman"/>
          <w:sz w:val="24"/>
          <w:szCs w:val="24"/>
          <w:lang w:eastAsia="ro-RO" w:bidi="ro-RO"/>
        </w:rPr>
        <w:t xml:space="preserve">Astfel, cheltuielile majorate și nejustificate suportate de entitate pentru serviciile de </w:t>
      </w:r>
      <w:r w:rsidRPr="005E5F68">
        <w:rPr>
          <w:rFonts w:ascii="Times New Roman" w:hAnsi="Times New Roman" w:cs="Times New Roman"/>
          <w:sz w:val="24"/>
          <w:szCs w:val="24"/>
        </w:rPr>
        <w:t>reîncărcare și regenerare a cartușelor, potrivit estimărilor de audit,</w:t>
      </w:r>
      <w:r w:rsidRPr="005E5F68">
        <w:rPr>
          <w:rFonts w:ascii="Times New Roman" w:eastAsia="Times New Roman" w:hAnsi="Times New Roman" w:cs="Times New Roman"/>
          <w:sz w:val="24"/>
          <w:szCs w:val="24"/>
          <w:lang w:eastAsia="ro-RO" w:bidi="ro-RO"/>
        </w:rPr>
        <w:t xml:space="preserve"> au constituit 157,8 mii lei (28% din valoarea contractată). De menționat că </w:t>
      </w:r>
      <w:r w:rsidRPr="005E5F68">
        <w:rPr>
          <w:rFonts w:ascii="Times New Roman" w:hAnsi="Times New Roman" w:cs="Times New Roman"/>
          <w:sz w:val="24"/>
          <w:szCs w:val="24"/>
        </w:rPr>
        <w:t>achiziția serviciilor de reîncărcare și regenerare a cartușelor, în perioada 2018-2020 în sumă totală de 308,0 mii lei, a fost efectuată de la un agent economic, fondator al căreia este rudă de gradul înt</w:t>
      </w:r>
      <w:r>
        <w:rPr>
          <w:rFonts w:ascii="Times New Roman" w:hAnsi="Times New Roman" w:cs="Times New Roman"/>
          <w:sz w:val="24"/>
          <w:szCs w:val="24"/>
        </w:rPr>
        <w:t>â</w:t>
      </w:r>
      <w:r w:rsidRPr="005E5F68">
        <w:rPr>
          <w:rFonts w:ascii="Times New Roman" w:hAnsi="Times New Roman" w:cs="Times New Roman"/>
          <w:sz w:val="24"/>
          <w:szCs w:val="24"/>
        </w:rPr>
        <w:t>i a președintelui grupului de lucru al STISC</w:t>
      </w:r>
      <w:r>
        <w:rPr>
          <w:rFonts w:ascii="Times New Roman" w:hAnsi="Times New Roman" w:cs="Times New Roman"/>
          <w:sz w:val="24"/>
          <w:szCs w:val="24"/>
        </w:rPr>
        <w:t>;</w:t>
      </w:r>
      <w:r w:rsidRPr="005E5F68">
        <w:rPr>
          <w:rFonts w:ascii="Times New Roman" w:hAnsi="Times New Roman" w:cs="Times New Roman"/>
          <w:sz w:val="24"/>
          <w:szCs w:val="24"/>
        </w:rPr>
        <w:t xml:space="preserve"> </w:t>
      </w:r>
    </w:p>
    <w:p w14:paraId="0E466191" w14:textId="64D97E19" w:rsidR="00DA7801" w:rsidRPr="009F5D93" w:rsidRDefault="009F5D93" w:rsidP="009F5D93">
      <w:pPr>
        <w:pStyle w:val="a7"/>
        <w:numPr>
          <w:ilvl w:val="0"/>
          <w:numId w:val="25"/>
        </w:numPr>
        <w:spacing w:after="120" w:line="276" w:lineRule="auto"/>
        <w:ind w:left="0" w:firstLine="284"/>
        <w:contextualSpacing w:val="0"/>
        <w:jc w:val="both"/>
        <w:rPr>
          <w:rFonts w:ascii="Times New Roman" w:hAnsi="Times New Roman" w:cs="Times New Roman"/>
          <w:sz w:val="24"/>
          <w:szCs w:val="24"/>
        </w:rPr>
      </w:pPr>
      <w:r>
        <w:rPr>
          <w:rFonts w:ascii="Times New Roman" w:hAnsi="Times New Roman" w:cs="Times New Roman"/>
          <w:sz w:val="24"/>
          <w:szCs w:val="24"/>
        </w:rPr>
        <w:t>o</w:t>
      </w:r>
      <w:r w:rsidRPr="003B329E">
        <w:rPr>
          <w:rFonts w:ascii="Times New Roman" w:hAnsi="Times New Roman" w:cs="Times New Roman"/>
          <w:sz w:val="24"/>
          <w:szCs w:val="24"/>
        </w:rPr>
        <w:t xml:space="preserve"> situație similară s-a constatat de către audit și la procurarea de către STISC a unor bunuri nespecifice instituției publice</w:t>
      </w:r>
      <w:r>
        <w:rPr>
          <w:rFonts w:ascii="Times New Roman" w:hAnsi="Times New Roman" w:cs="Times New Roman"/>
          <w:sz w:val="24"/>
          <w:szCs w:val="24"/>
        </w:rPr>
        <w:t>,</w:t>
      </w:r>
      <w:r w:rsidRPr="003B329E">
        <w:rPr>
          <w:rFonts w:ascii="Times New Roman" w:hAnsi="Times New Roman" w:cs="Times New Roman"/>
          <w:sz w:val="24"/>
          <w:szCs w:val="24"/>
        </w:rPr>
        <w:t xml:space="preserve"> în sumă de 24,3 mii lei, care conform contractului au fost catalogate ca „scule, lacăte, chei, balamale, dispozitive de fixare, lanțuri și resorturi”. În fapt</w:t>
      </w:r>
      <w:r>
        <w:rPr>
          <w:rFonts w:ascii="Times New Roman" w:hAnsi="Times New Roman" w:cs="Times New Roman"/>
          <w:sz w:val="24"/>
          <w:szCs w:val="24"/>
        </w:rPr>
        <w:t>,</w:t>
      </w:r>
      <w:r w:rsidRPr="003B329E">
        <w:rPr>
          <w:rFonts w:ascii="Times New Roman" w:hAnsi="Times New Roman" w:cs="Times New Roman"/>
          <w:sz w:val="24"/>
          <w:szCs w:val="24"/>
        </w:rPr>
        <w:t xml:space="preserve"> potrivit facturii fiscale și specificației de preț anexat</w:t>
      </w:r>
      <w:r>
        <w:rPr>
          <w:rFonts w:ascii="Times New Roman" w:hAnsi="Times New Roman" w:cs="Times New Roman"/>
          <w:sz w:val="24"/>
          <w:szCs w:val="24"/>
        </w:rPr>
        <w:t>e</w:t>
      </w:r>
      <w:r w:rsidRPr="003B329E">
        <w:rPr>
          <w:rFonts w:ascii="Times New Roman" w:hAnsi="Times New Roman" w:cs="Times New Roman"/>
          <w:sz w:val="24"/>
          <w:szCs w:val="24"/>
        </w:rPr>
        <w:t xml:space="preserve"> la contract, bunurile procurate reprezintă un bortbagaj care se fixează pe acoperișul automobilelor (</w:t>
      </w:r>
      <w:r w:rsidRPr="003B329E">
        <w:rPr>
          <w:rFonts w:ascii="Times New Roman" w:hAnsi="Times New Roman" w:cs="Times New Roman"/>
          <w:color w:val="000000"/>
          <w:sz w:val="24"/>
          <w:szCs w:val="24"/>
        </w:rPr>
        <w:t xml:space="preserve">Box Motion XT XL Titan), o geantă frigorifică portabilă și diferite echipamente aferente utilizării boxei auto. Deși responsabilii STISC argumentează necesitatea acestei </w:t>
      </w:r>
      <w:r>
        <w:rPr>
          <w:rFonts w:ascii="Times New Roman" w:hAnsi="Times New Roman" w:cs="Times New Roman"/>
          <w:color w:val="000000"/>
          <w:sz w:val="24"/>
          <w:szCs w:val="24"/>
        </w:rPr>
        <w:t>achiziții</w:t>
      </w:r>
      <w:r w:rsidRPr="003B329E">
        <w:rPr>
          <w:rFonts w:ascii="Times New Roman" w:hAnsi="Times New Roman" w:cs="Times New Roman"/>
          <w:color w:val="000000"/>
          <w:sz w:val="24"/>
          <w:szCs w:val="24"/>
        </w:rPr>
        <w:t xml:space="preserve"> </w:t>
      </w:r>
      <w:r>
        <w:rPr>
          <w:rFonts w:ascii="Times New Roman" w:hAnsi="Times New Roman" w:cs="Times New Roman"/>
          <w:color w:val="000000"/>
          <w:sz w:val="24"/>
          <w:szCs w:val="24"/>
        </w:rPr>
        <w:t>pri</w:t>
      </w:r>
      <w:r w:rsidRPr="003B329E">
        <w:rPr>
          <w:rFonts w:ascii="Times New Roman" w:hAnsi="Times New Roman" w:cs="Times New Roman"/>
          <w:color w:val="000000"/>
          <w:sz w:val="24"/>
          <w:szCs w:val="24"/>
        </w:rPr>
        <w:t xml:space="preserve">n lipsa deținerii </w:t>
      </w:r>
      <w:r>
        <w:rPr>
          <w:rFonts w:ascii="Times New Roman" w:hAnsi="Times New Roman" w:cs="Times New Roman"/>
          <w:color w:val="000000"/>
          <w:sz w:val="24"/>
          <w:szCs w:val="24"/>
        </w:rPr>
        <w:t xml:space="preserve">de către instituție a </w:t>
      </w:r>
      <w:r w:rsidRPr="003B329E">
        <w:rPr>
          <w:rFonts w:ascii="Times New Roman" w:hAnsi="Times New Roman" w:cs="Times New Roman"/>
          <w:color w:val="000000"/>
          <w:sz w:val="24"/>
          <w:szCs w:val="24"/>
        </w:rPr>
        <w:t>unui camion care ar</w:t>
      </w:r>
      <w:r>
        <w:rPr>
          <w:rFonts w:ascii="Times New Roman" w:hAnsi="Times New Roman" w:cs="Times New Roman"/>
          <w:color w:val="000000"/>
          <w:sz w:val="24"/>
          <w:szCs w:val="24"/>
        </w:rPr>
        <w:t xml:space="preserve"> fi </w:t>
      </w:r>
      <w:r w:rsidRPr="003B329E">
        <w:rPr>
          <w:rFonts w:ascii="Times New Roman" w:hAnsi="Times New Roman" w:cs="Times New Roman"/>
          <w:color w:val="000000"/>
          <w:sz w:val="24"/>
          <w:szCs w:val="24"/>
        </w:rPr>
        <w:t xml:space="preserve"> asigu</w:t>
      </w:r>
      <w:r>
        <w:rPr>
          <w:rFonts w:ascii="Times New Roman" w:hAnsi="Times New Roman" w:cs="Times New Roman"/>
          <w:color w:val="000000"/>
          <w:sz w:val="24"/>
          <w:szCs w:val="24"/>
        </w:rPr>
        <w:t>rat transportarea diferitor dispozitive și echipamente TI</w:t>
      </w:r>
      <w:r w:rsidRPr="003B329E">
        <w:rPr>
          <w:rFonts w:ascii="Times New Roman" w:hAnsi="Times New Roman" w:cs="Times New Roman"/>
          <w:color w:val="000000"/>
          <w:sz w:val="24"/>
          <w:szCs w:val="24"/>
        </w:rPr>
        <w:t xml:space="preserve">, echipa de audit consideră </w:t>
      </w:r>
      <w:r>
        <w:rPr>
          <w:rFonts w:ascii="Times New Roman" w:hAnsi="Times New Roman" w:cs="Times New Roman"/>
          <w:color w:val="000000"/>
          <w:sz w:val="24"/>
          <w:szCs w:val="24"/>
        </w:rPr>
        <w:t>argumentele  neîntemeiate, iar tranzacția suspectă și care nu se încadrează în sensul</w:t>
      </w:r>
      <w:r w:rsidRPr="003B329E">
        <w:rPr>
          <w:rFonts w:ascii="Times New Roman" w:hAnsi="Times New Roman" w:cs="Times New Roman"/>
          <w:color w:val="000000"/>
          <w:sz w:val="24"/>
          <w:szCs w:val="24"/>
        </w:rPr>
        <w:t xml:space="preserve"> respectării principiilor bunei guvernări statuate în art. 4 din Legea </w:t>
      </w:r>
      <w:r>
        <w:rPr>
          <w:rFonts w:ascii="Times New Roman" w:hAnsi="Times New Roman" w:cs="Times New Roman"/>
          <w:color w:val="000000"/>
          <w:sz w:val="24"/>
          <w:szCs w:val="24"/>
        </w:rPr>
        <w:t>nr.</w:t>
      </w:r>
      <w:r w:rsidRPr="003B329E">
        <w:rPr>
          <w:rFonts w:ascii="Times New Roman" w:hAnsi="Times New Roman" w:cs="Times New Roman"/>
          <w:color w:val="000000"/>
          <w:sz w:val="24"/>
          <w:szCs w:val="24"/>
        </w:rPr>
        <w:t>229/2010</w:t>
      </w:r>
      <w:r>
        <w:rPr>
          <w:rFonts w:ascii="Times New Roman" w:hAnsi="Times New Roman" w:cs="Times New Roman"/>
          <w:color w:val="000000"/>
          <w:sz w:val="24"/>
          <w:szCs w:val="24"/>
        </w:rPr>
        <w:t>;</w:t>
      </w:r>
    </w:p>
    <w:p w14:paraId="6FF0E027" w14:textId="77777777" w:rsidR="009F5D93" w:rsidRDefault="009F5D93" w:rsidP="009F5D93">
      <w:pPr>
        <w:pStyle w:val="a7"/>
        <w:numPr>
          <w:ilvl w:val="0"/>
          <w:numId w:val="25"/>
        </w:numPr>
        <w:spacing w:after="0" w:line="276" w:lineRule="auto"/>
        <w:ind w:left="0" w:firstLine="284"/>
        <w:contextualSpacing w:val="0"/>
        <w:jc w:val="both"/>
        <w:rPr>
          <w:rFonts w:ascii="Times New Roman" w:hAnsi="Times New Roman" w:cs="Times New Roman"/>
          <w:sz w:val="24"/>
          <w:szCs w:val="24"/>
        </w:rPr>
      </w:pPr>
      <w:r>
        <w:rPr>
          <w:rFonts w:ascii="Times New Roman" w:hAnsi="Times New Roman" w:cs="Times New Roman"/>
          <w:sz w:val="24"/>
          <w:szCs w:val="24"/>
        </w:rPr>
        <w:t>u</w:t>
      </w:r>
      <w:r w:rsidRPr="003E580F">
        <w:rPr>
          <w:rFonts w:ascii="Times New Roman" w:hAnsi="Times New Roman" w:cs="Times New Roman"/>
          <w:sz w:val="24"/>
          <w:szCs w:val="24"/>
        </w:rPr>
        <w:t>n aspect deficitar constatat de audit și care denotă rezerve în organizarea achizițiilor publice de către STISC constituie contractarea, în perioada 2021-2022, a unor pachete software și a sistemelor informatice, și anume a prelungirii subscripțiilor la produsele/licențele Fortinet</w:t>
      </w:r>
      <w:r w:rsidRPr="003B329E">
        <w:rPr>
          <w:rStyle w:val="a5"/>
          <w:rFonts w:ascii="Times New Roman" w:hAnsi="Times New Roman" w:cs="Times New Roman"/>
          <w:sz w:val="24"/>
          <w:szCs w:val="24"/>
        </w:rPr>
        <w:footnoteReference w:id="50"/>
      </w:r>
      <w:r w:rsidRPr="003E580F">
        <w:rPr>
          <w:rFonts w:ascii="Times New Roman" w:hAnsi="Times New Roman" w:cs="Times New Roman"/>
          <w:sz w:val="24"/>
          <w:szCs w:val="24"/>
        </w:rPr>
        <w:t xml:space="preserve"> în valoare de 10,5 mil. lei. Astfel, analizele de audit denotă că la licitațiile organizate de către entitate privind prelungirea subscripțiilor la produsele Fortinet, an de an participă doar un singur ofertant</w:t>
      </w:r>
      <w:r>
        <w:rPr>
          <w:rFonts w:ascii="Times New Roman" w:hAnsi="Times New Roman" w:cs="Times New Roman"/>
          <w:sz w:val="24"/>
          <w:szCs w:val="24"/>
        </w:rPr>
        <w:t>,</w:t>
      </w:r>
      <w:r w:rsidRPr="003E580F">
        <w:rPr>
          <w:rFonts w:ascii="Times New Roman" w:hAnsi="Times New Roman" w:cs="Times New Roman"/>
          <w:sz w:val="24"/>
          <w:szCs w:val="24"/>
        </w:rPr>
        <w:t xml:space="preserve"> care este desemnat și câștigător – BTS Pro SRL. Însă</w:t>
      </w:r>
      <w:r>
        <w:rPr>
          <w:rFonts w:ascii="Times New Roman" w:hAnsi="Times New Roman" w:cs="Times New Roman"/>
          <w:sz w:val="24"/>
          <w:szCs w:val="24"/>
        </w:rPr>
        <w:t>,</w:t>
      </w:r>
      <w:r w:rsidRPr="003E580F">
        <w:rPr>
          <w:rFonts w:ascii="Times New Roman" w:hAnsi="Times New Roman" w:cs="Times New Roman"/>
          <w:sz w:val="24"/>
          <w:szCs w:val="24"/>
        </w:rPr>
        <w:t xml:space="preserve"> potrivit unei informații prezentate</w:t>
      </w:r>
      <w:r w:rsidRPr="003B329E">
        <w:rPr>
          <w:rStyle w:val="a5"/>
          <w:rFonts w:ascii="Times New Roman" w:hAnsi="Times New Roman" w:cs="Times New Roman"/>
          <w:sz w:val="24"/>
          <w:szCs w:val="24"/>
        </w:rPr>
        <w:footnoteReference w:id="51"/>
      </w:r>
      <w:r w:rsidRPr="003E580F">
        <w:rPr>
          <w:rFonts w:ascii="Times New Roman" w:hAnsi="Times New Roman" w:cs="Times New Roman"/>
          <w:sz w:val="24"/>
          <w:szCs w:val="24"/>
        </w:rPr>
        <w:t xml:space="preserve"> echipei de audit de către unicul distribuitor al companiei Fortinet în țară, în anii 2021-2022 compania a mai colaborat cu alți 11 agenți economici care</w:t>
      </w:r>
      <w:r>
        <w:rPr>
          <w:rFonts w:ascii="Times New Roman" w:hAnsi="Times New Roman" w:cs="Times New Roman"/>
          <w:sz w:val="24"/>
          <w:szCs w:val="24"/>
        </w:rPr>
        <w:t>,</w:t>
      </w:r>
      <w:r w:rsidRPr="003E580F">
        <w:rPr>
          <w:rFonts w:ascii="Times New Roman" w:hAnsi="Times New Roman" w:cs="Times New Roman"/>
          <w:sz w:val="24"/>
          <w:szCs w:val="24"/>
        </w:rPr>
        <w:t xml:space="preserve"> similar BTS Pro SRL, ofereau servicii de subscriere și prelungire a licențelor. </w:t>
      </w:r>
    </w:p>
    <w:p w14:paraId="1C26E885" w14:textId="250B2D17" w:rsidR="003E580F" w:rsidRDefault="009F5D93" w:rsidP="009F5D93">
      <w:pPr>
        <w:spacing w:after="80" w:line="276" w:lineRule="auto"/>
        <w:jc w:val="both"/>
        <w:rPr>
          <w:rFonts w:ascii="Times New Roman" w:hAnsi="Times New Roman" w:cs="Times New Roman"/>
          <w:sz w:val="24"/>
          <w:szCs w:val="24"/>
        </w:rPr>
      </w:pPr>
      <w:r w:rsidRPr="003E580F">
        <w:rPr>
          <w:rFonts w:ascii="Times New Roman" w:hAnsi="Times New Roman" w:cs="Times New Roman"/>
          <w:sz w:val="24"/>
          <w:szCs w:val="24"/>
        </w:rPr>
        <w:t>Av</w:t>
      </w:r>
      <w:r>
        <w:rPr>
          <w:rFonts w:ascii="Times New Roman" w:hAnsi="Times New Roman" w:cs="Times New Roman"/>
          <w:sz w:val="24"/>
          <w:szCs w:val="24"/>
        </w:rPr>
        <w:t>â</w:t>
      </w:r>
      <w:r w:rsidRPr="003E580F">
        <w:rPr>
          <w:rFonts w:ascii="Times New Roman" w:hAnsi="Times New Roman" w:cs="Times New Roman"/>
          <w:sz w:val="24"/>
          <w:szCs w:val="24"/>
        </w:rPr>
        <w:t>nd în vedere misiunea, funcțiile și valoarea semnificativă a mijloacelor bugetare utilizate anual  de către STISC, precum și faptul că entitatea este unica și cea mai importantă structură din țară cu competențe</w:t>
      </w:r>
      <w:r w:rsidRPr="003B329E">
        <w:rPr>
          <w:rStyle w:val="a5"/>
          <w:rFonts w:ascii="Times New Roman" w:hAnsi="Times New Roman" w:cs="Times New Roman"/>
          <w:sz w:val="24"/>
          <w:szCs w:val="24"/>
        </w:rPr>
        <w:footnoteReference w:id="52"/>
      </w:r>
      <w:r w:rsidRPr="003E580F">
        <w:rPr>
          <w:rFonts w:ascii="Times New Roman" w:hAnsi="Times New Roman" w:cs="Times New Roman"/>
          <w:sz w:val="24"/>
          <w:szCs w:val="24"/>
        </w:rPr>
        <w:t xml:space="preserve"> at</w:t>
      </w:r>
      <w:r>
        <w:rPr>
          <w:rFonts w:ascii="Times New Roman" w:hAnsi="Times New Roman" w:cs="Times New Roman"/>
          <w:sz w:val="24"/>
          <w:szCs w:val="24"/>
        </w:rPr>
        <w:t>â</w:t>
      </w:r>
      <w:r w:rsidRPr="003E580F">
        <w:rPr>
          <w:rFonts w:ascii="Times New Roman" w:hAnsi="Times New Roman" w:cs="Times New Roman"/>
          <w:sz w:val="24"/>
          <w:szCs w:val="24"/>
        </w:rPr>
        <w:t xml:space="preserve">t în asigurarea </w:t>
      </w:r>
      <w:r w:rsidRPr="003E580F">
        <w:rPr>
          <w:rFonts w:ascii="Times New Roman" w:hAnsi="Times New Roman" w:cs="Times New Roman"/>
          <w:i/>
          <w:sz w:val="24"/>
          <w:szCs w:val="24"/>
        </w:rPr>
        <w:t>s</w:t>
      </w:r>
      <w:r w:rsidRPr="003E580F">
        <w:rPr>
          <w:rFonts w:ascii="Times New Roman" w:hAnsi="Times New Roman" w:cs="Times New Roman"/>
          <w:sz w:val="24"/>
          <w:szCs w:val="24"/>
        </w:rPr>
        <w:t>ecurității cibernetice</w:t>
      </w:r>
      <w:r>
        <w:rPr>
          <w:rFonts w:ascii="Times New Roman" w:hAnsi="Times New Roman" w:cs="Times New Roman"/>
          <w:sz w:val="24"/>
          <w:szCs w:val="24"/>
        </w:rPr>
        <w:t>,</w:t>
      </w:r>
      <w:r w:rsidRPr="003E580F">
        <w:rPr>
          <w:rFonts w:ascii="Times New Roman" w:hAnsi="Times New Roman" w:cs="Times New Roman"/>
          <w:sz w:val="24"/>
          <w:szCs w:val="24"/>
        </w:rPr>
        <w:t xml:space="preserve"> c</w:t>
      </w:r>
      <w:r>
        <w:rPr>
          <w:rFonts w:ascii="Times New Roman" w:hAnsi="Times New Roman" w:cs="Times New Roman"/>
          <w:sz w:val="24"/>
          <w:szCs w:val="24"/>
        </w:rPr>
        <w:t>â</w:t>
      </w:r>
      <w:r w:rsidRPr="003E580F">
        <w:rPr>
          <w:rFonts w:ascii="Times New Roman" w:hAnsi="Times New Roman" w:cs="Times New Roman"/>
          <w:sz w:val="24"/>
          <w:szCs w:val="24"/>
        </w:rPr>
        <w:t xml:space="preserve">t și în administrarea întregii infrastructuri de tehnologii informaționale de stat, echipa de audit punctează că </w:t>
      </w:r>
      <w:r>
        <w:rPr>
          <w:rFonts w:ascii="Times New Roman" w:hAnsi="Times New Roman" w:cs="Times New Roman"/>
          <w:sz w:val="24"/>
          <w:szCs w:val="24"/>
        </w:rPr>
        <w:t>aceasta</w:t>
      </w:r>
      <w:r w:rsidRPr="003E580F">
        <w:rPr>
          <w:rFonts w:ascii="Times New Roman" w:hAnsi="Times New Roman" w:cs="Times New Roman"/>
          <w:sz w:val="24"/>
          <w:szCs w:val="24"/>
        </w:rPr>
        <w:t xml:space="preserve"> nu a manifestat diligență și nu a efectuat un studiu detaliat al pieț</w:t>
      </w:r>
      <w:r>
        <w:rPr>
          <w:rFonts w:ascii="Times New Roman" w:hAnsi="Times New Roman" w:cs="Times New Roman"/>
          <w:sz w:val="24"/>
          <w:szCs w:val="24"/>
        </w:rPr>
        <w:t>e</w:t>
      </w:r>
      <w:r w:rsidRPr="003E580F">
        <w:rPr>
          <w:rFonts w:ascii="Times New Roman" w:hAnsi="Times New Roman" w:cs="Times New Roman"/>
          <w:sz w:val="24"/>
          <w:szCs w:val="24"/>
        </w:rPr>
        <w:t>i în vederea identificării unui număr mai mare de participanți la procedura de achiziții, ceea ce</w:t>
      </w:r>
      <w:r>
        <w:rPr>
          <w:rFonts w:ascii="Times New Roman" w:hAnsi="Times New Roman" w:cs="Times New Roman"/>
          <w:sz w:val="24"/>
          <w:szCs w:val="24"/>
        </w:rPr>
        <w:t>,</w:t>
      </w:r>
      <w:r w:rsidRPr="003E580F">
        <w:rPr>
          <w:rFonts w:ascii="Times New Roman" w:hAnsi="Times New Roman" w:cs="Times New Roman"/>
          <w:sz w:val="24"/>
          <w:szCs w:val="24"/>
        </w:rPr>
        <w:t xml:space="preserve"> implicit</w:t>
      </w:r>
      <w:r>
        <w:rPr>
          <w:rFonts w:ascii="Times New Roman" w:hAnsi="Times New Roman" w:cs="Times New Roman"/>
          <w:sz w:val="24"/>
          <w:szCs w:val="24"/>
        </w:rPr>
        <w:t>,</w:t>
      </w:r>
      <w:r w:rsidRPr="003E580F">
        <w:rPr>
          <w:rFonts w:ascii="Times New Roman" w:hAnsi="Times New Roman" w:cs="Times New Roman"/>
          <w:sz w:val="24"/>
          <w:szCs w:val="24"/>
        </w:rPr>
        <w:t xml:space="preserve"> ar fi asigurat un nivel de concurență amplu la contractarea bunurilor menționate supra și nemijlocit ar fi condiționat obținer</w:t>
      </w:r>
      <w:r>
        <w:rPr>
          <w:rFonts w:ascii="Times New Roman" w:hAnsi="Times New Roman" w:cs="Times New Roman"/>
          <w:sz w:val="24"/>
          <w:szCs w:val="24"/>
        </w:rPr>
        <w:t>ea</w:t>
      </w:r>
      <w:r w:rsidRPr="003E580F">
        <w:rPr>
          <w:rFonts w:ascii="Times New Roman" w:hAnsi="Times New Roman" w:cs="Times New Roman"/>
          <w:sz w:val="24"/>
          <w:szCs w:val="24"/>
        </w:rPr>
        <w:t xml:space="preserve"> unor prețuri competitive.</w:t>
      </w:r>
      <w:r>
        <w:rPr>
          <w:rFonts w:ascii="Times New Roman" w:hAnsi="Times New Roman" w:cs="Times New Roman"/>
          <w:sz w:val="24"/>
          <w:szCs w:val="24"/>
        </w:rPr>
        <w:t xml:space="preserve"> În pofida </w:t>
      </w:r>
      <w:r w:rsidRPr="003E580F">
        <w:rPr>
          <w:rFonts w:ascii="Times New Roman" w:hAnsi="Times New Roman" w:cs="Times New Roman"/>
          <w:sz w:val="24"/>
          <w:szCs w:val="24"/>
        </w:rPr>
        <w:t>celor expuse</w:t>
      </w:r>
      <w:r>
        <w:rPr>
          <w:rFonts w:ascii="Times New Roman" w:hAnsi="Times New Roman" w:cs="Times New Roman"/>
          <w:sz w:val="24"/>
          <w:szCs w:val="24"/>
        </w:rPr>
        <w:t>,</w:t>
      </w:r>
      <w:r w:rsidRPr="003E580F">
        <w:rPr>
          <w:rFonts w:ascii="Times New Roman" w:hAnsi="Times New Roman" w:cs="Times New Roman"/>
          <w:sz w:val="24"/>
          <w:szCs w:val="24"/>
        </w:rPr>
        <w:t xml:space="preserve"> entitatea argumentează că la desfășurarea licitațiilor privind procurarea produselor software s-au respectat prevederile cadrului normativ în vigoare.</w:t>
      </w:r>
    </w:p>
    <w:p w14:paraId="6A624839" w14:textId="77777777" w:rsidR="009F5D93" w:rsidRPr="004053CF" w:rsidRDefault="009F5D93" w:rsidP="009F5D93">
      <w:pPr>
        <w:pStyle w:val="a7"/>
        <w:numPr>
          <w:ilvl w:val="0"/>
          <w:numId w:val="29"/>
        </w:numPr>
        <w:tabs>
          <w:tab w:val="left" w:pos="284"/>
        </w:tabs>
        <w:spacing w:after="120"/>
        <w:ind w:left="0" w:firstLine="0"/>
        <w:contextualSpacing w:val="0"/>
        <w:jc w:val="both"/>
        <w:rPr>
          <w:rFonts w:ascii="Times New Roman" w:eastAsiaTheme="majorEastAsia" w:hAnsi="Times New Roman" w:cs="Times New Roman"/>
          <w:b/>
          <w:i/>
          <w:sz w:val="24"/>
          <w:szCs w:val="24"/>
        </w:rPr>
      </w:pPr>
      <w:r w:rsidRPr="004053CF">
        <w:rPr>
          <w:rFonts w:ascii="Times New Roman" w:eastAsiaTheme="majorEastAsia" w:hAnsi="Times New Roman" w:cs="Times New Roman"/>
          <w:b/>
          <w:i/>
          <w:sz w:val="24"/>
          <w:szCs w:val="24"/>
        </w:rPr>
        <w:t>DGACG a admis nereguli la executarea și contabilizarea mijloacelor financiare utilizate pentru reparații</w:t>
      </w:r>
      <w:r>
        <w:rPr>
          <w:rFonts w:ascii="Times New Roman" w:eastAsiaTheme="majorEastAsia" w:hAnsi="Times New Roman" w:cs="Times New Roman"/>
          <w:b/>
          <w:i/>
          <w:sz w:val="24"/>
          <w:szCs w:val="24"/>
        </w:rPr>
        <w:t>le</w:t>
      </w:r>
      <w:r w:rsidRPr="004053CF">
        <w:rPr>
          <w:rFonts w:ascii="Times New Roman" w:eastAsiaTheme="majorEastAsia" w:hAnsi="Times New Roman" w:cs="Times New Roman"/>
          <w:b/>
          <w:i/>
          <w:sz w:val="24"/>
          <w:szCs w:val="24"/>
        </w:rPr>
        <w:t xml:space="preserve"> capitale ale clădirilor gestionate</w:t>
      </w:r>
      <w:r>
        <w:rPr>
          <w:rFonts w:ascii="Times New Roman" w:eastAsiaTheme="majorEastAsia" w:hAnsi="Times New Roman" w:cs="Times New Roman"/>
          <w:b/>
          <w:i/>
          <w:sz w:val="24"/>
          <w:szCs w:val="24"/>
        </w:rPr>
        <w:t>.</w:t>
      </w:r>
    </w:p>
    <w:p w14:paraId="6384CB3B" w14:textId="3B3E87D6" w:rsidR="0070294A" w:rsidRPr="00B90F54" w:rsidRDefault="002868BE" w:rsidP="00B90F54">
      <w:pPr>
        <w:tabs>
          <w:tab w:val="left" w:pos="284"/>
        </w:tabs>
        <w:spacing w:line="276" w:lineRule="auto"/>
        <w:jc w:val="both"/>
        <w:rPr>
          <w:rFonts w:ascii="Times New Roman" w:hAnsi="Times New Roman" w:cs="Times New Roman"/>
          <w:sz w:val="24"/>
          <w:szCs w:val="24"/>
        </w:rPr>
      </w:pPr>
      <w:r>
        <w:rPr>
          <w:rFonts w:ascii="Times New Roman" w:hAnsi="Times New Roman" w:cs="Times New Roman"/>
          <w:sz w:val="24"/>
          <w:szCs w:val="24"/>
        </w:rPr>
        <w:t>Deși</w:t>
      </w:r>
      <w:r w:rsidRPr="00B90F54">
        <w:rPr>
          <w:rFonts w:ascii="Times New Roman" w:hAnsi="Times New Roman" w:cs="Times New Roman"/>
          <w:sz w:val="24"/>
          <w:szCs w:val="24"/>
        </w:rPr>
        <w:t xml:space="preserve"> în anii 2018-2022 DGACG a planificat și </w:t>
      </w:r>
      <w:r>
        <w:rPr>
          <w:rFonts w:ascii="Times New Roman" w:hAnsi="Times New Roman" w:cs="Times New Roman"/>
          <w:sz w:val="24"/>
          <w:szCs w:val="24"/>
        </w:rPr>
        <w:t xml:space="preserve">a </w:t>
      </w:r>
      <w:r w:rsidRPr="00B90F54">
        <w:rPr>
          <w:rFonts w:ascii="Times New Roman" w:hAnsi="Times New Roman" w:cs="Times New Roman"/>
          <w:sz w:val="24"/>
          <w:szCs w:val="24"/>
        </w:rPr>
        <w:t>executat mijloace bugetare pentru reparații</w:t>
      </w:r>
      <w:r>
        <w:rPr>
          <w:rFonts w:ascii="Times New Roman" w:hAnsi="Times New Roman" w:cs="Times New Roman"/>
          <w:sz w:val="24"/>
          <w:szCs w:val="24"/>
        </w:rPr>
        <w:t>le</w:t>
      </w:r>
      <w:r w:rsidRPr="00B90F54">
        <w:rPr>
          <w:rFonts w:ascii="Times New Roman" w:hAnsi="Times New Roman" w:cs="Times New Roman"/>
          <w:sz w:val="24"/>
          <w:szCs w:val="24"/>
        </w:rPr>
        <w:t xml:space="preserve"> capitale a 52 de obiective în sumă de 29,2 mil. lei, capitalizate la valoarea clădirilor reparate, entitatea nu a dispus de documentația de proiect, elaborată şi aprobată în corespundere cu cadrul normativ</w:t>
      </w:r>
      <w:r w:rsidRPr="00FA313C">
        <w:rPr>
          <w:rStyle w:val="a5"/>
          <w:rFonts w:ascii="Times New Roman" w:hAnsi="Times New Roman" w:cs="Times New Roman"/>
        </w:rPr>
        <w:footnoteReference w:id="53"/>
      </w:r>
      <w:r w:rsidRPr="00B90F54">
        <w:rPr>
          <w:rFonts w:ascii="Times New Roman" w:hAnsi="Times New Roman" w:cs="Times New Roman"/>
          <w:sz w:val="24"/>
          <w:szCs w:val="24"/>
        </w:rPr>
        <w:t>. Drept motiv se invocă că lucrările de reparație capitală executate, în fapt, reprezintă lucrări de reparație curentă și nu necesită a fi realizate con</w:t>
      </w:r>
      <w:r>
        <w:rPr>
          <w:rFonts w:ascii="Times New Roman" w:hAnsi="Times New Roman" w:cs="Times New Roman"/>
          <w:sz w:val="24"/>
          <w:szCs w:val="24"/>
        </w:rPr>
        <w:t xml:space="preserve">form documentației de proiect. </w:t>
      </w:r>
      <w:r w:rsidR="00BA69A9">
        <w:rPr>
          <w:rFonts w:ascii="Times New Roman" w:hAnsi="Times New Roman" w:cs="Times New Roman"/>
          <w:sz w:val="24"/>
          <w:szCs w:val="24"/>
        </w:rPr>
        <w:t xml:space="preserve"> </w:t>
      </w:r>
      <w:r w:rsidR="0070294A" w:rsidRPr="00B90F54">
        <w:rPr>
          <w:rFonts w:ascii="Times New Roman" w:hAnsi="Times New Roman" w:cs="Times New Roman"/>
          <w:sz w:val="24"/>
          <w:szCs w:val="24"/>
        </w:rPr>
        <w:t xml:space="preserve"> </w:t>
      </w:r>
    </w:p>
    <w:p w14:paraId="78759489" w14:textId="109CE6EC" w:rsidR="00DA7801" w:rsidRPr="004053CF" w:rsidRDefault="002868BE" w:rsidP="00DA7801">
      <w:pPr>
        <w:shd w:val="clear" w:color="auto" w:fill="FFFFFF"/>
        <w:spacing w:after="120" w:line="276" w:lineRule="auto"/>
        <w:jc w:val="both"/>
        <w:rPr>
          <w:rFonts w:ascii="Times New Roman" w:hAnsi="Times New Roman" w:cs="Times New Roman"/>
          <w:sz w:val="24"/>
          <w:szCs w:val="24"/>
        </w:rPr>
      </w:pPr>
      <w:r w:rsidRPr="004053CF">
        <w:rPr>
          <w:rFonts w:ascii="Times New Roman" w:eastAsia="Times New Roman" w:hAnsi="Times New Roman" w:cs="Times New Roman"/>
          <w:bCs/>
          <w:sz w:val="24"/>
          <w:szCs w:val="24"/>
        </w:rPr>
        <w:t xml:space="preserve">O altă observație de audit relevă că instituția în anii 2018-2022 a utilizat mijloace financiare pentru elaborarea unor proiecte în sumă totală de 511,7 mii lei, lucrările de reparație nefiind executate. </w:t>
      </w:r>
      <w:r>
        <w:rPr>
          <w:rFonts w:ascii="Times New Roman" w:eastAsia="Times New Roman" w:hAnsi="Times New Roman" w:cs="Times New Roman"/>
          <w:bCs/>
          <w:sz w:val="24"/>
          <w:szCs w:val="24"/>
        </w:rPr>
        <w:t>Cu toate acestea</w:t>
      </w:r>
      <w:r w:rsidRPr="004053CF">
        <w:rPr>
          <w:rFonts w:ascii="Times New Roman" w:eastAsia="Times New Roman" w:hAnsi="Times New Roman" w:cs="Times New Roman"/>
          <w:bCs/>
          <w:sz w:val="24"/>
          <w:szCs w:val="24"/>
        </w:rPr>
        <w:t xml:space="preserve">, DGACG a trecut neregulamentar la majorarea valorii de bilanț a </w:t>
      </w:r>
      <w:r w:rsidRPr="002868BE">
        <w:rPr>
          <w:rFonts w:ascii="Times New Roman" w:eastAsia="Times New Roman" w:hAnsi="Times New Roman" w:cs="Times New Roman"/>
          <w:bCs/>
          <w:sz w:val="24"/>
          <w:szCs w:val="24"/>
        </w:rPr>
        <w:t>clădirilor valoarea acestor proiecte</w:t>
      </w:r>
      <w:r w:rsidRPr="002868BE">
        <w:rPr>
          <w:rFonts w:ascii="Times New Roman" w:hAnsi="Times New Roman" w:cs="Times New Roman"/>
          <w:sz w:val="24"/>
          <w:szCs w:val="24"/>
        </w:rPr>
        <w:t>. Concomitent se constată utilizarea irațională a mijloacelor în sumă de 165,0 mii lei utilizate pentru elaborarea a trei proiecte</w:t>
      </w:r>
      <w:r w:rsidRPr="002868BE">
        <w:rPr>
          <w:rStyle w:val="a5"/>
          <w:rFonts w:ascii="Times New Roman" w:hAnsi="Times New Roman" w:cs="Times New Roman"/>
        </w:rPr>
        <w:footnoteReference w:id="54"/>
      </w:r>
      <w:r w:rsidRPr="002868BE">
        <w:rPr>
          <w:rFonts w:ascii="Times New Roman" w:hAnsi="Times New Roman" w:cs="Times New Roman"/>
          <w:sz w:val="24"/>
          <w:szCs w:val="24"/>
        </w:rPr>
        <w:t>,</w:t>
      </w:r>
      <w:r w:rsidR="00DA7801" w:rsidRPr="002868BE">
        <w:rPr>
          <w:rFonts w:ascii="Times New Roman" w:hAnsi="Times New Roman" w:cs="Times New Roman"/>
          <w:sz w:val="24"/>
          <w:szCs w:val="24"/>
        </w:rPr>
        <w:t xml:space="preserve"> </w:t>
      </w:r>
      <w:r w:rsidR="00593DA6" w:rsidRPr="002868BE">
        <w:rPr>
          <w:rFonts w:ascii="Times New Roman" w:hAnsi="Times New Roman" w:cs="Times New Roman"/>
          <w:sz w:val="24"/>
          <w:szCs w:val="24"/>
        </w:rPr>
        <w:t>o</w:t>
      </w:r>
      <w:r w:rsidR="00DA7801" w:rsidRPr="002868BE">
        <w:rPr>
          <w:rFonts w:ascii="Times New Roman" w:hAnsi="Times New Roman" w:cs="Times New Roman"/>
          <w:sz w:val="24"/>
          <w:szCs w:val="24"/>
        </w:rPr>
        <w:t>r, potrivit</w:t>
      </w:r>
      <w:r w:rsidR="00DA7801" w:rsidRPr="002868BE">
        <w:rPr>
          <w:rFonts w:ascii="Times New Roman" w:eastAsia="Times New Roman" w:hAnsi="Times New Roman" w:cs="Times New Roman"/>
          <w:bCs/>
          <w:sz w:val="24"/>
          <w:szCs w:val="24"/>
        </w:rPr>
        <w:t xml:space="preserve"> prevederile c</w:t>
      </w:r>
      <w:r w:rsidR="00DA7801" w:rsidRPr="004053CF">
        <w:rPr>
          <w:rFonts w:ascii="Times New Roman" w:eastAsia="Times New Roman" w:hAnsi="Times New Roman" w:cs="Times New Roman"/>
          <w:bCs/>
          <w:sz w:val="24"/>
          <w:szCs w:val="24"/>
        </w:rPr>
        <w:t xml:space="preserve">adrului </w:t>
      </w:r>
      <w:r w:rsidR="00593DA6">
        <w:rPr>
          <w:rFonts w:ascii="Times New Roman" w:eastAsia="Times New Roman" w:hAnsi="Times New Roman" w:cs="Times New Roman"/>
          <w:sz w:val="24"/>
          <w:szCs w:val="24"/>
        </w:rPr>
        <w:t>normativ</w:t>
      </w:r>
      <w:r w:rsidR="00DA7801" w:rsidRPr="000659CF">
        <w:rPr>
          <w:rStyle w:val="a5"/>
          <w:rFonts w:ascii="Times New Roman" w:eastAsia="Times New Roman" w:hAnsi="Times New Roman" w:cs="Times New Roman"/>
        </w:rPr>
        <w:footnoteReference w:id="55"/>
      </w:r>
      <w:r w:rsidR="00DA7801" w:rsidRPr="004053CF">
        <w:rPr>
          <w:rFonts w:ascii="Times New Roman" w:hAnsi="Times New Roman" w:cs="Times New Roman"/>
          <w:sz w:val="24"/>
          <w:szCs w:val="24"/>
        </w:rPr>
        <w:t xml:space="preserve">, intervalul de timp dintre aprobarea documentației de proiect </w:t>
      </w:r>
      <w:r w:rsidR="00803D7F" w:rsidRPr="004053CF">
        <w:rPr>
          <w:rFonts w:ascii="Times New Roman" w:hAnsi="Times New Roman" w:cs="Times New Roman"/>
          <w:sz w:val="24"/>
          <w:szCs w:val="24"/>
        </w:rPr>
        <w:t>și</w:t>
      </w:r>
      <w:r w:rsidR="00DA7801" w:rsidRPr="004053CF">
        <w:rPr>
          <w:rFonts w:ascii="Times New Roman" w:hAnsi="Times New Roman" w:cs="Times New Roman"/>
          <w:sz w:val="24"/>
          <w:szCs w:val="24"/>
        </w:rPr>
        <w:t xml:space="preserve"> începutul lucrărilor de </w:t>
      </w:r>
      <w:r w:rsidR="00803D7F" w:rsidRPr="004053CF">
        <w:rPr>
          <w:rFonts w:ascii="Times New Roman" w:hAnsi="Times New Roman" w:cs="Times New Roman"/>
          <w:sz w:val="24"/>
          <w:szCs w:val="24"/>
        </w:rPr>
        <w:t>reparații</w:t>
      </w:r>
      <w:r w:rsidR="00DA7801" w:rsidRPr="004053CF">
        <w:rPr>
          <w:rFonts w:ascii="Times New Roman" w:hAnsi="Times New Roman" w:cs="Times New Roman"/>
          <w:sz w:val="24"/>
          <w:szCs w:val="24"/>
        </w:rPr>
        <w:t xml:space="preserve"> </w:t>
      </w:r>
      <w:r w:rsidR="00803D7F" w:rsidRPr="004053CF">
        <w:rPr>
          <w:rFonts w:ascii="Times New Roman" w:hAnsi="Times New Roman" w:cs="Times New Roman"/>
          <w:sz w:val="24"/>
          <w:szCs w:val="24"/>
        </w:rPr>
        <w:t>și</w:t>
      </w:r>
      <w:r w:rsidR="00DA7801" w:rsidRPr="004053CF">
        <w:rPr>
          <w:rFonts w:ascii="Times New Roman" w:hAnsi="Times New Roman" w:cs="Times New Roman"/>
          <w:sz w:val="24"/>
          <w:szCs w:val="24"/>
        </w:rPr>
        <w:t xml:space="preserve"> </w:t>
      </w:r>
      <w:r w:rsidR="00803D7F" w:rsidRPr="004053CF">
        <w:rPr>
          <w:rFonts w:ascii="Times New Roman" w:hAnsi="Times New Roman" w:cs="Times New Roman"/>
          <w:sz w:val="24"/>
          <w:szCs w:val="24"/>
        </w:rPr>
        <w:t>construcții</w:t>
      </w:r>
      <w:r w:rsidR="00DA7801" w:rsidRPr="004053CF">
        <w:rPr>
          <w:rFonts w:ascii="Times New Roman" w:hAnsi="Times New Roman" w:cs="Times New Roman"/>
          <w:sz w:val="24"/>
          <w:szCs w:val="24"/>
        </w:rPr>
        <w:t xml:space="preserve"> nu trebuie să depășească doi ani. </w:t>
      </w:r>
    </w:p>
    <w:p w14:paraId="2E05C065" w14:textId="77777777" w:rsidR="002868BE" w:rsidRDefault="002868BE" w:rsidP="00DA7801">
      <w:pPr>
        <w:spacing w:after="120" w:line="276" w:lineRule="auto"/>
        <w:jc w:val="both"/>
        <w:rPr>
          <w:rFonts w:ascii="Times New Roman" w:hAnsi="Times New Roman" w:cs="Times New Roman"/>
          <w:sz w:val="24"/>
          <w:szCs w:val="24"/>
        </w:rPr>
      </w:pPr>
      <w:r w:rsidRPr="004053CF">
        <w:rPr>
          <w:rFonts w:ascii="Times New Roman" w:hAnsi="Times New Roman" w:cs="Times New Roman"/>
          <w:sz w:val="24"/>
          <w:szCs w:val="24"/>
        </w:rPr>
        <w:t>O situație deficitară se constată la utilizarea în anul 2022 a mijloacelor în sumă de 277,5 mii lei pentru elaborarea proiectului aferent reconstrucției clădirii administrative</w:t>
      </w:r>
      <w:r>
        <w:rPr>
          <w:rFonts w:ascii="Times New Roman" w:hAnsi="Times New Roman" w:cs="Times New Roman"/>
          <w:sz w:val="24"/>
          <w:szCs w:val="24"/>
        </w:rPr>
        <w:t xml:space="preserve"> din</w:t>
      </w:r>
      <w:r w:rsidRPr="004053CF">
        <w:rPr>
          <w:rFonts w:ascii="Times New Roman" w:hAnsi="Times New Roman" w:cs="Times New Roman"/>
          <w:sz w:val="24"/>
          <w:szCs w:val="24"/>
        </w:rPr>
        <w:t xml:space="preserve"> str. Vlaicu Pârcălab nr. 45, mun. Chișinău. Până la finisarea auditului</w:t>
      </w:r>
      <w:r>
        <w:rPr>
          <w:rFonts w:ascii="Times New Roman" w:hAnsi="Times New Roman" w:cs="Times New Roman"/>
          <w:sz w:val="24"/>
          <w:szCs w:val="24"/>
        </w:rPr>
        <w:t xml:space="preserve">, mijloacele </w:t>
      </w:r>
      <w:r w:rsidRPr="004053CF">
        <w:rPr>
          <w:rFonts w:ascii="Times New Roman" w:hAnsi="Times New Roman" w:cs="Times New Roman"/>
          <w:sz w:val="24"/>
          <w:szCs w:val="24"/>
        </w:rPr>
        <w:t xml:space="preserve">planificate în valoare de 30,0 mil. lei </w:t>
      </w:r>
      <w:r>
        <w:rPr>
          <w:rFonts w:ascii="Times New Roman" w:hAnsi="Times New Roman" w:cs="Times New Roman"/>
          <w:sz w:val="24"/>
          <w:szCs w:val="24"/>
        </w:rPr>
        <w:t xml:space="preserve">pentru </w:t>
      </w:r>
      <w:r w:rsidRPr="004053CF">
        <w:rPr>
          <w:rFonts w:ascii="Times New Roman" w:hAnsi="Times New Roman" w:cs="Times New Roman"/>
          <w:sz w:val="24"/>
          <w:szCs w:val="24"/>
        </w:rPr>
        <w:t>lucrările de reparație n</w:t>
      </w:r>
      <w:r>
        <w:rPr>
          <w:rFonts w:ascii="Times New Roman" w:hAnsi="Times New Roman" w:cs="Times New Roman"/>
          <w:sz w:val="24"/>
          <w:szCs w:val="24"/>
        </w:rPr>
        <w:t xml:space="preserve">u </w:t>
      </w:r>
      <w:r w:rsidRPr="004053CF">
        <w:rPr>
          <w:rFonts w:ascii="Times New Roman" w:hAnsi="Times New Roman" w:cs="Times New Roman"/>
          <w:sz w:val="24"/>
          <w:szCs w:val="24"/>
        </w:rPr>
        <w:t xml:space="preserve">au fost valorificate, </w:t>
      </w:r>
      <w:r>
        <w:rPr>
          <w:rFonts w:ascii="Times New Roman" w:hAnsi="Times New Roman" w:cs="Times New Roman"/>
          <w:sz w:val="24"/>
          <w:szCs w:val="24"/>
        </w:rPr>
        <w:t xml:space="preserve">ca </w:t>
      </w:r>
      <w:r w:rsidRPr="004053CF">
        <w:rPr>
          <w:rFonts w:ascii="Times New Roman" w:hAnsi="Times New Roman" w:cs="Times New Roman"/>
          <w:sz w:val="24"/>
          <w:szCs w:val="24"/>
        </w:rPr>
        <w:t xml:space="preserve">urmare </w:t>
      </w:r>
      <w:r>
        <w:rPr>
          <w:rFonts w:ascii="Times New Roman" w:hAnsi="Times New Roman" w:cs="Times New Roman"/>
          <w:sz w:val="24"/>
          <w:szCs w:val="24"/>
        </w:rPr>
        <w:t xml:space="preserve">a </w:t>
      </w:r>
      <w:r w:rsidRPr="004053CF">
        <w:rPr>
          <w:rFonts w:ascii="Times New Roman" w:hAnsi="Times New Roman" w:cs="Times New Roman"/>
          <w:sz w:val="24"/>
          <w:szCs w:val="24"/>
        </w:rPr>
        <w:t>disputelor existente între DGACG cu un agent economic care utilizează o suprafață din această clădire, potrivit contractului de locațiune</w:t>
      </w:r>
      <w:r>
        <w:rPr>
          <w:rStyle w:val="a5"/>
          <w:rFonts w:ascii="Times New Roman" w:hAnsi="Times New Roman" w:cs="Times New Roman"/>
        </w:rPr>
        <w:footnoteReference w:id="56"/>
      </w:r>
      <w:r w:rsidRPr="004053CF">
        <w:rPr>
          <w:rFonts w:ascii="Times New Roman" w:hAnsi="Times New Roman" w:cs="Times New Roman"/>
          <w:sz w:val="24"/>
          <w:szCs w:val="24"/>
        </w:rPr>
        <w:t xml:space="preserve"> valabil până la finele anului 2025. Cele menționate creează riscuri privind nerealizarea acestui proiect și</w:t>
      </w:r>
      <w:r>
        <w:rPr>
          <w:rFonts w:ascii="Times New Roman" w:hAnsi="Times New Roman" w:cs="Times New Roman"/>
          <w:sz w:val="24"/>
          <w:szCs w:val="24"/>
        </w:rPr>
        <w:t>,</w:t>
      </w:r>
      <w:r w:rsidRPr="004053CF">
        <w:rPr>
          <w:rFonts w:ascii="Times New Roman" w:hAnsi="Times New Roman" w:cs="Times New Roman"/>
          <w:sz w:val="24"/>
          <w:szCs w:val="24"/>
        </w:rPr>
        <w:t xml:space="preserve"> respectiv</w:t>
      </w:r>
      <w:r>
        <w:rPr>
          <w:rFonts w:ascii="Times New Roman" w:hAnsi="Times New Roman" w:cs="Times New Roman"/>
          <w:sz w:val="24"/>
          <w:szCs w:val="24"/>
        </w:rPr>
        <w:t>,</w:t>
      </w:r>
      <w:r w:rsidRPr="004053CF">
        <w:rPr>
          <w:rFonts w:ascii="Times New Roman" w:hAnsi="Times New Roman" w:cs="Times New Roman"/>
          <w:sz w:val="24"/>
          <w:szCs w:val="24"/>
        </w:rPr>
        <w:t xml:space="preserve"> conduce la utilizarea irațională a mijloacelor de către DGACG pentru elaborarea documentației de proiect</w:t>
      </w:r>
      <w:r>
        <w:rPr>
          <w:rFonts w:ascii="Times New Roman" w:hAnsi="Times New Roman" w:cs="Times New Roman"/>
          <w:sz w:val="24"/>
          <w:szCs w:val="24"/>
        </w:rPr>
        <w:t xml:space="preserve"> în sumă de 277,5 mii lei.</w:t>
      </w:r>
    </w:p>
    <w:p w14:paraId="3D479511" w14:textId="716D6936" w:rsidR="00DA7801" w:rsidRPr="004053CF" w:rsidRDefault="002868BE" w:rsidP="00DA7801">
      <w:pPr>
        <w:spacing w:after="120" w:line="276" w:lineRule="auto"/>
        <w:jc w:val="both"/>
        <w:rPr>
          <w:rFonts w:ascii="Times New Roman" w:eastAsia="Times New Roman" w:hAnsi="Times New Roman" w:cs="Times New Roman"/>
          <w:bCs/>
          <w:sz w:val="24"/>
          <w:szCs w:val="24"/>
        </w:rPr>
      </w:pPr>
      <w:r w:rsidRPr="004053CF">
        <w:rPr>
          <w:rFonts w:ascii="Times New Roman" w:hAnsi="Times New Roman" w:cs="Times New Roman"/>
          <w:sz w:val="24"/>
          <w:szCs w:val="24"/>
        </w:rPr>
        <w:t xml:space="preserve">Auditul atestă cazuri de </w:t>
      </w:r>
      <w:r w:rsidRPr="004053CF">
        <w:rPr>
          <w:rFonts w:ascii="Times New Roman" w:eastAsia="Times New Roman" w:hAnsi="Times New Roman" w:cs="Times New Roman"/>
          <w:sz w:val="24"/>
          <w:szCs w:val="24"/>
        </w:rPr>
        <w:t>modificare neconformă</w:t>
      </w:r>
      <w:r w:rsidRPr="004066BA">
        <w:rPr>
          <w:vertAlign w:val="superscript"/>
        </w:rPr>
        <w:footnoteReference w:id="57"/>
      </w:r>
      <w:r w:rsidRPr="004053CF">
        <w:rPr>
          <w:rFonts w:ascii="Times New Roman" w:eastAsia="Times New Roman" w:hAnsi="Times New Roman" w:cs="Times New Roman"/>
          <w:sz w:val="24"/>
          <w:szCs w:val="24"/>
        </w:rPr>
        <w:t xml:space="preserve"> a devizului de cheltuieli </w:t>
      </w:r>
      <w:r w:rsidRPr="004053CF">
        <w:rPr>
          <w:rFonts w:ascii="Times New Roman" w:eastAsia="Times New Roman" w:hAnsi="Times New Roman" w:cs="Times New Roman"/>
          <w:bCs/>
          <w:sz w:val="24"/>
          <w:szCs w:val="24"/>
        </w:rPr>
        <w:t xml:space="preserve">prin substituirea unor lucrări cu altele </w:t>
      </w:r>
      <w:r w:rsidRPr="004053CF">
        <w:rPr>
          <w:rFonts w:ascii="Times New Roman" w:eastAsia="Times New Roman" w:hAnsi="Times New Roman" w:cs="Times New Roman"/>
          <w:sz w:val="24"/>
          <w:szCs w:val="24"/>
        </w:rPr>
        <w:t>în lipsa acordului adițional la contract și a deciziei Grupului de lucru pentru achiziții</w:t>
      </w:r>
      <w:r w:rsidRPr="004053CF">
        <w:rPr>
          <w:rFonts w:ascii="Times New Roman" w:eastAsia="Times New Roman" w:hAnsi="Times New Roman" w:cs="Times New Roman"/>
          <w:bCs/>
          <w:sz w:val="24"/>
          <w:szCs w:val="24"/>
        </w:rPr>
        <w:t xml:space="preserve">. Astfel, exemplificăm situația constatată în anul 2022 privind încheierea de către DGACG cu un agent economic </w:t>
      </w:r>
      <w:r>
        <w:rPr>
          <w:rFonts w:ascii="Times New Roman" w:eastAsia="Times New Roman" w:hAnsi="Times New Roman" w:cs="Times New Roman"/>
          <w:bCs/>
          <w:sz w:val="24"/>
          <w:szCs w:val="24"/>
        </w:rPr>
        <w:t xml:space="preserve">a </w:t>
      </w:r>
      <w:r w:rsidRPr="004053CF">
        <w:rPr>
          <w:rFonts w:ascii="Times New Roman" w:eastAsia="Times New Roman" w:hAnsi="Times New Roman" w:cs="Times New Roman"/>
          <w:bCs/>
          <w:sz w:val="24"/>
          <w:szCs w:val="24"/>
        </w:rPr>
        <w:t>un</w:t>
      </w:r>
      <w:r>
        <w:rPr>
          <w:rFonts w:ascii="Times New Roman" w:eastAsia="Times New Roman" w:hAnsi="Times New Roman" w:cs="Times New Roman"/>
          <w:bCs/>
          <w:sz w:val="24"/>
          <w:szCs w:val="24"/>
        </w:rPr>
        <w:t>ui</w:t>
      </w:r>
      <w:r w:rsidRPr="004053CF">
        <w:rPr>
          <w:rFonts w:ascii="Times New Roman" w:eastAsia="Times New Roman" w:hAnsi="Times New Roman" w:cs="Times New Roman"/>
          <w:bCs/>
          <w:sz w:val="24"/>
          <w:szCs w:val="24"/>
        </w:rPr>
        <w:t xml:space="preserve"> contract de antrepriză</w:t>
      </w:r>
      <w:r>
        <w:rPr>
          <w:rStyle w:val="a5"/>
          <w:rFonts w:ascii="Times New Roman" w:eastAsia="Times New Roman" w:hAnsi="Times New Roman" w:cs="Times New Roman"/>
          <w:bCs/>
        </w:rPr>
        <w:footnoteReference w:id="58"/>
      </w:r>
      <w:r w:rsidRPr="004053CF">
        <w:rPr>
          <w:rFonts w:ascii="Times New Roman" w:eastAsia="Times New Roman" w:hAnsi="Times New Roman" w:cs="Times New Roman"/>
          <w:bCs/>
          <w:sz w:val="24"/>
          <w:szCs w:val="24"/>
        </w:rPr>
        <w:t xml:space="preserve"> privind reparația unor suprafețe din clădirea administrativă din bd. Ștefan cel Mare </w:t>
      </w:r>
      <w:r>
        <w:rPr>
          <w:rFonts w:ascii="Times New Roman" w:eastAsia="Times New Roman" w:hAnsi="Times New Roman" w:cs="Times New Roman"/>
          <w:bCs/>
          <w:sz w:val="24"/>
          <w:szCs w:val="24"/>
        </w:rPr>
        <w:t xml:space="preserve">și Sfânt </w:t>
      </w:r>
      <w:r w:rsidRPr="004053CF">
        <w:rPr>
          <w:rFonts w:ascii="Times New Roman" w:eastAsia="Times New Roman" w:hAnsi="Times New Roman" w:cs="Times New Roman"/>
          <w:bCs/>
          <w:sz w:val="24"/>
          <w:szCs w:val="24"/>
        </w:rPr>
        <w:t xml:space="preserve">nr. 180, devizul-ofertă fiind de 920,0 mii lei. De facto, pe parcursul perioadei de executare a lucrărilor, devizul-ofertă a fost modificat prin </w:t>
      </w:r>
      <w:r w:rsidRPr="004053CF">
        <w:rPr>
          <w:rFonts w:ascii="Times New Roman" w:eastAsia="Times New Roman" w:hAnsi="Times New Roman" w:cs="Times New Roman"/>
          <w:sz w:val="24"/>
          <w:szCs w:val="24"/>
        </w:rPr>
        <w:t xml:space="preserve">substituirea unor tipuri de lucrări </w:t>
      </w:r>
      <w:r w:rsidRPr="00AF5118">
        <w:rPr>
          <w:rFonts w:ascii="Times New Roman" w:eastAsia="Times New Roman" w:hAnsi="Times New Roman" w:cs="Times New Roman"/>
          <w:sz w:val="24"/>
          <w:szCs w:val="24"/>
        </w:rPr>
        <w:t>prin altele,</w:t>
      </w:r>
      <w:r w:rsidRPr="004053CF">
        <w:rPr>
          <w:rFonts w:ascii="Times New Roman" w:eastAsia="Times New Roman" w:hAnsi="Times New Roman" w:cs="Times New Roman"/>
          <w:bCs/>
          <w:sz w:val="24"/>
          <w:szCs w:val="24"/>
        </w:rPr>
        <w:t xml:space="preserve"> în sumă totală  de 482,3 mii lei, sau acesta fiind modificat în p</w:t>
      </w:r>
      <w:r w:rsidR="00820DC5">
        <w:rPr>
          <w:rFonts w:ascii="Times New Roman" w:eastAsia="Times New Roman" w:hAnsi="Times New Roman" w:cs="Times New Roman"/>
          <w:bCs/>
          <w:sz w:val="24"/>
          <w:szCs w:val="24"/>
        </w:rPr>
        <w:t>roporție de 52,4%. Acest fapt</w:t>
      </w:r>
      <w:r w:rsidRPr="004053CF">
        <w:rPr>
          <w:rFonts w:ascii="Times New Roman" w:eastAsia="Times New Roman" w:hAnsi="Times New Roman" w:cs="Times New Roman"/>
          <w:bCs/>
          <w:sz w:val="24"/>
          <w:szCs w:val="24"/>
        </w:rPr>
        <w:t xml:space="preserve"> contravine prevederilor Legii privind achizițiile publice</w:t>
      </w:r>
      <w:r w:rsidRPr="004066BA">
        <w:rPr>
          <w:rStyle w:val="a5"/>
          <w:rFonts w:ascii="Times New Roman" w:eastAsia="Times New Roman" w:hAnsi="Times New Roman" w:cs="Times New Roman"/>
          <w:bCs/>
        </w:rPr>
        <w:footnoteReference w:id="59"/>
      </w:r>
      <w:r w:rsidRPr="004053CF">
        <w:rPr>
          <w:rFonts w:ascii="Times New Roman" w:eastAsia="Times New Roman" w:hAnsi="Times New Roman" w:cs="Times New Roman"/>
          <w:bCs/>
          <w:sz w:val="24"/>
          <w:szCs w:val="24"/>
        </w:rPr>
        <w:t xml:space="preserve">, care statuează că </w:t>
      </w:r>
      <w:r w:rsidRPr="004053CF">
        <w:rPr>
          <w:rFonts w:ascii="Times New Roman" w:hAnsi="Times New Roman" w:cs="Times New Roman"/>
          <w:sz w:val="24"/>
          <w:szCs w:val="24"/>
        </w:rPr>
        <w:t>contractele de achiziții publice/acordurile-cadru pot fi modificate atunci când modificările, indiferent de valoarea lor, nu s</w:t>
      </w:r>
      <w:r>
        <w:rPr>
          <w:rFonts w:ascii="Times New Roman" w:hAnsi="Times New Roman" w:cs="Times New Roman"/>
          <w:sz w:val="24"/>
          <w:szCs w:val="24"/>
        </w:rPr>
        <w:t>u</w:t>
      </w:r>
      <w:r w:rsidRPr="004053CF">
        <w:rPr>
          <w:rFonts w:ascii="Times New Roman" w:hAnsi="Times New Roman" w:cs="Times New Roman"/>
          <w:sz w:val="24"/>
          <w:szCs w:val="24"/>
        </w:rPr>
        <w:t>nt substanțiale.</w:t>
      </w:r>
    </w:p>
    <w:p w14:paraId="421EC245" w14:textId="77777777" w:rsidR="002868BE" w:rsidRPr="00F45A00" w:rsidRDefault="002868BE" w:rsidP="002868BE">
      <w:pPr>
        <w:pStyle w:val="a7"/>
        <w:numPr>
          <w:ilvl w:val="0"/>
          <w:numId w:val="29"/>
        </w:numPr>
        <w:tabs>
          <w:tab w:val="left" w:pos="284"/>
        </w:tabs>
        <w:spacing w:after="120"/>
        <w:ind w:left="0" w:firstLine="0"/>
        <w:contextualSpacing w:val="0"/>
        <w:jc w:val="both"/>
        <w:rPr>
          <w:rFonts w:ascii="Times New Roman" w:hAnsi="Times New Roman" w:cs="Times New Roman"/>
          <w:color w:val="000000" w:themeColor="text1"/>
          <w:sz w:val="24"/>
        </w:rPr>
      </w:pPr>
      <w:r w:rsidRPr="00F45A00">
        <w:rPr>
          <w:rFonts w:ascii="Times New Roman" w:hAnsi="Times New Roman" w:cs="Times New Roman"/>
          <w:b/>
          <w:i/>
          <w:sz w:val="24"/>
          <w:szCs w:val="24"/>
          <w:lang w:val="ro-RO"/>
        </w:rPr>
        <w:t>Se</w:t>
      </w:r>
      <w:r w:rsidRPr="00F45A00">
        <w:rPr>
          <w:rFonts w:ascii="Times New Roman" w:hAnsi="Times New Roman" w:cs="Times New Roman"/>
          <w:b/>
          <w:i/>
          <w:sz w:val="24"/>
          <w:szCs w:val="24"/>
        </w:rPr>
        <w:t xml:space="preserve"> atestă unele neconformități la valorificarea mijloacelor bugetare admise de către I.P. „Baza Auto</w:t>
      </w:r>
      <w:r>
        <w:rPr>
          <w:rFonts w:ascii="Times New Roman" w:hAnsi="Times New Roman" w:cs="Times New Roman"/>
          <w:b/>
          <w:i/>
          <w:sz w:val="24"/>
          <w:szCs w:val="24"/>
        </w:rPr>
        <w:t xml:space="preserve"> a Cancelariei de Stat</w:t>
      </w:r>
      <w:r w:rsidRPr="00F45A00">
        <w:rPr>
          <w:rFonts w:ascii="Times New Roman" w:hAnsi="Times New Roman" w:cs="Times New Roman"/>
          <w:b/>
          <w:i/>
          <w:sz w:val="24"/>
          <w:szCs w:val="24"/>
        </w:rPr>
        <w:t>”</w:t>
      </w:r>
      <w:r>
        <w:rPr>
          <w:rFonts w:ascii="Times New Roman" w:hAnsi="Times New Roman" w:cs="Times New Roman"/>
          <w:b/>
          <w:i/>
          <w:sz w:val="24"/>
          <w:szCs w:val="24"/>
        </w:rPr>
        <w:t>.</w:t>
      </w:r>
      <w:r w:rsidRPr="00F45A00">
        <w:rPr>
          <w:rFonts w:ascii="Times New Roman" w:hAnsi="Times New Roman" w:cs="Times New Roman"/>
          <w:b/>
          <w:i/>
          <w:sz w:val="24"/>
          <w:szCs w:val="24"/>
        </w:rPr>
        <w:t xml:space="preserve"> </w:t>
      </w:r>
      <w:r w:rsidRPr="00F45A00">
        <w:rPr>
          <w:rFonts w:ascii="Times New Roman" w:hAnsi="Times New Roman" w:cs="Times New Roman"/>
          <w:color w:val="000000" w:themeColor="text1"/>
          <w:sz w:val="24"/>
        </w:rPr>
        <w:t xml:space="preserve"> </w:t>
      </w:r>
    </w:p>
    <w:p w14:paraId="58C52438" w14:textId="1CF2F3B0" w:rsidR="00DA7801" w:rsidRPr="003B329E" w:rsidRDefault="002868BE" w:rsidP="00DA7801">
      <w:pPr>
        <w:pStyle w:val="a7"/>
        <w:spacing w:after="120" w:line="276" w:lineRule="auto"/>
        <w:ind w:left="0"/>
        <w:contextualSpacing w:val="0"/>
        <w:jc w:val="both"/>
        <w:rPr>
          <w:rFonts w:ascii="Times New Roman" w:hAnsi="Times New Roman" w:cs="Times New Roman"/>
          <w:color w:val="000000" w:themeColor="text1"/>
          <w:sz w:val="24"/>
        </w:rPr>
      </w:pPr>
      <w:r w:rsidRPr="003B329E">
        <w:rPr>
          <w:rFonts w:ascii="Times New Roman" w:hAnsi="Times New Roman" w:cs="Times New Roman"/>
          <w:color w:val="000000" w:themeColor="text1"/>
          <w:sz w:val="24"/>
        </w:rPr>
        <w:t xml:space="preserve">Auditul relevă că, potrivit Politicii de contabilitate, aprobate de către BA a CS, normele de consum de combustibil pentru mijloacele de transport din gestiune sunt stabilite în conformitate cu Ordinul </w:t>
      </w:r>
      <w:r w:rsidRPr="003B329E">
        <w:rPr>
          <w:rFonts w:ascii="Times New Roman" w:hAnsi="Times New Roman" w:cs="Times New Roman"/>
          <w:color w:val="000000" w:themeColor="text1"/>
          <w:sz w:val="24"/>
          <w:szCs w:val="24"/>
        </w:rPr>
        <w:t>MTID nr. 172 din 09.12.2005</w:t>
      </w:r>
      <w:r w:rsidRPr="003B329E">
        <w:rPr>
          <w:rStyle w:val="a5"/>
          <w:rFonts w:ascii="Times New Roman" w:hAnsi="Times New Roman" w:cs="Times New Roman"/>
          <w:color w:val="000000" w:themeColor="text1"/>
          <w:sz w:val="24"/>
        </w:rPr>
        <w:footnoteReference w:id="60"/>
      </w:r>
      <w:r w:rsidRPr="003B329E">
        <w:rPr>
          <w:rFonts w:ascii="Times New Roman" w:hAnsi="Times New Roman" w:cs="Times New Roman"/>
          <w:color w:val="000000" w:themeColor="text1"/>
          <w:sz w:val="24"/>
        </w:rPr>
        <w:t xml:space="preserve"> și </w:t>
      </w:r>
      <w:r>
        <w:rPr>
          <w:rFonts w:ascii="Times New Roman" w:hAnsi="Times New Roman" w:cs="Times New Roman"/>
          <w:color w:val="000000" w:themeColor="text1"/>
          <w:sz w:val="24"/>
        </w:rPr>
        <w:t xml:space="preserve">cu </w:t>
      </w:r>
      <w:r w:rsidRPr="003B329E">
        <w:rPr>
          <w:rFonts w:ascii="Times New Roman" w:hAnsi="Times New Roman" w:cs="Times New Roman"/>
          <w:color w:val="000000" w:themeColor="text1"/>
          <w:sz w:val="24"/>
        </w:rPr>
        <w:t>ordinele interne aprobate de către conducătorul instituției. Astfel, instituția stabilește</w:t>
      </w:r>
      <w:r w:rsidRPr="003B329E">
        <w:rPr>
          <w:rStyle w:val="a5"/>
          <w:rFonts w:ascii="Times New Roman" w:hAnsi="Times New Roman" w:cs="Times New Roman"/>
          <w:color w:val="000000" w:themeColor="text1"/>
          <w:sz w:val="24"/>
        </w:rPr>
        <w:footnoteReference w:id="61"/>
      </w:r>
      <w:r w:rsidRPr="003B329E">
        <w:rPr>
          <w:rFonts w:ascii="Times New Roman" w:hAnsi="Times New Roman" w:cs="Times New Roman"/>
          <w:color w:val="000000" w:themeColor="text1"/>
          <w:sz w:val="24"/>
        </w:rPr>
        <w:t xml:space="preserve"> normele de consum de combustibil prin metoda ajustării normei de bază de consum a modelului/mărcii respective de autoturism cu aplicarea coeficienților de rectificare în conformitate cu activitatea și condițiile de exploatare ale acestuia. Totodată, în unele cazuri stabilirea normei consumului de combustibil se efectuează prin verificarea consumului real de combustibil, rezultatele fiind consemnate printr-un act de către Comisia</w:t>
      </w:r>
      <w:r w:rsidRPr="003B329E">
        <w:rPr>
          <w:rFonts w:ascii="Times New Roman" w:hAnsi="Times New Roman" w:cs="Times New Roman"/>
        </w:rPr>
        <w:t xml:space="preserve"> </w:t>
      </w:r>
      <w:r w:rsidRPr="003B329E">
        <w:rPr>
          <w:rFonts w:ascii="Times New Roman" w:hAnsi="Times New Roman" w:cs="Times New Roman"/>
          <w:sz w:val="24"/>
        </w:rPr>
        <w:t>de stabilire a consumului real de combustibil.</w:t>
      </w:r>
    </w:p>
    <w:p w14:paraId="51FF915F" w14:textId="77777777" w:rsidR="002868BE" w:rsidRPr="002868BE" w:rsidRDefault="002868BE" w:rsidP="002868BE">
      <w:pPr>
        <w:spacing w:after="120" w:line="276" w:lineRule="auto"/>
        <w:jc w:val="both"/>
        <w:rPr>
          <w:rFonts w:ascii="Times New Roman" w:hAnsi="Times New Roman" w:cs="Times New Roman"/>
          <w:color w:val="000000" w:themeColor="text1"/>
          <w:sz w:val="24"/>
        </w:rPr>
      </w:pPr>
      <w:r w:rsidRPr="002868BE">
        <w:rPr>
          <w:rFonts w:ascii="Times New Roman" w:hAnsi="Times New Roman" w:cs="Times New Roman"/>
          <w:color w:val="000000" w:themeColor="text1"/>
          <w:sz w:val="24"/>
        </w:rPr>
        <w:t xml:space="preserve">Ca urmare a verificărilor efectuate, auditul a identificat </w:t>
      </w:r>
      <w:r w:rsidRPr="002868BE">
        <w:rPr>
          <w:rFonts w:ascii="Times New Roman" w:hAnsi="Times New Roman" w:cs="Times New Roman"/>
          <w:sz w:val="24"/>
          <w:szCs w:val="24"/>
        </w:rPr>
        <w:t>norme neconforme pentru autovehiculele gestionate, care au determinat majorarea cheltuielilor privind utilizarea combustibilului, carburanților și lubrifianților. Auditul atestă că, în urma verificării normelor privind consumul de combustibil la 55 de mijloace de transport</w:t>
      </w:r>
      <w:r w:rsidRPr="002868BE">
        <w:rPr>
          <w:rFonts w:ascii="Times New Roman" w:hAnsi="Times New Roman" w:cs="Times New Roman"/>
          <w:sz w:val="24"/>
          <w:szCs w:val="24"/>
          <w:vertAlign w:val="superscript"/>
        </w:rPr>
        <w:footnoteReference w:id="62"/>
      </w:r>
      <w:r w:rsidRPr="002868BE">
        <w:rPr>
          <w:rFonts w:ascii="Times New Roman" w:hAnsi="Times New Roman" w:cs="Times New Roman"/>
          <w:sz w:val="24"/>
          <w:szCs w:val="24"/>
        </w:rPr>
        <w:t>, au fost identificate multiple nereguli (la un mijloc de transport există 2-3 nereguli), per total cheltuielile neconforme constituind suma de 389,6 mii lei. Cele menționate au fost determinate atât de lipsa unui act intern de</w:t>
      </w:r>
      <w:r w:rsidRPr="002868BE">
        <w:rPr>
          <w:rFonts w:ascii="Times New Roman" w:hAnsi="Times New Roman" w:cs="Times New Roman"/>
          <w:color w:val="000000" w:themeColor="text1"/>
          <w:sz w:val="24"/>
        </w:rPr>
        <w:t xml:space="preserve"> reglementare privind procedurile și metodologia de stabilire a normelor de consum, cât și de nerespectarea </w:t>
      </w:r>
      <w:r w:rsidRPr="002868BE">
        <w:rPr>
          <w:rFonts w:ascii="Times New Roman" w:hAnsi="Times New Roman" w:cs="Times New Roman"/>
          <w:sz w:val="24"/>
          <w:szCs w:val="24"/>
        </w:rPr>
        <w:t>prevederilor cadrului normativ aplicat de entitate. În sensul celor relatate supra, se menționează următoarele nereguli:</w:t>
      </w:r>
    </w:p>
    <w:p w14:paraId="5478C872" w14:textId="126CA151" w:rsidR="002868BE" w:rsidRPr="002868BE" w:rsidRDefault="002868BE" w:rsidP="002868BE">
      <w:pPr>
        <w:numPr>
          <w:ilvl w:val="0"/>
          <w:numId w:val="22"/>
        </w:numPr>
        <w:spacing w:after="0" w:line="276" w:lineRule="auto"/>
        <w:contextualSpacing/>
        <w:jc w:val="both"/>
        <w:rPr>
          <w:rFonts w:ascii="Times New Roman" w:hAnsi="Times New Roman" w:cs="Times New Roman"/>
          <w:color w:val="000000" w:themeColor="text1"/>
          <w:sz w:val="24"/>
        </w:rPr>
      </w:pPr>
      <w:r w:rsidRPr="002868BE">
        <w:rPr>
          <w:rFonts w:ascii="Times New Roman" w:hAnsi="Times New Roman" w:cs="Times New Roman"/>
          <w:color w:val="000000" w:themeColor="text1"/>
          <w:sz w:val="24"/>
        </w:rPr>
        <w:t xml:space="preserve">contrar cadrului normativ </w:t>
      </w:r>
      <w:r w:rsidR="00820DC5">
        <w:rPr>
          <w:rFonts w:ascii="Times New Roman" w:hAnsi="Times New Roman" w:cs="Times New Roman"/>
          <w:color w:val="000000" w:themeColor="text1"/>
          <w:sz w:val="24"/>
        </w:rPr>
        <w:t>c</w:t>
      </w:r>
      <w:r w:rsidRPr="002868BE">
        <w:rPr>
          <w:rFonts w:ascii="Times New Roman" w:hAnsi="Times New Roman" w:cs="Times New Roman"/>
          <w:color w:val="000000" w:themeColor="text1"/>
          <w:sz w:val="24"/>
        </w:rPr>
        <w:t xml:space="preserve">are prevedea că entitatea urmează să utilizeze norma de consum mixtă a carburanților, în fapt BA a CS a aplicat normele de consum urban și extra-urban, prezentate de către importatorii autorizați în calitate de valoare de referință la calcularea și stabilirea normelor de consum de combustibil pentru 10 cazuri din cele verificate; </w:t>
      </w:r>
    </w:p>
    <w:p w14:paraId="38AE9C93" w14:textId="77777777" w:rsidR="002868BE" w:rsidRPr="002868BE" w:rsidRDefault="002868BE" w:rsidP="002868BE">
      <w:pPr>
        <w:numPr>
          <w:ilvl w:val="0"/>
          <w:numId w:val="22"/>
        </w:numPr>
        <w:spacing w:after="0" w:line="276" w:lineRule="auto"/>
        <w:contextualSpacing/>
        <w:jc w:val="both"/>
        <w:rPr>
          <w:rFonts w:ascii="Times New Roman" w:hAnsi="Times New Roman" w:cs="Times New Roman"/>
          <w:color w:val="000000" w:themeColor="text1"/>
          <w:sz w:val="24"/>
        </w:rPr>
      </w:pPr>
      <w:r w:rsidRPr="002868BE">
        <w:rPr>
          <w:rFonts w:ascii="Times New Roman" w:hAnsi="Times New Roman" w:cs="Times New Roman"/>
          <w:color w:val="000000" w:themeColor="text1"/>
          <w:sz w:val="24"/>
        </w:rPr>
        <w:t>aplicarea coeficientului pentru funcționarea transportului pe timp de iarnă, ce constituie 10% din valoarea consumului mixt, la stabilirea normei de consum pentru funcționarea pe timp de vară pentru 3 mijloace de transport;</w:t>
      </w:r>
    </w:p>
    <w:p w14:paraId="1DB9811B" w14:textId="77777777" w:rsidR="002868BE" w:rsidRPr="002868BE" w:rsidRDefault="002868BE" w:rsidP="002868BE">
      <w:pPr>
        <w:numPr>
          <w:ilvl w:val="0"/>
          <w:numId w:val="22"/>
        </w:numPr>
        <w:spacing w:after="0" w:line="276" w:lineRule="auto"/>
        <w:ind w:left="714" w:hanging="357"/>
        <w:jc w:val="both"/>
        <w:rPr>
          <w:rFonts w:ascii="Times New Roman" w:hAnsi="Times New Roman" w:cs="Times New Roman"/>
          <w:color w:val="000000" w:themeColor="text1"/>
          <w:sz w:val="24"/>
        </w:rPr>
      </w:pPr>
      <w:r w:rsidRPr="002868BE">
        <w:rPr>
          <w:rFonts w:ascii="Times New Roman" w:hAnsi="Times New Roman" w:cs="Times New Roman"/>
          <w:color w:val="000000" w:themeColor="text1"/>
          <w:sz w:val="24"/>
        </w:rPr>
        <w:t>aplicarea coeficientului pentru exploatarea transportului auto în zona urbană în valoare de 15% din norma consumului mixt (mun. Chișinău) la stabilirea normei de consum pentru exploatarea transportului auto în zona extra-urbană pentru 18 cazuri;</w:t>
      </w:r>
    </w:p>
    <w:p w14:paraId="709AAA25" w14:textId="77777777" w:rsidR="002868BE" w:rsidRPr="002868BE" w:rsidRDefault="002868BE" w:rsidP="002868BE">
      <w:pPr>
        <w:numPr>
          <w:ilvl w:val="0"/>
          <w:numId w:val="21"/>
        </w:numPr>
        <w:spacing w:after="120" w:line="276" w:lineRule="auto"/>
        <w:ind w:right="58"/>
        <w:jc w:val="both"/>
        <w:rPr>
          <w:rFonts w:ascii="Times New Roman" w:eastAsia="Times New Roman" w:hAnsi="Times New Roman" w:cs="Times New Roman"/>
          <w:color w:val="333333"/>
          <w:sz w:val="24"/>
          <w:szCs w:val="24"/>
          <w:shd w:val="clear" w:color="auto" w:fill="FFFFFF"/>
        </w:rPr>
      </w:pPr>
      <w:r w:rsidRPr="002868BE">
        <w:rPr>
          <w:rFonts w:ascii="Times New Roman" w:hAnsi="Times New Roman" w:cs="Times New Roman"/>
          <w:color w:val="000000" w:themeColor="text1"/>
          <w:sz w:val="24"/>
        </w:rPr>
        <w:t xml:space="preserve">stabilirea incorectă a normei consumului de combustibil pentru utilizarea </w:t>
      </w:r>
      <w:r w:rsidRPr="002868BE">
        <w:rPr>
          <w:rFonts w:ascii="Times New Roman" w:hAnsi="Times New Roman" w:cs="Times New Roman"/>
          <w:sz w:val="24"/>
        </w:rPr>
        <w:t>aparatului de aer condiționat sau instalației „control-clima”. Deși cadrul legal stipulează că consumul normativ de combustibil la utilizarea climatizorului sau instalației „control-clima” în timpul staționării (indiferent de anotimp) corespunde unui parcurs de 10 km pentru o oră de staționare, sau altfel 10% din norma de consum pentru 100 km de parcurs, BA a CS nu are stabilite proceduri privind modalitatea de evidență a acestor ore de staționare. Prin urmare, majorarea consumului de combustibil pentru utilizarea acestor dispozitive a fost inclusă sub forma unui coeficient constant în formula de calcul pentru stabilirea normei de consum al autovehiculului, ceea ce corespunde consumului de combustibil pentru utilizarea climatizorului la staționarea mijlocului de transport timp de 2 ore, fiind majorată întreaga normă de consum cu 20%. Astfel de calcule au fost aplicate la stabilirea normelor de consum de combustibil în 36 de cazuri. Situația respectivă a fost determinată de lipsa u</w:t>
      </w:r>
      <w:r w:rsidRPr="002868BE">
        <w:rPr>
          <w:rFonts w:ascii="Times New Roman" w:hAnsi="Times New Roman" w:cs="Times New Roman"/>
          <w:sz w:val="24"/>
          <w:szCs w:val="24"/>
        </w:rPr>
        <w:t xml:space="preserve">nei instrucțiuni privind evidența orelor de staționare a mijloacelor de transport cu </w:t>
      </w:r>
      <w:r w:rsidRPr="002868BE">
        <w:rPr>
          <w:rFonts w:ascii="Times New Roman" w:hAnsi="Times New Roman" w:cs="Times New Roman"/>
          <w:sz w:val="24"/>
        </w:rPr>
        <w:t xml:space="preserve">utilizarea climatizorului sau instalației „control-clima”. </w:t>
      </w:r>
    </w:p>
    <w:p w14:paraId="787E3643" w14:textId="77777777" w:rsidR="002868BE" w:rsidRPr="002868BE" w:rsidRDefault="002868BE" w:rsidP="002868BE">
      <w:pPr>
        <w:spacing w:line="276" w:lineRule="auto"/>
        <w:jc w:val="both"/>
        <w:rPr>
          <w:rFonts w:ascii="Times New Roman" w:hAnsi="Times New Roman" w:cs="Times New Roman"/>
          <w:sz w:val="24"/>
        </w:rPr>
      </w:pPr>
      <w:r w:rsidRPr="002868BE">
        <w:rPr>
          <w:rFonts w:ascii="Times New Roman" w:hAnsi="Times New Roman" w:cs="Times New Roman"/>
          <w:sz w:val="24"/>
        </w:rPr>
        <w:t>Observațiile de audit relevă că, deși activitatea de bază a entității, în principal, constituie asigurarea cu transport auto de serviciu a conducătorilor autorităților publice și autorităților administrației publice, se atestă că procesul de evidență a consumului de combustibil și a parcursului mijloacelor de transport se efectuează conform unor practici depășite, nefiind utilizate funcționalitățile sistemului contabil „1C” de care dispune instituția, fapt ce dezavantajează procesul de evidență statistică și analitică a indicatorilor sus-menționați. Potrivit explicațiilor verbale ale conducerii BA CS, din cauza lipsei de personal, dar și a volumului impunător al informațiilor din foile de parcurs, prezentate zilnic de către conducătorii auto, asigurarea perfectării acestora în sistemul informațional contabil „1C” ar fi posibilă numai în cazul suplinirii statelor de personal cu o unitate cu funcție de contabil, în atribuțiile căreia ar reveni această sarcină.</w:t>
      </w:r>
    </w:p>
    <w:p w14:paraId="1323F622" w14:textId="652232BE" w:rsidR="00DA7801" w:rsidRPr="003A5ACD" w:rsidRDefault="00D965E8" w:rsidP="002868BE">
      <w:pPr>
        <w:pStyle w:val="a7"/>
        <w:numPr>
          <w:ilvl w:val="2"/>
          <w:numId w:val="4"/>
        </w:numPr>
        <w:tabs>
          <w:tab w:val="left" w:pos="567"/>
        </w:tabs>
        <w:spacing w:before="120" w:after="120" w:line="276" w:lineRule="auto"/>
        <w:ind w:left="0" w:firstLine="0"/>
        <w:contextualSpacing w:val="0"/>
        <w:jc w:val="both"/>
        <w:rPr>
          <w:sz w:val="24"/>
          <w:szCs w:val="24"/>
        </w:rPr>
      </w:pPr>
      <w:r>
        <w:rPr>
          <w:rFonts w:ascii="Times New Roman" w:eastAsia="Times New Roman" w:hAnsi="Times New Roman" w:cs="Times New Roman"/>
          <w:b/>
          <w:bCs/>
          <w:color w:val="0070C0"/>
          <w:sz w:val="24"/>
          <w:szCs w:val="24"/>
        </w:rPr>
        <w:t xml:space="preserve"> </w:t>
      </w:r>
      <w:r w:rsidR="002868BE" w:rsidRPr="002868BE">
        <w:rPr>
          <w:rFonts w:ascii="Times New Roman" w:eastAsia="Times New Roman" w:hAnsi="Times New Roman" w:cs="Times New Roman"/>
          <w:b/>
          <w:bCs/>
          <w:color w:val="0070C0"/>
          <w:sz w:val="24"/>
          <w:szCs w:val="24"/>
        </w:rPr>
        <w:t>Deficiențe și abateri admise de entitățile verificate la desfășurarea achizițiilor publice</w:t>
      </w:r>
    </w:p>
    <w:p w14:paraId="7166FEE6" w14:textId="77777777" w:rsidR="002868BE" w:rsidRPr="00322C2F" w:rsidRDefault="002868BE" w:rsidP="002868BE">
      <w:pPr>
        <w:jc w:val="both"/>
        <w:rPr>
          <w:rFonts w:ascii="Times New Roman" w:hAnsi="Times New Roman" w:cs="Times New Roman"/>
          <w:sz w:val="24"/>
          <w:szCs w:val="24"/>
        </w:rPr>
      </w:pPr>
      <w:r w:rsidRPr="00322C2F">
        <w:rPr>
          <w:rFonts w:ascii="Times New Roman" w:hAnsi="Times New Roman" w:cs="Times New Roman"/>
          <w:i/>
          <w:sz w:val="24"/>
          <w:szCs w:val="24"/>
        </w:rPr>
        <w:t>Contrar prevederilor legale</w:t>
      </w:r>
      <w:r>
        <w:rPr>
          <w:rFonts w:ascii="Times New Roman" w:hAnsi="Times New Roman" w:cs="Times New Roman"/>
          <w:i/>
          <w:sz w:val="24"/>
          <w:szCs w:val="24"/>
        </w:rPr>
        <w:t>,</w:t>
      </w:r>
      <w:r w:rsidRPr="00322C2F">
        <w:rPr>
          <w:rFonts w:ascii="Times New Roman" w:hAnsi="Times New Roman" w:cs="Times New Roman"/>
          <w:i/>
          <w:sz w:val="24"/>
          <w:szCs w:val="24"/>
        </w:rPr>
        <w:t xml:space="preserve"> CS și unele instituții monitorizate au admis divizarea achizițiilor publice în valoare totală de 6,4</w:t>
      </w:r>
      <w:r>
        <w:rPr>
          <w:rFonts w:ascii="Times New Roman" w:hAnsi="Times New Roman" w:cs="Times New Roman"/>
          <w:i/>
          <w:sz w:val="24"/>
          <w:szCs w:val="24"/>
        </w:rPr>
        <w:t xml:space="preserve"> </w:t>
      </w:r>
      <w:r w:rsidRPr="00322C2F">
        <w:rPr>
          <w:rFonts w:ascii="Times New Roman" w:hAnsi="Times New Roman" w:cs="Times New Roman"/>
          <w:i/>
          <w:sz w:val="24"/>
          <w:szCs w:val="24"/>
        </w:rPr>
        <w:t>mil</w:t>
      </w:r>
      <w:r>
        <w:rPr>
          <w:rFonts w:ascii="Times New Roman" w:hAnsi="Times New Roman" w:cs="Times New Roman"/>
          <w:i/>
          <w:sz w:val="24"/>
          <w:szCs w:val="24"/>
        </w:rPr>
        <w:t>.</w:t>
      </w:r>
      <w:r w:rsidRPr="00322C2F">
        <w:rPr>
          <w:rFonts w:ascii="Times New Roman" w:hAnsi="Times New Roman" w:cs="Times New Roman"/>
          <w:i/>
          <w:sz w:val="24"/>
          <w:szCs w:val="24"/>
        </w:rPr>
        <w:t xml:space="preserve"> lei, în detrimentul desfășurării unor proceduri competitive. </w:t>
      </w:r>
      <w:r w:rsidRPr="00322C2F">
        <w:rPr>
          <w:rFonts w:ascii="Times New Roman" w:hAnsi="Times New Roman" w:cs="Times New Roman"/>
          <w:color w:val="000000"/>
          <w:sz w:val="24"/>
          <w:szCs w:val="24"/>
          <w:lang w:eastAsia="ro-RO" w:bidi="ro-RO"/>
        </w:rPr>
        <w:t xml:space="preserve">Potrivit prevederilor Legii </w:t>
      </w:r>
      <w:r>
        <w:rPr>
          <w:rFonts w:ascii="Times New Roman" w:hAnsi="Times New Roman" w:cs="Times New Roman"/>
          <w:color w:val="000000"/>
          <w:sz w:val="24"/>
          <w:szCs w:val="24"/>
          <w:lang w:eastAsia="ro-RO" w:bidi="ro-RO"/>
        </w:rPr>
        <w:t>nr.</w:t>
      </w:r>
      <w:r w:rsidRPr="00322C2F">
        <w:rPr>
          <w:rFonts w:ascii="Times New Roman" w:hAnsi="Times New Roman" w:cs="Times New Roman"/>
          <w:color w:val="000000"/>
          <w:sz w:val="24"/>
          <w:szCs w:val="24"/>
          <w:lang w:eastAsia="ro-RO" w:bidi="ro-RO"/>
        </w:rPr>
        <w:t>131/2015</w:t>
      </w:r>
      <w:r w:rsidRPr="00322C2F">
        <w:rPr>
          <w:rFonts w:ascii="Times New Roman" w:hAnsi="Times New Roman" w:cs="Times New Roman"/>
          <w:color w:val="000000"/>
          <w:sz w:val="24"/>
          <w:szCs w:val="24"/>
          <w:vertAlign w:val="superscript"/>
          <w:lang w:eastAsia="ro-RO" w:bidi="ro-RO"/>
        </w:rPr>
        <w:footnoteReference w:id="63"/>
      </w:r>
      <w:r w:rsidRPr="00322C2F">
        <w:rPr>
          <w:rFonts w:ascii="Times New Roman" w:hAnsi="Times New Roman" w:cs="Times New Roman"/>
          <w:color w:val="000000"/>
          <w:sz w:val="24"/>
          <w:szCs w:val="24"/>
          <w:lang w:eastAsia="ro-RO" w:bidi="ro-RO"/>
        </w:rPr>
        <w:t xml:space="preserve">, contractul de achiziții publice se încheie conform procedurilor prestabilite de legea vizată, pentru întreaga sumă atribuită unei achiziții pe an, în temeiul planului de achiziție </w:t>
      </w:r>
      <w:r>
        <w:rPr>
          <w:rFonts w:ascii="Times New Roman" w:hAnsi="Times New Roman" w:cs="Times New Roman"/>
          <w:color w:val="000000"/>
          <w:sz w:val="24"/>
          <w:szCs w:val="24"/>
          <w:lang w:eastAsia="ro-RO" w:bidi="ro-RO"/>
        </w:rPr>
        <w:t>ș</w:t>
      </w:r>
      <w:r w:rsidRPr="00322C2F">
        <w:rPr>
          <w:rFonts w:ascii="Times New Roman" w:hAnsi="Times New Roman" w:cs="Times New Roman"/>
          <w:color w:val="000000"/>
          <w:sz w:val="24"/>
          <w:szCs w:val="24"/>
          <w:lang w:eastAsia="ro-RO" w:bidi="ro-RO"/>
        </w:rPr>
        <w:t>i în limita alocațiilor aprobate, cu înregistrarea obligatorie la trezorerie. Autoritatea contractantă nu are dreptul să divizeze achiziția prin încheierea de contracte de achiziții publice separate</w:t>
      </w:r>
      <w:r>
        <w:rPr>
          <w:rFonts w:ascii="Times New Roman" w:hAnsi="Times New Roman" w:cs="Times New Roman"/>
          <w:color w:val="000000"/>
          <w:sz w:val="24"/>
          <w:szCs w:val="24"/>
          <w:lang w:eastAsia="ro-RO" w:bidi="ro-RO"/>
        </w:rPr>
        <w:t>,</w:t>
      </w:r>
      <w:r w:rsidRPr="00322C2F">
        <w:rPr>
          <w:rFonts w:ascii="Times New Roman" w:hAnsi="Times New Roman" w:cs="Times New Roman"/>
          <w:color w:val="000000"/>
          <w:sz w:val="24"/>
          <w:szCs w:val="24"/>
          <w:lang w:eastAsia="ro-RO" w:bidi="ro-RO"/>
        </w:rPr>
        <w:t xml:space="preserve"> în scopul aplicării unei alte proceduri de achiziție publică decât procedura care ar fi fost utilizată în conformitate cu prezenta lege, în cazul în care achiziția nu ar fi fost divizată</w:t>
      </w:r>
      <w:r w:rsidRPr="00322C2F">
        <w:rPr>
          <w:rFonts w:ascii="Times New Roman" w:hAnsi="Times New Roman" w:cs="Times New Roman"/>
          <w:color w:val="000000"/>
          <w:sz w:val="24"/>
          <w:szCs w:val="24"/>
          <w:vertAlign w:val="superscript"/>
          <w:lang w:eastAsia="ro-RO" w:bidi="ro-RO"/>
        </w:rPr>
        <w:footnoteReference w:id="64"/>
      </w:r>
      <w:r w:rsidRPr="00322C2F">
        <w:rPr>
          <w:rFonts w:ascii="Times New Roman" w:hAnsi="Times New Roman" w:cs="Times New Roman"/>
          <w:color w:val="000000"/>
          <w:sz w:val="24"/>
          <w:szCs w:val="24"/>
          <w:lang w:eastAsia="ro-RO" w:bidi="ro-RO"/>
        </w:rPr>
        <w:t xml:space="preserve">. </w:t>
      </w:r>
    </w:p>
    <w:p w14:paraId="174DC374" w14:textId="77777777" w:rsidR="002868BE" w:rsidRPr="008005BB" w:rsidRDefault="002868BE" w:rsidP="002868BE">
      <w:pPr>
        <w:spacing w:after="120" w:line="276" w:lineRule="auto"/>
        <w:jc w:val="both"/>
        <w:rPr>
          <w:rFonts w:ascii="Times New Roman" w:hAnsi="Times New Roman" w:cs="Times New Roman"/>
          <w:sz w:val="24"/>
          <w:szCs w:val="24"/>
        </w:rPr>
      </w:pPr>
      <w:r w:rsidRPr="003B329E">
        <w:rPr>
          <w:rFonts w:ascii="Times New Roman" w:eastAsia="Times New Roman" w:hAnsi="Times New Roman" w:cs="Times New Roman"/>
          <w:sz w:val="24"/>
          <w:szCs w:val="24"/>
        </w:rPr>
        <w:t>Însă a</w:t>
      </w:r>
      <w:r w:rsidRPr="003B329E">
        <w:rPr>
          <w:rFonts w:ascii="Times New Roman" w:eastAsia="Times New Roman" w:hAnsi="Times New Roman" w:cs="Times New Roman"/>
          <w:color w:val="000000"/>
          <w:sz w:val="24"/>
          <w:szCs w:val="24"/>
          <w:lang w:eastAsia="ro-RO" w:bidi="ro-RO"/>
        </w:rPr>
        <w:t>nalizele de audit atestă că entitățile</w:t>
      </w:r>
      <w:r>
        <w:rPr>
          <w:rFonts w:ascii="Times New Roman" w:eastAsia="Times New Roman" w:hAnsi="Times New Roman" w:cs="Times New Roman"/>
          <w:color w:val="000000"/>
          <w:sz w:val="24"/>
          <w:szCs w:val="24"/>
          <w:lang w:eastAsia="ro-RO" w:bidi="ro-RO"/>
        </w:rPr>
        <w:t xml:space="preserve"> supuse auditului</w:t>
      </w:r>
      <w:r w:rsidRPr="003B329E">
        <w:rPr>
          <w:rFonts w:ascii="Times New Roman" w:eastAsia="Times New Roman" w:hAnsi="Times New Roman" w:cs="Times New Roman"/>
          <w:color w:val="000000"/>
          <w:sz w:val="24"/>
          <w:szCs w:val="24"/>
          <w:lang w:eastAsia="ro-RO" w:bidi="ro-RO"/>
        </w:rPr>
        <w:t xml:space="preserve"> nu au respectat </w:t>
      </w:r>
      <w:r>
        <w:rPr>
          <w:rFonts w:ascii="Times New Roman" w:eastAsia="Times New Roman" w:hAnsi="Times New Roman" w:cs="Times New Roman"/>
          <w:color w:val="000000"/>
          <w:sz w:val="24"/>
          <w:szCs w:val="24"/>
          <w:lang w:eastAsia="ro-RO" w:bidi="ro-RO"/>
        </w:rPr>
        <w:t>reglementările</w:t>
      </w:r>
      <w:r w:rsidRPr="003B329E">
        <w:rPr>
          <w:rFonts w:ascii="Times New Roman" w:eastAsia="Times New Roman" w:hAnsi="Times New Roman" w:cs="Times New Roman"/>
          <w:color w:val="000000"/>
          <w:sz w:val="24"/>
          <w:szCs w:val="24"/>
          <w:lang w:eastAsia="ro-RO" w:bidi="ro-RO"/>
        </w:rPr>
        <w:t xml:space="preserve"> cadrului normativ prenotat, fiind constatate cazuri de divizare a achizițiilor</w:t>
      </w:r>
      <w:r>
        <w:rPr>
          <w:rFonts w:ascii="Times New Roman" w:eastAsia="Times New Roman" w:hAnsi="Times New Roman" w:cs="Times New Roman"/>
          <w:color w:val="000000"/>
          <w:sz w:val="24"/>
          <w:szCs w:val="24"/>
          <w:lang w:eastAsia="ro-RO" w:bidi="ro-RO"/>
        </w:rPr>
        <w:t>,</w:t>
      </w:r>
      <w:r w:rsidRPr="003B329E">
        <w:rPr>
          <w:rFonts w:ascii="Times New Roman" w:eastAsia="Times New Roman" w:hAnsi="Times New Roman" w:cs="Times New Roman"/>
          <w:color w:val="000000"/>
          <w:sz w:val="24"/>
          <w:szCs w:val="24"/>
          <w:lang w:eastAsia="ro-RO" w:bidi="ro-RO"/>
        </w:rPr>
        <w:t xml:space="preserve"> în speță fiind aplicată achiziția de valoare mică prin evitarea utilizării procedurilor concurențiale de achiziționare a bunurilor/serviciilor</w:t>
      </w:r>
      <w:r>
        <w:rPr>
          <w:rFonts w:ascii="Times New Roman" w:eastAsia="Times New Roman" w:hAnsi="Times New Roman" w:cs="Times New Roman"/>
          <w:color w:val="000000"/>
          <w:sz w:val="24"/>
          <w:szCs w:val="24"/>
          <w:lang w:eastAsia="ro-RO" w:bidi="ro-RO"/>
        </w:rPr>
        <w:t xml:space="preserve">. În acest context se exemplifică situația constatată la </w:t>
      </w:r>
      <w:r w:rsidRPr="00612E5C">
        <w:rPr>
          <w:rFonts w:ascii="Times New Roman" w:eastAsia="Times New Roman" w:hAnsi="Times New Roman" w:cs="Times New Roman"/>
          <w:sz w:val="24"/>
          <w:szCs w:val="24"/>
        </w:rPr>
        <w:t>DGACG</w:t>
      </w:r>
      <w:r>
        <w:rPr>
          <w:rFonts w:ascii="Times New Roman" w:eastAsia="Times New Roman" w:hAnsi="Times New Roman" w:cs="Times New Roman"/>
          <w:sz w:val="24"/>
          <w:szCs w:val="24"/>
        </w:rPr>
        <w:t>, care</w:t>
      </w:r>
      <w:r w:rsidRPr="003B329E">
        <w:rPr>
          <w:rFonts w:ascii="Times New Roman" w:eastAsia="Times New Roman" w:hAnsi="Times New Roman" w:cs="Times New Roman"/>
          <w:sz w:val="24"/>
          <w:szCs w:val="24"/>
        </w:rPr>
        <w:t xml:space="preserve"> a procurat bunuri și servicii prin contracte de mică valoare</w:t>
      </w:r>
      <w:r>
        <w:rPr>
          <w:rFonts w:ascii="Times New Roman" w:eastAsia="Times New Roman" w:hAnsi="Times New Roman" w:cs="Times New Roman"/>
          <w:sz w:val="24"/>
          <w:szCs w:val="24"/>
        </w:rPr>
        <w:t>,</w:t>
      </w:r>
      <w:r w:rsidRPr="003B329E">
        <w:rPr>
          <w:rFonts w:ascii="Times New Roman" w:eastAsia="Times New Roman" w:hAnsi="Times New Roman" w:cs="Times New Roman"/>
          <w:sz w:val="24"/>
          <w:szCs w:val="24"/>
        </w:rPr>
        <w:t xml:space="preserve"> cu evitarea procedurilor legale de achiziționare a acestora prin CO</w:t>
      </w:r>
      <w:r>
        <w:rPr>
          <w:rFonts w:ascii="Times New Roman" w:eastAsia="Times New Roman" w:hAnsi="Times New Roman" w:cs="Times New Roman"/>
          <w:sz w:val="24"/>
          <w:szCs w:val="24"/>
        </w:rPr>
        <w:t xml:space="preserve">P. Astfel, în anii 2019-2022, </w:t>
      </w:r>
      <w:r w:rsidRPr="003B329E">
        <w:rPr>
          <w:rFonts w:ascii="Times New Roman" w:eastAsia="Times New Roman" w:hAnsi="Times New Roman" w:cs="Times New Roman"/>
          <w:sz w:val="24"/>
          <w:szCs w:val="24"/>
        </w:rPr>
        <w:t>au fost stabilit</w:t>
      </w:r>
      <w:r>
        <w:rPr>
          <w:rFonts w:ascii="Times New Roman" w:eastAsia="Times New Roman" w:hAnsi="Times New Roman" w:cs="Times New Roman"/>
          <w:sz w:val="24"/>
          <w:szCs w:val="24"/>
        </w:rPr>
        <w:t>e</w:t>
      </w:r>
      <w:r w:rsidRPr="003B329E">
        <w:rPr>
          <w:rFonts w:ascii="Times New Roman" w:eastAsia="Times New Roman" w:hAnsi="Times New Roman" w:cs="Times New Roman"/>
          <w:sz w:val="24"/>
          <w:szCs w:val="24"/>
        </w:rPr>
        <w:t xml:space="preserve"> 23 </w:t>
      </w:r>
      <w:r>
        <w:rPr>
          <w:rFonts w:ascii="Times New Roman" w:eastAsia="Times New Roman" w:hAnsi="Times New Roman" w:cs="Times New Roman"/>
          <w:sz w:val="24"/>
          <w:szCs w:val="24"/>
        </w:rPr>
        <w:t xml:space="preserve">de </w:t>
      </w:r>
      <w:r w:rsidRPr="003B329E">
        <w:rPr>
          <w:rFonts w:ascii="Times New Roman" w:eastAsia="Times New Roman" w:hAnsi="Times New Roman" w:cs="Times New Roman"/>
          <w:sz w:val="24"/>
          <w:szCs w:val="24"/>
        </w:rPr>
        <w:t>contracte de mică valoare în sumă totală de 2</w:t>
      </w:r>
      <w:r>
        <w:rPr>
          <w:rFonts w:ascii="Times New Roman" w:eastAsia="Times New Roman" w:hAnsi="Times New Roman" w:cs="Times New Roman"/>
          <w:sz w:val="24"/>
          <w:szCs w:val="24"/>
        </w:rPr>
        <w:t>,0 mil.</w:t>
      </w:r>
      <w:r w:rsidRPr="003B329E">
        <w:rPr>
          <w:rFonts w:ascii="Times New Roman" w:eastAsia="Times New Roman" w:hAnsi="Times New Roman" w:cs="Times New Roman"/>
          <w:sz w:val="24"/>
          <w:szCs w:val="24"/>
        </w:rPr>
        <w:t xml:space="preserve"> lei privind procurarea următoarelor produse</w:t>
      </w:r>
      <w:r>
        <w:rPr>
          <w:rFonts w:ascii="Times New Roman" w:eastAsia="Times New Roman" w:hAnsi="Times New Roman" w:cs="Times New Roman"/>
          <w:sz w:val="24"/>
          <w:szCs w:val="24"/>
        </w:rPr>
        <w:t xml:space="preserve"> și servicii</w:t>
      </w:r>
      <w:r w:rsidRPr="003B329E">
        <w:rPr>
          <w:rFonts w:ascii="Times New Roman" w:eastAsia="Times New Roman" w:hAnsi="Times New Roman" w:cs="Times New Roman"/>
          <w:sz w:val="24"/>
          <w:szCs w:val="24"/>
        </w:rPr>
        <w:t>: materiale de construcție, produse chimice și igienice, reparația pavajelor și reparația curentă a clădirii administrative din str. Ștefan cel Mare nr.180</w:t>
      </w:r>
      <w:r w:rsidRPr="008005BB">
        <w:rPr>
          <w:rFonts w:ascii="Times New Roman" w:eastAsia="Times New Roman" w:hAnsi="Times New Roman" w:cs="Times New Roman"/>
          <w:sz w:val="24"/>
          <w:szCs w:val="24"/>
        </w:rPr>
        <w:t>.</w:t>
      </w:r>
      <w:r w:rsidRPr="008005BB">
        <w:rPr>
          <w:rFonts w:ascii="Times New Roman" w:hAnsi="Times New Roman" w:cs="Times New Roman"/>
          <w:sz w:val="24"/>
          <w:szCs w:val="24"/>
        </w:rPr>
        <w:t xml:space="preserve"> Deși</w:t>
      </w:r>
      <w:r>
        <w:rPr>
          <w:rFonts w:ascii="Times New Roman" w:hAnsi="Times New Roman" w:cs="Times New Roman"/>
          <w:sz w:val="24"/>
          <w:szCs w:val="24"/>
        </w:rPr>
        <w:t xml:space="preserve"> entitatea argumentează că încheierea contractelor de mică valoare și admiterea divizărilor a fost condiționată din motive de urgență, auditul atestă lipsa documentării și argumentării conforme</w:t>
      </w:r>
      <w:r w:rsidRPr="008005BB">
        <w:rPr>
          <w:rStyle w:val="a5"/>
          <w:rFonts w:ascii="Times New Roman" w:hAnsi="Times New Roman" w:cs="Times New Roman"/>
          <w:sz w:val="24"/>
          <w:szCs w:val="24"/>
        </w:rPr>
        <w:footnoteReference w:id="65"/>
      </w:r>
      <w:r>
        <w:rPr>
          <w:rFonts w:ascii="Times New Roman" w:hAnsi="Times New Roman" w:cs="Times New Roman"/>
          <w:sz w:val="24"/>
          <w:szCs w:val="24"/>
        </w:rPr>
        <w:t xml:space="preserve"> de către grupul de lucru a achizițiilor respective, nefiind întocmite procese-verbale. </w:t>
      </w:r>
      <w:r>
        <w:rPr>
          <w:rFonts w:ascii="Times New Roman" w:eastAsia="Times New Roman" w:hAnsi="Times New Roman" w:cs="Times New Roman"/>
          <w:sz w:val="24"/>
          <w:szCs w:val="24"/>
        </w:rPr>
        <w:t>La fel, BA</w:t>
      </w:r>
      <w:r w:rsidRPr="009F45CA">
        <w:rPr>
          <w:rFonts w:ascii="Times New Roman" w:eastAsia="Times New Roman" w:hAnsi="Times New Roman" w:cs="Times New Roman"/>
          <w:sz w:val="24"/>
          <w:szCs w:val="24"/>
        </w:rPr>
        <w:t xml:space="preserve"> a admis divizarea achizițiilor la procurarea anvelopelor și lubrifianților pentru automobile, cărbunelui, servicii</w:t>
      </w:r>
      <w:r>
        <w:rPr>
          <w:rFonts w:ascii="Times New Roman" w:eastAsia="Times New Roman" w:hAnsi="Times New Roman" w:cs="Times New Roman"/>
          <w:sz w:val="24"/>
          <w:szCs w:val="24"/>
        </w:rPr>
        <w:t>lor</w:t>
      </w:r>
      <w:r w:rsidRPr="009F45CA">
        <w:rPr>
          <w:rFonts w:ascii="Times New Roman" w:eastAsia="Times New Roman" w:hAnsi="Times New Roman" w:cs="Times New Roman"/>
          <w:sz w:val="24"/>
          <w:szCs w:val="24"/>
        </w:rPr>
        <w:t xml:space="preserve"> de asigurare auto, lucr</w:t>
      </w:r>
      <w:r>
        <w:rPr>
          <w:rFonts w:ascii="Times New Roman" w:eastAsia="Times New Roman" w:hAnsi="Times New Roman" w:cs="Times New Roman"/>
          <w:sz w:val="24"/>
          <w:szCs w:val="24"/>
        </w:rPr>
        <w:t xml:space="preserve">ărilor de reparații auto prin semnarea a </w:t>
      </w:r>
      <w:r w:rsidRPr="009F45CA">
        <w:rPr>
          <w:rFonts w:ascii="Times New Roman" w:eastAsia="Times New Roman" w:hAnsi="Times New Roman" w:cs="Times New Roman"/>
          <w:sz w:val="24"/>
          <w:szCs w:val="24"/>
        </w:rPr>
        <w:t>23 de contracte</w:t>
      </w:r>
      <w:r>
        <w:rPr>
          <w:rFonts w:ascii="Times New Roman" w:eastAsia="Times New Roman" w:hAnsi="Times New Roman" w:cs="Times New Roman"/>
          <w:sz w:val="24"/>
          <w:szCs w:val="24"/>
        </w:rPr>
        <w:t xml:space="preserve"> separate </w:t>
      </w:r>
      <w:r w:rsidRPr="009F45CA">
        <w:rPr>
          <w:rFonts w:ascii="Times New Roman" w:eastAsia="Times New Roman" w:hAnsi="Times New Roman" w:cs="Times New Roman"/>
          <w:sz w:val="24"/>
          <w:szCs w:val="24"/>
        </w:rPr>
        <w:t>în valoare totală de 2</w:t>
      </w:r>
      <w:r>
        <w:rPr>
          <w:rFonts w:ascii="Times New Roman" w:eastAsia="Times New Roman" w:hAnsi="Times New Roman" w:cs="Times New Roman"/>
          <w:sz w:val="24"/>
          <w:szCs w:val="24"/>
        </w:rPr>
        <w:t>,4 mil. lei. Cazuri similare au fost constatate și la CS, care</w:t>
      </w:r>
      <w:r w:rsidRPr="00612E5C">
        <w:t xml:space="preserve"> </w:t>
      </w:r>
      <w:r w:rsidRPr="00612E5C">
        <w:rPr>
          <w:rFonts w:ascii="Times New Roman" w:eastAsia="Times New Roman" w:hAnsi="Times New Roman" w:cs="Times New Roman"/>
          <w:sz w:val="24"/>
          <w:szCs w:val="24"/>
        </w:rPr>
        <w:t>în perioada 2018-2022 per total a admis</w:t>
      </w:r>
      <w:r>
        <w:rPr>
          <w:rFonts w:ascii="Times New Roman" w:eastAsia="Times New Roman" w:hAnsi="Times New Roman" w:cs="Times New Roman"/>
          <w:sz w:val="24"/>
          <w:szCs w:val="24"/>
        </w:rPr>
        <w:t xml:space="preserve"> divizarea achizițiilor de bunuri și servicii</w:t>
      </w:r>
      <w:r>
        <w:rPr>
          <w:rStyle w:val="a5"/>
          <w:rFonts w:ascii="Times New Roman" w:eastAsia="Times New Roman" w:hAnsi="Times New Roman" w:cs="Times New Roman"/>
          <w:sz w:val="24"/>
          <w:szCs w:val="24"/>
        </w:rPr>
        <w:footnoteReference w:id="66"/>
      </w:r>
      <w:r>
        <w:rPr>
          <w:rFonts w:ascii="Times New Roman" w:eastAsia="Times New Roman" w:hAnsi="Times New Roman" w:cs="Times New Roman"/>
          <w:sz w:val="24"/>
          <w:szCs w:val="24"/>
        </w:rPr>
        <w:t xml:space="preserve"> prin semnarea a 25 de contracte de mică valoare în sumă de 2,0 mil. lei.</w:t>
      </w:r>
    </w:p>
    <w:p w14:paraId="1D500366" w14:textId="77777777" w:rsidR="002868BE" w:rsidRPr="003B329E" w:rsidRDefault="002868BE" w:rsidP="002868BE">
      <w:pPr>
        <w:pStyle w:val="a7"/>
        <w:spacing w:after="120" w:line="276" w:lineRule="auto"/>
        <w:ind w:left="68"/>
        <w:contextualSpacing w:val="0"/>
        <w:jc w:val="both"/>
        <w:rPr>
          <w:rFonts w:ascii="Times New Roman" w:eastAsia="Times New Roman" w:hAnsi="Times New Roman" w:cs="Times New Roman"/>
          <w:sz w:val="24"/>
          <w:szCs w:val="24"/>
          <w:lang w:val="ro-RO"/>
        </w:rPr>
      </w:pPr>
      <w:r>
        <w:rPr>
          <w:rFonts w:ascii="Times New Roman" w:hAnsi="Times New Roman" w:cs="Times New Roman"/>
          <w:i/>
          <w:sz w:val="24"/>
          <w:szCs w:val="24"/>
        </w:rPr>
        <w:t>O</w:t>
      </w:r>
      <w:r w:rsidRPr="00BE1F30">
        <w:rPr>
          <w:rFonts w:ascii="Times New Roman" w:hAnsi="Times New Roman" w:cs="Times New Roman"/>
          <w:i/>
          <w:sz w:val="24"/>
          <w:szCs w:val="24"/>
        </w:rPr>
        <w:t>misiuni și deficiențe au fost constatate</w:t>
      </w:r>
      <w:r>
        <w:rPr>
          <w:rFonts w:ascii="Times New Roman" w:hAnsi="Times New Roman" w:cs="Times New Roman"/>
          <w:i/>
          <w:sz w:val="24"/>
          <w:szCs w:val="24"/>
        </w:rPr>
        <w:t xml:space="preserve"> de către echipa de audit și</w:t>
      </w:r>
      <w:r w:rsidRPr="00BE1F30">
        <w:rPr>
          <w:rFonts w:ascii="Times New Roman" w:hAnsi="Times New Roman" w:cs="Times New Roman"/>
          <w:i/>
          <w:sz w:val="24"/>
          <w:szCs w:val="24"/>
        </w:rPr>
        <w:t xml:space="preserve"> </w:t>
      </w:r>
      <w:r>
        <w:rPr>
          <w:rFonts w:ascii="Times New Roman" w:hAnsi="Times New Roman" w:cs="Times New Roman"/>
          <w:i/>
          <w:sz w:val="24"/>
          <w:szCs w:val="24"/>
        </w:rPr>
        <w:t>în procesul de elaborare și</w:t>
      </w:r>
      <w:r w:rsidRPr="00BE1F30">
        <w:rPr>
          <w:rFonts w:ascii="Times New Roman" w:hAnsi="Times New Roman" w:cs="Times New Roman"/>
          <w:i/>
          <w:sz w:val="24"/>
          <w:szCs w:val="24"/>
        </w:rPr>
        <w:t xml:space="preserve"> fundamentare a achizițiilor de bunuri și servicii</w:t>
      </w:r>
      <w:r>
        <w:rPr>
          <w:rFonts w:ascii="Times New Roman" w:hAnsi="Times New Roman" w:cs="Times New Roman"/>
          <w:i/>
          <w:sz w:val="24"/>
          <w:szCs w:val="24"/>
        </w:rPr>
        <w:t>,</w:t>
      </w:r>
      <w:r w:rsidRPr="00BE1F30">
        <w:rPr>
          <w:rFonts w:ascii="Times New Roman" w:hAnsi="Times New Roman" w:cs="Times New Roman"/>
          <w:i/>
          <w:sz w:val="24"/>
          <w:szCs w:val="24"/>
        </w:rPr>
        <w:t xml:space="preserve"> precum și necorelarea, în toate cazurile, a procurărilor cu </w:t>
      </w:r>
      <w:r>
        <w:rPr>
          <w:rFonts w:ascii="Times New Roman" w:hAnsi="Times New Roman" w:cs="Times New Roman"/>
          <w:i/>
          <w:sz w:val="24"/>
          <w:szCs w:val="24"/>
        </w:rPr>
        <w:t>bugetele</w:t>
      </w:r>
      <w:r w:rsidRPr="00BE1F30">
        <w:rPr>
          <w:rFonts w:ascii="Times New Roman" w:hAnsi="Times New Roman" w:cs="Times New Roman"/>
          <w:i/>
          <w:sz w:val="24"/>
          <w:szCs w:val="24"/>
        </w:rPr>
        <w:t xml:space="preserve"> planificate în aceste scopuri. </w:t>
      </w:r>
      <w:r w:rsidRPr="002D5212">
        <w:rPr>
          <w:rFonts w:ascii="Times New Roman" w:hAnsi="Times New Roman" w:cs="Times New Roman"/>
          <w:sz w:val="24"/>
          <w:szCs w:val="24"/>
        </w:rPr>
        <w:t>Astfel, entitățile nu în toate cazurile au asigurat conform</w:t>
      </w:r>
      <w:r w:rsidRPr="002D5212">
        <w:rPr>
          <w:rStyle w:val="a5"/>
          <w:rFonts w:ascii="Times New Roman" w:hAnsi="Times New Roman" w:cs="Times New Roman"/>
          <w:sz w:val="24"/>
          <w:szCs w:val="24"/>
        </w:rPr>
        <w:footnoteReference w:id="67"/>
      </w:r>
      <w:r w:rsidRPr="002D5212">
        <w:rPr>
          <w:rFonts w:ascii="Times New Roman" w:hAnsi="Times New Roman" w:cs="Times New Roman"/>
          <w:sz w:val="24"/>
          <w:szCs w:val="24"/>
        </w:rPr>
        <w:t xml:space="preserve"> evaluarea necesităților/contractelor și corelarea planului de achiziții cu bugetul aprobat/precizat al entității, existând discrepanțe semnificative dintre sumele estimate ale achizițiilor publice și mijloacele din planurile de alocații ale autorităților contractante</w:t>
      </w:r>
      <w:r w:rsidRPr="002D5212">
        <w:rPr>
          <w:rFonts w:ascii="Times New Roman" w:eastAsia="Times New Roman" w:hAnsi="Times New Roman" w:cs="Times New Roman"/>
          <w:sz w:val="24"/>
          <w:szCs w:val="24"/>
          <w:lang w:val="ro-RO"/>
        </w:rPr>
        <w:t>.</w:t>
      </w:r>
      <w:r w:rsidRPr="002D5212">
        <w:rPr>
          <w:rFonts w:ascii="Times New Roman" w:hAnsi="Times New Roman" w:cs="Times New Roman"/>
          <w:sz w:val="24"/>
          <w:szCs w:val="24"/>
        </w:rPr>
        <w:t xml:space="preserve"> </w:t>
      </w:r>
      <w:r w:rsidRPr="003B329E">
        <w:rPr>
          <w:rFonts w:ascii="Times New Roman" w:eastAsia="Times New Roman" w:hAnsi="Times New Roman" w:cs="Times New Roman"/>
          <w:sz w:val="24"/>
          <w:szCs w:val="24"/>
          <w:lang w:val="ro-RO"/>
        </w:rPr>
        <w:t xml:space="preserve">Drept exemplu se menționează situația constatată la CS în anul 2018, astfel planul de alocații </w:t>
      </w:r>
      <w:r>
        <w:rPr>
          <w:rFonts w:ascii="Times New Roman" w:eastAsia="Times New Roman" w:hAnsi="Times New Roman" w:cs="Times New Roman"/>
          <w:sz w:val="24"/>
          <w:szCs w:val="24"/>
          <w:lang w:val="ro-RO"/>
        </w:rPr>
        <w:t>destinate procurării de bunuri și servicii  a</w:t>
      </w:r>
      <w:r w:rsidRPr="003B329E">
        <w:rPr>
          <w:rFonts w:ascii="Times New Roman" w:eastAsia="Times New Roman" w:hAnsi="Times New Roman" w:cs="Times New Roman"/>
          <w:sz w:val="24"/>
          <w:szCs w:val="24"/>
          <w:lang w:val="ro-RO"/>
        </w:rPr>
        <w:t xml:space="preserve"> fost modificat cu </w:t>
      </w:r>
      <w:r w:rsidRPr="00D116F3">
        <w:rPr>
          <w:rFonts w:ascii="Times New Roman" w:eastAsia="Times New Roman" w:hAnsi="Times New Roman" w:cs="Times New Roman"/>
          <w:sz w:val="24"/>
          <w:szCs w:val="24"/>
          <w:lang w:val="ro-RO"/>
        </w:rPr>
        <w:t>circa 21,3 mil. lei,</w:t>
      </w:r>
      <w:r>
        <w:rPr>
          <w:rFonts w:ascii="Times New Roman" w:eastAsia="Times New Roman" w:hAnsi="Times New Roman" w:cs="Times New Roman"/>
          <w:sz w:val="24"/>
          <w:szCs w:val="24"/>
          <w:lang w:val="ro-RO"/>
        </w:rPr>
        <w:t xml:space="preserve"> în timp ce </w:t>
      </w:r>
      <w:r w:rsidRPr="003B329E">
        <w:rPr>
          <w:rFonts w:ascii="Times New Roman" w:eastAsia="Times New Roman" w:hAnsi="Times New Roman" w:cs="Times New Roman"/>
          <w:sz w:val="24"/>
          <w:szCs w:val="24"/>
          <w:lang w:val="ro-RO"/>
        </w:rPr>
        <w:t xml:space="preserve">planul de achiziții </w:t>
      </w:r>
      <w:r>
        <w:rPr>
          <w:rFonts w:ascii="Times New Roman" w:eastAsia="Times New Roman" w:hAnsi="Times New Roman" w:cs="Times New Roman"/>
          <w:sz w:val="24"/>
          <w:szCs w:val="24"/>
          <w:lang w:val="ro-RO"/>
        </w:rPr>
        <w:t xml:space="preserve">nefiind ajustat pe parcursul </w:t>
      </w:r>
      <w:r w:rsidRPr="003B329E">
        <w:rPr>
          <w:rFonts w:ascii="Times New Roman" w:eastAsia="Times New Roman" w:hAnsi="Times New Roman" w:cs="Times New Roman"/>
          <w:sz w:val="24"/>
          <w:szCs w:val="24"/>
          <w:lang w:val="ro-RO"/>
        </w:rPr>
        <w:t>an</w:t>
      </w:r>
      <w:r>
        <w:rPr>
          <w:rFonts w:ascii="Times New Roman" w:eastAsia="Times New Roman" w:hAnsi="Times New Roman" w:cs="Times New Roman"/>
          <w:sz w:val="24"/>
          <w:szCs w:val="24"/>
          <w:lang w:val="ro-RO"/>
        </w:rPr>
        <w:t>ului</w:t>
      </w:r>
      <w:r w:rsidRPr="003B329E">
        <w:rPr>
          <w:rFonts w:ascii="Times New Roman" w:eastAsia="Times New Roman" w:hAnsi="Times New Roman" w:cs="Times New Roman"/>
          <w:sz w:val="24"/>
          <w:szCs w:val="24"/>
          <w:lang w:val="ro-RO"/>
        </w:rPr>
        <w:t xml:space="preserve"> bugetar</w:t>
      </w:r>
      <w:r>
        <w:rPr>
          <w:rFonts w:ascii="Times New Roman" w:eastAsia="Times New Roman" w:hAnsi="Times New Roman" w:cs="Times New Roman"/>
          <w:sz w:val="24"/>
          <w:szCs w:val="24"/>
          <w:lang w:val="ro-RO"/>
        </w:rPr>
        <w:t xml:space="preserve">. Similar, nu a fost coroborat planul de achiziții al CS cu valoarea alocațiilor bugetare precizate și pentru alte perioade bugetare. Cazuri analogice se </w:t>
      </w:r>
      <w:r w:rsidRPr="003B329E">
        <w:rPr>
          <w:rFonts w:ascii="Times New Roman" w:eastAsia="Times New Roman" w:hAnsi="Times New Roman" w:cs="Times New Roman"/>
          <w:sz w:val="24"/>
          <w:szCs w:val="24"/>
          <w:lang w:val="ro-RO"/>
        </w:rPr>
        <w:t xml:space="preserve">atestă </w:t>
      </w:r>
      <w:r>
        <w:rPr>
          <w:rFonts w:ascii="Times New Roman" w:eastAsia="Times New Roman" w:hAnsi="Times New Roman" w:cs="Times New Roman"/>
          <w:sz w:val="24"/>
          <w:szCs w:val="24"/>
          <w:lang w:val="ro-RO"/>
        </w:rPr>
        <w:t xml:space="preserve">și la alte instituții verificate: </w:t>
      </w:r>
      <w:r w:rsidRPr="003B329E">
        <w:rPr>
          <w:rFonts w:ascii="Times New Roman" w:eastAsia="Times New Roman" w:hAnsi="Times New Roman" w:cs="Times New Roman"/>
          <w:sz w:val="24"/>
          <w:szCs w:val="24"/>
          <w:lang w:val="ro-RO"/>
        </w:rPr>
        <w:t>DGACG</w:t>
      </w:r>
      <w:r w:rsidRPr="003B329E">
        <w:rPr>
          <w:rStyle w:val="a5"/>
          <w:rFonts w:ascii="Times New Roman" w:eastAsia="Times New Roman" w:hAnsi="Times New Roman" w:cs="Times New Roman"/>
          <w:sz w:val="24"/>
          <w:szCs w:val="24"/>
          <w:lang w:val="ro-RO"/>
        </w:rPr>
        <w:footnoteReference w:id="68"/>
      </w:r>
      <w:r w:rsidRPr="003B329E">
        <w:rPr>
          <w:rFonts w:ascii="Times New Roman" w:eastAsia="Times New Roman" w:hAnsi="Times New Roman" w:cs="Times New Roman"/>
          <w:sz w:val="24"/>
          <w:szCs w:val="24"/>
          <w:lang w:val="ro-RO"/>
        </w:rPr>
        <w:t xml:space="preserve"> </w:t>
      </w:r>
      <w:r>
        <w:rPr>
          <w:rFonts w:ascii="Times New Roman" w:eastAsia="Times New Roman" w:hAnsi="Times New Roman" w:cs="Times New Roman"/>
          <w:sz w:val="24"/>
          <w:szCs w:val="24"/>
          <w:lang w:val="ro-RO"/>
        </w:rPr>
        <w:t xml:space="preserve">și </w:t>
      </w:r>
      <w:r w:rsidRPr="003B329E">
        <w:rPr>
          <w:rFonts w:ascii="Times New Roman" w:eastAsia="Times New Roman" w:hAnsi="Times New Roman" w:cs="Times New Roman"/>
          <w:sz w:val="24"/>
          <w:szCs w:val="24"/>
          <w:lang w:val="ro-RO"/>
        </w:rPr>
        <w:t>BA</w:t>
      </w:r>
      <w:r>
        <w:rPr>
          <w:rStyle w:val="a5"/>
          <w:rFonts w:ascii="Times New Roman" w:eastAsia="Times New Roman" w:hAnsi="Times New Roman" w:cs="Times New Roman"/>
          <w:sz w:val="24"/>
          <w:szCs w:val="24"/>
          <w:lang w:val="ro-RO"/>
        </w:rPr>
        <w:footnoteReference w:id="69"/>
      </w:r>
      <w:r w:rsidRPr="003B329E">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Acest fapt a condiționat atât </w:t>
      </w:r>
      <w:r w:rsidRPr="003B329E">
        <w:rPr>
          <w:rFonts w:ascii="Times New Roman" w:hAnsi="Times New Roman" w:cs="Times New Roman"/>
          <w:sz w:val="24"/>
          <w:szCs w:val="24"/>
        </w:rPr>
        <w:t>efectuarea unor achiziții neplanificate,</w:t>
      </w:r>
      <w:r>
        <w:rPr>
          <w:rFonts w:ascii="Times New Roman" w:hAnsi="Times New Roman" w:cs="Times New Roman"/>
          <w:sz w:val="24"/>
          <w:szCs w:val="24"/>
        </w:rPr>
        <w:t xml:space="preserve"> cât și </w:t>
      </w:r>
      <w:r w:rsidRPr="003B329E">
        <w:rPr>
          <w:rFonts w:ascii="Times New Roman" w:hAnsi="Times New Roman" w:cs="Times New Roman"/>
          <w:sz w:val="24"/>
          <w:szCs w:val="24"/>
        </w:rPr>
        <w:t>stabilirea nejustificat</w:t>
      </w:r>
      <w:r>
        <w:rPr>
          <w:rFonts w:ascii="Times New Roman" w:hAnsi="Times New Roman" w:cs="Times New Roman"/>
          <w:sz w:val="24"/>
          <w:szCs w:val="24"/>
        </w:rPr>
        <w:t xml:space="preserve">ă a </w:t>
      </w:r>
      <w:r w:rsidRPr="003B329E">
        <w:rPr>
          <w:rFonts w:ascii="Times New Roman" w:hAnsi="Times New Roman" w:cs="Times New Roman"/>
          <w:sz w:val="24"/>
          <w:szCs w:val="24"/>
        </w:rPr>
        <w:t xml:space="preserve">valorii estimate </w:t>
      </w:r>
      <w:r>
        <w:rPr>
          <w:rFonts w:ascii="Times New Roman" w:hAnsi="Times New Roman" w:cs="Times New Roman"/>
          <w:sz w:val="24"/>
          <w:szCs w:val="24"/>
        </w:rPr>
        <w:t xml:space="preserve">a bunurilor și serviciilor </w:t>
      </w:r>
      <w:r w:rsidRPr="003B329E">
        <w:rPr>
          <w:rFonts w:ascii="Times New Roman" w:hAnsi="Times New Roman" w:cs="Times New Roman"/>
          <w:sz w:val="24"/>
          <w:szCs w:val="24"/>
        </w:rPr>
        <w:t>p</w:t>
      </w:r>
      <w:r>
        <w:rPr>
          <w:rFonts w:ascii="Times New Roman" w:hAnsi="Times New Roman" w:cs="Times New Roman"/>
          <w:sz w:val="24"/>
          <w:szCs w:val="24"/>
        </w:rPr>
        <w:t>rocurate.</w:t>
      </w:r>
      <w:r w:rsidRPr="003B329E">
        <w:rPr>
          <w:rFonts w:ascii="Times New Roman" w:eastAsia="Times New Roman" w:hAnsi="Times New Roman" w:cs="Times New Roman"/>
          <w:sz w:val="24"/>
          <w:szCs w:val="24"/>
          <w:lang w:val="ro-RO"/>
        </w:rPr>
        <w:t xml:space="preserve"> </w:t>
      </w:r>
    </w:p>
    <w:p w14:paraId="219F13C2" w14:textId="77777777" w:rsidR="002868BE" w:rsidRPr="0065288F" w:rsidRDefault="002868BE" w:rsidP="002868BE">
      <w:pPr>
        <w:spacing w:after="0" w:line="276" w:lineRule="auto"/>
        <w:jc w:val="both"/>
        <w:rPr>
          <w:rFonts w:ascii="Times New Roman" w:hAnsi="Times New Roman" w:cs="Times New Roman"/>
          <w:i/>
          <w:sz w:val="24"/>
          <w:szCs w:val="24"/>
        </w:rPr>
      </w:pPr>
      <w:r w:rsidRPr="0065288F">
        <w:rPr>
          <w:rFonts w:ascii="Times New Roman" w:eastAsiaTheme="minorEastAsia" w:hAnsi="Times New Roman" w:cs="Times New Roman"/>
          <w:i/>
          <w:sz w:val="24"/>
          <w:szCs w:val="24"/>
        </w:rPr>
        <w:t>Verificările de audit denotă admiterea de către responsabili și a altor nereguli procedurale constatate în procesul de achiziții publice, și anume:</w:t>
      </w:r>
    </w:p>
    <w:p w14:paraId="6EC5B9B0" w14:textId="77777777" w:rsidR="002868BE" w:rsidRPr="0065288F" w:rsidRDefault="002868BE" w:rsidP="002868BE">
      <w:pPr>
        <w:pStyle w:val="a7"/>
        <w:numPr>
          <w:ilvl w:val="0"/>
          <w:numId w:val="24"/>
        </w:numPr>
        <w:spacing w:after="0" w:line="276" w:lineRule="auto"/>
        <w:ind w:left="0" w:firstLine="357"/>
        <w:contextualSpacing w:val="0"/>
        <w:jc w:val="both"/>
        <w:rPr>
          <w:rFonts w:ascii="Times New Roman" w:hAnsi="Times New Roman" w:cs="Times New Roman"/>
          <w:i/>
          <w:sz w:val="24"/>
          <w:szCs w:val="24"/>
        </w:rPr>
      </w:pPr>
      <w:r>
        <w:rPr>
          <w:rFonts w:ascii="Times New Roman" w:hAnsi="Times New Roman" w:cs="Times New Roman"/>
          <w:sz w:val="24"/>
          <w:szCs w:val="24"/>
        </w:rPr>
        <w:t>n</w:t>
      </w:r>
      <w:r w:rsidRPr="0065288F">
        <w:rPr>
          <w:rFonts w:ascii="Times New Roman" w:hAnsi="Times New Roman" w:cs="Times New Roman"/>
          <w:sz w:val="24"/>
          <w:szCs w:val="24"/>
        </w:rPr>
        <w:t>eelaborarea planurilor provizorii, planurilor anuale de procurări, precum și neefectuarea modificărilor</w:t>
      </w:r>
      <w:r w:rsidRPr="0065288F">
        <w:rPr>
          <w:rStyle w:val="a5"/>
          <w:rFonts w:ascii="Times New Roman" w:hAnsi="Times New Roman" w:cs="Times New Roman"/>
          <w:sz w:val="24"/>
          <w:szCs w:val="24"/>
        </w:rPr>
        <w:footnoteReference w:id="70"/>
      </w:r>
      <w:r w:rsidRPr="0065288F">
        <w:rPr>
          <w:rFonts w:ascii="Times New Roman" w:hAnsi="Times New Roman" w:cs="Times New Roman"/>
          <w:sz w:val="24"/>
          <w:szCs w:val="24"/>
        </w:rPr>
        <w:t xml:space="preserve"> la plan </w:t>
      </w:r>
      <w:r>
        <w:rPr>
          <w:rFonts w:ascii="Times New Roman" w:hAnsi="Times New Roman" w:cs="Times New Roman"/>
          <w:sz w:val="24"/>
          <w:szCs w:val="24"/>
        </w:rPr>
        <w:t xml:space="preserve">ca </w:t>
      </w:r>
      <w:r w:rsidRPr="0065288F">
        <w:rPr>
          <w:rFonts w:ascii="Times New Roman" w:hAnsi="Times New Roman" w:cs="Times New Roman"/>
          <w:sz w:val="24"/>
          <w:szCs w:val="24"/>
        </w:rPr>
        <w:t xml:space="preserve">urmare </w:t>
      </w:r>
      <w:r>
        <w:rPr>
          <w:rFonts w:ascii="Times New Roman" w:hAnsi="Times New Roman" w:cs="Times New Roman"/>
          <w:sz w:val="24"/>
          <w:szCs w:val="24"/>
        </w:rPr>
        <w:t xml:space="preserve">a </w:t>
      </w:r>
      <w:r w:rsidRPr="0065288F">
        <w:rPr>
          <w:rFonts w:ascii="Times New Roman" w:hAnsi="Times New Roman" w:cs="Times New Roman"/>
          <w:sz w:val="24"/>
          <w:szCs w:val="24"/>
        </w:rPr>
        <w:t>ajustărilor intervenite în contractarea de bunuri și servicii.</w:t>
      </w:r>
      <w:r w:rsidRPr="0065288F">
        <w:rPr>
          <w:rFonts w:ascii="Times New Roman" w:hAnsi="Times New Roman" w:cs="Times New Roman"/>
          <w:i/>
          <w:sz w:val="24"/>
          <w:szCs w:val="24"/>
        </w:rPr>
        <w:t xml:space="preserve"> </w:t>
      </w:r>
      <w:r w:rsidRPr="0065288F">
        <w:rPr>
          <w:rFonts w:ascii="Times New Roman" w:hAnsi="Times New Roman" w:cs="Times New Roman"/>
          <w:sz w:val="24"/>
          <w:szCs w:val="24"/>
        </w:rPr>
        <w:t>Deficiențe în acest sens au fost identificate la toate entitățile verificate, concomitent la Baza Auto acestea fiind admise sistemic pe toată perioada supusă verificării</w:t>
      </w:r>
      <w:r w:rsidRPr="003B329E">
        <w:rPr>
          <w:rStyle w:val="a5"/>
          <w:rFonts w:ascii="Times New Roman" w:hAnsi="Times New Roman" w:cs="Times New Roman"/>
          <w:sz w:val="24"/>
          <w:szCs w:val="24"/>
        </w:rPr>
        <w:footnoteReference w:id="71"/>
      </w:r>
      <w:r w:rsidRPr="0065288F">
        <w:rPr>
          <w:rFonts w:ascii="Times New Roman" w:hAnsi="Times New Roman" w:cs="Times New Roman"/>
          <w:sz w:val="24"/>
          <w:szCs w:val="24"/>
        </w:rPr>
        <w:t xml:space="preserve">. La fel se menționează că în unele cazuri </w:t>
      </w:r>
      <w:r>
        <w:rPr>
          <w:rFonts w:ascii="Times New Roman" w:hAnsi="Times New Roman" w:cs="Times New Roman"/>
          <w:sz w:val="24"/>
          <w:szCs w:val="24"/>
        </w:rPr>
        <w:t>p</w:t>
      </w:r>
      <w:r w:rsidRPr="0065288F">
        <w:rPr>
          <w:rFonts w:ascii="Times New Roman" w:hAnsi="Times New Roman" w:cs="Times New Roman"/>
          <w:sz w:val="24"/>
          <w:szCs w:val="24"/>
        </w:rPr>
        <w:t>lanurile aprobate nu conțin toată informația prestabilită</w:t>
      </w:r>
      <w:r w:rsidRPr="003B329E">
        <w:rPr>
          <w:rStyle w:val="a5"/>
          <w:rFonts w:ascii="Times New Roman" w:hAnsi="Times New Roman" w:cs="Times New Roman"/>
          <w:sz w:val="24"/>
          <w:szCs w:val="24"/>
        </w:rPr>
        <w:footnoteReference w:id="72"/>
      </w:r>
      <w:r w:rsidRPr="0065288F">
        <w:rPr>
          <w:rFonts w:ascii="Times New Roman" w:hAnsi="Times New Roman" w:cs="Times New Roman"/>
          <w:sz w:val="24"/>
          <w:szCs w:val="24"/>
        </w:rPr>
        <w:t xml:space="preserve"> de a fi inclusă, precum și nu s</w:t>
      </w:r>
      <w:r>
        <w:rPr>
          <w:rFonts w:ascii="Times New Roman" w:hAnsi="Times New Roman" w:cs="Times New Roman"/>
          <w:sz w:val="24"/>
          <w:szCs w:val="24"/>
        </w:rPr>
        <w:t>u</w:t>
      </w:r>
      <w:r w:rsidRPr="0065288F">
        <w:rPr>
          <w:rFonts w:ascii="Times New Roman" w:hAnsi="Times New Roman" w:cs="Times New Roman"/>
          <w:sz w:val="24"/>
          <w:szCs w:val="24"/>
        </w:rPr>
        <w:t>nt publicate</w:t>
      </w:r>
      <w:r w:rsidRPr="003B329E">
        <w:rPr>
          <w:rStyle w:val="a5"/>
          <w:rFonts w:ascii="Times New Roman" w:hAnsi="Times New Roman" w:cs="Times New Roman"/>
          <w:sz w:val="24"/>
          <w:szCs w:val="24"/>
        </w:rPr>
        <w:footnoteReference w:id="73"/>
      </w:r>
      <w:r w:rsidRPr="0065288F">
        <w:rPr>
          <w:rFonts w:ascii="Times New Roman" w:hAnsi="Times New Roman" w:cs="Times New Roman"/>
          <w:sz w:val="24"/>
          <w:szCs w:val="24"/>
        </w:rPr>
        <w:t>, prin ce nu se asigură transparența organizării acestui proces, se limitează aplicarea unor practici concurențiale</w:t>
      </w:r>
      <w:r>
        <w:rPr>
          <w:rFonts w:ascii="Times New Roman" w:hAnsi="Times New Roman" w:cs="Times New Roman"/>
          <w:sz w:val="24"/>
          <w:szCs w:val="24"/>
        </w:rPr>
        <w:t>,</w:t>
      </w:r>
      <w:r w:rsidRPr="0065288F">
        <w:rPr>
          <w:rFonts w:ascii="Times New Roman" w:hAnsi="Times New Roman" w:cs="Times New Roman"/>
          <w:sz w:val="24"/>
          <w:szCs w:val="24"/>
        </w:rPr>
        <w:t xml:space="preserve"> precum și nu se asigură </w:t>
      </w:r>
      <w:r w:rsidRPr="0065288F">
        <w:rPr>
          <w:rFonts w:ascii="Times New Roman" w:hAnsi="Times New Roman" w:cs="Times New Roman"/>
          <w:sz w:val="24"/>
          <w:szCs w:val="24"/>
          <w:shd w:val="clear" w:color="auto" w:fill="FFFFFF"/>
        </w:rPr>
        <w:t>participarea largă a operatorilor economici la procedurile de achiziții publice</w:t>
      </w:r>
      <w:r>
        <w:rPr>
          <w:rFonts w:ascii="Times New Roman" w:hAnsi="Times New Roman" w:cs="Times New Roman"/>
          <w:sz w:val="24"/>
          <w:szCs w:val="24"/>
        </w:rPr>
        <w:t>;</w:t>
      </w:r>
      <w:r w:rsidRPr="0065288F">
        <w:rPr>
          <w:rFonts w:ascii="Times New Roman" w:hAnsi="Times New Roman" w:cs="Times New Roman"/>
          <w:sz w:val="24"/>
          <w:szCs w:val="24"/>
        </w:rPr>
        <w:t xml:space="preserve"> </w:t>
      </w:r>
    </w:p>
    <w:p w14:paraId="32718854" w14:textId="77777777" w:rsidR="002868BE" w:rsidRPr="0065288F" w:rsidRDefault="002868BE" w:rsidP="002868BE">
      <w:pPr>
        <w:pStyle w:val="a7"/>
        <w:numPr>
          <w:ilvl w:val="0"/>
          <w:numId w:val="24"/>
        </w:numPr>
        <w:spacing w:after="0" w:line="276" w:lineRule="auto"/>
        <w:ind w:left="0" w:firstLine="357"/>
        <w:contextualSpacing w:val="0"/>
        <w:jc w:val="both"/>
        <w:rPr>
          <w:rFonts w:ascii="Times New Roman" w:hAnsi="Times New Roman" w:cs="Times New Roman"/>
          <w:i/>
          <w:sz w:val="24"/>
          <w:szCs w:val="24"/>
        </w:rPr>
      </w:pPr>
      <w:r>
        <w:rPr>
          <w:rFonts w:ascii="Times New Roman" w:hAnsi="Times New Roman" w:cs="Times New Roman"/>
          <w:sz w:val="24"/>
          <w:szCs w:val="24"/>
        </w:rPr>
        <w:t>n</w:t>
      </w:r>
      <w:r w:rsidRPr="0065288F">
        <w:rPr>
          <w:rFonts w:ascii="Times New Roman" w:hAnsi="Times New Roman" w:cs="Times New Roman"/>
          <w:sz w:val="24"/>
          <w:szCs w:val="24"/>
        </w:rPr>
        <w:t>easigurarea publicării anunțuril</w:t>
      </w:r>
      <w:r>
        <w:rPr>
          <w:rFonts w:ascii="Times New Roman" w:hAnsi="Times New Roman" w:cs="Times New Roman"/>
          <w:sz w:val="24"/>
          <w:szCs w:val="24"/>
        </w:rPr>
        <w:t>or</w:t>
      </w:r>
      <w:r w:rsidRPr="0065288F">
        <w:rPr>
          <w:rFonts w:ascii="Times New Roman" w:hAnsi="Times New Roman" w:cs="Times New Roman"/>
          <w:sz w:val="24"/>
          <w:szCs w:val="24"/>
        </w:rPr>
        <w:t xml:space="preserve"> de intenție în BAP</w:t>
      </w:r>
      <w:r w:rsidRPr="0065288F">
        <w:rPr>
          <w:rStyle w:val="a5"/>
          <w:rFonts w:ascii="Times New Roman" w:hAnsi="Times New Roman" w:cs="Times New Roman"/>
          <w:sz w:val="24"/>
          <w:szCs w:val="24"/>
        </w:rPr>
        <w:footnoteReference w:id="74"/>
      </w:r>
      <w:r w:rsidRPr="0065288F">
        <w:rPr>
          <w:rFonts w:ascii="Times New Roman" w:hAnsi="Times New Roman" w:cs="Times New Roman"/>
          <w:sz w:val="24"/>
          <w:szCs w:val="24"/>
        </w:rPr>
        <w:t>.</w:t>
      </w:r>
      <w:r w:rsidRPr="0065288F">
        <w:rPr>
          <w:rFonts w:ascii="Times New Roman" w:hAnsi="Times New Roman" w:cs="Times New Roman"/>
          <w:i/>
          <w:sz w:val="24"/>
          <w:szCs w:val="24"/>
        </w:rPr>
        <w:t xml:space="preserve"> </w:t>
      </w:r>
      <w:r w:rsidRPr="0065288F">
        <w:rPr>
          <w:rFonts w:ascii="Times New Roman" w:hAnsi="Times New Roman" w:cs="Times New Roman"/>
          <w:sz w:val="24"/>
          <w:szCs w:val="24"/>
        </w:rPr>
        <w:t>Se relevă admiterea acestei neconformități at</w:t>
      </w:r>
      <w:r>
        <w:rPr>
          <w:rFonts w:ascii="Times New Roman" w:hAnsi="Times New Roman" w:cs="Times New Roman"/>
          <w:sz w:val="24"/>
          <w:szCs w:val="24"/>
        </w:rPr>
        <w:t>â</w:t>
      </w:r>
      <w:r w:rsidRPr="0065288F">
        <w:rPr>
          <w:rFonts w:ascii="Times New Roman" w:hAnsi="Times New Roman" w:cs="Times New Roman"/>
          <w:sz w:val="24"/>
          <w:szCs w:val="24"/>
        </w:rPr>
        <w:t>t de către CS</w:t>
      </w:r>
      <w:r w:rsidRPr="003B329E">
        <w:rPr>
          <w:rStyle w:val="a5"/>
          <w:rFonts w:ascii="Times New Roman" w:hAnsi="Times New Roman" w:cs="Times New Roman"/>
          <w:sz w:val="24"/>
          <w:szCs w:val="24"/>
        </w:rPr>
        <w:footnoteReference w:id="75"/>
      </w:r>
      <w:r>
        <w:rPr>
          <w:rFonts w:ascii="Times New Roman" w:hAnsi="Times New Roman" w:cs="Times New Roman"/>
          <w:sz w:val="24"/>
          <w:szCs w:val="24"/>
        </w:rPr>
        <w:t>, preponderent în 2018</w:t>
      </w:r>
      <w:r w:rsidRPr="0065288F">
        <w:rPr>
          <w:rFonts w:ascii="Times New Roman" w:hAnsi="Times New Roman" w:cs="Times New Roman"/>
          <w:sz w:val="24"/>
          <w:szCs w:val="24"/>
        </w:rPr>
        <w:t>, c</w:t>
      </w:r>
      <w:r>
        <w:rPr>
          <w:rFonts w:ascii="Times New Roman" w:hAnsi="Times New Roman" w:cs="Times New Roman"/>
          <w:sz w:val="24"/>
          <w:szCs w:val="24"/>
        </w:rPr>
        <w:t>â</w:t>
      </w:r>
      <w:r w:rsidRPr="0065288F">
        <w:rPr>
          <w:rFonts w:ascii="Times New Roman" w:hAnsi="Times New Roman" w:cs="Times New Roman"/>
          <w:sz w:val="24"/>
          <w:szCs w:val="24"/>
        </w:rPr>
        <w:t>t și de către DGACG</w:t>
      </w:r>
      <w:r w:rsidRPr="00B6141A">
        <w:rPr>
          <w:rStyle w:val="a5"/>
          <w:rFonts w:ascii="Times New Roman" w:hAnsi="Times New Roman" w:cs="Times New Roman"/>
          <w:sz w:val="24"/>
          <w:szCs w:val="24"/>
        </w:rPr>
        <w:footnoteReference w:id="76"/>
      </w:r>
      <w:r w:rsidRPr="0065288F">
        <w:rPr>
          <w:rFonts w:ascii="Times New Roman" w:hAnsi="Times New Roman" w:cs="Times New Roman"/>
          <w:sz w:val="24"/>
          <w:szCs w:val="24"/>
        </w:rPr>
        <w:t>. O situație precară la acest aspect se atestă la Baza Auto</w:t>
      </w:r>
      <w:r>
        <w:rPr>
          <w:rFonts w:ascii="Times New Roman" w:hAnsi="Times New Roman" w:cs="Times New Roman"/>
          <w:sz w:val="24"/>
          <w:szCs w:val="24"/>
        </w:rPr>
        <w:t>,</w:t>
      </w:r>
      <w:r w:rsidRPr="0065288F">
        <w:rPr>
          <w:rFonts w:ascii="Times New Roman" w:hAnsi="Times New Roman" w:cs="Times New Roman"/>
          <w:sz w:val="24"/>
          <w:szCs w:val="24"/>
        </w:rPr>
        <w:t xml:space="preserve"> </w:t>
      </w:r>
      <w:r w:rsidRPr="0065288F">
        <w:rPr>
          <w:rFonts w:ascii="Times New Roman" w:eastAsia="Times New Roman" w:hAnsi="Times New Roman" w:cs="Times New Roman"/>
          <w:sz w:val="24"/>
          <w:szCs w:val="24"/>
          <w:lang w:eastAsia="ro-MD"/>
        </w:rPr>
        <w:t>și anume instituția nu a publicat în BAP niciun anunț de intenție în perioada auditată</w:t>
      </w:r>
      <w:r>
        <w:rPr>
          <w:rFonts w:ascii="Times New Roman" w:hAnsi="Times New Roman" w:cs="Times New Roman"/>
          <w:sz w:val="24"/>
          <w:szCs w:val="24"/>
          <w:shd w:val="clear" w:color="auto" w:fill="FFFFFF"/>
        </w:rPr>
        <w:t>;</w:t>
      </w:r>
      <w:r w:rsidRPr="0065288F">
        <w:rPr>
          <w:rFonts w:ascii="Times New Roman" w:eastAsia="Times New Roman" w:hAnsi="Times New Roman" w:cs="Times New Roman"/>
          <w:sz w:val="24"/>
          <w:szCs w:val="24"/>
          <w:lang w:eastAsia="ro-MD"/>
        </w:rPr>
        <w:t xml:space="preserve"> </w:t>
      </w:r>
      <w:r w:rsidRPr="0065288F">
        <w:rPr>
          <w:rFonts w:ascii="Times New Roman" w:eastAsia="Times New Roman" w:hAnsi="Times New Roman" w:cs="Times New Roman"/>
          <w:b/>
          <w:color w:val="000000"/>
          <w:sz w:val="24"/>
          <w:szCs w:val="24"/>
          <w:lang w:eastAsia="ro-RO" w:bidi="ro-RO"/>
        </w:rPr>
        <w:t xml:space="preserve"> </w:t>
      </w:r>
    </w:p>
    <w:p w14:paraId="4887CDDD" w14:textId="7FCCEA5C" w:rsidR="002868BE" w:rsidRPr="0065288F" w:rsidRDefault="002868BE" w:rsidP="002868BE">
      <w:pPr>
        <w:pStyle w:val="a7"/>
        <w:numPr>
          <w:ilvl w:val="0"/>
          <w:numId w:val="24"/>
        </w:numPr>
        <w:spacing w:after="0" w:line="276" w:lineRule="auto"/>
        <w:ind w:left="0" w:firstLine="357"/>
        <w:contextualSpacing w:val="0"/>
        <w:jc w:val="both"/>
        <w:rPr>
          <w:rFonts w:ascii="Times New Roman" w:hAnsi="Times New Roman" w:cs="Times New Roman"/>
          <w:i/>
          <w:sz w:val="24"/>
          <w:szCs w:val="24"/>
        </w:rPr>
      </w:pPr>
      <w:r>
        <w:rPr>
          <w:rFonts w:ascii="Times New Roman" w:hAnsi="Times New Roman" w:cs="Times New Roman"/>
          <w:color w:val="333333"/>
          <w:sz w:val="24"/>
          <w:szCs w:val="24"/>
          <w:shd w:val="clear" w:color="auto" w:fill="FFFFFF"/>
        </w:rPr>
        <w:t>c</w:t>
      </w:r>
      <w:r w:rsidRPr="0065288F">
        <w:rPr>
          <w:rFonts w:ascii="Times New Roman" w:hAnsi="Times New Roman" w:cs="Times New Roman"/>
          <w:color w:val="333333"/>
          <w:sz w:val="24"/>
          <w:szCs w:val="24"/>
          <w:shd w:val="clear" w:color="auto" w:fill="FFFFFF"/>
        </w:rPr>
        <w:t xml:space="preserve">onform prevederilor pct. 34 din HG nr. 667/2016 (în vigoare până la 05.01.2021) și pct. 46 din HG nr. 10/2021, GL trebuie să asigure monitorizarea executării contractelor de achiziție publică, întocmind rapoarte în acest sens semestrial </w:t>
      </w:r>
      <w:r w:rsidRPr="002868BE">
        <w:rPr>
          <w:rFonts w:ascii="Times New Roman" w:hAnsi="Times New Roman" w:cs="Times New Roman"/>
          <w:color w:val="333333"/>
          <w:sz w:val="24"/>
          <w:szCs w:val="24"/>
          <w:shd w:val="clear" w:color="auto" w:fill="FFFFFF"/>
        </w:rPr>
        <w:t>și anual, conform anexei nr. 2 la actele</w:t>
      </w:r>
      <w:r>
        <w:rPr>
          <w:rFonts w:ascii="Times New Roman" w:hAnsi="Times New Roman" w:cs="Times New Roman"/>
          <w:color w:val="333333"/>
          <w:sz w:val="24"/>
          <w:szCs w:val="24"/>
          <w:shd w:val="clear" w:color="auto" w:fill="FFFFFF"/>
        </w:rPr>
        <w:t xml:space="preserve"> normative citate</w:t>
      </w:r>
      <w:r w:rsidRPr="0065288F">
        <w:rPr>
          <w:rFonts w:ascii="Times New Roman" w:hAnsi="Times New Roman" w:cs="Times New Roman"/>
          <w:color w:val="333333"/>
          <w:sz w:val="24"/>
          <w:szCs w:val="24"/>
          <w:shd w:val="clear" w:color="auto" w:fill="FFFFFF"/>
        </w:rPr>
        <w:t>. Însă auditul a stabilit că BA, contrar celor menționate supra, nu a întocmit și nici nu a publicat Rapoarte privind monitorizarea contractelor de achiziții publice pentru anii 2018-2022. C</w:t>
      </w:r>
      <w:r>
        <w:rPr>
          <w:rFonts w:ascii="Times New Roman" w:hAnsi="Times New Roman" w:cs="Times New Roman"/>
          <w:color w:val="333333"/>
          <w:sz w:val="24"/>
          <w:szCs w:val="24"/>
          <w:shd w:val="clear" w:color="auto" w:fill="FFFFFF"/>
        </w:rPr>
        <w:t>â</w:t>
      </w:r>
      <w:r w:rsidRPr="0065288F">
        <w:rPr>
          <w:rFonts w:ascii="Times New Roman" w:hAnsi="Times New Roman" w:cs="Times New Roman"/>
          <w:color w:val="333333"/>
          <w:sz w:val="24"/>
          <w:szCs w:val="24"/>
          <w:shd w:val="clear" w:color="auto" w:fill="FFFFFF"/>
        </w:rPr>
        <w:t>t privește rapoartele prezentate de DGACG, se denotă că acestea s</w:t>
      </w:r>
      <w:r>
        <w:rPr>
          <w:rFonts w:ascii="Times New Roman" w:hAnsi="Times New Roman" w:cs="Times New Roman"/>
          <w:color w:val="333333"/>
          <w:sz w:val="24"/>
          <w:szCs w:val="24"/>
          <w:shd w:val="clear" w:color="auto" w:fill="FFFFFF"/>
        </w:rPr>
        <w:t>u</w:t>
      </w:r>
      <w:r w:rsidRPr="0065288F">
        <w:rPr>
          <w:rFonts w:ascii="Times New Roman" w:hAnsi="Times New Roman" w:cs="Times New Roman"/>
          <w:color w:val="333333"/>
          <w:sz w:val="24"/>
          <w:szCs w:val="24"/>
          <w:shd w:val="clear" w:color="auto" w:fill="FFFFFF"/>
        </w:rPr>
        <w:t>nt incomplete întruc</w:t>
      </w:r>
      <w:r>
        <w:rPr>
          <w:rFonts w:ascii="Times New Roman" w:hAnsi="Times New Roman" w:cs="Times New Roman"/>
          <w:color w:val="333333"/>
          <w:sz w:val="24"/>
          <w:szCs w:val="24"/>
          <w:shd w:val="clear" w:color="auto" w:fill="FFFFFF"/>
        </w:rPr>
        <w:t>â</w:t>
      </w:r>
      <w:r w:rsidRPr="0065288F">
        <w:rPr>
          <w:rFonts w:ascii="Times New Roman" w:hAnsi="Times New Roman" w:cs="Times New Roman"/>
          <w:color w:val="333333"/>
          <w:sz w:val="24"/>
          <w:szCs w:val="24"/>
          <w:shd w:val="clear" w:color="auto" w:fill="FFFFFF"/>
        </w:rPr>
        <w:t>t nu reflectă totalitatea contractelor de achiziție încheiate și executate de instituție în perioada auditată, și anume nu se regăsește raportat niciun contract de mică valoare sau încheiat prin negociere directă.</w:t>
      </w:r>
    </w:p>
    <w:p w14:paraId="238F7D58" w14:textId="1CF17ED7" w:rsidR="00DA7801" w:rsidRPr="00F5103C" w:rsidRDefault="002868BE" w:rsidP="002868BE">
      <w:pPr>
        <w:spacing w:line="276" w:lineRule="auto"/>
        <w:jc w:val="both"/>
        <w:rPr>
          <w:rFonts w:ascii="Times New Roman" w:hAnsi="Times New Roman" w:cs="Times New Roman"/>
          <w:sz w:val="24"/>
          <w:szCs w:val="24"/>
          <w:lang w:val="pt-BR"/>
        </w:rPr>
      </w:pPr>
      <w:r w:rsidRPr="003B329E">
        <w:rPr>
          <w:rFonts w:ascii="Times New Roman" w:hAnsi="Times New Roman" w:cs="Times New Roman"/>
          <w:sz w:val="24"/>
          <w:szCs w:val="24"/>
        </w:rPr>
        <w:t>La fel</w:t>
      </w:r>
      <w:r>
        <w:rPr>
          <w:rFonts w:ascii="Times New Roman" w:hAnsi="Times New Roman" w:cs="Times New Roman"/>
          <w:sz w:val="24"/>
          <w:szCs w:val="24"/>
        </w:rPr>
        <w:t>,</w:t>
      </w:r>
      <w:r w:rsidRPr="003B329E">
        <w:rPr>
          <w:rFonts w:ascii="Times New Roman" w:hAnsi="Times New Roman" w:cs="Times New Roman"/>
          <w:sz w:val="24"/>
          <w:szCs w:val="24"/>
        </w:rPr>
        <w:t xml:space="preserve"> verificările de audit relevă omisiuni</w:t>
      </w:r>
      <w:r>
        <w:rPr>
          <w:rFonts w:ascii="Times New Roman" w:hAnsi="Times New Roman" w:cs="Times New Roman"/>
          <w:sz w:val="24"/>
          <w:szCs w:val="24"/>
        </w:rPr>
        <w:t xml:space="preserve"> procedurale admise de membrii grupurilor de lucru</w:t>
      </w:r>
      <w:r w:rsidRPr="003B329E">
        <w:rPr>
          <w:rFonts w:ascii="Times New Roman" w:hAnsi="Times New Roman" w:cs="Times New Roman"/>
          <w:sz w:val="24"/>
          <w:szCs w:val="24"/>
        </w:rPr>
        <w:t xml:space="preserve"> ale DGACG și BA ce țin de nesemnarea în toate cazurile a documentației specifice desfășurării procedurilor de achiziție</w:t>
      </w:r>
      <w:r w:rsidRPr="003B329E">
        <w:rPr>
          <w:rStyle w:val="a5"/>
          <w:rFonts w:ascii="Times New Roman" w:hAnsi="Times New Roman" w:cs="Times New Roman"/>
          <w:sz w:val="24"/>
          <w:szCs w:val="24"/>
        </w:rPr>
        <w:footnoteReference w:id="77"/>
      </w:r>
      <w:r w:rsidRPr="003B329E">
        <w:rPr>
          <w:rFonts w:ascii="Times New Roman" w:hAnsi="Times New Roman" w:cs="Times New Roman"/>
          <w:sz w:val="24"/>
          <w:szCs w:val="24"/>
        </w:rPr>
        <w:t xml:space="preserve">, </w:t>
      </w:r>
      <w:r w:rsidRPr="00F5103C">
        <w:rPr>
          <w:rFonts w:ascii="Times New Roman" w:hAnsi="Times New Roman" w:cs="Times New Roman"/>
          <w:sz w:val="24"/>
          <w:szCs w:val="24"/>
        </w:rPr>
        <w:t xml:space="preserve">lipsa depunerii și semnării declarației de confidențialitate și imparțialitate, precum și </w:t>
      </w:r>
      <w:r w:rsidRPr="0065288F">
        <w:rPr>
          <w:rFonts w:ascii="Times New Roman" w:hAnsi="Times New Roman" w:cs="Times New Roman"/>
          <w:sz w:val="24"/>
          <w:szCs w:val="24"/>
        </w:rPr>
        <w:t>nerespectarea modalității de întocmire, păstrare și prezentare a informații</w:t>
      </w:r>
      <w:r>
        <w:rPr>
          <w:rFonts w:ascii="Times New Roman" w:hAnsi="Times New Roman" w:cs="Times New Roman"/>
          <w:sz w:val="24"/>
          <w:szCs w:val="24"/>
        </w:rPr>
        <w:t>lor</w:t>
      </w:r>
      <w:r w:rsidRPr="0065288F">
        <w:rPr>
          <w:rFonts w:ascii="Times New Roman" w:hAnsi="Times New Roman" w:cs="Times New Roman"/>
          <w:sz w:val="24"/>
          <w:szCs w:val="24"/>
        </w:rPr>
        <w:t xml:space="preserve"> în dosarul achiziției</w:t>
      </w:r>
      <w:r w:rsidRPr="0065288F">
        <w:rPr>
          <w:rFonts w:ascii="Times New Roman" w:hAnsi="Times New Roman" w:cs="Times New Roman"/>
          <w:sz w:val="24"/>
          <w:szCs w:val="24"/>
          <w:lang w:val="pt-BR"/>
        </w:rPr>
        <w:t xml:space="preserve"> </w:t>
      </w:r>
      <w:r w:rsidRPr="0065288F">
        <w:rPr>
          <w:rFonts w:ascii="Times New Roman" w:hAnsi="Times New Roman" w:cs="Times New Roman"/>
          <w:sz w:val="24"/>
          <w:szCs w:val="24"/>
        </w:rPr>
        <w:t>publice (BA). Concomitent</w:t>
      </w:r>
      <w:r>
        <w:rPr>
          <w:rFonts w:ascii="Times New Roman" w:hAnsi="Times New Roman" w:cs="Times New Roman"/>
          <w:sz w:val="24"/>
          <w:szCs w:val="24"/>
        </w:rPr>
        <w:t>,</w:t>
      </w:r>
      <w:r w:rsidRPr="0065288F">
        <w:rPr>
          <w:rFonts w:ascii="Times New Roman" w:hAnsi="Times New Roman" w:cs="Times New Roman"/>
          <w:sz w:val="24"/>
          <w:szCs w:val="24"/>
        </w:rPr>
        <w:t xml:space="preserve"> se menționează </w:t>
      </w:r>
      <w:r>
        <w:rPr>
          <w:rFonts w:ascii="Times New Roman" w:hAnsi="Times New Roman" w:cs="Times New Roman"/>
          <w:sz w:val="24"/>
          <w:szCs w:val="24"/>
        </w:rPr>
        <w:t>că</w:t>
      </w:r>
      <w:r w:rsidRPr="0065288F">
        <w:rPr>
          <w:rFonts w:ascii="Times New Roman" w:hAnsi="Times New Roman" w:cs="Times New Roman"/>
          <w:sz w:val="24"/>
          <w:szCs w:val="24"/>
        </w:rPr>
        <w:t xml:space="preserve"> instituții</w:t>
      </w:r>
      <w:r>
        <w:rPr>
          <w:rFonts w:ascii="Times New Roman" w:hAnsi="Times New Roman" w:cs="Times New Roman"/>
          <w:sz w:val="24"/>
          <w:szCs w:val="24"/>
        </w:rPr>
        <w:t>le</w:t>
      </w:r>
      <w:r w:rsidRPr="0065288F">
        <w:rPr>
          <w:rFonts w:ascii="Times New Roman" w:hAnsi="Times New Roman" w:cs="Times New Roman"/>
          <w:sz w:val="24"/>
          <w:szCs w:val="24"/>
        </w:rPr>
        <w:t xml:space="preserve"> nu au aprobat nici reglementări interne privind activitatea grupurilor de lucru pentru achiziții publice</w:t>
      </w:r>
      <w:r>
        <w:rPr>
          <w:rFonts w:ascii="Times New Roman" w:hAnsi="Times New Roman" w:cs="Times New Roman"/>
          <w:sz w:val="24"/>
          <w:szCs w:val="24"/>
        </w:rPr>
        <w:t>,</w:t>
      </w:r>
      <w:r w:rsidRPr="0065288F">
        <w:rPr>
          <w:rFonts w:ascii="Times New Roman" w:hAnsi="Times New Roman" w:cs="Times New Roman"/>
          <w:sz w:val="24"/>
          <w:szCs w:val="24"/>
        </w:rPr>
        <w:t xml:space="preserve"> precum și privind  organizarea activităților în domeniul achizițiilor publice, fapt ce denotă lipsa instituirii unui mediu de control adec</w:t>
      </w:r>
      <w:r>
        <w:rPr>
          <w:rFonts w:ascii="Times New Roman" w:hAnsi="Times New Roman" w:cs="Times New Roman"/>
          <w:sz w:val="24"/>
          <w:szCs w:val="24"/>
        </w:rPr>
        <w:t>vat care ar asigura buna funcționare</w:t>
      </w:r>
      <w:r w:rsidRPr="0065288F">
        <w:rPr>
          <w:rFonts w:ascii="Times New Roman" w:hAnsi="Times New Roman" w:cs="Times New Roman"/>
          <w:sz w:val="24"/>
          <w:szCs w:val="24"/>
        </w:rPr>
        <w:t xml:space="preserve"> a acestor procese.</w:t>
      </w:r>
    </w:p>
    <w:p w14:paraId="52C86459" w14:textId="50F93EAD" w:rsidR="006974BB" w:rsidRPr="003E2E30" w:rsidRDefault="003E2E30" w:rsidP="00AE392E">
      <w:pPr>
        <w:pStyle w:val="2"/>
        <w:numPr>
          <w:ilvl w:val="1"/>
          <w:numId w:val="4"/>
        </w:numPr>
        <w:tabs>
          <w:tab w:val="left" w:pos="567"/>
        </w:tabs>
        <w:spacing w:after="120" w:line="276" w:lineRule="auto"/>
        <w:ind w:left="0" w:firstLine="0"/>
        <w:jc w:val="both"/>
        <w:rPr>
          <w:rFonts w:ascii="Times New Roman" w:hAnsi="Times New Roman" w:cs="Times New Roman"/>
          <w:b/>
          <w:color w:val="2F5496" w:themeColor="accent5" w:themeShade="BF"/>
          <w:sz w:val="28"/>
          <w:szCs w:val="28"/>
          <w:lang w:eastAsia="ro-RO" w:bidi="ro-RO"/>
        </w:rPr>
      </w:pPr>
      <w:bookmarkStart w:id="30" w:name="_Toc156400784"/>
      <w:bookmarkStart w:id="31" w:name="_Toc158015924"/>
      <w:bookmarkEnd w:id="28"/>
      <w:r w:rsidRPr="003E2E30">
        <w:rPr>
          <w:rFonts w:ascii="Times New Roman" w:hAnsi="Times New Roman" w:cs="Times New Roman"/>
          <w:b/>
          <w:color w:val="2F5496" w:themeColor="accent5" w:themeShade="BF"/>
          <w:sz w:val="28"/>
          <w:szCs w:val="28"/>
          <w:lang w:eastAsia="ro-RO" w:bidi="ro-RO"/>
        </w:rPr>
        <w:t>OBIECTIVUL nr.2: Politicile și instrumentele existente asigură executarea de către CS a monitoring-ului activității instituțiilor publice fondate?</w:t>
      </w:r>
      <w:bookmarkEnd w:id="30"/>
      <w:bookmarkEnd w:id="31"/>
    </w:p>
    <w:tbl>
      <w:tblPr>
        <w:tblStyle w:val="a6"/>
        <w:tblW w:w="0" w:type="auto"/>
        <w:tblLook w:val="04A0" w:firstRow="1" w:lastRow="0" w:firstColumn="1" w:lastColumn="0" w:noHBand="0" w:noVBand="1"/>
      </w:tblPr>
      <w:tblGrid>
        <w:gridCol w:w="9344"/>
      </w:tblGrid>
      <w:tr w:rsidR="00681DAF" w14:paraId="7A9B38E8" w14:textId="77777777" w:rsidTr="009E432A">
        <w:tc>
          <w:tcPr>
            <w:tcW w:w="9678" w:type="dxa"/>
            <w:shd w:val="clear" w:color="auto" w:fill="F2F2F2" w:themeFill="background1" w:themeFillShade="F2"/>
          </w:tcPr>
          <w:p w14:paraId="5A54DB48" w14:textId="77777777" w:rsidR="003E2E30" w:rsidRPr="003E2E30" w:rsidRDefault="003E2E30" w:rsidP="003E2E30">
            <w:pPr>
              <w:spacing w:after="80" w:line="276" w:lineRule="auto"/>
              <w:jc w:val="both"/>
              <w:rPr>
                <w:rFonts w:ascii="Times New Roman" w:hAnsi="Times New Roman" w:cs="Times New Roman"/>
                <w:sz w:val="24"/>
                <w:szCs w:val="24"/>
              </w:rPr>
            </w:pPr>
            <w:r w:rsidRPr="003E2E30">
              <w:rPr>
                <w:rFonts w:ascii="Times New Roman" w:hAnsi="Times New Roman" w:cs="Times New Roman"/>
                <w:sz w:val="24"/>
                <w:szCs w:val="24"/>
              </w:rPr>
              <w:t xml:space="preserve">Constatările prezentului audit, dar și rapoartele de audit anterioare ale Curții de Conturi atestă că CS nu a fost preocupată suficient de îmbunătățirea cadrului legal referitor la stabilirea unor criterii și reguli clare privind organizarea și funcționarea instituțiilor publice, ceea ce a condiționat: i) ambiguități și interpretări diferențiate ale statutului acestora, ii) administrarea neunitară a veniturilor colectate, precum și iii) aplicarea modului diferențiat de organizare a evidenței contabile de către IP. Se relevă că elaborarea unui cadru normativ coerent aferent instituționalizării I.P. este imperativă și necesară având în vedere și faptul existenței unor discrepanțe semnificative privind salarul mediu lunar al angajaților din instituțiile publice. </w:t>
            </w:r>
          </w:p>
          <w:p w14:paraId="046D45E2" w14:textId="77777777" w:rsidR="003E2E30" w:rsidRPr="003E2E30" w:rsidRDefault="003E2E30" w:rsidP="003E2E30">
            <w:pPr>
              <w:spacing w:after="80" w:line="276" w:lineRule="auto"/>
              <w:jc w:val="both"/>
              <w:rPr>
                <w:rFonts w:ascii="Times New Roman" w:hAnsi="Times New Roman" w:cs="Times New Roman"/>
                <w:sz w:val="24"/>
                <w:szCs w:val="24"/>
              </w:rPr>
            </w:pPr>
            <w:r w:rsidRPr="003E2E30">
              <w:rPr>
                <w:rFonts w:ascii="Times New Roman" w:hAnsi="Times New Roman" w:cs="Times New Roman"/>
                <w:sz w:val="24"/>
                <w:szCs w:val="24"/>
              </w:rPr>
              <w:t xml:space="preserve">Cu toate că CS îi revine funcția privind coordonarea și monitoringul activității structurilor din sfera de competență, iar mijloacele financiare redistribuite de autoritate anual acestora reprezintă o pondere semnificativă (82% din bugetul consolidat), în fapt la nivel de autoritate acest proces nu este instituționalizat și formalizat, nefiind definite și delimitate exhaustiv nici responsabilitățile factorilor decizionali pe acest segment. </w:t>
            </w:r>
          </w:p>
          <w:p w14:paraId="2C9F6966" w14:textId="6F1E91B7" w:rsidR="00973F92" w:rsidRPr="009E432A" w:rsidRDefault="003E2E30" w:rsidP="003E2E30">
            <w:pPr>
              <w:spacing w:line="276" w:lineRule="auto"/>
              <w:jc w:val="both"/>
              <w:rPr>
                <w:rFonts w:ascii="Times New Roman" w:hAnsi="Times New Roman" w:cs="Times New Roman"/>
                <w:sz w:val="24"/>
                <w:szCs w:val="24"/>
              </w:rPr>
            </w:pPr>
            <w:r w:rsidRPr="003E2E30">
              <w:rPr>
                <w:rFonts w:ascii="Times New Roman" w:hAnsi="Times New Roman" w:cs="Times New Roman"/>
                <w:sz w:val="24"/>
                <w:szCs w:val="24"/>
              </w:rPr>
              <w:t>Pe parcursul mai multor ani a rămas nerealizată sarcina pusă în responsabilitatea CS privind elaborarea și aprobarea unor politici tarifare aferente serviciilor prestate de către anumite instituții din subordine/monitorizate, ceea ce a determinat prestarea de către acestea a unor servicii în lipsa unor tarife aprobate regulamentar sau la costuri diminuate.</w:t>
            </w:r>
          </w:p>
        </w:tc>
      </w:tr>
    </w:tbl>
    <w:p w14:paraId="25907C4D" w14:textId="61E6D5CE" w:rsidR="003E2E30" w:rsidRPr="00D965E8" w:rsidRDefault="003E2E30" w:rsidP="00D965E8">
      <w:pPr>
        <w:pStyle w:val="a7"/>
        <w:numPr>
          <w:ilvl w:val="2"/>
          <w:numId w:val="4"/>
        </w:numPr>
        <w:tabs>
          <w:tab w:val="left" w:pos="567"/>
        </w:tabs>
        <w:spacing w:before="120" w:after="120" w:line="276" w:lineRule="auto"/>
        <w:ind w:left="0" w:firstLine="0"/>
        <w:contextualSpacing w:val="0"/>
        <w:jc w:val="both"/>
        <w:rPr>
          <w:rFonts w:ascii="Times New Roman" w:hAnsi="Times New Roman" w:cs="Times New Roman"/>
          <w:b/>
          <w:color w:val="0070C0"/>
          <w:sz w:val="24"/>
          <w:szCs w:val="24"/>
        </w:rPr>
      </w:pPr>
      <w:bookmarkStart w:id="32" w:name="_Toc156400785"/>
      <w:r w:rsidRPr="00D965E8">
        <w:rPr>
          <w:rFonts w:ascii="Times New Roman" w:hAnsi="Times New Roman" w:cs="Times New Roman"/>
          <w:b/>
          <w:color w:val="0070C0"/>
          <w:sz w:val="24"/>
          <w:szCs w:val="24"/>
        </w:rPr>
        <w:t xml:space="preserve"> </w:t>
      </w:r>
      <w:r w:rsidRPr="00D965E8">
        <w:rPr>
          <w:rFonts w:ascii="Times New Roman" w:eastAsia="Times New Roman" w:hAnsi="Times New Roman" w:cs="Times New Roman"/>
          <w:b/>
          <w:bCs/>
          <w:color w:val="0070C0"/>
          <w:sz w:val="24"/>
          <w:szCs w:val="24"/>
        </w:rPr>
        <w:t>Cadrul</w:t>
      </w:r>
      <w:r w:rsidRPr="00D965E8">
        <w:rPr>
          <w:rFonts w:ascii="Times New Roman" w:hAnsi="Times New Roman" w:cs="Times New Roman"/>
          <w:b/>
          <w:color w:val="0070C0"/>
          <w:sz w:val="24"/>
          <w:szCs w:val="24"/>
        </w:rPr>
        <w:t xml:space="preserve"> de reglementare este lacunar și fragmentat în ceea ce privește instituționalizarea și funcționarea instituțiilor publice, problematică abordată și în alte exerciții de audit public extern</w:t>
      </w:r>
      <w:bookmarkEnd w:id="32"/>
      <w:r w:rsidRPr="00D965E8">
        <w:rPr>
          <w:rFonts w:ascii="Times New Roman" w:hAnsi="Times New Roman" w:cs="Times New Roman"/>
          <w:b/>
          <w:color w:val="0070C0"/>
          <w:sz w:val="24"/>
          <w:szCs w:val="24"/>
        </w:rPr>
        <w:t xml:space="preserve">. </w:t>
      </w:r>
    </w:p>
    <w:p w14:paraId="1D5A3550" w14:textId="77777777" w:rsidR="003E2E30" w:rsidRPr="003B329E" w:rsidRDefault="003E2E30" w:rsidP="00DE4CE7">
      <w:pPr>
        <w:spacing w:after="120" w:line="276" w:lineRule="auto"/>
        <w:jc w:val="both"/>
        <w:rPr>
          <w:rFonts w:ascii="Times New Roman" w:hAnsi="Times New Roman" w:cs="Times New Roman"/>
          <w:sz w:val="24"/>
          <w:szCs w:val="24"/>
        </w:rPr>
      </w:pPr>
      <w:r w:rsidRPr="003B329E">
        <w:rPr>
          <w:rFonts w:ascii="Times New Roman" w:hAnsi="Times New Roman" w:cs="Times New Roman"/>
          <w:sz w:val="24"/>
          <w:szCs w:val="24"/>
        </w:rPr>
        <w:t>Pentru a răspunde exigenț</w:t>
      </w:r>
      <w:r>
        <w:rPr>
          <w:rFonts w:ascii="Times New Roman" w:hAnsi="Times New Roman" w:cs="Times New Roman"/>
          <w:sz w:val="24"/>
          <w:szCs w:val="24"/>
        </w:rPr>
        <w:t>e</w:t>
      </w:r>
      <w:r w:rsidRPr="003B329E">
        <w:rPr>
          <w:rFonts w:ascii="Times New Roman" w:hAnsi="Times New Roman" w:cs="Times New Roman"/>
          <w:sz w:val="24"/>
          <w:szCs w:val="24"/>
        </w:rPr>
        <w:t>lor sectorului public privind realizarea unor  funcții</w:t>
      </w:r>
      <w:r w:rsidRPr="003B329E">
        <w:rPr>
          <w:rStyle w:val="a5"/>
          <w:rFonts w:ascii="Times New Roman" w:hAnsi="Times New Roman" w:cs="Times New Roman"/>
          <w:sz w:val="24"/>
          <w:szCs w:val="24"/>
        </w:rPr>
        <w:footnoteReference w:id="78"/>
      </w:r>
      <w:r w:rsidRPr="003B329E">
        <w:rPr>
          <w:rFonts w:ascii="Times New Roman" w:hAnsi="Times New Roman" w:cs="Times New Roman"/>
          <w:sz w:val="24"/>
          <w:szCs w:val="24"/>
        </w:rPr>
        <w:t xml:space="preserve"> de interes public, de administrare, sociale, culturale, de învățământ și a altor funcții, în sfera de competență a ministerului sau a unei alte autorități administrative centrale se pot constitui entități cu forma juridică de organizare - instituții publice. </w:t>
      </w:r>
    </w:p>
    <w:p w14:paraId="28BBFB21" w14:textId="111F61D5" w:rsidR="003E2E30" w:rsidRDefault="003E2E30" w:rsidP="003E2E30">
      <w:pPr>
        <w:spacing w:after="120" w:line="276" w:lineRule="auto"/>
        <w:jc w:val="both"/>
        <w:rPr>
          <w:rFonts w:ascii="Times New Roman" w:hAnsi="Times New Roman" w:cs="Times New Roman"/>
          <w:sz w:val="24"/>
          <w:szCs w:val="24"/>
        </w:rPr>
      </w:pPr>
      <w:r w:rsidRPr="003B329E">
        <w:rPr>
          <w:rFonts w:ascii="Times New Roman" w:hAnsi="Times New Roman" w:cs="Times New Roman"/>
          <w:sz w:val="24"/>
          <w:szCs w:val="24"/>
        </w:rPr>
        <w:t xml:space="preserve">La situația din 31.12.2022, în numele Guvernului, CS exercită funcția de fondator la opt (8) instituții publice, inclusiv două instituții publice cu finanțare integrală de la buget și șase care activează în </w:t>
      </w:r>
      <w:r>
        <w:rPr>
          <w:rFonts w:ascii="Times New Roman" w:hAnsi="Times New Roman" w:cs="Times New Roman"/>
          <w:sz w:val="24"/>
          <w:szCs w:val="24"/>
        </w:rPr>
        <w:t>b</w:t>
      </w:r>
      <w:r w:rsidRPr="003B329E">
        <w:rPr>
          <w:rFonts w:ascii="Times New Roman" w:hAnsi="Times New Roman" w:cs="Times New Roman"/>
          <w:sz w:val="24"/>
          <w:szCs w:val="24"/>
        </w:rPr>
        <w:t>aza principiilor de autogestiune, inclusiv:</w:t>
      </w:r>
    </w:p>
    <w:tbl>
      <w:tblPr>
        <w:tblStyle w:val="-25"/>
        <w:tblW w:w="0" w:type="auto"/>
        <w:tblLook w:val="04A0" w:firstRow="1" w:lastRow="0" w:firstColumn="1" w:lastColumn="0" w:noHBand="0" w:noVBand="1"/>
      </w:tblPr>
      <w:tblGrid>
        <w:gridCol w:w="2767"/>
        <w:gridCol w:w="6587"/>
      </w:tblGrid>
      <w:tr w:rsidR="006974BB" w:rsidRPr="003B329E" w14:paraId="777E1B39" w14:textId="77777777" w:rsidTr="00231A5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767" w:type="dxa"/>
            <w:tcBorders>
              <w:top w:val="none" w:sz="0" w:space="0" w:color="auto"/>
              <w:bottom w:val="none" w:sz="0" w:space="0" w:color="auto"/>
              <w:right w:val="none" w:sz="0" w:space="0" w:color="auto"/>
            </w:tcBorders>
          </w:tcPr>
          <w:p w14:paraId="37D7D1B3" w14:textId="77777777" w:rsidR="006974BB" w:rsidRPr="003B329E" w:rsidRDefault="006974BB" w:rsidP="00F81806">
            <w:pPr>
              <w:spacing w:line="276" w:lineRule="auto"/>
              <w:jc w:val="center"/>
              <w:rPr>
                <w:rFonts w:ascii="Times New Roman" w:hAnsi="Times New Roman" w:cs="Times New Roman"/>
                <w:b w:val="0"/>
                <w:i/>
                <w:sz w:val="18"/>
                <w:szCs w:val="18"/>
              </w:rPr>
            </w:pPr>
            <w:r w:rsidRPr="003B329E">
              <w:rPr>
                <w:rFonts w:ascii="Times New Roman" w:hAnsi="Times New Roman" w:cs="Times New Roman"/>
                <w:i/>
                <w:sz w:val="18"/>
                <w:szCs w:val="18"/>
              </w:rPr>
              <w:t>Instituții publice cu finanțare integrală de la buget</w:t>
            </w:r>
          </w:p>
        </w:tc>
        <w:tc>
          <w:tcPr>
            <w:tcW w:w="6587" w:type="dxa"/>
            <w:tcBorders>
              <w:top w:val="none" w:sz="0" w:space="0" w:color="auto"/>
              <w:left w:val="none" w:sz="0" w:space="0" w:color="auto"/>
              <w:bottom w:val="none" w:sz="0" w:space="0" w:color="auto"/>
            </w:tcBorders>
          </w:tcPr>
          <w:p w14:paraId="6D9490A6" w14:textId="77777777" w:rsidR="006974BB" w:rsidRPr="003B329E" w:rsidRDefault="006974BB" w:rsidP="00F8180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18"/>
                <w:szCs w:val="18"/>
              </w:rPr>
            </w:pPr>
            <w:r w:rsidRPr="003B329E">
              <w:rPr>
                <w:rFonts w:ascii="Times New Roman" w:hAnsi="Times New Roman" w:cs="Times New Roman"/>
                <w:i/>
                <w:sz w:val="18"/>
                <w:szCs w:val="18"/>
              </w:rPr>
              <w:t>Instituții publice la autogestiune</w:t>
            </w:r>
          </w:p>
        </w:tc>
      </w:tr>
      <w:tr w:rsidR="006974BB" w:rsidRPr="003B329E" w14:paraId="783AAF98" w14:textId="77777777" w:rsidTr="00231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7" w:type="dxa"/>
          </w:tcPr>
          <w:p w14:paraId="3BE761B4" w14:textId="77777777" w:rsidR="006974BB" w:rsidRPr="00F556C6" w:rsidRDefault="006974BB" w:rsidP="000D631B">
            <w:pPr>
              <w:tabs>
                <w:tab w:val="left" w:pos="0"/>
              </w:tabs>
              <w:spacing w:line="276" w:lineRule="auto"/>
              <w:jc w:val="both"/>
              <w:rPr>
                <w:rFonts w:ascii="Times New Roman" w:hAnsi="Times New Roman" w:cs="Times New Roman"/>
                <w:b w:val="0"/>
                <w:sz w:val="18"/>
                <w:szCs w:val="18"/>
              </w:rPr>
            </w:pPr>
            <w:r w:rsidRPr="00F556C6">
              <w:rPr>
                <w:rFonts w:ascii="Times New Roman" w:hAnsi="Times New Roman" w:cs="Times New Roman"/>
                <w:sz w:val="18"/>
                <w:szCs w:val="18"/>
              </w:rPr>
              <w:t>- I.P. Direcția generală pentru administrarea clădirilor Guvernului Republicii Moldova;</w:t>
            </w:r>
          </w:p>
          <w:p w14:paraId="369C03F1" w14:textId="77777777" w:rsidR="006974BB" w:rsidRPr="00F556C6" w:rsidRDefault="006974BB" w:rsidP="00F81806">
            <w:pPr>
              <w:spacing w:line="276" w:lineRule="auto"/>
              <w:jc w:val="both"/>
              <w:rPr>
                <w:rFonts w:ascii="Times New Roman" w:hAnsi="Times New Roman" w:cs="Times New Roman"/>
                <w:b w:val="0"/>
                <w:sz w:val="18"/>
                <w:szCs w:val="18"/>
              </w:rPr>
            </w:pPr>
            <w:r w:rsidRPr="00F556C6">
              <w:rPr>
                <w:rFonts w:ascii="Times New Roman" w:hAnsi="Times New Roman" w:cs="Times New Roman"/>
                <w:sz w:val="18"/>
                <w:szCs w:val="18"/>
              </w:rPr>
              <w:t>- I.P. Baza auto a Cancelariei de Stat.</w:t>
            </w:r>
          </w:p>
        </w:tc>
        <w:tc>
          <w:tcPr>
            <w:tcW w:w="6587" w:type="dxa"/>
          </w:tcPr>
          <w:p w14:paraId="1A500E51" w14:textId="77777777" w:rsidR="006974BB" w:rsidRPr="003B329E" w:rsidRDefault="006974BB" w:rsidP="00BD2237">
            <w:pPr>
              <w:pStyle w:val="a7"/>
              <w:numPr>
                <w:ilvl w:val="0"/>
                <w:numId w:val="10"/>
              </w:numPr>
              <w:spacing w:line="276" w:lineRule="auto"/>
              <w:ind w:left="321"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B329E">
              <w:rPr>
                <w:rFonts w:ascii="Times New Roman" w:hAnsi="Times New Roman" w:cs="Times New Roman"/>
                <w:sz w:val="18"/>
                <w:szCs w:val="18"/>
              </w:rPr>
              <w:t>I.P. Agenția Servicii Publice</w:t>
            </w:r>
          </w:p>
          <w:p w14:paraId="0C420422" w14:textId="77777777" w:rsidR="006974BB" w:rsidRPr="003B329E" w:rsidRDefault="006974BB" w:rsidP="00BD2237">
            <w:pPr>
              <w:pStyle w:val="a7"/>
              <w:numPr>
                <w:ilvl w:val="0"/>
                <w:numId w:val="10"/>
              </w:numPr>
              <w:spacing w:line="276" w:lineRule="auto"/>
              <w:ind w:left="321"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B329E">
              <w:rPr>
                <w:rFonts w:ascii="Times New Roman" w:hAnsi="Times New Roman" w:cs="Times New Roman"/>
                <w:sz w:val="18"/>
                <w:szCs w:val="18"/>
              </w:rPr>
              <w:t>I.P. Serviciul Tehnologia Informației și Securitate Cibernetică</w:t>
            </w:r>
          </w:p>
          <w:p w14:paraId="5BA5437F" w14:textId="77777777" w:rsidR="006974BB" w:rsidRPr="003B329E" w:rsidRDefault="006974BB" w:rsidP="00BD2237">
            <w:pPr>
              <w:pStyle w:val="a7"/>
              <w:numPr>
                <w:ilvl w:val="0"/>
                <w:numId w:val="10"/>
              </w:numPr>
              <w:spacing w:line="276" w:lineRule="auto"/>
              <w:ind w:left="321"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B329E">
              <w:rPr>
                <w:rFonts w:ascii="Times New Roman" w:hAnsi="Times New Roman" w:cs="Times New Roman"/>
                <w:sz w:val="18"/>
                <w:szCs w:val="18"/>
              </w:rPr>
              <w:t>I.P. Palatul Republicii</w:t>
            </w:r>
          </w:p>
          <w:p w14:paraId="6E1B5359" w14:textId="77777777" w:rsidR="006974BB" w:rsidRPr="003B329E" w:rsidRDefault="006974BB" w:rsidP="00BD2237">
            <w:pPr>
              <w:pStyle w:val="a7"/>
              <w:numPr>
                <w:ilvl w:val="0"/>
                <w:numId w:val="10"/>
              </w:numPr>
              <w:spacing w:line="276" w:lineRule="auto"/>
              <w:ind w:left="321"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B329E">
              <w:rPr>
                <w:rFonts w:ascii="Times New Roman" w:hAnsi="Times New Roman" w:cs="Times New Roman"/>
                <w:sz w:val="18"/>
                <w:szCs w:val="18"/>
              </w:rPr>
              <w:t>I.P. Pensiunea din Holercani</w:t>
            </w:r>
          </w:p>
          <w:p w14:paraId="295972F9" w14:textId="77777777" w:rsidR="000D631B" w:rsidRDefault="006974BB" w:rsidP="00BD2237">
            <w:pPr>
              <w:pStyle w:val="a7"/>
              <w:numPr>
                <w:ilvl w:val="0"/>
                <w:numId w:val="10"/>
              </w:numPr>
              <w:spacing w:line="276" w:lineRule="auto"/>
              <w:ind w:left="321"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B329E">
              <w:rPr>
                <w:rFonts w:ascii="Times New Roman" w:hAnsi="Times New Roman" w:cs="Times New Roman"/>
                <w:sz w:val="18"/>
                <w:szCs w:val="18"/>
              </w:rPr>
              <w:t>I.P. Agenția Informațională de Stat „Moldpres”.</w:t>
            </w:r>
          </w:p>
          <w:p w14:paraId="679C74D3" w14:textId="77777777" w:rsidR="006974BB" w:rsidRPr="003B329E" w:rsidRDefault="006974BB" w:rsidP="00BD2237">
            <w:pPr>
              <w:pStyle w:val="a7"/>
              <w:numPr>
                <w:ilvl w:val="0"/>
                <w:numId w:val="10"/>
              </w:numPr>
              <w:spacing w:line="276" w:lineRule="auto"/>
              <w:ind w:left="321"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B329E">
              <w:rPr>
                <w:rFonts w:ascii="Times New Roman" w:hAnsi="Times New Roman" w:cs="Times New Roman"/>
                <w:sz w:val="18"/>
                <w:szCs w:val="18"/>
              </w:rPr>
              <w:t>I.P. Agenția de Guvernare Electronică</w:t>
            </w:r>
          </w:p>
        </w:tc>
      </w:tr>
    </w:tbl>
    <w:p w14:paraId="48E6AFDA" w14:textId="77777777" w:rsidR="003E2E30" w:rsidRPr="003B329E" w:rsidRDefault="003E2E30" w:rsidP="003E2E30">
      <w:pPr>
        <w:spacing w:before="120" w:after="120" w:line="276" w:lineRule="auto"/>
        <w:jc w:val="both"/>
        <w:rPr>
          <w:rFonts w:ascii="Times New Roman" w:hAnsi="Times New Roman" w:cs="Times New Roman"/>
          <w:sz w:val="24"/>
          <w:szCs w:val="24"/>
        </w:rPr>
      </w:pPr>
      <w:r w:rsidRPr="003B329E">
        <w:rPr>
          <w:rFonts w:ascii="Times New Roman" w:hAnsi="Times New Roman" w:cs="Times New Roman"/>
          <w:sz w:val="24"/>
          <w:szCs w:val="24"/>
        </w:rPr>
        <w:t>Deși accepțiunile privind instituționalizarea și funcționarea instituțiilor publice s</w:t>
      </w:r>
      <w:r>
        <w:rPr>
          <w:rFonts w:ascii="Times New Roman" w:hAnsi="Times New Roman" w:cs="Times New Roman"/>
          <w:sz w:val="24"/>
          <w:szCs w:val="24"/>
        </w:rPr>
        <w:t>u</w:t>
      </w:r>
      <w:r w:rsidRPr="003B329E">
        <w:rPr>
          <w:rFonts w:ascii="Times New Roman" w:hAnsi="Times New Roman" w:cs="Times New Roman"/>
          <w:sz w:val="24"/>
          <w:szCs w:val="24"/>
        </w:rPr>
        <w:t xml:space="preserve">nt reglementate de Codul </w:t>
      </w:r>
      <w:r>
        <w:rPr>
          <w:rFonts w:ascii="Times New Roman" w:hAnsi="Times New Roman" w:cs="Times New Roman"/>
          <w:sz w:val="24"/>
          <w:szCs w:val="24"/>
        </w:rPr>
        <w:t>c</w:t>
      </w:r>
      <w:r w:rsidRPr="003B329E">
        <w:rPr>
          <w:rFonts w:ascii="Times New Roman" w:hAnsi="Times New Roman" w:cs="Times New Roman"/>
          <w:sz w:val="24"/>
          <w:szCs w:val="24"/>
        </w:rPr>
        <w:t>ivil</w:t>
      </w:r>
      <w:r>
        <w:rPr>
          <w:rFonts w:ascii="Times New Roman" w:hAnsi="Times New Roman" w:cs="Times New Roman"/>
          <w:sz w:val="24"/>
          <w:szCs w:val="24"/>
        </w:rPr>
        <w:t>,</w:t>
      </w:r>
      <w:r w:rsidRPr="003B329E">
        <w:rPr>
          <w:rFonts w:ascii="Times New Roman" w:hAnsi="Times New Roman" w:cs="Times New Roman"/>
          <w:sz w:val="24"/>
          <w:szCs w:val="24"/>
        </w:rPr>
        <w:t xml:space="preserve"> cât și </w:t>
      </w:r>
      <w:r>
        <w:rPr>
          <w:rFonts w:ascii="Times New Roman" w:hAnsi="Times New Roman" w:cs="Times New Roman"/>
          <w:sz w:val="24"/>
          <w:szCs w:val="24"/>
        </w:rPr>
        <w:t xml:space="preserve">de </w:t>
      </w:r>
      <w:r w:rsidRPr="003B329E">
        <w:rPr>
          <w:rFonts w:ascii="Times New Roman" w:hAnsi="Times New Roman" w:cs="Times New Roman"/>
          <w:sz w:val="24"/>
          <w:szCs w:val="24"/>
        </w:rPr>
        <w:t>alte acte normative</w:t>
      </w:r>
      <w:r w:rsidRPr="003B329E">
        <w:rPr>
          <w:rStyle w:val="a5"/>
          <w:rFonts w:ascii="Times New Roman" w:hAnsi="Times New Roman" w:cs="Times New Roman"/>
          <w:sz w:val="24"/>
          <w:szCs w:val="24"/>
        </w:rPr>
        <w:footnoteReference w:id="79"/>
      </w:r>
      <w:r w:rsidRPr="003B329E">
        <w:rPr>
          <w:rFonts w:ascii="Times New Roman" w:hAnsi="Times New Roman" w:cs="Times New Roman"/>
          <w:sz w:val="24"/>
          <w:szCs w:val="24"/>
        </w:rPr>
        <w:t>, normele citate au un conținut contradictoriu, vag și nu definesc elementele fundamentale de organizare a instituțiilor vizate</w:t>
      </w:r>
      <w:r>
        <w:rPr>
          <w:rFonts w:ascii="Times New Roman" w:hAnsi="Times New Roman" w:cs="Times New Roman"/>
          <w:sz w:val="24"/>
          <w:szCs w:val="24"/>
        </w:rPr>
        <w:t>,</w:t>
      </w:r>
      <w:r w:rsidRPr="003B329E">
        <w:rPr>
          <w:rFonts w:ascii="Times New Roman" w:hAnsi="Times New Roman" w:cs="Times New Roman"/>
        </w:rPr>
        <w:t xml:space="preserve"> </w:t>
      </w:r>
      <w:r w:rsidRPr="003B329E">
        <w:rPr>
          <w:rFonts w:ascii="Times New Roman" w:hAnsi="Times New Roman" w:cs="Times New Roman"/>
          <w:sz w:val="24"/>
          <w:szCs w:val="24"/>
        </w:rPr>
        <w:t xml:space="preserve">precum și </w:t>
      </w:r>
      <w:r>
        <w:rPr>
          <w:rFonts w:ascii="Times New Roman" w:hAnsi="Times New Roman" w:cs="Times New Roman"/>
          <w:sz w:val="24"/>
          <w:szCs w:val="24"/>
        </w:rPr>
        <w:t xml:space="preserve">a </w:t>
      </w:r>
      <w:r w:rsidRPr="003B329E">
        <w:rPr>
          <w:rFonts w:ascii="Times New Roman" w:hAnsi="Times New Roman" w:cs="Times New Roman"/>
          <w:sz w:val="24"/>
          <w:szCs w:val="24"/>
        </w:rPr>
        <w:t>principiil</w:t>
      </w:r>
      <w:r>
        <w:rPr>
          <w:rFonts w:ascii="Times New Roman" w:hAnsi="Times New Roman" w:cs="Times New Roman"/>
          <w:sz w:val="24"/>
          <w:szCs w:val="24"/>
        </w:rPr>
        <w:t>or</w:t>
      </w:r>
      <w:r w:rsidRPr="003B329E">
        <w:rPr>
          <w:rFonts w:ascii="Times New Roman" w:hAnsi="Times New Roman" w:cs="Times New Roman"/>
          <w:sz w:val="24"/>
          <w:szCs w:val="24"/>
        </w:rPr>
        <w:t xml:space="preserve"> de finanțare și gestionare a resurselor publice de către</w:t>
      </w:r>
      <w:r>
        <w:rPr>
          <w:rFonts w:ascii="Times New Roman" w:hAnsi="Times New Roman" w:cs="Times New Roman"/>
          <w:sz w:val="24"/>
          <w:szCs w:val="24"/>
        </w:rPr>
        <w:t xml:space="preserve"> acestea. Astfel, drept exemplu</w:t>
      </w:r>
      <w:r w:rsidRPr="003B329E">
        <w:rPr>
          <w:rFonts w:ascii="Times New Roman" w:hAnsi="Times New Roman" w:cs="Times New Roman"/>
          <w:sz w:val="24"/>
          <w:szCs w:val="24"/>
        </w:rPr>
        <w:t xml:space="preserve"> se menționează că art.3 din Legea </w:t>
      </w:r>
      <w:r>
        <w:rPr>
          <w:rFonts w:ascii="Times New Roman" w:hAnsi="Times New Roman" w:cs="Times New Roman"/>
          <w:sz w:val="24"/>
          <w:szCs w:val="24"/>
        </w:rPr>
        <w:t>nr.</w:t>
      </w:r>
      <w:r w:rsidRPr="003B329E">
        <w:rPr>
          <w:rFonts w:ascii="Times New Roman" w:hAnsi="Times New Roman" w:cs="Times New Roman"/>
          <w:sz w:val="24"/>
          <w:szCs w:val="24"/>
        </w:rPr>
        <w:t>181/2014 statuează doar noțiunea de instituție publică la autogestiune</w:t>
      </w:r>
      <w:r w:rsidRPr="003B329E">
        <w:rPr>
          <w:rStyle w:val="a5"/>
          <w:rFonts w:ascii="Times New Roman" w:hAnsi="Times New Roman" w:cs="Times New Roman"/>
          <w:sz w:val="24"/>
          <w:szCs w:val="24"/>
        </w:rPr>
        <w:footnoteReference w:id="80"/>
      </w:r>
      <w:r w:rsidRPr="003B329E">
        <w:rPr>
          <w:rFonts w:ascii="Times New Roman" w:hAnsi="Times New Roman" w:cs="Times New Roman"/>
          <w:sz w:val="24"/>
          <w:szCs w:val="24"/>
        </w:rPr>
        <w:t xml:space="preserve">, </w:t>
      </w:r>
      <w:r>
        <w:rPr>
          <w:rFonts w:ascii="Times New Roman" w:hAnsi="Times New Roman" w:cs="Times New Roman"/>
          <w:sz w:val="24"/>
          <w:szCs w:val="24"/>
        </w:rPr>
        <w:t xml:space="preserve">iar </w:t>
      </w:r>
      <w:r w:rsidRPr="003B329E">
        <w:rPr>
          <w:rFonts w:ascii="Times New Roman" w:hAnsi="Times New Roman" w:cs="Times New Roman"/>
          <w:sz w:val="24"/>
          <w:szCs w:val="24"/>
        </w:rPr>
        <w:t xml:space="preserve">cât privește noțiunea și conceptul de instituție publică </w:t>
      </w:r>
      <w:r>
        <w:rPr>
          <w:rFonts w:ascii="Times New Roman" w:hAnsi="Times New Roman" w:cs="Times New Roman"/>
          <w:sz w:val="24"/>
          <w:szCs w:val="24"/>
        </w:rPr>
        <w:t xml:space="preserve">acestea </w:t>
      </w:r>
      <w:r w:rsidRPr="003B329E">
        <w:rPr>
          <w:rFonts w:ascii="Times New Roman" w:hAnsi="Times New Roman" w:cs="Times New Roman"/>
          <w:sz w:val="24"/>
          <w:szCs w:val="24"/>
        </w:rPr>
        <w:t>în general lipse</w:t>
      </w:r>
      <w:r>
        <w:rPr>
          <w:rFonts w:ascii="Times New Roman" w:hAnsi="Times New Roman" w:cs="Times New Roman"/>
          <w:sz w:val="24"/>
          <w:szCs w:val="24"/>
        </w:rPr>
        <w:t>sc</w:t>
      </w:r>
      <w:r w:rsidRPr="003B329E">
        <w:rPr>
          <w:rFonts w:ascii="Times New Roman" w:hAnsi="Times New Roman" w:cs="Times New Roman"/>
          <w:sz w:val="24"/>
          <w:szCs w:val="24"/>
        </w:rPr>
        <w:t>. Mai mult decât atât</w:t>
      </w:r>
      <w:r>
        <w:rPr>
          <w:rFonts w:ascii="Times New Roman" w:hAnsi="Times New Roman" w:cs="Times New Roman"/>
          <w:sz w:val="24"/>
          <w:szCs w:val="24"/>
        </w:rPr>
        <w:t>,</w:t>
      </w:r>
      <w:r w:rsidRPr="003B329E">
        <w:rPr>
          <w:rFonts w:ascii="Times New Roman" w:hAnsi="Times New Roman" w:cs="Times New Roman"/>
          <w:sz w:val="24"/>
          <w:szCs w:val="24"/>
        </w:rPr>
        <w:t xml:space="preserve"> se atestă o neconcordanță conceptuală între noțiunea expusă în Legea </w:t>
      </w:r>
      <w:r>
        <w:rPr>
          <w:rFonts w:ascii="Times New Roman" w:hAnsi="Times New Roman" w:cs="Times New Roman"/>
          <w:sz w:val="24"/>
          <w:szCs w:val="24"/>
        </w:rPr>
        <w:t>nr.</w:t>
      </w:r>
      <w:r w:rsidRPr="003B329E">
        <w:rPr>
          <w:rFonts w:ascii="Times New Roman" w:hAnsi="Times New Roman" w:cs="Times New Roman"/>
          <w:sz w:val="24"/>
          <w:szCs w:val="24"/>
        </w:rPr>
        <w:t>181/2014 privind instituția publică la autogestiune și cea statuată în art.307 alin.</w:t>
      </w:r>
      <w:r>
        <w:rPr>
          <w:rFonts w:ascii="Times New Roman" w:hAnsi="Times New Roman" w:cs="Times New Roman"/>
          <w:sz w:val="24"/>
          <w:szCs w:val="24"/>
        </w:rPr>
        <w:t>(</w:t>
      </w:r>
      <w:r w:rsidRPr="003B329E">
        <w:rPr>
          <w:rFonts w:ascii="Times New Roman" w:hAnsi="Times New Roman" w:cs="Times New Roman"/>
          <w:sz w:val="24"/>
          <w:szCs w:val="24"/>
        </w:rPr>
        <w:t xml:space="preserve">1) din Codul </w:t>
      </w:r>
      <w:r>
        <w:rPr>
          <w:rFonts w:ascii="Times New Roman" w:hAnsi="Times New Roman" w:cs="Times New Roman"/>
          <w:sz w:val="24"/>
          <w:szCs w:val="24"/>
        </w:rPr>
        <w:t>c</w:t>
      </w:r>
      <w:r w:rsidRPr="003B329E">
        <w:rPr>
          <w:rFonts w:ascii="Times New Roman" w:hAnsi="Times New Roman" w:cs="Times New Roman"/>
          <w:sz w:val="24"/>
          <w:szCs w:val="24"/>
        </w:rPr>
        <w:t>ivil</w:t>
      </w:r>
      <w:r w:rsidRPr="003B329E">
        <w:rPr>
          <w:rStyle w:val="a5"/>
          <w:rFonts w:ascii="Times New Roman" w:hAnsi="Times New Roman" w:cs="Times New Roman"/>
          <w:sz w:val="24"/>
          <w:szCs w:val="24"/>
        </w:rPr>
        <w:footnoteReference w:id="81"/>
      </w:r>
      <w:r w:rsidRPr="003B329E">
        <w:rPr>
          <w:rFonts w:ascii="Times New Roman" w:hAnsi="Times New Roman" w:cs="Times New Roman"/>
          <w:sz w:val="24"/>
          <w:szCs w:val="24"/>
        </w:rPr>
        <w:t xml:space="preserve">, ceea ce permite interpretarea neunivocă privind desfășurarea activității necomerciale (nonprofit) de către această  persoană juridică de drept public. </w:t>
      </w:r>
    </w:p>
    <w:p w14:paraId="54F51303" w14:textId="64269272" w:rsidR="003E2E30" w:rsidRPr="003B329E" w:rsidRDefault="003E2E30" w:rsidP="003E2E30">
      <w:pPr>
        <w:spacing w:before="120" w:after="120" w:line="276" w:lineRule="auto"/>
        <w:jc w:val="both"/>
        <w:rPr>
          <w:rFonts w:ascii="Times New Roman" w:hAnsi="Times New Roman" w:cs="Times New Roman"/>
          <w:sz w:val="24"/>
          <w:szCs w:val="24"/>
        </w:rPr>
      </w:pPr>
      <w:r w:rsidRPr="00322C2F">
        <w:rPr>
          <w:rStyle w:val="af5"/>
          <w:rFonts w:ascii="Times New Roman" w:hAnsi="Times New Roman" w:cs="Times New Roman"/>
          <w:bCs/>
          <w:sz w:val="24"/>
          <w:szCs w:val="24"/>
          <w:shd w:val="clear" w:color="auto" w:fill="FFFFFF"/>
        </w:rPr>
        <w:t>Necesitatea</w:t>
      </w:r>
      <w:r w:rsidRPr="00322C2F">
        <w:rPr>
          <w:rFonts w:ascii="Times New Roman" w:hAnsi="Times New Roman" w:cs="Times New Roman"/>
          <w:sz w:val="24"/>
          <w:szCs w:val="24"/>
          <w:shd w:val="clear" w:color="auto" w:fill="FFFFFF"/>
        </w:rPr>
        <w:t> </w:t>
      </w:r>
      <w:r w:rsidRPr="00322C2F">
        <w:rPr>
          <w:rFonts w:ascii="Times New Roman" w:hAnsi="Times New Roman" w:cs="Times New Roman"/>
          <w:i/>
          <w:sz w:val="24"/>
          <w:szCs w:val="24"/>
          <w:shd w:val="clear" w:color="auto" w:fill="FFFFFF"/>
        </w:rPr>
        <w:t>reglementării</w:t>
      </w:r>
      <w:r w:rsidRPr="003B329E">
        <w:rPr>
          <w:rFonts w:ascii="Times New Roman" w:hAnsi="Times New Roman" w:cs="Times New Roman"/>
          <w:sz w:val="24"/>
          <w:szCs w:val="24"/>
          <w:shd w:val="clear" w:color="auto" w:fill="FFFFFF"/>
        </w:rPr>
        <w:t xml:space="preserve">, în mod clar </w:t>
      </w:r>
      <w:r w:rsidR="00803D7F" w:rsidRPr="003B329E">
        <w:rPr>
          <w:rFonts w:ascii="Times New Roman" w:hAnsi="Times New Roman" w:cs="Times New Roman"/>
          <w:sz w:val="24"/>
          <w:szCs w:val="24"/>
          <w:shd w:val="clear" w:color="auto" w:fill="FFFFFF"/>
        </w:rPr>
        <w:t>și</w:t>
      </w:r>
      <w:r w:rsidRPr="003B329E">
        <w:rPr>
          <w:rFonts w:ascii="Times New Roman" w:hAnsi="Times New Roman" w:cs="Times New Roman"/>
          <w:sz w:val="24"/>
          <w:szCs w:val="24"/>
          <w:shd w:val="clear" w:color="auto" w:fill="FFFFFF"/>
        </w:rPr>
        <w:t xml:space="preserve"> previzibil</w:t>
      </w:r>
      <w:r>
        <w:rPr>
          <w:rFonts w:ascii="Times New Roman" w:hAnsi="Times New Roman" w:cs="Times New Roman"/>
          <w:sz w:val="24"/>
          <w:szCs w:val="24"/>
          <w:shd w:val="clear" w:color="auto" w:fill="FFFFFF"/>
        </w:rPr>
        <w:t>,</w:t>
      </w:r>
      <w:r w:rsidRPr="003B329E">
        <w:rPr>
          <w:rFonts w:ascii="Times New Roman" w:hAnsi="Times New Roman" w:cs="Times New Roman"/>
          <w:sz w:val="24"/>
          <w:szCs w:val="24"/>
          <w:shd w:val="clear" w:color="auto" w:fill="FFFFFF"/>
        </w:rPr>
        <w:t xml:space="preserve"> </w:t>
      </w:r>
      <w:r w:rsidRPr="003B329E">
        <w:rPr>
          <w:rFonts w:ascii="Times New Roman" w:hAnsi="Times New Roman" w:cs="Times New Roman"/>
          <w:sz w:val="24"/>
          <w:szCs w:val="24"/>
        </w:rPr>
        <w:t xml:space="preserve">a unor aspecte </w:t>
      </w:r>
      <w:r>
        <w:rPr>
          <w:rFonts w:ascii="Times New Roman" w:hAnsi="Times New Roman" w:cs="Times New Roman"/>
          <w:sz w:val="24"/>
          <w:szCs w:val="24"/>
        </w:rPr>
        <w:t>evidențiate</w:t>
      </w:r>
      <w:r w:rsidRPr="003B329E">
        <w:rPr>
          <w:rFonts w:ascii="Times New Roman" w:hAnsi="Times New Roman" w:cs="Times New Roman"/>
          <w:sz w:val="24"/>
          <w:szCs w:val="24"/>
        </w:rPr>
        <w:t xml:space="preserve"> supra a fost sesizată și de către Guvernul RM </w:t>
      </w:r>
      <w:r w:rsidRPr="003B329E">
        <w:rPr>
          <w:rFonts w:ascii="Times New Roman" w:hAnsi="Times New Roman" w:cs="Times New Roman"/>
          <w:sz w:val="24"/>
          <w:szCs w:val="24"/>
          <w:lang w:val="ro-RO"/>
        </w:rPr>
        <w:t>sau</w:t>
      </w:r>
      <w:r>
        <w:rPr>
          <w:rFonts w:ascii="Times New Roman" w:hAnsi="Times New Roman" w:cs="Times New Roman"/>
          <w:sz w:val="24"/>
          <w:szCs w:val="24"/>
          <w:lang w:val="ro-RO"/>
        </w:rPr>
        <w:t>,</w:t>
      </w:r>
      <w:r w:rsidRPr="003B329E">
        <w:rPr>
          <w:rFonts w:ascii="Times New Roman" w:hAnsi="Times New Roman" w:cs="Times New Roman"/>
          <w:sz w:val="24"/>
          <w:szCs w:val="24"/>
        </w:rPr>
        <w:t xml:space="preserve"> odată cu aprobarea Strategi</w:t>
      </w:r>
      <w:r>
        <w:rPr>
          <w:rFonts w:ascii="Times New Roman" w:hAnsi="Times New Roman" w:cs="Times New Roman"/>
          <w:sz w:val="24"/>
          <w:szCs w:val="24"/>
        </w:rPr>
        <w:t>ei</w:t>
      </w:r>
      <w:r w:rsidRPr="003B329E">
        <w:rPr>
          <w:rFonts w:ascii="Times New Roman" w:hAnsi="Times New Roman" w:cs="Times New Roman"/>
          <w:sz w:val="24"/>
          <w:szCs w:val="24"/>
        </w:rPr>
        <w:t xml:space="preserve"> privind reforma administrației publice pentru anii 2016-2020</w:t>
      </w:r>
      <w:r w:rsidRPr="003B329E">
        <w:rPr>
          <w:rStyle w:val="a5"/>
          <w:rFonts w:ascii="Times New Roman" w:hAnsi="Times New Roman" w:cs="Times New Roman"/>
          <w:sz w:val="24"/>
          <w:szCs w:val="24"/>
        </w:rPr>
        <w:footnoteReference w:id="82"/>
      </w:r>
      <w:r w:rsidRPr="003B329E">
        <w:rPr>
          <w:rFonts w:ascii="Times New Roman" w:hAnsi="Times New Roman" w:cs="Times New Roman"/>
          <w:sz w:val="24"/>
          <w:szCs w:val="24"/>
        </w:rPr>
        <w:t xml:space="preserve"> și </w:t>
      </w:r>
      <w:r>
        <w:rPr>
          <w:rFonts w:ascii="Times New Roman" w:hAnsi="Times New Roman" w:cs="Times New Roman"/>
          <w:sz w:val="24"/>
          <w:szCs w:val="24"/>
        </w:rPr>
        <w:t xml:space="preserve">a </w:t>
      </w:r>
      <w:r w:rsidRPr="003B329E">
        <w:rPr>
          <w:rFonts w:ascii="Times New Roman" w:hAnsi="Times New Roman" w:cs="Times New Roman"/>
          <w:sz w:val="24"/>
          <w:szCs w:val="24"/>
        </w:rPr>
        <w:t>Planul</w:t>
      </w:r>
      <w:r>
        <w:rPr>
          <w:rFonts w:ascii="Times New Roman" w:hAnsi="Times New Roman" w:cs="Times New Roman"/>
          <w:sz w:val="24"/>
          <w:szCs w:val="24"/>
        </w:rPr>
        <w:t>ui</w:t>
      </w:r>
      <w:r w:rsidRPr="003B329E">
        <w:rPr>
          <w:rFonts w:ascii="Times New Roman" w:hAnsi="Times New Roman" w:cs="Times New Roman"/>
          <w:sz w:val="24"/>
          <w:szCs w:val="24"/>
        </w:rPr>
        <w:t xml:space="preserve"> de acțiuni pentru anii 2016-2018 </w:t>
      </w:r>
      <w:r>
        <w:rPr>
          <w:rFonts w:ascii="Times New Roman" w:hAnsi="Times New Roman" w:cs="Times New Roman"/>
          <w:sz w:val="24"/>
          <w:szCs w:val="24"/>
        </w:rPr>
        <w:t>privind</w:t>
      </w:r>
      <w:r w:rsidRPr="003B329E">
        <w:rPr>
          <w:rFonts w:ascii="Times New Roman" w:hAnsi="Times New Roman" w:cs="Times New Roman"/>
          <w:sz w:val="24"/>
          <w:szCs w:val="24"/>
        </w:rPr>
        <w:t xml:space="preserve"> implementarea acesteia, s-a țintit elaborarea și aprobarea cadrului normativ aferent funcționalității structurilor organizaționale din sfera de competență a APC. </w:t>
      </w:r>
      <w:r>
        <w:rPr>
          <w:rFonts w:ascii="Times New Roman" w:hAnsi="Times New Roman" w:cs="Times New Roman"/>
          <w:sz w:val="24"/>
          <w:szCs w:val="24"/>
        </w:rPr>
        <w:t>Pe</w:t>
      </w:r>
      <w:r w:rsidRPr="003B329E">
        <w:rPr>
          <w:rFonts w:ascii="Times New Roman" w:hAnsi="Times New Roman" w:cs="Times New Roman"/>
          <w:sz w:val="24"/>
          <w:szCs w:val="24"/>
        </w:rPr>
        <w:t xml:space="preserve">ntru realizarea celor asumate, CS a elaborat proiectul de hotărâre a Guvernului pentru aprobarea Statutului-model al instituției publice, inclusiv al instituției publice la autogestiune, </w:t>
      </w:r>
      <w:r>
        <w:rPr>
          <w:rFonts w:ascii="Times New Roman" w:hAnsi="Times New Roman" w:cs="Times New Roman"/>
          <w:sz w:val="24"/>
          <w:szCs w:val="24"/>
        </w:rPr>
        <w:t xml:space="preserve">însă </w:t>
      </w:r>
      <w:r w:rsidRPr="003B329E">
        <w:rPr>
          <w:rFonts w:ascii="Times New Roman" w:hAnsi="Times New Roman" w:cs="Times New Roman"/>
          <w:sz w:val="24"/>
          <w:szCs w:val="24"/>
        </w:rPr>
        <w:t xml:space="preserve">documentul </w:t>
      </w:r>
      <w:r>
        <w:rPr>
          <w:rFonts w:ascii="Times New Roman" w:hAnsi="Times New Roman" w:cs="Times New Roman"/>
          <w:sz w:val="24"/>
          <w:szCs w:val="24"/>
        </w:rPr>
        <w:t xml:space="preserve">respectiv </w:t>
      </w:r>
      <w:r w:rsidRPr="003B329E">
        <w:rPr>
          <w:rFonts w:ascii="Times New Roman" w:hAnsi="Times New Roman" w:cs="Times New Roman"/>
          <w:sz w:val="24"/>
          <w:szCs w:val="24"/>
        </w:rPr>
        <w:t xml:space="preserve">nu a fost aprobat regulamentar, această acțiune neavând finalitate. </w:t>
      </w:r>
    </w:p>
    <w:p w14:paraId="58E74B9B" w14:textId="77777777" w:rsidR="003E2E30" w:rsidRPr="003B329E" w:rsidRDefault="003E2E30" w:rsidP="00231A57">
      <w:pPr>
        <w:spacing w:before="120" w:after="0" w:line="276" w:lineRule="auto"/>
        <w:jc w:val="both"/>
        <w:rPr>
          <w:rFonts w:ascii="Times New Roman" w:hAnsi="Times New Roman" w:cs="Times New Roman"/>
          <w:sz w:val="24"/>
          <w:szCs w:val="24"/>
        </w:rPr>
      </w:pPr>
      <w:r w:rsidRPr="003B329E">
        <w:rPr>
          <w:rFonts w:ascii="Times New Roman" w:hAnsi="Times New Roman" w:cs="Times New Roman"/>
          <w:sz w:val="24"/>
          <w:szCs w:val="24"/>
        </w:rPr>
        <w:t>Av</w:t>
      </w:r>
      <w:r>
        <w:rPr>
          <w:rFonts w:ascii="Times New Roman" w:hAnsi="Times New Roman" w:cs="Times New Roman"/>
          <w:sz w:val="24"/>
          <w:szCs w:val="24"/>
        </w:rPr>
        <w:t>â</w:t>
      </w:r>
      <w:r w:rsidRPr="003B329E">
        <w:rPr>
          <w:rFonts w:ascii="Times New Roman" w:hAnsi="Times New Roman" w:cs="Times New Roman"/>
          <w:sz w:val="24"/>
          <w:szCs w:val="24"/>
        </w:rPr>
        <w:t>nd</w:t>
      </w:r>
      <w:r>
        <w:rPr>
          <w:rFonts w:ascii="Times New Roman" w:hAnsi="Times New Roman" w:cs="Times New Roman"/>
          <w:sz w:val="24"/>
          <w:szCs w:val="24"/>
        </w:rPr>
        <w:t>u-se</w:t>
      </w:r>
      <w:r w:rsidRPr="003B329E">
        <w:rPr>
          <w:rFonts w:ascii="Times New Roman" w:hAnsi="Times New Roman" w:cs="Times New Roman"/>
          <w:sz w:val="24"/>
          <w:szCs w:val="24"/>
        </w:rPr>
        <w:t xml:space="preserve"> în vedere neexecutarea dezideratului menționat, ulterior, în Planul de acțiuni al Guvernului pentru anul 2023</w:t>
      </w:r>
      <w:r w:rsidRPr="003B329E">
        <w:rPr>
          <w:rStyle w:val="a5"/>
          <w:rFonts w:ascii="Times New Roman" w:hAnsi="Times New Roman" w:cs="Times New Roman"/>
          <w:sz w:val="24"/>
          <w:szCs w:val="24"/>
        </w:rPr>
        <w:footnoteReference w:id="83"/>
      </w:r>
      <w:r w:rsidRPr="003B329E">
        <w:rPr>
          <w:rFonts w:ascii="Times New Roman" w:hAnsi="Times New Roman" w:cs="Times New Roman"/>
          <w:sz w:val="24"/>
          <w:szCs w:val="24"/>
        </w:rPr>
        <w:t>, s-a reiterat acțiunea privind elaborarea cadrului normativ cu incidență asupra instituțiilor publice, responsabil de implementare fiind CS și MF. Astfel, potrivit acțiunii</w:t>
      </w:r>
      <w:r w:rsidRPr="003B329E">
        <w:rPr>
          <w:rStyle w:val="a5"/>
          <w:rFonts w:ascii="Times New Roman" w:hAnsi="Times New Roman" w:cs="Times New Roman"/>
          <w:sz w:val="24"/>
          <w:szCs w:val="24"/>
        </w:rPr>
        <w:footnoteReference w:id="84"/>
      </w:r>
      <w:r w:rsidRPr="003B329E">
        <w:rPr>
          <w:rFonts w:ascii="Times New Roman" w:hAnsi="Times New Roman" w:cs="Times New Roman"/>
          <w:sz w:val="24"/>
          <w:szCs w:val="24"/>
        </w:rPr>
        <w:t xml:space="preserve"> nr.1.8 din Planul de acțiuni</w:t>
      </w:r>
      <w:r>
        <w:rPr>
          <w:rFonts w:ascii="Times New Roman" w:hAnsi="Times New Roman" w:cs="Times New Roman"/>
          <w:sz w:val="24"/>
          <w:szCs w:val="24"/>
        </w:rPr>
        <w:t>,</w:t>
      </w:r>
      <w:r w:rsidRPr="003B329E">
        <w:rPr>
          <w:rFonts w:ascii="Times New Roman" w:hAnsi="Times New Roman" w:cs="Times New Roman"/>
          <w:sz w:val="24"/>
          <w:szCs w:val="24"/>
        </w:rPr>
        <w:t xml:space="preserve"> s-a stabilit ca până în trimestru</w:t>
      </w:r>
      <w:r>
        <w:rPr>
          <w:rFonts w:ascii="Times New Roman" w:hAnsi="Times New Roman" w:cs="Times New Roman"/>
          <w:sz w:val="24"/>
          <w:szCs w:val="24"/>
        </w:rPr>
        <w:t>l</w:t>
      </w:r>
      <w:r w:rsidRPr="003B329E">
        <w:rPr>
          <w:rFonts w:ascii="Times New Roman" w:hAnsi="Times New Roman" w:cs="Times New Roman"/>
          <w:sz w:val="24"/>
          <w:szCs w:val="24"/>
        </w:rPr>
        <w:t xml:space="preserve"> IV al anului 2023 entitățile </w:t>
      </w:r>
      <w:r>
        <w:rPr>
          <w:rFonts w:ascii="Times New Roman" w:hAnsi="Times New Roman" w:cs="Times New Roman"/>
          <w:sz w:val="24"/>
          <w:szCs w:val="24"/>
        </w:rPr>
        <w:t xml:space="preserve">urmau </w:t>
      </w:r>
      <w:r w:rsidRPr="003B329E">
        <w:rPr>
          <w:rFonts w:ascii="Times New Roman" w:hAnsi="Times New Roman" w:cs="Times New Roman"/>
          <w:sz w:val="24"/>
          <w:szCs w:val="24"/>
        </w:rPr>
        <w:t xml:space="preserve">să asigure </w:t>
      </w:r>
      <w:r>
        <w:rPr>
          <w:rFonts w:ascii="Times New Roman" w:hAnsi="Times New Roman" w:cs="Times New Roman"/>
          <w:sz w:val="24"/>
          <w:szCs w:val="24"/>
        </w:rPr>
        <w:t xml:space="preserve">înaintarea spre </w:t>
      </w:r>
      <w:r w:rsidRPr="003B329E">
        <w:rPr>
          <w:rFonts w:ascii="Times New Roman" w:hAnsi="Times New Roman" w:cs="Times New Roman"/>
          <w:sz w:val="24"/>
          <w:szCs w:val="24"/>
        </w:rPr>
        <w:t>aprobare Guvern</w:t>
      </w:r>
      <w:r>
        <w:rPr>
          <w:rFonts w:ascii="Times New Roman" w:hAnsi="Times New Roman" w:cs="Times New Roman"/>
          <w:sz w:val="24"/>
          <w:szCs w:val="24"/>
        </w:rPr>
        <w:t>ului și Parlamentului</w:t>
      </w:r>
      <w:r w:rsidRPr="003B329E">
        <w:rPr>
          <w:rFonts w:ascii="Times New Roman" w:hAnsi="Times New Roman" w:cs="Times New Roman"/>
          <w:sz w:val="24"/>
          <w:szCs w:val="24"/>
        </w:rPr>
        <w:t xml:space="preserve"> a proiectului de Lege privind instituțiile publice</w:t>
      </w:r>
      <w:r>
        <w:rPr>
          <w:rFonts w:ascii="Times New Roman" w:hAnsi="Times New Roman" w:cs="Times New Roman"/>
          <w:sz w:val="24"/>
          <w:szCs w:val="24"/>
        </w:rPr>
        <w:t xml:space="preserve">, această sarcină nefiind realizată și </w:t>
      </w:r>
      <w:r w:rsidRPr="003B329E">
        <w:rPr>
          <w:rFonts w:ascii="Times New Roman" w:hAnsi="Times New Roman" w:cs="Times New Roman"/>
          <w:sz w:val="24"/>
          <w:szCs w:val="24"/>
        </w:rPr>
        <w:t>amânat</w:t>
      </w:r>
      <w:r>
        <w:rPr>
          <w:rFonts w:ascii="Times New Roman" w:hAnsi="Times New Roman" w:cs="Times New Roman"/>
          <w:sz w:val="24"/>
          <w:szCs w:val="24"/>
        </w:rPr>
        <w:t>ă pentru executare î</w:t>
      </w:r>
      <w:r w:rsidRPr="003B329E">
        <w:rPr>
          <w:rFonts w:ascii="Times New Roman" w:hAnsi="Times New Roman" w:cs="Times New Roman"/>
          <w:sz w:val="24"/>
          <w:szCs w:val="24"/>
        </w:rPr>
        <w:t>n semestru</w:t>
      </w:r>
      <w:r>
        <w:rPr>
          <w:rFonts w:ascii="Times New Roman" w:hAnsi="Times New Roman" w:cs="Times New Roman"/>
          <w:sz w:val="24"/>
          <w:szCs w:val="24"/>
        </w:rPr>
        <w:t>l</w:t>
      </w:r>
      <w:r w:rsidRPr="003B329E">
        <w:rPr>
          <w:rFonts w:ascii="Times New Roman" w:hAnsi="Times New Roman" w:cs="Times New Roman"/>
          <w:sz w:val="24"/>
          <w:szCs w:val="24"/>
        </w:rPr>
        <w:t xml:space="preserve"> I al anului 2024.</w:t>
      </w:r>
    </w:p>
    <w:p w14:paraId="3C4C5A44" w14:textId="77777777" w:rsidR="003E2E30" w:rsidRPr="003B329E" w:rsidRDefault="003E2E30" w:rsidP="003E2E30">
      <w:pPr>
        <w:spacing w:before="120" w:after="120" w:line="276" w:lineRule="auto"/>
        <w:jc w:val="both"/>
        <w:rPr>
          <w:rFonts w:ascii="Times New Roman" w:hAnsi="Times New Roman" w:cs="Times New Roman"/>
          <w:sz w:val="24"/>
          <w:szCs w:val="24"/>
        </w:rPr>
      </w:pPr>
      <w:r w:rsidRPr="003B329E">
        <w:rPr>
          <w:rFonts w:ascii="Times New Roman" w:hAnsi="Times New Roman" w:cs="Times New Roman"/>
          <w:sz w:val="24"/>
          <w:szCs w:val="24"/>
        </w:rPr>
        <w:t>Lipsa unor reglementări exhaustive care ar defini conceptul de organizare și funcționare a instituției publice cu finanțare de la buget și a instituției publice</w:t>
      </w:r>
      <w:r>
        <w:rPr>
          <w:rFonts w:ascii="Times New Roman" w:hAnsi="Times New Roman" w:cs="Times New Roman"/>
          <w:sz w:val="24"/>
          <w:szCs w:val="24"/>
        </w:rPr>
        <w:t xml:space="preserve"> la autogestiune</w:t>
      </w:r>
      <w:r w:rsidRPr="003B329E">
        <w:rPr>
          <w:rFonts w:ascii="Times New Roman" w:hAnsi="Times New Roman" w:cs="Times New Roman"/>
          <w:sz w:val="24"/>
          <w:szCs w:val="24"/>
        </w:rPr>
        <w:t>, creează multiple neclarități și  incertitudini, f</w:t>
      </w:r>
      <w:r>
        <w:rPr>
          <w:rFonts w:ascii="Times New Roman" w:hAnsi="Times New Roman" w:cs="Times New Roman"/>
          <w:sz w:val="24"/>
          <w:szCs w:val="24"/>
        </w:rPr>
        <w:t xml:space="preserve">apt constatat și ca urmare a analizei </w:t>
      </w:r>
      <w:r w:rsidRPr="003B329E">
        <w:rPr>
          <w:rFonts w:ascii="Times New Roman" w:hAnsi="Times New Roman" w:cs="Times New Roman"/>
          <w:sz w:val="24"/>
          <w:szCs w:val="24"/>
        </w:rPr>
        <w:t xml:space="preserve">modului de activitate a celor 8 instituții fondate de CS. </w:t>
      </w:r>
      <w:r>
        <w:rPr>
          <w:rFonts w:ascii="Times New Roman" w:hAnsi="Times New Roman" w:cs="Times New Roman"/>
          <w:sz w:val="24"/>
          <w:szCs w:val="24"/>
        </w:rPr>
        <w:t>Pe</w:t>
      </w:r>
      <w:r w:rsidRPr="003B329E">
        <w:rPr>
          <w:rFonts w:ascii="Times New Roman" w:hAnsi="Times New Roman" w:cs="Times New Roman"/>
          <w:sz w:val="24"/>
          <w:szCs w:val="24"/>
        </w:rPr>
        <w:t>ntru argumentarea celor expuse se menționează următoarele:</w:t>
      </w:r>
    </w:p>
    <w:p w14:paraId="2FA99514" w14:textId="77777777" w:rsidR="003E2E30" w:rsidRPr="003B329E" w:rsidRDefault="003E2E30" w:rsidP="003E2E30">
      <w:pPr>
        <w:pStyle w:val="a7"/>
        <w:numPr>
          <w:ilvl w:val="0"/>
          <w:numId w:val="10"/>
        </w:numPr>
        <w:spacing w:after="80" w:line="276" w:lineRule="auto"/>
        <w:ind w:left="426" w:hanging="142"/>
        <w:jc w:val="both"/>
        <w:rPr>
          <w:rFonts w:ascii="Times New Roman" w:hAnsi="Times New Roman" w:cs="Times New Roman"/>
          <w:sz w:val="24"/>
          <w:szCs w:val="24"/>
        </w:rPr>
      </w:pPr>
      <w:r>
        <w:rPr>
          <w:rFonts w:ascii="Times New Roman" w:hAnsi="Times New Roman" w:cs="Times New Roman"/>
          <w:sz w:val="24"/>
          <w:szCs w:val="24"/>
        </w:rPr>
        <w:t>p</w:t>
      </w:r>
      <w:r w:rsidRPr="003B329E">
        <w:rPr>
          <w:rFonts w:ascii="Times New Roman" w:hAnsi="Times New Roman" w:cs="Times New Roman"/>
          <w:sz w:val="24"/>
          <w:szCs w:val="24"/>
        </w:rPr>
        <w:t xml:space="preserve">otrivit art.307 alin.(3) din Codul </w:t>
      </w:r>
      <w:r>
        <w:rPr>
          <w:rFonts w:ascii="Times New Roman" w:hAnsi="Times New Roman" w:cs="Times New Roman"/>
          <w:sz w:val="24"/>
          <w:szCs w:val="24"/>
        </w:rPr>
        <w:t>c</w:t>
      </w:r>
      <w:r w:rsidRPr="003B329E">
        <w:rPr>
          <w:rFonts w:ascii="Times New Roman" w:hAnsi="Times New Roman" w:cs="Times New Roman"/>
          <w:sz w:val="24"/>
          <w:szCs w:val="24"/>
        </w:rPr>
        <w:t xml:space="preserve">ivil, instituția publică este în drept să desfășoare </w:t>
      </w:r>
      <w:r>
        <w:rPr>
          <w:rFonts w:ascii="Times New Roman" w:hAnsi="Times New Roman" w:cs="Times New Roman"/>
          <w:sz w:val="24"/>
          <w:szCs w:val="24"/>
        </w:rPr>
        <w:t>activitate neinterzisă de lege</w:t>
      </w:r>
      <w:r w:rsidRPr="003B329E">
        <w:rPr>
          <w:rFonts w:ascii="Times New Roman" w:hAnsi="Times New Roman" w:cs="Times New Roman"/>
          <w:sz w:val="24"/>
          <w:szCs w:val="24"/>
        </w:rPr>
        <w:t xml:space="preserve"> </w:t>
      </w:r>
      <w:r>
        <w:rPr>
          <w:rFonts w:ascii="Times New Roman" w:hAnsi="Times New Roman" w:cs="Times New Roman"/>
          <w:sz w:val="24"/>
          <w:szCs w:val="24"/>
        </w:rPr>
        <w:t>și prevăzută de</w:t>
      </w:r>
      <w:r w:rsidRPr="003B329E">
        <w:rPr>
          <w:rFonts w:ascii="Times New Roman" w:hAnsi="Times New Roman" w:cs="Times New Roman"/>
          <w:sz w:val="24"/>
          <w:szCs w:val="24"/>
        </w:rPr>
        <w:t xml:space="preserve"> statut</w:t>
      </w:r>
      <w:r>
        <w:rPr>
          <w:rFonts w:ascii="Times New Roman" w:hAnsi="Times New Roman" w:cs="Times New Roman"/>
          <w:sz w:val="24"/>
          <w:szCs w:val="24"/>
        </w:rPr>
        <w:t xml:space="preserve">. Însă, </w:t>
      </w:r>
      <w:r w:rsidRPr="003B329E">
        <w:rPr>
          <w:rFonts w:ascii="Times New Roman" w:hAnsi="Times New Roman" w:cs="Times New Roman"/>
          <w:sz w:val="24"/>
          <w:szCs w:val="24"/>
        </w:rPr>
        <w:t xml:space="preserve">se atestă că două instituții publice (DGACG și Baza Auto) nu au </w:t>
      </w:r>
      <w:r>
        <w:rPr>
          <w:rFonts w:ascii="Times New Roman" w:hAnsi="Times New Roman" w:cs="Times New Roman"/>
          <w:sz w:val="24"/>
          <w:szCs w:val="24"/>
        </w:rPr>
        <w:t xml:space="preserve">prevăzute în statute </w:t>
      </w:r>
      <w:r w:rsidRPr="003B329E">
        <w:rPr>
          <w:rFonts w:ascii="Times New Roman" w:hAnsi="Times New Roman" w:cs="Times New Roman"/>
          <w:sz w:val="24"/>
          <w:szCs w:val="24"/>
        </w:rPr>
        <w:t>principiile de funcționare,</w:t>
      </w:r>
      <w:r>
        <w:rPr>
          <w:rFonts w:ascii="Times New Roman" w:hAnsi="Times New Roman" w:cs="Times New Roman"/>
          <w:sz w:val="24"/>
          <w:szCs w:val="24"/>
        </w:rPr>
        <w:t xml:space="preserve"> acestea desfășurându-și activitatea similar instituțiilor bugetare. Pe de altă parte, celelalte șase instituții</w:t>
      </w:r>
      <w:r w:rsidRPr="003B329E">
        <w:rPr>
          <w:rFonts w:ascii="Times New Roman" w:hAnsi="Times New Roman" w:cs="Times New Roman"/>
          <w:sz w:val="24"/>
          <w:szCs w:val="24"/>
        </w:rPr>
        <w:t xml:space="preserve"> public</w:t>
      </w:r>
      <w:r>
        <w:rPr>
          <w:rFonts w:ascii="Times New Roman" w:hAnsi="Times New Roman" w:cs="Times New Roman"/>
          <w:sz w:val="24"/>
          <w:szCs w:val="24"/>
        </w:rPr>
        <w:t xml:space="preserve">e monitorizate de CS </w:t>
      </w:r>
      <w:r w:rsidRPr="003B329E">
        <w:rPr>
          <w:rFonts w:ascii="Times New Roman" w:hAnsi="Times New Roman" w:cs="Times New Roman"/>
          <w:sz w:val="24"/>
          <w:szCs w:val="24"/>
        </w:rPr>
        <w:t>activează în baza principiilor de autogestiune</w:t>
      </w:r>
      <w:r>
        <w:rPr>
          <w:rFonts w:ascii="Times New Roman" w:hAnsi="Times New Roman" w:cs="Times New Roman"/>
          <w:sz w:val="24"/>
          <w:szCs w:val="24"/>
        </w:rPr>
        <w:t>,</w:t>
      </w:r>
      <w:r w:rsidRPr="003B329E">
        <w:rPr>
          <w:rFonts w:ascii="Times New Roman" w:hAnsi="Times New Roman" w:cs="Times New Roman"/>
          <w:sz w:val="24"/>
          <w:szCs w:val="24"/>
        </w:rPr>
        <w:t xml:space="preserve"> respectiv dispun de autonomie</w:t>
      </w:r>
      <w:r>
        <w:rPr>
          <w:rFonts w:ascii="Times New Roman" w:hAnsi="Times New Roman" w:cs="Times New Roman"/>
          <w:sz w:val="24"/>
          <w:szCs w:val="24"/>
        </w:rPr>
        <w:t xml:space="preserve"> financiară în administrare;   </w:t>
      </w:r>
      <w:r w:rsidRPr="003B329E">
        <w:rPr>
          <w:rFonts w:ascii="Times New Roman" w:hAnsi="Times New Roman" w:cs="Times New Roman"/>
          <w:sz w:val="24"/>
          <w:szCs w:val="24"/>
        </w:rPr>
        <w:t xml:space="preserve"> </w:t>
      </w:r>
    </w:p>
    <w:p w14:paraId="780E4A5A" w14:textId="0CF6E157" w:rsidR="00DE4FCD" w:rsidRPr="003E2E30" w:rsidRDefault="003E2E30" w:rsidP="003E2E30">
      <w:pPr>
        <w:pStyle w:val="a7"/>
        <w:numPr>
          <w:ilvl w:val="0"/>
          <w:numId w:val="10"/>
        </w:numPr>
        <w:spacing w:after="80" w:line="276" w:lineRule="auto"/>
        <w:ind w:left="426" w:hanging="142"/>
        <w:jc w:val="both"/>
        <w:rPr>
          <w:rFonts w:ascii="Times New Roman" w:hAnsi="Times New Roman" w:cs="Times New Roman"/>
          <w:sz w:val="24"/>
          <w:szCs w:val="24"/>
        </w:rPr>
      </w:pPr>
      <w:r>
        <w:rPr>
          <w:rFonts w:ascii="Times New Roman" w:hAnsi="Times New Roman" w:cs="Times New Roman"/>
          <w:sz w:val="24"/>
          <w:szCs w:val="24"/>
        </w:rPr>
        <w:t>e</w:t>
      </w:r>
      <w:r w:rsidRPr="001B5986">
        <w:rPr>
          <w:rFonts w:ascii="Times New Roman" w:hAnsi="Times New Roman" w:cs="Times New Roman"/>
          <w:sz w:val="24"/>
          <w:szCs w:val="24"/>
        </w:rPr>
        <w:t>xistența unor neclarități referitor la organele de conducere a</w:t>
      </w:r>
      <w:r>
        <w:rPr>
          <w:rFonts w:ascii="Times New Roman" w:hAnsi="Times New Roman" w:cs="Times New Roman"/>
          <w:sz w:val="24"/>
          <w:szCs w:val="24"/>
        </w:rPr>
        <w:t>le</w:t>
      </w:r>
      <w:r w:rsidRPr="001B5986">
        <w:rPr>
          <w:rFonts w:ascii="Times New Roman" w:hAnsi="Times New Roman" w:cs="Times New Roman"/>
          <w:sz w:val="24"/>
          <w:szCs w:val="24"/>
        </w:rPr>
        <w:t xml:space="preserve"> I</w:t>
      </w:r>
      <w:r>
        <w:rPr>
          <w:rFonts w:ascii="Times New Roman" w:hAnsi="Times New Roman" w:cs="Times New Roman"/>
          <w:sz w:val="24"/>
          <w:szCs w:val="24"/>
        </w:rPr>
        <w:t>.</w:t>
      </w:r>
      <w:r w:rsidRPr="001B5986">
        <w:rPr>
          <w:rFonts w:ascii="Times New Roman" w:hAnsi="Times New Roman" w:cs="Times New Roman"/>
          <w:sz w:val="24"/>
          <w:szCs w:val="24"/>
        </w:rPr>
        <w:t>P</w:t>
      </w:r>
      <w:r>
        <w:rPr>
          <w:rFonts w:ascii="Times New Roman" w:hAnsi="Times New Roman" w:cs="Times New Roman"/>
          <w:sz w:val="24"/>
          <w:szCs w:val="24"/>
        </w:rPr>
        <w:t>.</w:t>
      </w:r>
      <w:r w:rsidRPr="001B5986">
        <w:rPr>
          <w:rFonts w:ascii="Times New Roman" w:hAnsi="Times New Roman" w:cs="Times New Roman"/>
          <w:sz w:val="24"/>
          <w:szCs w:val="24"/>
        </w:rPr>
        <w:t xml:space="preserve"> la autogestiune. În acest sens se relevă că</w:t>
      </w:r>
      <w:r>
        <w:rPr>
          <w:rFonts w:ascii="Times New Roman" w:hAnsi="Times New Roman" w:cs="Times New Roman"/>
          <w:sz w:val="24"/>
          <w:szCs w:val="24"/>
        </w:rPr>
        <w:t>,</w:t>
      </w:r>
      <w:r w:rsidRPr="001B5986">
        <w:rPr>
          <w:rFonts w:ascii="Times New Roman" w:hAnsi="Times New Roman" w:cs="Times New Roman"/>
          <w:sz w:val="24"/>
          <w:szCs w:val="24"/>
        </w:rPr>
        <w:t xml:space="preserve"> dacă organul de conducere al I</w:t>
      </w:r>
      <w:r>
        <w:rPr>
          <w:rFonts w:ascii="Times New Roman" w:hAnsi="Times New Roman" w:cs="Times New Roman"/>
          <w:sz w:val="24"/>
          <w:szCs w:val="24"/>
        </w:rPr>
        <w:t>.</w:t>
      </w:r>
      <w:r w:rsidRPr="001B5986">
        <w:rPr>
          <w:rFonts w:ascii="Times New Roman" w:hAnsi="Times New Roman" w:cs="Times New Roman"/>
          <w:sz w:val="24"/>
          <w:szCs w:val="24"/>
        </w:rPr>
        <w:t>P</w:t>
      </w:r>
      <w:r>
        <w:rPr>
          <w:rFonts w:ascii="Times New Roman" w:hAnsi="Times New Roman" w:cs="Times New Roman"/>
          <w:sz w:val="24"/>
          <w:szCs w:val="24"/>
        </w:rPr>
        <w:t>.</w:t>
      </w:r>
      <w:r w:rsidRPr="001B5986">
        <w:rPr>
          <w:rFonts w:ascii="Times New Roman" w:hAnsi="Times New Roman" w:cs="Times New Roman"/>
          <w:sz w:val="24"/>
          <w:szCs w:val="24"/>
        </w:rPr>
        <w:t xml:space="preserve"> „Palatul Republicii” și I</w:t>
      </w:r>
      <w:r>
        <w:rPr>
          <w:rFonts w:ascii="Times New Roman" w:hAnsi="Times New Roman" w:cs="Times New Roman"/>
          <w:sz w:val="24"/>
          <w:szCs w:val="24"/>
        </w:rPr>
        <w:t>.</w:t>
      </w:r>
      <w:r w:rsidRPr="001B5986">
        <w:rPr>
          <w:rFonts w:ascii="Times New Roman" w:hAnsi="Times New Roman" w:cs="Times New Roman"/>
          <w:sz w:val="24"/>
          <w:szCs w:val="24"/>
        </w:rPr>
        <w:t>P</w:t>
      </w:r>
      <w:r>
        <w:rPr>
          <w:rFonts w:ascii="Times New Roman" w:hAnsi="Times New Roman" w:cs="Times New Roman"/>
          <w:sz w:val="24"/>
          <w:szCs w:val="24"/>
        </w:rPr>
        <w:t>.</w:t>
      </w:r>
      <w:r w:rsidRPr="001B5986">
        <w:rPr>
          <w:rFonts w:ascii="Times New Roman" w:hAnsi="Times New Roman" w:cs="Times New Roman"/>
          <w:sz w:val="24"/>
          <w:szCs w:val="24"/>
        </w:rPr>
        <w:t xml:space="preserve"> „Pensiune</w:t>
      </w:r>
      <w:r>
        <w:rPr>
          <w:rFonts w:ascii="Times New Roman" w:hAnsi="Times New Roman" w:cs="Times New Roman"/>
          <w:sz w:val="24"/>
          <w:szCs w:val="24"/>
        </w:rPr>
        <w:t>a din</w:t>
      </w:r>
      <w:r w:rsidRPr="001B5986">
        <w:rPr>
          <w:rFonts w:ascii="Times New Roman" w:hAnsi="Times New Roman" w:cs="Times New Roman"/>
          <w:sz w:val="24"/>
          <w:szCs w:val="24"/>
        </w:rPr>
        <w:t xml:space="preserve"> Holercani” este directorul, atunci restul instituțiilor publice la autogestiune au ca organe de conducere at</w:t>
      </w:r>
      <w:r>
        <w:rPr>
          <w:rFonts w:ascii="Times New Roman" w:hAnsi="Times New Roman" w:cs="Times New Roman"/>
          <w:sz w:val="24"/>
          <w:szCs w:val="24"/>
        </w:rPr>
        <w:t>â</w:t>
      </w:r>
      <w:r w:rsidRPr="001B5986">
        <w:rPr>
          <w:rFonts w:ascii="Times New Roman" w:hAnsi="Times New Roman" w:cs="Times New Roman"/>
          <w:sz w:val="24"/>
          <w:szCs w:val="24"/>
        </w:rPr>
        <w:t>t directorii executivi</w:t>
      </w:r>
      <w:r>
        <w:rPr>
          <w:rFonts w:ascii="Times New Roman" w:hAnsi="Times New Roman" w:cs="Times New Roman"/>
          <w:sz w:val="24"/>
          <w:szCs w:val="24"/>
        </w:rPr>
        <w:t>,</w:t>
      </w:r>
      <w:r w:rsidRPr="001B5986">
        <w:rPr>
          <w:rFonts w:ascii="Times New Roman" w:hAnsi="Times New Roman" w:cs="Times New Roman"/>
          <w:sz w:val="24"/>
          <w:szCs w:val="24"/>
        </w:rPr>
        <w:t xml:space="preserve"> c</w:t>
      </w:r>
      <w:r>
        <w:rPr>
          <w:rFonts w:ascii="Times New Roman" w:hAnsi="Times New Roman" w:cs="Times New Roman"/>
          <w:sz w:val="24"/>
          <w:szCs w:val="24"/>
        </w:rPr>
        <w:t>â</w:t>
      </w:r>
      <w:r w:rsidRPr="001B5986">
        <w:rPr>
          <w:rFonts w:ascii="Times New Roman" w:hAnsi="Times New Roman" w:cs="Times New Roman"/>
          <w:sz w:val="24"/>
          <w:szCs w:val="24"/>
        </w:rPr>
        <w:t>t</w:t>
      </w:r>
      <w:r>
        <w:rPr>
          <w:rFonts w:ascii="Times New Roman" w:hAnsi="Times New Roman" w:cs="Times New Roman"/>
          <w:sz w:val="24"/>
          <w:szCs w:val="24"/>
        </w:rPr>
        <w:t xml:space="preserve"> și</w:t>
      </w:r>
      <w:r w:rsidRPr="001B5986">
        <w:rPr>
          <w:rFonts w:ascii="Times New Roman" w:hAnsi="Times New Roman" w:cs="Times New Roman"/>
          <w:sz w:val="24"/>
          <w:szCs w:val="24"/>
        </w:rPr>
        <w:t xml:space="preserve"> consiliile create</w:t>
      </w:r>
      <w:r>
        <w:rPr>
          <w:rFonts w:ascii="Times New Roman" w:hAnsi="Times New Roman" w:cs="Times New Roman"/>
          <w:sz w:val="24"/>
          <w:szCs w:val="24"/>
        </w:rPr>
        <w:t xml:space="preserve">. </w:t>
      </w:r>
      <w:r w:rsidR="00DE4FCD" w:rsidRPr="003E2E30">
        <w:rPr>
          <w:rFonts w:ascii="Times New Roman" w:hAnsi="Times New Roman" w:cs="Times New Roman"/>
          <w:sz w:val="24"/>
          <w:szCs w:val="24"/>
          <w:lang w:val="ro-RO"/>
        </w:rPr>
        <w:t>Se menționează și despre</w:t>
      </w:r>
      <w:r w:rsidR="00B071AC" w:rsidRPr="003E2E30">
        <w:rPr>
          <w:rFonts w:ascii="Times New Roman" w:hAnsi="Times New Roman" w:cs="Times New Roman"/>
          <w:sz w:val="24"/>
          <w:szCs w:val="24"/>
          <w:lang w:val="ro-RO"/>
        </w:rPr>
        <w:t xml:space="preserve"> lipsa instituirii unei modalități</w:t>
      </w:r>
      <w:r w:rsidR="00DE4FCD" w:rsidRPr="003E2E30">
        <w:rPr>
          <w:rFonts w:ascii="Times New Roman" w:hAnsi="Times New Roman" w:cs="Times New Roman"/>
          <w:sz w:val="24"/>
          <w:szCs w:val="24"/>
          <w:lang w:val="ro-RO"/>
        </w:rPr>
        <w:t xml:space="preserve"> privind raportarea indicatorilor financiari planificați și </w:t>
      </w:r>
      <w:r w:rsidR="005518FA" w:rsidRPr="003E2E30">
        <w:rPr>
          <w:rFonts w:ascii="Times New Roman" w:hAnsi="Times New Roman" w:cs="Times New Roman"/>
          <w:sz w:val="24"/>
          <w:szCs w:val="24"/>
          <w:lang w:val="ro-RO"/>
        </w:rPr>
        <w:t>realizați</w:t>
      </w:r>
      <w:r w:rsidR="00DE4FCD" w:rsidRPr="003E2E30">
        <w:rPr>
          <w:rFonts w:ascii="Times New Roman" w:hAnsi="Times New Roman" w:cs="Times New Roman"/>
          <w:sz w:val="24"/>
          <w:szCs w:val="24"/>
          <w:lang w:val="ro-RO"/>
        </w:rPr>
        <w:t xml:space="preserve"> de către I</w:t>
      </w:r>
      <w:r w:rsidR="000F096B">
        <w:rPr>
          <w:rFonts w:ascii="Times New Roman" w:hAnsi="Times New Roman" w:cs="Times New Roman"/>
          <w:sz w:val="24"/>
          <w:szCs w:val="24"/>
          <w:lang w:val="ro-RO"/>
        </w:rPr>
        <w:t>.</w:t>
      </w:r>
      <w:r w:rsidR="00DE4FCD" w:rsidRPr="003E2E30">
        <w:rPr>
          <w:rFonts w:ascii="Times New Roman" w:hAnsi="Times New Roman" w:cs="Times New Roman"/>
          <w:sz w:val="24"/>
          <w:szCs w:val="24"/>
          <w:lang w:val="ro-RO"/>
        </w:rPr>
        <w:t>P</w:t>
      </w:r>
      <w:r w:rsidR="000F096B">
        <w:rPr>
          <w:rFonts w:ascii="Times New Roman" w:hAnsi="Times New Roman" w:cs="Times New Roman"/>
          <w:sz w:val="24"/>
          <w:szCs w:val="24"/>
          <w:lang w:val="ro-RO"/>
        </w:rPr>
        <w:t>.</w:t>
      </w:r>
      <w:r w:rsidR="00DE4FCD" w:rsidRPr="003E2E30">
        <w:rPr>
          <w:rFonts w:ascii="Times New Roman" w:hAnsi="Times New Roman" w:cs="Times New Roman"/>
          <w:sz w:val="24"/>
          <w:szCs w:val="24"/>
          <w:lang w:val="ro-RO"/>
        </w:rPr>
        <w:t xml:space="preserve"> față de organele de conducere, </w:t>
      </w:r>
      <w:r w:rsidR="005518FA" w:rsidRPr="003E2E30">
        <w:rPr>
          <w:rFonts w:ascii="Times New Roman" w:hAnsi="Times New Roman" w:cs="Times New Roman"/>
          <w:sz w:val="24"/>
          <w:szCs w:val="24"/>
          <w:lang w:val="ro-RO"/>
        </w:rPr>
        <w:t>și anume care date (executate sau efective) s</w:t>
      </w:r>
      <w:r w:rsidR="00B73D05">
        <w:rPr>
          <w:rFonts w:ascii="Times New Roman" w:hAnsi="Times New Roman" w:cs="Times New Roman"/>
          <w:sz w:val="24"/>
          <w:szCs w:val="24"/>
          <w:lang w:val="ro-RO"/>
        </w:rPr>
        <w:t>u</w:t>
      </w:r>
      <w:r w:rsidR="005518FA" w:rsidRPr="003E2E30">
        <w:rPr>
          <w:rFonts w:ascii="Times New Roman" w:hAnsi="Times New Roman" w:cs="Times New Roman"/>
          <w:sz w:val="24"/>
          <w:szCs w:val="24"/>
          <w:lang w:val="ro-RO"/>
        </w:rPr>
        <w:t xml:space="preserve">nt </w:t>
      </w:r>
      <w:r w:rsidR="00EF02D3" w:rsidRPr="003E2E30">
        <w:rPr>
          <w:rFonts w:ascii="Times New Roman" w:hAnsi="Times New Roman" w:cs="Times New Roman"/>
          <w:sz w:val="24"/>
          <w:szCs w:val="24"/>
          <w:lang w:val="ro-RO"/>
        </w:rPr>
        <w:t>necesare</w:t>
      </w:r>
      <w:r w:rsidR="00B071AC" w:rsidRPr="003E2E30">
        <w:rPr>
          <w:rFonts w:ascii="Times New Roman" w:hAnsi="Times New Roman" w:cs="Times New Roman"/>
          <w:sz w:val="24"/>
          <w:szCs w:val="24"/>
          <w:lang w:val="ro-RO"/>
        </w:rPr>
        <w:t xml:space="preserve"> pentru a fi comunicate</w:t>
      </w:r>
      <w:r w:rsidR="005518FA" w:rsidRPr="003E2E30">
        <w:rPr>
          <w:rFonts w:ascii="Times New Roman" w:hAnsi="Times New Roman" w:cs="Times New Roman"/>
          <w:sz w:val="24"/>
          <w:szCs w:val="24"/>
          <w:lang w:val="ro-RO"/>
        </w:rPr>
        <w:t xml:space="preserve"> acestora</w:t>
      </w:r>
      <w:r w:rsidR="008377AC">
        <w:rPr>
          <w:rFonts w:ascii="Times New Roman" w:hAnsi="Times New Roman" w:cs="Times New Roman"/>
          <w:sz w:val="24"/>
          <w:szCs w:val="24"/>
          <w:lang w:val="ro-RO"/>
        </w:rPr>
        <w:t>,</w:t>
      </w:r>
      <w:r w:rsidR="005518FA" w:rsidRPr="003E2E30">
        <w:rPr>
          <w:rFonts w:ascii="Times New Roman" w:hAnsi="Times New Roman" w:cs="Times New Roman"/>
          <w:sz w:val="24"/>
          <w:szCs w:val="24"/>
          <w:lang w:val="ro-RO"/>
        </w:rPr>
        <w:t xml:space="preserve"> în vederea adoptă</w:t>
      </w:r>
      <w:r w:rsidR="00B071AC" w:rsidRPr="003E2E30">
        <w:rPr>
          <w:rFonts w:ascii="Times New Roman" w:hAnsi="Times New Roman" w:cs="Times New Roman"/>
          <w:sz w:val="24"/>
          <w:szCs w:val="24"/>
          <w:lang w:val="ro-RO"/>
        </w:rPr>
        <w:t xml:space="preserve">rii unor decizii manageriale relevante dezvoltării activităților </w:t>
      </w:r>
      <w:r w:rsidR="005518FA" w:rsidRPr="003E2E30">
        <w:rPr>
          <w:rFonts w:ascii="Times New Roman" w:hAnsi="Times New Roman" w:cs="Times New Roman"/>
          <w:sz w:val="24"/>
          <w:szCs w:val="24"/>
          <w:lang w:val="ro-RO"/>
        </w:rPr>
        <w:t>instituțiilor</w:t>
      </w:r>
      <w:r w:rsidR="00B071AC" w:rsidRPr="003E2E30">
        <w:rPr>
          <w:rFonts w:ascii="Times New Roman" w:hAnsi="Times New Roman" w:cs="Times New Roman"/>
          <w:sz w:val="24"/>
          <w:szCs w:val="24"/>
          <w:lang w:val="ro-RO"/>
        </w:rPr>
        <w:t xml:space="preserve"> publice</w:t>
      </w:r>
      <w:r>
        <w:rPr>
          <w:rFonts w:ascii="Times New Roman" w:hAnsi="Times New Roman" w:cs="Times New Roman"/>
          <w:sz w:val="24"/>
          <w:szCs w:val="24"/>
          <w:lang w:val="ro-RO"/>
        </w:rPr>
        <w:t>;</w:t>
      </w:r>
    </w:p>
    <w:p w14:paraId="147A38E8" w14:textId="3329F640" w:rsidR="00DE4CE7" w:rsidRDefault="00DE4CE7" w:rsidP="000D6B43">
      <w:pPr>
        <w:pStyle w:val="a7"/>
        <w:numPr>
          <w:ilvl w:val="0"/>
          <w:numId w:val="10"/>
        </w:numPr>
        <w:spacing w:after="40" w:line="276" w:lineRule="auto"/>
        <w:ind w:left="426" w:hanging="142"/>
        <w:contextualSpacing w:val="0"/>
        <w:jc w:val="both"/>
        <w:rPr>
          <w:rFonts w:ascii="Times New Roman" w:hAnsi="Times New Roman" w:cs="Times New Roman"/>
          <w:sz w:val="24"/>
          <w:szCs w:val="24"/>
        </w:rPr>
      </w:pPr>
      <w:r>
        <w:rPr>
          <w:rFonts w:ascii="Times New Roman" w:hAnsi="Times New Roman" w:cs="Times New Roman"/>
          <w:sz w:val="24"/>
          <w:szCs w:val="24"/>
        </w:rPr>
        <w:t>a</w:t>
      </w:r>
      <w:r w:rsidRPr="003B329E">
        <w:rPr>
          <w:rFonts w:ascii="Times New Roman" w:hAnsi="Times New Roman" w:cs="Times New Roman"/>
          <w:sz w:val="24"/>
          <w:szCs w:val="24"/>
        </w:rPr>
        <w:t>dministrarea neunitară a veniturilor colectate de I</w:t>
      </w:r>
      <w:r>
        <w:rPr>
          <w:rFonts w:ascii="Times New Roman" w:hAnsi="Times New Roman" w:cs="Times New Roman"/>
          <w:sz w:val="24"/>
          <w:szCs w:val="24"/>
        </w:rPr>
        <w:t>.</w:t>
      </w:r>
      <w:r w:rsidRPr="003B329E">
        <w:rPr>
          <w:rFonts w:ascii="Times New Roman" w:hAnsi="Times New Roman" w:cs="Times New Roman"/>
          <w:sz w:val="24"/>
          <w:szCs w:val="24"/>
        </w:rPr>
        <w:t>P</w:t>
      </w:r>
      <w:r>
        <w:rPr>
          <w:rFonts w:ascii="Times New Roman" w:hAnsi="Times New Roman" w:cs="Times New Roman"/>
          <w:sz w:val="24"/>
          <w:szCs w:val="24"/>
        </w:rPr>
        <w:t>.</w:t>
      </w:r>
      <w:r w:rsidRPr="003B329E">
        <w:rPr>
          <w:rFonts w:ascii="Times New Roman" w:hAnsi="Times New Roman" w:cs="Times New Roman"/>
          <w:sz w:val="24"/>
          <w:szCs w:val="24"/>
        </w:rPr>
        <w:t xml:space="preserve"> </w:t>
      </w:r>
      <w:r>
        <w:rPr>
          <w:rFonts w:ascii="Times New Roman" w:hAnsi="Times New Roman" w:cs="Times New Roman"/>
          <w:sz w:val="24"/>
          <w:szCs w:val="24"/>
        </w:rPr>
        <w:t>A</w:t>
      </w:r>
      <w:r w:rsidRPr="003B329E">
        <w:rPr>
          <w:rFonts w:ascii="Times New Roman" w:hAnsi="Times New Roman" w:cs="Times New Roman"/>
          <w:sz w:val="24"/>
          <w:szCs w:val="24"/>
        </w:rPr>
        <w:t>stfel</w:t>
      </w:r>
      <w:r>
        <w:rPr>
          <w:rFonts w:ascii="Times New Roman" w:hAnsi="Times New Roman" w:cs="Times New Roman"/>
          <w:sz w:val="24"/>
          <w:szCs w:val="24"/>
        </w:rPr>
        <w:t>,</w:t>
      </w:r>
      <w:r w:rsidRPr="003B329E">
        <w:rPr>
          <w:rFonts w:ascii="Times New Roman" w:hAnsi="Times New Roman" w:cs="Times New Roman"/>
          <w:sz w:val="24"/>
          <w:szCs w:val="24"/>
        </w:rPr>
        <w:t xml:space="preserve"> dacă veniturile colectate de DGACG și BA se transferă la bugetul de stat</w:t>
      </w:r>
      <w:r>
        <w:rPr>
          <w:rFonts w:ascii="Times New Roman" w:hAnsi="Times New Roman" w:cs="Times New Roman"/>
          <w:sz w:val="24"/>
          <w:szCs w:val="24"/>
        </w:rPr>
        <w:t>,</w:t>
      </w:r>
      <w:r w:rsidRPr="003B329E">
        <w:rPr>
          <w:rFonts w:ascii="Times New Roman" w:hAnsi="Times New Roman" w:cs="Times New Roman"/>
          <w:sz w:val="24"/>
          <w:szCs w:val="24"/>
        </w:rPr>
        <w:t xml:space="preserve"> apoi veniturile acumulate din prestarea serviciilor de către instituțiile publice la autogestiune rămân în conturile trezoreriale ale acestora</w:t>
      </w:r>
      <w:r w:rsidRPr="00DE4CE7">
        <w:rPr>
          <w:rFonts w:ascii="Times New Roman" w:hAnsi="Times New Roman" w:cs="Times New Roman"/>
          <w:sz w:val="24"/>
          <w:szCs w:val="24"/>
        </w:rPr>
        <w:t xml:space="preserve"> </w:t>
      </w:r>
      <w:r>
        <w:rPr>
          <w:rFonts w:ascii="Times New Roman" w:hAnsi="Times New Roman" w:cs="Times New Roman"/>
          <w:sz w:val="24"/>
          <w:szCs w:val="24"/>
        </w:rPr>
        <w:t>spre utilizare;</w:t>
      </w:r>
    </w:p>
    <w:p w14:paraId="3BA29839" w14:textId="77777777" w:rsidR="00DE4CE7" w:rsidRPr="003B329E" w:rsidRDefault="00DE4CE7" w:rsidP="00DE4CE7">
      <w:pPr>
        <w:pStyle w:val="a7"/>
        <w:numPr>
          <w:ilvl w:val="0"/>
          <w:numId w:val="9"/>
        </w:numPr>
        <w:spacing w:after="120" w:line="276" w:lineRule="auto"/>
        <w:ind w:left="426" w:hanging="142"/>
        <w:contextualSpacing w:val="0"/>
        <w:jc w:val="both"/>
        <w:rPr>
          <w:rFonts w:ascii="Times New Roman" w:hAnsi="Times New Roman" w:cs="Times New Roman"/>
          <w:sz w:val="24"/>
          <w:szCs w:val="24"/>
        </w:rPr>
      </w:pPr>
      <w:r>
        <w:rPr>
          <w:rFonts w:ascii="Times New Roman" w:hAnsi="Times New Roman" w:cs="Times New Roman"/>
          <w:sz w:val="24"/>
          <w:szCs w:val="24"/>
        </w:rPr>
        <w:t xml:space="preserve">neclarități </w:t>
      </w:r>
      <w:r w:rsidRPr="003B329E">
        <w:rPr>
          <w:rFonts w:ascii="Times New Roman" w:hAnsi="Times New Roman" w:cs="Times New Roman"/>
          <w:sz w:val="24"/>
          <w:szCs w:val="24"/>
        </w:rPr>
        <w:t>privind organizarea evidenței co</w:t>
      </w:r>
      <w:r>
        <w:rPr>
          <w:rFonts w:ascii="Times New Roman" w:hAnsi="Times New Roman" w:cs="Times New Roman"/>
          <w:sz w:val="24"/>
          <w:szCs w:val="24"/>
        </w:rPr>
        <w:t>ntabile la instituțiile publice</w:t>
      </w:r>
      <w:r w:rsidRPr="003B329E">
        <w:rPr>
          <w:rFonts w:ascii="Times New Roman" w:hAnsi="Times New Roman" w:cs="Times New Roman"/>
          <w:sz w:val="24"/>
          <w:szCs w:val="24"/>
        </w:rPr>
        <w:t xml:space="preserve"> la autogestiune, avându-se în vedere deținerea de către ace</w:t>
      </w:r>
      <w:r>
        <w:rPr>
          <w:rFonts w:ascii="Times New Roman" w:hAnsi="Times New Roman" w:cs="Times New Roman"/>
          <w:sz w:val="24"/>
          <w:szCs w:val="24"/>
        </w:rPr>
        <w:t>s</w:t>
      </w:r>
      <w:r w:rsidRPr="003B329E">
        <w:rPr>
          <w:rFonts w:ascii="Times New Roman" w:hAnsi="Times New Roman" w:cs="Times New Roman"/>
          <w:sz w:val="24"/>
          <w:szCs w:val="24"/>
        </w:rPr>
        <w:t>t</w:t>
      </w:r>
      <w:r>
        <w:rPr>
          <w:rFonts w:ascii="Times New Roman" w:hAnsi="Times New Roman" w:cs="Times New Roman"/>
          <w:sz w:val="24"/>
          <w:szCs w:val="24"/>
        </w:rPr>
        <w:t>e</w:t>
      </w:r>
      <w:r w:rsidRPr="003B329E">
        <w:rPr>
          <w:rFonts w:ascii="Times New Roman" w:hAnsi="Times New Roman" w:cs="Times New Roman"/>
          <w:sz w:val="24"/>
          <w:szCs w:val="24"/>
        </w:rPr>
        <w:t>a și a calității de executor de buget. În așa mod</w:t>
      </w:r>
      <w:r>
        <w:rPr>
          <w:rFonts w:ascii="Times New Roman" w:hAnsi="Times New Roman" w:cs="Times New Roman"/>
          <w:sz w:val="24"/>
          <w:szCs w:val="24"/>
        </w:rPr>
        <w:t>,</w:t>
      </w:r>
      <w:r w:rsidRPr="003B329E">
        <w:rPr>
          <w:rFonts w:ascii="Times New Roman" w:hAnsi="Times New Roman" w:cs="Times New Roman"/>
          <w:sz w:val="24"/>
          <w:szCs w:val="24"/>
        </w:rPr>
        <w:t xml:space="preserve"> unele instituții publice la autogestiune</w:t>
      </w:r>
      <w:r>
        <w:rPr>
          <w:rFonts w:ascii="Times New Roman" w:hAnsi="Times New Roman" w:cs="Times New Roman"/>
          <w:sz w:val="24"/>
          <w:szCs w:val="24"/>
        </w:rPr>
        <w:t>,</w:t>
      </w:r>
      <w:r w:rsidRPr="003B329E">
        <w:rPr>
          <w:rFonts w:ascii="Times New Roman" w:hAnsi="Times New Roman" w:cs="Times New Roman"/>
          <w:sz w:val="24"/>
          <w:szCs w:val="24"/>
        </w:rPr>
        <w:t xml:space="preserve"> beneficiind de alocații de la buget, urmează să respecte regulile de evidență bugetară</w:t>
      </w:r>
      <w:r w:rsidRPr="003B329E">
        <w:rPr>
          <w:rStyle w:val="a5"/>
          <w:rFonts w:ascii="Times New Roman" w:hAnsi="Times New Roman" w:cs="Times New Roman"/>
          <w:sz w:val="24"/>
          <w:szCs w:val="24"/>
        </w:rPr>
        <w:footnoteReference w:id="85"/>
      </w:r>
      <w:r w:rsidRPr="003B329E">
        <w:rPr>
          <w:rFonts w:ascii="Times New Roman" w:hAnsi="Times New Roman" w:cs="Times New Roman"/>
          <w:sz w:val="24"/>
          <w:szCs w:val="24"/>
        </w:rPr>
        <w:t>, însă acestea aplică</w:t>
      </w:r>
      <w:r>
        <w:rPr>
          <w:rFonts w:ascii="Times New Roman" w:hAnsi="Times New Roman" w:cs="Times New Roman"/>
          <w:sz w:val="24"/>
          <w:szCs w:val="24"/>
        </w:rPr>
        <w:t xml:space="preserve"> doar</w:t>
      </w:r>
      <w:r w:rsidRPr="003B329E">
        <w:rPr>
          <w:rFonts w:ascii="Times New Roman" w:hAnsi="Times New Roman" w:cs="Times New Roman"/>
          <w:sz w:val="24"/>
          <w:szCs w:val="24"/>
        </w:rPr>
        <w:t xml:space="preserve"> regulile prestabilite pentru </w:t>
      </w:r>
      <w:r>
        <w:rPr>
          <w:rFonts w:ascii="Times New Roman" w:hAnsi="Times New Roman" w:cs="Times New Roman"/>
          <w:sz w:val="24"/>
          <w:szCs w:val="24"/>
        </w:rPr>
        <w:t>evidența în condiții de</w:t>
      </w:r>
      <w:r w:rsidRPr="003B329E">
        <w:rPr>
          <w:rFonts w:ascii="Times New Roman" w:hAnsi="Times New Roman" w:cs="Times New Roman"/>
          <w:sz w:val="24"/>
          <w:szCs w:val="24"/>
        </w:rPr>
        <w:t xml:space="preserve"> autogestiune conform art. 2 lit. b) din Legea </w:t>
      </w:r>
      <w:r>
        <w:rPr>
          <w:rFonts w:ascii="Times New Roman" w:hAnsi="Times New Roman" w:cs="Times New Roman"/>
          <w:sz w:val="24"/>
          <w:szCs w:val="24"/>
        </w:rPr>
        <w:t>nr.</w:t>
      </w:r>
      <w:r w:rsidRPr="003B329E">
        <w:rPr>
          <w:rFonts w:ascii="Times New Roman" w:hAnsi="Times New Roman" w:cs="Times New Roman"/>
          <w:sz w:val="24"/>
          <w:szCs w:val="24"/>
        </w:rPr>
        <w:t>287/2017</w:t>
      </w:r>
      <w:r w:rsidRPr="003B329E">
        <w:rPr>
          <w:rStyle w:val="a5"/>
          <w:rFonts w:ascii="Times New Roman" w:hAnsi="Times New Roman" w:cs="Times New Roman"/>
          <w:sz w:val="24"/>
          <w:szCs w:val="24"/>
        </w:rPr>
        <w:footnoteReference w:id="86"/>
      </w:r>
      <w:r w:rsidRPr="003B329E">
        <w:rPr>
          <w:rFonts w:ascii="Times New Roman" w:hAnsi="Times New Roman" w:cs="Times New Roman"/>
          <w:sz w:val="24"/>
          <w:szCs w:val="24"/>
        </w:rPr>
        <w:t>. În contextul expus se menționează situația constatată la AGE, la care ponderea alocațiilor bugetare constituie 84% din totalul veniturilor acumulate, instituția asigur</w:t>
      </w:r>
      <w:r>
        <w:rPr>
          <w:rFonts w:ascii="Times New Roman" w:hAnsi="Times New Roman" w:cs="Times New Roman"/>
          <w:sz w:val="24"/>
          <w:szCs w:val="24"/>
        </w:rPr>
        <w:t>ând</w:t>
      </w:r>
      <w:r w:rsidRPr="003B329E">
        <w:rPr>
          <w:rFonts w:ascii="Times New Roman" w:hAnsi="Times New Roman" w:cs="Times New Roman"/>
          <w:sz w:val="24"/>
          <w:szCs w:val="24"/>
        </w:rPr>
        <w:t xml:space="preserve"> doar prezentarea </w:t>
      </w:r>
      <w:r>
        <w:rPr>
          <w:rFonts w:ascii="Times New Roman" w:hAnsi="Times New Roman" w:cs="Times New Roman"/>
          <w:sz w:val="24"/>
          <w:szCs w:val="24"/>
        </w:rPr>
        <w:t xml:space="preserve">către </w:t>
      </w:r>
      <w:r w:rsidRPr="003B329E">
        <w:rPr>
          <w:rFonts w:ascii="Times New Roman" w:hAnsi="Times New Roman" w:cs="Times New Roman"/>
          <w:sz w:val="24"/>
          <w:szCs w:val="24"/>
        </w:rPr>
        <w:t xml:space="preserve">fondator a rapoartelor financiare aferente regulilor bugetare, însă evidența contabilă fiind ținută conform SNC, în condiții de autogestiune. </w:t>
      </w:r>
    </w:p>
    <w:p w14:paraId="496A7F0B" w14:textId="77777777" w:rsidR="00DE4CE7" w:rsidRPr="003B329E" w:rsidRDefault="00DE4CE7" w:rsidP="00DE4CE7">
      <w:pPr>
        <w:spacing w:after="120" w:line="276" w:lineRule="auto"/>
        <w:jc w:val="both"/>
        <w:rPr>
          <w:rFonts w:ascii="Times New Roman" w:hAnsi="Times New Roman" w:cs="Times New Roman"/>
          <w:sz w:val="24"/>
          <w:szCs w:val="24"/>
        </w:rPr>
      </w:pPr>
      <w:r w:rsidRPr="003B329E">
        <w:rPr>
          <w:rFonts w:ascii="Times New Roman" w:hAnsi="Times New Roman" w:cs="Times New Roman"/>
          <w:sz w:val="24"/>
          <w:szCs w:val="24"/>
        </w:rPr>
        <w:t xml:space="preserve">O altă problemă rezultată din lipsa unor reglementări referitor la instituționalizarea și funcționarea instituțiilor publice constă în stabilirea unor reguli diferențiate privind salarizarea personalului. Ori, actualul statut de instituție publică care activează în condiții de autogestiune permite acestora aplicarea condițiilor de salarizare aferente sectorului corporativ, deși majoritatea veniturilor încasate de instituții provin din mijloace bugetare, precum și </w:t>
      </w:r>
      <w:r>
        <w:rPr>
          <w:rFonts w:ascii="Times New Roman" w:hAnsi="Times New Roman" w:cs="Times New Roman"/>
          <w:sz w:val="24"/>
          <w:szCs w:val="24"/>
        </w:rPr>
        <w:t xml:space="preserve">ca </w:t>
      </w:r>
      <w:r w:rsidRPr="003B329E">
        <w:rPr>
          <w:rFonts w:ascii="Times New Roman" w:hAnsi="Times New Roman" w:cs="Times New Roman"/>
          <w:sz w:val="24"/>
          <w:szCs w:val="24"/>
        </w:rPr>
        <w:t xml:space="preserve">urmare </w:t>
      </w:r>
      <w:r>
        <w:rPr>
          <w:rFonts w:ascii="Times New Roman" w:hAnsi="Times New Roman" w:cs="Times New Roman"/>
          <w:sz w:val="24"/>
          <w:szCs w:val="24"/>
        </w:rPr>
        <w:t xml:space="preserve">a </w:t>
      </w:r>
      <w:r w:rsidRPr="003B329E">
        <w:rPr>
          <w:rFonts w:ascii="Times New Roman" w:hAnsi="Times New Roman" w:cs="Times New Roman"/>
          <w:sz w:val="24"/>
          <w:szCs w:val="24"/>
        </w:rPr>
        <w:t xml:space="preserve">gestionării patrimoniului statului. Analiza datelor atestă discrepanțe semnificative privind salarul mediu </w:t>
      </w:r>
      <w:r>
        <w:rPr>
          <w:rFonts w:ascii="Times New Roman" w:hAnsi="Times New Roman" w:cs="Times New Roman"/>
          <w:sz w:val="24"/>
          <w:szCs w:val="24"/>
        </w:rPr>
        <w:t>lunar al angajaților</w:t>
      </w:r>
      <w:r w:rsidRPr="003B329E">
        <w:rPr>
          <w:rFonts w:ascii="Times New Roman" w:hAnsi="Times New Roman" w:cs="Times New Roman"/>
          <w:sz w:val="24"/>
          <w:szCs w:val="24"/>
        </w:rPr>
        <w:t xml:space="preserve"> din cadrul instituției publice</w:t>
      </w:r>
      <w:r>
        <w:rPr>
          <w:rFonts w:ascii="Times New Roman" w:hAnsi="Times New Roman" w:cs="Times New Roman"/>
          <w:sz w:val="24"/>
          <w:szCs w:val="24"/>
        </w:rPr>
        <w:t xml:space="preserve"> finanțate în totalitate de la buget</w:t>
      </w:r>
      <w:r w:rsidRPr="003B329E">
        <w:rPr>
          <w:rFonts w:ascii="Times New Roman" w:hAnsi="Times New Roman" w:cs="Times New Roman"/>
          <w:sz w:val="24"/>
          <w:szCs w:val="24"/>
        </w:rPr>
        <w:t xml:space="preserve"> și în instituția publică la autogestiune. Astfel</w:t>
      </w:r>
      <w:r>
        <w:rPr>
          <w:rFonts w:ascii="Times New Roman" w:hAnsi="Times New Roman" w:cs="Times New Roman"/>
          <w:sz w:val="24"/>
          <w:szCs w:val="24"/>
        </w:rPr>
        <w:t>,</w:t>
      </w:r>
      <w:r w:rsidRPr="003B329E">
        <w:rPr>
          <w:rFonts w:ascii="Times New Roman" w:hAnsi="Times New Roman" w:cs="Times New Roman"/>
          <w:sz w:val="24"/>
          <w:szCs w:val="24"/>
        </w:rPr>
        <w:t xml:space="preserve"> se menționează că</w:t>
      </w:r>
      <w:r>
        <w:rPr>
          <w:rFonts w:ascii="Times New Roman" w:hAnsi="Times New Roman" w:cs="Times New Roman"/>
          <w:sz w:val="24"/>
          <w:szCs w:val="24"/>
        </w:rPr>
        <w:t>,</w:t>
      </w:r>
      <w:r w:rsidRPr="003B329E">
        <w:rPr>
          <w:rFonts w:ascii="Times New Roman" w:hAnsi="Times New Roman" w:cs="Times New Roman"/>
          <w:sz w:val="24"/>
          <w:szCs w:val="24"/>
        </w:rPr>
        <w:t xml:space="preserve"> dacă în cadrul unei instituții publice care aplică regulile bugetare</w:t>
      </w:r>
      <w:r>
        <w:rPr>
          <w:rFonts w:ascii="Times New Roman" w:hAnsi="Times New Roman" w:cs="Times New Roman"/>
          <w:sz w:val="24"/>
          <w:szCs w:val="24"/>
        </w:rPr>
        <w:t xml:space="preserve"> (DGACG și BA),</w:t>
      </w:r>
      <w:r w:rsidRPr="003B329E">
        <w:rPr>
          <w:rFonts w:ascii="Times New Roman" w:hAnsi="Times New Roman" w:cs="Times New Roman"/>
          <w:sz w:val="24"/>
          <w:szCs w:val="24"/>
        </w:rPr>
        <w:t xml:space="preserve"> salariul mediu lunar net al conducătorului constituie cca 23,0 mii lei/lunar</w:t>
      </w:r>
      <w:r>
        <w:rPr>
          <w:rFonts w:ascii="Times New Roman" w:hAnsi="Times New Roman" w:cs="Times New Roman"/>
          <w:sz w:val="24"/>
          <w:szCs w:val="24"/>
        </w:rPr>
        <w:t>,</w:t>
      </w:r>
      <w:r w:rsidRPr="003B329E">
        <w:rPr>
          <w:rFonts w:ascii="Times New Roman" w:hAnsi="Times New Roman" w:cs="Times New Roman"/>
          <w:sz w:val="24"/>
          <w:szCs w:val="24"/>
        </w:rPr>
        <w:t xml:space="preserve"> atunci remunerarea managerului la o instituție publică la autogestiune se cifrează p</w:t>
      </w:r>
      <w:r>
        <w:rPr>
          <w:rFonts w:ascii="Times New Roman" w:hAnsi="Times New Roman" w:cs="Times New Roman"/>
          <w:sz w:val="24"/>
          <w:szCs w:val="24"/>
        </w:rPr>
        <w:t>â</w:t>
      </w:r>
      <w:r w:rsidRPr="003B329E">
        <w:rPr>
          <w:rFonts w:ascii="Times New Roman" w:hAnsi="Times New Roman" w:cs="Times New Roman"/>
          <w:sz w:val="24"/>
          <w:szCs w:val="24"/>
        </w:rPr>
        <w:t>nă la 75,0 mii lei/lunar</w:t>
      </w:r>
      <w:r>
        <w:rPr>
          <w:rFonts w:ascii="Times New Roman" w:hAnsi="Times New Roman" w:cs="Times New Roman"/>
          <w:sz w:val="24"/>
          <w:szCs w:val="24"/>
        </w:rPr>
        <w:t xml:space="preserve"> (STISC și AGE)</w:t>
      </w:r>
      <w:r w:rsidRPr="003B329E">
        <w:rPr>
          <w:rFonts w:ascii="Times New Roman" w:hAnsi="Times New Roman" w:cs="Times New Roman"/>
          <w:sz w:val="24"/>
          <w:szCs w:val="24"/>
        </w:rPr>
        <w:t xml:space="preserve">. Diferențe substanțiale se atestă și la </w:t>
      </w:r>
      <w:r w:rsidRPr="003B329E">
        <w:rPr>
          <w:rFonts w:ascii="Times New Roman" w:hAnsi="Times New Roman" w:cs="Times New Roman"/>
          <w:b/>
          <w:i/>
          <w:sz w:val="24"/>
          <w:szCs w:val="24"/>
        </w:rPr>
        <w:t>remunerarea netă a angajaților</w:t>
      </w:r>
      <w:r w:rsidRPr="003B329E">
        <w:rPr>
          <w:rFonts w:ascii="Times New Roman" w:hAnsi="Times New Roman" w:cs="Times New Roman"/>
          <w:sz w:val="24"/>
          <w:szCs w:val="24"/>
        </w:rPr>
        <w:t xml:space="preserve"> </w:t>
      </w:r>
      <w:r w:rsidRPr="003B329E">
        <w:rPr>
          <w:rFonts w:ascii="Times New Roman" w:hAnsi="Times New Roman" w:cs="Times New Roman"/>
          <w:b/>
          <w:i/>
          <w:sz w:val="24"/>
          <w:szCs w:val="24"/>
        </w:rPr>
        <w:t>din domeniul financiar</w:t>
      </w:r>
      <w:r w:rsidRPr="003B329E">
        <w:rPr>
          <w:rFonts w:ascii="Times New Roman" w:hAnsi="Times New Roman" w:cs="Times New Roman"/>
          <w:sz w:val="24"/>
          <w:szCs w:val="24"/>
        </w:rPr>
        <w:t xml:space="preserve"> (contabil-șef, contabil</w:t>
      </w:r>
      <w:r>
        <w:rPr>
          <w:rFonts w:ascii="Times New Roman" w:hAnsi="Times New Roman" w:cs="Times New Roman"/>
          <w:sz w:val="24"/>
          <w:szCs w:val="24"/>
        </w:rPr>
        <w:t>, consultant resurse umane</w:t>
      </w:r>
      <w:r w:rsidRPr="003B329E">
        <w:rPr>
          <w:rFonts w:ascii="Times New Roman" w:hAnsi="Times New Roman" w:cs="Times New Roman"/>
          <w:sz w:val="24"/>
          <w:szCs w:val="24"/>
        </w:rPr>
        <w:t>)</w:t>
      </w:r>
      <w:r>
        <w:rPr>
          <w:rFonts w:ascii="Times New Roman" w:hAnsi="Times New Roman" w:cs="Times New Roman"/>
          <w:sz w:val="24"/>
          <w:szCs w:val="24"/>
        </w:rPr>
        <w:t>,</w:t>
      </w:r>
      <w:r w:rsidRPr="003B329E">
        <w:rPr>
          <w:rFonts w:ascii="Times New Roman" w:hAnsi="Times New Roman" w:cs="Times New Roman"/>
          <w:sz w:val="24"/>
          <w:szCs w:val="24"/>
        </w:rPr>
        <w:t xml:space="preserve"> care la entitățile publice a constituit</w:t>
      </w:r>
      <w:r>
        <w:rPr>
          <w:rFonts w:ascii="Times New Roman" w:hAnsi="Times New Roman" w:cs="Times New Roman"/>
          <w:sz w:val="24"/>
          <w:szCs w:val="24"/>
        </w:rPr>
        <w:t>,</w:t>
      </w:r>
      <w:r w:rsidRPr="003B329E">
        <w:rPr>
          <w:rFonts w:ascii="Times New Roman" w:hAnsi="Times New Roman" w:cs="Times New Roman"/>
          <w:sz w:val="24"/>
          <w:szCs w:val="24"/>
        </w:rPr>
        <w:t xml:space="preserve"> respectiv, 15,0 mii lei și 11,0 mii lei, </w:t>
      </w:r>
      <w:r>
        <w:rPr>
          <w:rFonts w:ascii="Times New Roman" w:hAnsi="Times New Roman" w:cs="Times New Roman"/>
          <w:sz w:val="24"/>
          <w:szCs w:val="24"/>
        </w:rPr>
        <w:t>iar</w:t>
      </w:r>
      <w:r w:rsidRPr="003B329E">
        <w:rPr>
          <w:rFonts w:ascii="Times New Roman" w:hAnsi="Times New Roman" w:cs="Times New Roman"/>
          <w:sz w:val="24"/>
          <w:szCs w:val="24"/>
        </w:rPr>
        <w:t xml:space="preserve"> la instituția care activează în condiții de autogestiune aceasta </w:t>
      </w:r>
      <w:r>
        <w:rPr>
          <w:rFonts w:ascii="Times New Roman" w:hAnsi="Times New Roman" w:cs="Times New Roman"/>
          <w:sz w:val="24"/>
          <w:szCs w:val="24"/>
        </w:rPr>
        <w:t xml:space="preserve">fiind </w:t>
      </w:r>
      <w:r w:rsidRPr="003B329E">
        <w:rPr>
          <w:rFonts w:ascii="Times New Roman" w:hAnsi="Times New Roman" w:cs="Times New Roman"/>
          <w:sz w:val="24"/>
          <w:szCs w:val="24"/>
        </w:rPr>
        <w:t>de 65,0 mii lei și 32,6 mii lei, sau de 3-4 ori mai mult, deși atribuțiile sunt similare. De fapt, în cazurile analizate, sursa preponderentă de finanțare a entităților o constituie mijloacele bugetului de stat.</w:t>
      </w:r>
    </w:p>
    <w:p w14:paraId="3B9B4FCE" w14:textId="0529C076" w:rsidR="00E262B5" w:rsidRPr="00EB5507" w:rsidRDefault="00DE4CE7" w:rsidP="005E02D0">
      <w:pPr>
        <w:pStyle w:val="a7"/>
        <w:numPr>
          <w:ilvl w:val="2"/>
          <w:numId w:val="4"/>
        </w:numPr>
        <w:tabs>
          <w:tab w:val="left" w:pos="567"/>
        </w:tabs>
        <w:spacing w:before="120" w:after="80" w:line="276" w:lineRule="auto"/>
        <w:ind w:left="0" w:firstLine="0"/>
        <w:contextualSpacing w:val="0"/>
        <w:jc w:val="both"/>
        <w:rPr>
          <w:rFonts w:ascii="Times New Roman" w:hAnsi="Times New Roman" w:cs="Times New Roman"/>
          <w:b/>
          <w:color w:val="0070C0"/>
          <w:sz w:val="24"/>
          <w:szCs w:val="24"/>
        </w:rPr>
      </w:pPr>
      <w:r w:rsidRPr="00EB5507">
        <w:rPr>
          <w:rFonts w:ascii="Times New Roman" w:hAnsi="Times New Roman" w:cs="Times New Roman"/>
          <w:b/>
          <w:color w:val="0070C0"/>
          <w:sz w:val="24"/>
          <w:szCs w:val="24"/>
        </w:rPr>
        <w:t xml:space="preserve"> Responsabilitățile CS aferente exercitării monitoringului instituțiilor publice în care are calitatea de fondator nu sunt definite clar.</w:t>
      </w:r>
    </w:p>
    <w:p w14:paraId="4E17F8AC" w14:textId="77777777" w:rsidR="00DE4CE7" w:rsidRPr="003B329E" w:rsidRDefault="00DE4CE7" w:rsidP="005E02D0">
      <w:pPr>
        <w:spacing w:after="0" w:line="276" w:lineRule="auto"/>
        <w:jc w:val="both"/>
        <w:rPr>
          <w:rFonts w:ascii="Times New Roman" w:hAnsi="Times New Roman" w:cs="Times New Roman"/>
          <w:bCs/>
          <w:sz w:val="24"/>
          <w:szCs w:val="24"/>
          <w:lang w:eastAsia="ro-RO"/>
        </w:rPr>
      </w:pPr>
      <w:r w:rsidRPr="00D652C7">
        <w:rPr>
          <w:rFonts w:ascii="Times New Roman" w:hAnsi="Times New Roman" w:cs="Times New Roman"/>
          <w:sz w:val="24"/>
          <w:szCs w:val="24"/>
        </w:rPr>
        <w:t>Îndeplinirea de către Cancelaria de Stat a atribuții</w:t>
      </w:r>
      <w:r>
        <w:rPr>
          <w:rFonts w:ascii="Times New Roman" w:hAnsi="Times New Roman" w:cs="Times New Roman"/>
          <w:sz w:val="24"/>
          <w:szCs w:val="24"/>
        </w:rPr>
        <w:t>lor</w:t>
      </w:r>
      <w:r w:rsidRPr="00D652C7">
        <w:rPr>
          <w:rFonts w:ascii="Times New Roman" w:hAnsi="Times New Roman" w:cs="Times New Roman"/>
          <w:sz w:val="24"/>
          <w:szCs w:val="24"/>
        </w:rPr>
        <w:t xml:space="preserve"> privind</w:t>
      </w:r>
      <w:r w:rsidRPr="00D652C7">
        <w:rPr>
          <w:rFonts w:ascii="Times New Roman" w:hAnsi="Times New Roman" w:cs="Times New Roman"/>
          <w:i/>
          <w:sz w:val="24"/>
          <w:szCs w:val="24"/>
        </w:rPr>
        <w:t xml:space="preserve"> coordonarea și monitorizarea activităților structurilor organizaționale din sfera sa de competență</w:t>
      </w:r>
      <w:r w:rsidRPr="00D652C7">
        <w:rPr>
          <w:rFonts w:ascii="Times New Roman" w:hAnsi="Times New Roman" w:cs="Times New Roman"/>
          <w:sz w:val="24"/>
          <w:szCs w:val="24"/>
        </w:rPr>
        <w:t xml:space="preserve"> reprezintă una dintre funcțiile de bază ale autorității</w:t>
      </w:r>
      <w:r w:rsidRPr="00D652C7">
        <w:rPr>
          <w:rFonts w:ascii="Times New Roman" w:hAnsi="Times New Roman" w:cs="Times New Roman"/>
          <w:bCs/>
          <w:sz w:val="24"/>
          <w:szCs w:val="24"/>
          <w:lang w:eastAsia="ro-RO"/>
        </w:rPr>
        <w:t xml:space="preserve"> și derivă atât din spețele pct. 7 lit. k</w:t>
      </w:r>
      <w:r w:rsidRPr="00D652C7">
        <w:rPr>
          <w:rFonts w:ascii="Times New Roman" w:hAnsi="Times New Roman" w:cs="Times New Roman"/>
          <w:bCs/>
          <w:sz w:val="24"/>
          <w:szCs w:val="24"/>
          <w:vertAlign w:val="superscript"/>
          <w:lang w:eastAsia="ro-RO"/>
        </w:rPr>
        <w:t>2</w:t>
      </w:r>
      <w:r w:rsidRPr="00761420">
        <w:rPr>
          <w:rFonts w:ascii="Times New Roman" w:hAnsi="Times New Roman" w:cs="Times New Roman"/>
          <w:bCs/>
          <w:sz w:val="24"/>
          <w:szCs w:val="24"/>
          <w:lang w:eastAsia="ro-RO"/>
        </w:rPr>
        <w:t>)</w:t>
      </w:r>
      <w:r w:rsidRPr="00D652C7">
        <w:rPr>
          <w:rFonts w:ascii="Times New Roman" w:hAnsi="Times New Roman" w:cs="Times New Roman"/>
          <w:bCs/>
          <w:sz w:val="24"/>
          <w:szCs w:val="24"/>
          <w:lang w:eastAsia="ro-RO"/>
        </w:rPr>
        <w:t xml:space="preserve"> din Regulamentul privind organizarea și funcționarea Cancelariei de Stat</w:t>
      </w:r>
      <w:r w:rsidRPr="00D652C7">
        <w:rPr>
          <w:rStyle w:val="a5"/>
          <w:rFonts w:ascii="Times New Roman" w:hAnsi="Times New Roman" w:cs="Times New Roman"/>
          <w:bCs/>
          <w:sz w:val="24"/>
          <w:szCs w:val="24"/>
          <w:lang w:eastAsia="ro-RO"/>
        </w:rPr>
        <w:footnoteReference w:id="87"/>
      </w:r>
      <w:r>
        <w:rPr>
          <w:rFonts w:ascii="Times New Roman" w:hAnsi="Times New Roman" w:cs="Times New Roman"/>
          <w:bCs/>
          <w:sz w:val="24"/>
          <w:szCs w:val="24"/>
          <w:lang w:eastAsia="ro-RO"/>
        </w:rPr>
        <w:t>,</w:t>
      </w:r>
      <w:r w:rsidRPr="00D652C7">
        <w:rPr>
          <w:rFonts w:ascii="Times New Roman" w:hAnsi="Times New Roman" w:cs="Times New Roman"/>
          <w:bCs/>
          <w:sz w:val="24"/>
          <w:szCs w:val="24"/>
          <w:lang w:eastAsia="ro-RO"/>
        </w:rPr>
        <w:t xml:space="preserve"> cât și din obiectivele pe termen mediu și din planurile anuale </w:t>
      </w:r>
      <w:r>
        <w:rPr>
          <w:rFonts w:ascii="Times New Roman" w:hAnsi="Times New Roman" w:cs="Times New Roman"/>
          <w:bCs/>
          <w:sz w:val="24"/>
          <w:szCs w:val="24"/>
          <w:lang w:eastAsia="ro-RO"/>
        </w:rPr>
        <w:t>aprobate</w:t>
      </w:r>
      <w:r w:rsidRPr="00D652C7">
        <w:rPr>
          <w:rFonts w:ascii="Times New Roman" w:hAnsi="Times New Roman" w:cs="Times New Roman"/>
          <w:bCs/>
          <w:sz w:val="24"/>
          <w:szCs w:val="24"/>
          <w:lang w:eastAsia="ro-RO"/>
        </w:rPr>
        <w:t>. Concomitent, despre obligativitatea CS de a monitoriza calitatea</w:t>
      </w:r>
      <w:r w:rsidRPr="003B329E">
        <w:rPr>
          <w:rFonts w:ascii="Times New Roman" w:hAnsi="Times New Roman" w:cs="Times New Roman"/>
          <w:bCs/>
          <w:sz w:val="24"/>
          <w:szCs w:val="24"/>
          <w:lang w:eastAsia="ro-RO"/>
        </w:rPr>
        <w:t xml:space="preserve"> serviciilor publice prestate de către I</w:t>
      </w:r>
      <w:r>
        <w:rPr>
          <w:rFonts w:ascii="Times New Roman" w:hAnsi="Times New Roman" w:cs="Times New Roman"/>
          <w:bCs/>
          <w:sz w:val="24"/>
          <w:szCs w:val="24"/>
          <w:lang w:eastAsia="ro-RO"/>
        </w:rPr>
        <w:t>.</w:t>
      </w:r>
      <w:r w:rsidRPr="003B329E">
        <w:rPr>
          <w:rFonts w:ascii="Times New Roman" w:hAnsi="Times New Roman" w:cs="Times New Roman"/>
          <w:bCs/>
          <w:sz w:val="24"/>
          <w:szCs w:val="24"/>
          <w:lang w:eastAsia="ro-RO"/>
        </w:rPr>
        <w:t>P</w:t>
      </w:r>
      <w:r>
        <w:rPr>
          <w:rFonts w:ascii="Times New Roman" w:hAnsi="Times New Roman" w:cs="Times New Roman"/>
          <w:bCs/>
          <w:sz w:val="24"/>
          <w:szCs w:val="24"/>
          <w:lang w:eastAsia="ro-RO"/>
        </w:rPr>
        <w:t>.</w:t>
      </w:r>
      <w:r w:rsidRPr="003B329E">
        <w:rPr>
          <w:rFonts w:ascii="Times New Roman" w:hAnsi="Times New Roman" w:cs="Times New Roman"/>
          <w:bCs/>
          <w:sz w:val="24"/>
          <w:szCs w:val="24"/>
          <w:lang w:eastAsia="ro-RO"/>
        </w:rPr>
        <w:t xml:space="preserve"> din sfera de competență este statuat și în art. 29 din Legea nr. 234 din 23.12.2021 cu privire la serviciile publice.</w:t>
      </w:r>
    </w:p>
    <w:p w14:paraId="08ABC849" w14:textId="77777777" w:rsidR="00DE4CE7" w:rsidRPr="003B329E" w:rsidRDefault="00DE4CE7" w:rsidP="005E02D0">
      <w:pPr>
        <w:pStyle w:val="a7"/>
        <w:tabs>
          <w:tab w:val="left" w:pos="360"/>
        </w:tabs>
        <w:spacing w:before="80" w:after="120" w:line="276" w:lineRule="auto"/>
        <w:ind w:left="0" w:right="57"/>
        <w:contextualSpacing w:val="0"/>
        <w:jc w:val="both"/>
        <w:rPr>
          <w:rFonts w:ascii="Times New Roman" w:hAnsi="Times New Roman" w:cs="Times New Roman"/>
          <w:bCs/>
          <w:sz w:val="24"/>
          <w:szCs w:val="24"/>
          <w:lang w:eastAsia="ro-RO"/>
        </w:rPr>
      </w:pPr>
      <w:r w:rsidRPr="003B329E">
        <w:rPr>
          <w:rFonts w:ascii="Times New Roman" w:hAnsi="Times New Roman" w:cs="Times New Roman"/>
          <w:bCs/>
          <w:sz w:val="24"/>
          <w:szCs w:val="24"/>
          <w:lang w:eastAsia="ro-RO"/>
        </w:rPr>
        <w:t>Pentru realizarea acestor atribuții</w:t>
      </w:r>
      <w:r>
        <w:rPr>
          <w:rFonts w:ascii="Times New Roman" w:hAnsi="Times New Roman" w:cs="Times New Roman"/>
          <w:bCs/>
          <w:sz w:val="24"/>
          <w:szCs w:val="24"/>
          <w:lang w:eastAsia="ro-RO"/>
        </w:rPr>
        <w:t>,</w:t>
      </w:r>
      <w:r w:rsidRPr="003B329E">
        <w:rPr>
          <w:rFonts w:ascii="Times New Roman" w:hAnsi="Times New Roman" w:cs="Times New Roman"/>
          <w:bCs/>
          <w:sz w:val="24"/>
          <w:szCs w:val="24"/>
          <w:lang w:eastAsia="ro-RO"/>
        </w:rPr>
        <w:t xml:space="preserve"> precum și a altora, în perioada auditată, prin ordinele</w:t>
      </w:r>
      <w:r w:rsidRPr="003B329E">
        <w:rPr>
          <w:rStyle w:val="a5"/>
          <w:rFonts w:ascii="Times New Roman" w:hAnsi="Times New Roman" w:cs="Times New Roman"/>
          <w:bCs/>
          <w:sz w:val="24"/>
          <w:szCs w:val="24"/>
          <w:lang w:eastAsia="ro-RO"/>
        </w:rPr>
        <w:footnoteReference w:id="88"/>
      </w:r>
      <w:r w:rsidRPr="003B329E">
        <w:rPr>
          <w:rFonts w:ascii="Times New Roman" w:hAnsi="Times New Roman" w:cs="Times New Roman"/>
          <w:bCs/>
          <w:sz w:val="24"/>
          <w:szCs w:val="24"/>
          <w:lang w:eastAsia="ro-RO"/>
        </w:rPr>
        <w:t xml:space="preserve"> Secretarului general al Guvernului, au fost aprobate schemele/domeniile de </w:t>
      </w:r>
      <w:r>
        <w:rPr>
          <w:rFonts w:ascii="Times New Roman" w:hAnsi="Times New Roman" w:cs="Times New Roman"/>
          <w:bCs/>
          <w:sz w:val="24"/>
          <w:szCs w:val="24"/>
          <w:lang w:eastAsia="ro-RO"/>
        </w:rPr>
        <w:t xml:space="preserve">coordonare </w:t>
      </w:r>
      <w:r w:rsidRPr="003B329E">
        <w:rPr>
          <w:rFonts w:ascii="Times New Roman" w:hAnsi="Times New Roman" w:cs="Times New Roman"/>
          <w:bCs/>
          <w:sz w:val="24"/>
          <w:szCs w:val="24"/>
          <w:lang w:eastAsia="ro-RO"/>
        </w:rPr>
        <w:t xml:space="preserve">a funcțiilor exercitate de către subdiviziunile autonome ale CS și ale instituțiilor publice monitorizate. Astfel, responsabilitățile privind coordonarea activității instituțiilor publice în care CS are calitatea de fondator </w:t>
      </w:r>
      <w:r>
        <w:rPr>
          <w:rFonts w:ascii="Times New Roman" w:hAnsi="Times New Roman" w:cs="Times New Roman"/>
          <w:bCs/>
          <w:sz w:val="24"/>
          <w:szCs w:val="24"/>
          <w:lang w:eastAsia="ro-RO"/>
        </w:rPr>
        <w:t>sunt</w:t>
      </w:r>
      <w:r w:rsidRPr="003B329E">
        <w:rPr>
          <w:rFonts w:ascii="Times New Roman" w:hAnsi="Times New Roman" w:cs="Times New Roman"/>
          <w:bCs/>
          <w:sz w:val="24"/>
          <w:szCs w:val="24"/>
          <w:lang w:eastAsia="ro-RO"/>
        </w:rPr>
        <w:t xml:space="preserve"> delegat</w:t>
      </w:r>
      <w:r>
        <w:rPr>
          <w:rFonts w:ascii="Times New Roman" w:hAnsi="Times New Roman" w:cs="Times New Roman"/>
          <w:bCs/>
          <w:sz w:val="24"/>
          <w:szCs w:val="24"/>
          <w:lang w:eastAsia="ro-RO"/>
        </w:rPr>
        <w:t>e</w:t>
      </w:r>
      <w:r w:rsidRPr="003B329E">
        <w:rPr>
          <w:rFonts w:ascii="Times New Roman" w:hAnsi="Times New Roman" w:cs="Times New Roman"/>
          <w:bCs/>
          <w:sz w:val="24"/>
          <w:szCs w:val="24"/>
          <w:lang w:eastAsia="ro-RO"/>
        </w:rPr>
        <w:t xml:space="preserve"> Secretarilor de stat. Însă, at</w:t>
      </w:r>
      <w:r>
        <w:rPr>
          <w:rFonts w:ascii="Times New Roman" w:hAnsi="Times New Roman" w:cs="Times New Roman"/>
          <w:bCs/>
          <w:sz w:val="24"/>
          <w:szCs w:val="24"/>
          <w:lang w:eastAsia="ro-RO"/>
        </w:rPr>
        <w:t>â</w:t>
      </w:r>
      <w:r w:rsidRPr="003B329E">
        <w:rPr>
          <w:rFonts w:ascii="Times New Roman" w:hAnsi="Times New Roman" w:cs="Times New Roman"/>
          <w:bCs/>
          <w:sz w:val="24"/>
          <w:szCs w:val="24"/>
          <w:lang w:eastAsia="ro-RO"/>
        </w:rPr>
        <w:t>t în actul administrativ nominalizat</w:t>
      </w:r>
      <w:r>
        <w:rPr>
          <w:rFonts w:ascii="Times New Roman" w:hAnsi="Times New Roman" w:cs="Times New Roman"/>
          <w:bCs/>
          <w:sz w:val="24"/>
          <w:szCs w:val="24"/>
          <w:lang w:eastAsia="ro-RO"/>
        </w:rPr>
        <w:t>,</w:t>
      </w:r>
      <w:r w:rsidRPr="003B329E">
        <w:rPr>
          <w:rFonts w:ascii="Times New Roman" w:hAnsi="Times New Roman" w:cs="Times New Roman"/>
          <w:bCs/>
          <w:sz w:val="24"/>
          <w:szCs w:val="24"/>
          <w:lang w:eastAsia="ro-RO"/>
        </w:rPr>
        <w:t xml:space="preserve"> c</w:t>
      </w:r>
      <w:r>
        <w:rPr>
          <w:rFonts w:ascii="Times New Roman" w:hAnsi="Times New Roman" w:cs="Times New Roman"/>
          <w:bCs/>
          <w:sz w:val="24"/>
          <w:szCs w:val="24"/>
          <w:lang w:eastAsia="ro-RO"/>
        </w:rPr>
        <w:t>â</w:t>
      </w:r>
      <w:r w:rsidRPr="003B329E">
        <w:rPr>
          <w:rFonts w:ascii="Times New Roman" w:hAnsi="Times New Roman" w:cs="Times New Roman"/>
          <w:bCs/>
          <w:sz w:val="24"/>
          <w:szCs w:val="24"/>
          <w:lang w:eastAsia="ro-RO"/>
        </w:rPr>
        <w:t>t și în alte norme interne, nu se regăsesc descrise activitățil</w:t>
      </w:r>
      <w:r>
        <w:rPr>
          <w:rFonts w:ascii="Times New Roman" w:hAnsi="Times New Roman" w:cs="Times New Roman"/>
          <w:bCs/>
          <w:sz w:val="24"/>
          <w:szCs w:val="24"/>
          <w:lang w:eastAsia="ro-RO"/>
        </w:rPr>
        <w:t>e</w:t>
      </w:r>
      <w:r w:rsidRPr="003B329E">
        <w:rPr>
          <w:rFonts w:ascii="Times New Roman" w:hAnsi="Times New Roman" w:cs="Times New Roman"/>
          <w:bCs/>
          <w:sz w:val="24"/>
          <w:szCs w:val="24"/>
          <w:lang w:eastAsia="ro-RO"/>
        </w:rPr>
        <w:t xml:space="preserve"> care urmează a fi realizate de către cei din urmă, inclusiv cele aferente:</w:t>
      </w:r>
    </w:p>
    <w:p w14:paraId="412F5E47" w14:textId="0E126940" w:rsidR="00DE4CE7" w:rsidRPr="003B329E" w:rsidRDefault="00DE4CE7" w:rsidP="00DE4CE7">
      <w:pPr>
        <w:pStyle w:val="a7"/>
        <w:numPr>
          <w:ilvl w:val="0"/>
          <w:numId w:val="17"/>
        </w:numPr>
        <w:tabs>
          <w:tab w:val="left" w:pos="360"/>
        </w:tabs>
        <w:spacing w:after="0" w:line="276" w:lineRule="auto"/>
        <w:ind w:left="714" w:right="57" w:hanging="357"/>
        <w:contextualSpacing w:val="0"/>
        <w:jc w:val="both"/>
        <w:rPr>
          <w:rFonts w:ascii="Times New Roman" w:hAnsi="Times New Roman" w:cs="Times New Roman"/>
          <w:bCs/>
          <w:sz w:val="24"/>
          <w:szCs w:val="24"/>
          <w:lang w:eastAsia="ro-RO"/>
        </w:rPr>
      </w:pPr>
      <w:r>
        <w:rPr>
          <w:rFonts w:ascii="Times New Roman" w:hAnsi="Times New Roman" w:cs="Times New Roman"/>
          <w:bCs/>
          <w:sz w:val="24"/>
          <w:szCs w:val="24"/>
          <w:lang w:eastAsia="ro-RO"/>
        </w:rPr>
        <w:t>a</w:t>
      </w:r>
      <w:r w:rsidRPr="003B329E">
        <w:rPr>
          <w:rFonts w:ascii="Times New Roman" w:hAnsi="Times New Roman" w:cs="Times New Roman"/>
          <w:bCs/>
          <w:sz w:val="24"/>
          <w:szCs w:val="24"/>
          <w:lang w:eastAsia="ro-RO"/>
        </w:rPr>
        <w:t xml:space="preserve">probării cuantumului </w:t>
      </w:r>
      <w:r w:rsidR="00820DC5" w:rsidRPr="003B329E">
        <w:rPr>
          <w:rFonts w:ascii="Times New Roman" w:hAnsi="Times New Roman" w:cs="Times New Roman"/>
          <w:bCs/>
          <w:sz w:val="24"/>
          <w:szCs w:val="24"/>
          <w:lang w:eastAsia="ro-RO"/>
        </w:rPr>
        <w:t>tarifelor</w:t>
      </w:r>
      <w:r w:rsidR="00820DC5">
        <w:rPr>
          <w:rFonts w:ascii="Times New Roman" w:hAnsi="Times New Roman" w:cs="Times New Roman"/>
          <w:bCs/>
          <w:sz w:val="24"/>
          <w:szCs w:val="24"/>
          <w:lang w:eastAsia="ro-RO"/>
        </w:rPr>
        <w:t xml:space="preserve"> la serviciile </w:t>
      </w:r>
      <w:r w:rsidRPr="003B329E">
        <w:rPr>
          <w:rFonts w:ascii="Times New Roman" w:hAnsi="Times New Roman" w:cs="Times New Roman"/>
          <w:bCs/>
          <w:sz w:val="24"/>
          <w:szCs w:val="24"/>
          <w:lang w:eastAsia="ro-RO"/>
        </w:rPr>
        <w:t>calculate și aplicate de către I</w:t>
      </w:r>
      <w:r>
        <w:rPr>
          <w:rFonts w:ascii="Times New Roman" w:hAnsi="Times New Roman" w:cs="Times New Roman"/>
          <w:bCs/>
          <w:sz w:val="24"/>
          <w:szCs w:val="24"/>
          <w:lang w:eastAsia="ro-RO"/>
        </w:rPr>
        <w:t>.</w:t>
      </w:r>
      <w:r w:rsidRPr="003B329E">
        <w:rPr>
          <w:rFonts w:ascii="Times New Roman" w:hAnsi="Times New Roman" w:cs="Times New Roman"/>
          <w:bCs/>
          <w:sz w:val="24"/>
          <w:szCs w:val="24"/>
          <w:lang w:eastAsia="ro-RO"/>
        </w:rPr>
        <w:t>P</w:t>
      </w:r>
      <w:r>
        <w:rPr>
          <w:rFonts w:ascii="Times New Roman" w:hAnsi="Times New Roman" w:cs="Times New Roman"/>
          <w:bCs/>
          <w:sz w:val="24"/>
          <w:szCs w:val="24"/>
          <w:lang w:eastAsia="ro-RO"/>
        </w:rPr>
        <w:t>.</w:t>
      </w:r>
      <w:r w:rsidRPr="003B329E">
        <w:rPr>
          <w:rFonts w:ascii="Times New Roman" w:hAnsi="Times New Roman" w:cs="Times New Roman"/>
          <w:bCs/>
          <w:sz w:val="24"/>
          <w:szCs w:val="24"/>
          <w:lang w:eastAsia="ro-RO"/>
        </w:rPr>
        <w:t xml:space="preserve"> din subordine;</w:t>
      </w:r>
    </w:p>
    <w:p w14:paraId="5140A7C1" w14:textId="77777777" w:rsidR="00DE4CE7" w:rsidRPr="003B329E" w:rsidRDefault="00DE4CE7" w:rsidP="00DE4CE7">
      <w:pPr>
        <w:pStyle w:val="a7"/>
        <w:numPr>
          <w:ilvl w:val="0"/>
          <w:numId w:val="17"/>
        </w:numPr>
        <w:tabs>
          <w:tab w:val="left" w:pos="360"/>
        </w:tabs>
        <w:spacing w:after="0" w:line="276" w:lineRule="auto"/>
        <w:ind w:left="714" w:right="57" w:hanging="357"/>
        <w:contextualSpacing w:val="0"/>
        <w:jc w:val="both"/>
        <w:rPr>
          <w:rFonts w:ascii="Times New Roman" w:hAnsi="Times New Roman" w:cs="Times New Roman"/>
          <w:bCs/>
          <w:sz w:val="24"/>
          <w:szCs w:val="24"/>
          <w:lang w:eastAsia="ro-RO"/>
        </w:rPr>
      </w:pPr>
      <w:r w:rsidRPr="003B329E">
        <w:rPr>
          <w:rFonts w:ascii="Times New Roman" w:hAnsi="Times New Roman" w:cs="Times New Roman"/>
          <w:bCs/>
          <w:sz w:val="24"/>
          <w:szCs w:val="24"/>
          <w:lang w:eastAsia="ro-RO"/>
        </w:rPr>
        <w:t>aprobării propunerilor de modificare a cadrului normativ în domeniu, înaintate de către Instituțiile Publice;</w:t>
      </w:r>
    </w:p>
    <w:p w14:paraId="38706869" w14:textId="77777777" w:rsidR="00DE4CE7" w:rsidRPr="003B329E" w:rsidRDefault="00DE4CE7" w:rsidP="00DE4CE7">
      <w:pPr>
        <w:pStyle w:val="a7"/>
        <w:numPr>
          <w:ilvl w:val="0"/>
          <w:numId w:val="17"/>
        </w:numPr>
        <w:tabs>
          <w:tab w:val="left" w:pos="360"/>
        </w:tabs>
        <w:spacing w:after="0" w:line="276" w:lineRule="auto"/>
        <w:ind w:left="714" w:right="57" w:hanging="357"/>
        <w:contextualSpacing w:val="0"/>
        <w:jc w:val="both"/>
        <w:rPr>
          <w:rFonts w:ascii="Times New Roman" w:hAnsi="Times New Roman" w:cs="Times New Roman"/>
          <w:bCs/>
          <w:sz w:val="24"/>
          <w:szCs w:val="24"/>
          <w:lang w:eastAsia="ro-RO"/>
        </w:rPr>
      </w:pPr>
      <w:r w:rsidRPr="003B329E">
        <w:rPr>
          <w:rFonts w:ascii="Times New Roman" w:hAnsi="Times New Roman" w:cs="Times New Roman"/>
          <w:bCs/>
          <w:sz w:val="24"/>
          <w:szCs w:val="24"/>
          <w:lang w:eastAsia="ro-RO"/>
        </w:rPr>
        <w:t>aprobării proiectului de buget al Instituțiilor Publice, cu excepția celor care au Consiliu;</w:t>
      </w:r>
    </w:p>
    <w:p w14:paraId="4B62610E" w14:textId="77777777" w:rsidR="00DE4CE7" w:rsidRPr="003B329E" w:rsidRDefault="00DE4CE7" w:rsidP="00DE4CE7">
      <w:pPr>
        <w:pStyle w:val="a7"/>
        <w:numPr>
          <w:ilvl w:val="0"/>
          <w:numId w:val="17"/>
        </w:numPr>
        <w:tabs>
          <w:tab w:val="left" w:pos="360"/>
        </w:tabs>
        <w:spacing w:after="0" w:line="276" w:lineRule="auto"/>
        <w:ind w:left="714" w:right="57" w:hanging="357"/>
        <w:contextualSpacing w:val="0"/>
        <w:jc w:val="both"/>
        <w:rPr>
          <w:rFonts w:ascii="Times New Roman" w:hAnsi="Times New Roman" w:cs="Times New Roman"/>
          <w:bCs/>
          <w:sz w:val="24"/>
          <w:szCs w:val="24"/>
          <w:lang w:eastAsia="ro-RO"/>
        </w:rPr>
      </w:pPr>
      <w:r w:rsidRPr="003B329E">
        <w:rPr>
          <w:rFonts w:ascii="Times New Roman" w:hAnsi="Times New Roman" w:cs="Times New Roman"/>
          <w:bCs/>
          <w:sz w:val="24"/>
          <w:szCs w:val="24"/>
          <w:lang w:eastAsia="ro-RO"/>
        </w:rPr>
        <w:t>aprob</w:t>
      </w:r>
      <w:r>
        <w:rPr>
          <w:rFonts w:ascii="Times New Roman" w:hAnsi="Times New Roman" w:cs="Times New Roman"/>
          <w:bCs/>
          <w:sz w:val="24"/>
          <w:szCs w:val="24"/>
          <w:lang w:eastAsia="ro-RO"/>
        </w:rPr>
        <w:t>ării</w:t>
      </w:r>
      <w:r w:rsidRPr="003B329E">
        <w:rPr>
          <w:rFonts w:ascii="Times New Roman" w:hAnsi="Times New Roman" w:cs="Times New Roman"/>
          <w:bCs/>
          <w:sz w:val="24"/>
          <w:szCs w:val="24"/>
          <w:lang w:eastAsia="ro-RO"/>
        </w:rPr>
        <w:t xml:space="preserve"> </w:t>
      </w:r>
      <w:r>
        <w:rPr>
          <w:rFonts w:ascii="Times New Roman" w:hAnsi="Times New Roman" w:cs="Times New Roman"/>
          <w:bCs/>
          <w:sz w:val="24"/>
          <w:szCs w:val="24"/>
          <w:lang w:eastAsia="ro-RO"/>
        </w:rPr>
        <w:t>re</w:t>
      </w:r>
      <w:r w:rsidRPr="003B329E">
        <w:rPr>
          <w:rFonts w:ascii="Times New Roman" w:hAnsi="Times New Roman" w:cs="Times New Roman"/>
          <w:bCs/>
          <w:sz w:val="24"/>
          <w:szCs w:val="24"/>
          <w:lang w:eastAsia="ro-RO"/>
        </w:rPr>
        <w:t xml:space="preserve">surselor financiare publice solicitate de Instituțiile Publice în scopul modernizării și </w:t>
      </w:r>
      <w:r>
        <w:rPr>
          <w:rFonts w:ascii="Times New Roman" w:hAnsi="Times New Roman" w:cs="Times New Roman"/>
          <w:bCs/>
          <w:sz w:val="24"/>
          <w:szCs w:val="24"/>
          <w:lang w:eastAsia="ro-RO"/>
        </w:rPr>
        <w:t xml:space="preserve">efectuării </w:t>
      </w:r>
      <w:r w:rsidRPr="003B329E">
        <w:rPr>
          <w:rFonts w:ascii="Times New Roman" w:hAnsi="Times New Roman" w:cs="Times New Roman"/>
          <w:bCs/>
          <w:sz w:val="24"/>
          <w:szCs w:val="24"/>
          <w:lang w:eastAsia="ro-RO"/>
        </w:rPr>
        <w:t>reparațiilor capitale ale edificiilor acestora;</w:t>
      </w:r>
    </w:p>
    <w:p w14:paraId="183238EB" w14:textId="67C5248A" w:rsidR="00DE4CE7" w:rsidRPr="003B329E" w:rsidRDefault="00DE4CE7" w:rsidP="00DE4CE7">
      <w:pPr>
        <w:pStyle w:val="a7"/>
        <w:numPr>
          <w:ilvl w:val="0"/>
          <w:numId w:val="17"/>
        </w:numPr>
        <w:tabs>
          <w:tab w:val="left" w:pos="360"/>
        </w:tabs>
        <w:spacing w:after="0" w:line="276" w:lineRule="auto"/>
        <w:ind w:left="714" w:right="57" w:hanging="357"/>
        <w:contextualSpacing w:val="0"/>
        <w:jc w:val="both"/>
        <w:rPr>
          <w:rFonts w:ascii="Times New Roman" w:hAnsi="Times New Roman" w:cs="Times New Roman"/>
          <w:bCs/>
          <w:sz w:val="24"/>
          <w:szCs w:val="24"/>
          <w:lang w:eastAsia="ro-RO"/>
        </w:rPr>
      </w:pPr>
      <w:r w:rsidRPr="003B329E">
        <w:rPr>
          <w:rFonts w:ascii="Times New Roman" w:hAnsi="Times New Roman" w:cs="Times New Roman"/>
          <w:bCs/>
          <w:sz w:val="24"/>
          <w:szCs w:val="24"/>
          <w:lang w:eastAsia="ro-RO"/>
        </w:rPr>
        <w:t xml:space="preserve">examinării și aprobării rapoartelor trimestriale privind activitatea economico-financiară a Instituțiilor Publice, cu excepția celor care au </w:t>
      </w:r>
      <w:r w:rsidR="00803D7F" w:rsidRPr="003B329E">
        <w:rPr>
          <w:rFonts w:ascii="Times New Roman" w:hAnsi="Times New Roman" w:cs="Times New Roman"/>
          <w:bCs/>
          <w:sz w:val="24"/>
          <w:szCs w:val="24"/>
          <w:lang w:eastAsia="ro-RO"/>
        </w:rPr>
        <w:t>Consiliu</w:t>
      </w:r>
      <w:r w:rsidRPr="003B329E">
        <w:rPr>
          <w:rFonts w:ascii="Times New Roman" w:hAnsi="Times New Roman" w:cs="Times New Roman"/>
          <w:bCs/>
          <w:sz w:val="24"/>
          <w:szCs w:val="24"/>
          <w:lang w:eastAsia="ro-RO"/>
        </w:rPr>
        <w:t>;</w:t>
      </w:r>
    </w:p>
    <w:p w14:paraId="59BE5940" w14:textId="77777777" w:rsidR="00DE4CE7" w:rsidRPr="003B329E" w:rsidRDefault="00DE4CE7" w:rsidP="00DE4CE7">
      <w:pPr>
        <w:pStyle w:val="a7"/>
        <w:numPr>
          <w:ilvl w:val="0"/>
          <w:numId w:val="17"/>
        </w:numPr>
        <w:tabs>
          <w:tab w:val="left" w:pos="360"/>
        </w:tabs>
        <w:spacing w:after="0" w:line="276" w:lineRule="auto"/>
        <w:ind w:left="714" w:right="57" w:hanging="357"/>
        <w:contextualSpacing w:val="0"/>
        <w:jc w:val="both"/>
        <w:rPr>
          <w:rFonts w:ascii="Times New Roman" w:hAnsi="Times New Roman" w:cs="Times New Roman"/>
          <w:bCs/>
          <w:color w:val="FF0000"/>
          <w:sz w:val="24"/>
          <w:szCs w:val="24"/>
          <w:lang w:eastAsia="ro-RO"/>
        </w:rPr>
      </w:pPr>
      <w:r w:rsidRPr="003B329E">
        <w:rPr>
          <w:rFonts w:ascii="Times New Roman" w:hAnsi="Times New Roman" w:cs="Times New Roman"/>
          <w:bCs/>
          <w:sz w:val="24"/>
          <w:szCs w:val="24"/>
          <w:lang w:eastAsia="ro-RO"/>
        </w:rPr>
        <w:t>examin</w:t>
      </w:r>
      <w:r>
        <w:rPr>
          <w:rFonts w:ascii="Times New Roman" w:hAnsi="Times New Roman" w:cs="Times New Roman"/>
          <w:bCs/>
          <w:sz w:val="24"/>
          <w:szCs w:val="24"/>
          <w:lang w:eastAsia="ro-RO"/>
        </w:rPr>
        <w:t>ării</w:t>
      </w:r>
      <w:r w:rsidRPr="003B329E">
        <w:rPr>
          <w:rFonts w:ascii="Times New Roman" w:hAnsi="Times New Roman" w:cs="Times New Roman"/>
          <w:bCs/>
          <w:sz w:val="24"/>
          <w:szCs w:val="24"/>
          <w:lang w:eastAsia="ro-RO"/>
        </w:rPr>
        <w:t xml:space="preserve"> unor probleme neordinare din activitatea instituțiilor publice și aprobării m</w:t>
      </w:r>
      <w:r>
        <w:rPr>
          <w:rFonts w:ascii="Times New Roman" w:hAnsi="Times New Roman" w:cs="Times New Roman"/>
          <w:bCs/>
          <w:sz w:val="24"/>
          <w:szCs w:val="24"/>
          <w:lang w:eastAsia="ro-RO"/>
        </w:rPr>
        <w:t>ă</w:t>
      </w:r>
      <w:r w:rsidRPr="003B329E">
        <w:rPr>
          <w:rFonts w:ascii="Times New Roman" w:hAnsi="Times New Roman" w:cs="Times New Roman"/>
          <w:bCs/>
          <w:sz w:val="24"/>
          <w:szCs w:val="24"/>
          <w:lang w:eastAsia="ro-RO"/>
        </w:rPr>
        <w:t>surilor de fortificare a activității acestora.</w:t>
      </w:r>
    </w:p>
    <w:p w14:paraId="7672C9D5" w14:textId="77777777" w:rsidR="00DE4CE7" w:rsidRPr="00436800" w:rsidRDefault="00DE4CE7" w:rsidP="005E02D0">
      <w:pPr>
        <w:pStyle w:val="a7"/>
        <w:tabs>
          <w:tab w:val="left" w:pos="360"/>
        </w:tabs>
        <w:spacing w:before="80" w:after="120" w:line="276" w:lineRule="auto"/>
        <w:ind w:left="0" w:right="57"/>
        <w:contextualSpacing w:val="0"/>
        <w:jc w:val="both"/>
        <w:rPr>
          <w:rFonts w:ascii="Times New Roman" w:hAnsi="Times New Roman" w:cs="Times New Roman"/>
          <w:bCs/>
          <w:sz w:val="24"/>
          <w:szCs w:val="24"/>
          <w:lang w:eastAsia="ro-RO"/>
        </w:rPr>
      </w:pPr>
      <w:r w:rsidRPr="003B329E">
        <w:rPr>
          <w:rFonts w:ascii="Times New Roman" w:hAnsi="Times New Roman" w:cs="Times New Roman"/>
          <w:bCs/>
          <w:sz w:val="24"/>
          <w:szCs w:val="24"/>
          <w:lang w:eastAsia="ro-RO"/>
        </w:rPr>
        <w:t>La fel, se atestă că CS nu a asigurat nici instituționalizarea și descrierea procedurilor aferente exercitării procesului de monitoring a instituțiilor publice în care are calitatea de fondator, or</w:t>
      </w:r>
      <w:r>
        <w:rPr>
          <w:rFonts w:ascii="Times New Roman" w:hAnsi="Times New Roman" w:cs="Times New Roman"/>
          <w:bCs/>
          <w:sz w:val="24"/>
          <w:szCs w:val="24"/>
          <w:lang w:eastAsia="ro-RO"/>
        </w:rPr>
        <w:t>,</w:t>
      </w:r>
      <w:r w:rsidRPr="003B329E">
        <w:rPr>
          <w:rFonts w:ascii="Times New Roman" w:hAnsi="Times New Roman" w:cs="Times New Roman"/>
          <w:bCs/>
          <w:sz w:val="24"/>
          <w:szCs w:val="24"/>
          <w:lang w:eastAsia="ro-RO"/>
        </w:rPr>
        <w:t xml:space="preserve"> acesta este unul semnificativ și necesită o atenț</w:t>
      </w:r>
      <w:r>
        <w:rPr>
          <w:rFonts w:ascii="Times New Roman" w:hAnsi="Times New Roman" w:cs="Times New Roman"/>
          <w:bCs/>
          <w:sz w:val="24"/>
          <w:szCs w:val="24"/>
          <w:lang w:eastAsia="ro-RO"/>
        </w:rPr>
        <w:t>ie sporită având în vedere că 82</w:t>
      </w:r>
      <w:r w:rsidRPr="003B329E">
        <w:rPr>
          <w:rFonts w:ascii="Times New Roman" w:hAnsi="Times New Roman" w:cs="Times New Roman"/>
          <w:bCs/>
          <w:sz w:val="24"/>
          <w:szCs w:val="24"/>
          <w:lang w:eastAsia="ro-RO"/>
        </w:rPr>
        <w:t>% din totalul mijloacele bugetare alocate CS s</w:t>
      </w:r>
      <w:r>
        <w:rPr>
          <w:rFonts w:ascii="Times New Roman" w:hAnsi="Times New Roman" w:cs="Times New Roman"/>
          <w:bCs/>
          <w:sz w:val="24"/>
          <w:szCs w:val="24"/>
          <w:lang w:eastAsia="ro-RO"/>
        </w:rPr>
        <w:t>u</w:t>
      </w:r>
      <w:r w:rsidRPr="003B329E">
        <w:rPr>
          <w:rFonts w:ascii="Times New Roman" w:hAnsi="Times New Roman" w:cs="Times New Roman"/>
          <w:bCs/>
          <w:sz w:val="24"/>
          <w:szCs w:val="24"/>
          <w:lang w:eastAsia="ro-RO"/>
        </w:rPr>
        <w:t>nt redirecționate finanțării necesităților I</w:t>
      </w:r>
      <w:r>
        <w:rPr>
          <w:rFonts w:ascii="Times New Roman" w:hAnsi="Times New Roman" w:cs="Times New Roman"/>
          <w:bCs/>
          <w:sz w:val="24"/>
          <w:szCs w:val="24"/>
          <w:lang w:eastAsia="ro-RO"/>
        </w:rPr>
        <w:t>.</w:t>
      </w:r>
      <w:r w:rsidRPr="003B329E">
        <w:rPr>
          <w:rFonts w:ascii="Times New Roman" w:hAnsi="Times New Roman" w:cs="Times New Roman"/>
          <w:bCs/>
          <w:sz w:val="24"/>
          <w:szCs w:val="24"/>
          <w:lang w:eastAsia="ro-RO"/>
        </w:rPr>
        <w:t>P</w:t>
      </w:r>
      <w:r>
        <w:rPr>
          <w:rFonts w:ascii="Times New Roman" w:hAnsi="Times New Roman" w:cs="Times New Roman"/>
          <w:bCs/>
          <w:sz w:val="24"/>
          <w:szCs w:val="24"/>
          <w:lang w:eastAsia="ro-RO"/>
        </w:rPr>
        <w:t>.</w:t>
      </w:r>
      <w:r w:rsidRPr="003B329E">
        <w:rPr>
          <w:rFonts w:ascii="Times New Roman" w:hAnsi="Times New Roman" w:cs="Times New Roman"/>
          <w:bCs/>
          <w:sz w:val="24"/>
          <w:szCs w:val="24"/>
          <w:lang w:eastAsia="ro-RO"/>
        </w:rPr>
        <w:t xml:space="preserve"> monitorizate. </w:t>
      </w:r>
    </w:p>
    <w:p w14:paraId="45F713E8" w14:textId="77777777" w:rsidR="00DE4CE7" w:rsidRPr="00EB5507" w:rsidRDefault="006974BB" w:rsidP="00D965E8">
      <w:pPr>
        <w:pStyle w:val="a7"/>
        <w:numPr>
          <w:ilvl w:val="2"/>
          <w:numId w:val="4"/>
        </w:numPr>
        <w:tabs>
          <w:tab w:val="left" w:pos="567"/>
        </w:tabs>
        <w:spacing w:before="120" w:after="120" w:line="276" w:lineRule="auto"/>
        <w:ind w:left="0" w:firstLine="0"/>
        <w:contextualSpacing w:val="0"/>
        <w:jc w:val="both"/>
        <w:rPr>
          <w:rFonts w:ascii="Times New Roman" w:hAnsi="Times New Roman" w:cs="Times New Roman"/>
          <w:b/>
          <w:color w:val="2F5496" w:themeColor="accent5" w:themeShade="BF"/>
          <w:sz w:val="24"/>
          <w:szCs w:val="24"/>
        </w:rPr>
      </w:pPr>
      <w:r w:rsidRPr="00EB5507">
        <w:rPr>
          <w:rFonts w:ascii="Times New Roman" w:hAnsi="Times New Roman" w:cs="Times New Roman"/>
          <w:b/>
          <w:color w:val="2F5496" w:themeColor="accent5" w:themeShade="BF"/>
          <w:sz w:val="24"/>
          <w:szCs w:val="24"/>
        </w:rPr>
        <w:t xml:space="preserve"> </w:t>
      </w:r>
      <w:bookmarkStart w:id="33" w:name="_Toc156400787"/>
      <w:r w:rsidR="00DE4CE7" w:rsidRPr="00EB5507">
        <w:rPr>
          <w:rFonts w:ascii="Times New Roman" w:hAnsi="Times New Roman" w:cs="Times New Roman"/>
          <w:b/>
          <w:color w:val="0070C0"/>
          <w:sz w:val="24"/>
          <w:szCs w:val="24"/>
        </w:rPr>
        <w:t>Deficiențe și neconformități în politica tarifară la prestarea serviciilor de către unele I.P. monitorizate de CS</w:t>
      </w:r>
      <w:bookmarkEnd w:id="33"/>
      <w:r w:rsidR="00DE4CE7" w:rsidRPr="00EB5507">
        <w:rPr>
          <w:rFonts w:ascii="Times New Roman" w:hAnsi="Times New Roman" w:cs="Times New Roman"/>
          <w:b/>
          <w:color w:val="0070C0"/>
          <w:sz w:val="24"/>
          <w:szCs w:val="24"/>
        </w:rPr>
        <w:t xml:space="preserve"> </w:t>
      </w:r>
    </w:p>
    <w:p w14:paraId="32C38413" w14:textId="77777777" w:rsidR="00DE4CE7" w:rsidRPr="001021A4" w:rsidRDefault="00DE4CE7" w:rsidP="00DE4CE7">
      <w:pPr>
        <w:pStyle w:val="a7"/>
        <w:numPr>
          <w:ilvl w:val="0"/>
          <w:numId w:val="27"/>
        </w:numPr>
        <w:tabs>
          <w:tab w:val="left" w:pos="426"/>
        </w:tabs>
        <w:ind w:left="0" w:hanging="11"/>
        <w:jc w:val="both"/>
        <w:rPr>
          <w:rFonts w:ascii="Times New Roman" w:hAnsi="Times New Roman" w:cs="Times New Roman"/>
          <w:i/>
          <w:color w:val="0070C0"/>
          <w:sz w:val="24"/>
          <w:szCs w:val="24"/>
          <w:lang w:eastAsia="ro-RO"/>
        </w:rPr>
      </w:pPr>
      <w:r w:rsidRPr="001021A4">
        <w:rPr>
          <w:rFonts w:ascii="Times New Roman" w:hAnsi="Times New Roman" w:cs="Times New Roman"/>
          <w:i/>
          <w:color w:val="0070C0"/>
          <w:sz w:val="24"/>
          <w:szCs w:val="24"/>
          <w:lang w:eastAsia="ro-RO"/>
        </w:rPr>
        <w:t xml:space="preserve">CS nu a fost preocupată </w:t>
      </w:r>
      <w:r>
        <w:rPr>
          <w:rFonts w:ascii="Times New Roman" w:hAnsi="Times New Roman" w:cs="Times New Roman"/>
          <w:i/>
          <w:color w:val="0070C0"/>
          <w:sz w:val="24"/>
          <w:szCs w:val="24"/>
          <w:lang w:eastAsia="ro-RO"/>
        </w:rPr>
        <w:t xml:space="preserve">suficient </w:t>
      </w:r>
      <w:r w:rsidRPr="001021A4">
        <w:rPr>
          <w:rFonts w:ascii="Times New Roman" w:hAnsi="Times New Roman" w:cs="Times New Roman"/>
          <w:i/>
          <w:color w:val="0070C0"/>
          <w:sz w:val="24"/>
          <w:szCs w:val="24"/>
          <w:lang w:eastAsia="ro-RO"/>
        </w:rPr>
        <w:t>de elaborarea și aprobarea unor politici tarifare pentru serviciile prestate de unele autorități din subordine/monitoriza</w:t>
      </w:r>
      <w:r>
        <w:rPr>
          <w:rFonts w:ascii="Times New Roman" w:hAnsi="Times New Roman" w:cs="Times New Roman"/>
          <w:i/>
          <w:color w:val="0070C0"/>
          <w:sz w:val="24"/>
          <w:szCs w:val="24"/>
          <w:lang w:eastAsia="ro-RO"/>
        </w:rPr>
        <w:t>t</w:t>
      </w:r>
      <w:r w:rsidRPr="001021A4">
        <w:rPr>
          <w:rFonts w:ascii="Times New Roman" w:hAnsi="Times New Roman" w:cs="Times New Roman"/>
          <w:i/>
          <w:color w:val="0070C0"/>
          <w:sz w:val="24"/>
          <w:szCs w:val="24"/>
          <w:lang w:eastAsia="ro-RO"/>
        </w:rPr>
        <w:t>e</w:t>
      </w:r>
      <w:r>
        <w:rPr>
          <w:rFonts w:ascii="Times New Roman" w:hAnsi="Times New Roman" w:cs="Times New Roman"/>
          <w:i/>
          <w:color w:val="0070C0"/>
          <w:sz w:val="24"/>
          <w:szCs w:val="24"/>
          <w:lang w:eastAsia="ro-RO"/>
        </w:rPr>
        <w:t>,</w:t>
      </w:r>
      <w:r w:rsidRPr="001021A4">
        <w:rPr>
          <w:rFonts w:ascii="Times New Roman" w:hAnsi="Times New Roman" w:cs="Times New Roman"/>
          <w:i/>
          <w:color w:val="0070C0"/>
          <w:sz w:val="24"/>
          <w:szCs w:val="24"/>
          <w:lang w:eastAsia="ro-RO"/>
        </w:rPr>
        <w:t xml:space="preserve"> în vederea asigurării unui proces transparent și conform de gestionare a resurselor financiare publice</w:t>
      </w:r>
      <w:r>
        <w:rPr>
          <w:rFonts w:ascii="Times New Roman" w:hAnsi="Times New Roman" w:cs="Times New Roman"/>
          <w:i/>
          <w:color w:val="0070C0"/>
          <w:sz w:val="24"/>
          <w:szCs w:val="24"/>
          <w:lang w:eastAsia="ro-RO"/>
        </w:rPr>
        <w:t>.</w:t>
      </w:r>
      <w:r w:rsidRPr="001021A4">
        <w:rPr>
          <w:rFonts w:ascii="Times New Roman" w:hAnsi="Times New Roman" w:cs="Times New Roman"/>
          <w:i/>
          <w:color w:val="0070C0"/>
          <w:sz w:val="24"/>
          <w:szCs w:val="24"/>
          <w:lang w:eastAsia="ro-RO"/>
        </w:rPr>
        <w:t xml:space="preserve"> </w:t>
      </w:r>
    </w:p>
    <w:p w14:paraId="11AE89BF" w14:textId="77777777" w:rsidR="00DE4CE7" w:rsidRPr="003B329E" w:rsidRDefault="00DE4CE7" w:rsidP="005E02D0">
      <w:pPr>
        <w:pStyle w:val="a7"/>
        <w:tabs>
          <w:tab w:val="left" w:pos="426"/>
        </w:tabs>
        <w:spacing w:before="120" w:after="120" w:line="276" w:lineRule="auto"/>
        <w:ind w:left="0"/>
        <w:contextualSpacing w:val="0"/>
        <w:jc w:val="both"/>
        <w:rPr>
          <w:rFonts w:ascii="Times New Roman" w:hAnsi="Times New Roman" w:cs="Times New Roman"/>
          <w:bCs/>
          <w:sz w:val="24"/>
          <w:szCs w:val="24"/>
          <w:lang w:eastAsia="ro-RO"/>
        </w:rPr>
      </w:pPr>
      <w:r>
        <w:rPr>
          <w:rFonts w:ascii="Times New Roman" w:hAnsi="Times New Roman" w:cs="Times New Roman"/>
          <w:bCs/>
          <w:sz w:val="24"/>
          <w:szCs w:val="24"/>
          <w:lang w:eastAsia="ro-RO"/>
        </w:rPr>
        <w:t>În anii 2018 – 2022,</w:t>
      </w:r>
      <w:r w:rsidRPr="003B329E">
        <w:rPr>
          <w:rFonts w:ascii="Times New Roman" w:hAnsi="Times New Roman" w:cs="Times New Roman"/>
          <w:bCs/>
          <w:sz w:val="24"/>
          <w:szCs w:val="24"/>
          <w:lang w:eastAsia="ro-RO"/>
        </w:rPr>
        <w:t xml:space="preserve"> Î.S. AIS „Moldpres”, Î.S. „Pensiunea din Holercani” și Î.S. „Palatul Republicii” au fost reorganizate prin transformare, fiindu-le modificată forma juridică de organizare în instituții publice distincte, CS revenindu-i funcția de fondator al acestora. Potrivit actelor constitutive, fondatorul</w:t>
      </w:r>
      <w:r>
        <w:rPr>
          <w:rFonts w:ascii="Times New Roman" w:hAnsi="Times New Roman" w:cs="Times New Roman"/>
          <w:bCs/>
          <w:sz w:val="24"/>
          <w:szCs w:val="24"/>
          <w:lang w:eastAsia="ro-RO"/>
        </w:rPr>
        <w:t>,</w:t>
      </w:r>
      <w:r w:rsidRPr="003B329E">
        <w:rPr>
          <w:rFonts w:ascii="Times New Roman" w:hAnsi="Times New Roman" w:cs="Times New Roman"/>
          <w:bCs/>
          <w:sz w:val="24"/>
          <w:szCs w:val="24"/>
          <w:lang w:eastAsia="ro-RO"/>
        </w:rPr>
        <w:t xml:space="preserve"> în termen de trei</w:t>
      </w:r>
      <w:r w:rsidRPr="003B329E">
        <w:rPr>
          <w:rStyle w:val="a5"/>
          <w:rFonts w:ascii="Times New Roman" w:hAnsi="Times New Roman" w:cs="Times New Roman"/>
          <w:sz w:val="24"/>
          <w:szCs w:val="24"/>
        </w:rPr>
        <w:footnoteReference w:id="89"/>
      </w:r>
      <w:r w:rsidRPr="003B329E">
        <w:rPr>
          <w:rFonts w:ascii="Times New Roman" w:hAnsi="Times New Roman" w:cs="Times New Roman"/>
          <w:bCs/>
          <w:sz w:val="24"/>
          <w:szCs w:val="24"/>
          <w:lang w:eastAsia="ro-RO"/>
        </w:rPr>
        <w:t xml:space="preserve"> -</w:t>
      </w:r>
      <w:r>
        <w:rPr>
          <w:rFonts w:ascii="Times New Roman" w:hAnsi="Times New Roman" w:cs="Times New Roman"/>
          <w:bCs/>
          <w:sz w:val="24"/>
          <w:szCs w:val="24"/>
          <w:lang w:eastAsia="ro-RO"/>
        </w:rPr>
        <w:t xml:space="preserve"> </w:t>
      </w:r>
      <w:r w:rsidRPr="003B329E">
        <w:rPr>
          <w:rFonts w:ascii="Times New Roman" w:hAnsi="Times New Roman" w:cs="Times New Roman"/>
          <w:bCs/>
          <w:sz w:val="24"/>
          <w:szCs w:val="24"/>
          <w:lang w:eastAsia="ro-RO"/>
        </w:rPr>
        <w:t>patru</w:t>
      </w:r>
      <w:r w:rsidRPr="003B329E">
        <w:rPr>
          <w:rStyle w:val="a5"/>
          <w:rFonts w:ascii="Times New Roman" w:hAnsi="Times New Roman" w:cs="Times New Roman"/>
          <w:bCs/>
          <w:sz w:val="24"/>
          <w:szCs w:val="24"/>
          <w:lang w:eastAsia="ro-RO"/>
        </w:rPr>
        <w:footnoteReference w:id="90"/>
      </w:r>
      <w:r w:rsidRPr="003B329E">
        <w:rPr>
          <w:rFonts w:ascii="Times New Roman" w:hAnsi="Times New Roman" w:cs="Times New Roman"/>
          <w:bCs/>
          <w:sz w:val="24"/>
          <w:szCs w:val="24"/>
          <w:lang w:eastAsia="ro-RO"/>
        </w:rPr>
        <w:t xml:space="preserve"> luni,  urma să elaboreze și să prez</w:t>
      </w:r>
      <w:r>
        <w:rPr>
          <w:rFonts w:ascii="Times New Roman" w:hAnsi="Times New Roman" w:cs="Times New Roman"/>
          <w:bCs/>
          <w:sz w:val="24"/>
          <w:szCs w:val="24"/>
          <w:lang w:eastAsia="ro-RO"/>
        </w:rPr>
        <w:t>i</w:t>
      </w:r>
      <w:r w:rsidRPr="003B329E">
        <w:rPr>
          <w:rFonts w:ascii="Times New Roman" w:hAnsi="Times New Roman" w:cs="Times New Roman"/>
          <w:bCs/>
          <w:sz w:val="24"/>
          <w:szCs w:val="24"/>
          <w:lang w:eastAsia="ro-RO"/>
        </w:rPr>
        <w:t>nte Guvernului spre aprobare atât Metodologiile de calculare a tarifelor la serviciile prestate de către Instituțiile Publice nominalizate, c</w:t>
      </w:r>
      <w:r>
        <w:rPr>
          <w:rFonts w:ascii="Times New Roman" w:hAnsi="Times New Roman" w:cs="Times New Roman"/>
          <w:bCs/>
          <w:sz w:val="24"/>
          <w:szCs w:val="24"/>
          <w:lang w:eastAsia="ro-RO"/>
        </w:rPr>
        <w:t>â</w:t>
      </w:r>
      <w:r w:rsidRPr="003B329E">
        <w:rPr>
          <w:rFonts w:ascii="Times New Roman" w:hAnsi="Times New Roman" w:cs="Times New Roman"/>
          <w:bCs/>
          <w:sz w:val="24"/>
          <w:szCs w:val="24"/>
          <w:lang w:eastAsia="ro-RO"/>
        </w:rPr>
        <w:t>t ș</w:t>
      </w:r>
      <w:r>
        <w:rPr>
          <w:rFonts w:ascii="Times New Roman" w:hAnsi="Times New Roman" w:cs="Times New Roman"/>
          <w:bCs/>
          <w:sz w:val="24"/>
          <w:szCs w:val="24"/>
          <w:lang w:eastAsia="ro-RO"/>
        </w:rPr>
        <w:t>i a Nomenclatoarelor și tarifelor</w:t>
      </w:r>
      <w:r w:rsidRPr="003B329E">
        <w:rPr>
          <w:rFonts w:ascii="Times New Roman" w:hAnsi="Times New Roman" w:cs="Times New Roman"/>
          <w:bCs/>
          <w:sz w:val="24"/>
          <w:szCs w:val="24"/>
          <w:lang w:eastAsia="ro-RO"/>
        </w:rPr>
        <w:t xml:space="preserve"> serviciilor prestate de către acestea.</w:t>
      </w:r>
    </w:p>
    <w:p w14:paraId="6FE72ABE" w14:textId="77777777" w:rsidR="00DE4CE7" w:rsidRDefault="00DE4CE7" w:rsidP="00DE4CE7">
      <w:pPr>
        <w:pStyle w:val="a7"/>
        <w:tabs>
          <w:tab w:val="left" w:pos="426"/>
        </w:tabs>
        <w:spacing w:after="120" w:line="276" w:lineRule="auto"/>
        <w:ind w:left="0"/>
        <w:contextualSpacing w:val="0"/>
        <w:jc w:val="both"/>
        <w:rPr>
          <w:rFonts w:ascii="Times New Roman" w:hAnsi="Times New Roman" w:cs="Times New Roman"/>
          <w:bCs/>
          <w:sz w:val="24"/>
          <w:szCs w:val="24"/>
          <w:lang w:eastAsia="ro-RO"/>
        </w:rPr>
      </w:pPr>
      <w:r w:rsidRPr="003B329E">
        <w:rPr>
          <w:rFonts w:ascii="Times New Roman" w:hAnsi="Times New Roman" w:cs="Times New Roman"/>
          <w:bCs/>
          <w:sz w:val="24"/>
          <w:szCs w:val="24"/>
          <w:lang w:eastAsia="ro-RO"/>
        </w:rPr>
        <w:t xml:space="preserve">Însă, contrar acestor prevederi, în anii 2018-2022 CS nu a asigurat elaborarea și înaintarea spre aprobare către executiv a actelor </w:t>
      </w:r>
      <w:r>
        <w:rPr>
          <w:rFonts w:ascii="Times New Roman" w:hAnsi="Times New Roman" w:cs="Times New Roman"/>
          <w:bCs/>
          <w:sz w:val="24"/>
          <w:szCs w:val="24"/>
          <w:lang w:eastAsia="ro-RO"/>
        </w:rPr>
        <w:t>normative menționate</w:t>
      </w:r>
      <w:r w:rsidRPr="003B329E">
        <w:rPr>
          <w:rFonts w:ascii="Times New Roman" w:hAnsi="Times New Roman" w:cs="Times New Roman"/>
          <w:bCs/>
          <w:sz w:val="24"/>
          <w:szCs w:val="24"/>
          <w:lang w:eastAsia="ro-RO"/>
        </w:rPr>
        <w:t xml:space="preserve"> pentru două instituții. C</w:t>
      </w:r>
      <w:r>
        <w:rPr>
          <w:rFonts w:ascii="Times New Roman" w:hAnsi="Times New Roman" w:cs="Times New Roman"/>
          <w:bCs/>
          <w:sz w:val="24"/>
          <w:szCs w:val="24"/>
          <w:lang w:eastAsia="ro-RO"/>
        </w:rPr>
        <w:t>â</w:t>
      </w:r>
      <w:r w:rsidRPr="003B329E">
        <w:rPr>
          <w:rFonts w:ascii="Times New Roman" w:hAnsi="Times New Roman" w:cs="Times New Roman"/>
          <w:bCs/>
          <w:sz w:val="24"/>
          <w:szCs w:val="24"/>
          <w:lang w:eastAsia="ro-RO"/>
        </w:rPr>
        <w:t>t privește I.P. AIS „Moldpres”</w:t>
      </w:r>
      <w:r>
        <w:rPr>
          <w:rFonts w:ascii="Times New Roman" w:hAnsi="Times New Roman" w:cs="Times New Roman"/>
          <w:bCs/>
          <w:sz w:val="24"/>
          <w:szCs w:val="24"/>
          <w:lang w:eastAsia="ro-RO"/>
        </w:rPr>
        <w:t>,</w:t>
      </w:r>
      <w:r w:rsidRPr="003B329E">
        <w:rPr>
          <w:rFonts w:ascii="Times New Roman" w:hAnsi="Times New Roman" w:cs="Times New Roman"/>
          <w:bCs/>
          <w:sz w:val="24"/>
          <w:szCs w:val="24"/>
          <w:lang w:eastAsia="ro-RO"/>
        </w:rPr>
        <w:t xml:space="preserve"> abia la sfârșitul anului 2022, prin HG </w:t>
      </w:r>
      <w:r>
        <w:rPr>
          <w:rFonts w:ascii="Times New Roman" w:hAnsi="Times New Roman" w:cs="Times New Roman"/>
          <w:bCs/>
          <w:sz w:val="24"/>
          <w:szCs w:val="24"/>
          <w:lang w:eastAsia="ro-RO"/>
        </w:rPr>
        <w:t>nr.</w:t>
      </w:r>
      <w:r w:rsidRPr="003B329E">
        <w:rPr>
          <w:rFonts w:ascii="Times New Roman" w:hAnsi="Times New Roman" w:cs="Times New Roman"/>
          <w:bCs/>
          <w:sz w:val="24"/>
          <w:szCs w:val="24"/>
          <w:lang w:eastAsia="ro-RO"/>
        </w:rPr>
        <w:t>884 din 14.12.2022</w:t>
      </w:r>
      <w:r w:rsidRPr="003B329E">
        <w:rPr>
          <w:rStyle w:val="a5"/>
          <w:rFonts w:ascii="Times New Roman" w:hAnsi="Times New Roman" w:cs="Times New Roman"/>
          <w:bCs/>
          <w:sz w:val="24"/>
          <w:szCs w:val="24"/>
          <w:lang w:eastAsia="ro-RO"/>
        </w:rPr>
        <w:footnoteReference w:id="91"/>
      </w:r>
      <w:r w:rsidRPr="003B329E">
        <w:rPr>
          <w:rFonts w:ascii="Times New Roman" w:hAnsi="Times New Roman" w:cs="Times New Roman"/>
          <w:bCs/>
          <w:sz w:val="24"/>
          <w:szCs w:val="24"/>
          <w:lang w:eastAsia="ro-RO"/>
        </w:rPr>
        <w:t>, a fost asigurată aprobarea nomenclatorul</w:t>
      </w:r>
      <w:r>
        <w:rPr>
          <w:rFonts w:ascii="Times New Roman" w:hAnsi="Times New Roman" w:cs="Times New Roman"/>
          <w:bCs/>
          <w:sz w:val="24"/>
          <w:szCs w:val="24"/>
          <w:lang w:eastAsia="ro-RO"/>
        </w:rPr>
        <w:t>ui,</w:t>
      </w:r>
      <w:r w:rsidRPr="003B329E">
        <w:rPr>
          <w:rFonts w:ascii="Times New Roman" w:hAnsi="Times New Roman" w:cs="Times New Roman"/>
          <w:bCs/>
          <w:sz w:val="24"/>
          <w:szCs w:val="24"/>
          <w:lang w:eastAsia="ro-RO"/>
        </w:rPr>
        <w:t xml:space="preserve"> precum și metodologia de calculare a tarifelor la serviciile </w:t>
      </w:r>
      <w:r>
        <w:rPr>
          <w:rFonts w:ascii="Times New Roman" w:hAnsi="Times New Roman" w:cs="Times New Roman"/>
          <w:bCs/>
          <w:sz w:val="24"/>
          <w:szCs w:val="24"/>
          <w:lang w:eastAsia="ro-RO"/>
        </w:rPr>
        <w:t xml:space="preserve">prestate de instituție. </w:t>
      </w:r>
    </w:p>
    <w:p w14:paraId="125FAA5F" w14:textId="77777777" w:rsidR="00DE4CE7" w:rsidRPr="003B329E" w:rsidRDefault="00DE4CE7" w:rsidP="00DE4CE7">
      <w:pPr>
        <w:pStyle w:val="a7"/>
        <w:tabs>
          <w:tab w:val="left" w:pos="426"/>
        </w:tabs>
        <w:spacing w:after="120" w:line="276" w:lineRule="auto"/>
        <w:ind w:left="0"/>
        <w:contextualSpacing w:val="0"/>
        <w:jc w:val="both"/>
        <w:rPr>
          <w:rFonts w:ascii="Times New Roman" w:hAnsi="Times New Roman" w:cs="Times New Roman"/>
          <w:bCs/>
          <w:sz w:val="24"/>
          <w:szCs w:val="24"/>
          <w:lang w:eastAsia="ro-RO"/>
        </w:rPr>
      </w:pPr>
      <w:r w:rsidRPr="003B329E">
        <w:rPr>
          <w:rFonts w:ascii="Times New Roman" w:hAnsi="Times New Roman" w:cs="Times New Roman"/>
          <w:bCs/>
          <w:sz w:val="24"/>
          <w:szCs w:val="24"/>
          <w:lang w:eastAsia="ro-RO"/>
        </w:rPr>
        <w:t>În consecință</w:t>
      </w:r>
      <w:r>
        <w:rPr>
          <w:rFonts w:ascii="Times New Roman" w:hAnsi="Times New Roman" w:cs="Times New Roman"/>
          <w:bCs/>
          <w:sz w:val="24"/>
          <w:szCs w:val="24"/>
          <w:lang w:eastAsia="ro-RO"/>
        </w:rPr>
        <w:t>,</w:t>
      </w:r>
      <w:r w:rsidRPr="003B329E">
        <w:rPr>
          <w:rFonts w:ascii="Times New Roman" w:hAnsi="Times New Roman" w:cs="Times New Roman"/>
          <w:bCs/>
          <w:sz w:val="24"/>
          <w:szCs w:val="24"/>
          <w:lang w:eastAsia="ro-RO"/>
        </w:rPr>
        <w:t xml:space="preserve"> costul și </w:t>
      </w:r>
      <w:r>
        <w:rPr>
          <w:rFonts w:ascii="Times New Roman" w:hAnsi="Times New Roman" w:cs="Times New Roman"/>
          <w:bCs/>
          <w:sz w:val="24"/>
          <w:szCs w:val="24"/>
          <w:lang w:eastAsia="ro-RO"/>
        </w:rPr>
        <w:t>lista</w:t>
      </w:r>
      <w:r w:rsidRPr="003B329E">
        <w:rPr>
          <w:rFonts w:ascii="Times New Roman" w:hAnsi="Times New Roman" w:cs="Times New Roman"/>
          <w:bCs/>
          <w:sz w:val="24"/>
          <w:szCs w:val="24"/>
          <w:lang w:eastAsia="ro-RO"/>
        </w:rPr>
        <w:t xml:space="preserve"> serviciilor prestate de către I.P. „Pensiunea din Holercani” au fost aprobate prin ordinele administratorului/directorului, iar cele prestate de către I.P. „Palatul Republicii” au fost aprobate de către administrator și Consiliu</w:t>
      </w:r>
      <w:r>
        <w:rPr>
          <w:rFonts w:ascii="Times New Roman" w:hAnsi="Times New Roman" w:cs="Times New Roman"/>
          <w:bCs/>
          <w:sz w:val="24"/>
          <w:szCs w:val="24"/>
          <w:lang w:eastAsia="ro-RO"/>
        </w:rPr>
        <w:t>l</w:t>
      </w:r>
      <w:r w:rsidRPr="003B329E">
        <w:rPr>
          <w:rFonts w:ascii="Times New Roman" w:hAnsi="Times New Roman" w:cs="Times New Roman"/>
          <w:bCs/>
          <w:sz w:val="24"/>
          <w:szCs w:val="24"/>
          <w:lang w:eastAsia="ro-RO"/>
        </w:rPr>
        <w:t xml:space="preserve"> de administrare a</w:t>
      </w:r>
      <w:r>
        <w:rPr>
          <w:rFonts w:ascii="Times New Roman" w:hAnsi="Times New Roman" w:cs="Times New Roman"/>
          <w:bCs/>
          <w:sz w:val="24"/>
          <w:szCs w:val="24"/>
          <w:lang w:eastAsia="ro-RO"/>
        </w:rPr>
        <w:t>l</w:t>
      </w:r>
      <w:r w:rsidRPr="003B329E">
        <w:rPr>
          <w:rFonts w:ascii="Times New Roman" w:hAnsi="Times New Roman" w:cs="Times New Roman"/>
          <w:bCs/>
          <w:sz w:val="24"/>
          <w:szCs w:val="24"/>
          <w:lang w:eastAsia="ro-RO"/>
        </w:rPr>
        <w:t xml:space="preserve"> entității</w:t>
      </w:r>
      <w:r w:rsidRPr="003B329E">
        <w:rPr>
          <w:rStyle w:val="a5"/>
          <w:rFonts w:ascii="Times New Roman" w:hAnsi="Times New Roman" w:cs="Times New Roman"/>
          <w:bCs/>
          <w:sz w:val="24"/>
          <w:szCs w:val="24"/>
          <w:lang w:eastAsia="ro-RO"/>
        </w:rPr>
        <w:footnoteReference w:id="92"/>
      </w:r>
      <w:r w:rsidRPr="003B329E">
        <w:rPr>
          <w:rFonts w:ascii="Times New Roman" w:hAnsi="Times New Roman" w:cs="Times New Roman"/>
          <w:bCs/>
          <w:sz w:val="24"/>
          <w:szCs w:val="24"/>
          <w:lang w:eastAsia="ro-RO"/>
        </w:rPr>
        <w:t xml:space="preserve">. În ambele cazuri auditului nu </w:t>
      </w:r>
      <w:r>
        <w:rPr>
          <w:rFonts w:ascii="Times New Roman" w:hAnsi="Times New Roman" w:cs="Times New Roman"/>
          <w:bCs/>
          <w:sz w:val="24"/>
          <w:szCs w:val="24"/>
          <w:lang w:eastAsia="ro-RO"/>
        </w:rPr>
        <w:t>i-</w:t>
      </w:r>
      <w:r w:rsidRPr="003B329E">
        <w:rPr>
          <w:rFonts w:ascii="Times New Roman" w:hAnsi="Times New Roman" w:cs="Times New Roman"/>
          <w:bCs/>
          <w:sz w:val="24"/>
          <w:szCs w:val="24"/>
          <w:lang w:eastAsia="ro-RO"/>
        </w:rPr>
        <w:t>au fost prezentate calcule și estimări care ar confirma și justifica cuantumul taxelor stabilite și prestate de entități în perioada de referință. Analizele de audit relevă că tarifele și nomenclatoarele stabilite de conducerea instituțiilor publice și aplicate pe parcursul anilor 2020-2022 nu au fost</w:t>
      </w:r>
      <w:r>
        <w:rPr>
          <w:rFonts w:ascii="Times New Roman" w:hAnsi="Times New Roman" w:cs="Times New Roman"/>
          <w:bCs/>
          <w:sz w:val="24"/>
          <w:szCs w:val="24"/>
          <w:lang w:eastAsia="ro-RO"/>
        </w:rPr>
        <w:t xml:space="preserve"> coordonate nici cu fondatorul, constatându-se o practică neuniformă la acest aspect, întrucât în alte cazuri (Baza Auto</w:t>
      </w:r>
      <w:r w:rsidRPr="003B329E">
        <w:rPr>
          <w:rFonts w:ascii="Times New Roman" w:hAnsi="Times New Roman" w:cs="Times New Roman"/>
          <w:bCs/>
          <w:sz w:val="24"/>
          <w:szCs w:val="24"/>
          <w:lang w:eastAsia="ro-RO"/>
        </w:rPr>
        <w:t xml:space="preserve"> și DGACG)</w:t>
      </w:r>
      <w:r>
        <w:rPr>
          <w:rFonts w:ascii="Times New Roman" w:hAnsi="Times New Roman" w:cs="Times New Roman"/>
          <w:bCs/>
          <w:sz w:val="24"/>
          <w:szCs w:val="24"/>
          <w:lang w:eastAsia="ro-RO"/>
        </w:rPr>
        <w:t xml:space="preserve"> procedura de coordonare a tarifelor de către CS este una obligatorie.</w:t>
      </w:r>
      <w:r w:rsidRPr="003B329E">
        <w:rPr>
          <w:rFonts w:ascii="Times New Roman" w:hAnsi="Times New Roman" w:cs="Times New Roman"/>
          <w:bCs/>
          <w:sz w:val="24"/>
          <w:szCs w:val="24"/>
          <w:lang w:eastAsia="ro-RO"/>
        </w:rPr>
        <w:t xml:space="preserve"> </w:t>
      </w:r>
    </w:p>
    <w:p w14:paraId="7B17AEFD" w14:textId="77777777" w:rsidR="00DE4CE7" w:rsidRPr="003B329E" w:rsidRDefault="00DE4CE7" w:rsidP="005E02D0">
      <w:pPr>
        <w:spacing w:after="80" w:line="276" w:lineRule="auto"/>
        <w:jc w:val="both"/>
        <w:rPr>
          <w:rFonts w:ascii="Times New Roman" w:hAnsi="Times New Roman" w:cs="Times New Roman"/>
          <w:bCs/>
          <w:sz w:val="24"/>
          <w:szCs w:val="24"/>
          <w:lang w:eastAsia="ro-RO"/>
        </w:rPr>
      </w:pPr>
      <w:r w:rsidRPr="003B329E">
        <w:rPr>
          <w:rFonts w:ascii="Times New Roman" w:hAnsi="Times New Roman" w:cs="Times New Roman"/>
          <w:bCs/>
          <w:sz w:val="24"/>
          <w:szCs w:val="24"/>
          <w:lang w:eastAsia="ro-RO"/>
        </w:rPr>
        <w:t>Concomitent în cadrul CS se constată lipsa unor elemente ale sistemului CIM în part</w:t>
      </w:r>
      <w:r>
        <w:rPr>
          <w:rFonts w:ascii="Times New Roman" w:hAnsi="Times New Roman" w:cs="Times New Roman"/>
          <w:bCs/>
          <w:sz w:val="24"/>
          <w:szCs w:val="24"/>
          <w:lang w:eastAsia="ro-RO"/>
        </w:rPr>
        <w:t xml:space="preserve">ea ce ține de divizarea clară a </w:t>
      </w:r>
      <w:r w:rsidRPr="003B329E">
        <w:rPr>
          <w:rFonts w:ascii="Times New Roman" w:hAnsi="Times New Roman" w:cs="Times New Roman"/>
          <w:bCs/>
          <w:sz w:val="24"/>
          <w:szCs w:val="24"/>
          <w:lang w:eastAsia="ro-RO"/>
        </w:rPr>
        <w:t>responsabilităților privind autorizarea/coordonarea actelor prezentate de către entitățile monitorizate, și anume responsabilitățile care revin Secretarului general al Guvernului</w:t>
      </w:r>
      <w:r w:rsidRPr="003B329E">
        <w:rPr>
          <w:rStyle w:val="a5"/>
          <w:rFonts w:ascii="Times New Roman" w:hAnsi="Times New Roman" w:cs="Times New Roman"/>
          <w:bCs/>
          <w:sz w:val="24"/>
          <w:szCs w:val="24"/>
          <w:lang w:eastAsia="ro-RO"/>
        </w:rPr>
        <w:footnoteReference w:id="93"/>
      </w:r>
      <w:r w:rsidRPr="003B329E">
        <w:rPr>
          <w:rFonts w:ascii="Times New Roman" w:hAnsi="Times New Roman" w:cs="Times New Roman"/>
          <w:bCs/>
          <w:sz w:val="24"/>
          <w:szCs w:val="24"/>
          <w:lang w:eastAsia="ro-RO"/>
        </w:rPr>
        <w:t xml:space="preserve"> în calitate de conducător al CS sau Secretarilor de stat, cărora le-au fost delegate sarcinile privind coordonarea activităților I</w:t>
      </w:r>
      <w:r>
        <w:rPr>
          <w:rFonts w:ascii="Times New Roman" w:hAnsi="Times New Roman" w:cs="Times New Roman"/>
          <w:bCs/>
          <w:sz w:val="24"/>
          <w:szCs w:val="24"/>
          <w:lang w:eastAsia="ro-RO"/>
        </w:rPr>
        <w:t>.</w:t>
      </w:r>
      <w:r w:rsidRPr="003B329E">
        <w:rPr>
          <w:rFonts w:ascii="Times New Roman" w:hAnsi="Times New Roman" w:cs="Times New Roman"/>
          <w:bCs/>
          <w:sz w:val="24"/>
          <w:szCs w:val="24"/>
          <w:lang w:eastAsia="ro-RO"/>
        </w:rPr>
        <w:t>P</w:t>
      </w:r>
      <w:r>
        <w:rPr>
          <w:rFonts w:ascii="Times New Roman" w:hAnsi="Times New Roman" w:cs="Times New Roman"/>
          <w:bCs/>
          <w:sz w:val="24"/>
          <w:szCs w:val="24"/>
          <w:lang w:eastAsia="ro-RO"/>
        </w:rPr>
        <w:t>.</w:t>
      </w:r>
      <w:r w:rsidRPr="003B329E">
        <w:rPr>
          <w:rFonts w:ascii="Times New Roman" w:hAnsi="Times New Roman" w:cs="Times New Roman"/>
          <w:bCs/>
          <w:sz w:val="24"/>
          <w:szCs w:val="24"/>
          <w:lang w:eastAsia="ro-RO"/>
        </w:rPr>
        <w:t xml:space="preserve"> fondate de CS.</w:t>
      </w:r>
    </w:p>
    <w:p w14:paraId="56A10DC1" w14:textId="77777777" w:rsidR="00DE4CE7" w:rsidRDefault="00DE4CE7" w:rsidP="00DE4CE7">
      <w:pPr>
        <w:spacing w:after="120" w:line="276" w:lineRule="auto"/>
        <w:jc w:val="both"/>
        <w:rPr>
          <w:rFonts w:ascii="Times New Roman" w:hAnsi="Times New Roman" w:cs="Times New Roman"/>
          <w:bCs/>
          <w:sz w:val="24"/>
          <w:szCs w:val="24"/>
          <w:lang w:eastAsia="ro-RO"/>
        </w:rPr>
      </w:pPr>
      <w:r w:rsidRPr="003B329E">
        <w:rPr>
          <w:rFonts w:ascii="Times New Roman" w:hAnsi="Times New Roman" w:cs="Times New Roman"/>
          <w:bCs/>
          <w:sz w:val="24"/>
          <w:szCs w:val="24"/>
          <w:lang w:eastAsia="ro-RO"/>
        </w:rPr>
        <w:t xml:space="preserve">Testele de audit </w:t>
      </w:r>
      <w:r>
        <w:rPr>
          <w:rFonts w:ascii="Times New Roman" w:hAnsi="Times New Roman" w:cs="Times New Roman"/>
          <w:bCs/>
          <w:sz w:val="24"/>
          <w:szCs w:val="24"/>
          <w:lang w:eastAsia="ro-RO"/>
        </w:rPr>
        <w:t xml:space="preserve">relevă că în perioada auditată unele I.P. au prestat servicii la prețuri diminuate, comparativ cu tarifele aprobate de către conducerea I.P., valoarea acestora constituind 168,0 mii lei, ceea ce a obstrucționat din încasarea integrală a veniturilor din aceste surse. La fel se relevă faptul prestării unor servicii de către I.P. în lipsa unor tarife aprobate regulamentar.  </w:t>
      </w:r>
    </w:p>
    <w:tbl>
      <w:tblPr>
        <w:tblStyle w:val="a6"/>
        <w:tblW w:w="9776" w:type="dxa"/>
        <w:tblLook w:val="04A0" w:firstRow="1" w:lastRow="0" w:firstColumn="1" w:lastColumn="0" w:noHBand="0" w:noVBand="1"/>
      </w:tblPr>
      <w:tblGrid>
        <w:gridCol w:w="9776"/>
      </w:tblGrid>
      <w:tr w:rsidR="00DE4CE7" w14:paraId="4C51952C" w14:textId="77777777" w:rsidTr="00DE4CE7">
        <w:tc>
          <w:tcPr>
            <w:tcW w:w="9776" w:type="dxa"/>
          </w:tcPr>
          <w:p w14:paraId="7B998A0A" w14:textId="77777777" w:rsidR="00DE4CE7" w:rsidRDefault="00DE4CE7" w:rsidP="00DE4CE7">
            <w:pPr>
              <w:spacing w:line="276" w:lineRule="auto"/>
              <w:jc w:val="both"/>
              <w:rPr>
                <w:rFonts w:ascii="Times New Roman" w:hAnsi="Times New Roman" w:cs="Times New Roman"/>
                <w:bCs/>
                <w:sz w:val="24"/>
                <w:szCs w:val="24"/>
                <w:lang w:eastAsia="ro-RO"/>
              </w:rPr>
            </w:pPr>
            <w:r>
              <w:rPr>
                <w:rFonts w:ascii="Times New Roman" w:hAnsi="Times New Roman" w:cs="Times New Roman"/>
                <w:bCs/>
                <w:sz w:val="24"/>
                <w:szCs w:val="24"/>
                <w:lang w:eastAsia="ro-RO"/>
              </w:rPr>
              <w:t xml:space="preserve">Se ia act că </w:t>
            </w:r>
            <w:r w:rsidRPr="003B329E">
              <w:rPr>
                <w:rFonts w:ascii="Times New Roman" w:hAnsi="Times New Roman" w:cs="Times New Roman"/>
                <w:bCs/>
                <w:sz w:val="24"/>
                <w:szCs w:val="24"/>
                <w:lang w:eastAsia="ro-RO"/>
              </w:rPr>
              <w:t>echipe</w:t>
            </w:r>
            <w:r>
              <w:rPr>
                <w:rFonts w:ascii="Times New Roman" w:hAnsi="Times New Roman" w:cs="Times New Roman"/>
                <w:bCs/>
                <w:sz w:val="24"/>
                <w:szCs w:val="24"/>
                <w:lang w:eastAsia="ro-RO"/>
              </w:rPr>
              <w:t>i de audit i-au fost prezentate</w:t>
            </w:r>
            <w:r w:rsidRPr="003B329E">
              <w:rPr>
                <w:rFonts w:ascii="Times New Roman" w:hAnsi="Times New Roman" w:cs="Times New Roman"/>
                <w:bCs/>
                <w:sz w:val="24"/>
                <w:szCs w:val="24"/>
                <w:lang w:eastAsia="ro-RO"/>
              </w:rPr>
              <w:t xml:space="preserve"> proiect</w:t>
            </w:r>
            <w:r>
              <w:rPr>
                <w:rFonts w:ascii="Times New Roman" w:hAnsi="Times New Roman" w:cs="Times New Roman"/>
                <w:bCs/>
                <w:sz w:val="24"/>
                <w:szCs w:val="24"/>
                <w:lang w:eastAsia="ro-RO"/>
              </w:rPr>
              <w:t>ele</w:t>
            </w:r>
            <w:r w:rsidRPr="003B329E">
              <w:rPr>
                <w:rFonts w:ascii="Times New Roman" w:hAnsi="Times New Roman" w:cs="Times New Roman"/>
                <w:bCs/>
                <w:sz w:val="24"/>
                <w:szCs w:val="24"/>
                <w:lang w:eastAsia="ro-RO"/>
              </w:rPr>
              <w:t xml:space="preserve"> de HG privind aprobarea metodologiilor și tarifelor la serviciile prestate de către I</w:t>
            </w:r>
            <w:r>
              <w:rPr>
                <w:rFonts w:ascii="Times New Roman" w:hAnsi="Times New Roman" w:cs="Times New Roman"/>
                <w:bCs/>
                <w:sz w:val="24"/>
                <w:szCs w:val="24"/>
                <w:lang w:eastAsia="ro-RO"/>
              </w:rPr>
              <w:t>.</w:t>
            </w:r>
            <w:r w:rsidRPr="003B329E">
              <w:rPr>
                <w:rFonts w:ascii="Times New Roman" w:hAnsi="Times New Roman" w:cs="Times New Roman"/>
                <w:bCs/>
                <w:sz w:val="24"/>
                <w:szCs w:val="24"/>
                <w:lang w:eastAsia="ro-RO"/>
              </w:rPr>
              <w:t>P</w:t>
            </w:r>
            <w:r>
              <w:rPr>
                <w:rFonts w:ascii="Times New Roman" w:hAnsi="Times New Roman" w:cs="Times New Roman"/>
                <w:bCs/>
                <w:sz w:val="24"/>
                <w:szCs w:val="24"/>
                <w:lang w:eastAsia="ro-RO"/>
              </w:rPr>
              <w:t>.</w:t>
            </w:r>
            <w:r w:rsidRPr="003B329E">
              <w:rPr>
                <w:rFonts w:ascii="Times New Roman" w:hAnsi="Times New Roman" w:cs="Times New Roman"/>
                <w:bCs/>
                <w:sz w:val="24"/>
                <w:szCs w:val="24"/>
                <w:lang w:eastAsia="ro-RO"/>
              </w:rPr>
              <w:t xml:space="preserve"> „Palatul Republicii” și I</w:t>
            </w:r>
            <w:r>
              <w:rPr>
                <w:rFonts w:ascii="Times New Roman" w:hAnsi="Times New Roman" w:cs="Times New Roman"/>
                <w:bCs/>
                <w:sz w:val="24"/>
                <w:szCs w:val="24"/>
                <w:lang w:eastAsia="ro-RO"/>
              </w:rPr>
              <w:t>.</w:t>
            </w:r>
            <w:r w:rsidRPr="003B329E">
              <w:rPr>
                <w:rFonts w:ascii="Times New Roman" w:hAnsi="Times New Roman" w:cs="Times New Roman"/>
                <w:bCs/>
                <w:sz w:val="24"/>
                <w:szCs w:val="24"/>
                <w:lang w:eastAsia="ro-RO"/>
              </w:rPr>
              <w:t>P</w:t>
            </w:r>
            <w:r>
              <w:rPr>
                <w:rFonts w:ascii="Times New Roman" w:hAnsi="Times New Roman" w:cs="Times New Roman"/>
                <w:bCs/>
                <w:sz w:val="24"/>
                <w:szCs w:val="24"/>
                <w:lang w:eastAsia="ro-RO"/>
              </w:rPr>
              <w:t>.</w:t>
            </w:r>
            <w:r w:rsidRPr="003B329E">
              <w:rPr>
                <w:rFonts w:ascii="Times New Roman" w:hAnsi="Times New Roman" w:cs="Times New Roman"/>
                <w:bCs/>
                <w:sz w:val="24"/>
                <w:szCs w:val="24"/>
                <w:lang w:eastAsia="ro-RO"/>
              </w:rPr>
              <w:t xml:space="preserve"> „Pensiunea din Holercani</w:t>
            </w:r>
            <w:r>
              <w:rPr>
                <w:rFonts w:ascii="Times New Roman" w:hAnsi="Times New Roman" w:cs="Times New Roman"/>
                <w:bCs/>
                <w:sz w:val="24"/>
                <w:szCs w:val="24"/>
                <w:lang w:eastAsia="ro-RO"/>
              </w:rPr>
              <w:t xml:space="preserve">”, acestea fiind în proces de avizare. </w:t>
            </w:r>
          </w:p>
        </w:tc>
      </w:tr>
    </w:tbl>
    <w:p w14:paraId="601305EA" w14:textId="6848014F" w:rsidR="00DE4CE7" w:rsidRPr="001021A4" w:rsidRDefault="00DE4CE7" w:rsidP="00DE4CE7">
      <w:pPr>
        <w:pStyle w:val="a7"/>
        <w:numPr>
          <w:ilvl w:val="0"/>
          <w:numId w:val="27"/>
        </w:numPr>
        <w:tabs>
          <w:tab w:val="left" w:pos="426"/>
        </w:tabs>
        <w:spacing w:before="120"/>
        <w:ind w:left="0" w:hanging="11"/>
        <w:contextualSpacing w:val="0"/>
        <w:jc w:val="both"/>
        <w:rPr>
          <w:rFonts w:ascii="Times New Roman" w:hAnsi="Times New Roman" w:cs="Times New Roman"/>
          <w:bCs/>
          <w:i/>
          <w:color w:val="0070C0"/>
          <w:sz w:val="24"/>
          <w:szCs w:val="24"/>
          <w:lang w:eastAsia="ro-RO"/>
        </w:rPr>
      </w:pPr>
      <w:r w:rsidRPr="001021A4">
        <w:rPr>
          <w:rFonts w:ascii="Times New Roman" w:hAnsi="Times New Roman" w:cs="Times New Roman"/>
          <w:i/>
          <w:color w:val="0070C0"/>
          <w:sz w:val="24"/>
          <w:szCs w:val="24"/>
          <w:lang w:eastAsia="ro-RO"/>
        </w:rPr>
        <w:t>STISC</w:t>
      </w:r>
      <w:r>
        <w:rPr>
          <w:rFonts w:ascii="Times New Roman" w:hAnsi="Times New Roman" w:cs="Times New Roman"/>
          <w:i/>
          <w:color w:val="0070C0"/>
          <w:sz w:val="24"/>
          <w:szCs w:val="24"/>
          <w:lang w:eastAsia="ro-RO"/>
        </w:rPr>
        <w:t xml:space="preserve"> </w:t>
      </w:r>
      <w:r w:rsidRPr="001021A4">
        <w:rPr>
          <w:rFonts w:ascii="Times New Roman" w:hAnsi="Times New Roman" w:cs="Times New Roman"/>
          <w:bCs/>
          <w:i/>
          <w:color w:val="0070C0"/>
          <w:sz w:val="24"/>
          <w:szCs w:val="24"/>
          <w:lang w:eastAsia="ro-RO"/>
        </w:rPr>
        <w:t>nu a asigurat recalcularea anuală a cuantumului tarifelor serviciilor prestate conform cerințelor cadrului normativ</w:t>
      </w:r>
      <w:r>
        <w:rPr>
          <w:rFonts w:ascii="Times New Roman" w:hAnsi="Times New Roman" w:cs="Times New Roman"/>
          <w:bCs/>
          <w:i/>
          <w:color w:val="0070C0"/>
          <w:sz w:val="24"/>
          <w:szCs w:val="24"/>
          <w:lang w:eastAsia="ro-RO"/>
        </w:rPr>
        <w:t>.</w:t>
      </w:r>
      <w:r w:rsidRPr="001021A4">
        <w:rPr>
          <w:rFonts w:ascii="Times New Roman" w:hAnsi="Times New Roman" w:cs="Times New Roman"/>
          <w:bCs/>
          <w:i/>
          <w:color w:val="0070C0"/>
          <w:sz w:val="24"/>
          <w:szCs w:val="24"/>
          <w:lang w:eastAsia="ro-RO"/>
        </w:rPr>
        <w:t xml:space="preserve"> </w:t>
      </w:r>
    </w:p>
    <w:p w14:paraId="54D6DAB7" w14:textId="77777777" w:rsidR="00DE4CE7" w:rsidRPr="005D1B54" w:rsidRDefault="00DE4CE7" w:rsidP="005E02D0">
      <w:pPr>
        <w:spacing w:before="80" w:after="80" w:line="276" w:lineRule="auto"/>
        <w:jc w:val="both"/>
        <w:rPr>
          <w:rFonts w:ascii="Times New Roman" w:eastAsia="Times New Roman" w:hAnsi="Times New Roman" w:cs="Times New Roman"/>
          <w:sz w:val="24"/>
          <w:szCs w:val="24"/>
        </w:rPr>
      </w:pPr>
      <w:r w:rsidRPr="005D1B54">
        <w:rPr>
          <w:rFonts w:ascii="Times New Roman" w:eastAsia="Times New Roman" w:hAnsi="Times New Roman" w:cs="Times New Roman"/>
          <w:sz w:val="24"/>
          <w:szCs w:val="24"/>
        </w:rPr>
        <w:t>Potrivit pct. 4 din Metodologia de calculare a tarifelor la serviciile prestate de către STISC</w:t>
      </w:r>
      <w:r w:rsidRPr="005D1B54">
        <w:rPr>
          <w:rStyle w:val="a5"/>
          <w:rFonts w:ascii="Times New Roman" w:eastAsia="Times New Roman" w:hAnsi="Times New Roman" w:cs="Times New Roman"/>
          <w:sz w:val="24"/>
          <w:szCs w:val="24"/>
        </w:rPr>
        <w:footnoteReference w:id="94"/>
      </w:r>
      <w:r w:rsidRPr="005D1B54">
        <w:rPr>
          <w:rFonts w:ascii="Times New Roman" w:eastAsia="Times New Roman" w:hAnsi="Times New Roman" w:cs="Times New Roman"/>
          <w:sz w:val="24"/>
          <w:szCs w:val="24"/>
        </w:rPr>
        <w:t>, se statuează că cuantumul tarifului la unele servicii se determină „</w:t>
      </w:r>
      <w:r w:rsidRPr="005D1B54">
        <w:rPr>
          <w:rFonts w:ascii="Times New Roman" w:eastAsia="Times New Roman" w:hAnsi="Times New Roman" w:cs="Times New Roman"/>
          <w:i/>
          <w:sz w:val="24"/>
          <w:szCs w:val="24"/>
        </w:rPr>
        <w:t>în baza analizei detaliate a costurilor și cheltuielilor activității operaționale suportate de către I.P. „STISC” în perioada de activitate precedentă</w:t>
      </w:r>
      <w:r w:rsidRPr="005D1B54">
        <w:rPr>
          <w:rFonts w:ascii="Times New Roman" w:eastAsia="Times New Roman" w:hAnsi="Times New Roman" w:cs="Times New Roman"/>
          <w:sz w:val="24"/>
          <w:szCs w:val="24"/>
        </w:rPr>
        <w:t>”. Însă</w:t>
      </w:r>
      <w:r>
        <w:rPr>
          <w:rFonts w:ascii="Times New Roman" w:eastAsia="Times New Roman" w:hAnsi="Times New Roman" w:cs="Times New Roman"/>
          <w:sz w:val="24"/>
          <w:szCs w:val="24"/>
        </w:rPr>
        <w:t>,</w:t>
      </w:r>
      <w:r w:rsidRPr="005D1B54">
        <w:rPr>
          <w:rFonts w:ascii="Times New Roman" w:eastAsia="Times New Roman" w:hAnsi="Times New Roman" w:cs="Times New Roman"/>
          <w:sz w:val="24"/>
          <w:szCs w:val="24"/>
        </w:rPr>
        <w:t xml:space="preserve"> în pofida faptului că în perioada supusă auditului suma cheltuielilor operaționale anuale efectuate de către STISC a înregistrat valori diferite, instituția nu a ajustat valoarea prețului la serviciile prestate conform indicilor raportați în situațiile financiare anuale. Prin urmare</w:t>
      </w:r>
      <w:r>
        <w:rPr>
          <w:rFonts w:ascii="Times New Roman" w:eastAsia="Times New Roman" w:hAnsi="Times New Roman" w:cs="Times New Roman"/>
          <w:sz w:val="24"/>
          <w:szCs w:val="24"/>
        </w:rPr>
        <w:t>,</w:t>
      </w:r>
      <w:r w:rsidRPr="005D1B54">
        <w:rPr>
          <w:rFonts w:ascii="Times New Roman" w:eastAsia="Times New Roman" w:hAnsi="Times New Roman" w:cs="Times New Roman"/>
          <w:sz w:val="24"/>
          <w:szCs w:val="24"/>
        </w:rPr>
        <w:t xml:space="preserve"> se atestă nerespectarea de către STISC a Metodologiei aprobate de Guvern. Astfel, potrivit informații</w:t>
      </w:r>
      <w:r>
        <w:rPr>
          <w:rFonts w:ascii="Times New Roman" w:eastAsia="Times New Roman" w:hAnsi="Times New Roman" w:cs="Times New Roman"/>
          <w:sz w:val="24"/>
          <w:szCs w:val="24"/>
        </w:rPr>
        <w:t>lor</w:t>
      </w:r>
      <w:r w:rsidRPr="005D1B54">
        <w:rPr>
          <w:rFonts w:ascii="Times New Roman" w:eastAsia="Times New Roman" w:hAnsi="Times New Roman" w:cs="Times New Roman"/>
          <w:sz w:val="24"/>
          <w:szCs w:val="24"/>
        </w:rPr>
        <w:t xml:space="preserve"> prezentate de instituția publică la acest aspect</w:t>
      </w:r>
      <w:r>
        <w:rPr>
          <w:rFonts w:ascii="Times New Roman" w:eastAsia="Times New Roman" w:hAnsi="Times New Roman" w:cs="Times New Roman"/>
          <w:sz w:val="24"/>
          <w:szCs w:val="24"/>
        </w:rPr>
        <w:t>,</w:t>
      </w:r>
      <w:r w:rsidRPr="005D1B54">
        <w:rPr>
          <w:rFonts w:ascii="Times New Roman" w:eastAsia="Times New Roman" w:hAnsi="Times New Roman" w:cs="Times New Roman"/>
          <w:sz w:val="24"/>
          <w:szCs w:val="24"/>
        </w:rPr>
        <w:t xml:space="preserve"> se denotă că tariful pentru majoritatea serviciilor prestate</w:t>
      </w:r>
      <w:r w:rsidRPr="005D1B54">
        <w:rPr>
          <w:rStyle w:val="a5"/>
          <w:rFonts w:ascii="Times New Roman" w:eastAsia="Times New Roman" w:hAnsi="Times New Roman" w:cs="Times New Roman"/>
          <w:sz w:val="24"/>
          <w:szCs w:val="24"/>
        </w:rPr>
        <w:footnoteReference w:id="95"/>
      </w:r>
      <w:r w:rsidRPr="005D1B54">
        <w:rPr>
          <w:rFonts w:ascii="Times New Roman" w:eastAsia="Times New Roman" w:hAnsi="Times New Roman" w:cs="Times New Roman"/>
          <w:sz w:val="24"/>
          <w:szCs w:val="24"/>
        </w:rPr>
        <w:t xml:space="preserve"> a fost </w:t>
      </w:r>
      <w:r>
        <w:rPr>
          <w:rFonts w:ascii="Times New Roman" w:eastAsia="Times New Roman" w:hAnsi="Times New Roman" w:cs="Times New Roman"/>
          <w:sz w:val="24"/>
          <w:szCs w:val="24"/>
        </w:rPr>
        <w:t>stabilit</w:t>
      </w:r>
      <w:r w:rsidRPr="005D1B54">
        <w:rPr>
          <w:rFonts w:ascii="Times New Roman" w:eastAsia="Times New Roman" w:hAnsi="Times New Roman" w:cs="Times New Roman"/>
          <w:sz w:val="24"/>
          <w:szCs w:val="24"/>
        </w:rPr>
        <w:t xml:space="preserve"> în baza cheltuielilor anului 2018</w:t>
      </w:r>
      <w:r>
        <w:rPr>
          <w:rFonts w:ascii="Times New Roman" w:eastAsia="Times New Roman" w:hAnsi="Times New Roman" w:cs="Times New Roman"/>
          <w:sz w:val="24"/>
          <w:szCs w:val="24"/>
        </w:rPr>
        <w:t>,</w:t>
      </w:r>
      <w:r w:rsidRPr="005D1B54">
        <w:rPr>
          <w:rFonts w:ascii="Times New Roman" w:eastAsia="Times New Roman" w:hAnsi="Times New Roman" w:cs="Times New Roman"/>
          <w:sz w:val="24"/>
          <w:szCs w:val="24"/>
        </w:rPr>
        <w:t xml:space="preserve"> precum și în baza bugetului instituției pentru I trimestru a</w:t>
      </w:r>
      <w:r>
        <w:rPr>
          <w:rFonts w:ascii="Times New Roman" w:eastAsia="Times New Roman" w:hAnsi="Times New Roman" w:cs="Times New Roman"/>
          <w:sz w:val="24"/>
          <w:szCs w:val="24"/>
        </w:rPr>
        <w:t>l</w:t>
      </w:r>
      <w:r w:rsidRPr="005D1B54">
        <w:rPr>
          <w:rFonts w:ascii="Times New Roman" w:eastAsia="Times New Roman" w:hAnsi="Times New Roman" w:cs="Times New Roman"/>
          <w:sz w:val="24"/>
          <w:szCs w:val="24"/>
        </w:rPr>
        <w:t xml:space="preserve"> anului 2019, care s</w:t>
      </w:r>
      <w:r>
        <w:rPr>
          <w:rFonts w:ascii="Times New Roman" w:eastAsia="Times New Roman" w:hAnsi="Times New Roman" w:cs="Times New Roman"/>
          <w:sz w:val="24"/>
          <w:szCs w:val="24"/>
        </w:rPr>
        <w:t>u</w:t>
      </w:r>
      <w:r w:rsidRPr="005D1B54">
        <w:rPr>
          <w:rFonts w:ascii="Times New Roman" w:eastAsia="Times New Roman" w:hAnsi="Times New Roman" w:cs="Times New Roman"/>
          <w:sz w:val="24"/>
          <w:szCs w:val="24"/>
        </w:rPr>
        <w:t>nt mai mici dec</w:t>
      </w:r>
      <w:r>
        <w:rPr>
          <w:rFonts w:ascii="Times New Roman" w:eastAsia="Times New Roman" w:hAnsi="Times New Roman" w:cs="Times New Roman"/>
          <w:sz w:val="24"/>
          <w:szCs w:val="24"/>
        </w:rPr>
        <w:t>â</w:t>
      </w:r>
      <w:r w:rsidRPr="005D1B54">
        <w:rPr>
          <w:rFonts w:ascii="Times New Roman" w:eastAsia="Times New Roman" w:hAnsi="Times New Roman" w:cs="Times New Roman"/>
          <w:sz w:val="24"/>
          <w:szCs w:val="24"/>
        </w:rPr>
        <w:t>t cele înregistrate în anii ulteriori</w:t>
      </w:r>
      <w:r w:rsidRPr="005D1B54">
        <w:rPr>
          <w:rStyle w:val="a5"/>
          <w:rFonts w:ascii="Times New Roman" w:eastAsia="Times New Roman" w:hAnsi="Times New Roman" w:cs="Times New Roman"/>
          <w:sz w:val="24"/>
          <w:szCs w:val="24"/>
        </w:rPr>
        <w:footnoteReference w:id="96"/>
      </w:r>
      <w:r w:rsidRPr="005D1B54">
        <w:rPr>
          <w:rFonts w:ascii="Times New Roman" w:eastAsia="Times New Roman" w:hAnsi="Times New Roman" w:cs="Times New Roman"/>
          <w:sz w:val="24"/>
          <w:szCs w:val="24"/>
        </w:rPr>
        <w:t>.</w:t>
      </w:r>
    </w:p>
    <w:p w14:paraId="51919039" w14:textId="0C4D9D33" w:rsidR="00DE4CE7" w:rsidRDefault="00DE4CE7" w:rsidP="00DE4CE7">
      <w:pPr>
        <w:spacing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STISC nu deține evidența contabilă </w:t>
      </w:r>
      <w:r w:rsidRPr="005D1B54">
        <w:rPr>
          <w:rFonts w:ascii="Times New Roman" w:eastAsia="Times New Roman" w:hAnsi="Times New Roman" w:cs="Times New Roman"/>
          <w:sz w:val="24"/>
          <w:szCs w:val="24"/>
        </w:rPr>
        <w:t xml:space="preserve">cu aplicarea conturilor de gestiune (clasa a 8) </w:t>
      </w:r>
      <w:r>
        <w:rPr>
          <w:rFonts w:ascii="Times New Roman" w:eastAsia="Times New Roman" w:hAnsi="Times New Roman" w:cs="Times New Roman"/>
          <w:sz w:val="24"/>
          <w:szCs w:val="24"/>
        </w:rPr>
        <w:t>privind calcularea costurilor totale și unitare</w:t>
      </w:r>
      <w:r w:rsidRPr="005D1B54">
        <w:rPr>
          <w:rStyle w:val="a5"/>
          <w:rFonts w:ascii="Times New Roman" w:eastAsia="Times New Roman" w:hAnsi="Times New Roman" w:cs="Times New Roman"/>
          <w:sz w:val="24"/>
          <w:szCs w:val="24"/>
        </w:rPr>
        <w:footnoteReference w:id="97"/>
      </w:r>
      <w:r>
        <w:rPr>
          <w:rFonts w:ascii="Times New Roman" w:eastAsia="Times New Roman" w:hAnsi="Times New Roman" w:cs="Times New Roman"/>
          <w:sz w:val="24"/>
          <w:szCs w:val="24"/>
        </w:rPr>
        <w:t xml:space="preserve"> suportate pentru fiecare serviciu prestat, ceea ce contravine „</w:t>
      </w:r>
      <w:r w:rsidR="00803D7F" w:rsidRPr="005D1B54">
        <w:rPr>
          <w:rFonts w:ascii="Times New Roman" w:eastAsia="Times New Roman" w:hAnsi="Times New Roman" w:cs="Times New Roman"/>
          <w:sz w:val="24"/>
          <w:szCs w:val="24"/>
        </w:rPr>
        <w:t>Indicații</w:t>
      </w:r>
      <w:r w:rsidR="00803D7F">
        <w:rPr>
          <w:rFonts w:ascii="Times New Roman" w:eastAsia="Times New Roman" w:hAnsi="Times New Roman" w:cs="Times New Roman"/>
          <w:sz w:val="24"/>
          <w:szCs w:val="24"/>
        </w:rPr>
        <w:t>lor</w:t>
      </w:r>
      <w:r w:rsidRPr="005D1B54">
        <w:rPr>
          <w:rFonts w:ascii="Times New Roman" w:eastAsia="Times New Roman" w:hAnsi="Times New Roman" w:cs="Times New Roman"/>
          <w:sz w:val="24"/>
          <w:szCs w:val="24"/>
        </w:rPr>
        <w:t xml:space="preserve"> metodice privind contabilitatea costurilor de producție și calculația costului produselor și serviciilor</w:t>
      </w:r>
      <w:r>
        <w:rPr>
          <w:rFonts w:ascii="Times New Roman" w:eastAsia="Times New Roman" w:hAnsi="Times New Roman" w:cs="Times New Roman"/>
          <w:sz w:val="24"/>
          <w:szCs w:val="24"/>
        </w:rPr>
        <w:t>”, precum și propriilor reguli statuate</w:t>
      </w:r>
      <w:r w:rsidRPr="005D1B54">
        <w:rPr>
          <w:rFonts w:ascii="Times New Roman" w:eastAsia="Times New Roman" w:hAnsi="Times New Roman" w:cs="Times New Roman"/>
          <w:sz w:val="24"/>
          <w:szCs w:val="24"/>
        </w:rPr>
        <w:t xml:space="preserve"> în politicile de contabilitate</w:t>
      </w:r>
      <w:r>
        <w:rPr>
          <w:rFonts w:ascii="Times New Roman" w:eastAsia="Times New Roman" w:hAnsi="Times New Roman" w:cs="Times New Roman"/>
          <w:sz w:val="24"/>
          <w:szCs w:val="24"/>
        </w:rPr>
        <w:t xml:space="preserve">. </w:t>
      </w:r>
    </w:p>
    <w:p w14:paraId="5856AA34" w14:textId="77777777" w:rsidR="00DE4CE7" w:rsidRPr="005D1B54" w:rsidRDefault="00DE4CE7" w:rsidP="00DE4CE7">
      <w:pPr>
        <w:spacing w:after="120" w:line="276" w:lineRule="auto"/>
        <w:jc w:val="both"/>
        <w:rPr>
          <w:rFonts w:ascii="Times New Roman" w:hAnsi="Times New Roman" w:cs="Times New Roman"/>
        </w:rPr>
      </w:pPr>
      <w:r w:rsidRPr="005D1B54">
        <w:rPr>
          <w:rFonts w:ascii="Times New Roman" w:eastAsia="Times New Roman" w:hAnsi="Times New Roman" w:cs="Times New Roman"/>
          <w:sz w:val="24"/>
          <w:szCs w:val="24"/>
        </w:rPr>
        <w:t xml:space="preserve">O altă observație de audit denotă că în unele cazuri </w:t>
      </w:r>
      <w:r>
        <w:rPr>
          <w:rFonts w:ascii="Times New Roman" w:eastAsia="Times New Roman" w:hAnsi="Times New Roman" w:cs="Times New Roman"/>
          <w:sz w:val="24"/>
          <w:szCs w:val="24"/>
        </w:rPr>
        <w:t>STISC a suportat cheltuieli iraționale și nejustificate, astfel majorând neîntemeiat cheltuielile operaționale raportate de către entitate, fapt menționat în</w:t>
      </w:r>
      <w:r w:rsidRPr="005D1B54">
        <w:rPr>
          <w:rFonts w:ascii="Times New Roman" w:eastAsia="Times New Roman" w:hAnsi="Times New Roman" w:cs="Times New Roman"/>
          <w:sz w:val="24"/>
          <w:szCs w:val="24"/>
        </w:rPr>
        <w:t xml:space="preserve"> capitolul </w:t>
      </w:r>
      <w:r>
        <w:rPr>
          <w:rFonts w:ascii="Times New Roman" w:eastAsia="Times New Roman" w:hAnsi="Times New Roman" w:cs="Times New Roman"/>
          <w:sz w:val="24"/>
          <w:szCs w:val="24"/>
        </w:rPr>
        <w:t xml:space="preserve">4.1.5. </w:t>
      </w:r>
      <w:r w:rsidRPr="005D1B54">
        <w:rPr>
          <w:rFonts w:ascii="Times New Roman" w:eastAsia="Times New Roman" w:hAnsi="Times New Roman" w:cs="Times New Roman"/>
          <w:sz w:val="24"/>
          <w:szCs w:val="24"/>
        </w:rPr>
        <w:t xml:space="preserve">al prezentului Raport de audit. </w:t>
      </w:r>
    </w:p>
    <w:p w14:paraId="7CB12DD6" w14:textId="44B71C6D" w:rsidR="006049D5" w:rsidRPr="00AE392E" w:rsidRDefault="00464C16" w:rsidP="00E93970">
      <w:pPr>
        <w:pStyle w:val="2"/>
        <w:numPr>
          <w:ilvl w:val="1"/>
          <w:numId w:val="4"/>
        </w:numPr>
        <w:tabs>
          <w:tab w:val="left" w:pos="567"/>
        </w:tabs>
        <w:spacing w:after="120" w:line="276" w:lineRule="auto"/>
        <w:ind w:left="0" w:hanging="27"/>
        <w:jc w:val="both"/>
        <w:rPr>
          <w:rFonts w:ascii="Times New Roman" w:hAnsi="Times New Roman" w:cs="Times New Roman"/>
          <w:b/>
          <w:color w:val="2F5496" w:themeColor="accent5" w:themeShade="BF"/>
          <w:sz w:val="28"/>
          <w:szCs w:val="28"/>
          <w:lang w:eastAsia="ro-RO" w:bidi="ro-RO"/>
        </w:rPr>
      </w:pPr>
      <w:bookmarkStart w:id="34" w:name="_Toc158015925"/>
      <w:r w:rsidRPr="00AE392E">
        <w:rPr>
          <w:rFonts w:ascii="Times New Roman" w:hAnsi="Times New Roman" w:cs="Times New Roman"/>
          <w:b/>
          <w:color w:val="2F5496" w:themeColor="accent5" w:themeShade="BF"/>
          <w:sz w:val="28"/>
          <w:szCs w:val="28"/>
          <w:lang w:eastAsia="ro-RO" w:bidi="ro-RO"/>
        </w:rPr>
        <w:t>OBIECTIVUL</w:t>
      </w:r>
      <w:r w:rsidR="00436800" w:rsidRPr="00AE392E">
        <w:rPr>
          <w:rFonts w:ascii="Times New Roman" w:hAnsi="Times New Roman" w:cs="Times New Roman"/>
          <w:b/>
          <w:color w:val="2F5496" w:themeColor="accent5" w:themeShade="BF"/>
          <w:sz w:val="28"/>
          <w:szCs w:val="28"/>
          <w:lang w:eastAsia="ro-RO" w:bidi="ro-RO"/>
        </w:rPr>
        <w:t xml:space="preserve"> nr. 3: </w:t>
      </w:r>
      <w:r w:rsidR="00484422" w:rsidRPr="00AE392E">
        <w:rPr>
          <w:rFonts w:ascii="Times New Roman" w:hAnsi="Times New Roman" w:cs="Times New Roman"/>
          <w:b/>
          <w:color w:val="2F5496" w:themeColor="accent5" w:themeShade="BF"/>
          <w:sz w:val="28"/>
          <w:szCs w:val="28"/>
          <w:lang w:eastAsia="ro-RO" w:bidi="ro-RO"/>
        </w:rPr>
        <w:t>Cancelaria de Stat și unele instituții publice</w:t>
      </w:r>
      <w:r w:rsidR="003264FB">
        <w:rPr>
          <w:rFonts w:ascii="Times New Roman" w:hAnsi="Times New Roman" w:cs="Times New Roman"/>
          <w:b/>
          <w:color w:val="2F5496" w:themeColor="accent5" w:themeShade="BF"/>
          <w:sz w:val="28"/>
          <w:szCs w:val="28"/>
          <w:lang w:eastAsia="ro-RO" w:bidi="ro-RO"/>
        </w:rPr>
        <w:t xml:space="preserve"> </w:t>
      </w:r>
      <w:r w:rsidR="00484422" w:rsidRPr="00AE392E">
        <w:rPr>
          <w:rFonts w:ascii="Times New Roman" w:hAnsi="Times New Roman" w:cs="Times New Roman"/>
          <w:b/>
          <w:color w:val="2F5496" w:themeColor="accent5" w:themeShade="BF"/>
          <w:sz w:val="28"/>
          <w:szCs w:val="28"/>
          <w:lang w:eastAsia="ro-RO" w:bidi="ro-RO"/>
        </w:rPr>
        <w:t>din subordine au asigurat conformitatea administrării patrimoniului public aflat/transmis în gestiune</w:t>
      </w:r>
      <w:r w:rsidR="00E512A5" w:rsidRPr="00AE392E">
        <w:rPr>
          <w:rFonts w:ascii="Times New Roman" w:hAnsi="Times New Roman" w:cs="Times New Roman"/>
          <w:b/>
          <w:color w:val="2F5496" w:themeColor="accent5" w:themeShade="BF"/>
          <w:sz w:val="28"/>
          <w:szCs w:val="28"/>
          <w:lang w:eastAsia="ro-RO" w:bidi="ro-RO"/>
        </w:rPr>
        <w:t>?</w:t>
      </w:r>
      <w:bookmarkEnd w:id="34"/>
    </w:p>
    <w:p w14:paraId="2AF9F0DB" w14:textId="77777777" w:rsidR="003264FB" w:rsidRDefault="003264FB" w:rsidP="003264FB">
      <w:pPr>
        <w:pBdr>
          <w:top w:val="single" w:sz="4" w:space="1" w:color="auto"/>
          <w:left w:val="single" w:sz="4" w:space="4" w:color="auto"/>
          <w:bottom w:val="single" w:sz="4" w:space="1" w:color="auto"/>
          <w:right w:val="single" w:sz="4" w:space="3" w:color="auto"/>
        </w:pBdr>
        <w:shd w:val="clear" w:color="auto" w:fill="F2F2F2" w:themeFill="background1" w:themeFillShade="F2"/>
        <w:spacing w:after="0" w:line="276"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w:t>
      </w:r>
      <w:r w:rsidRPr="00905F50">
        <w:rPr>
          <w:rFonts w:ascii="Times New Roman" w:eastAsia="Times New Roman" w:hAnsi="Times New Roman" w:cs="Times New Roman"/>
          <w:bCs/>
          <w:sz w:val="24"/>
          <w:szCs w:val="24"/>
        </w:rPr>
        <w:t xml:space="preserve">ultiple neconformități și iregularități </w:t>
      </w:r>
      <w:r>
        <w:rPr>
          <w:rFonts w:ascii="Times New Roman" w:eastAsia="Times New Roman" w:hAnsi="Times New Roman" w:cs="Times New Roman"/>
          <w:bCs/>
          <w:sz w:val="24"/>
          <w:szCs w:val="24"/>
        </w:rPr>
        <w:t xml:space="preserve">au fost constatate </w:t>
      </w:r>
      <w:r w:rsidRPr="00905F50">
        <w:rPr>
          <w:rFonts w:ascii="Times New Roman" w:eastAsia="Times New Roman" w:hAnsi="Times New Roman" w:cs="Times New Roman"/>
          <w:bCs/>
          <w:sz w:val="24"/>
          <w:szCs w:val="24"/>
        </w:rPr>
        <w:t>în administrarea patrimoniului public</w:t>
      </w:r>
      <w:r>
        <w:rPr>
          <w:rFonts w:ascii="Times New Roman" w:eastAsia="Times New Roman" w:hAnsi="Times New Roman" w:cs="Times New Roman"/>
          <w:bCs/>
          <w:sz w:val="24"/>
          <w:szCs w:val="24"/>
        </w:rPr>
        <w:t xml:space="preserve"> de către CS și unele I.P.  monitorizate</w:t>
      </w:r>
      <w:r w:rsidRPr="00740EA1">
        <w:rPr>
          <w:rFonts w:ascii="Times New Roman" w:eastAsia="Times New Roman" w:hAnsi="Times New Roman" w:cs="Times New Roman"/>
          <w:bCs/>
          <w:sz w:val="24"/>
          <w:szCs w:val="24"/>
        </w:rPr>
        <w:t>, care se exprimă prin: a) lipsa veridicității și plenitudinii în evidența și raportarea datelor privind patrimoniul proprietate publică de stat gestionat; b)</w:t>
      </w:r>
      <w:r>
        <w:rPr>
          <w:rFonts w:ascii="Times New Roman" w:eastAsia="Times New Roman" w:hAnsi="Times New Roman" w:cs="Times New Roman"/>
          <w:bCs/>
          <w:sz w:val="24"/>
          <w:szCs w:val="24"/>
        </w:rPr>
        <w:t xml:space="preserve"> </w:t>
      </w:r>
      <w:r w:rsidRPr="00740EA1">
        <w:rPr>
          <w:rFonts w:ascii="Times New Roman" w:eastAsia="Times New Roman" w:hAnsi="Times New Roman" w:cs="Times New Roman"/>
          <w:bCs/>
          <w:sz w:val="24"/>
          <w:szCs w:val="24"/>
        </w:rPr>
        <w:t>gestionarea deficitară a bazelor de odihnă, acestea an de an activând în pierderi acoperite de la buget; c) managementul defectuos a</w:t>
      </w:r>
      <w:r>
        <w:rPr>
          <w:rFonts w:ascii="Times New Roman" w:eastAsia="Times New Roman" w:hAnsi="Times New Roman" w:cs="Times New Roman"/>
          <w:bCs/>
          <w:sz w:val="24"/>
          <w:szCs w:val="24"/>
        </w:rPr>
        <w:t>l</w:t>
      </w:r>
      <w:r w:rsidRPr="00740EA1">
        <w:rPr>
          <w:rFonts w:ascii="Times New Roman" w:eastAsia="Times New Roman" w:hAnsi="Times New Roman" w:cs="Times New Roman"/>
          <w:bCs/>
          <w:sz w:val="24"/>
          <w:szCs w:val="24"/>
        </w:rPr>
        <w:t xml:space="preserve"> unui teren de 24,8 ha din fondul forestier al statului, transmis unui agent economic în administrare fiduciară cu încălcarea prevederilor legale; d) neasigurarea înregistrării integrale în RBI a drepturilor reale asupra bunurilor imobile și terenurilor deținute;</w:t>
      </w:r>
      <w:r w:rsidRPr="00905F50">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e) </w:t>
      </w:r>
      <w:r w:rsidRPr="00905F50">
        <w:rPr>
          <w:rFonts w:ascii="Times New Roman" w:eastAsia="Times New Roman" w:hAnsi="Times New Roman" w:cs="Times New Roman"/>
          <w:bCs/>
          <w:sz w:val="24"/>
          <w:szCs w:val="24"/>
        </w:rPr>
        <w:t>neevaluarea și necontabilizarea corespunzătoare a valorii unor bunuri imobile conform datelor reevaluate de către organul cadastral</w:t>
      </w:r>
      <w:r>
        <w:rPr>
          <w:rFonts w:ascii="Times New Roman" w:eastAsia="Times New Roman" w:hAnsi="Times New Roman" w:cs="Times New Roman"/>
          <w:bCs/>
          <w:sz w:val="24"/>
          <w:szCs w:val="24"/>
        </w:rPr>
        <w:t xml:space="preserve">, precum și f) </w:t>
      </w:r>
      <w:r w:rsidRPr="00740EA1">
        <w:rPr>
          <w:rFonts w:ascii="Times New Roman" w:eastAsia="Times New Roman" w:hAnsi="Times New Roman" w:cs="Times New Roman"/>
          <w:bCs/>
          <w:sz w:val="24"/>
          <w:szCs w:val="24"/>
        </w:rPr>
        <w:t xml:space="preserve">lipsa încheierii contractelor privind valorificarea </w:t>
      </w:r>
      <w:r w:rsidRPr="00905F50">
        <w:rPr>
          <w:rFonts w:ascii="Times New Roman" w:eastAsia="Times New Roman" w:hAnsi="Times New Roman" w:cs="Times New Roman"/>
          <w:bCs/>
          <w:sz w:val="24"/>
          <w:szCs w:val="24"/>
        </w:rPr>
        <w:t>integral</w:t>
      </w:r>
      <w:r>
        <w:rPr>
          <w:rFonts w:ascii="Times New Roman" w:eastAsia="Times New Roman" w:hAnsi="Times New Roman" w:cs="Times New Roman"/>
          <w:bCs/>
          <w:sz w:val="24"/>
          <w:szCs w:val="24"/>
        </w:rPr>
        <w:t>ă</w:t>
      </w:r>
      <w:r w:rsidRPr="00905F50">
        <w:rPr>
          <w:rFonts w:ascii="Times New Roman" w:eastAsia="Times New Roman" w:hAnsi="Times New Roman" w:cs="Times New Roman"/>
          <w:bCs/>
          <w:sz w:val="24"/>
          <w:szCs w:val="24"/>
        </w:rPr>
        <w:t xml:space="preserve"> a potențialului bunurilor imobile și terenurilor gestionate de către unele instituții publice</w:t>
      </w:r>
      <w:r>
        <w:rPr>
          <w:rFonts w:ascii="Times New Roman" w:eastAsia="Times New Roman" w:hAnsi="Times New Roman" w:cs="Times New Roman"/>
          <w:bCs/>
          <w:sz w:val="24"/>
          <w:szCs w:val="24"/>
        </w:rPr>
        <w:t xml:space="preserve"> nefiind încasate per total venituri pasibile în sumă de 2 927,1 mii lei</w:t>
      </w:r>
      <w:r w:rsidRPr="00740EA1">
        <w:rPr>
          <w:rFonts w:ascii="Times New Roman" w:eastAsia="Times New Roman" w:hAnsi="Times New Roman" w:cs="Times New Roman"/>
          <w:bCs/>
          <w:sz w:val="24"/>
          <w:szCs w:val="24"/>
        </w:rPr>
        <w:t xml:space="preserve">. </w:t>
      </w:r>
    </w:p>
    <w:p w14:paraId="5199DAA6" w14:textId="77777777" w:rsidR="003264FB" w:rsidRDefault="003264FB" w:rsidP="003264FB">
      <w:pPr>
        <w:pBdr>
          <w:top w:val="single" w:sz="4" w:space="1" w:color="auto"/>
          <w:left w:val="single" w:sz="4" w:space="4" w:color="auto"/>
          <w:bottom w:val="single" w:sz="4" w:space="1" w:color="auto"/>
          <w:right w:val="single" w:sz="4" w:space="3" w:color="auto"/>
        </w:pBdr>
        <w:shd w:val="clear" w:color="auto" w:fill="F2F2F2" w:themeFill="background1" w:themeFillShade="F2"/>
        <w:spacing w:after="120" w:line="276" w:lineRule="auto"/>
        <w:jc w:val="both"/>
        <w:rPr>
          <w:rFonts w:ascii="Times New Roman" w:eastAsia="Times New Roman" w:hAnsi="Times New Roman" w:cs="Times New Roman"/>
          <w:bCs/>
          <w:sz w:val="24"/>
          <w:szCs w:val="24"/>
        </w:rPr>
      </w:pPr>
      <w:r w:rsidRPr="00740EA1">
        <w:rPr>
          <w:rFonts w:ascii="Times New Roman" w:eastAsia="Times New Roman" w:hAnsi="Times New Roman" w:cs="Times New Roman"/>
          <w:bCs/>
          <w:sz w:val="24"/>
          <w:szCs w:val="24"/>
        </w:rPr>
        <w:t xml:space="preserve">Cumulul acestor factori determină starea defectuoasă a exploatării activelor patrimoniale publice de către entitățile verificate, </w:t>
      </w:r>
      <w:r>
        <w:rPr>
          <w:rFonts w:ascii="Times New Roman" w:eastAsia="Times New Roman" w:hAnsi="Times New Roman" w:cs="Times New Roman"/>
          <w:bCs/>
          <w:sz w:val="24"/>
          <w:szCs w:val="24"/>
        </w:rPr>
        <w:t>ca</w:t>
      </w:r>
      <w:r w:rsidRPr="00740EA1">
        <w:rPr>
          <w:rFonts w:ascii="Times New Roman" w:eastAsia="Times New Roman" w:hAnsi="Times New Roman" w:cs="Times New Roman"/>
          <w:bCs/>
          <w:sz w:val="24"/>
          <w:szCs w:val="24"/>
        </w:rPr>
        <w:t xml:space="preserve"> rezultat aceste bunuri negenerând venituri bugetare absolut necesare pentru dezvoltarea și modernizarea stării acestora.</w:t>
      </w:r>
    </w:p>
    <w:p w14:paraId="1665EB06" w14:textId="77777777" w:rsidR="003264FB" w:rsidRPr="00740EA1" w:rsidRDefault="003264FB" w:rsidP="003264FB">
      <w:pPr>
        <w:pBdr>
          <w:top w:val="single" w:sz="4" w:space="1" w:color="auto"/>
          <w:left w:val="single" w:sz="4" w:space="4" w:color="auto"/>
          <w:bottom w:val="single" w:sz="4" w:space="1" w:color="auto"/>
          <w:right w:val="single" w:sz="4" w:space="3" w:color="auto"/>
        </w:pBdr>
        <w:shd w:val="clear" w:color="auto" w:fill="F2F2F2" w:themeFill="background1" w:themeFillShade="F2"/>
        <w:spacing w:after="0" w:line="276"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Un aspect deficitar reprezintă </w:t>
      </w:r>
      <w:r w:rsidRPr="008915EC">
        <w:rPr>
          <w:rFonts w:ascii="Times New Roman" w:eastAsia="Times New Roman" w:hAnsi="Times New Roman" w:cs="Times New Roman"/>
          <w:bCs/>
          <w:sz w:val="24"/>
          <w:szCs w:val="24"/>
        </w:rPr>
        <w:t>asigurarea cu transport auto</w:t>
      </w:r>
      <w:r>
        <w:rPr>
          <w:rFonts w:ascii="Times New Roman" w:eastAsia="Times New Roman" w:hAnsi="Times New Roman" w:cs="Times New Roman"/>
          <w:bCs/>
          <w:sz w:val="24"/>
          <w:szCs w:val="24"/>
        </w:rPr>
        <w:t xml:space="preserve"> de către BA</w:t>
      </w:r>
      <w:r w:rsidRPr="008915EC">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a unor instituții medicale care nu se regăsesc în categoria autorităților/instituțiilor beneficiare de transport oferit fără plată de stat, ceea ce a condiționat suportarea </w:t>
      </w:r>
      <w:r w:rsidRPr="008915EC">
        <w:rPr>
          <w:rFonts w:ascii="Times New Roman" w:eastAsia="Times New Roman" w:hAnsi="Times New Roman" w:cs="Times New Roman"/>
          <w:bCs/>
          <w:sz w:val="24"/>
          <w:szCs w:val="24"/>
        </w:rPr>
        <w:t>unor cheltuieli</w:t>
      </w:r>
      <w:r>
        <w:rPr>
          <w:rFonts w:ascii="Times New Roman" w:eastAsia="Times New Roman" w:hAnsi="Times New Roman" w:cs="Times New Roman"/>
          <w:bCs/>
          <w:sz w:val="24"/>
          <w:szCs w:val="24"/>
        </w:rPr>
        <w:t xml:space="preserve"> suplimentare de către instituție</w:t>
      </w:r>
      <w:r w:rsidRPr="008915EC">
        <w:rPr>
          <w:rFonts w:ascii="Times New Roman" w:eastAsia="Times New Roman" w:hAnsi="Times New Roman" w:cs="Times New Roman"/>
          <w:bCs/>
          <w:sz w:val="24"/>
          <w:szCs w:val="24"/>
        </w:rPr>
        <w:t xml:space="preserve"> </w:t>
      </w:r>
      <w:r w:rsidRPr="003B329E">
        <w:rPr>
          <w:rFonts w:ascii="Times New Roman" w:hAnsi="Times New Roman" w:cs="Times New Roman"/>
          <w:sz w:val="24"/>
          <w:szCs w:val="24"/>
        </w:rPr>
        <w:t xml:space="preserve">în sumă </w:t>
      </w:r>
      <w:r>
        <w:rPr>
          <w:rFonts w:ascii="Times New Roman" w:hAnsi="Times New Roman" w:cs="Times New Roman"/>
          <w:sz w:val="24"/>
          <w:szCs w:val="24"/>
        </w:rPr>
        <w:t>totală de circa 2,3 mil. lei.</w:t>
      </w:r>
    </w:p>
    <w:p w14:paraId="75710061" w14:textId="1BA35116" w:rsidR="00484422" w:rsidRPr="00267B35" w:rsidRDefault="005973E7" w:rsidP="00267B35">
      <w:pPr>
        <w:pStyle w:val="a7"/>
        <w:numPr>
          <w:ilvl w:val="2"/>
          <w:numId w:val="4"/>
        </w:numPr>
        <w:tabs>
          <w:tab w:val="left" w:pos="567"/>
        </w:tabs>
        <w:spacing w:before="120" w:after="120" w:line="276" w:lineRule="auto"/>
        <w:ind w:left="0" w:firstLine="0"/>
        <w:contextualSpacing w:val="0"/>
        <w:jc w:val="both"/>
        <w:rPr>
          <w:rFonts w:ascii="Times New Roman" w:hAnsi="Times New Roman" w:cs="Times New Roman"/>
          <w:color w:val="0070C0"/>
          <w:sz w:val="24"/>
          <w:szCs w:val="24"/>
        </w:rPr>
      </w:pPr>
      <w:r w:rsidRPr="00267B35">
        <w:rPr>
          <w:rFonts w:ascii="Times New Roman" w:hAnsi="Times New Roman" w:cs="Times New Roman"/>
          <w:b/>
          <w:color w:val="0070C0"/>
          <w:sz w:val="24"/>
          <w:szCs w:val="24"/>
          <w:lang w:val="ro-RO"/>
        </w:rPr>
        <w:t xml:space="preserve"> </w:t>
      </w:r>
      <w:bookmarkStart w:id="35" w:name="_Toc156400789"/>
      <w:r w:rsidR="003264FB" w:rsidRPr="00267B35">
        <w:rPr>
          <w:rFonts w:ascii="Times New Roman" w:hAnsi="Times New Roman" w:cs="Times New Roman"/>
          <w:b/>
          <w:color w:val="0070C0"/>
          <w:sz w:val="24"/>
          <w:szCs w:val="24"/>
          <w:lang w:val="ro-RO"/>
        </w:rPr>
        <w:t xml:space="preserve">CS, în calitate de fondator, nu deține o imagine de ansamblu privind patrimoniul public </w:t>
      </w:r>
      <w:r w:rsidR="00BC6E90">
        <w:rPr>
          <w:rFonts w:ascii="Times New Roman" w:hAnsi="Times New Roman" w:cs="Times New Roman"/>
          <w:b/>
          <w:color w:val="0070C0"/>
          <w:sz w:val="24"/>
          <w:szCs w:val="24"/>
          <w:lang w:val="ro-RO"/>
        </w:rPr>
        <w:t>gestionat de către</w:t>
      </w:r>
      <w:r w:rsidR="003264FB" w:rsidRPr="00267B35">
        <w:rPr>
          <w:rFonts w:ascii="Times New Roman" w:hAnsi="Times New Roman" w:cs="Times New Roman"/>
          <w:b/>
          <w:color w:val="0070C0"/>
          <w:sz w:val="24"/>
          <w:szCs w:val="24"/>
          <w:lang w:val="ro-RO"/>
        </w:rPr>
        <w:t xml:space="preserve"> I.P. monitorizate, ca urmare a înregistrării parțiale a acestuia în evidența contabilă</w:t>
      </w:r>
      <w:bookmarkEnd w:id="35"/>
      <w:r w:rsidR="003264FB" w:rsidRPr="00267B35">
        <w:rPr>
          <w:rFonts w:ascii="Times New Roman" w:hAnsi="Times New Roman" w:cs="Times New Roman"/>
          <w:b/>
          <w:color w:val="0070C0"/>
          <w:sz w:val="24"/>
          <w:szCs w:val="24"/>
          <w:lang w:val="ro-RO"/>
        </w:rPr>
        <w:t xml:space="preserve">. </w:t>
      </w:r>
    </w:p>
    <w:p w14:paraId="25D71A00" w14:textId="6ACE751E" w:rsidR="00450503" w:rsidRPr="003B329E" w:rsidRDefault="00450503" w:rsidP="00450503">
      <w:pPr>
        <w:spacing w:after="120" w:line="276" w:lineRule="auto"/>
        <w:jc w:val="both"/>
        <w:rPr>
          <w:rFonts w:ascii="Times New Roman" w:eastAsia="Times New Roman" w:hAnsi="Times New Roman" w:cs="Times New Roman"/>
          <w:bCs/>
          <w:sz w:val="24"/>
          <w:szCs w:val="24"/>
        </w:rPr>
      </w:pPr>
      <w:r w:rsidRPr="003B329E">
        <w:rPr>
          <w:rFonts w:ascii="Times New Roman" w:eastAsia="Times New Roman" w:hAnsi="Times New Roman" w:cs="Times New Roman"/>
          <w:bCs/>
          <w:sz w:val="24"/>
          <w:szCs w:val="24"/>
        </w:rPr>
        <w:t xml:space="preserve">Verificările auditului atestă aspecte deficitare și neconforme aferente modului de ținere de către CS a evidenței bunurilor proprietate publică </w:t>
      </w:r>
      <w:r w:rsidR="00E750EA">
        <w:rPr>
          <w:rFonts w:ascii="Times New Roman" w:eastAsia="Times New Roman" w:hAnsi="Times New Roman" w:cs="Times New Roman"/>
          <w:bCs/>
          <w:sz w:val="24"/>
          <w:szCs w:val="24"/>
        </w:rPr>
        <w:t>transmise</w:t>
      </w:r>
      <w:r w:rsidRPr="003B329E">
        <w:rPr>
          <w:rFonts w:ascii="Times New Roman" w:eastAsia="Times New Roman" w:hAnsi="Times New Roman" w:cs="Times New Roman"/>
          <w:bCs/>
          <w:sz w:val="24"/>
          <w:szCs w:val="24"/>
        </w:rPr>
        <w:t xml:space="preserve"> în gesti</w:t>
      </w:r>
      <w:r>
        <w:rPr>
          <w:rFonts w:ascii="Times New Roman" w:eastAsia="Times New Roman" w:hAnsi="Times New Roman" w:cs="Times New Roman"/>
          <w:bCs/>
          <w:sz w:val="24"/>
          <w:szCs w:val="24"/>
        </w:rPr>
        <w:t>une</w:t>
      </w:r>
      <w:r w:rsidR="002F4691">
        <w:rPr>
          <w:rFonts w:ascii="Times New Roman" w:eastAsia="Times New Roman" w:hAnsi="Times New Roman" w:cs="Times New Roman"/>
          <w:bCs/>
          <w:sz w:val="24"/>
          <w:szCs w:val="24"/>
        </w:rPr>
        <w:t>a economică a</w:t>
      </w:r>
      <w:r w:rsidRPr="003B329E">
        <w:rPr>
          <w:rFonts w:ascii="Times New Roman" w:eastAsia="Times New Roman" w:hAnsi="Times New Roman" w:cs="Times New Roman"/>
          <w:bCs/>
          <w:sz w:val="24"/>
          <w:szCs w:val="24"/>
        </w:rPr>
        <w:t xml:space="preserve"> instituțiilor publice, la care autoritatea publică este fondator.</w:t>
      </w:r>
      <w:r w:rsidR="00BA69A9">
        <w:rPr>
          <w:rFonts w:ascii="Times New Roman" w:eastAsia="Times New Roman" w:hAnsi="Times New Roman" w:cs="Times New Roman"/>
          <w:bCs/>
          <w:sz w:val="24"/>
          <w:szCs w:val="24"/>
        </w:rPr>
        <w:t xml:space="preserve"> </w:t>
      </w:r>
    </w:p>
    <w:p w14:paraId="480D3BCE" w14:textId="2C5E9C0F" w:rsidR="00450503" w:rsidRPr="003B329E" w:rsidRDefault="00450503" w:rsidP="00450503">
      <w:pPr>
        <w:spacing w:after="120" w:line="276" w:lineRule="auto"/>
        <w:jc w:val="both"/>
        <w:rPr>
          <w:rFonts w:ascii="Times New Roman" w:hAnsi="Times New Roman" w:cs="Times New Roman"/>
          <w:bCs/>
          <w:sz w:val="24"/>
          <w:szCs w:val="24"/>
          <w:lang w:val="pt-BR"/>
        </w:rPr>
      </w:pPr>
      <w:r w:rsidRPr="003B329E">
        <w:rPr>
          <w:rFonts w:ascii="Times New Roman" w:eastAsia="Times New Roman" w:hAnsi="Times New Roman" w:cs="Times New Roman"/>
          <w:bCs/>
          <w:sz w:val="24"/>
          <w:szCs w:val="24"/>
        </w:rPr>
        <w:t>P</w:t>
      </w:r>
      <w:r w:rsidRPr="003B329E">
        <w:rPr>
          <w:rFonts w:ascii="Times New Roman" w:hAnsi="Times New Roman" w:cs="Times New Roman"/>
          <w:iCs/>
          <w:color w:val="0D0D0D" w:themeColor="text1" w:themeTint="F2"/>
          <w:sz w:val="24"/>
          <w:szCs w:val="24"/>
          <w:lang w:val="ro-RO"/>
        </w:rPr>
        <w:t xml:space="preserve">otrivit prevederilor pct. </w:t>
      </w:r>
      <w:r w:rsidRPr="003B329E">
        <w:rPr>
          <w:rFonts w:ascii="Times New Roman" w:hAnsi="Times New Roman" w:cs="Times New Roman"/>
          <w:bCs/>
          <w:sz w:val="24"/>
          <w:szCs w:val="24"/>
          <w:lang w:val="pt-BR"/>
        </w:rPr>
        <w:t>3.4.21</w:t>
      </w:r>
      <w:r w:rsidRPr="003B329E">
        <w:rPr>
          <w:rFonts w:ascii="Times New Roman" w:hAnsi="Times New Roman" w:cs="Times New Roman"/>
          <w:bCs/>
          <w:sz w:val="24"/>
          <w:szCs w:val="24"/>
          <w:vertAlign w:val="superscript"/>
          <w:lang w:val="pt-BR"/>
        </w:rPr>
        <w:t>1</w:t>
      </w:r>
      <w:r w:rsidRPr="003B329E">
        <w:rPr>
          <w:rFonts w:ascii="Times New Roman" w:hAnsi="Times New Roman" w:cs="Times New Roman"/>
          <w:bCs/>
          <w:sz w:val="24"/>
          <w:szCs w:val="24"/>
          <w:lang w:val="pt-BR"/>
        </w:rPr>
        <w:t xml:space="preserve"> din Ordinul </w:t>
      </w:r>
      <w:r>
        <w:rPr>
          <w:rFonts w:ascii="Times New Roman" w:hAnsi="Times New Roman" w:cs="Times New Roman"/>
          <w:bCs/>
          <w:sz w:val="24"/>
          <w:szCs w:val="24"/>
          <w:lang w:val="pt-BR"/>
        </w:rPr>
        <w:t>nr.</w:t>
      </w:r>
      <w:r w:rsidRPr="003B329E">
        <w:rPr>
          <w:rFonts w:ascii="Times New Roman" w:hAnsi="Times New Roman" w:cs="Times New Roman"/>
          <w:bCs/>
          <w:sz w:val="24"/>
          <w:szCs w:val="24"/>
          <w:lang w:val="pt-BR"/>
        </w:rPr>
        <w:t xml:space="preserve">216/2015, la subcontul 415310 „Investiţii în părţi legate şi nelegate” se reflectă </w:t>
      </w:r>
      <w:r w:rsidRPr="003B329E">
        <w:rPr>
          <w:rFonts w:ascii="Times New Roman" w:hAnsi="Times New Roman" w:cs="Times New Roman"/>
          <w:bCs/>
          <w:i/>
          <w:sz w:val="24"/>
          <w:szCs w:val="24"/>
          <w:lang w:val="pt-BR"/>
        </w:rPr>
        <w:t>evidența analitică</w:t>
      </w:r>
      <w:r w:rsidRPr="003B329E">
        <w:rPr>
          <w:rFonts w:ascii="Times New Roman" w:hAnsi="Times New Roman" w:cs="Times New Roman"/>
          <w:bCs/>
          <w:sz w:val="24"/>
          <w:szCs w:val="24"/>
          <w:lang w:val="pt-BR"/>
        </w:rPr>
        <w:t xml:space="preserve"> a valorii bunurilor transmise în gestiune economică părţilor legate şi nelegate de către autorităţi</w:t>
      </w:r>
      <w:r>
        <w:rPr>
          <w:rFonts w:ascii="Times New Roman" w:hAnsi="Times New Roman" w:cs="Times New Roman"/>
          <w:bCs/>
          <w:sz w:val="24"/>
          <w:szCs w:val="24"/>
          <w:lang w:val="pt-BR"/>
        </w:rPr>
        <w:t>le</w:t>
      </w:r>
      <w:r w:rsidRPr="003B329E">
        <w:rPr>
          <w:rFonts w:ascii="Times New Roman" w:hAnsi="Times New Roman" w:cs="Times New Roman"/>
          <w:bCs/>
          <w:sz w:val="24"/>
          <w:szCs w:val="24"/>
          <w:lang w:val="pt-BR"/>
        </w:rPr>
        <w:t xml:space="preserve"> publice. </w:t>
      </w:r>
    </w:p>
    <w:p w14:paraId="3EBC2474" w14:textId="3BB9AA30" w:rsidR="00450503" w:rsidRPr="003B329E" w:rsidRDefault="00450503" w:rsidP="00450503">
      <w:pPr>
        <w:spacing w:after="120" w:line="276" w:lineRule="auto"/>
        <w:jc w:val="both"/>
        <w:rPr>
          <w:rFonts w:ascii="Times New Roman" w:hAnsi="Times New Roman" w:cs="Times New Roman"/>
          <w:iCs/>
          <w:color w:val="0D0D0D" w:themeColor="text1" w:themeTint="F2"/>
          <w:sz w:val="24"/>
          <w:szCs w:val="24"/>
          <w:lang w:val="ro-RO"/>
        </w:rPr>
      </w:pPr>
      <w:r>
        <w:rPr>
          <w:rFonts w:ascii="Times New Roman" w:eastAsia="Times New Roman" w:hAnsi="Times New Roman" w:cs="Times New Roman"/>
          <w:bCs/>
          <w:sz w:val="24"/>
          <w:szCs w:val="24"/>
        </w:rPr>
        <w:t>Astfel</w:t>
      </w:r>
      <w:r w:rsidRPr="003B329E">
        <w:rPr>
          <w:rFonts w:ascii="Times New Roman" w:eastAsia="Times New Roman" w:hAnsi="Times New Roman" w:cs="Times New Roman"/>
          <w:bCs/>
          <w:sz w:val="24"/>
          <w:szCs w:val="24"/>
        </w:rPr>
        <w:t>, CS îi revine responsabilitatea și obligativitatea contabilizării la nivel analitic/pe fiecare poziție a terenurilor</w:t>
      </w:r>
      <w:r w:rsidR="00A37ECE">
        <w:rPr>
          <w:rFonts w:ascii="Times New Roman" w:eastAsia="Times New Roman" w:hAnsi="Times New Roman" w:cs="Times New Roman"/>
          <w:bCs/>
          <w:sz w:val="24"/>
          <w:szCs w:val="24"/>
        </w:rPr>
        <w:t xml:space="preserve"> și </w:t>
      </w:r>
      <w:r w:rsidRPr="003B329E">
        <w:rPr>
          <w:rFonts w:ascii="Times New Roman" w:eastAsia="Times New Roman" w:hAnsi="Times New Roman" w:cs="Times New Roman"/>
          <w:bCs/>
          <w:sz w:val="24"/>
          <w:szCs w:val="24"/>
        </w:rPr>
        <w:t>clădirilor</w:t>
      </w:r>
      <w:r w:rsidR="00A37ECE">
        <w:rPr>
          <w:rFonts w:ascii="Times New Roman" w:eastAsia="Times New Roman" w:hAnsi="Times New Roman" w:cs="Times New Roman"/>
          <w:bCs/>
          <w:sz w:val="24"/>
          <w:szCs w:val="24"/>
        </w:rPr>
        <w:t xml:space="preserve"> </w:t>
      </w:r>
      <w:r w:rsidRPr="003B329E">
        <w:rPr>
          <w:rFonts w:ascii="Times New Roman" w:eastAsia="Times New Roman" w:hAnsi="Times New Roman" w:cs="Times New Roman"/>
          <w:bCs/>
          <w:sz w:val="24"/>
          <w:szCs w:val="24"/>
        </w:rPr>
        <w:t>și alt</w:t>
      </w:r>
      <w:r>
        <w:rPr>
          <w:rFonts w:ascii="Times New Roman" w:eastAsia="Times New Roman" w:hAnsi="Times New Roman" w:cs="Times New Roman"/>
          <w:bCs/>
          <w:sz w:val="24"/>
          <w:szCs w:val="24"/>
        </w:rPr>
        <w:t>or</w:t>
      </w:r>
      <w:r w:rsidRPr="003B329E">
        <w:rPr>
          <w:rFonts w:ascii="Times New Roman" w:eastAsia="Times New Roman" w:hAnsi="Times New Roman" w:cs="Times New Roman"/>
          <w:bCs/>
          <w:sz w:val="24"/>
          <w:szCs w:val="24"/>
        </w:rPr>
        <w:t xml:space="preserve"> bunuri proprietate publică de stat </w:t>
      </w:r>
      <w:r w:rsidR="006F2FD7">
        <w:rPr>
          <w:rFonts w:ascii="Times New Roman" w:eastAsia="Times New Roman" w:hAnsi="Times New Roman" w:cs="Times New Roman"/>
          <w:bCs/>
          <w:sz w:val="24"/>
          <w:szCs w:val="24"/>
        </w:rPr>
        <w:t>transmise</w:t>
      </w:r>
      <w:r w:rsidRPr="003B329E">
        <w:rPr>
          <w:rFonts w:ascii="Times New Roman" w:hAnsi="Times New Roman" w:cs="Times New Roman"/>
          <w:bCs/>
          <w:sz w:val="24"/>
          <w:szCs w:val="24"/>
          <w:lang w:val="pt-BR"/>
        </w:rPr>
        <w:t xml:space="preserve"> în gestiune economică celor 8 instituții publice</w:t>
      </w:r>
      <w:r w:rsidRPr="003B329E">
        <w:rPr>
          <w:rStyle w:val="a5"/>
          <w:rFonts w:ascii="Times New Roman" w:hAnsi="Times New Roman" w:cs="Times New Roman"/>
          <w:bCs/>
          <w:lang w:val="pt-BR"/>
        </w:rPr>
        <w:footnoteReference w:id="98"/>
      </w:r>
      <w:r w:rsidRPr="003B329E">
        <w:rPr>
          <w:rFonts w:ascii="Times New Roman" w:hAnsi="Times New Roman" w:cs="Times New Roman"/>
          <w:bCs/>
          <w:sz w:val="24"/>
          <w:szCs w:val="24"/>
          <w:lang w:val="pt-BR"/>
        </w:rPr>
        <w:t xml:space="preserve"> la care exercit</w:t>
      </w:r>
      <w:r>
        <w:rPr>
          <w:rFonts w:ascii="Times New Roman" w:hAnsi="Times New Roman" w:cs="Times New Roman"/>
          <w:bCs/>
          <w:sz w:val="24"/>
          <w:szCs w:val="24"/>
          <w:lang w:val="pt-BR"/>
        </w:rPr>
        <w:t>ă</w:t>
      </w:r>
      <w:r w:rsidRPr="003B329E">
        <w:rPr>
          <w:rFonts w:ascii="Times New Roman" w:hAnsi="Times New Roman" w:cs="Times New Roman"/>
          <w:bCs/>
          <w:sz w:val="24"/>
          <w:szCs w:val="24"/>
          <w:lang w:val="pt-BR"/>
        </w:rPr>
        <w:t xml:space="preserve"> funcția de fondator. </w:t>
      </w:r>
      <w:r w:rsidRPr="003B329E">
        <w:rPr>
          <w:rFonts w:ascii="Times New Roman" w:hAnsi="Times New Roman" w:cs="Times New Roman"/>
          <w:iCs/>
          <w:color w:val="0D0D0D" w:themeColor="text1" w:themeTint="F2"/>
          <w:sz w:val="24"/>
          <w:szCs w:val="24"/>
          <w:lang w:val="ro-RO"/>
        </w:rPr>
        <w:t xml:space="preserve">Însă, verificările de audit privind corectitudinea înregistrării contabile a aportului statului au relevat un șir de neconformități și aspecte deficitare la </w:t>
      </w:r>
      <w:r w:rsidR="004F50B2">
        <w:rPr>
          <w:rFonts w:ascii="Times New Roman" w:hAnsi="Times New Roman" w:cs="Times New Roman"/>
          <w:iCs/>
          <w:color w:val="0D0D0D" w:themeColor="text1" w:themeTint="F2"/>
          <w:sz w:val="24"/>
          <w:szCs w:val="24"/>
          <w:lang w:val="ro-RO"/>
        </w:rPr>
        <w:t>poziția contabilă sus menționată</w:t>
      </w:r>
      <w:r w:rsidRPr="003B329E">
        <w:rPr>
          <w:rFonts w:ascii="Times New Roman" w:hAnsi="Times New Roman" w:cs="Times New Roman"/>
          <w:iCs/>
          <w:color w:val="0D0D0D" w:themeColor="text1" w:themeTint="F2"/>
          <w:sz w:val="24"/>
          <w:szCs w:val="24"/>
          <w:lang w:val="ro-RO"/>
        </w:rPr>
        <w:t>, valoarea erorilor agregate</w:t>
      </w:r>
      <w:r w:rsidRPr="003B329E">
        <w:rPr>
          <w:rFonts w:ascii="Times New Roman" w:hAnsi="Times New Roman" w:cs="Times New Roman"/>
        </w:rPr>
        <w:t xml:space="preserve"> </w:t>
      </w:r>
      <w:r w:rsidRPr="003B329E">
        <w:rPr>
          <w:rFonts w:ascii="Times New Roman" w:hAnsi="Times New Roman" w:cs="Times New Roman"/>
          <w:iCs/>
          <w:color w:val="0D0D0D" w:themeColor="text1" w:themeTint="F2"/>
          <w:sz w:val="24"/>
          <w:szCs w:val="24"/>
          <w:lang w:val="ro-RO"/>
        </w:rPr>
        <w:t>la situația din 31.12.2022</w:t>
      </w:r>
      <w:r w:rsidR="00FF0526">
        <w:rPr>
          <w:rFonts w:ascii="Times New Roman" w:hAnsi="Times New Roman" w:cs="Times New Roman"/>
          <w:iCs/>
          <w:color w:val="0D0D0D" w:themeColor="text1" w:themeTint="F2"/>
          <w:sz w:val="24"/>
          <w:szCs w:val="24"/>
          <w:lang w:val="ro-RO"/>
        </w:rPr>
        <w:t>, doar pe eșantionul testat, a</w:t>
      </w:r>
      <w:r w:rsidRPr="003B329E">
        <w:rPr>
          <w:rFonts w:ascii="Times New Roman" w:hAnsi="Times New Roman" w:cs="Times New Roman"/>
          <w:iCs/>
          <w:color w:val="0D0D0D" w:themeColor="text1" w:themeTint="F2"/>
          <w:sz w:val="24"/>
          <w:szCs w:val="24"/>
          <w:lang w:val="ro-RO"/>
        </w:rPr>
        <w:t xml:space="preserve"> </w:t>
      </w:r>
      <w:r w:rsidRPr="00BB1D45">
        <w:rPr>
          <w:rFonts w:ascii="Times New Roman" w:hAnsi="Times New Roman" w:cs="Times New Roman"/>
          <w:iCs/>
          <w:color w:val="0D0D0D" w:themeColor="text1" w:themeTint="F2"/>
          <w:sz w:val="24"/>
          <w:szCs w:val="24"/>
          <w:lang w:val="ro-RO"/>
        </w:rPr>
        <w:t>constit</w:t>
      </w:r>
      <w:r w:rsidR="00FF0526">
        <w:rPr>
          <w:rFonts w:ascii="Times New Roman" w:hAnsi="Times New Roman" w:cs="Times New Roman"/>
          <w:iCs/>
          <w:color w:val="0D0D0D" w:themeColor="text1" w:themeTint="F2"/>
          <w:sz w:val="24"/>
          <w:szCs w:val="24"/>
          <w:lang w:val="ro-RO"/>
        </w:rPr>
        <w:t>uit</w:t>
      </w:r>
      <w:r w:rsidRPr="00BB1D45">
        <w:rPr>
          <w:rFonts w:ascii="Times New Roman" w:hAnsi="Times New Roman" w:cs="Times New Roman"/>
          <w:iCs/>
          <w:color w:val="0D0D0D" w:themeColor="text1" w:themeTint="F2"/>
          <w:sz w:val="24"/>
          <w:szCs w:val="24"/>
          <w:lang w:val="ro-RO"/>
        </w:rPr>
        <w:t xml:space="preserve"> </w:t>
      </w:r>
      <w:r w:rsidR="00B21B8A">
        <w:rPr>
          <w:rFonts w:ascii="Times New Roman" w:hAnsi="Times New Roman" w:cs="Times New Roman"/>
          <w:iCs/>
          <w:color w:val="0D0D0D" w:themeColor="text1" w:themeTint="F2"/>
          <w:sz w:val="24"/>
          <w:szCs w:val="24"/>
          <w:lang w:val="ro-RO"/>
        </w:rPr>
        <w:t xml:space="preserve">circa </w:t>
      </w:r>
      <w:r w:rsidR="00FC374A">
        <w:rPr>
          <w:rFonts w:ascii="Times New Roman" w:hAnsi="Times New Roman" w:cs="Times New Roman"/>
          <w:iCs/>
          <w:color w:val="0D0D0D" w:themeColor="text1" w:themeTint="F2"/>
          <w:sz w:val="24"/>
          <w:szCs w:val="24"/>
          <w:lang w:val="ro-RO"/>
        </w:rPr>
        <w:t>313,1</w:t>
      </w:r>
      <w:r w:rsidR="00A22258">
        <w:rPr>
          <w:rFonts w:ascii="Times New Roman" w:hAnsi="Times New Roman" w:cs="Times New Roman"/>
          <w:iCs/>
          <w:color w:val="0D0D0D" w:themeColor="text1" w:themeTint="F2"/>
          <w:sz w:val="24"/>
          <w:szCs w:val="24"/>
          <w:lang w:val="ro-RO"/>
        </w:rPr>
        <w:t xml:space="preserve"> mil. lei</w:t>
      </w:r>
      <w:r w:rsidRPr="003B329E">
        <w:rPr>
          <w:rFonts w:ascii="Times New Roman" w:hAnsi="Times New Roman" w:cs="Times New Roman"/>
          <w:iCs/>
          <w:color w:val="0D0D0D" w:themeColor="text1" w:themeTint="F2"/>
          <w:sz w:val="24"/>
          <w:szCs w:val="24"/>
          <w:lang w:val="ro-RO"/>
        </w:rPr>
        <w:t>, și anume:</w:t>
      </w:r>
    </w:p>
    <w:p w14:paraId="52CF4F14" w14:textId="374CE962" w:rsidR="00450503" w:rsidRPr="003B329E" w:rsidRDefault="00450503" w:rsidP="00450503">
      <w:pPr>
        <w:pStyle w:val="a7"/>
        <w:numPr>
          <w:ilvl w:val="0"/>
          <w:numId w:val="11"/>
        </w:numPr>
        <w:tabs>
          <w:tab w:val="left" w:pos="426"/>
        </w:tabs>
        <w:spacing w:after="120" w:line="276" w:lineRule="auto"/>
        <w:ind w:left="0" w:firstLine="0"/>
        <w:contextualSpacing w:val="0"/>
        <w:jc w:val="both"/>
        <w:rPr>
          <w:rFonts w:ascii="Times New Roman" w:hAnsi="Times New Roman" w:cs="Times New Roman"/>
          <w:i/>
          <w:iCs/>
          <w:color w:val="0D0D0D" w:themeColor="text1" w:themeTint="F2"/>
          <w:sz w:val="24"/>
          <w:szCs w:val="24"/>
          <w:lang w:val="ro-RO"/>
        </w:rPr>
      </w:pPr>
      <w:r w:rsidRPr="003B329E">
        <w:rPr>
          <w:rFonts w:ascii="Times New Roman" w:hAnsi="Times New Roman" w:cs="Times New Roman"/>
          <w:iCs/>
          <w:color w:val="0D0D0D" w:themeColor="text1" w:themeTint="F2"/>
          <w:sz w:val="24"/>
          <w:szCs w:val="24"/>
          <w:lang w:val="ro-RO"/>
        </w:rPr>
        <w:t>CS nu a asigurat înregistrarea în ev</w:t>
      </w:r>
      <w:r w:rsidRPr="002105DA">
        <w:rPr>
          <w:rFonts w:ascii="Times New Roman" w:hAnsi="Times New Roman" w:cs="Times New Roman"/>
          <w:iCs/>
          <w:color w:val="0D0D0D" w:themeColor="text1" w:themeTint="F2"/>
          <w:sz w:val="24"/>
          <w:szCs w:val="24"/>
          <w:lang w:val="ro-RO"/>
        </w:rPr>
        <w:t>idența contabilă a patr</w:t>
      </w:r>
      <w:r w:rsidR="00121B98">
        <w:rPr>
          <w:rFonts w:ascii="Times New Roman" w:hAnsi="Times New Roman" w:cs="Times New Roman"/>
          <w:iCs/>
          <w:color w:val="0D0D0D" w:themeColor="text1" w:themeTint="F2"/>
          <w:sz w:val="24"/>
          <w:szCs w:val="24"/>
          <w:lang w:val="ro-RO"/>
        </w:rPr>
        <w:t xml:space="preserve">imoniului în valoare </w:t>
      </w:r>
      <w:r w:rsidR="002540F1" w:rsidRPr="00A05427">
        <w:rPr>
          <w:rFonts w:ascii="Times New Roman" w:hAnsi="Times New Roman" w:cs="Times New Roman"/>
          <w:iCs/>
          <w:sz w:val="24"/>
          <w:szCs w:val="24"/>
          <w:lang w:val="ro-RO"/>
        </w:rPr>
        <w:t xml:space="preserve">de </w:t>
      </w:r>
      <w:r w:rsidR="00117D9F" w:rsidRPr="00A05427">
        <w:rPr>
          <w:rFonts w:ascii="Times New Roman" w:hAnsi="Times New Roman" w:cs="Times New Roman"/>
          <w:iCs/>
          <w:sz w:val="24"/>
          <w:szCs w:val="24"/>
          <w:lang w:val="ro-RO"/>
        </w:rPr>
        <w:t>82,7</w:t>
      </w:r>
      <w:r w:rsidR="005A2F47" w:rsidRPr="00A05427">
        <w:rPr>
          <w:rFonts w:ascii="Times New Roman" w:hAnsi="Times New Roman" w:cs="Times New Roman"/>
          <w:iCs/>
          <w:sz w:val="24"/>
          <w:szCs w:val="24"/>
          <w:lang w:val="ro-RO"/>
        </w:rPr>
        <w:t xml:space="preserve"> </w:t>
      </w:r>
      <w:r w:rsidRPr="002105DA">
        <w:rPr>
          <w:rFonts w:ascii="Times New Roman" w:hAnsi="Times New Roman" w:cs="Times New Roman"/>
          <w:iCs/>
          <w:color w:val="0D0D0D" w:themeColor="text1" w:themeTint="F2"/>
          <w:sz w:val="24"/>
          <w:szCs w:val="24"/>
          <w:lang w:val="ro-RO"/>
        </w:rPr>
        <w:t>mil. lei</w:t>
      </w:r>
      <w:r w:rsidR="00A05427">
        <w:rPr>
          <w:rStyle w:val="a5"/>
          <w:rFonts w:ascii="Times New Roman" w:hAnsi="Times New Roman" w:cs="Times New Roman"/>
          <w:iCs/>
          <w:color w:val="0D0D0D" w:themeColor="text1" w:themeTint="F2"/>
          <w:sz w:val="24"/>
          <w:szCs w:val="24"/>
          <w:lang w:val="ro-RO"/>
        </w:rPr>
        <w:footnoteReference w:id="99"/>
      </w:r>
      <w:r w:rsidRPr="002105DA">
        <w:rPr>
          <w:rFonts w:ascii="Times New Roman" w:hAnsi="Times New Roman" w:cs="Times New Roman"/>
          <w:iCs/>
          <w:color w:val="0D0D0D" w:themeColor="text1" w:themeTint="F2"/>
          <w:sz w:val="24"/>
          <w:szCs w:val="24"/>
          <w:lang w:val="ro-RO"/>
        </w:rPr>
        <w:t>, transmis în gestiune economică la trei I</w:t>
      </w:r>
      <w:r w:rsidR="003264FB">
        <w:rPr>
          <w:rFonts w:ascii="Times New Roman" w:hAnsi="Times New Roman" w:cs="Times New Roman"/>
          <w:iCs/>
          <w:color w:val="0D0D0D" w:themeColor="text1" w:themeTint="F2"/>
          <w:sz w:val="24"/>
          <w:szCs w:val="24"/>
          <w:lang w:val="ro-RO"/>
        </w:rPr>
        <w:t>.</w:t>
      </w:r>
      <w:r w:rsidRPr="002105DA">
        <w:rPr>
          <w:rFonts w:ascii="Times New Roman" w:hAnsi="Times New Roman" w:cs="Times New Roman"/>
          <w:iCs/>
          <w:color w:val="0D0D0D" w:themeColor="text1" w:themeTint="F2"/>
          <w:sz w:val="24"/>
          <w:szCs w:val="24"/>
          <w:lang w:val="ro-RO"/>
        </w:rPr>
        <w:t>P</w:t>
      </w:r>
      <w:r w:rsidR="003264FB">
        <w:rPr>
          <w:rFonts w:ascii="Times New Roman" w:hAnsi="Times New Roman" w:cs="Times New Roman"/>
          <w:iCs/>
          <w:color w:val="0D0D0D" w:themeColor="text1" w:themeTint="F2"/>
          <w:sz w:val="24"/>
          <w:szCs w:val="24"/>
          <w:lang w:val="ro-RO"/>
        </w:rPr>
        <w:t>.</w:t>
      </w:r>
      <w:r w:rsidRPr="002105DA">
        <w:rPr>
          <w:rFonts w:ascii="Times New Roman" w:hAnsi="Times New Roman" w:cs="Times New Roman"/>
          <w:iCs/>
          <w:color w:val="0D0D0D" w:themeColor="text1" w:themeTint="F2"/>
          <w:sz w:val="24"/>
          <w:szCs w:val="24"/>
          <w:lang w:val="ro-RO"/>
        </w:rPr>
        <w:t xml:space="preserve"> fondate</w:t>
      </w:r>
      <w:r w:rsidR="00B21B8A">
        <w:rPr>
          <w:rFonts w:ascii="Times New Roman" w:hAnsi="Times New Roman" w:cs="Times New Roman"/>
          <w:iCs/>
          <w:color w:val="0D0D0D" w:themeColor="text1" w:themeTint="F2"/>
          <w:sz w:val="24"/>
          <w:szCs w:val="24"/>
          <w:lang w:val="ro-RO"/>
        </w:rPr>
        <w:t>, reflectat în conturile de pasiv al acestor entități</w:t>
      </w:r>
      <w:r w:rsidRPr="002105DA">
        <w:rPr>
          <w:rFonts w:ascii="Times New Roman" w:hAnsi="Times New Roman" w:cs="Times New Roman"/>
          <w:iCs/>
          <w:color w:val="0D0D0D" w:themeColor="text1" w:themeTint="F2"/>
          <w:sz w:val="24"/>
          <w:szCs w:val="24"/>
          <w:lang w:val="ro-RO"/>
        </w:rPr>
        <w:t>. Astfel</w:t>
      </w:r>
      <w:r w:rsidRPr="00534129">
        <w:rPr>
          <w:rFonts w:ascii="Times New Roman" w:hAnsi="Times New Roman" w:cs="Times New Roman"/>
          <w:iCs/>
          <w:color w:val="0D0D0D" w:themeColor="text1" w:themeTint="F2"/>
          <w:sz w:val="24"/>
          <w:szCs w:val="24"/>
          <w:lang w:val="ro-RO"/>
        </w:rPr>
        <w:t>, la sit</w:t>
      </w:r>
      <w:r w:rsidR="003264FB">
        <w:rPr>
          <w:rFonts w:ascii="Times New Roman" w:hAnsi="Times New Roman" w:cs="Times New Roman"/>
          <w:iCs/>
          <w:color w:val="0D0D0D" w:themeColor="text1" w:themeTint="F2"/>
          <w:sz w:val="24"/>
          <w:szCs w:val="24"/>
          <w:lang w:val="ro-RO"/>
        </w:rPr>
        <w:t>uația din 31.12. 2022, se atesta</w:t>
      </w:r>
      <w:r w:rsidRPr="00534129">
        <w:rPr>
          <w:rFonts w:ascii="Times New Roman" w:hAnsi="Times New Roman" w:cs="Times New Roman"/>
          <w:iCs/>
          <w:color w:val="0D0D0D" w:themeColor="text1" w:themeTint="F2"/>
          <w:sz w:val="24"/>
          <w:szCs w:val="24"/>
          <w:lang w:val="ro-RO"/>
        </w:rPr>
        <w:t xml:space="preserve"> lipsa luării </w:t>
      </w:r>
      <w:r w:rsidRPr="000F3BC6">
        <w:rPr>
          <w:rFonts w:ascii="Times New Roman" w:hAnsi="Times New Roman" w:cs="Times New Roman"/>
          <w:iCs/>
          <w:color w:val="0D0D0D" w:themeColor="text1" w:themeTint="F2"/>
          <w:sz w:val="24"/>
          <w:szCs w:val="24"/>
          <w:lang w:val="ro-RO"/>
        </w:rPr>
        <w:t>în evidență a următoarelor valori, inclusiv: I.P. „STISC” – 78,2 mil. lei</w:t>
      </w:r>
      <w:r w:rsidRPr="00A05427">
        <w:rPr>
          <w:rStyle w:val="a5"/>
          <w:rFonts w:ascii="Times New Roman" w:hAnsi="Times New Roman" w:cs="Times New Roman"/>
          <w:iCs/>
          <w:sz w:val="24"/>
          <w:szCs w:val="24"/>
          <w:lang w:val="ro-RO"/>
        </w:rPr>
        <w:footnoteReference w:id="100"/>
      </w:r>
      <w:r w:rsidR="00A22258" w:rsidRPr="00A05427">
        <w:rPr>
          <w:rFonts w:ascii="Times New Roman" w:hAnsi="Times New Roman" w:cs="Times New Roman"/>
          <w:iCs/>
          <w:sz w:val="24"/>
          <w:szCs w:val="24"/>
          <w:lang w:val="ro-RO"/>
        </w:rPr>
        <w:t>,</w:t>
      </w:r>
      <w:r w:rsidR="003264FB">
        <w:rPr>
          <w:rFonts w:ascii="Times New Roman" w:hAnsi="Times New Roman" w:cs="Times New Roman"/>
          <w:iCs/>
          <w:sz w:val="24"/>
          <w:szCs w:val="24"/>
          <w:lang w:val="ro-RO"/>
        </w:rPr>
        <w:t xml:space="preserve"> </w:t>
      </w:r>
      <w:r w:rsidRPr="00A05427">
        <w:rPr>
          <w:rFonts w:ascii="Times New Roman" w:hAnsi="Times New Roman" w:cs="Times New Roman"/>
          <w:iCs/>
          <w:sz w:val="24"/>
          <w:szCs w:val="24"/>
          <w:lang w:val="ro-RO"/>
        </w:rPr>
        <w:t xml:space="preserve">I.P. „ASP” – </w:t>
      </w:r>
      <w:r w:rsidR="005A2F47" w:rsidRPr="00A05427">
        <w:rPr>
          <w:rFonts w:ascii="Times New Roman" w:hAnsi="Times New Roman" w:cs="Times New Roman"/>
          <w:iCs/>
          <w:sz w:val="24"/>
          <w:szCs w:val="24"/>
          <w:lang w:val="ro-RO"/>
        </w:rPr>
        <w:t>4,2</w:t>
      </w:r>
      <w:r w:rsidRPr="00A05427">
        <w:rPr>
          <w:rFonts w:ascii="Times New Roman" w:hAnsi="Times New Roman" w:cs="Times New Roman"/>
          <w:iCs/>
          <w:sz w:val="24"/>
          <w:szCs w:val="24"/>
          <w:lang w:val="ro-RO"/>
        </w:rPr>
        <w:t xml:space="preserve"> mil. lei</w:t>
      </w:r>
      <w:r w:rsidRPr="00A05427">
        <w:rPr>
          <w:rStyle w:val="a5"/>
          <w:rFonts w:ascii="Times New Roman" w:hAnsi="Times New Roman" w:cs="Times New Roman"/>
          <w:iCs/>
          <w:sz w:val="24"/>
          <w:szCs w:val="24"/>
          <w:lang w:val="ro-RO"/>
        </w:rPr>
        <w:footnoteReference w:id="101"/>
      </w:r>
      <w:r w:rsidR="00B21B8A">
        <w:rPr>
          <w:rFonts w:ascii="Times New Roman" w:hAnsi="Times New Roman" w:cs="Times New Roman"/>
          <w:iCs/>
          <w:sz w:val="24"/>
          <w:szCs w:val="24"/>
          <w:lang w:val="ro-RO"/>
        </w:rPr>
        <w:t xml:space="preserve"> și </w:t>
      </w:r>
      <w:r w:rsidR="00117D9F">
        <w:rPr>
          <w:rFonts w:ascii="Times New Roman" w:hAnsi="Times New Roman" w:cs="Times New Roman"/>
          <w:iCs/>
          <w:color w:val="0D0D0D" w:themeColor="text1" w:themeTint="F2"/>
          <w:sz w:val="24"/>
          <w:szCs w:val="24"/>
          <w:lang w:val="ro-RO"/>
        </w:rPr>
        <w:t>I.P. AIS „Moldpres” – 0,3</w:t>
      </w:r>
      <w:r w:rsidR="00A22258" w:rsidRPr="003B329E">
        <w:rPr>
          <w:rFonts w:ascii="Times New Roman" w:hAnsi="Times New Roman" w:cs="Times New Roman"/>
          <w:iCs/>
          <w:color w:val="0D0D0D" w:themeColor="text1" w:themeTint="F2"/>
          <w:sz w:val="24"/>
          <w:szCs w:val="24"/>
          <w:lang w:val="ro-RO"/>
        </w:rPr>
        <w:t xml:space="preserve"> mil. lei.</w:t>
      </w:r>
      <w:r w:rsidRPr="002105DA">
        <w:rPr>
          <w:rFonts w:ascii="Times New Roman" w:hAnsi="Times New Roman" w:cs="Times New Roman"/>
          <w:iCs/>
          <w:color w:val="0D0D0D" w:themeColor="text1" w:themeTint="F2"/>
          <w:sz w:val="24"/>
          <w:szCs w:val="24"/>
          <w:lang w:val="ro-RO"/>
        </w:rPr>
        <w:t xml:space="preserve"> Informați</w:t>
      </w:r>
      <w:r>
        <w:rPr>
          <w:rFonts w:ascii="Times New Roman" w:hAnsi="Times New Roman" w:cs="Times New Roman"/>
          <w:iCs/>
          <w:color w:val="0D0D0D" w:themeColor="text1" w:themeTint="F2"/>
          <w:sz w:val="24"/>
          <w:szCs w:val="24"/>
          <w:lang w:val="ro-RO"/>
        </w:rPr>
        <w:t>ile</w:t>
      </w:r>
      <w:r w:rsidRPr="002105DA">
        <w:rPr>
          <w:rFonts w:ascii="Times New Roman" w:hAnsi="Times New Roman" w:cs="Times New Roman"/>
          <w:iCs/>
          <w:color w:val="0D0D0D" w:themeColor="text1" w:themeTint="F2"/>
          <w:sz w:val="24"/>
          <w:szCs w:val="24"/>
          <w:lang w:val="ro-RO"/>
        </w:rPr>
        <w:t xml:space="preserve"> privind patrimoniu</w:t>
      </w:r>
      <w:r>
        <w:rPr>
          <w:rFonts w:ascii="Times New Roman" w:hAnsi="Times New Roman" w:cs="Times New Roman"/>
          <w:iCs/>
          <w:color w:val="0D0D0D" w:themeColor="text1" w:themeTint="F2"/>
          <w:sz w:val="24"/>
          <w:szCs w:val="24"/>
          <w:lang w:val="ro-RO"/>
        </w:rPr>
        <w:t>l</w:t>
      </w:r>
      <w:r w:rsidRPr="002105DA">
        <w:rPr>
          <w:rFonts w:ascii="Times New Roman" w:hAnsi="Times New Roman" w:cs="Times New Roman"/>
          <w:iCs/>
          <w:color w:val="0D0D0D" w:themeColor="text1" w:themeTint="F2"/>
          <w:sz w:val="24"/>
          <w:szCs w:val="24"/>
          <w:lang w:val="ro-RO"/>
        </w:rPr>
        <w:t xml:space="preserve"> public transmis în gestiune economică I</w:t>
      </w:r>
      <w:r w:rsidR="003264FB">
        <w:rPr>
          <w:rFonts w:ascii="Times New Roman" w:hAnsi="Times New Roman" w:cs="Times New Roman"/>
          <w:iCs/>
          <w:color w:val="0D0D0D" w:themeColor="text1" w:themeTint="F2"/>
          <w:sz w:val="24"/>
          <w:szCs w:val="24"/>
          <w:lang w:val="ro-RO"/>
        </w:rPr>
        <w:t>.</w:t>
      </w:r>
      <w:r w:rsidRPr="002105DA">
        <w:rPr>
          <w:rFonts w:ascii="Times New Roman" w:hAnsi="Times New Roman" w:cs="Times New Roman"/>
          <w:iCs/>
          <w:color w:val="0D0D0D" w:themeColor="text1" w:themeTint="F2"/>
          <w:sz w:val="24"/>
          <w:szCs w:val="24"/>
          <w:lang w:val="ro-RO"/>
        </w:rPr>
        <w:t>P</w:t>
      </w:r>
      <w:r w:rsidR="003264FB">
        <w:rPr>
          <w:rFonts w:ascii="Times New Roman" w:hAnsi="Times New Roman" w:cs="Times New Roman"/>
          <w:iCs/>
          <w:color w:val="0D0D0D" w:themeColor="text1" w:themeTint="F2"/>
          <w:sz w:val="24"/>
          <w:szCs w:val="24"/>
          <w:lang w:val="ro-RO"/>
        </w:rPr>
        <w:t>.</w:t>
      </w:r>
      <w:r w:rsidRPr="002105DA">
        <w:rPr>
          <w:rFonts w:ascii="Times New Roman" w:hAnsi="Times New Roman" w:cs="Times New Roman"/>
          <w:iCs/>
          <w:color w:val="0D0D0D" w:themeColor="text1" w:themeTint="F2"/>
          <w:sz w:val="24"/>
          <w:szCs w:val="24"/>
          <w:lang w:val="ro-RO"/>
        </w:rPr>
        <w:t xml:space="preserve"> fondate de CS și calculele </w:t>
      </w:r>
      <w:r w:rsidRPr="00C25376">
        <w:rPr>
          <w:rFonts w:ascii="Times New Roman" w:hAnsi="Times New Roman" w:cs="Times New Roman"/>
          <w:iCs/>
          <w:color w:val="0D0D0D" w:themeColor="text1" w:themeTint="F2"/>
          <w:sz w:val="24"/>
          <w:szCs w:val="24"/>
          <w:lang w:val="ro-RO"/>
        </w:rPr>
        <w:t xml:space="preserve">de audit se prezintă în tabelul din </w:t>
      </w:r>
      <w:r w:rsidRPr="006F2FD7">
        <w:rPr>
          <w:rFonts w:ascii="Times New Roman" w:hAnsi="Times New Roman" w:cs="Times New Roman"/>
          <w:i/>
          <w:iCs/>
          <w:color w:val="0D0D0D" w:themeColor="text1" w:themeTint="F2"/>
          <w:sz w:val="24"/>
          <w:szCs w:val="24"/>
          <w:lang w:val="ro-RO"/>
        </w:rPr>
        <w:t>Anexa nr. 8 la prezentul Raport de audit;</w:t>
      </w:r>
      <w:r w:rsidR="00BA69A9">
        <w:rPr>
          <w:rFonts w:ascii="Times New Roman" w:hAnsi="Times New Roman" w:cs="Times New Roman"/>
          <w:iCs/>
          <w:color w:val="0D0D0D" w:themeColor="text1" w:themeTint="F2"/>
          <w:sz w:val="24"/>
          <w:szCs w:val="24"/>
          <w:lang w:val="ro-RO"/>
        </w:rPr>
        <w:t xml:space="preserve">  </w:t>
      </w:r>
    </w:p>
    <w:p w14:paraId="2AD065AB" w14:textId="3E3501C4" w:rsidR="00210CD1" w:rsidRDefault="003264FB" w:rsidP="00210CD1">
      <w:pPr>
        <w:pStyle w:val="a7"/>
        <w:numPr>
          <w:ilvl w:val="0"/>
          <w:numId w:val="11"/>
        </w:numPr>
        <w:tabs>
          <w:tab w:val="left" w:pos="426"/>
        </w:tabs>
        <w:spacing w:after="120" w:line="276" w:lineRule="auto"/>
        <w:ind w:left="0" w:firstLine="0"/>
        <w:contextualSpacing w:val="0"/>
        <w:jc w:val="both"/>
        <w:rPr>
          <w:rFonts w:ascii="Times New Roman" w:hAnsi="Times New Roman" w:cs="Times New Roman"/>
          <w:iCs/>
          <w:color w:val="0D0D0D" w:themeColor="text1" w:themeTint="F2"/>
          <w:sz w:val="24"/>
          <w:szCs w:val="24"/>
          <w:lang w:val="ro-RO"/>
        </w:rPr>
      </w:pPr>
      <w:r>
        <w:rPr>
          <w:rFonts w:ascii="Times New Roman" w:hAnsi="Times New Roman" w:cs="Times New Roman"/>
          <w:iCs/>
          <w:color w:val="0D0D0D" w:themeColor="text1" w:themeTint="F2"/>
          <w:sz w:val="24"/>
          <w:szCs w:val="24"/>
          <w:lang w:val="ro-RO"/>
        </w:rPr>
        <w:t xml:space="preserve"> d</w:t>
      </w:r>
      <w:r w:rsidR="00450503" w:rsidRPr="003B329E">
        <w:rPr>
          <w:rFonts w:ascii="Times New Roman" w:hAnsi="Times New Roman" w:cs="Times New Roman"/>
          <w:iCs/>
          <w:color w:val="0D0D0D" w:themeColor="text1" w:themeTint="F2"/>
          <w:sz w:val="24"/>
          <w:szCs w:val="24"/>
          <w:lang w:val="ro-RO"/>
        </w:rPr>
        <w:t>eși la sfârșitul anului 2022 în evidența contabilă a CS se atest</w:t>
      </w:r>
      <w:r w:rsidR="00450503">
        <w:rPr>
          <w:rFonts w:ascii="Times New Roman" w:hAnsi="Times New Roman" w:cs="Times New Roman"/>
          <w:iCs/>
          <w:color w:val="0D0D0D" w:themeColor="text1" w:themeTint="F2"/>
          <w:sz w:val="24"/>
          <w:szCs w:val="24"/>
          <w:lang w:val="ro-RO"/>
        </w:rPr>
        <w:t>a</w:t>
      </w:r>
      <w:r w:rsidR="00450503" w:rsidRPr="003B329E">
        <w:rPr>
          <w:rFonts w:ascii="Times New Roman" w:hAnsi="Times New Roman" w:cs="Times New Roman"/>
          <w:iCs/>
          <w:color w:val="0D0D0D" w:themeColor="text1" w:themeTint="F2"/>
          <w:sz w:val="24"/>
          <w:szCs w:val="24"/>
          <w:lang w:val="ro-RO"/>
        </w:rPr>
        <w:t xml:space="preserve"> luarea </w:t>
      </w:r>
      <w:r w:rsidR="00450503">
        <w:rPr>
          <w:rFonts w:ascii="Times New Roman" w:hAnsi="Times New Roman" w:cs="Times New Roman"/>
          <w:iCs/>
          <w:color w:val="0D0D0D" w:themeColor="text1" w:themeTint="F2"/>
          <w:sz w:val="24"/>
          <w:szCs w:val="24"/>
          <w:lang w:val="ro-RO"/>
        </w:rPr>
        <w:t>în</w:t>
      </w:r>
      <w:r w:rsidR="00450503" w:rsidRPr="003B329E">
        <w:rPr>
          <w:rFonts w:ascii="Times New Roman" w:hAnsi="Times New Roman" w:cs="Times New Roman"/>
          <w:iCs/>
          <w:color w:val="0D0D0D" w:themeColor="text1" w:themeTint="F2"/>
          <w:sz w:val="24"/>
          <w:szCs w:val="24"/>
          <w:lang w:val="ro-RO"/>
        </w:rPr>
        <w:t xml:space="preserve"> evidență în contul contabil 415310 a valorii patrimoniului public transmis</w:t>
      </w:r>
      <w:r w:rsidR="00BA69A9">
        <w:rPr>
          <w:rFonts w:ascii="Times New Roman" w:hAnsi="Times New Roman" w:cs="Times New Roman"/>
          <w:iCs/>
          <w:color w:val="0D0D0D" w:themeColor="text1" w:themeTint="F2"/>
          <w:sz w:val="24"/>
          <w:szCs w:val="24"/>
          <w:lang w:val="ro-RO"/>
        </w:rPr>
        <w:t xml:space="preserve"> </w:t>
      </w:r>
      <w:r w:rsidR="00450503" w:rsidRPr="003B329E">
        <w:rPr>
          <w:rFonts w:ascii="Times New Roman" w:hAnsi="Times New Roman" w:cs="Times New Roman"/>
          <w:iCs/>
          <w:color w:val="0D0D0D" w:themeColor="text1" w:themeTint="F2"/>
          <w:sz w:val="24"/>
          <w:szCs w:val="24"/>
          <w:lang w:val="ro-RO"/>
        </w:rPr>
        <w:t xml:space="preserve">I.P. </w:t>
      </w:r>
      <w:r w:rsidR="00450503">
        <w:rPr>
          <w:rFonts w:ascii="Times New Roman" w:hAnsi="Times New Roman" w:cs="Times New Roman"/>
          <w:iCs/>
          <w:color w:val="0D0D0D" w:themeColor="text1" w:themeTint="F2"/>
          <w:sz w:val="24"/>
          <w:szCs w:val="24"/>
          <w:lang w:val="ro-RO"/>
        </w:rPr>
        <w:t>„</w:t>
      </w:r>
      <w:r w:rsidR="00450503" w:rsidRPr="003B329E">
        <w:rPr>
          <w:rFonts w:ascii="Times New Roman" w:hAnsi="Times New Roman" w:cs="Times New Roman"/>
          <w:iCs/>
          <w:color w:val="0D0D0D" w:themeColor="text1" w:themeTint="F2"/>
          <w:sz w:val="24"/>
          <w:szCs w:val="24"/>
          <w:lang w:val="ro-RO"/>
        </w:rPr>
        <w:t>Pensiunea din Holercani” și I.P. „Palatul Republicii” în sumă de 230,4 mil. lei</w:t>
      </w:r>
      <w:r w:rsidR="00EA5EA7">
        <w:rPr>
          <w:rStyle w:val="a5"/>
          <w:rFonts w:ascii="Times New Roman" w:hAnsi="Times New Roman" w:cs="Times New Roman"/>
          <w:iCs/>
          <w:color w:val="0D0D0D" w:themeColor="text1" w:themeTint="F2"/>
          <w:sz w:val="24"/>
          <w:szCs w:val="24"/>
          <w:lang w:val="ro-RO"/>
        </w:rPr>
        <w:footnoteReference w:id="102"/>
      </w:r>
      <w:r w:rsidR="00450503" w:rsidRPr="003B329E">
        <w:rPr>
          <w:rFonts w:ascii="Times New Roman" w:hAnsi="Times New Roman" w:cs="Times New Roman"/>
          <w:iCs/>
          <w:color w:val="0D0D0D" w:themeColor="text1" w:themeTint="F2"/>
          <w:sz w:val="24"/>
          <w:szCs w:val="24"/>
          <w:lang w:val="ro-RO"/>
        </w:rPr>
        <w:t>, contrar prevederilor pct.3.4.21</w:t>
      </w:r>
      <w:r w:rsidR="00450503" w:rsidRPr="003B329E">
        <w:rPr>
          <w:rFonts w:ascii="Times New Roman" w:hAnsi="Times New Roman" w:cs="Times New Roman"/>
          <w:iCs/>
          <w:color w:val="0D0D0D" w:themeColor="text1" w:themeTint="F2"/>
          <w:sz w:val="24"/>
          <w:szCs w:val="24"/>
          <w:vertAlign w:val="superscript"/>
          <w:lang w:val="ro-RO"/>
        </w:rPr>
        <w:t xml:space="preserve">1 </w:t>
      </w:r>
      <w:r w:rsidR="00450503" w:rsidRPr="003B329E">
        <w:rPr>
          <w:rFonts w:ascii="Times New Roman" w:hAnsi="Times New Roman" w:cs="Times New Roman"/>
          <w:iCs/>
          <w:color w:val="0D0D0D" w:themeColor="text1" w:themeTint="F2"/>
          <w:sz w:val="24"/>
          <w:szCs w:val="24"/>
          <w:lang w:val="ro-RO"/>
        </w:rPr>
        <w:t xml:space="preserve">, autoritatea publică nu a asigurat contabilizarea separată </w:t>
      </w:r>
      <w:r w:rsidR="00450503" w:rsidRPr="003B329E">
        <w:rPr>
          <w:rFonts w:ascii="Times New Roman" w:hAnsi="Times New Roman" w:cs="Times New Roman"/>
          <w:i/>
          <w:iCs/>
          <w:color w:val="0D0D0D" w:themeColor="text1" w:themeTint="F2"/>
          <w:sz w:val="24"/>
          <w:szCs w:val="24"/>
          <w:lang w:val="ro-RO"/>
        </w:rPr>
        <w:t>la nivel analitic</w:t>
      </w:r>
      <w:r w:rsidR="00450503" w:rsidRPr="003B329E">
        <w:rPr>
          <w:rFonts w:ascii="Times New Roman" w:hAnsi="Times New Roman" w:cs="Times New Roman"/>
          <w:iCs/>
          <w:color w:val="0D0D0D" w:themeColor="text1" w:themeTint="F2"/>
          <w:sz w:val="24"/>
          <w:szCs w:val="24"/>
          <w:lang w:val="ro-RO"/>
        </w:rPr>
        <w:t xml:space="preserve"> a te</w:t>
      </w:r>
      <w:r w:rsidR="00450503">
        <w:rPr>
          <w:rFonts w:ascii="Times New Roman" w:hAnsi="Times New Roman" w:cs="Times New Roman"/>
          <w:iCs/>
          <w:color w:val="0D0D0D" w:themeColor="text1" w:themeTint="F2"/>
          <w:sz w:val="24"/>
          <w:szCs w:val="24"/>
          <w:lang w:val="ro-RO"/>
        </w:rPr>
        <w:t>renurilor, clădirilor</w:t>
      </w:r>
      <w:r w:rsidR="00912FFF">
        <w:rPr>
          <w:rFonts w:ascii="Times New Roman" w:hAnsi="Times New Roman" w:cs="Times New Roman"/>
          <w:iCs/>
          <w:color w:val="0D0D0D" w:themeColor="text1" w:themeTint="F2"/>
          <w:sz w:val="24"/>
          <w:szCs w:val="24"/>
          <w:lang w:val="ro-RO"/>
        </w:rPr>
        <w:t xml:space="preserve"> și</w:t>
      </w:r>
      <w:r w:rsidR="00450503" w:rsidRPr="003B329E">
        <w:rPr>
          <w:rFonts w:ascii="Times New Roman" w:hAnsi="Times New Roman" w:cs="Times New Roman"/>
          <w:iCs/>
          <w:color w:val="0D0D0D" w:themeColor="text1" w:themeTint="F2"/>
          <w:sz w:val="24"/>
          <w:szCs w:val="24"/>
          <w:lang w:val="ro-RO"/>
        </w:rPr>
        <w:t xml:space="preserve"> altor bunuri transmise în gestiune. Astfel, se necesită înregistrarea per</w:t>
      </w:r>
      <w:r w:rsidR="00450503">
        <w:rPr>
          <w:rFonts w:ascii="Times New Roman" w:hAnsi="Times New Roman" w:cs="Times New Roman"/>
          <w:iCs/>
          <w:color w:val="0D0D0D" w:themeColor="text1" w:themeTint="F2"/>
          <w:sz w:val="24"/>
          <w:szCs w:val="24"/>
          <w:lang w:val="ro-RO"/>
        </w:rPr>
        <w:t xml:space="preserve"> </w:t>
      </w:r>
      <w:r w:rsidR="00450503" w:rsidRPr="003B329E">
        <w:rPr>
          <w:rFonts w:ascii="Times New Roman" w:hAnsi="Times New Roman" w:cs="Times New Roman"/>
          <w:iCs/>
          <w:color w:val="0D0D0D" w:themeColor="text1" w:themeTint="F2"/>
          <w:sz w:val="24"/>
          <w:szCs w:val="24"/>
          <w:lang w:val="ro-RO"/>
        </w:rPr>
        <w:t xml:space="preserve">poziție a celor 8 terenuri, 21 </w:t>
      </w:r>
      <w:r w:rsidR="00450503">
        <w:rPr>
          <w:rFonts w:ascii="Times New Roman" w:hAnsi="Times New Roman" w:cs="Times New Roman"/>
          <w:iCs/>
          <w:color w:val="0D0D0D" w:themeColor="text1" w:themeTint="F2"/>
          <w:sz w:val="24"/>
          <w:szCs w:val="24"/>
          <w:lang w:val="ro-RO"/>
        </w:rPr>
        <w:t xml:space="preserve">de </w:t>
      </w:r>
      <w:r w:rsidR="00450503" w:rsidRPr="003B329E">
        <w:rPr>
          <w:rFonts w:ascii="Times New Roman" w:hAnsi="Times New Roman" w:cs="Times New Roman"/>
          <w:iCs/>
          <w:color w:val="0D0D0D" w:themeColor="text1" w:themeTint="F2"/>
          <w:sz w:val="24"/>
          <w:szCs w:val="24"/>
          <w:lang w:val="ro-RO"/>
        </w:rPr>
        <w:t>vile/căsuțe de odihnă, hotelul</w:t>
      </w:r>
      <w:r w:rsidR="00450503">
        <w:rPr>
          <w:rFonts w:ascii="Times New Roman" w:hAnsi="Times New Roman" w:cs="Times New Roman"/>
          <w:iCs/>
          <w:color w:val="0D0D0D" w:themeColor="text1" w:themeTint="F2"/>
          <w:sz w:val="24"/>
          <w:szCs w:val="24"/>
          <w:lang w:val="ro-RO"/>
        </w:rPr>
        <w:t>ui</w:t>
      </w:r>
      <w:r w:rsidR="00450503" w:rsidRPr="003B329E">
        <w:rPr>
          <w:rFonts w:ascii="Times New Roman" w:hAnsi="Times New Roman" w:cs="Times New Roman"/>
          <w:iCs/>
          <w:color w:val="0D0D0D" w:themeColor="text1" w:themeTint="F2"/>
          <w:sz w:val="24"/>
          <w:szCs w:val="24"/>
          <w:lang w:val="ro-RO"/>
        </w:rPr>
        <w:t>, clădiril</w:t>
      </w:r>
      <w:r w:rsidR="00450503">
        <w:rPr>
          <w:rFonts w:ascii="Times New Roman" w:hAnsi="Times New Roman" w:cs="Times New Roman"/>
          <w:iCs/>
          <w:color w:val="0D0D0D" w:themeColor="text1" w:themeTint="F2"/>
          <w:sz w:val="24"/>
          <w:szCs w:val="24"/>
          <w:lang w:val="ro-RO"/>
        </w:rPr>
        <w:t>or</w:t>
      </w:r>
      <w:r w:rsidR="00450503" w:rsidRPr="003B329E">
        <w:rPr>
          <w:rFonts w:ascii="Times New Roman" w:hAnsi="Times New Roman" w:cs="Times New Roman"/>
          <w:iCs/>
          <w:color w:val="0D0D0D" w:themeColor="text1" w:themeTint="F2"/>
          <w:sz w:val="24"/>
          <w:szCs w:val="24"/>
          <w:lang w:val="ro-RO"/>
        </w:rPr>
        <w:t xml:space="preserve"> blocului administrativ, alt</w:t>
      </w:r>
      <w:r w:rsidR="00450503">
        <w:rPr>
          <w:rFonts w:ascii="Times New Roman" w:hAnsi="Times New Roman" w:cs="Times New Roman"/>
          <w:iCs/>
          <w:color w:val="0D0D0D" w:themeColor="text1" w:themeTint="F2"/>
          <w:sz w:val="24"/>
          <w:szCs w:val="24"/>
          <w:lang w:val="ro-RO"/>
        </w:rPr>
        <w:t>or</w:t>
      </w:r>
      <w:r w:rsidR="00450503" w:rsidRPr="003B329E">
        <w:rPr>
          <w:rFonts w:ascii="Times New Roman" w:hAnsi="Times New Roman" w:cs="Times New Roman"/>
          <w:iCs/>
          <w:color w:val="0D0D0D" w:themeColor="text1" w:themeTint="F2"/>
          <w:sz w:val="24"/>
          <w:szCs w:val="24"/>
          <w:lang w:val="ro-RO"/>
        </w:rPr>
        <w:t xml:space="preserve"> bunuri transmise I.P. </w:t>
      </w:r>
      <w:r w:rsidR="00450503">
        <w:rPr>
          <w:rFonts w:ascii="Times New Roman" w:hAnsi="Times New Roman" w:cs="Times New Roman"/>
          <w:iCs/>
          <w:color w:val="0D0D0D" w:themeColor="text1" w:themeTint="F2"/>
          <w:sz w:val="24"/>
          <w:szCs w:val="24"/>
          <w:lang w:val="ro-RO"/>
        </w:rPr>
        <w:t>„</w:t>
      </w:r>
      <w:r w:rsidR="00450503" w:rsidRPr="003B329E">
        <w:rPr>
          <w:rFonts w:ascii="Times New Roman" w:hAnsi="Times New Roman" w:cs="Times New Roman"/>
          <w:iCs/>
          <w:color w:val="0D0D0D" w:themeColor="text1" w:themeTint="F2"/>
          <w:sz w:val="24"/>
          <w:szCs w:val="24"/>
          <w:lang w:val="ro-RO"/>
        </w:rPr>
        <w:t>Pensiunea din Holercani”, c</w:t>
      </w:r>
      <w:r w:rsidR="00450503">
        <w:rPr>
          <w:rFonts w:ascii="Times New Roman" w:hAnsi="Times New Roman" w:cs="Times New Roman"/>
          <w:iCs/>
          <w:color w:val="0D0D0D" w:themeColor="text1" w:themeTint="F2"/>
          <w:sz w:val="24"/>
          <w:szCs w:val="24"/>
          <w:lang w:val="ro-RO"/>
        </w:rPr>
        <w:t>â</w:t>
      </w:r>
      <w:r w:rsidR="00450503" w:rsidRPr="003B329E">
        <w:rPr>
          <w:rFonts w:ascii="Times New Roman" w:hAnsi="Times New Roman" w:cs="Times New Roman"/>
          <w:iCs/>
          <w:color w:val="0D0D0D" w:themeColor="text1" w:themeTint="F2"/>
          <w:sz w:val="24"/>
          <w:szCs w:val="24"/>
          <w:lang w:val="ro-RO"/>
        </w:rPr>
        <w:t>t și a celor 2 terenuri, 3 clădiri, alt</w:t>
      </w:r>
      <w:r w:rsidR="00450503">
        <w:rPr>
          <w:rFonts w:ascii="Times New Roman" w:hAnsi="Times New Roman" w:cs="Times New Roman"/>
          <w:iCs/>
          <w:color w:val="0D0D0D" w:themeColor="text1" w:themeTint="F2"/>
          <w:sz w:val="24"/>
          <w:szCs w:val="24"/>
          <w:lang w:val="ro-RO"/>
        </w:rPr>
        <w:t>or</w:t>
      </w:r>
      <w:r w:rsidR="00450503" w:rsidRPr="003B329E">
        <w:rPr>
          <w:rFonts w:ascii="Times New Roman" w:hAnsi="Times New Roman" w:cs="Times New Roman"/>
          <w:iCs/>
          <w:color w:val="0D0D0D" w:themeColor="text1" w:themeTint="F2"/>
          <w:sz w:val="24"/>
          <w:szCs w:val="24"/>
          <w:lang w:val="ro-RO"/>
        </w:rPr>
        <w:t xml:space="preserve"> bunuri gestionate de I</w:t>
      </w:r>
      <w:r w:rsidR="00450503">
        <w:rPr>
          <w:rFonts w:ascii="Times New Roman" w:hAnsi="Times New Roman" w:cs="Times New Roman"/>
          <w:iCs/>
          <w:color w:val="0D0D0D" w:themeColor="text1" w:themeTint="F2"/>
          <w:sz w:val="24"/>
          <w:szCs w:val="24"/>
          <w:lang w:val="ro-RO"/>
        </w:rPr>
        <w:t>.</w:t>
      </w:r>
      <w:r w:rsidR="00450503" w:rsidRPr="003B329E">
        <w:rPr>
          <w:rFonts w:ascii="Times New Roman" w:hAnsi="Times New Roman" w:cs="Times New Roman"/>
          <w:iCs/>
          <w:color w:val="0D0D0D" w:themeColor="text1" w:themeTint="F2"/>
          <w:sz w:val="24"/>
          <w:szCs w:val="24"/>
          <w:lang w:val="ro-RO"/>
        </w:rPr>
        <w:t>P</w:t>
      </w:r>
      <w:r w:rsidR="00450503">
        <w:rPr>
          <w:rFonts w:ascii="Times New Roman" w:hAnsi="Times New Roman" w:cs="Times New Roman"/>
          <w:iCs/>
          <w:color w:val="0D0D0D" w:themeColor="text1" w:themeTint="F2"/>
          <w:sz w:val="24"/>
          <w:szCs w:val="24"/>
          <w:lang w:val="ro-RO"/>
        </w:rPr>
        <w:t>.</w:t>
      </w:r>
      <w:r w:rsidR="00450503" w:rsidRPr="003B329E">
        <w:rPr>
          <w:rFonts w:ascii="Times New Roman" w:hAnsi="Times New Roman" w:cs="Times New Roman"/>
          <w:iCs/>
          <w:color w:val="0D0D0D" w:themeColor="text1" w:themeTint="F2"/>
          <w:sz w:val="24"/>
          <w:szCs w:val="24"/>
          <w:lang w:val="ro-RO"/>
        </w:rPr>
        <w:t xml:space="preserve"> „Palatul Republicii”.</w:t>
      </w:r>
      <w:r w:rsidR="00BA69A9">
        <w:rPr>
          <w:rFonts w:ascii="Times New Roman" w:hAnsi="Times New Roman" w:cs="Times New Roman"/>
          <w:iCs/>
          <w:color w:val="0D0D0D" w:themeColor="text1" w:themeTint="F2"/>
          <w:sz w:val="24"/>
          <w:szCs w:val="24"/>
          <w:lang w:val="ro-RO"/>
        </w:rPr>
        <w:t xml:space="preserve"> </w:t>
      </w:r>
    </w:p>
    <w:p w14:paraId="5A1B5F0F" w14:textId="0E13D890" w:rsidR="00450503" w:rsidRDefault="00450503" w:rsidP="00450503">
      <w:pPr>
        <w:pStyle w:val="a7"/>
        <w:tabs>
          <w:tab w:val="left" w:pos="426"/>
        </w:tabs>
        <w:spacing w:after="120" w:line="276" w:lineRule="auto"/>
        <w:ind w:left="0"/>
        <w:contextualSpacing w:val="0"/>
        <w:jc w:val="both"/>
        <w:rPr>
          <w:rFonts w:ascii="Times New Roman" w:hAnsi="Times New Roman" w:cs="Times New Roman"/>
          <w:iCs/>
          <w:color w:val="0D0D0D" w:themeColor="text1" w:themeTint="F2"/>
          <w:sz w:val="24"/>
          <w:szCs w:val="24"/>
          <w:lang w:val="ro-RO"/>
        </w:rPr>
      </w:pPr>
      <w:r w:rsidRPr="003B329E">
        <w:rPr>
          <w:rFonts w:ascii="Times New Roman" w:hAnsi="Times New Roman" w:cs="Times New Roman"/>
          <w:iCs/>
          <w:color w:val="0D0D0D" w:themeColor="text1" w:themeTint="F2"/>
          <w:sz w:val="24"/>
          <w:szCs w:val="24"/>
          <w:lang w:val="ro-RO"/>
        </w:rPr>
        <w:t>Un alt aspect neconform ține de lipsa statuării în politicile contabile atât a</w:t>
      </w:r>
      <w:r>
        <w:rPr>
          <w:rFonts w:ascii="Times New Roman" w:hAnsi="Times New Roman" w:cs="Times New Roman"/>
          <w:iCs/>
          <w:color w:val="0D0D0D" w:themeColor="text1" w:themeTint="F2"/>
          <w:sz w:val="24"/>
          <w:szCs w:val="24"/>
          <w:lang w:val="ro-RO"/>
        </w:rPr>
        <w:t>le</w:t>
      </w:r>
      <w:r w:rsidRPr="003B329E">
        <w:rPr>
          <w:rFonts w:ascii="Times New Roman" w:hAnsi="Times New Roman" w:cs="Times New Roman"/>
          <w:iCs/>
          <w:color w:val="0D0D0D" w:themeColor="text1" w:themeTint="F2"/>
          <w:sz w:val="24"/>
          <w:szCs w:val="24"/>
          <w:lang w:val="ro-RO"/>
        </w:rPr>
        <w:t xml:space="preserve"> CS</w:t>
      </w:r>
      <w:r>
        <w:rPr>
          <w:rFonts w:ascii="Times New Roman" w:hAnsi="Times New Roman" w:cs="Times New Roman"/>
          <w:iCs/>
          <w:color w:val="0D0D0D" w:themeColor="text1" w:themeTint="F2"/>
          <w:sz w:val="24"/>
          <w:szCs w:val="24"/>
          <w:lang w:val="ro-RO"/>
        </w:rPr>
        <w:t>,</w:t>
      </w:r>
      <w:r w:rsidRPr="003B329E">
        <w:rPr>
          <w:rFonts w:ascii="Times New Roman" w:hAnsi="Times New Roman" w:cs="Times New Roman"/>
          <w:iCs/>
          <w:color w:val="0D0D0D" w:themeColor="text1" w:themeTint="F2"/>
          <w:sz w:val="24"/>
          <w:szCs w:val="24"/>
          <w:lang w:val="ro-RO"/>
        </w:rPr>
        <w:t xml:space="preserve"> cât și </w:t>
      </w:r>
      <w:r>
        <w:rPr>
          <w:rFonts w:ascii="Times New Roman" w:hAnsi="Times New Roman" w:cs="Times New Roman"/>
          <w:iCs/>
          <w:color w:val="0D0D0D" w:themeColor="text1" w:themeTint="F2"/>
          <w:sz w:val="24"/>
          <w:szCs w:val="24"/>
          <w:lang w:val="ro-RO"/>
        </w:rPr>
        <w:t>ale</w:t>
      </w:r>
      <w:r w:rsidRPr="003B329E">
        <w:rPr>
          <w:rFonts w:ascii="Times New Roman" w:hAnsi="Times New Roman" w:cs="Times New Roman"/>
          <w:iCs/>
          <w:color w:val="0D0D0D" w:themeColor="text1" w:themeTint="F2"/>
          <w:sz w:val="24"/>
          <w:szCs w:val="24"/>
          <w:lang w:val="ro-RO"/>
        </w:rPr>
        <w:t xml:space="preserve"> un</w:t>
      </w:r>
      <w:r>
        <w:rPr>
          <w:rFonts w:ascii="Times New Roman" w:hAnsi="Times New Roman" w:cs="Times New Roman"/>
          <w:iCs/>
          <w:color w:val="0D0D0D" w:themeColor="text1" w:themeTint="F2"/>
          <w:sz w:val="24"/>
          <w:szCs w:val="24"/>
          <w:lang w:val="ro-RO"/>
        </w:rPr>
        <w:t>or</w:t>
      </w:r>
      <w:r w:rsidRPr="003B329E">
        <w:rPr>
          <w:rFonts w:ascii="Times New Roman" w:hAnsi="Times New Roman" w:cs="Times New Roman"/>
          <w:iCs/>
          <w:color w:val="0D0D0D" w:themeColor="text1" w:themeTint="F2"/>
          <w:sz w:val="24"/>
          <w:szCs w:val="24"/>
          <w:lang w:val="ro-RO"/>
        </w:rPr>
        <w:t xml:space="preserve"> I</w:t>
      </w:r>
      <w:r w:rsidR="003264FB">
        <w:rPr>
          <w:rFonts w:ascii="Times New Roman" w:hAnsi="Times New Roman" w:cs="Times New Roman"/>
          <w:iCs/>
          <w:color w:val="0D0D0D" w:themeColor="text1" w:themeTint="F2"/>
          <w:sz w:val="24"/>
          <w:szCs w:val="24"/>
          <w:lang w:val="ro-RO"/>
        </w:rPr>
        <w:t>.</w:t>
      </w:r>
      <w:r w:rsidRPr="003B329E">
        <w:rPr>
          <w:rFonts w:ascii="Times New Roman" w:hAnsi="Times New Roman" w:cs="Times New Roman"/>
          <w:iCs/>
          <w:color w:val="0D0D0D" w:themeColor="text1" w:themeTint="F2"/>
          <w:sz w:val="24"/>
          <w:szCs w:val="24"/>
          <w:lang w:val="ro-RO"/>
        </w:rPr>
        <w:t>P</w:t>
      </w:r>
      <w:r w:rsidR="003264FB">
        <w:rPr>
          <w:rFonts w:ascii="Times New Roman" w:hAnsi="Times New Roman" w:cs="Times New Roman"/>
          <w:iCs/>
          <w:color w:val="0D0D0D" w:themeColor="text1" w:themeTint="F2"/>
          <w:sz w:val="24"/>
          <w:szCs w:val="24"/>
          <w:lang w:val="ro-RO"/>
        </w:rPr>
        <w:t>.</w:t>
      </w:r>
      <w:r w:rsidRPr="003B329E">
        <w:rPr>
          <w:rFonts w:ascii="Times New Roman" w:hAnsi="Times New Roman" w:cs="Times New Roman"/>
          <w:iCs/>
          <w:color w:val="0D0D0D" w:themeColor="text1" w:themeTint="F2"/>
          <w:sz w:val="24"/>
          <w:szCs w:val="24"/>
          <w:lang w:val="ro-RO"/>
        </w:rPr>
        <w:t xml:space="preserve"> monitorizate a regulilor de evidență aferente contabilizării și gestionării patrimoniului </w:t>
      </w:r>
      <w:r w:rsidR="00024331">
        <w:rPr>
          <w:rFonts w:ascii="Times New Roman" w:hAnsi="Times New Roman" w:cs="Times New Roman"/>
          <w:iCs/>
          <w:color w:val="0D0D0D" w:themeColor="text1" w:themeTint="F2"/>
          <w:sz w:val="24"/>
          <w:szCs w:val="24"/>
          <w:lang w:val="ro-RO"/>
        </w:rPr>
        <w:t>de stat</w:t>
      </w:r>
      <w:r w:rsidRPr="003B329E">
        <w:rPr>
          <w:rFonts w:ascii="Times New Roman" w:hAnsi="Times New Roman" w:cs="Times New Roman"/>
          <w:iCs/>
          <w:color w:val="0D0D0D" w:themeColor="text1" w:themeTint="F2"/>
          <w:sz w:val="24"/>
          <w:szCs w:val="24"/>
          <w:lang w:val="ro-RO"/>
        </w:rPr>
        <w:t xml:space="preserve"> transmis entităților fondate în gestiune economică</w:t>
      </w:r>
      <w:r w:rsidR="00B21B8A">
        <w:rPr>
          <w:rFonts w:ascii="Times New Roman" w:hAnsi="Times New Roman" w:cs="Times New Roman"/>
          <w:iCs/>
          <w:color w:val="0D0D0D" w:themeColor="text1" w:themeTint="F2"/>
          <w:sz w:val="24"/>
          <w:szCs w:val="24"/>
          <w:lang w:val="ro-RO"/>
        </w:rPr>
        <w:t xml:space="preserve"> (contul 427)</w:t>
      </w:r>
      <w:r w:rsidRPr="003B329E">
        <w:rPr>
          <w:rFonts w:ascii="Times New Roman" w:hAnsi="Times New Roman" w:cs="Times New Roman"/>
          <w:iCs/>
          <w:color w:val="0D0D0D" w:themeColor="text1" w:themeTint="F2"/>
          <w:sz w:val="24"/>
          <w:szCs w:val="24"/>
          <w:lang w:val="ro-RO"/>
        </w:rPr>
        <w:t xml:space="preserve"> și în proprietate</w:t>
      </w:r>
      <w:r w:rsidR="00B21B8A">
        <w:rPr>
          <w:rFonts w:ascii="Times New Roman" w:hAnsi="Times New Roman" w:cs="Times New Roman"/>
          <w:iCs/>
          <w:color w:val="0D0D0D" w:themeColor="text1" w:themeTint="F2"/>
          <w:sz w:val="24"/>
          <w:szCs w:val="24"/>
          <w:lang w:val="ro-RO"/>
        </w:rPr>
        <w:t xml:space="preserve"> (contul 316)</w:t>
      </w:r>
      <w:r w:rsidRPr="003B329E">
        <w:rPr>
          <w:rFonts w:ascii="Times New Roman" w:hAnsi="Times New Roman" w:cs="Times New Roman"/>
          <w:iCs/>
          <w:color w:val="0D0D0D" w:themeColor="text1" w:themeTint="F2"/>
          <w:sz w:val="24"/>
          <w:szCs w:val="24"/>
          <w:lang w:val="ro-RO"/>
        </w:rPr>
        <w:t xml:space="preserve">. În consecință, analizele de audit relevă practici diferențiate/neuniforme </w:t>
      </w:r>
      <w:r w:rsidR="00B21B8A">
        <w:rPr>
          <w:rFonts w:ascii="Times New Roman" w:hAnsi="Times New Roman" w:cs="Times New Roman"/>
          <w:iCs/>
          <w:color w:val="0D0D0D" w:themeColor="text1" w:themeTint="F2"/>
          <w:sz w:val="24"/>
          <w:szCs w:val="24"/>
          <w:lang w:val="ro-RO"/>
        </w:rPr>
        <w:t xml:space="preserve">și neconforme </w:t>
      </w:r>
      <w:r w:rsidRPr="003B329E">
        <w:rPr>
          <w:rFonts w:ascii="Times New Roman" w:hAnsi="Times New Roman" w:cs="Times New Roman"/>
          <w:iCs/>
          <w:color w:val="0D0D0D" w:themeColor="text1" w:themeTint="F2"/>
          <w:sz w:val="24"/>
          <w:szCs w:val="24"/>
          <w:lang w:val="ro-RO"/>
        </w:rPr>
        <w:t>aplicate de I</w:t>
      </w:r>
      <w:r w:rsidR="003264FB">
        <w:rPr>
          <w:rFonts w:ascii="Times New Roman" w:hAnsi="Times New Roman" w:cs="Times New Roman"/>
          <w:iCs/>
          <w:color w:val="0D0D0D" w:themeColor="text1" w:themeTint="F2"/>
          <w:sz w:val="24"/>
          <w:szCs w:val="24"/>
          <w:lang w:val="ro-RO"/>
        </w:rPr>
        <w:t>.</w:t>
      </w:r>
      <w:r w:rsidRPr="003B329E">
        <w:rPr>
          <w:rFonts w:ascii="Times New Roman" w:hAnsi="Times New Roman" w:cs="Times New Roman"/>
          <w:iCs/>
          <w:color w:val="0D0D0D" w:themeColor="text1" w:themeTint="F2"/>
          <w:sz w:val="24"/>
          <w:szCs w:val="24"/>
          <w:lang w:val="ro-RO"/>
        </w:rPr>
        <w:t>P</w:t>
      </w:r>
      <w:r w:rsidR="003264FB">
        <w:rPr>
          <w:rFonts w:ascii="Times New Roman" w:hAnsi="Times New Roman" w:cs="Times New Roman"/>
          <w:iCs/>
          <w:color w:val="0D0D0D" w:themeColor="text1" w:themeTint="F2"/>
          <w:sz w:val="24"/>
          <w:szCs w:val="24"/>
          <w:lang w:val="ro-RO"/>
        </w:rPr>
        <w:t>.</w:t>
      </w:r>
      <w:r w:rsidRPr="003B329E">
        <w:rPr>
          <w:rFonts w:ascii="Times New Roman" w:hAnsi="Times New Roman" w:cs="Times New Roman"/>
          <w:iCs/>
          <w:color w:val="0D0D0D" w:themeColor="text1" w:themeTint="F2"/>
          <w:sz w:val="24"/>
          <w:szCs w:val="24"/>
          <w:lang w:val="ro-RO"/>
        </w:rPr>
        <w:t xml:space="preserve"> la acest aspect</w:t>
      </w:r>
      <w:r>
        <w:rPr>
          <w:rFonts w:ascii="Times New Roman" w:hAnsi="Times New Roman" w:cs="Times New Roman"/>
          <w:iCs/>
          <w:color w:val="0D0D0D" w:themeColor="text1" w:themeTint="F2"/>
          <w:sz w:val="24"/>
          <w:szCs w:val="24"/>
          <w:lang w:val="ro-RO"/>
        </w:rPr>
        <w:t>,</w:t>
      </w:r>
      <w:r w:rsidRPr="003B329E">
        <w:rPr>
          <w:rFonts w:ascii="Times New Roman" w:hAnsi="Times New Roman" w:cs="Times New Roman"/>
          <w:iCs/>
          <w:color w:val="0D0D0D" w:themeColor="text1" w:themeTint="F2"/>
          <w:sz w:val="24"/>
          <w:szCs w:val="24"/>
          <w:lang w:val="ro-RO"/>
        </w:rPr>
        <w:t xml:space="preserve"> și anume</w:t>
      </w:r>
      <w:r>
        <w:rPr>
          <w:rFonts w:ascii="Times New Roman" w:hAnsi="Times New Roman" w:cs="Times New Roman"/>
          <w:iCs/>
          <w:color w:val="0D0D0D" w:themeColor="text1" w:themeTint="F2"/>
          <w:sz w:val="24"/>
          <w:szCs w:val="24"/>
          <w:lang w:val="ro-RO"/>
        </w:rPr>
        <w:t>:</w:t>
      </w:r>
      <w:r w:rsidRPr="003B329E">
        <w:rPr>
          <w:rFonts w:ascii="Times New Roman" w:hAnsi="Times New Roman" w:cs="Times New Roman"/>
          <w:iCs/>
          <w:color w:val="0D0D0D" w:themeColor="text1" w:themeTint="F2"/>
          <w:sz w:val="24"/>
          <w:szCs w:val="24"/>
          <w:lang w:val="ro-RO"/>
        </w:rPr>
        <w:t xml:space="preserve"> dacă I.P. „STISC”, I.P. „Pensiunea din Holercani</w:t>
      </w:r>
      <w:r>
        <w:rPr>
          <w:rFonts w:ascii="Times New Roman" w:hAnsi="Times New Roman" w:cs="Times New Roman"/>
          <w:iCs/>
          <w:color w:val="0D0D0D" w:themeColor="text1" w:themeTint="F2"/>
          <w:sz w:val="24"/>
          <w:szCs w:val="24"/>
          <w:lang w:val="ro-RO"/>
        </w:rPr>
        <w:t>”,</w:t>
      </w:r>
      <w:r w:rsidRPr="003B329E">
        <w:rPr>
          <w:rFonts w:ascii="Times New Roman" w:hAnsi="Times New Roman" w:cs="Times New Roman"/>
          <w:iCs/>
          <w:color w:val="0D0D0D" w:themeColor="text1" w:themeTint="F2"/>
          <w:sz w:val="24"/>
          <w:szCs w:val="24"/>
          <w:lang w:val="ro-RO"/>
        </w:rPr>
        <w:t xml:space="preserve"> I.P. AIS „Moldpres” utilizează conturile 316 „Patrimoniul primit de la stat cu drept de proprietate”, atunci I.P. „Palatul Republicii”</w:t>
      </w:r>
      <w:r w:rsidRPr="003B329E">
        <w:rPr>
          <w:rStyle w:val="a5"/>
          <w:rFonts w:ascii="Times New Roman" w:hAnsi="Times New Roman" w:cs="Times New Roman"/>
          <w:iCs/>
          <w:color w:val="0D0D0D" w:themeColor="text1" w:themeTint="F2"/>
          <w:lang w:val="ro-RO"/>
        </w:rPr>
        <w:t xml:space="preserve"> </w:t>
      </w:r>
      <w:r w:rsidRPr="003B329E">
        <w:rPr>
          <w:rFonts w:ascii="Times New Roman" w:hAnsi="Times New Roman" w:cs="Times New Roman"/>
          <w:iCs/>
          <w:color w:val="0D0D0D" w:themeColor="text1" w:themeTint="F2"/>
          <w:sz w:val="24"/>
          <w:szCs w:val="24"/>
          <w:lang w:val="ro-RO"/>
        </w:rPr>
        <w:t xml:space="preserve">contul 311 „Capital social”, deși potrivit art. 245 din Codul </w:t>
      </w:r>
      <w:r>
        <w:rPr>
          <w:rFonts w:ascii="Times New Roman" w:hAnsi="Times New Roman" w:cs="Times New Roman"/>
          <w:iCs/>
          <w:color w:val="0D0D0D" w:themeColor="text1" w:themeTint="F2"/>
          <w:sz w:val="24"/>
          <w:szCs w:val="24"/>
          <w:lang w:val="ro-RO"/>
        </w:rPr>
        <w:t>c</w:t>
      </w:r>
      <w:r w:rsidRPr="003B329E">
        <w:rPr>
          <w:rFonts w:ascii="Times New Roman" w:hAnsi="Times New Roman" w:cs="Times New Roman"/>
          <w:iCs/>
          <w:color w:val="0D0D0D" w:themeColor="text1" w:themeTint="F2"/>
          <w:sz w:val="24"/>
          <w:szCs w:val="24"/>
          <w:lang w:val="ro-RO"/>
        </w:rPr>
        <w:t xml:space="preserve">ivil, doar societățile comerciale au constituit capital social, nu și instituțiile publice. </w:t>
      </w:r>
    </w:p>
    <w:tbl>
      <w:tblPr>
        <w:tblStyle w:val="a6"/>
        <w:tblW w:w="0" w:type="auto"/>
        <w:tblLook w:val="04A0" w:firstRow="1" w:lastRow="0" w:firstColumn="1" w:lastColumn="0" w:noHBand="0" w:noVBand="1"/>
      </w:tblPr>
      <w:tblGrid>
        <w:gridCol w:w="9344"/>
      </w:tblGrid>
      <w:tr w:rsidR="00210CD1" w:rsidRPr="003B329E" w14:paraId="0084EF2F" w14:textId="77777777" w:rsidTr="00471560">
        <w:tc>
          <w:tcPr>
            <w:tcW w:w="9634" w:type="dxa"/>
          </w:tcPr>
          <w:p w14:paraId="5322FE5C" w14:textId="42BB8917" w:rsidR="00210CD1" w:rsidRPr="00E55D86" w:rsidRDefault="003264FB" w:rsidP="006F2FD7">
            <w:pPr>
              <w:tabs>
                <w:tab w:val="left" w:pos="426"/>
              </w:tabs>
              <w:spacing w:after="120" w:line="276" w:lineRule="auto"/>
              <w:jc w:val="both"/>
              <w:rPr>
                <w:rFonts w:ascii="Times New Roman" w:hAnsi="Times New Roman" w:cs="Times New Roman"/>
                <w:iCs/>
                <w:color w:val="0D0D0D" w:themeColor="text1" w:themeTint="F2"/>
                <w:sz w:val="24"/>
                <w:szCs w:val="24"/>
                <w:highlight w:val="yellow"/>
              </w:rPr>
            </w:pPr>
            <w:r w:rsidRPr="003B329E">
              <w:rPr>
                <w:rFonts w:ascii="Times New Roman" w:hAnsi="Times New Roman" w:cs="Times New Roman"/>
                <w:iCs/>
                <w:color w:val="0D0D0D" w:themeColor="text1" w:themeTint="F2"/>
                <w:sz w:val="24"/>
                <w:szCs w:val="24"/>
                <w:lang w:val="ro-RO"/>
              </w:rPr>
              <w:t>Se ia act</w:t>
            </w:r>
            <w:r>
              <w:rPr>
                <w:rFonts w:ascii="Times New Roman" w:hAnsi="Times New Roman" w:cs="Times New Roman"/>
                <w:iCs/>
                <w:color w:val="0D0D0D" w:themeColor="text1" w:themeTint="F2"/>
                <w:sz w:val="24"/>
                <w:szCs w:val="24"/>
                <w:lang w:val="ro-RO"/>
              </w:rPr>
              <w:t xml:space="preserve"> că,</w:t>
            </w:r>
            <w:r w:rsidRPr="003B329E">
              <w:rPr>
                <w:rFonts w:ascii="Times New Roman" w:hAnsi="Times New Roman" w:cs="Times New Roman"/>
                <w:iCs/>
                <w:color w:val="0D0D0D" w:themeColor="text1" w:themeTint="F2"/>
                <w:sz w:val="24"/>
                <w:szCs w:val="24"/>
                <w:lang w:val="ro-RO"/>
              </w:rPr>
              <w:t xml:space="preserve"> </w:t>
            </w:r>
            <w:r>
              <w:rPr>
                <w:rFonts w:ascii="Times New Roman" w:hAnsi="Times New Roman" w:cs="Times New Roman"/>
                <w:iCs/>
                <w:color w:val="0D0D0D" w:themeColor="text1" w:themeTint="F2"/>
                <w:sz w:val="24"/>
                <w:szCs w:val="24"/>
                <w:lang w:val="ro-RO"/>
              </w:rPr>
              <w:t xml:space="preserve">în luna iunie 2023, CS a luat în evidență patrimoniul </w:t>
            </w:r>
            <w:r w:rsidRPr="003B329E">
              <w:rPr>
                <w:rFonts w:ascii="Times New Roman" w:hAnsi="Times New Roman" w:cs="Times New Roman"/>
                <w:iCs/>
                <w:color w:val="0D0D0D" w:themeColor="text1" w:themeTint="F2"/>
                <w:sz w:val="24"/>
                <w:szCs w:val="24"/>
                <w:lang w:val="ro-RO"/>
              </w:rPr>
              <w:t xml:space="preserve">I.P. „STISC” </w:t>
            </w:r>
            <w:r>
              <w:rPr>
                <w:rFonts w:ascii="Times New Roman" w:hAnsi="Times New Roman" w:cs="Times New Roman"/>
                <w:iCs/>
                <w:color w:val="0D0D0D" w:themeColor="text1" w:themeTint="F2"/>
                <w:sz w:val="24"/>
                <w:szCs w:val="24"/>
                <w:lang w:val="ro-RO"/>
              </w:rPr>
              <w:t>în sumă de</w:t>
            </w:r>
            <w:r w:rsidRPr="003B329E">
              <w:rPr>
                <w:rFonts w:ascii="Times New Roman" w:hAnsi="Times New Roman" w:cs="Times New Roman"/>
                <w:iCs/>
                <w:color w:val="0D0D0D" w:themeColor="text1" w:themeTint="F2"/>
                <w:sz w:val="24"/>
                <w:szCs w:val="24"/>
                <w:lang w:val="ro-RO"/>
              </w:rPr>
              <w:t xml:space="preserve"> 78,2 mil. lei</w:t>
            </w:r>
            <w:r w:rsidRPr="003B329E">
              <w:rPr>
                <w:rStyle w:val="a5"/>
                <w:rFonts w:ascii="Times New Roman" w:hAnsi="Times New Roman" w:cs="Times New Roman"/>
                <w:iCs/>
                <w:color w:val="0D0D0D" w:themeColor="text1" w:themeTint="F2"/>
                <w:lang w:val="ro-RO"/>
              </w:rPr>
              <w:footnoteReference w:id="103"/>
            </w:r>
            <w:r>
              <w:rPr>
                <w:rFonts w:ascii="Times New Roman" w:hAnsi="Times New Roman" w:cs="Times New Roman"/>
                <w:iCs/>
                <w:color w:val="0D0D0D" w:themeColor="text1" w:themeTint="F2"/>
                <w:sz w:val="24"/>
                <w:szCs w:val="24"/>
                <w:lang w:val="ro-RO"/>
              </w:rPr>
              <w:t>. Totodată, p</w:t>
            </w:r>
            <w:r w:rsidRPr="003B329E">
              <w:rPr>
                <w:rFonts w:ascii="Times New Roman" w:hAnsi="Times New Roman" w:cs="Times New Roman"/>
                <w:iCs/>
                <w:color w:val="0D0D0D" w:themeColor="text1" w:themeTint="F2"/>
                <w:sz w:val="24"/>
                <w:szCs w:val="24"/>
                <w:lang w:val="ro-RO"/>
              </w:rPr>
              <w:t xml:space="preserve">e parcursul auditului CS a inițiat </w:t>
            </w:r>
            <w:r>
              <w:rPr>
                <w:rFonts w:ascii="Times New Roman" w:hAnsi="Times New Roman" w:cs="Times New Roman"/>
                <w:iCs/>
                <w:color w:val="0D0D0D" w:themeColor="text1" w:themeTint="F2"/>
                <w:sz w:val="24"/>
                <w:szCs w:val="24"/>
                <w:lang w:val="ro-RO"/>
              </w:rPr>
              <w:t xml:space="preserve">procesul </w:t>
            </w:r>
            <w:r w:rsidRPr="003B329E">
              <w:rPr>
                <w:rFonts w:ascii="Times New Roman" w:hAnsi="Times New Roman" w:cs="Times New Roman"/>
                <w:iCs/>
                <w:color w:val="0D0D0D" w:themeColor="text1" w:themeTint="F2"/>
                <w:sz w:val="24"/>
                <w:szCs w:val="24"/>
                <w:lang w:val="ro-RO"/>
              </w:rPr>
              <w:t xml:space="preserve">de luare </w:t>
            </w:r>
            <w:r>
              <w:rPr>
                <w:rFonts w:ascii="Times New Roman" w:hAnsi="Times New Roman" w:cs="Times New Roman"/>
                <w:iCs/>
                <w:color w:val="0D0D0D" w:themeColor="text1" w:themeTint="F2"/>
                <w:sz w:val="24"/>
                <w:szCs w:val="24"/>
                <w:lang w:val="ro-RO"/>
              </w:rPr>
              <w:t>în</w:t>
            </w:r>
            <w:r w:rsidRPr="003B329E">
              <w:rPr>
                <w:rFonts w:ascii="Times New Roman" w:hAnsi="Times New Roman" w:cs="Times New Roman"/>
                <w:iCs/>
                <w:color w:val="0D0D0D" w:themeColor="text1" w:themeTint="F2"/>
                <w:sz w:val="24"/>
                <w:szCs w:val="24"/>
                <w:lang w:val="ro-RO"/>
              </w:rPr>
              <w:t xml:space="preserve"> evidență a patrimoniului </w:t>
            </w:r>
            <w:r w:rsidR="006F2FD7">
              <w:rPr>
                <w:rFonts w:ascii="Times New Roman" w:hAnsi="Times New Roman" w:cs="Times New Roman"/>
                <w:iCs/>
                <w:color w:val="0D0D0D" w:themeColor="text1" w:themeTint="F2"/>
                <w:sz w:val="24"/>
                <w:szCs w:val="24"/>
                <w:lang w:val="ro-RO"/>
              </w:rPr>
              <w:t>aflat</w:t>
            </w:r>
            <w:r w:rsidRPr="003B329E">
              <w:rPr>
                <w:rFonts w:ascii="Times New Roman" w:hAnsi="Times New Roman" w:cs="Times New Roman"/>
                <w:iCs/>
                <w:color w:val="0D0D0D" w:themeColor="text1" w:themeTint="F2"/>
                <w:sz w:val="24"/>
                <w:szCs w:val="24"/>
                <w:lang w:val="ro-RO"/>
              </w:rPr>
              <w:t xml:space="preserve"> în gestiune economică și </w:t>
            </w:r>
            <w:r>
              <w:rPr>
                <w:rFonts w:ascii="Times New Roman" w:hAnsi="Times New Roman" w:cs="Times New Roman"/>
                <w:iCs/>
                <w:color w:val="0D0D0D" w:themeColor="text1" w:themeTint="F2"/>
                <w:sz w:val="24"/>
                <w:szCs w:val="24"/>
                <w:lang w:val="ro-RO"/>
              </w:rPr>
              <w:t xml:space="preserve">în </w:t>
            </w:r>
            <w:r w:rsidRPr="003B329E">
              <w:rPr>
                <w:rFonts w:ascii="Times New Roman" w:hAnsi="Times New Roman" w:cs="Times New Roman"/>
                <w:iCs/>
                <w:color w:val="0D0D0D" w:themeColor="text1" w:themeTint="F2"/>
                <w:sz w:val="24"/>
                <w:szCs w:val="24"/>
                <w:lang w:val="ro-RO"/>
              </w:rPr>
              <w:t xml:space="preserve">proprietate </w:t>
            </w:r>
            <w:r w:rsidR="006F2FD7">
              <w:rPr>
                <w:rFonts w:ascii="Times New Roman" w:hAnsi="Times New Roman" w:cs="Times New Roman"/>
                <w:iCs/>
                <w:color w:val="0D0D0D" w:themeColor="text1" w:themeTint="F2"/>
                <w:sz w:val="24"/>
                <w:szCs w:val="24"/>
                <w:lang w:val="ro-RO"/>
              </w:rPr>
              <w:t xml:space="preserve">la </w:t>
            </w:r>
            <w:r>
              <w:rPr>
                <w:rFonts w:ascii="Times New Roman" w:hAnsi="Times New Roman" w:cs="Times New Roman"/>
                <w:iCs/>
                <w:color w:val="0D0D0D" w:themeColor="text1" w:themeTint="F2"/>
                <w:sz w:val="24"/>
                <w:szCs w:val="24"/>
                <w:lang w:val="ro-RO"/>
              </w:rPr>
              <w:t xml:space="preserve">I.P. </w:t>
            </w:r>
            <w:r w:rsidRPr="003B329E">
              <w:rPr>
                <w:rFonts w:ascii="Times New Roman" w:hAnsi="Times New Roman" w:cs="Times New Roman"/>
                <w:iCs/>
                <w:color w:val="0D0D0D" w:themeColor="text1" w:themeTint="F2"/>
                <w:sz w:val="24"/>
                <w:szCs w:val="24"/>
                <w:lang w:val="ro-RO"/>
              </w:rPr>
              <w:t>„ASP”.</w:t>
            </w:r>
            <w:r>
              <w:rPr>
                <w:rFonts w:ascii="Times New Roman" w:hAnsi="Times New Roman" w:cs="Times New Roman"/>
                <w:iCs/>
                <w:color w:val="0D0D0D" w:themeColor="text1" w:themeTint="F2"/>
                <w:sz w:val="24"/>
                <w:szCs w:val="24"/>
                <w:lang w:val="ro-RO"/>
              </w:rPr>
              <w:t xml:space="preserve"> </w:t>
            </w:r>
            <w:r w:rsidR="00210CD1" w:rsidRPr="000F6AA1">
              <w:rPr>
                <w:rFonts w:ascii="Times New Roman" w:hAnsi="Times New Roman" w:cs="Times New Roman"/>
                <w:iCs/>
                <w:color w:val="0D0D0D" w:themeColor="text1" w:themeTint="F2"/>
                <w:sz w:val="24"/>
                <w:szCs w:val="24"/>
                <w:lang w:val="ro-RO"/>
              </w:rPr>
              <w:t>La fel, și I.P. „Palatul Republicii” a asigurat efectuarea corectărilor în evidența contabilă, prin înregistrarea conformă a patrimoniului primit în gestiune.</w:t>
            </w:r>
          </w:p>
        </w:tc>
      </w:tr>
    </w:tbl>
    <w:p w14:paraId="63FC8F45" w14:textId="4C63B66A" w:rsidR="00A46CEE" w:rsidRDefault="00450503" w:rsidP="00210CD1">
      <w:pPr>
        <w:pStyle w:val="a7"/>
        <w:tabs>
          <w:tab w:val="left" w:pos="426"/>
        </w:tabs>
        <w:spacing w:before="240" w:after="120" w:line="276" w:lineRule="auto"/>
        <w:ind w:left="0"/>
        <w:contextualSpacing w:val="0"/>
        <w:jc w:val="both"/>
        <w:rPr>
          <w:rFonts w:ascii="Times New Roman" w:hAnsi="Times New Roman" w:cs="Times New Roman"/>
          <w:iCs/>
          <w:color w:val="0D0D0D" w:themeColor="text1" w:themeTint="F2"/>
          <w:sz w:val="24"/>
          <w:szCs w:val="24"/>
        </w:rPr>
      </w:pPr>
      <w:r w:rsidRPr="00D46062">
        <w:rPr>
          <w:rFonts w:ascii="Times New Roman" w:hAnsi="Times New Roman" w:cs="Times New Roman"/>
          <w:iCs/>
          <w:color w:val="0D0D0D" w:themeColor="text1" w:themeTint="F2"/>
          <w:sz w:val="24"/>
          <w:szCs w:val="24"/>
        </w:rPr>
        <w:t>Cu referire la situația constatată la ASP</w:t>
      </w:r>
      <w:r>
        <w:rPr>
          <w:rFonts w:ascii="Times New Roman" w:hAnsi="Times New Roman" w:cs="Times New Roman"/>
          <w:iCs/>
          <w:color w:val="0D0D0D" w:themeColor="text1" w:themeTint="F2"/>
          <w:sz w:val="24"/>
          <w:szCs w:val="24"/>
        </w:rPr>
        <w:t>,</w:t>
      </w:r>
      <w:r w:rsidRPr="00D46062">
        <w:rPr>
          <w:rFonts w:ascii="Times New Roman" w:hAnsi="Times New Roman" w:cs="Times New Roman"/>
          <w:iCs/>
          <w:color w:val="0D0D0D" w:themeColor="text1" w:themeTint="F2"/>
          <w:sz w:val="24"/>
          <w:szCs w:val="24"/>
        </w:rPr>
        <w:t xml:space="preserve"> se denotă neconformități privind înregistrarea în contul </w:t>
      </w:r>
      <w:r w:rsidRPr="00D46062">
        <w:rPr>
          <w:rFonts w:ascii="Times New Roman" w:hAnsi="Times New Roman" w:cs="Times New Roman"/>
          <w:iCs/>
          <w:sz w:val="24"/>
          <w:szCs w:val="24"/>
        </w:rPr>
        <w:t>314</w:t>
      </w:r>
      <w:r w:rsidRPr="00D46062">
        <w:rPr>
          <w:rFonts w:ascii="Times New Roman" w:hAnsi="Times New Roman" w:cs="Times New Roman"/>
          <w:iCs/>
          <w:color w:val="0D0D0D" w:themeColor="text1" w:themeTint="F2"/>
          <w:sz w:val="24"/>
          <w:szCs w:val="24"/>
        </w:rPr>
        <w:t xml:space="preserve"> „Capital neînregistrat” a capitalului social transmis ASP la momentul reorganizării și fuzionării a trei</w:t>
      </w:r>
      <w:r w:rsidRPr="00D46062">
        <w:rPr>
          <w:rStyle w:val="a5"/>
          <w:rFonts w:ascii="Times New Roman" w:hAnsi="Times New Roman" w:cs="Times New Roman"/>
          <w:iCs/>
          <w:color w:val="0D0D0D" w:themeColor="text1" w:themeTint="F2"/>
          <w:sz w:val="24"/>
          <w:szCs w:val="24"/>
        </w:rPr>
        <w:footnoteReference w:id="104"/>
      </w:r>
      <w:r w:rsidRPr="00D46062">
        <w:rPr>
          <w:rFonts w:ascii="Times New Roman" w:hAnsi="Times New Roman" w:cs="Times New Roman"/>
          <w:iCs/>
          <w:color w:val="0D0D0D" w:themeColor="text1" w:themeTint="F2"/>
          <w:sz w:val="24"/>
          <w:szCs w:val="24"/>
        </w:rPr>
        <w:t xml:space="preserve"> întreprinderi de stat, în valoare totală </w:t>
      </w:r>
      <w:r w:rsidRPr="00A05427">
        <w:rPr>
          <w:rFonts w:ascii="Times New Roman" w:hAnsi="Times New Roman" w:cs="Times New Roman"/>
          <w:iCs/>
          <w:sz w:val="24"/>
          <w:szCs w:val="24"/>
        </w:rPr>
        <w:t xml:space="preserve">de 102,8 </w:t>
      </w:r>
      <w:r w:rsidRPr="00D46062">
        <w:rPr>
          <w:rFonts w:ascii="Times New Roman" w:hAnsi="Times New Roman" w:cs="Times New Roman"/>
          <w:iCs/>
          <w:color w:val="0D0D0D" w:themeColor="text1" w:themeTint="F2"/>
          <w:sz w:val="24"/>
          <w:szCs w:val="24"/>
        </w:rPr>
        <w:t>mil. lei, or</w:t>
      </w:r>
      <w:r>
        <w:rPr>
          <w:rFonts w:ascii="Times New Roman" w:hAnsi="Times New Roman" w:cs="Times New Roman"/>
          <w:iCs/>
          <w:color w:val="0D0D0D" w:themeColor="text1" w:themeTint="F2"/>
          <w:sz w:val="24"/>
          <w:szCs w:val="24"/>
        </w:rPr>
        <w:t>,</w:t>
      </w:r>
      <w:r w:rsidRPr="00D46062">
        <w:rPr>
          <w:rFonts w:ascii="Times New Roman" w:hAnsi="Times New Roman" w:cs="Times New Roman"/>
          <w:iCs/>
          <w:color w:val="0D0D0D" w:themeColor="text1" w:themeTint="F2"/>
          <w:sz w:val="24"/>
          <w:szCs w:val="24"/>
        </w:rPr>
        <w:t xml:space="preserve"> potrivit cadrului normativ</w:t>
      </w:r>
      <w:r>
        <w:rPr>
          <w:rFonts w:ascii="Times New Roman" w:hAnsi="Times New Roman" w:cs="Times New Roman"/>
          <w:iCs/>
          <w:color w:val="0D0D0D" w:themeColor="text1" w:themeTint="F2"/>
          <w:sz w:val="24"/>
          <w:szCs w:val="24"/>
        </w:rPr>
        <w:t>,</w:t>
      </w:r>
      <w:r w:rsidRPr="00D46062">
        <w:rPr>
          <w:rFonts w:ascii="Times New Roman" w:hAnsi="Times New Roman" w:cs="Times New Roman"/>
          <w:iCs/>
          <w:color w:val="0D0D0D" w:themeColor="text1" w:themeTint="F2"/>
          <w:sz w:val="24"/>
          <w:szCs w:val="24"/>
        </w:rPr>
        <w:t xml:space="preserve"> valoarea acestui patrimoniu urmează a fi reflectată la</w:t>
      </w:r>
      <w:r>
        <w:rPr>
          <w:rFonts w:ascii="Times New Roman" w:hAnsi="Times New Roman" w:cs="Times New Roman"/>
          <w:iCs/>
          <w:color w:val="0D0D0D" w:themeColor="text1" w:themeTint="F2"/>
          <w:sz w:val="24"/>
          <w:szCs w:val="24"/>
        </w:rPr>
        <w:t xml:space="preserve"> un</w:t>
      </w:r>
      <w:r w:rsidRPr="00D46062">
        <w:rPr>
          <w:rFonts w:ascii="Times New Roman" w:hAnsi="Times New Roman" w:cs="Times New Roman"/>
          <w:iCs/>
          <w:color w:val="0D0D0D" w:themeColor="text1" w:themeTint="F2"/>
          <w:sz w:val="24"/>
          <w:szCs w:val="24"/>
        </w:rPr>
        <w:t xml:space="preserve"> alt cont contabil, fapt relatat în</w:t>
      </w:r>
      <w:r w:rsidR="006B0985">
        <w:rPr>
          <w:rFonts w:ascii="Times New Roman" w:hAnsi="Times New Roman" w:cs="Times New Roman"/>
          <w:iCs/>
          <w:color w:val="0D0D0D" w:themeColor="text1" w:themeTint="F2"/>
          <w:sz w:val="24"/>
          <w:szCs w:val="24"/>
        </w:rPr>
        <w:t>tr-o altă misiune de audit public extern</w:t>
      </w:r>
      <w:r w:rsidR="006B0985">
        <w:rPr>
          <w:rStyle w:val="a5"/>
          <w:rFonts w:ascii="Times New Roman" w:hAnsi="Times New Roman" w:cs="Times New Roman"/>
          <w:iCs/>
          <w:color w:val="0D0D0D" w:themeColor="text1" w:themeTint="F2"/>
          <w:sz w:val="24"/>
          <w:szCs w:val="24"/>
        </w:rPr>
        <w:footnoteReference w:id="105"/>
      </w:r>
      <w:r w:rsidRPr="00D46062">
        <w:rPr>
          <w:rFonts w:ascii="Times New Roman" w:hAnsi="Times New Roman" w:cs="Times New Roman"/>
          <w:iCs/>
          <w:color w:val="0D0D0D" w:themeColor="text1" w:themeTint="F2"/>
          <w:sz w:val="24"/>
          <w:szCs w:val="24"/>
        </w:rPr>
        <w:t>.</w:t>
      </w:r>
      <w:r>
        <w:rPr>
          <w:rFonts w:ascii="Times New Roman" w:hAnsi="Times New Roman" w:cs="Times New Roman"/>
          <w:iCs/>
          <w:color w:val="0D0D0D" w:themeColor="text1" w:themeTint="F2"/>
          <w:sz w:val="24"/>
          <w:szCs w:val="24"/>
        </w:rPr>
        <w:t xml:space="preserve"> </w:t>
      </w:r>
    </w:p>
    <w:p w14:paraId="671A9B63" w14:textId="0C28A8BC" w:rsidR="00450503" w:rsidRDefault="00450503" w:rsidP="00450503">
      <w:pPr>
        <w:pStyle w:val="a7"/>
        <w:tabs>
          <w:tab w:val="left" w:pos="426"/>
        </w:tabs>
        <w:spacing w:after="120" w:line="276" w:lineRule="auto"/>
        <w:ind w:left="0"/>
        <w:contextualSpacing w:val="0"/>
        <w:jc w:val="both"/>
        <w:rPr>
          <w:iCs/>
        </w:rPr>
      </w:pPr>
      <w:r w:rsidRPr="00D46062">
        <w:rPr>
          <w:rFonts w:ascii="Times New Roman" w:hAnsi="Times New Roman" w:cs="Times New Roman"/>
          <w:iCs/>
          <w:color w:val="0D0D0D" w:themeColor="text1" w:themeTint="F2"/>
          <w:sz w:val="24"/>
          <w:szCs w:val="24"/>
        </w:rPr>
        <w:t>La rândul său</w:t>
      </w:r>
      <w:r>
        <w:rPr>
          <w:rFonts w:ascii="Times New Roman" w:hAnsi="Times New Roman" w:cs="Times New Roman"/>
          <w:iCs/>
          <w:color w:val="0D0D0D" w:themeColor="text1" w:themeTint="F2"/>
          <w:sz w:val="24"/>
          <w:szCs w:val="24"/>
        </w:rPr>
        <w:t>,</w:t>
      </w:r>
      <w:r w:rsidRPr="00D46062">
        <w:rPr>
          <w:rFonts w:ascii="Times New Roman" w:hAnsi="Times New Roman" w:cs="Times New Roman"/>
          <w:iCs/>
          <w:color w:val="0D0D0D" w:themeColor="text1" w:themeTint="F2"/>
          <w:sz w:val="24"/>
          <w:szCs w:val="24"/>
        </w:rPr>
        <w:t xml:space="preserve"> deși unele terenuri primite în gestiune economică, în valoare de 4</w:t>
      </w:r>
      <w:r>
        <w:rPr>
          <w:rFonts w:ascii="Times New Roman" w:hAnsi="Times New Roman" w:cs="Times New Roman"/>
          <w:iCs/>
          <w:color w:val="0D0D0D" w:themeColor="text1" w:themeTint="F2"/>
          <w:sz w:val="24"/>
          <w:szCs w:val="24"/>
        </w:rPr>
        <w:t>.</w:t>
      </w:r>
      <w:r w:rsidRPr="00D46062">
        <w:rPr>
          <w:rFonts w:ascii="Times New Roman" w:hAnsi="Times New Roman" w:cs="Times New Roman"/>
          <w:iCs/>
          <w:color w:val="0D0D0D" w:themeColor="text1" w:themeTint="F2"/>
          <w:sz w:val="24"/>
          <w:szCs w:val="24"/>
        </w:rPr>
        <w:t>199,7 mii lei, s</w:t>
      </w:r>
      <w:r>
        <w:rPr>
          <w:rFonts w:ascii="Times New Roman" w:hAnsi="Times New Roman" w:cs="Times New Roman"/>
          <w:iCs/>
          <w:color w:val="0D0D0D" w:themeColor="text1" w:themeTint="F2"/>
          <w:sz w:val="24"/>
          <w:szCs w:val="24"/>
        </w:rPr>
        <w:t>u</w:t>
      </w:r>
      <w:r w:rsidRPr="00D46062">
        <w:rPr>
          <w:rFonts w:ascii="Times New Roman" w:hAnsi="Times New Roman" w:cs="Times New Roman"/>
          <w:iCs/>
          <w:color w:val="0D0D0D" w:themeColor="text1" w:themeTint="F2"/>
          <w:sz w:val="24"/>
          <w:szCs w:val="24"/>
        </w:rPr>
        <w:t xml:space="preserve">nt înregistrate conform de entitate la contul </w:t>
      </w:r>
      <w:r w:rsidR="003264FB" w:rsidRPr="00D46062">
        <w:rPr>
          <w:rFonts w:ascii="Times New Roman" w:hAnsi="Times New Roman" w:cs="Times New Roman"/>
          <w:iCs/>
          <w:color w:val="0D0D0D" w:themeColor="text1" w:themeTint="F2"/>
          <w:sz w:val="24"/>
          <w:szCs w:val="24"/>
        </w:rPr>
        <w:t>427 „Datorii pe termen lung privind bunurile primite în gestiune economică”, auditul relevă că lista este una incompletă întrucât în aceasta nu se re</w:t>
      </w:r>
      <w:r w:rsidR="003264FB">
        <w:rPr>
          <w:rFonts w:ascii="Times New Roman" w:hAnsi="Times New Roman" w:cs="Times New Roman"/>
          <w:iCs/>
          <w:color w:val="0D0D0D" w:themeColor="text1" w:themeTint="F2"/>
          <w:sz w:val="24"/>
          <w:szCs w:val="24"/>
        </w:rPr>
        <w:t>găsesc clădirile amplasate</w:t>
      </w:r>
      <w:r w:rsidR="003264FB" w:rsidRPr="00D46062">
        <w:rPr>
          <w:rFonts w:ascii="Times New Roman" w:hAnsi="Times New Roman" w:cs="Times New Roman"/>
          <w:iCs/>
          <w:color w:val="0D0D0D" w:themeColor="text1" w:themeTint="F2"/>
          <w:sz w:val="24"/>
          <w:szCs w:val="24"/>
        </w:rPr>
        <w:t xml:space="preserve"> pe loturile menționate și </w:t>
      </w:r>
      <w:r w:rsidR="006F2FD7">
        <w:rPr>
          <w:rFonts w:ascii="Times New Roman" w:hAnsi="Times New Roman" w:cs="Times New Roman"/>
          <w:iCs/>
          <w:color w:val="0D0D0D" w:themeColor="text1" w:themeTint="F2"/>
          <w:sz w:val="24"/>
          <w:szCs w:val="24"/>
        </w:rPr>
        <w:t>gestionate de către ASP</w:t>
      </w:r>
      <w:r w:rsidR="006B0985">
        <w:rPr>
          <w:rFonts w:ascii="Times New Roman" w:hAnsi="Times New Roman" w:cs="Times New Roman"/>
          <w:iCs/>
          <w:color w:val="0D0D0D" w:themeColor="text1" w:themeTint="F2"/>
          <w:sz w:val="24"/>
          <w:szCs w:val="24"/>
        </w:rPr>
        <w:t xml:space="preserve">, </w:t>
      </w:r>
      <w:r w:rsidR="0003536F">
        <w:rPr>
          <w:rFonts w:ascii="Times New Roman" w:hAnsi="Times New Roman" w:cs="Times New Roman"/>
          <w:iCs/>
          <w:color w:val="0D0D0D" w:themeColor="text1" w:themeTint="F2"/>
          <w:sz w:val="24"/>
          <w:szCs w:val="24"/>
        </w:rPr>
        <w:t xml:space="preserve">care reprezintă </w:t>
      </w:r>
      <w:r w:rsidR="006B0985">
        <w:rPr>
          <w:rFonts w:ascii="Times New Roman" w:hAnsi="Times New Roman" w:cs="Times New Roman"/>
          <w:iCs/>
          <w:color w:val="0D0D0D" w:themeColor="text1" w:themeTint="F2"/>
          <w:sz w:val="24"/>
          <w:szCs w:val="24"/>
        </w:rPr>
        <w:t>bunuri din domeniu public</w:t>
      </w:r>
      <w:r w:rsidR="0003536F">
        <w:rPr>
          <w:rFonts w:ascii="Times New Roman" w:hAnsi="Times New Roman" w:cs="Times New Roman"/>
          <w:iCs/>
          <w:color w:val="0D0D0D" w:themeColor="text1" w:themeTint="F2"/>
          <w:sz w:val="24"/>
          <w:szCs w:val="24"/>
        </w:rPr>
        <w:t xml:space="preserve"> a statului</w:t>
      </w:r>
      <w:r w:rsidR="003264FB" w:rsidRPr="00D46062">
        <w:rPr>
          <w:rFonts w:ascii="Times New Roman" w:hAnsi="Times New Roman" w:cs="Times New Roman"/>
          <w:iCs/>
          <w:color w:val="0D0D0D" w:themeColor="text1" w:themeTint="F2"/>
          <w:sz w:val="24"/>
          <w:szCs w:val="24"/>
        </w:rPr>
        <w:t xml:space="preserve">. </w:t>
      </w:r>
      <w:r w:rsidRPr="00D46062">
        <w:rPr>
          <w:rFonts w:ascii="Times New Roman" w:hAnsi="Times New Roman" w:cs="Times New Roman"/>
          <w:iCs/>
          <w:color w:val="0D0D0D" w:themeColor="text1" w:themeTint="F2"/>
          <w:sz w:val="24"/>
          <w:szCs w:val="24"/>
        </w:rPr>
        <w:t xml:space="preserve">Or, potrivit observațiilor de audit, doar pe eșantionul testat s-a constatat că nu se regăsesc imobilele situate pe terenurile luate </w:t>
      </w:r>
      <w:r>
        <w:rPr>
          <w:rFonts w:ascii="Times New Roman" w:hAnsi="Times New Roman" w:cs="Times New Roman"/>
          <w:iCs/>
          <w:color w:val="0D0D0D" w:themeColor="text1" w:themeTint="F2"/>
          <w:sz w:val="24"/>
          <w:szCs w:val="24"/>
        </w:rPr>
        <w:t>în</w:t>
      </w:r>
      <w:r w:rsidRPr="00D46062">
        <w:rPr>
          <w:rFonts w:ascii="Times New Roman" w:hAnsi="Times New Roman" w:cs="Times New Roman"/>
          <w:iCs/>
          <w:color w:val="0D0D0D" w:themeColor="text1" w:themeTint="F2"/>
          <w:sz w:val="24"/>
          <w:szCs w:val="24"/>
        </w:rPr>
        <w:t xml:space="preserve"> evidență din mun. Chișinău, str. </w:t>
      </w:r>
      <w:r>
        <w:rPr>
          <w:rFonts w:ascii="Times New Roman" w:hAnsi="Times New Roman" w:cs="Times New Roman"/>
          <w:iCs/>
          <w:color w:val="0D0D0D" w:themeColor="text1" w:themeTint="F2"/>
          <w:sz w:val="24"/>
          <w:szCs w:val="24"/>
        </w:rPr>
        <w:t xml:space="preserve">A. </w:t>
      </w:r>
      <w:r w:rsidRPr="00D46062">
        <w:rPr>
          <w:rFonts w:ascii="Times New Roman" w:hAnsi="Times New Roman" w:cs="Times New Roman"/>
          <w:iCs/>
          <w:color w:val="0D0D0D" w:themeColor="text1" w:themeTint="F2"/>
          <w:sz w:val="24"/>
          <w:szCs w:val="24"/>
        </w:rPr>
        <w:t>Pușkin nr. 42, nr. 47, str. Columna nr. 65 și str. Mihai Viteazu</w:t>
      </w:r>
      <w:r>
        <w:rPr>
          <w:rFonts w:ascii="Times New Roman" w:hAnsi="Times New Roman" w:cs="Times New Roman"/>
          <w:iCs/>
          <w:color w:val="0D0D0D" w:themeColor="text1" w:themeTint="F2"/>
          <w:sz w:val="24"/>
          <w:szCs w:val="24"/>
        </w:rPr>
        <w:t>l</w:t>
      </w:r>
      <w:r w:rsidRPr="00D46062">
        <w:rPr>
          <w:rFonts w:ascii="Times New Roman" w:hAnsi="Times New Roman" w:cs="Times New Roman"/>
          <w:iCs/>
          <w:color w:val="0D0D0D" w:themeColor="text1" w:themeTint="F2"/>
          <w:sz w:val="24"/>
          <w:szCs w:val="24"/>
        </w:rPr>
        <w:t xml:space="preserve"> </w:t>
      </w:r>
      <w:r>
        <w:rPr>
          <w:rFonts w:ascii="Times New Roman" w:hAnsi="Times New Roman" w:cs="Times New Roman"/>
          <w:iCs/>
          <w:color w:val="0D0D0D" w:themeColor="text1" w:themeTint="F2"/>
          <w:sz w:val="24"/>
          <w:szCs w:val="24"/>
        </w:rPr>
        <w:t>nr.</w:t>
      </w:r>
      <w:r w:rsidRPr="00D46062">
        <w:rPr>
          <w:rFonts w:ascii="Times New Roman" w:hAnsi="Times New Roman" w:cs="Times New Roman"/>
          <w:iCs/>
          <w:color w:val="0D0D0D" w:themeColor="text1" w:themeTint="F2"/>
          <w:sz w:val="24"/>
          <w:szCs w:val="24"/>
        </w:rPr>
        <w:t xml:space="preserve">11/1, </w:t>
      </w:r>
      <w:r>
        <w:rPr>
          <w:rFonts w:ascii="Times New Roman" w:hAnsi="Times New Roman" w:cs="Times New Roman"/>
          <w:iCs/>
          <w:color w:val="0D0D0D" w:themeColor="text1" w:themeTint="F2"/>
          <w:sz w:val="24"/>
          <w:szCs w:val="24"/>
        </w:rPr>
        <w:t xml:space="preserve">a căror </w:t>
      </w:r>
      <w:r w:rsidRPr="00D46062">
        <w:rPr>
          <w:rFonts w:ascii="Times New Roman" w:hAnsi="Times New Roman" w:cs="Times New Roman"/>
          <w:iCs/>
          <w:color w:val="0D0D0D" w:themeColor="text1" w:themeTint="F2"/>
          <w:sz w:val="24"/>
          <w:szCs w:val="24"/>
        </w:rPr>
        <w:t xml:space="preserve">valoare de estimare, potrivit RBI, constituie 90,7 </w:t>
      </w:r>
      <w:r w:rsidRPr="00774B03">
        <w:rPr>
          <w:rFonts w:ascii="Times New Roman" w:hAnsi="Times New Roman" w:cs="Times New Roman"/>
          <w:iCs/>
          <w:color w:val="0D0D0D" w:themeColor="text1" w:themeTint="F2"/>
          <w:sz w:val="24"/>
          <w:szCs w:val="24"/>
        </w:rPr>
        <w:t xml:space="preserve">mil. </w:t>
      </w:r>
      <w:r w:rsidRPr="00774B03">
        <w:rPr>
          <w:rFonts w:ascii="Times New Roman" w:hAnsi="Times New Roman" w:cs="Times New Roman"/>
          <w:iCs/>
          <w:sz w:val="24"/>
          <w:szCs w:val="24"/>
        </w:rPr>
        <w:t>lei. În acest context, auditul atestă necesitatea unei inventarieri complexe a bunurilor imobile gestionate de ASP</w:t>
      </w:r>
      <w:r w:rsidR="00774B03" w:rsidRPr="00774B03">
        <w:rPr>
          <w:rFonts w:ascii="Times New Roman" w:hAnsi="Times New Roman" w:cs="Times New Roman"/>
          <w:iCs/>
          <w:sz w:val="24"/>
          <w:szCs w:val="24"/>
        </w:rPr>
        <w:t>, inclusiv</w:t>
      </w:r>
      <w:r w:rsidRPr="00774B03">
        <w:rPr>
          <w:rFonts w:ascii="Times New Roman" w:hAnsi="Times New Roman" w:cs="Times New Roman"/>
          <w:iCs/>
          <w:sz w:val="24"/>
          <w:szCs w:val="24"/>
        </w:rPr>
        <w:t xml:space="preserve"> </w:t>
      </w:r>
      <w:r w:rsidR="00BA60D4" w:rsidRPr="00774B03">
        <w:rPr>
          <w:rFonts w:ascii="Times New Roman" w:hAnsi="Times New Roman" w:cs="Times New Roman"/>
          <w:iCs/>
          <w:sz w:val="24"/>
          <w:szCs w:val="24"/>
        </w:rPr>
        <w:t>în</w:t>
      </w:r>
      <w:r w:rsidR="00BA60D4">
        <w:rPr>
          <w:rFonts w:ascii="Times New Roman" w:hAnsi="Times New Roman" w:cs="Times New Roman"/>
          <w:iCs/>
          <w:sz w:val="24"/>
          <w:szCs w:val="24"/>
        </w:rPr>
        <w:t xml:space="preserve"> vederea identificării celor primite de la fondator sau alte</w:t>
      </w:r>
      <w:r w:rsidRPr="00D46062">
        <w:rPr>
          <w:rFonts w:ascii="Times New Roman" w:hAnsi="Times New Roman" w:cs="Times New Roman"/>
          <w:iCs/>
          <w:sz w:val="24"/>
          <w:szCs w:val="24"/>
        </w:rPr>
        <w:t xml:space="preserve"> organe ale administrației publice, precum și înregistrării conforme a acestora</w:t>
      </w:r>
      <w:r>
        <w:rPr>
          <w:rFonts w:ascii="Times New Roman" w:hAnsi="Times New Roman" w:cs="Times New Roman"/>
          <w:iCs/>
          <w:sz w:val="24"/>
          <w:szCs w:val="24"/>
        </w:rPr>
        <w:t xml:space="preserve"> în</w:t>
      </w:r>
      <w:r w:rsidRPr="00D46062">
        <w:rPr>
          <w:rFonts w:ascii="Times New Roman" w:hAnsi="Times New Roman" w:cs="Times New Roman"/>
          <w:iCs/>
          <w:sz w:val="24"/>
          <w:szCs w:val="24"/>
        </w:rPr>
        <w:t xml:space="preserve"> evidența contabilă.</w:t>
      </w:r>
      <w:r w:rsidRPr="000F0A64">
        <w:rPr>
          <w:iCs/>
        </w:rPr>
        <w:t xml:space="preserve"> </w:t>
      </w:r>
    </w:p>
    <w:p w14:paraId="3ADBE1D5" w14:textId="5DB45AF3" w:rsidR="000F6AA1" w:rsidRPr="000F6AA1" w:rsidRDefault="000F6AA1" w:rsidP="00450503">
      <w:pPr>
        <w:pStyle w:val="a7"/>
        <w:tabs>
          <w:tab w:val="left" w:pos="426"/>
        </w:tabs>
        <w:spacing w:after="120" w:line="276" w:lineRule="auto"/>
        <w:ind w:left="0"/>
        <w:contextualSpacing w:val="0"/>
        <w:jc w:val="both"/>
        <w:rPr>
          <w:rFonts w:ascii="Times New Roman" w:hAnsi="Times New Roman" w:cs="Times New Roman"/>
          <w:i/>
          <w:iCs/>
          <w:sz w:val="24"/>
          <w:szCs w:val="24"/>
        </w:rPr>
      </w:pPr>
      <w:r w:rsidRPr="00EB5507">
        <w:rPr>
          <w:rFonts w:ascii="Times New Roman" w:hAnsi="Times New Roman" w:cs="Times New Roman"/>
          <w:b/>
          <w:i/>
          <w:iCs/>
          <w:sz w:val="24"/>
          <w:szCs w:val="24"/>
        </w:rPr>
        <w:t xml:space="preserve">Cu titlu de rezumat, auditul evidențiază că valoarea reală a patrimoniului neînregistrat în evidența Cancelariei </w:t>
      </w:r>
      <w:r w:rsidR="00DF5953" w:rsidRPr="00EB5507">
        <w:rPr>
          <w:rFonts w:ascii="Times New Roman" w:hAnsi="Times New Roman" w:cs="Times New Roman"/>
          <w:b/>
          <w:i/>
          <w:iCs/>
          <w:sz w:val="24"/>
          <w:szCs w:val="24"/>
        </w:rPr>
        <w:t>de S</w:t>
      </w:r>
      <w:r w:rsidRPr="00EB5507">
        <w:rPr>
          <w:rFonts w:ascii="Times New Roman" w:hAnsi="Times New Roman" w:cs="Times New Roman"/>
          <w:b/>
          <w:i/>
          <w:iCs/>
          <w:sz w:val="24"/>
          <w:szCs w:val="24"/>
        </w:rPr>
        <w:t>tat este</w:t>
      </w:r>
      <w:r w:rsidR="00121B98" w:rsidRPr="00EB5507">
        <w:rPr>
          <w:rFonts w:ascii="Times New Roman" w:hAnsi="Times New Roman" w:cs="Times New Roman"/>
          <w:b/>
          <w:i/>
          <w:iCs/>
          <w:sz w:val="24"/>
          <w:szCs w:val="24"/>
        </w:rPr>
        <w:t xml:space="preserve"> </w:t>
      </w:r>
      <w:r w:rsidRPr="00EB5507">
        <w:rPr>
          <w:rFonts w:ascii="Times New Roman" w:hAnsi="Times New Roman" w:cs="Times New Roman"/>
          <w:b/>
          <w:i/>
          <w:iCs/>
          <w:sz w:val="24"/>
          <w:szCs w:val="24"/>
        </w:rPr>
        <w:t>mai mare decât cea stabilită urmare verificărilor, avîndu-se în vedere că auditul a verificat eșantionat acest segment, fiind menționată problematica sistemică față de care responsabilii</w:t>
      </w:r>
      <w:r w:rsidR="00BA69A9" w:rsidRPr="00EB5507">
        <w:rPr>
          <w:rFonts w:ascii="Times New Roman" w:hAnsi="Times New Roman" w:cs="Times New Roman"/>
          <w:b/>
          <w:i/>
          <w:iCs/>
          <w:sz w:val="24"/>
          <w:szCs w:val="24"/>
        </w:rPr>
        <w:t xml:space="preserve"> </w:t>
      </w:r>
      <w:r w:rsidRPr="00EB5507">
        <w:rPr>
          <w:rFonts w:ascii="Times New Roman" w:hAnsi="Times New Roman" w:cs="Times New Roman"/>
          <w:b/>
          <w:i/>
          <w:iCs/>
          <w:sz w:val="24"/>
          <w:szCs w:val="24"/>
        </w:rPr>
        <w:t>urmează să ia atitudine de corectare</w:t>
      </w:r>
      <w:r w:rsidRPr="000F6AA1">
        <w:rPr>
          <w:rFonts w:ascii="Times New Roman" w:hAnsi="Times New Roman" w:cs="Times New Roman"/>
          <w:i/>
          <w:iCs/>
          <w:sz w:val="24"/>
          <w:szCs w:val="24"/>
        </w:rPr>
        <w:t>.</w:t>
      </w:r>
    </w:p>
    <w:p w14:paraId="02C8161C" w14:textId="40D36D05" w:rsidR="00450503" w:rsidRPr="003B329E" w:rsidRDefault="00450503" w:rsidP="00450503">
      <w:pPr>
        <w:spacing w:after="120" w:line="276" w:lineRule="auto"/>
        <w:jc w:val="both"/>
        <w:rPr>
          <w:rFonts w:ascii="Times New Roman" w:hAnsi="Times New Roman" w:cs="Times New Roman"/>
          <w:iCs/>
          <w:color w:val="0D0D0D" w:themeColor="text1" w:themeTint="F2"/>
          <w:sz w:val="24"/>
          <w:szCs w:val="24"/>
          <w:lang w:val="ro-RO"/>
        </w:rPr>
      </w:pPr>
      <w:r w:rsidRPr="003B329E">
        <w:rPr>
          <w:rFonts w:ascii="Times New Roman" w:hAnsi="Times New Roman" w:cs="Times New Roman"/>
          <w:iCs/>
          <w:color w:val="0D0D0D" w:themeColor="text1" w:themeTint="F2"/>
          <w:sz w:val="24"/>
          <w:szCs w:val="24"/>
          <w:lang w:val="ro-RO"/>
        </w:rPr>
        <w:t>În fapt, în conformitate cu pct. 17</w:t>
      </w:r>
      <w:r w:rsidRPr="003B329E">
        <w:rPr>
          <w:rFonts w:ascii="Times New Roman" w:hAnsi="Times New Roman" w:cs="Times New Roman"/>
          <w:iCs/>
          <w:color w:val="0D0D0D" w:themeColor="text1" w:themeTint="F2"/>
          <w:sz w:val="24"/>
          <w:szCs w:val="24"/>
          <w:vertAlign w:val="superscript"/>
          <w:lang w:val="ro-RO"/>
        </w:rPr>
        <w:t xml:space="preserve">1 </w:t>
      </w:r>
      <w:r w:rsidRPr="003B329E">
        <w:rPr>
          <w:rFonts w:ascii="Times New Roman" w:hAnsi="Times New Roman" w:cs="Times New Roman"/>
          <w:iCs/>
          <w:color w:val="0D0D0D" w:themeColor="text1" w:themeTint="F2"/>
          <w:sz w:val="24"/>
          <w:szCs w:val="24"/>
        </w:rPr>
        <w:t>și pct.</w:t>
      </w:r>
      <w:r w:rsidRPr="003B329E">
        <w:rPr>
          <w:rFonts w:ascii="Times New Roman" w:hAnsi="Times New Roman" w:cs="Times New Roman"/>
          <w:iCs/>
          <w:color w:val="0D0D0D" w:themeColor="text1" w:themeTint="F2"/>
          <w:sz w:val="24"/>
          <w:szCs w:val="24"/>
          <w:lang w:val="ro-RO"/>
        </w:rPr>
        <w:t xml:space="preserve"> 65 din SNC „Capital propriu și datorii”, I</w:t>
      </w:r>
      <w:r w:rsidR="003264FB">
        <w:rPr>
          <w:rFonts w:ascii="Times New Roman" w:hAnsi="Times New Roman" w:cs="Times New Roman"/>
          <w:iCs/>
          <w:color w:val="0D0D0D" w:themeColor="text1" w:themeTint="F2"/>
          <w:sz w:val="24"/>
          <w:szCs w:val="24"/>
          <w:lang w:val="ro-RO"/>
        </w:rPr>
        <w:t>.</w:t>
      </w:r>
      <w:r w:rsidRPr="003B329E">
        <w:rPr>
          <w:rFonts w:ascii="Times New Roman" w:hAnsi="Times New Roman" w:cs="Times New Roman"/>
          <w:iCs/>
          <w:color w:val="0D0D0D" w:themeColor="text1" w:themeTint="F2"/>
          <w:sz w:val="24"/>
          <w:szCs w:val="24"/>
          <w:lang w:val="ro-RO"/>
        </w:rPr>
        <w:t>P</w:t>
      </w:r>
      <w:r w:rsidR="003264FB">
        <w:rPr>
          <w:rFonts w:ascii="Times New Roman" w:hAnsi="Times New Roman" w:cs="Times New Roman"/>
          <w:iCs/>
          <w:color w:val="0D0D0D" w:themeColor="text1" w:themeTint="F2"/>
          <w:sz w:val="24"/>
          <w:szCs w:val="24"/>
          <w:lang w:val="ro-RO"/>
        </w:rPr>
        <w:t>.</w:t>
      </w:r>
      <w:r w:rsidRPr="003B329E">
        <w:rPr>
          <w:rFonts w:ascii="Times New Roman" w:hAnsi="Times New Roman" w:cs="Times New Roman"/>
          <w:iCs/>
          <w:color w:val="0D0D0D" w:themeColor="text1" w:themeTint="F2"/>
          <w:sz w:val="24"/>
          <w:szCs w:val="24"/>
          <w:lang w:val="ro-RO"/>
        </w:rPr>
        <w:t xml:space="preserve"> </w:t>
      </w:r>
      <w:r>
        <w:rPr>
          <w:rFonts w:ascii="Times New Roman" w:hAnsi="Times New Roman" w:cs="Times New Roman"/>
          <w:iCs/>
          <w:color w:val="0D0D0D" w:themeColor="text1" w:themeTint="F2"/>
          <w:sz w:val="24"/>
          <w:szCs w:val="24"/>
          <w:lang w:val="ro-RO"/>
        </w:rPr>
        <w:t>sunt</w:t>
      </w:r>
      <w:r w:rsidRPr="003B329E">
        <w:rPr>
          <w:rFonts w:ascii="Times New Roman" w:hAnsi="Times New Roman" w:cs="Times New Roman"/>
          <w:iCs/>
          <w:color w:val="0D0D0D" w:themeColor="text1" w:themeTint="F2"/>
          <w:sz w:val="24"/>
          <w:szCs w:val="24"/>
          <w:lang w:val="ro-RO"/>
        </w:rPr>
        <w:t xml:space="preserve"> obligate să țină diferențiat/separat evidența p</w:t>
      </w:r>
      <w:r w:rsidR="00A05427">
        <w:rPr>
          <w:rFonts w:ascii="Times New Roman" w:hAnsi="Times New Roman" w:cs="Times New Roman"/>
          <w:iCs/>
          <w:color w:val="0D0D0D" w:themeColor="text1" w:themeTint="F2"/>
          <w:sz w:val="24"/>
          <w:szCs w:val="24"/>
          <w:lang w:val="ro-RO"/>
        </w:rPr>
        <w:t>atrimoniului public transmis în</w:t>
      </w:r>
      <w:r w:rsidRPr="003B329E">
        <w:rPr>
          <w:rFonts w:ascii="Times New Roman" w:hAnsi="Times New Roman" w:cs="Times New Roman"/>
          <w:iCs/>
          <w:color w:val="0D0D0D" w:themeColor="text1" w:themeTint="F2"/>
          <w:sz w:val="24"/>
          <w:szCs w:val="24"/>
          <w:lang w:val="ro-RO"/>
        </w:rPr>
        <w:t xml:space="preserve"> gestiune economică</w:t>
      </w:r>
      <w:r>
        <w:rPr>
          <w:rFonts w:ascii="Times New Roman" w:hAnsi="Times New Roman" w:cs="Times New Roman"/>
          <w:iCs/>
          <w:color w:val="0D0D0D" w:themeColor="text1" w:themeTint="F2"/>
          <w:sz w:val="24"/>
          <w:szCs w:val="24"/>
          <w:lang w:val="ro-RO"/>
        </w:rPr>
        <w:t>,</w:t>
      </w:r>
      <w:r w:rsidRPr="003B329E">
        <w:rPr>
          <w:rFonts w:ascii="Times New Roman" w:hAnsi="Times New Roman" w:cs="Times New Roman"/>
          <w:iCs/>
          <w:color w:val="0D0D0D" w:themeColor="text1" w:themeTint="F2"/>
          <w:sz w:val="24"/>
          <w:szCs w:val="24"/>
          <w:lang w:val="ro-RO"/>
        </w:rPr>
        <w:t xml:space="preserve"> față de cel transmis cu drept de proprietate. Astfel, se reglementează că:</w:t>
      </w:r>
    </w:p>
    <w:p w14:paraId="5104EE49" w14:textId="77777777" w:rsidR="00450503" w:rsidRPr="003B329E" w:rsidRDefault="00450503" w:rsidP="00231A57">
      <w:pPr>
        <w:pStyle w:val="a7"/>
        <w:numPr>
          <w:ilvl w:val="0"/>
          <w:numId w:val="12"/>
        </w:numPr>
        <w:spacing w:after="120" w:line="276" w:lineRule="auto"/>
        <w:ind w:left="426" w:hanging="284"/>
        <w:jc w:val="both"/>
        <w:rPr>
          <w:rFonts w:ascii="Times New Roman" w:hAnsi="Times New Roman" w:cs="Times New Roman"/>
          <w:iCs/>
          <w:color w:val="0D0D0D" w:themeColor="text1" w:themeTint="F2"/>
          <w:sz w:val="24"/>
          <w:szCs w:val="24"/>
        </w:rPr>
      </w:pPr>
      <w:r w:rsidRPr="003B329E">
        <w:rPr>
          <w:rFonts w:ascii="Times New Roman" w:hAnsi="Times New Roman" w:cs="Times New Roman"/>
          <w:iCs/>
          <w:color w:val="0D0D0D" w:themeColor="text1" w:themeTint="F2"/>
          <w:sz w:val="24"/>
          <w:szCs w:val="24"/>
          <w:lang w:val="ro-RO"/>
        </w:rPr>
        <w:t>patrimoniu</w:t>
      </w:r>
      <w:r>
        <w:rPr>
          <w:rFonts w:ascii="Times New Roman" w:hAnsi="Times New Roman" w:cs="Times New Roman"/>
          <w:iCs/>
          <w:color w:val="0D0D0D" w:themeColor="text1" w:themeTint="F2"/>
          <w:sz w:val="24"/>
          <w:szCs w:val="24"/>
          <w:lang w:val="ro-RO"/>
        </w:rPr>
        <w:t>l</w:t>
      </w:r>
      <w:r w:rsidRPr="003B329E">
        <w:rPr>
          <w:rFonts w:ascii="Times New Roman" w:hAnsi="Times New Roman" w:cs="Times New Roman"/>
          <w:iCs/>
          <w:color w:val="0D0D0D" w:themeColor="text1" w:themeTint="F2"/>
          <w:sz w:val="24"/>
          <w:szCs w:val="24"/>
          <w:lang w:val="ro-RO"/>
        </w:rPr>
        <w:t xml:space="preserve"> primit</w:t>
      </w:r>
      <w:r w:rsidRPr="003B329E">
        <w:rPr>
          <w:rStyle w:val="a5"/>
          <w:rFonts w:ascii="Times New Roman" w:hAnsi="Times New Roman" w:cs="Times New Roman"/>
          <w:iCs/>
          <w:color w:val="0D0D0D" w:themeColor="text1" w:themeTint="F2"/>
          <w:lang w:val="ro-RO"/>
        </w:rPr>
        <w:footnoteReference w:id="106"/>
      </w:r>
      <w:r w:rsidRPr="003B329E">
        <w:rPr>
          <w:rFonts w:ascii="Times New Roman" w:hAnsi="Times New Roman" w:cs="Times New Roman"/>
          <w:iCs/>
          <w:color w:val="0D0D0D" w:themeColor="text1" w:themeTint="F2"/>
          <w:sz w:val="24"/>
          <w:szCs w:val="24"/>
          <w:lang w:val="ro-RO"/>
        </w:rPr>
        <w:t xml:space="preserve"> </w:t>
      </w:r>
      <w:r w:rsidRPr="003B329E">
        <w:rPr>
          <w:rFonts w:ascii="Times New Roman" w:hAnsi="Times New Roman" w:cs="Times New Roman"/>
          <w:i/>
          <w:iCs/>
          <w:color w:val="0D0D0D" w:themeColor="text1" w:themeTint="F2"/>
          <w:sz w:val="24"/>
          <w:szCs w:val="24"/>
          <w:lang w:val="ro-RO"/>
        </w:rPr>
        <w:t>în gestiune economică</w:t>
      </w:r>
      <w:r w:rsidRPr="003B329E">
        <w:rPr>
          <w:rFonts w:ascii="Times New Roman" w:hAnsi="Times New Roman" w:cs="Times New Roman"/>
          <w:iCs/>
          <w:color w:val="0D0D0D" w:themeColor="text1" w:themeTint="F2"/>
          <w:sz w:val="24"/>
          <w:szCs w:val="24"/>
          <w:lang w:val="ro-RO"/>
        </w:rPr>
        <w:t xml:space="preserve"> de la fondatori și organele administrației publice, și anume clădirile și terenurile, se înregistrează la contul de datorii privind bunurile primite în gestiune economică (contul contabil 427) și se contabilizează ca majorare concomitentă a activelor și a datoriilor; </w:t>
      </w:r>
    </w:p>
    <w:p w14:paraId="4536569D" w14:textId="2BA18625" w:rsidR="00450503" w:rsidRPr="003B329E" w:rsidRDefault="00450503" w:rsidP="00231A57">
      <w:pPr>
        <w:pStyle w:val="a7"/>
        <w:numPr>
          <w:ilvl w:val="0"/>
          <w:numId w:val="12"/>
        </w:numPr>
        <w:spacing w:after="40" w:line="276" w:lineRule="auto"/>
        <w:ind w:left="426" w:hanging="284"/>
        <w:contextualSpacing w:val="0"/>
        <w:jc w:val="both"/>
        <w:rPr>
          <w:rFonts w:ascii="Times New Roman" w:hAnsi="Times New Roman" w:cs="Times New Roman"/>
          <w:iCs/>
          <w:color w:val="0D0D0D" w:themeColor="text1" w:themeTint="F2"/>
          <w:sz w:val="24"/>
          <w:szCs w:val="24"/>
        </w:rPr>
      </w:pPr>
      <w:r w:rsidRPr="003B329E">
        <w:rPr>
          <w:rFonts w:ascii="Times New Roman" w:hAnsi="Times New Roman" w:cs="Times New Roman"/>
          <w:iCs/>
          <w:color w:val="0D0D0D" w:themeColor="text1" w:themeTint="F2"/>
          <w:sz w:val="24"/>
          <w:szCs w:val="24"/>
          <w:lang w:val="ro-RO"/>
        </w:rPr>
        <w:t xml:space="preserve">la rândul </w:t>
      </w:r>
      <w:r>
        <w:rPr>
          <w:rFonts w:ascii="Times New Roman" w:hAnsi="Times New Roman" w:cs="Times New Roman"/>
          <w:iCs/>
          <w:color w:val="0D0D0D" w:themeColor="text1" w:themeTint="F2"/>
          <w:sz w:val="24"/>
          <w:szCs w:val="24"/>
          <w:lang w:val="ro-RO"/>
        </w:rPr>
        <w:t>lor,</w:t>
      </w:r>
      <w:r w:rsidRPr="003B329E">
        <w:rPr>
          <w:rFonts w:ascii="Times New Roman" w:hAnsi="Times New Roman" w:cs="Times New Roman"/>
          <w:iCs/>
          <w:color w:val="0D0D0D" w:themeColor="text1" w:themeTint="F2"/>
          <w:sz w:val="24"/>
          <w:szCs w:val="24"/>
          <w:lang w:val="ro-RO"/>
        </w:rPr>
        <w:t xml:space="preserve"> bunurile primit</w:t>
      </w:r>
      <w:r>
        <w:rPr>
          <w:rFonts w:ascii="Times New Roman" w:hAnsi="Times New Roman" w:cs="Times New Roman"/>
          <w:iCs/>
          <w:color w:val="0D0D0D" w:themeColor="text1" w:themeTint="F2"/>
          <w:sz w:val="24"/>
          <w:szCs w:val="24"/>
          <w:lang w:val="ro-RO"/>
        </w:rPr>
        <w:t>e</w:t>
      </w:r>
      <w:r w:rsidRPr="003B329E">
        <w:rPr>
          <w:rFonts w:ascii="Times New Roman" w:hAnsi="Times New Roman" w:cs="Times New Roman"/>
          <w:iCs/>
          <w:color w:val="0D0D0D" w:themeColor="text1" w:themeTint="F2"/>
          <w:sz w:val="24"/>
          <w:szCs w:val="24"/>
          <w:lang w:val="ro-RO"/>
        </w:rPr>
        <w:t xml:space="preserve"> </w:t>
      </w:r>
      <w:r w:rsidRPr="003B329E">
        <w:rPr>
          <w:rFonts w:ascii="Times New Roman" w:hAnsi="Times New Roman" w:cs="Times New Roman"/>
          <w:i/>
          <w:iCs/>
          <w:color w:val="0D0D0D" w:themeColor="text1" w:themeTint="F2"/>
          <w:sz w:val="24"/>
          <w:szCs w:val="24"/>
          <w:lang w:val="ro-RO"/>
        </w:rPr>
        <w:t>în proprietate</w:t>
      </w:r>
      <w:r w:rsidRPr="003B329E">
        <w:rPr>
          <w:rFonts w:ascii="Times New Roman" w:hAnsi="Times New Roman" w:cs="Times New Roman"/>
          <w:iCs/>
          <w:color w:val="0D0D0D" w:themeColor="text1" w:themeTint="F2"/>
          <w:sz w:val="24"/>
          <w:szCs w:val="24"/>
          <w:lang w:val="ro-RO"/>
        </w:rPr>
        <w:t xml:space="preserve"> de la stat</w:t>
      </w:r>
      <w:r w:rsidRPr="003B329E">
        <w:rPr>
          <w:rStyle w:val="a5"/>
          <w:rFonts w:ascii="Times New Roman" w:hAnsi="Times New Roman" w:cs="Times New Roman"/>
          <w:iCs/>
          <w:color w:val="0D0D0D" w:themeColor="text1" w:themeTint="F2"/>
          <w:lang w:val="ro-RO"/>
        </w:rPr>
        <w:footnoteReference w:id="107"/>
      </w:r>
      <w:r w:rsidRPr="003B329E">
        <w:rPr>
          <w:rFonts w:ascii="Times New Roman" w:hAnsi="Times New Roman" w:cs="Times New Roman"/>
          <w:iCs/>
          <w:color w:val="0D0D0D" w:themeColor="text1" w:themeTint="F2"/>
          <w:sz w:val="24"/>
          <w:szCs w:val="24"/>
          <w:lang w:val="ro-RO"/>
        </w:rPr>
        <w:t xml:space="preserve"> de către autorități și instituții publice, spre exemplu</w:t>
      </w:r>
      <w:r>
        <w:rPr>
          <w:rFonts w:ascii="Times New Roman" w:hAnsi="Times New Roman" w:cs="Times New Roman"/>
          <w:iCs/>
          <w:color w:val="0D0D0D" w:themeColor="text1" w:themeTint="F2"/>
          <w:sz w:val="24"/>
          <w:szCs w:val="24"/>
          <w:lang w:val="ro-RO"/>
        </w:rPr>
        <w:t>,</w:t>
      </w:r>
      <w:r w:rsidRPr="003B329E">
        <w:rPr>
          <w:rFonts w:ascii="Times New Roman" w:hAnsi="Times New Roman" w:cs="Times New Roman"/>
          <w:iCs/>
          <w:color w:val="0D0D0D" w:themeColor="text1" w:themeTint="F2"/>
          <w:sz w:val="24"/>
          <w:szCs w:val="24"/>
          <w:lang w:val="ro-RO"/>
        </w:rPr>
        <w:t xml:space="preserve"> mijloace de transport, utilaje, mobilier, precum și alt inventar, conform prevederilor pct. 17</w:t>
      </w:r>
      <w:r w:rsidRPr="003B329E">
        <w:rPr>
          <w:rFonts w:ascii="Times New Roman" w:hAnsi="Times New Roman" w:cs="Times New Roman"/>
          <w:iCs/>
          <w:color w:val="0D0D0D" w:themeColor="text1" w:themeTint="F2"/>
          <w:sz w:val="24"/>
          <w:szCs w:val="24"/>
          <w:vertAlign w:val="superscript"/>
          <w:lang w:val="ro-RO"/>
        </w:rPr>
        <w:t>1</w:t>
      </w:r>
      <w:r w:rsidRPr="003B329E">
        <w:rPr>
          <w:rFonts w:ascii="Times New Roman" w:hAnsi="Times New Roman" w:cs="Times New Roman"/>
          <w:iCs/>
          <w:color w:val="0D0D0D" w:themeColor="text1" w:themeTint="F2"/>
          <w:sz w:val="24"/>
          <w:szCs w:val="24"/>
          <w:lang w:val="ro-RO"/>
        </w:rPr>
        <w:t xml:space="preserve"> al standardului menționat, urmează a fi înregistrate la contul 316 „Patrimoniul primit de la stat cu drept de proprietate”. Concomitent, având în vedere că I</w:t>
      </w:r>
      <w:r w:rsidR="003264FB">
        <w:rPr>
          <w:rFonts w:ascii="Times New Roman" w:hAnsi="Times New Roman" w:cs="Times New Roman"/>
          <w:iCs/>
          <w:color w:val="0D0D0D" w:themeColor="text1" w:themeTint="F2"/>
          <w:sz w:val="24"/>
          <w:szCs w:val="24"/>
          <w:lang w:val="ro-RO"/>
        </w:rPr>
        <w:t>.</w:t>
      </w:r>
      <w:r w:rsidRPr="003B329E">
        <w:rPr>
          <w:rFonts w:ascii="Times New Roman" w:hAnsi="Times New Roman" w:cs="Times New Roman"/>
          <w:iCs/>
          <w:color w:val="0D0D0D" w:themeColor="text1" w:themeTint="F2"/>
          <w:sz w:val="24"/>
          <w:szCs w:val="24"/>
          <w:lang w:val="ro-RO"/>
        </w:rPr>
        <w:t>P</w:t>
      </w:r>
      <w:r w:rsidR="003264FB">
        <w:rPr>
          <w:rFonts w:ascii="Times New Roman" w:hAnsi="Times New Roman" w:cs="Times New Roman"/>
          <w:iCs/>
          <w:color w:val="0D0D0D" w:themeColor="text1" w:themeTint="F2"/>
          <w:sz w:val="24"/>
          <w:szCs w:val="24"/>
          <w:lang w:val="ro-RO"/>
        </w:rPr>
        <w:t>.</w:t>
      </w:r>
      <w:r w:rsidRPr="003B329E">
        <w:rPr>
          <w:rFonts w:ascii="Times New Roman" w:hAnsi="Times New Roman" w:cs="Times New Roman"/>
          <w:iCs/>
          <w:color w:val="0D0D0D" w:themeColor="text1" w:themeTint="F2"/>
          <w:sz w:val="24"/>
          <w:szCs w:val="24"/>
          <w:lang w:val="ro-RO"/>
        </w:rPr>
        <w:t xml:space="preserve"> nu dispun de capital social, valoarea capitalului social preluat de către instituții</w:t>
      </w:r>
      <w:r>
        <w:rPr>
          <w:rFonts w:ascii="Times New Roman" w:hAnsi="Times New Roman" w:cs="Times New Roman"/>
          <w:iCs/>
          <w:color w:val="0D0D0D" w:themeColor="text1" w:themeTint="F2"/>
          <w:sz w:val="24"/>
          <w:szCs w:val="24"/>
          <w:lang w:val="ro-RO"/>
        </w:rPr>
        <w:t xml:space="preserve"> ca</w:t>
      </w:r>
      <w:r w:rsidRPr="003B329E">
        <w:rPr>
          <w:rFonts w:ascii="Times New Roman" w:hAnsi="Times New Roman" w:cs="Times New Roman"/>
          <w:iCs/>
          <w:color w:val="0D0D0D" w:themeColor="text1" w:themeTint="F2"/>
          <w:sz w:val="24"/>
          <w:szCs w:val="24"/>
          <w:lang w:val="ro-RO"/>
        </w:rPr>
        <w:t xml:space="preserve"> urmare</w:t>
      </w:r>
      <w:r>
        <w:rPr>
          <w:rFonts w:ascii="Times New Roman" w:hAnsi="Times New Roman" w:cs="Times New Roman"/>
          <w:iCs/>
          <w:color w:val="0D0D0D" w:themeColor="text1" w:themeTint="F2"/>
          <w:sz w:val="24"/>
          <w:szCs w:val="24"/>
          <w:lang w:val="ro-RO"/>
        </w:rPr>
        <w:t xml:space="preserve"> a</w:t>
      </w:r>
      <w:r w:rsidRPr="003B329E">
        <w:rPr>
          <w:rFonts w:ascii="Times New Roman" w:hAnsi="Times New Roman" w:cs="Times New Roman"/>
          <w:iCs/>
          <w:color w:val="0D0D0D" w:themeColor="text1" w:themeTint="F2"/>
          <w:sz w:val="24"/>
          <w:szCs w:val="24"/>
          <w:lang w:val="ro-RO"/>
        </w:rPr>
        <w:t xml:space="preserve"> absorbției întreprinderilor de stat urmează a fi înregistrat</w:t>
      </w:r>
      <w:r>
        <w:rPr>
          <w:rFonts w:ascii="Times New Roman" w:hAnsi="Times New Roman" w:cs="Times New Roman"/>
          <w:iCs/>
          <w:color w:val="0D0D0D" w:themeColor="text1" w:themeTint="F2"/>
          <w:sz w:val="24"/>
          <w:szCs w:val="24"/>
          <w:lang w:val="ro-RO"/>
        </w:rPr>
        <w:t>ă</w:t>
      </w:r>
      <w:r w:rsidRPr="003B329E">
        <w:rPr>
          <w:rFonts w:ascii="Times New Roman" w:hAnsi="Times New Roman" w:cs="Times New Roman"/>
          <w:iCs/>
          <w:color w:val="0D0D0D" w:themeColor="text1" w:themeTint="F2"/>
          <w:sz w:val="24"/>
          <w:szCs w:val="24"/>
          <w:lang w:val="ro-RO"/>
        </w:rPr>
        <w:t xml:space="preserve"> la poziția contabilă menționată.</w:t>
      </w:r>
    </w:p>
    <w:p w14:paraId="50A5ABB0" w14:textId="42AB3A80" w:rsidR="00450503" w:rsidRPr="003B329E" w:rsidRDefault="00450503" w:rsidP="00450503">
      <w:pPr>
        <w:spacing w:line="276" w:lineRule="auto"/>
        <w:jc w:val="both"/>
        <w:rPr>
          <w:rFonts w:ascii="Times New Roman" w:hAnsi="Times New Roman" w:cs="Times New Roman"/>
          <w:iCs/>
          <w:color w:val="0D0D0D" w:themeColor="text1" w:themeTint="F2"/>
          <w:sz w:val="24"/>
          <w:szCs w:val="24"/>
          <w:lang w:val="ro-RO"/>
        </w:rPr>
      </w:pPr>
      <w:r w:rsidRPr="003B329E">
        <w:rPr>
          <w:rFonts w:ascii="Times New Roman" w:hAnsi="Times New Roman" w:cs="Times New Roman"/>
          <w:iCs/>
          <w:color w:val="0D0D0D" w:themeColor="text1" w:themeTint="F2"/>
          <w:sz w:val="24"/>
          <w:szCs w:val="24"/>
          <w:lang w:val="ro-RO"/>
        </w:rPr>
        <w:t>Reieșind din cele expuse, se constată că nicio I</w:t>
      </w:r>
      <w:r w:rsidR="003264FB">
        <w:rPr>
          <w:rFonts w:ascii="Times New Roman" w:hAnsi="Times New Roman" w:cs="Times New Roman"/>
          <w:iCs/>
          <w:color w:val="0D0D0D" w:themeColor="text1" w:themeTint="F2"/>
          <w:sz w:val="24"/>
          <w:szCs w:val="24"/>
          <w:lang w:val="ro-RO"/>
        </w:rPr>
        <w:t>.</w:t>
      </w:r>
      <w:r w:rsidRPr="003B329E">
        <w:rPr>
          <w:rFonts w:ascii="Times New Roman" w:hAnsi="Times New Roman" w:cs="Times New Roman"/>
          <w:iCs/>
          <w:color w:val="0D0D0D" w:themeColor="text1" w:themeTint="F2"/>
          <w:sz w:val="24"/>
          <w:szCs w:val="24"/>
          <w:lang w:val="ro-RO"/>
        </w:rPr>
        <w:t>P</w:t>
      </w:r>
      <w:r w:rsidR="003264FB">
        <w:rPr>
          <w:rFonts w:ascii="Times New Roman" w:hAnsi="Times New Roman" w:cs="Times New Roman"/>
          <w:iCs/>
          <w:color w:val="0D0D0D" w:themeColor="text1" w:themeTint="F2"/>
          <w:sz w:val="24"/>
          <w:szCs w:val="24"/>
          <w:lang w:val="ro-RO"/>
        </w:rPr>
        <w:t>.</w:t>
      </w:r>
      <w:r w:rsidRPr="003B329E">
        <w:rPr>
          <w:rFonts w:ascii="Times New Roman" w:hAnsi="Times New Roman" w:cs="Times New Roman"/>
          <w:iCs/>
          <w:color w:val="0D0D0D" w:themeColor="text1" w:themeTint="F2"/>
          <w:sz w:val="24"/>
          <w:szCs w:val="24"/>
          <w:lang w:val="ro-RO"/>
        </w:rPr>
        <w:t xml:space="preserve"> nu respectă în totalitate normele standardului privind </w:t>
      </w:r>
      <w:r>
        <w:rPr>
          <w:rFonts w:ascii="Times New Roman" w:hAnsi="Times New Roman" w:cs="Times New Roman"/>
          <w:iCs/>
          <w:color w:val="0D0D0D" w:themeColor="text1" w:themeTint="F2"/>
          <w:sz w:val="24"/>
          <w:szCs w:val="24"/>
          <w:lang w:val="ro-RO"/>
        </w:rPr>
        <w:t>evidența</w:t>
      </w:r>
      <w:r w:rsidRPr="003B329E">
        <w:rPr>
          <w:rFonts w:ascii="Times New Roman" w:hAnsi="Times New Roman" w:cs="Times New Roman"/>
          <w:iCs/>
          <w:color w:val="0D0D0D" w:themeColor="text1" w:themeTint="F2"/>
          <w:sz w:val="24"/>
          <w:szCs w:val="24"/>
          <w:lang w:val="ro-RO"/>
        </w:rPr>
        <w:t xml:space="preserve"> bunurilor statului primite în gestiune economică, acestea fiind înregistrate la aceeași poziție contabilă ca și patrimoniu</w:t>
      </w:r>
      <w:r>
        <w:rPr>
          <w:rFonts w:ascii="Times New Roman" w:hAnsi="Times New Roman" w:cs="Times New Roman"/>
          <w:iCs/>
          <w:color w:val="0D0D0D" w:themeColor="text1" w:themeTint="F2"/>
          <w:sz w:val="24"/>
          <w:szCs w:val="24"/>
          <w:lang w:val="ro-RO"/>
        </w:rPr>
        <w:t>l</w:t>
      </w:r>
      <w:r w:rsidRPr="003B329E">
        <w:rPr>
          <w:rFonts w:ascii="Times New Roman" w:hAnsi="Times New Roman" w:cs="Times New Roman"/>
          <w:iCs/>
          <w:color w:val="0D0D0D" w:themeColor="text1" w:themeTint="F2"/>
          <w:sz w:val="24"/>
          <w:szCs w:val="24"/>
          <w:lang w:val="ro-RO"/>
        </w:rPr>
        <w:t xml:space="preserve"> primit în proprietate.</w:t>
      </w:r>
    </w:p>
    <w:p w14:paraId="6CAD7557" w14:textId="2766EE84" w:rsidR="00484422" w:rsidRPr="00C013B0" w:rsidRDefault="00450503" w:rsidP="00231A57">
      <w:pPr>
        <w:pStyle w:val="a7"/>
        <w:numPr>
          <w:ilvl w:val="2"/>
          <w:numId w:val="4"/>
        </w:numPr>
        <w:tabs>
          <w:tab w:val="left" w:pos="567"/>
        </w:tabs>
        <w:spacing w:before="120" w:after="0" w:line="276" w:lineRule="auto"/>
        <w:ind w:left="0" w:firstLine="0"/>
        <w:contextualSpacing w:val="0"/>
        <w:jc w:val="both"/>
        <w:rPr>
          <w:rFonts w:ascii="Times New Roman" w:hAnsi="Times New Roman" w:cs="Times New Roman"/>
          <w:b/>
          <w:color w:val="0070C0"/>
          <w:sz w:val="24"/>
          <w:szCs w:val="24"/>
        </w:rPr>
      </w:pPr>
      <w:r w:rsidRPr="00C013B0">
        <w:rPr>
          <w:rFonts w:ascii="Times New Roman" w:hAnsi="Times New Roman" w:cs="Times New Roman"/>
          <w:b/>
          <w:color w:val="0070C0"/>
          <w:sz w:val="24"/>
          <w:szCs w:val="24"/>
        </w:rPr>
        <w:t xml:space="preserve"> </w:t>
      </w:r>
      <w:r w:rsidR="00484422" w:rsidRPr="00C013B0">
        <w:rPr>
          <w:rFonts w:ascii="Times New Roman" w:hAnsi="Times New Roman" w:cs="Times New Roman"/>
          <w:b/>
          <w:color w:val="0070C0"/>
          <w:sz w:val="24"/>
          <w:szCs w:val="24"/>
        </w:rPr>
        <w:t>Nereguli în gestionarea patrimoniului public de către CS și instituțiile publice monitorizate</w:t>
      </w:r>
    </w:p>
    <w:p w14:paraId="285FF90F" w14:textId="40D2032D" w:rsidR="003264FB" w:rsidRPr="00450503" w:rsidRDefault="00803D7F" w:rsidP="00231A57">
      <w:pPr>
        <w:spacing w:after="40" w:line="276" w:lineRule="auto"/>
        <w:jc w:val="both"/>
        <w:rPr>
          <w:rFonts w:ascii="Times New Roman" w:hAnsi="Times New Roman" w:cs="Times New Roman"/>
          <w:iCs/>
          <w:color w:val="0D0D0D" w:themeColor="text1" w:themeTint="F2"/>
          <w:sz w:val="24"/>
          <w:szCs w:val="24"/>
          <w:lang w:val="ro-RO"/>
        </w:rPr>
      </w:pPr>
      <w:r w:rsidRPr="00450503">
        <w:rPr>
          <w:rFonts w:ascii="Times New Roman" w:hAnsi="Times New Roman" w:cs="Times New Roman"/>
          <w:iCs/>
          <w:color w:val="0D0D0D" w:themeColor="text1" w:themeTint="F2"/>
          <w:sz w:val="24"/>
          <w:szCs w:val="24"/>
          <w:lang w:val="ro-RO"/>
        </w:rPr>
        <w:t>Îndeplinirea</w:t>
      </w:r>
      <w:r w:rsidR="003264FB" w:rsidRPr="00450503">
        <w:rPr>
          <w:rFonts w:ascii="Times New Roman" w:hAnsi="Times New Roman" w:cs="Times New Roman"/>
          <w:iCs/>
          <w:color w:val="0D0D0D" w:themeColor="text1" w:themeTint="F2"/>
          <w:sz w:val="24"/>
          <w:szCs w:val="24"/>
          <w:lang w:val="ro-RO"/>
        </w:rPr>
        <w:t xml:space="preserve"> de către Cancelaria de Stat a atribuții</w:t>
      </w:r>
      <w:r w:rsidR="003264FB">
        <w:rPr>
          <w:rFonts w:ascii="Times New Roman" w:hAnsi="Times New Roman" w:cs="Times New Roman"/>
          <w:iCs/>
          <w:color w:val="0D0D0D" w:themeColor="text1" w:themeTint="F2"/>
          <w:sz w:val="24"/>
          <w:szCs w:val="24"/>
          <w:lang w:val="ro-RO"/>
        </w:rPr>
        <w:t>lor</w:t>
      </w:r>
      <w:r w:rsidR="003264FB" w:rsidRPr="00450503">
        <w:rPr>
          <w:rFonts w:ascii="Times New Roman" w:hAnsi="Times New Roman" w:cs="Times New Roman"/>
          <w:iCs/>
          <w:color w:val="0D0D0D" w:themeColor="text1" w:themeTint="F2"/>
          <w:sz w:val="24"/>
          <w:szCs w:val="24"/>
          <w:lang w:val="ro-RO"/>
        </w:rPr>
        <w:t xml:space="preserve"> privind coordonarea și monitorizarea activități</w:t>
      </w:r>
      <w:r w:rsidR="003264FB">
        <w:rPr>
          <w:rFonts w:ascii="Times New Roman" w:hAnsi="Times New Roman" w:cs="Times New Roman"/>
          <w:iCs/>
          <w:color w:val="0D0D0D" w:themeColor="text1" w:themeTint="F2"/>
          <w:sz w:val="24"/>
          <w:szCs w:val="24"/>
          <w:lang w:val="ro-RO"/>
        </w:rPr>
        <w:t>i</w:t>
      </w:r>
      <w:r w:rsidR="003264FB" w:rsidRPr="00450503">
        <w:rPr>
          <w:rFonts w:ascii="Times New Roman" w:hAnsi="Times New Roman" w:cs="Times New Roman"/>
          <w:iCs/>
          <w:color w:val="0D0D0D" w:themeColor="text1" w:themeTint="F2"/>
          <w:sz w:val="24"/>
          <w:szCs w:val="24"/>
          <w:lang w:val="ro-RO"/>
        </w:rPr>
        <w:t xml:space="preserve"> structurilor organizaționale din sfera sa de competență reprezintă una dintre funcțiile de bază ale autorității, care derivă atât din spețele pct. 7 lit. k</w:t>
      </w:r>
      <w:r w:rsidR="003264FB" w:rsidRPr="006609B4">
        <w:rPr>
          <w:rFonts w:ascii="Times New Roman" w:hAnsi="Times New Roman" w:cs="Times New Roman"/>
          <w:iCs/>
          <w:color w:val="0D0D0D" w:themeColor="text1" w:themeTint="F2"/>
          <w:sz w:val="24"/>
          <w:szCs w:val="24"/>
          <w:vertAlign w:val="superscript"/>
          <w:lang w:val="ro-RO"/>
        </w:rPr>
        <w:t>2</w:t>
      </w:r>
      <w:r w:rsidR="003264FB" w:rsidRPr="006609B4">
        <w:rPr>
          <w:rFonts w:ascii="Times New Roman" w:hAnsi="Times New Roman" w:cs="Times New Roman"/>
          <w:iCs/>
          <w:color w:val="0D0D0D" w:themeColor="text1" w:themeTint="F2"/>
          <w:sz w:val="24"/>
          <w:szCs w:val="24"/>
          <w:lang w:val="ro-RO"/>
        </w:rPr>
        <w:t>)</w:t>
      </w:r>
      <w:r w:rsidR="003264FB" w:rsidRPr="00450503">
        <w:rPr>
          <w:rFonts w:ascii="Times New Roman" w:hAnsi="Times New Roman" w:cs="Times New Roman"/>
          <w:iCs/>
          <w:color w:val="0D0D0D" w:themeColor="text1" w:themeTint="F2"/>
          <w:sz w:val="24"/>
          <w:szCs w:val="24"/>
          <w:lang w:val="ro-RO"/>
        </w:rPr>
        <w:t xml:space="preserve"> din Regulamentul privind organizarea și funcționarea Cancelariei de Stat, cât și din obiectivele pe termen mediu și din planurile anuale prestabilite. Concomitent, despre obligativitatea CS de a-și realiza prudent și regulamentar calitatea de administrator al bunurilor gestionate de instituțiile publice fondate specifică regulamentele de funcționare și organizare ale acestor structuri, aprobate de Guvern. Cât privește responsabilitatea instituțiilor publice de a asigura administrarea eficientă a patrimoniului primit în gestiune, aceasta decurge la fel din actele constitutive ale I</w:t>
      </w:r>
      <w:r w:rsidR="003264FB">
        <w:rPr>
          <w:rFonts w:ascii="Times New Roman" w:hAnsi="Times New Roman" w:cs="Times New Roman"/>
          <w:iCs/>
          <w:color w:val="0D0D0D" w:themeColor="text1" w:themeTint="F2"/>
          <w:sz w:val="24"/>
          <w:szCs w:val="24"/>
          <w:lang w:val="ro-RO"/>
        </w:rPr>
        <w:t>.</w:t>
      </w:r>
      <w:r w:rsidR="003264FB" w:rsidRPr="00450503">
        <w:rPr>
          <w:rFonts w:ascii="Times New Roman" w:hAnsi="Times New Roman" w:cs="Times New Roman"/>
          <w:iCs/>
          <w:color w:val="0D0D0D" w:themeColor="text1" w:themeTint="F2"/>
          <w:sz w:val="24"/>
          <w:szCs w:val="24"/>
          <w:lang w:val="ro-RO"/>
        </w:rPr>
        <w:t>P.</w:t>
      </w:r>
    </w:p>
    <w:p w14:paraId="7B6FC839" w14:textId="06286777" w:rsidR="00FA1CE9" w:rsidRPr="00F76DDE" w:rsidRDefault="00450503" w:rsidP="00450503">
      <w:pPr>
        <w:spacing w:after="120" w:line="276" w:lineRule="auto"/>
        <w:jc w:val="both"/>
        <w:rPr>
          <w:rFonts w:ascii="Times New Roman" w:hAnsi="Times New Roman" w:cs="Times New Roman"/>
          <w:sz w:val="24"/>
          <w:szCs w:val="24"/>
        </w:rPr>
      </w:pPr>
      <w:r w:rsidRPr="00450503">
        <w:rPr>
          <w:rFonts w:ascii="Times New Roman" w:hAnsi="Times New Roman" w:cs="Times New Roman"/>
          <w:iCs/>
          <w:color w:val="0D0D0D" w:themeColor="text1" w:themeTint="F2"/>
          <w:sz w:val="24"/>
          <w:szCs w:val="24"/>
          <w:lang w:val="ro-RO"/>
        </w:rPr>
        <w:t>Observațiile de audit aferente realizării acestor atribuții atât de către CS, cât și de instituțiile publice fondate de autoritate denotă existența unor nereguli și abateri care afectează administrarea judicioasă a patrimoniului public, acestea fiind argumentate prin co</w:t>
      </w:r>
      <w:r>
        <w:rPr>
          <w:rFonts w:ascii="Times New Roman" w:hAnsi="Times New Roman" w:cs="Times New Roman"/>
          <w:iCs/>
          <w:color w:val="0D0D0D" w:themeColor="text1" w:themeTint="F2"/>
          <w:sz w:val="24"/>
          <w:szCs w:val="24"/>
          <w:lang w:val="ro-RO"/>
        </w:rPr>
        <w:t>nstatările expuse în continuare</w:t>
      </w:r>
      <w:r w:rsidR="00FA1CE9" w:rsidRPr="00F76DDE">
        <w:rPr>
          <w:rFonts w:ascii="Times New Roman" w:hAnsi="Times New Roman" w:cs="Times New Roman"/>
          <w:sz w:val="24"/>
          <w:szCs w:val="24"/>
        </w:rPr>
        <w:t xml:space="preserve">. </w:t>
      </w:r>
    </w:p>
    <w:p w14:paraId="0A61220E" w14:textId="3ECDE884" w:rsidR="004D0174" w:rsidRPr="00B94290" w:rsidRDefault="004D0174" w:rsidP="00231A57">
      <w:pPr>
        <w:pStyle w:val="a7"/>
        <w:numPr>
          <w:ilvl w:val="0"/>
          <w:numId w:val="32"/>
        </w:numPr>
        <w:tabs>
          <w:tab w:val="left" w:pos="284"/>
        </w:tabs>
        <w:spacing w:after="0"/>
        <w:ind w:left="142" w:hanging="142"/>
        <w:contextualSpacing w:val="0"/>
        <w:jc w:val="both"/>
        <w:rPr>
          <w:rFonts w:ascii="Times New Roman" w:hAnsi="Times New Roman" w:cs="Times New Roman"/>
          <w:b/>
          <w:color w:val="0070C0"/>
          <w:sz w:val="24"/>
          <w:szCs w:val="24"/>
        </w:rPr>
      </w:pPr>
      <w:r w:rsidRPr="00B94290">
        <w:rPr>
          <w:rFonts w:ascii="Times New Roman" w:hAnsi="Times New Roman" w:cs="Times New Roman"/>
          <w:b/>
          <w:color w:val="0070C0"/>
          <w:sz w:val="24"/>
          <w:szCs w:val="24"/>
        </w:rPr>
        <w:t>DGACG</w:t>
      </w:r>
      <w:r w:rsidR="00F06EDE" w:rsidRPr="00B94290">
        <w:rPr>
          <w:rFonts w:ascii="Times New Roman" w:hAnsi="Times New Roman" w:cs="Times New Roman"/>
          <w:b/>
          <w:color w:val="0070C0"/>
          <w:sz w:val="24"/>
          <w:szCs w:val="24"/>
        </w:rPr>
        <w:t xml:space="preserve"> în comun</w:t>
      </w:r>
      <w:r w:rsidRPr="00B94290">
        <w:rPr>
          <w:rFonts w:ascii="Times New Roman" w:hAnsi="Times New Roman" w:cs="Times New Roman"/>
          <w:b/>
          <w:color w:val="0070C0"/>
          <w:sz w:val="24"/>
          <w:szCs w:val="24"/>
        </w:rPr>
        <w:t xml:space="preserve"> </w:t>
      </w:r>
      <w:r w:rsidR="00F06EDE" w:rsidRPr="00B94290">
        <w:rPr>
          <w:rFonts w:ascii="Times New Roman" w:hAnsi="Times New Roman" w:cs="Times New Roman"/>
          <w:b/>
          <w:color w:val="0070C0"/>
          <w:sz w:val="24"/>
          <w:szCs w:val="24"/>
        </w:rPr>
        <w:t xml:space="preserve">CS </w:t>
      </w:r>
      <w:r w:rsidRPr="00B94290">
        <w:rPr>
          <w:rFonts w:ascii="Times New Roman" w:hAnsi="Times New Roman" w:cs="Times New Roman"/>
          <w:b/>
          <w:color w:val="0070C0"/>
          <w:sz w:val="24"/>
          <w:szCs w:val="24"/>
        </w:rPr>
        <w:t>nu au asigurat bu</w:t>
      </w:r>
      <w:r w:rsidR="00450503" w:rsidRPr="00B94290">
        <w:rPr>
          <w:rFonts w:ascii="Times New Roman" w:hAnsi="Times New Roman" w:cs="Times New Roman"/>
          <w:b/>
          <w:color w:val="0070C0"/>
          <w:sz w:val="24"/>
          <w:szCs w:val="24"/>
        </w:rPr>
        <w:t>na gestiune a bazelor de odihnă proprietate publică de stat.</w:t>
      </w:r>
    </w:p>
    <w:p w14:paraId="7B47C18D" w14:textId="77777777" w:rsidR="003264FB" w:rsidRPr="003B329E" w:rsidRDefault="003264FB" w:rsidP="00231A57">
      <w:pPr>
        <w:spacing w:after="0" w:line="276" w:lineRule="auto"/>
        <w:jc w:val="both"/>
        <w:rPr>
          <w:rFonts w:ascii="Times New Roman" w:hAnsi="Times New Roman" w:cs="Times New Roman"/>
          <w:sz w:val="24"/>
          <w:szCs w:val="24"/>
        </w:rPr>
      </w:pPr>
      <w:r w:rsidRPr="00F76DDE">
        <w:rPr>
          <w:rFonts w:ascii="Times New Roman" w:hAnsi="Times New Roman" w:cs="Times New Roman"/>
          <w:sz w:val="24"/>
          <w:szCs w:val="24"/>
        </w:rPr>
        <w:t>La situația din 31.12.2022, DGACG gestiona trei baze de odihnă, amplasate pe terenuri cu suprafața totală de</w:t>
      </w:r>
      <w:r w:rsidRPr="003B329E">
        <w:rPr>
          <w:rFonts w:ascii="Times New Roman" w:hAnsi="Times New Roman" w:cs="Times New Roman"/>
          <w:sz w:val="24"/>
          <w:szCs w:val="24"/>
        </w:rPr>
        <w:t xml:space="preserve"> 3,48 ha situate în Parcul Nistrean din Vadul lui Vodă. Valoarea de bilanț a clădirilor și terenurilor aferente acestor bunuri imobile, potrivit datelor din evidența contabilă, se cifrează la suma totală de </w:t>
      </w:r>
      <w:r>
        <w:rPr>
          <w:rFonts w:ascii="Times New Roman" w:hAnsi="Times New Roman" w:cs="Times New Roman"/>
          <w:sz w:val="24"/>
          <w:szCs w:val="24"/>
        </w:rPr>
        <w:t>26 386,9</w:t>
      </w:r>
      <w:r w:rsidRPr="003B329E">
        <w:rPr>
          <w:rFonts w:ascii="Times New Roman" w:hAnsi="Times New Roman" w:cs="Times New Roman"/>
          <w:sz w:val="24"/>
          <w:szCs w:val="24"/>
        </w:rPr>
        <w:t xml:space="preserve"> mii lei, inclusiv:</w:t>
      </w:r>
    </w:p>
    <w:p w14:paraId="0AD931B1" w14:textId="177F21FD" w:rsidR="003264FB" w:rsidRPr="003B329E" w:rsidRDefault="003264FB" w:rsidP="00231A57">
      <w:pPr>
        <w:pStyle w:val="a7"/>
        <w:numPr>
          <w:ilvl w:val="0"/>
          <w:numId w:val="16"/>
        </w:numPr>
        <w:spacing w:after="80" w:line="276" w:lineRule="auto"/>
        <w:ind w:left="426" w:hanging="284"/>
        <w:jc w:val="both"/>
        <w:rPr>
          <w:rFonts w:ascii="Times New Roman" w:hAnsi="Times New Roman" w:cs="Times New Roman"/>
          <w:sz w:val="24"/>
          <w:szCs w:val="24"/>
        </w:rPr>
      </w:pPr>
      <w:r w:rsidRPr="003B329E">
        <w:rPr>
          <w:rFonts w:ascii="Times New Roman" w:hAnsi="Times New Roman" w:cs="Times New Roman"/>
          <w:b/>
          <w:sz w:val="24"/>
          <w:szCs w:val="24"/>
        </w:rPr>
        <w:t>„IT – Relax”</w:t>
      </w:r>
      <w:r w:rsidRPr="003B329E">
        <w:rPr>
          <w:rStyle w:val="a5"/>
          <w:rFonts w:ascii="Times New Roman" w:hAnsi="Times New Roman" w:cs="Times New Roman"/>
          <w:b/>
          <w:sz w:val="24"/>
          <w:szCs w:val="24"/>
        </w:rPr>
        <w:footnoteReference w:id="108"/>
      </w:r>
      <w:r w:rsidRPr="003B329E">
        <w:rPr>
          <w:rFonts w:ascii="Times New Roman" w:hAnsi="Times New Roman" w:cs="Times New Roman"/>
          <w:sz w:val="24"/>
          <w:szCs w:val="24"/>
        </w:rPr>
        <w:t xml:space="preserve"> situată pe un teren de 0,6903 ha</w:t>
      </w:r>
      <w:r>
        <w:rPr>
          <w:rFonts w:ascii="Times New Roman" w:hAnsi="Times New Roman" w:cs="Times New Roman"/>
          <w:sz w:val="24"/>
          <w:szCs w:val="24"/>
        </w:rPr>
        <w:t>,</w:t>
      </w:r>
      <w:r w:rsidRPr="003B329E">
        <w:rPr>
          <w:rFonts w:ascii="Times New Roman" w:hAnsi="Times New Roman" w:cs="Times New Roman"/>
          <w:sz w:val="24"/>
          <w:szCs w:val="24"/>
        </w:rPr>
        <w:t xml:space="preserve"> cu două construcții cu suprafața totală d</w:t>
      </w:r>
      <w:r>
        <w:rPr>
          <w:rFonts w:ascii="Times New Roman" w:hAnsi="Times New Roman" w:cs="Times New Roman"/>
          <w:sz w:val="24"/>
          <w:szCs w:val="24"/>
        </w:rPr>
        <w:t>e 4 628,7 m.p. în valoare de 13,7 mii lei și, respectiv, 25 108,6</w:t>
      </w:r>
      <w:r w:rsidR="00231A57">
        <w:rPr>
          <w:rFonts w:ascii="Times New Roman" w:hAnsi="Times New Roman" w:cs="Times New Roman"/>
          <w:sz w:val="24"/>
          <w:szCs w:val="24"/>
        </w:rPr>
        <w:t xml:space="preserve"> mii lei</w:t>
      </w:r>
      <w:r w:rsidRPr="003B329E">
        <w:rPr>
          <w:rFonts w:ascii="Times New Roman" w:hAnsi="Times New Roman" w:cs="Times New Roman"/>
          <w:sz w:val="24"/>
          <w:szCs w:val="24"/>
        </w:rPr>
        <w:t>;</w:t>
      </w:r>
    </w:p>
    <w:p w14:paraId="49540354" w14:textId="77777777" w:rsidR="003264FB" w:rsidRPr="003B329E" w:rsidRDefault="003264FB" w:rsidP="00231A57">
      <w:pPr>
        <w:pStyle w:val="a7"/>
        <w:numPr>
          <w:ilvl w:val="0"/>
          <w:numId w:val="16"/>
        </w:numPr>
        <w:spacing w:after="80" w:line="276" w:lineRule="auto"/>
        <w:ind w:left="426" w:hanging="284"/>
        <w:jc w:val="both"/>
        <w:rPr>
          <w:rFonts w:ascii="Times New Roman" w:hAnsi="Times New Roman" w:cs="Times New Roman"/>
          <w:sz w:val="24"/>
          <w:szCs w:val="24"/>
        </w:rPr>
      </w:pPr>
      <w:r w:rsidRPr="003B329E">
        <w:rPr>
          <w:rFonts w:ascii="Times New Roman" w:hAnsi="Times New Roman" w:cs="Times New Roman"/>
          <w:b/>
          <w:sz w:val="24"/>
          <w:szCs w:val="24"/>
        </w:rPr>
        <w:t>„Universul”</w:t>
      </w:r>
      <w:r w:rsidRPr="003B329E">
        <w:rPr>
          <w:rStyle w:val="a5"/>
          <w:rFonts w:ascii="Times New Roman" w:hAnsi="Times New Roman" w:cs="Times New Roman"/>
          <w:b/>
          <w:sz w:val="24"/>
          <w:szCs w:val="24"/>
        </w:rPr>
        <w:footnoteReference w:id="109"/>
      </w:r>
      <w:r w:rsidRPr="003B329E">
        <w:rPr>
          <w:rFonts w:ascii="Times New Roman" w:hAnsi="Times New Roman" w:cs="Times New Roman"/>
          <w:sz w:val="24"/>
          <w:szCs w:val="24"/>
        </w:rPr>
        <w:t xml:space="preserve"> are înregistrate trei construcții cu suprafața totală de 1</w:t>
      </w:r>
      <w:r>
        <w:rPr>
          <w:rFonts w:ascii="Times New Roman" w:hAnsi="Times New Roman" w:cs="Times New Roman"/>
          <w:sz w:val="24"/>
          <w:szCs w:val="24"/>
        </w:rPr>
        <w:t xml:space="preserve"> </w:t>
      </w:r>
      <w:r w:rsidRPr="003B329E">
        <w:rPr>
          <w:rFonts w:ascii="Times New Roman" w:hAnsi="Times New Roman" w:cs="Times New Roman"/>
          <w:sz w:val="24"/>
          <w:szCs w:val="24"/>
        </w:rPr>
        <w:t>527,5 m.p. și terenul aferent de</w:t>
      </w:r>
      <w:r>
        <w:rPr>
          <w:rFonts w:ascii="Times New Roman" w:hAnsi="Times New Roman" w:cs="Times New Roman"/>
          <w:sz w:val="24"/>
          <w:szCs w:val="24"/>
        </w:rPr>
        <w:t xml:space="preserve"> 1,7383 ha la valoarea de 379,0</w:t>
      </w:r>
      <w:r w:rsidRPr="003B329E">
        <w:rPr>
          <w:rFonts w:ascii="Times New Roman" w:hAnsi="Times New Roman" w:cs="Times New Roman"/>
          <w:sz w:val="24"/>
          <w:szCs w:val="24"/>
        </w:rPr>
        <w:t xml:space="preserve"> mii lei și</w:t>
      </w:r>
      <w:r>
        <w:rPr>
          <w:rFonts w:ascii="Times New Roman" w:hAnsi="Times New Roman" w:cs="Times New Roman"/>
          <w:sz w:val="24"/>
          <w:szCs w:val="24"/>
        </w:rPr>
        <w:t>,</w:t>
      </w:r>
      <w:r w:rsidRPr="003B329E">
        <w:rPr>
          <w:rFonts w:ascii="Times New Roman" w:hAnsi="Times New Roman" w:cs="Times New Roman"/>
          <w:sz w:val="24"/>
          <w:szCs w:val="24"/>
        </w:rPr>
        <w:t xml:space="preserve"> respectiv</w:t>
      </w:r>
      <w:r>
        <w:rPr>
          <w:rFonts w:ascii="Times New Roman" w:hAnsi="Times New Roman" w:cs="Times New Roman"/>
          <w:sz w:val="24"/>
          <w:szCs w:val="24"/>
        </w:rPr>
        <w:t>,</w:t>
      </w:r>
      <w:r w:rsidRPr="003B329E">
        <w:rPr>
          <w:rFonts w:ascii="Times New Roman" w:hAnsi="Times New Roman" w:cs="Times New Roman"/>
          <w:sz w:val="24"/>
          <w:szCs w:val="24"/>
        </w:rPr>
        <w:t xml:space="preserve"> de </w:t>
      </w:r>
      <w:r>
        <w:rPr>
          <w:rFonts w:ascii="Times New Roman" w:hAnsi="Times New Roman" w:cs="Times New Roman"/>
          <w:sz w:val="24"/>
          <w:szCs w:val="24"/>
        </w:rPr>
        <w:t>227,4</w:t>
      </w:r>
      <w:r w:rsidRPr="003B329E">
        <w:rPr>
          <w:rFonts w:ascii="Times New Roman" w:hAnsi="Times New Roman" w:cs="Times New Roman"/>
          <w:sz w:val="24"/>
          <w:szCs w:val="24"/>
        </w:rPr>
        <w:t xml:space="preserve"> mii lei; </w:t>
      </w:r>
    </w:p>
    <w:p w14:paraId="371097EA" w14:textId="77777777" w:rsidR="003264FB" w:rsidRPr="003B329E" w:rsidRDefault="003264FB" w:rsidP="00231A57">
      <w:pPr>
        <w:pStyle w:val="a7"/>
        <w:numPr>
          <w:ilvl w:val="0"/>
          <w:numId w:val="16"/>
        </w:numPr>
        <w:spacing w:after="80" w:line="276" w:lineRule="auto"/>
        <w:ind w:left="426" w:hanging="284"/>
        <w:jc w:val="both"/>
        <w:rPr>
          <w:rFonts w:ascii="Times New Roman" w:hAnsi="Times New Roman" w:cs="Times New Roman"/>
          <w:sz w:val="24"/>
          <w:szCs w:val="24"/>
        </w:rPr>
      </w:pPr>
      <w:r w:rsidRPr="003B329E">
        <w:rPr>
          <w:rFonts w:ascii="Times New Roman" w:hAnsi="Times New Roman" w:cs="Times New Roman"/>
          <w:b/>
          <w:sz w:val="24"/>
          <w:szCs w:val="24"/>
        </w:rPr>
        <w:t>„La Zăvoi”</w:t>
      </w:r>
      <w:r w:rsidRPr="003B329E">
        <w:rPr>
          <w:rStyle w:val="a5"/>
          <w:rFonts w:ascii="Times New Roman" w:hAnsi="Times New Roman" w:cs="Times New Roman"/>
          <w:b/>
          <w:sz w:val="24"/>
          <w:szCs w:val="24"/>
        </w:rPr>
        <w:footnoteReference w:id="110"/>
      </w:r>
      <w:r w:rsidRPr="003B329E">
        <w:rPr>
          <w:rFonts w:ascii="Times New Roman" w:hAnsi="Times New Roman" w:cs="Times New Roman"/>
          <w:sz w:val="24"/>
          <w:szCs w:val="24"/>
        </w:rPr>
        <w:t xml:space="preserve"> este înregistrat doar terenul cu suprafața </w:t>
      </w:r>
      <w:r>
        <w:rPr>
          <w:rFonts w:ascii="Times New Roman" w:hAnsi="Times New Roman" w:cs="Times New Roman"/>
          <w:sz w:val="24"/>
          <w:szCs w:val="24"/>
        </w:rPr>
        <w:t>de 1,0514 ha în valoare de 658,2</w:t>
      </w:r>
      <w:r w:rsidRPr="003B329E">
        <w:rPr>
          <w:rFonts w:ascii="Times New Roman" w:hAnsi="Times New Roman" w:cs="Times New Roman"/>
          <w:sz w:val="24"/>
          <w:szCs w:val="24"/>
        </w:rPr>
        <w:t xml:space="preserve"> mii lei.</w:t>
      </w:r>
    </w:p>
    <w:p w14:paraId="4509DE0E" w14:textId="77777777" w:rsidR="00450503" w:rsidRPr="00450503" w:rsidRDefault="00450503" w:rsidP="00450503">
      <w:pPr>
        <w:spacing w:after="120" w:line="276" w:lineRule="auto"/>
        <w:jc w:val="both"/>
        <w:rPr>
          <w:rFonts w:ascii="Times New Roman" w:hAnsi="Times New Roman" w:cs="Times New Roman"/>
          <w:sz w:val="24"/>
          <w:szCs w:val="24"/>
        </w:rPr>
      </w:pPr>
      <w:r w:rsidRPr="00450503">
        <w:rPr>
          <w:rFonts w:ascii="Times New Roman" w:hAnsi="Times New Roman" w:cs="Times New Roman"/>
          <w:sz w:val="24"/>
          <w:szCs w:val="24"/>
        </w:rPr>
        <w:t xml:space="preserve">Observațiile directe de audit la fața locului relevă că dacă baza de odihnă „IT-Relax” desfășoară activitate și actualmente este una funcțională, atunci activitatea celorlalte două obiective de agrement este stopată, construcțiile fiind într-un grad avansat de distrugere, ceea ce denotă necesitatea întreprinderii unor măsuri urgente din partea autorităților responsabile în vederea stopării ruinării totalmente a acestora. Raționalitatea adoptării unor decizii cu privire la gestionarea în continuare a celor trei baze de odihnă este susținută și de faptul că activitatea acestora înregistrează anual pierderi care sunt acoperite din contul resurselor bugetare. În perioada supusă auditului, cheltuielile acoperite din contul mijloacelor bugetului de stat au constituit 4.407,5 mii lei, dintre care: „IT-Relax” – 2.986,8 mii lei, „Universul” – 395,5 mii lei, și „La Zăvoi” – 1.025,2 mii lei. </w:t>
      </w:r>
    </w:p>
    <w:p w14:paraId="26989D6C" w14:textId="49FDBC16" w:rsidR="00450503" w:rsidRPr="00450503" w:rsidRDefault="00450503" w:rsidP="00450503">
      <w:pPr>
        <w:spacing w:after="120" w:line="276" w:lineRule="auto"/>
        <w:jc w:val="both"/>
        <w:rPr>
          <w:rFonts w:ascii="Times New Roman" w:hAnsi="Times New Roman" w:cs="Times New Roman"/>
          <w:sz w:val="24"/>
          <w:szCs w:val="24"/>
        </w:rPr>
      </w:pPr>
      <w:r w:rsidRPr="00450503">
        <w:rPr>
          <w:rFonts w:ascii="Times New Roman" w:hAnsi="Times New Roman" w:cs="Times New Roman"/>
          <w:sz w:val="24"/>
          <w:szCs w:val="24"/>
        </w:rPr>
        <w:t>La fel, se relevă că la baza de odihnă „Universul” doar o singură construcție poate fi reparată din cele 3 transmise de către Î.S. „Editura Universul” în anul 2016. Cu referire la baza de odihnă „La Zăvoi”, din cele 7 imobile înregistrate în evidența contabilă, doar unul este funcțional, și anume Casa de gospodărie cu suprafața de 61,8 m.p., celelalte construcții având un grad de uzură de 100% și conform observațiilor imobilele nu pot fi restaurate</w:t>
      </w:r>
      <w:r w:rsidR="00A05427">
        <w:rPr>
          <w:rStyle w:val="a5"/>
          <w:rFonts w:ascii="Times New Roman" w:hAnsi="Times New Roman" w:cs="Times New Roman"/>
          <w:sz w:val="24"/>
          <w:szCs w:val="24"/>
        </w:rPr>
        <w:footnoteReference w:id="111"/>
      </w:r>
      <w:r w:rsidRPr="00450503">
        <w:rPr>
          <w:rFonts w:ascii="Times New Roman" w:hAnsi="Times New Roman" w:cs="Times New Roman"/>
          <w:sz w:val="24"/>
          <w:szCs w:val="24"/>
        </w:rPr>
        <w:t xml:space="preserve">, generând venituri ratate. </w:t>
      </w:r>
    </w:p>
    <w:p w14:paraId="7581C620" w14:textId="3569905C" w:rsidR="00D60027" w:rsidRDefault="00450503" w:rsidP="00450503">
      <w:pPr>
        <w:spacing w:after="120" w:line="276" w:lineRule="auto"/>
        <w:jc w:val="both"/>
        <w:rPr>
          <w:rFonts w:ascii="Times New Roman" w:hAnsi="Times New Roman" w:cs="Times New Roman"/>
          <w:sz w:val="24"/>
          <w:szCs w:val="24"/>
        </w:rPr>
      </w:pPr>
      <w:r w:rsidRPr="00450503">
        <w:rPr>
          <w:rFonts w:ascii="Times New Roman" w:hAnsi="Times New Roman" w:cs="Times New Roman"/>
          <w:sz w:val="24"/>
          <w:szCs w:val="24"/>
        </w:rPr>
        <w:t>Situația acestor imobile este redată mai jos.</w:t>
      </w:r>
    </w:p>
    <w:tbl>
      <w:tblPr>
        <w:tblStyle w:val="a6"/>
        <w:tblW w:w="10916"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96"/>
        <w:gridCol w:w="3786"/>
        <w:gridCol w:w="3434"/>
      </w:tblGrid>
      <w:tr w:rsidR="00D60027" w14:paraId="0ECBE3A8" w14:textId="77777777" w:rsidTr="001B6757">
        <w:tc>
          <w:tcPr>
            <w:tcW w:w="3696" w:type="dxa"/>
          </w:tcPr>
          <w:p w14:paraId="0E9AC24C" w14:textId="7CD9628E" w:rsidR="00D60027" w:rsidRPr="00D60027" w:rsidRDefault="005E02D0" w:rsidP="00D60027">
            <w:pPr>
              <w:spacing w:after="120" w:line="276" w:lineRule="auto"/>
              <w:jc w:val="center"/>
              <w:rPr>
                <w:rFonts w:ascii="Times New Roman" w:hAnsi="Times New Roman" w:cs="Times New Roman"/>
                <w:b/>
                <w:i/>
                <w:color w:val="1F4E79" w:themeColor="accent1" w:themeShade="80"/>
                <w:sz w:val="24"/>
              </w:rPr>
            </w:pPr>
            <w:r w:rsidRPr="00D60027">
              <w:rPr>
                <w:rFonts w:ascii="Times New Roman" w:hAnsi="Times New Roman" w:cs="Times New Roman"/>
                <w:b/>
                <w:i/>
                <w:color w:val="1F4E79" w:themeColor="accent1" w:themeShade="80"/>
                <w:sz w:val="24"/>
              </w:rPr>
              <w:t xml:space="preserve"> </w:t>
            </w:r>
            <w:r w:rsidR="00D60027" w:rsidRPr="00D60027">
              <w:rPr>
                <w:rFonts w:ascii="Times New Roman" w:hAnsi="Times New Roman" w:cs="Times New Roman"/>
                <w:b/>
                <w:i/>
                <w:color w:val="1F4E79" w:themeColor="accent1" w:themeShade="80"/>
                <w:sz w:val="24"/>
              </w:rPr>
              <w:t>„IT-Relax”</w:t>
            </w:r>
          </w:p>
        </w:tc>
        <w:tc>
          <w:tcPr>
            <w:tcW w:w="3786" w:type="dxa"/>
          </w:tcPr>
          <w:p w14:paraId="621C9D12" w14:textId="77777777" w:rsidR="00D60027" w:rsidRPr="00D60027" w:rsidRDefault="00D60027" w:rsidP="00D60027">
            <w:pPr>
              <w:spacing w:after="120" w:line="276" w:lineRule="auto"/>
              <w:jc w:val="center"/>
              <w:rPr>
                <w:rFonts w:ascii="Times New Roman" w:hAnsi="Times New Roman" w:cs="Times New Roman"/>
                <w:b/>
                <w:i/>
                <w:color w:val="1F4E79" w:themeColor="accent1" w:themeShade="80"/>
                <w:sz w:val="24"/>
              </w:rPr>
            </w:pPr>
            <w:r w:rsidRPr="00D60027">
              <w:rPr>
                <w:rFonts w:ascii="Times New Roman" w:hAnsi="Times New Roman" w:cs="Times New Roman"/>
                <w:b/>
                <w:i/>
                <w:color w:val="1F4E79" w:themeColor="accent1" w:themeShade="80"/>
                <w:sz w:val="24"/>
              </w:rPr>
              <w:t xml:space="preserve"> „</w:t>
            </w:r>
            <w:r>
              <w:rPr>
                <w:rFonts w:ascii="Times New Roman" w:hAnsi="Times New Roman" w:cs="Times New Roman"/>
                <w:b/>
                <w:i/>
                <w:color w:val="1F4E79" w:themeColor="accent1" w:themeShade="80"/>
                <w:sz w:val="24"/>
              </w:rPr>
              <w:t>Universul</w:t>
            </w:r>
            <w:r w:rsidRPr="00D60027">
              <w:rPr>
                <w:rFonts w:ascii="Times New Roman" w:hAnsi="Times New Roman" w:cs="Times New Roman"/>
                <w:b/>
                <w:i/>
                <w:color w:val="1F4E79" w:themeColor="accent1" w:themeShade="80"/>
                <w:sz w:val="24"/>
              </w:rPr>
              <w:t>”</w:t>
            </w:r>
          </w:p>
        </w:tc>
        <w:tc>
          <w:tcPr>
            <w:tcW w:w="3434" w:type="dxa"/>
          </w:tcPr>
          <w:p w14:paraId="7EC2B5F8" w14:textId="77777777" w:rsidR="00D60027" w:rsidRPr="00D60027" w:rsidRDefault="00D60027" w:rsidP="00D60027">
            <w:pPr>
              <w:spacing w:after="120" w:line="276" w:lineRule="auto"/>
              <w:jc w:val="center"/>
              <w:rPr>
                <w:rFonts w:ascii="Times New Roman" w:hAnsi="Times New Roman" w:cs="Times New Roman"/>
                <w:b/>
                <w:i/>
                <w:color w:val="1F4E79" w:themeColor="accent1" w:themeShade="80"/>
                <w:sz w:val="24"/>
              </w:rPr>
            </w:pPr>
            <w:r w:rsidRPr="00D60027">
              <w:rPr>
                <w:rFonts w:ascii="Times New Roman" w:hAnsi="Times New Roman" w:cs="Times New Roman"/>
                <w:b/>
                <w:i/>
                <w:color w:val="1F4E79" w:themeColor="accent1" w:themeShade="80"/>
                <w:sz w:val="24"/>
              </w:rPr>
              <w:t xml:space="preserve"> „</w:t>
            </w:r>
            <w:r>
              <w:rPr>
                <w:rFonts w:ascii="Times New Roman" w:hAnsi="Times New Roman" w:cs="Times New Roman"/>
                <w:b/>
                <w:i/>
                <w:color w:val="1F4E79" w:themeColor="accent1" w:themeShade="80"/>
                <w:sz w:val="24"/>
              </w:rPr>
              <w:t>La zăvoi</w:t>
            </w:r>
            <w:r w:rsidRPr="00D60027">
              <w:rPr>
                <w:rFonts w:ascii="Times New Roman" w:hAnsi="Times New Roman" w:cs="Times New Roman"/>
                <w:b/>
                <w:i/>
                <w:color w:val="1F4E79" w:themeColor="accent1" w:themeShade="80"/>
                <w:sz w:val="24"/>
              </w:rPr>
              <w:t>”</w:t>
            </w:r>
          </w:p>
        </w:tc>
      </w:tr>
      <w:tr w:rsidR="00D60027" w14:paraId="4F317C4F" w14:textId="77777777" w:rsidTr="001B6757">
        <w:tc>
          <w:tcPr>
            <w:tcW w:w="3696" w:type="dxa"/>
          </w:tcPr>
          <w:p w14:paraId="3EE9618C" w14:textId="77777777" w:rsidR="00D60027" w:rsidRDefault="00D60027" w:rsidP="00E93970">
            <w:pPr>
              <w:spacing w:after="120" w:line="276" w:lineRule="auto"/>
              <w:jc w:val="both"/>
              <w:rPr>
                <w:rFonts w:ascii="Times New Roman" w:hAnsi="Times New Roman" w:cs="Times New Roman"/>
                <w:sz w:val="24"/>
              </w:rPr>
            </w:pPr>
            <w:r w:rsidRPr="000225C9">
              <w:rPr>
                <w:noProof/>
                <w:lang w:val="ru-RU" w:eastAsia="ru-RU"/>
              </w:rPr>
              <w:drawing>
                <wp:inline distT="0" distB="0" distL="0" distR="0" wp14:anchorId="34C618C4" wp14:editId="2EB0DD56">
                  <wp:extent cx="2205847" cy="1767840"/>
                  <wp:effectExtent l="0" t="0" r="4445" b="3810"/>
                  <wp:docPr id="4" name="Picture 4" descr="d:\a_certan\Desktop\CANCELARIA DE STAT\RAPORTARE\Anexe\it rel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_certan\Desktop\CANCELARIA DE STAT\RAPORTARE\Anexe\it relax.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3248" cy="1821857"/>
                          </a:xfrm>
                          <a:prstGeom prst="rect">
                            <a:avLst/>
                          </a:prstGeom>
                          <a:noFill/>
                          <a:ln>
                            <a:noFill/>
                          </a:ln>
                        </pic:spPr>
                      </pic:pic>
                    </a:graphicData>
                  </a:graphic>
                </wp:inline>
              </w:drawing>
            </w:r>
          </w:p>
        </w:tc>
        <w:tc>
          <w:tcPr>
            <w:tcW w:w="3786" w:type="dxa"/>
          </w:tcPr>
          <w:p w14:paraId="1A501692" w14:textId="77777777" w:rsidR="00D60027" w:rsidRDefault="001B6757" w:rsidP="00E93970">
            <w:pPr>
              <w:spacing w:after="120" w:line="276" w:lineRule="auto"/>
              <w:jc w:val="both"/>
              <w:rPr>
                <w:rFonts w:ascii="Times New Roman" w:hAnsi="Times New Roman" w:cs="Times New Roman"/>
                <w:sz w:val="24"/>
              </w:rPr>
            </w:pPr>
            <w:r w:rsidRPr="000225C9">
              <w:rPr>
                <w:noProof/>
                <w:lang w:val="ru-RU" w:eastAsia="ru-RU"/>
              </w:rPr>
              <w:drawing>
                <wp:inline distT="0" distB="0" distL="0" distR="0" wp14:anchorId="522806AE" wp14:editId="64952444">
                  <wp:extent cx="2261973" cy="1767840"/>
                  <wp:effectExtent l="0" t="0" r="5080" b="3810"/>
                  <wp:docPr id="5" name="Picture 5" descr="D:\a_certan\Downloads\416780195_1045543446775970_41220162941025848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_certan\Downloads\416780195_1045543446775970_4122016294102584873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4386" cy="1777541"/>
                          </a:xfrm>
                          <a:prstGeom prst="rect">
                            <a:avLst/>
                          </a:prstGeom>
                          <a:noFill/>
                          <a:ln>
                            <a:noFill/>
                          </a:ln>
                        </pic:spPr>
                      </pic:pic>
                    </a:graphicData>
                  </a:graphic>
                </wp:inline>
              </w:drawing>
            </w:r>
          </w:p>
        </w:tc>
        <w:tc>
          <w:tcPr>
            <w:tcW w:w="3434" w:type="dxa"/>
          </w:tcPr>
          <w:p w14:paraId="0D7EA94C" w14:textId="77777777" w:rsidR="00D60027" w:rsidRDefault="001B6757" w:rsidP="00E93970">
            <w:pPr>
              <w:spacing w:after="120" w:line="276" w:lineRule="auto"/>
              <w:jc w:val="both"/>
              <w:rPr>
                <w:rFonts w:ascii="Times New Roman" w:hAnsi="Times New Roman" w:cs="Times New Roman"/>
                <w:sz w:val="24"/>
              </w:rPr>
            </w:pPr>
            <w:r w:rsidRPr="000225C9">
              <w:rPr>
                <w:noProof/>
                <w:lang w:val="ru-RU" w:eastAsia="ru-RU"/>
              </w:rPr>
              <w:drawing>
                <wp:inline distT="0" distB="0" distL="0" distR="0" wp14:anchorId="489D237D" wp14:editId="4F6743A2">
                  <wp:extent cx="2451735" cy="1767840"/>
                  <wp:effectExtent l="0" t="0" r="5715" b="3810"/>
                  <wp:docPr id="7" name="Picture 7" descr="D:\a_certan\Downloads\417224686_1763017917516806_23572333868647415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_certan\Downloads\417224686_1763017917516806_2357233386864741596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2168" cy="1775363"/>
                          </a:xfrm>
                          <a:prstGeom prst="rect">
                            <a:avLst/>
                          </a:prstGeom>
                          <a:noFill/>
                          <a:ln>
                            <a:noFill/>
                          </a:ln>
                        </pic:spPr>
                      </pic:pic>
                    </a:graphicData>
                  </a:graphic>
                </wp:inline>
              </w:drawing>
            </w:r>
          </w:p>
        </w:tc>
      </w:tr>
    </w:tbl>
    <w:p w14:paraId="387AC947" w14:textId="77777777" w:rsidR="00D60027" w:rsidRPr="007E4D4F" w:rsidRDefault="001B6757" w:rsidP="00E93970">
      <w:pPr>
        <w:spacing w:after="120" w:line="276" w:lineRule="auto"/>
        <w:jc w:val="both"/>
        <w:rPr>
          <w:rFonts w:ascii="Times New Roman" w:hAnsi="Times New Roman" w:cs="Times New Roman"/>
          <w:i/>
          <w:sz w:val="20"/>
          <w:szCs w:val="20"/>
        </w:rPr>
      </w:pPr>
      <w:r w:rsidRPr="007E4D4F">
        <w:rPr>
          <w:rFonts w:ascii="Times New Roman" w:hAnsi="Times New Roman" w:cs="Times New Roman"/>
          <w:b/>
          <w:i/>
          <w:sz w:val="20"/>
          <w:szCs w:val="20"/>
        </w:rPr>
        <w:t>Sursa:</w:t>
      </w:r>
      <w:r w:rsidRPr="007E4D4F">
        <w:rPr>
          <w:rFonts w:ascii="Times New Roman" w:hAnsi="Times New Roman" w:cs="Times New Roman"/>
          <w:i/>
          <w:sz w:val="20"/>
          <w:szCs w:val="20"/>
        </w:rPr>
        <w:t xml:space="preserve"> imagini ale echipei de audit și preluate din alte surse</w:t>
      </w:r>
    </w:p>
    <w:p w14:paraId="195FC2FC" w14:textId="04613183" w:rsidR="00450503" w:rsidRPr="00B94290" w:rsidRDefault="005D6542" w:rsidP="00450503">
      <w:pPr>
        <w:pStyle w:val="a7"/>
        <w:numPr>
          <w:ilvl w:val="0"/>
          <w:numId w:val="32"/>
        </w:numPr>
        <w:tabs>
          <w:tab w:val="left" w:pos="284"/>
          <w:tab w:val="left" w:pos="426"/>
        </w:tabs>
        <w:ind w:left="142" w:hanging="142"/>
        <w:jc w:val="both"/>
        <w:rPr>
          <w:rFonts w:ascii="Times New Roman" w:hAnsi="Times New Roman" w:cs="Times New Roman"/>
          <w:b/>
          <w:color w:val="2E74B5" w:themeColor="accent1" w:themeShade="BF"/>
          <w:sz w:val="24"/>
          <w:szCs w:val="24"/>
        </w:rPr>
      </w:pPr>
      <w:r>
        <w:rPr>
          <w:rFonts w:ascii="Times New Roman" w:hAnsi="Times New Roman" w:cs="Times New Roman"/>
          <w:b/>
          <w:color w:val="2E74B5" w:themeColor="accent1" w:themeShade="BF"/>
          <w:sz w:val="24"/>
          <w:szCs w:val="24"/>
        </w:rPr>
        <w:t xml:space="preserve">Există deficiențe </w:t>
      </w:r>
      <w:r w:rsidR="00450503" w:rsidRPr="00B94290">
        <w:rPr>
          <w:rFonts w:ascii="Times New Roman" w:hAnsi="Times New Roman" w:cs="Times New Roman"/>
          <w:b/>
          <w:color w:val="2E74B5" w:themeColor="accent1" w:themeShade="BF"/>
          <w:sz w:val="24"/>
          <w:szCs w:val="24"/>
        </w:rPr>
        <w:t>și în administrarea bunuri</w:t>
      </w:r>
      <w:r>
        <w:rPr>
          <w:rFonts w:ascii="Times New Roman" w:hAnsi="Times New Roman" w:cs="Times New Roman"/>
          <w:b/>
          <w:color w:val="2E74B5" w:themeColor="accent1" w:themeShade="BF"/>
          <w:sz w:val="24"/>
          <w:szCs w:val="24"/>
        </w:rPr>
        <w:t>lor bazei de odihnă „IT-Relax”, urmare tergiversării</w:t>
      </w:r>
      <w:r w:rsidR="00450503" w:rsidRPr="00B94290">
        <w:rPr>
          <w:rFonts w:ascii="Times New Roman" w:hAnsi="Times New Roman" w:cs="Times New Roman"/>
          <w:b/>
          <w:color w:val="2E74B5" w:themeColor="accent1" w:themeShade="BF"/>
          <w:sz w:val="24"/>
          <w:szCs w:val="24"/>
        </w:rPr>
        <w:t xml:space="preserve"> întreprinderii unor acțiuni prompte din partea DGACG și CS. </w:t>
      </w:r>
    </w:p>
    <w:p w14:paraId="09C8081B" w14:textId="2D381642" w:rsidR="00450503" w:rsidRPr="003B329E" w:rsidRDefault="00450503" w:rsidP="00A25A2C">
      <w:pPr>
        <w:spacing w:after="80" w:line="276" w:lineRule="auto"/>
        <w:jc w:val="both"/>
        <w:rPr>
          <w:rFonts w:ascii="Times New Roman" w:hAnsi="Times New Roman" w:cs="Times New Roman"/>
          <w:sz w:val="24"/>
          <w:szCs w:val="24"/>
        </w:rPr>
      </w:pPr>
      <w:r w:rsidRPr="003B329E">
        <w:rPr>
          <w:rFonts w:ascii="Times New Roman" w:hAnsi="Times New Roman" w:cs="Times New Roman"/>
          <w:sz w:val="24"/>
          <w:szCs w:val="24"/>
        </w:rPr>
        <w:t>Curtea de Conturi a menționat în cadrul mai multor misiuni de audit despre existența unor deficiențe aferente administrării acestui obiectiv, inclusiv ce țin de aspectele fondării/fuzionării/lichidării și investițiilor fondatorului în capitalul social al SC „IT-Relax” SRL, însă până la momentul actual autoritățile responsabile nu au întreprins măsurile necesare privind finalizarea procedurii de lichidare și transmitere regulamentară a bunurilor la balanța DGACG.</w:t>
      </w:r>
      <w:r w:rsidR="00BA69A9">
        <w:rPr>
          <w:rFonts w:ascii="Times New Roman" w:hAnsi="Times New Roman" w:cs="Times New Roman"/>
          <w:sz w:val="24"/>
          <w:szCs w:val="24"/>
        </w:rPr>
        <w:t xml:space="preserve"> </w:t>
      </w:r>
    </w:p>
    <w:p w14:paraId="59EB9D05" w14:textId="7FDA907C" w:rsidR="00450503" w:rsidRPr="003B329E" w:rsidRDefault="00450503" w:rsidP="005E02D0">
      <w:pPr>
        <w:spacing w:after="80" w:line="276" w:lineRule="auto"/>
        <w:jc w:val="both"/>
        <w:rPr>
          <w:rFonts w:ascii="Times New Roman" w:hAnsi="Times New Roman" w:cs="Times New Roman"/>
          <w:sz w:val="24"/>
          <w:szCs w:val="24"/>
        </w:rPr>
      </w:pPr>
      <w:r w:rsidRPr="003B329E">
        <w:rPr>
          <w:rFonts w:ascii="Times New Roman" w:hAnsi="Times New Roman" w:cs="Times New Roman"/>
          <w:sz w:val="24"/>
          <w:szCs w:val="24"/>
        </w:rPr>
        <w:t>Astfel, potrivit constatărilor expuse în Raportul auditului conformității la ASP pentru anul 2022</w:t>
      </w:r>
      <w:r w:rsidRPr="003B329E">
        <w:rPr>
          <w:rStyle w:val="a5"/>
          <w:rFonts w:ascii="Times New Roman" w:hAnsi="Times New Roman" w:cs="Times New Roman"/>
          <w:sz w:val="24"/>
          <w:szCs w:val="24"/>
        </w:rPr>
        <w:footnoteReference w:id="112"/>
      </w:r>
      <w:r>
        <w:rPr>
          <w:rFonts w:ascii="Times New Roman" w:hAnsi="Times New Roman" w:cs="Times New Roman"/>
          <w:sz w:val="24"/>
          <w:szCs w:val="24"/>
        </w:rPr>
        <w:t>,</w:t>
      </w:r>
      <w:r w:rsidRPr="003B329E">
        <w:rPr>
          <w:rFonts w:ascii="Times New Roman" w:hAnsi="Times New Roman" w:cs="Times New Roman"/>
          <w:sz w:val="24"/>
          <w:szCs w:val="24"/>
        </w:rPr>
        <w:t xml:space="preserve"> se atestă că odată cu instituirea ASP, prin HG </w:t>
      </w:r>
      <w:r>
        <w:rPr>
          <w:rFonts w:ascii="Times New Roman" w:hAnsi="Times New Roman" w:cs="Times New Roman"/>
          <w:sz w:val="24"/>
          <w:szCs w:val="24"/>
        </w:rPr>
        <w:t>nr.</w:t>
      </w:r>
      <w:r w:rsidRPr="003B329E">
        <w:rPr>
          <w:rFonts w:ascii="Times New Roman" w:hAnsi="Times New Roman" w:cs="Times New Roman"/>
          <w:sz w:val="24"/>
          <w:szCs w:val="24"/>
        </w:rPr>
        <w:t>587/2017</w:t>
      </w:r>
      <w:r w:rsidRPr="003B329E">
        <w:rPr>
          <w:rStyle w:val="a5"/>
          <w:rFonts w:ascii="Times New Roman" w:hAnsi="Times New Roman" w:cs="Times New Roman"/>
          <w:sz w:val="24"/>
          <w:szCs w:val="24"/>
        </w:rPr>
        <w:footnoteReference w:id="113"/>
      </w:r>
      <w:r w:rsidRPr="003B329E">
        <w:rPr>
          <w:rFonts w:ascii="Times New Roman" w:hAnsi="Times New Roman" w:cs="Times New Roman"/>
          <w:sz w:val="24"/>
          <w:szCs w:val="24"/>
        </w:rPr>
        <w:t xml:space="preserve"> s-a decis fuzionarea</w:t>
      </w:r>
      <w:r>
        <w:rPr>
          <w:rFonts w:ascii="Times New Roman" w:hAnsi="Times New Roman" w:cs="Times New Roman"/>
          <w:sz w:val="24"/>
          <w:szCs w:val="24"/>
        </w:rPr>
        <w:t xml:space="preserve"> </w:t>
      </w:r>
      <w:r w:rsidRPr="003B329E">
        <w:rPr>
          <w:rFonts w:ascii="Times New Roman" w:hAnsi="Times New Roman" w:cs="Times New Roman"/>
          <w:sz w:val="24"/>
          <w:szCs w:val="24"/>
        </w:rPr>
        <w:t xml:space="preserve">(absorbția) de către DGACG a S.C. „IT-Relax” SRL, autoritatea de stat devenind succesoare de drepturi și obligații a societății comerciale absorbite. Conform pct. 1 alin. (3) din HG </w:t>
      </w:r>
      <w:r>
        <w:rPr>
          <w:rFonts w:ascii="Times New Roman" w:hAnsi="Times New Roman" w:cs="Times New Roman"/>
          <w:sz w:val="24"/>
          <w:szCs w:val="24"/>
        </w:rPr>
        <w:t>nr.</w:t>
      </w:r>
      <w:r w:rsidRPr="003B329E">
        <w:rPr>
          <w:rFonts w:ascii="Times New Roman" w:hAnsi="Times New Roman" w:cs="Times New Roman"/>
          <w:sz w:val="24"/>
          <w:szCs w:val="24"/>
        </w:rPr>
        <w:t>587/2017</w:t>
      </w:r>
      <w:r>
        <w:rPr>
          <w:rFonts w:ascii="Times New Roman" w:hAnsi="Times New Roman" w:cs="Times New Roman"/>
          <w:sz w:val="24"/>
          <w:szCs w:val="24"/>
        </w:rPr>
        <w:t>,</w:t>
      </w:r>
      <w:r w:rsidRPr="003B329E">
        <w:rPr>
          <w:rFonts w:ascii="Times New Roman" w:hAnsi="Times New Roman" w:cs="Times New Roman"/>
          <w:sz w:val="24"/>
          <w:szCs w:val="24"/>
        </w:rPr>
        <w:t xml:space="preserve"> bunurile imobile care aparțineau societății comerciale, și anume: clădirile cu suprafața de 1</w:t>
      </w:r>
      <w:r>
        <w:rPr>
          <w:rFonts w:ascii="Times New Roman" w:hAnsi="Times New Roman" w:cs="Times New Roman"/>
          <w:sz w:val="24"/>
          <w:szCs w:val="24"/>
        </w:rPr>
        <w:t>.</w:t>
      </w:r>
      <w:r w:rsidRPr="003B329E">
        <w:rPr>
          <w:rFonts w:ascii="Times New Roman" w:hAnsi="Times New Roman" w:cs="Times New Roman"/>
          <w:sz w:val="24"/>
          <w:szCs w:val="24"/>
        </w:rPr>
        <w:t xml:space="preserve">247,5 m.p. și </w:t>
      </w:r>
      <w:r>
        <w:rPr>
          <w:rFonts w:ascii="Times New Roman" w:hAnsi="Times New Roman" w:cs="Times New Roman"/>
          <w:sz w:val="24"/>
          <w:szCs w:val="24"/>
        </w:rPr>
        <w:t xml:space="preserve">de </w:t>
      </w:r>
      <w:r w:rsidRPr="003B329E">
        <w:rPr>
          <w:rFonts w:ascii="Times New Roman" w:hAnsi="Times New Roman" w:cs="Times New Roman"/>
          <w:sz w:val="24"/>
          <w:szCs w:val="24"/>
        </w:rPr>
        <w:t>23,3 m.p. și terenul aferent pe care este amplasată baza de odihnă</w:t>
      </w:r>
      <w:r w:rsidR="003264FB">
        <w:rPr>
          <w:rFonts w:ascii="Times New Roman" w:hAnsi="Times New Roman" w:cs="Times New Roman"/>
          <w:sz w:val="24"/>
          <w:szCs w:val="24"/>
        </w:rPr>
        <w:t>,</w:t>
      </w:r>
      <w:r w:rsidRPr="003B329E">
        <w:rPr>
          <w:rFonts w:ascii="Times New Roman" w:hAnsi="Times New Roman" w:cs="Times New Roman"/>
          <w:sz w:val="24"/>
          <w:szCs w:val="24"/>
        </w:rPr>
        <w:t xml:space="preserve"> </w:t>
      </w:r>
      <w:r>
        <w:rPr>
          <w:rFonts w:ascii="Times New Roman" w:hAnsi="Times New Roman" w:cs="Times New Roman"/>
          <w:sz w:val="24"/>
          <w:szCs w:val="24"/>
        </w:rPr>
        <w:t>cu suprafața de</w:t>
      </w:r>
      <w:r w:rsidRPr="003B329E">
        <w:rPr>
          <w:rFonts w:ascii="Times New Roman" w:hAnsi="Times New Roman" w:cs="Times New Roman"/>
          <w:sz w:val="24"/>
          <w:szCs w:val="24"/>
        </w:rPr>
        <w:t xml:space="preserve"> 0</w:t>
      </w:r>
      <w:r>
        <w:rPr>
          <w:rFonts w:ascii="Times New Roman" w:hAnsi="Times New Roman" w:cs="Times New Roman"/>
          <w:sz w:val="24"/>
          <w:szCs w:val="24"/>
        </w:rPr>
        <w:t>,</w:t>
      </w:r>
      <w:r w:rsidRPr="003B329E">
        <w:rPr>
          <w:rFonts w:ascii="Times New Roman" w:hAnsi="Times New Roman" w:cs="Times New Roman"/>
          <w:sz w:val="24"/>
          <w:szCs w:val="24"/>
        </w:rPr>
        <w:t xml:space="preserve">6903 ha, au fost transmise DGACG. Din </w:t>
      </w:r>
      <w:r>
        <w:rPr>
          <w:rFonts w:ascii="Times New Roman" w:hAnsi="Times New Roman" w:cs="Times New Roman"/>
          <w:sz w:val="24"/>
          <w:szCs w:val="24"/>
        </w:rPr>
        <w:t>cauza</w:t>
      </w:r>
      <w:r w:rsidRPr="003B329E">
        <w:rPr>
          <w:rFonts w:ascii="Times New Roman" w:hAnsi="Times New Roman" w:cs="Times New Roman"/>
          <w:sz w:val="24"/>
          <w:szCs w:val="24"/>
        </w:rPr>
        <w:t xml:space="preserve"> decurgerii anevoioase a procedurii de fuzionare, ulterior s-a decis</w:t>
      </w:r>
      <w:r w:rsidRPr="003B329E">
        <w:rPr>
          <w:rStyle w:val="a5"/>
          <w:rFonts w:ascii="Times New Roman" w:hAnsi="Times New Roman" w:cs="Times New Roman"/>
          <w:sz w:val="24"/>
          <w:szCs w:val="24"/>
        </w:rPr>
        <w:footnoteReference w:id="114"/>
      </w:r>
      <w:r w:rsidRPr="003B329E">
        <w:rPr>
          <w:rFonts w:ascii="Times New Roman" w:hAnsi="Times New Roman" w:cs="Times New Roman"/>
          <w:sz w:val="24"/>
          <w:szCs w:val="24"/>
        </w:rPr>
        <w:t xml:space="preserve"> lichidarea S.C. „IT-Relax” SRL, ASP revenindu-i responsabilitatea de desemnare a lichidatorului societății. </w:t>
      </w:r>
    </w:p>
    <w:p w14:paraId="3EF39EE9" w14:textId="2499200D" w:rsidR="00450503" w:rsidRPr="003B329E" w:rsidRDefault="00450503" w:rsidP="005E02D0">
      <w:pPr>
        <w:spacing w:after="80" w:line="276" w:lineRule="auto"/>
        <w:jc w:val="both"/>
        <w:rPr>
          <w:rFonts w:ascii="Times New Roman" w:hAnsi="Times New Roman" w:cs="Times New Roman"/>
          <w:sz w:val="24"/>
          <w:szCs w:val="24"/>
        </w:rPr>
      </w:pPr>
      <w:r w:rsidRPr="003B329E">
        <w:rPr>
          <w:rFonts w:ascii="Times New Roman" w:hAnsi="Times New Roman" w:cs="Times New Roman"/>
          <w:sz w:val="24"/>
          <w:szCs w:val="24"/>
        </w:rPr>
        <w:t>Analiza prezentului audit privind datele RBI atestă neconformități legate de înregistrarea cadastrală a drepturilor reale asupra acestor imobile</w:t>
      </w:r>
      <w:r>
        <w:rPr>
          <w:rFonts w:ascii="Times New Roman" w:hAnsi="Times New Roman" w:cs="Times New Roman"/>
          <w:sz w:val="24"/>
          <w:szCs w:val="24"/>
        </w:rPr>
        <w:t>,</w:t>
      </w:r>
      <w:r w:rsidRPr="003B329E">
        <w:rPr>
          <w:rFonts w:ascii="Times New Roman" w:hAnsi="Times New Roman" w:cs="Times New Roman"/>
          <w:sz w:val="24"/>
          <w:szCs w:val="24"/>
        </w:rPr>
        <w:t xml:space="preserve"> și anume clădirile bazei de odihnă regăsindu-se atât în gestiunea/administrare</w:t>
      </w:r>
      <w:r>
        <w:rPr>
          <w:rFonts w:ascii="Times New Roman" w:hAnsi="Times New Roman" w:cs="Times New Roman"/>
          <w:sz w:val="24"/>
          <w:szCs w:val="24"/>
        </w:rPr>
        <w:t>a</w:t>
      </w:r>
      <w:r w:rsidRPr="003B329E">
        <w:rPr>
          <w:rFonts w:ascii="Times New Roman" w:hAnsi="Times New Roman" w:cs="Times New Roman"/>
          <w:sz w:val="24"/>
          <w:szCs w:val="24"/>
        </w:rPr>
        <w:t xml:space="preserve"> economică a noului proprietar</w:t>
      </w:r>
      <w:r>
        <w:rPr>
          <w:rFonts w:ascii="Times New Roman" w:hAnsi="Times New Roman" w:cs="Times New Roman"/>
          <w:sz w:val="24"/>
          <w:szCs w:val="24"/>
        </w:rPr>
        <w:t xml:space="preserve"> </w:t>
      </w:r>
      <w:r w:rsidRPr="003B329E">
        <w:rPr>
          <w:rFonts w:ascii="Times New Roman" w:hAnsi="Times New Roman" w:cs="Times New Roman"/>
          <w:sz w:val="24"/>
          <w:szCs w:val="24"/>
        </w:rPr>
        <w:t>(DGACG)</w:t>
      </w:r>
      <w:r>
        <w:rPr>
          <w:rFonts w:ascii="Times New Roman" w:hAnsi="Times New Roman" w:cs="Times New Roman"/>
          <w:sz w:val="24"/>
          <w:szCs w:val="24"/>
        </w:rPr>
        <w:t>,</w:t>
      </w:r>
      <w:r w:rsidRPr="003B329E">
        <w:rPr>
          <w:rFonts w:ascii="Times New Roman" w:hAnsi="Times New Roman" w:cs="Times New Roman"/>
          <w:sz w:val="24"/>
          <w:szCs w:val="24"/>
        </w:rPr>
        <w:t xml:space="preserve"> cât și în gestiunea fostului titular de drepturi (</w:t>
      </w:r>
      <w:r>
        <w:rPr>
          <w:rFonts w:ascii="Times New Roman" w:hAnsi="Times New Roman" w:cs="Times New Roman"/>
          <w:sz w:val="24"/>
          <w:szCs w:val="24"/>
        </w:rPr>
        <w:t>„</w:t>
      </w:r>
      <w:r w:rsidRPr="003B329E">
        <w:rPr>
          <w:rFonts w:ascii="Times New Roman" w:hAnsi="Times New Roman" w:cs="Times New Roman"/>
          <w:sz w:val="24"/>
          <w:szCs w:val="24"/>
        </w:rPr>
        <w:t>IT-Relax</w:t>
      </w:r>
      <w:r>
        <w:rPr>
          <w:rFonts w:ascii="Times New Roman" w:hAnsi="Times New Roman" w:cs="Times New Roman"/>
          <w:sz w:val="24"/>
          <w:szCs w:val="24"/>
        </w:rPr>
        <w:t>”</w:t>
      </w:r>
      <w:r w:rsidRPr="003B329E">
        <w:rPr>
          <w:rFonts w:ascii="Times New Roman" w:hAnsi="Times New Roman" w:cs="Times New Roman"/>
          <w:sz w:val="24"/>
          <w:szCs w:val="24"/>
        </w:rPr>
        <w:t xml:space="preserve"> SRL), ceea ce contravine prevederilor legale</w:t>
      </w:r>
      <w:r w:rsidRPr="003B329E">
        <w:rPr>
          <w:rStyle w:val="a5"/>
          <w:rFonts w:ascii="Times New Roman" w:hAnsi="Times New Roman" w:cs="Times New Roman"/>
          <w:sz w:val="24"/>
          <w:szCs w:val="24"/>
        </w:rPr>
        <w:footnoteReference w:id="115"/>
      </w:r>
      <w:r w:rsidRPr="003B329E">
        <w:rPr>
          <w:rFonts w:ascii="Times New Roman" w:hAnsi="Times New Roman" w:cs="Times New Roman"/>
          <w:sz w:val="24"/>
          <w:szCs w:val="24"/>
        </w:rPr>
        <w:t>.</w:t>
      </w:r>
      <w:r w:rsidR="00BA69A9">
        <w:rPr>
          <w:rFonts w:ascii="Times New Roman" w:hAnsi="Times New Roman" w:cs="Times New Roman"/>
          <w:sz w:val="24"/>
          <w:szCs w:val="24"/>
        </w:rPr>
        <w:t xml:space="preserve"> </w:t>
      </w:r>
    </w:p>
    <w:p w14:paraId="3BCC9C3F" w14:textId="420EF01C" w:rsidR="00450503" w:rsidRPr="006926B7" w:rsidRDefault="00450503" w:rsidP="00A25A2C">
      <w:pPr>
        <w:spacing w:after="80" w:line="276" w:lineRule="auto"/>
        <w:jc w:val="both"/>
        <w:rPr>
          <w:rFonts w:ascii="Times New Roman" w:hAnsi="Times New Roman" w:cs="Times New Roman"/>
          <w:sz w:val="24"/>
        </w:rPr>
      </w:pPr>
      <w:r w:rsidRPr="003B329E">
        <w:rPr>
          <w:rFonts w:ascii="Times New Roman" w:hAnsi="Times New Roman" w:cs="Times New Roman"/>
          <w:sz w:val="24"/>
        </w:rPr>
        <w:t>Un alt aspect important de menționat</w:t>
      </w:r>
      <w:r w:rsidR="006926B7">
        <w:rPr>
          <w:rFonts w:ascii="Times New Roman" w:hAnsi="Times New Roman" w:cs="Times New Roman"/>
          <w:sz w:val="24"/>
        </w:rPr>
        <w:t xml:space="preserve"> ține de tergiversarea mai mult de 5 ani a procesului de lichidare a </w:t>
      </w:r>
      <w:r w:rsidR="006926B7" w:rsidRPr="006926B7">
        <w:rPr>
          <w:rFonts w:ascii="Times New Roman" w:hAnsi="Times New Roman" w:cs="Times New Roman"/>
          <w:sz w:val="24"/>
        </w:rPr>
        <w:t>S.C. „IT-Relax” SRL</w:t>
      </w:r>
      <w:r w:rsidR="006926B7">
        <w:rPr>
          <w:rFonts w:ascii="Times New Roman" w:hAnsi="Times New Roman" w:cs="Times New Roman"/>
          <w:sz w:val="24"/>
        </w:rPr>
        <w:t xml:space="preserve">, în așa mod </w:t>
      </w:r>
      <w:r w:rsidR="006926B7" w:rsidRPr="003B329E">
        <w:rPr>
          <w:rFonts w:ascii="Times New Roman" w:hAnsi="Times New Roman" w:cs="Times New Roman"/>
          <w:sz w:val="24"/>
          <w:szCs w:val="24"/>
          <w:shd w:val="clear" w:color="auto" w:fill="FFFFFF"/>
        </w:rPr>
        <w:t>bunurile materiale estimate în sumă totală de 9,1 mil</w:t>
      </w:r>
      <w:r w:rsidR="006926B7">
        <w:rPr>
          <w:rFonts w:ascii="Times New Roman" w:hAnsi="Times New Roman" w:cs="Times New Roman"/>
          <w:sz w:val="24"/>
          <w:szCs w:val="24"/>
          <w:shd w:val="clear" w:color="auto" w:fill="FFFFFF"/>
        </w:rPr>
        <w:t>.</w:t>
      </w:r>
      <w:r w:rsidR="006926B7" w:rsidRPr="003B329E">
        <w:rPr>
          <w:rFonts w:ascii="Times New Roman" w:hAnsi="Times New Roman" w:cs="Times New Roman"/>
          <w:sz w:val="24"/>
          <w:szCs w:val="24"/>
          <w:shd w:val="clear" w:color="auto" w:fill="FFFFFF"/>
        </w:rPr>
        <w:t xml:space="preserve"> lei n</w:t>
      </w:r>
      <w:r w:rsidR="006926B7">
        <w:rPr>
          <w:rFonts w:ascii="Times New Roman" w:hAnsi="Times New Roman" w:cs="Times New Roman"/>
          <w:sz w:val="24"/>
          <w:szCs w:val="24"/>
          <w:shd w:val="clear" w:color="auto" w:fill="FFFFFF"/>
        </w:rPr>
        <w:t xml:space="preserve">efiind transmise regulamentar DGACG. </w:t>
      </w:r>
      <w:r w:rsidRPr="003B329E">
        <w:rPr>
          <w:rFonts w:ascii="Times New Roman" w:hAnsi="Times New Roman" w:cs="Times New Roman"/>
          <w:sz w:val="24"/>
          <w:szCs w:val="24"/>
          <w:shd w:val="clear" w:color="auto" w:fill="FFFFFF"/>
        </w:rPr>
        <w:t>În urma examinării documentației prezentate de entitate, s-a constatat faptul că</w:t>
      </w:r>
      <w:r>
        <w:rPr>
          <w:rFonts w:ascii="Times New Roman" w:hAnsi="Times New Roman" w:cs="Times New Roman"/>
          <w:sz w:val="24"/>
          <w:szCs w:val="24"/>
          <w:shd w:val="clear" w:color="auto" w:fill="FFFFFF"/>
        </w:rPr>
        <w:t>,</w:t>
      </w:r>
      <w:r w:rsidRPr="003B329E">
        <w:rPr>
          <w:rFonts w:ascii="Times New Roman" w:hAnsi="Times New Roman" w:cs="Times New Roman"/>
          <w:sz w:val="24"/>
          <w:szCs w:val="24"/>
          <w:shd w:val="clear" w:color="auto" w:fill="FFFFFF"/>
        </w:rPr>
        <w:t xml:space="preserve"> totuși</w:t>
      </w:r>
      <w:r>
        <w:rPr>
          <w:rFonts w:ascii="Times New Roman" w:hAnsi="Times New Roman" w:cs="Times New Roman"/>
          <w:sz w:val="24"/>
          <w:szCs w:val="24"/>
          <w:shd w:val="clear" w:color="auto" w:fill="FFFFFF"/>
        </w:rPr>
        <w:t>,</w:t>
      </w:r>
      <w:r w:rsidRPr="003B329E">
        <w:rPr>
          <w:rFonts w:ascii="Times New Roman" w:hAnsi="Times New Roman" w:cs="Times New Roman"/>
          <w:sz w:val="24"/>
          <w:szCs w:val="24"/>
          <w:shd w:val="clear" w:color="auto" w:fill="FFFFFF"/>
        </w:rPr>
        <w:t xml:space="preserve"> DGACG</w:t>
      </w:r>
      <w:r>
        <w:rPr>
          <w:rFonts w:ascii="Times New Roman" w:hAnsi="Times New Roman" w:cs="Times New Roman"/>
          <w:sz w:val="24"/>
          <w:szCs w:val="24"/>
          <w:shd w:val="clear" w:color="auto" w:fill="FFFFFF"/>
        </w:rPr>
        <w:t xml:space="preserve"> </w:t>
      </w:r>
      <w:r w:rsidRPr="003B329E">
        <w:rPr>
          <w:rFonts w:ascii="Times New Roman" w:hAnsi="Times New Roman" w:cs="Times New Roman"/>
          <w:sz w:val="24"/>
          <w:szCs w:val="24"/>
          <w:shd w:val="clear" w:color="auto" w:fill="FFFFFF"/>
        </w:rPr>
        <w:t>utilizează</w:t>
      </w:r>
      <w:r>
        <w:rPr>
          <w:rFonts w:ascii="Times New Roman" w:hAnsi="Times New Roman" w:cs="Times New Roman"/>
          <w:sz w:val="24"/>
          <w:szCs w:val="24"/>
          <w:shd w:val="clear" w:color="auto" w:fill="FFFFFF"/>
        </w:rPr>
        <w:t xml:space="preserve"> </w:t>
      </w:r>
      <w:r w:rsidRPr="003B329E">
        <w:rPr>
          <w:rFonts w:ascii="Times New Roman" w:hAnsi="Times New Roman" w:cs="Times New Roman"/>
          <w:sz w:val="24"/>
          <w:szCs w:val="24"/>
          <w:shd w:val="clear" w:color="auto" w:fill="FFFFFF"/>
        </w:rPr>
        <w:t>bunurile bazei de odihnă</w:t>
      </w:r>
      <w:r>
        <w:rPr>
          <w:rFonts w:ascii="Times New Roman" w:hAnsi="Times New Roman" w:cs="Times New Roman"/>
          <w:sz w:val="24"/>
          <w:szCs w:val="24"/>
          <w:shd w:val="clear" w:color="auto" w:fill="FFFFFF"/>
        </w:rPr>
        <w:t>,</w:t>
      </w:r>
      <w:r w:rsidRPr="003B329E">
        <w:rPr>
          <w:rFonts w:ascii="Times New Roman" w:hAnsi="Times New Roman" w:cs="Times New Roman"/>
          <w:sz w:val="24"/>
          <w:szCs w:val="24"/>
          <w:shd w:val="clear" w:color="auto" w:fill="FFFFFF"/>
        </w:rPr>
        <w:t xml:space="preserve"> în scopul asigurării funcționării obiectivului de agrement </w:t>
      </w:r>
      <w:r>
        <w:rPr>
          <w:rFonts w:ascii="Times New Roman" w:hAnsi="Times New Roman" w:cs="Times New Roman"/>
          <w:sz w:val="24"/>
          <w:szCs w:val="24"/>
          <w:shd w:val="clear" w:color="auto" w:fill="FFFFFF"/>
        </w:rPr>
        <w:t xml:space="preserve">și </w:t>
      </w:r>
      <w:r w:rsidRPr="003B329E">
        <w:rPr>
          <w:rFonts w:ascii="Times New Roman" w:hAnsi="Times New Roman" w:cs="Times New Roman"/>
          <w:sz w:val="24"/>
          <w:szCs w:val="24"/>
          <w:shd w:val="clear" w:color="auto" w:fill="FFFFFF"/>
        </w:rPr>
        <w:t xml:space="preserve">în </w:t>
      </w:r>
      <w:r>
        <w:rPr>
          <w:rFonts w:ascii="Times New Roman" w:hAnsi="Times New Roman" w:cs="Times New Roman"/>
          <w:sz w:val="24"/>
          <w:szCs w:val="24"/>
          <w:shd w:val="clear" w:color="auto" w:fill="FFFFFF"/>
        </w:rPr>
        <w:t>temeiul</w:t>
      </w:r>
      <w:r w:rsidRPr="003B329E">
        <w:rPr>
          <w:rFonts w:ascii="Times New Roman" w:hAnsi="Times New Roman" w:cs="Times New Roman"/>
          <w:sz w:val="24"/>
          <w:szCs w:val="24"/>
          <w:shd w:val="clear" w:color="auto" w:fill="FFFFFF"/>
        </w:rPr>
        <w:t xml:space="preserve"> contractului de depozitare</w:t>
      </w:r>
      <w:r w:rsidRPr="003B329E">
        <w:rPr>
          <w:rStyle w:val="a5"/>
          <w:rFonts w:ascii="Times New Roman" w:hAnsi="Times New Roman" w:cs="Times New Roman"/>
          <w:sz w:val="24"/>
          <w:szCs w:val="24"/>
          <w:shd w:val="clear" w:color="auto" w:fill="FFFFFF"/>
        </w:rPr>
        <w:footnoteReference w:id="116"/>
      </w:r>
      <w:r w:rsidRPr="003B329E">
        <w:rPr>
          <w:rFonts w:ascii="Times New Roman" w:hAnsi="Times New Roman" w:cs="Times New Roman"/>
          <w:sz w:val="24"/>
          <w:szCs w:val="24"/>
          <w:shd w:val="clear" w:color="auto" w:fill="FFFFFF"/>
        </w:rPr>
        <w:t xml:space="preserve"> a bunurilor încheiat între instituția publică și lichidatorul </w:t>
      </w:r>
      <w:r w:rsidRPr="003B329E">
        <w:rPr>
          <w:rFonts w:ascii="Times New Roman" w:hAnsi="Times New Roman" w:cs="Times New Roman"/>
          <w:sz w:val="24"/>
          <w:szCs w:val="24"/>
        </w:rPr>
        <w:t>„IT-Relax” SRL. În pofida acestui fapt, în evidența contabilă a Direcției bunurile nu sunt înregistrate, prin ce n</w:t>
      </w:r>
      <w:r>
        <w:rPr>
          <w:rFonts w:ascii="Times New Roman" w:hAnsi="Times New Roman" w:cs="Times New Roman"/>
          <w:sz w:val="24"/>
          <w:szCs w:val="24"/>
        </w:rPr>
        <w:t xml:space="preserve">u </w:t>
      </w:r>
      <w:r w:rsidRPr="003B329E">
        <w:rPr>
          <w:rFonts w:ascii="Times New Roman" w:hAnsi="Times New Roman" w:cs="Times New Roman"/>
          <w:sz w:val="24"/>
          <w:szCs w:val="24"/>
        </w:rPr>
        <w:t>au fost respectate prevederile legale</w:t>
      </w:r>
      <w:r w:rsidRPr="003B329E">
        <w:rPr>
          <w:rStyle w:val="a5"/>
          <w:rFonts w:ascii="Times New Roman" w:hAnsi="Times New Roman" w:cs="Times New Roman"/>
          <w:sz w:val="24"/>
          <w:szCs w:val="24"/>
        </w:rPr>
        <w:footnoteReference w:id="117"/>
      </w:r>
      <w:r w:rsidRPr="003B329E">
        <w:rPr>
          <w:rFonts w:ascii="Times New Roman" w:hAnsi="Times New Roman" w:cs="Times New Roman"/>
          <w:sz w:val="24"/>
          <w:szCs w:val="24"/>
        </w:rPr>
        <w:t xml:space="preserve"> care prevăd că activele nefinanciare, care nu </w:t>
      </w:r>
      <w:r w:rsidR="005E02D0" w:rsidRPr="003B329E">
        <w:rPr>
          <w:rFonts w:ascii="Times New Roman" w:hAnsi="Times New Roman" w:cs="Times New Roman"/>
          <w:sz w:val="24"/>
          <w:szCs w:val="24"/>
        </w:rPr>
        <w:t>aparțin</w:t>
      </w:r>
      <w:r w:rsidRPr="003B329E">
        <w:rPr>
          <w:rFonts w:ascii="Times New Roman" w:hAnsi="Times New Roman" w:cs="Times New Roman"/>
          <w:sz w:val="24"/>
          <w:szCs w:val="24"/>
        </w:rPr>
        <w:t xml:space="preserve"> </w:t>
      </w:r>
      <w:r w:rsidR="005E02D0" w:rsidRPr="003B329E">
        <w:rPr>
          <w:rFonts w:ascii="Times New Roman" w:hAnsi="Times New Roman" w:cs="Times New Roman"/>
          <w:sz w:val="24"/>
          <w:szCs w:val="24"/>
        </w:rPr>
        <w:t>autorităților</w:t>
      </w:r>
      <w:r w:rsidRPr="003B329E">
        <w:rPr>
          <w:rFonts w:ascii="Times New Roman" w:hAnsi="Times New Roman" w:cs="Times New Roman"/>
          <w:sz w:val="24"/>
          <w:szCs w:val="24"/>
        </w:rPr>
        <w:t>/</w:t>
      </w:r>
      <w:r w:rsidR="005E02D0" w:rsidRPr="003B329E">
        <w:rPr>
          <w:rFonts w:ascii="Times New Roman" w:hAnsi="Times New Roman" w:cs="Times New Roman"/>
          <w:sz w:val="24"/>
          <w:szCs w:val="24"/>
        </w:rPr>
        <w:t>instituțiilor</w:t>
      </w:r>
      <w:r w:rsidRPr="003B329E">
        <w:rPr>
          <w:rFonts w:ascii="Times New Roman" w:hAnsi="Times New Roman" w:cs="Times New Roman"/>
          <w:sz w:val="24"/>
          <w:szCs w:val="24"/>
        </w:rPr>
        <w:t xml:space="preserve"> bugetare</w:t>
      </w:r>
      <w:r>
        <w:rPr>
          <w:rFonts w:ascii="Times New Roman" w:hAnsi="Times New Roman" w:cs="Times New Roman"/>
          <w:sz w:val="24"/>
          <w:szCs w:val="24"/>
        </w:rPr>
        <w:t>,</w:t>
      </w:r>
      <w:r w:rsidRPr="003B329E">
        <w:rPr>
          <w:rFonts w:ascii="Times New Roman" w:hAnsi="Times New Roman" w:cs="Times New Roman"/>
          <w:sz w:val="24"/>
          <w:szCs w:val="24"/>
        </w:rPr>
        <w:t xml:space="preserve"> se reflectă în </w:t>
      </w:r>
      <w:r w:rsidR="005E02D0" w:rsidRPr="003B329E">
        <w:rPr>
          <w:rFonts w:ascii="Times New Roman" w:hAnsi="Times New Roman" w:cs="Times New Roman"/>
          <w:sz w:val="24"/>
          <w:szCs w:val="24"/>
        </w:rPr>
        <w:t>evidența</w:t>
      </w:r>
      <w:r w:rsidRPr="003B329E">
        <w:rPr>
          <w:rFonts w:ascii="Times New Roman" w:hAnsi="Times New Roman" w:cs="Times New Roman"/>
          <w:sz w:val="24"/>
          <w:szCs w:val="24"/>
        </w:rPr>
        <w:t xml:space="preserve"> contabilă la conturile extrabilanţiere respective. </w:t>
      </w:r>
    </w:p>
    <w:p w14:paraId="3392FEBF" w14:textId="45D09998" w:rsidR="00450503" w:rsidRPr="003B329E" w:rsidRDefault="00450503" w:rsidP="00A25A2C">
      <w:pPr>
        <w:tabs>
          <w:tab w:val="left" w:pos="284"/>
        </w:tabs>
        <w:spacing w:after="80" w:line="276" w:lineRule="auto"/>
        <w:jc w:val="both"/>
        <w:rPr>
          <w:rFonts w:ascii="Times New Roman" w:hAnsi="Times New Roman" w:cs="Times New Roman"/>
          <w:sz w:val="24"/>
          <w:szCs w:val="24"/>
        </w:rPr>
      </w:pPr>
      <w:r w:rsidRPr="003B329E">
        <w:rPr>
          <w:rFonts w:ascii="Times New Roman" w:hAnsi="Times New Roman" w:cs="Times New Roman"/>
          <w:sz w:val="24"/>
          <w:szCs w:val="24"/>
        </w:rPr>
        <w:t>Potrivit informațiilor prezentate auditului, cauza tergiversării definitivării procedurii de lichidare o reprezintă dificultățile existente privind achitarea creanțelor chirografare a</w:t>
      </w:r>
      <w:r>
        <w:rPr>
          <w:rFonts w:ascii="Times New Roman" w:hAnsi="Times New Roman" w:cs="Times New Roman"/>
          <w:sz w:val="24"/>
          <w:szCs w:val="24"/>
        </w:rPr>
        <w:t>le</w:t>
      </w:r>
      <w:r w:rsidRPr="003B329E">
        <w:rPr>
          <w:rFonts w:ascii="Times New Roman" w:hAnsi="Times New Roman" w:cs="Times New Roman"/>
          <w:sz w:val="24"/>
          <w:szCs w:val="24"/>
        </w:rPr>
        <w:t xml:space="preserve"> SRL-lui față de fondator – ASP. În vederea stingerii acestora, în procesul de lichidare s-a recurs la comercializarea bunurilor folosite de baza de odihnă și depozitate la DGACG. Pe parcursul perioadei auditate s</w:t>
      </w:r>
      <w:r>
        <w:rPr>
          <w:rFonts w:ascii="Times New Roman" w:hAnsi="Times New Roman" w:cs="Times New Roman"/>
          <w:sz w:val="24"/>
          <w:szCs w:val="24"/>
        </w:rPr>
        <w:t>-a</w:t>
      </w:r>
      <w:r w:rsidRPr="003B329E">
        <w:rPr>
          <w:rFonts w:ascii="Times New Roman" w:hAnsi="Times New Roman" w:cs="Times New Roman"/>
          <w:sz w:val="24"/>
          <w:szCs w:val="24"/>
        </w:rPr>
        <w:t xml:space="preserve"> atest</w:t>
      </w:r>
      <w:r>
        <w:rPr>
          <w:rFonts w:ascii="Times New Roman" w:hAnsi="Times New Roman" w:cs="Times New Roman"/>
          <w:sz w:val="24"/>
          <w:szCs w:val="24"/>
        </w:rPr>
        <w:t>at</w:t>
      </w:r>
      <w:r w:rsidRPr="003B329E">
        <w:rPr>
          <w:rFonts w:ascii="Times New Roman" w:hAnsi="Times New Roman" w:cs="Times New Roman"/>
          <w:sz w:val="24"/>
          <w:szCs w:val="24"/>
        </w:rPr>
        <w:t xml:space="preserve"> </w:t>
      </w:r>
      <w:r>
        <w:rPr>
          <w:rFonts w:ascii="Times New Roman" w:hAnsi="Times New Roman" w:cs="Times New Roman"/>
          <w:sz w:val="24"/>
          <w:szCs w:val="24"/>
        </w:rPr>
        <w:t>faptul că</w:t>
      </w:r>
      <w:r w:rsidRPr="003B329E">
        <w:rPr>
          <w:rFonts w:ascii="Times New Roman" w:hAnsi="Times New Roman" w:cs="Times New Roman"/>
          <w:sz w:val="24"/>
          <w:szCs w:val="24"/>
        </w:rPr>
        <w:t xml:space="preserve"> bunuri</w:t>
      </w:r>
      <w:r>
        <w:rPr>
          <w:rFonts w:ascii="Times New Roman" w:hAnsi="Times New Roman" w:cs="Times New Roman"/>
          <w:sz w:val="24"/>
          <w:szCs w:val="24"/>
        </w:rPr>
        <w:t>le au fost</w:t>
      </w:r>
      <w:r w:rsidRPr="003B329E">
        <w:rPr>
          <w:rFonts w:ascii="Times New Roman" w:hAnsi="Times New Roman" w:cs="Times New Roman"/>
          <w:sz w:val="24"/>
          <w:szCs w:val="24"/>
        </w:rPr>
        <w:t xml:space="preserve"> valorificate de către lichidator prin organizarea licitațiilor cu strigare</w:t>
      </w:r>
      <w:r w:rsidRPr="003B329E">
        <w:rPr>
          <w:rStyle w:val="a5"/>
          <w:rFonts w:ascii="Times New Roman" w:hAnsi="Times New Roman" w:cs="Times New Roman"/>
          <w:sz w:val="24"/>
          <w:szCs w:val="24"/>
        </w:rPr>
        <w:footnoteReference w:id="118"/>
      </w:r>
      <w:r w:rsidRPr="003B329E">
        <w:rPr>
          <w:rFonts w:ascii="Times New Roman" w:hAnsi="Times New Roman" w:cs="Times New Roman"/>
          <w:sz w:val="24"/>
          <w:szCs w:val="24"/>
        </w:rPr>
        <w:t xml:space="preserve">, </w:t>
      </w:r>
      <w:r>
        <w:rPr>
          <w:rFonts w:ascii="Times New Roman" w:hAnsi="Times New Roman" w:cs="Times New Roman"/>
          <w:sz w:val="24"/>
          <w:szCs w:val="24"/>
        </w:rPr>
        <w:t>fiind încasată</w:t>
      </w:r>
      <w:r w:rsidRPr="003B329E">
        <w:rPr>
          <w:rFonts w:ascii="Times New Roman" w:hAnsi="Times New Roman" w:cs="Times New Roman"/>
          <w:sz w:val="24"/>
          <w:szCs w:val="24"/>
        </w:rPr>
        <w:t xml:space="preserve"> sum</w:t>
      </w:r>
      <w:r>
        <w:rPr>
          <w:rFonts w:ascii="Times New Roman" w:hAnsi="Times New Roman" w:cs="Times New Roman"/>
          <w:sz w:val="24"/>
          <w:szCs w:val="24"/>
        </w:rPr>
        <w:t>a</w:t>
      </w:r>
      <w:r w:rsidRPr="003B329E">
        <w:rPr>
          <w:rFonts w:ascii="Times New Roman" w:hAnsi="Times New Roman" w:cs="Times New Roman"/>
          <w:sz w:val="24"/>
          <w:szCs w:val="24"/>
        </w:rPr>
        <w:t xml:space="preserve"> totală de 572,0 mii lei, direcționat</w:t>
      </w:r>
      <w:r>
        <w:rPr>
          <w:rFonts w:ascii="Times New Roman" w:hAnsi="Times New Roman" w:cs="Times New Roman"/>
          <w:sz w:val="24"/>
          <w:szCs w:val="24"/>
        </w:rPr>
        <w:t>ă</w:t>
      </w:r>
      <w:r w:rsidRPr="003B329E">
        <w:rPr>
          <w:rFonts w:ascii="Times New Roman" w:hAnsi="Times New Roman" w:cs="Times New Roman"/>
          <w:sz w:val="24"/>
          <w:szCs w:val="24"/>
        </w:rPr>
        <w:t xml:space="preserve"> </w:t>
      </w:r>
      <w:r>
        <w:rPr>
          <w:rFonts w:ascii="Times New Roman" w:hAnsi="Times New Roman" w:cs="Times New Roman"/>
          <w:sz w:val="24"/>
          <w:szCs w:val="24"/>
        </w:rPr>
        <w:t>la</w:t>
      </w:r>
      <w:r w:rsidRPr="003B329E">
        <w:rPr>
          <w:rFonts w:ascii="Times New Roman" w:hAnsi="Times New Roman" w:cs="Times New Roman"/>
          <w:sz w:val="24"/>
          <w:szCs w:val="24"/>
        </w:rPr>
        <w:t xml:space="preserve"> achitarea cheltuielilor de remunerare a lichidatorului și </w:t>
      </w:r>
      <w:r>
        <w:rPr>
          <w:rFonts w:ascii="Times New Roman" w:hAnsi="Times New Roman" w:cs="Times New Roman"/>
          <w:sz w:val="24"/>
          <w:szCs w:val="24"/>
        </w:rPr>
        <w:t xml:space="preserve">a </w:t>
      </w:r>
      <w:r w:rsidRPr="003B329E">
        <w:rPr>
          <w:rFonts w:ascii="Times New Roman" w:hAnsi="Times New Roman" w:cs="Times New Roman"/>
          <w:sz w:val="24"/>
          <w:szCs w:val="24"/>
        </w:rPr>
        <w:t>un</w:t>
      </w:r>
      <w:r>
        <w:rPr>
          <w:rFonts w:ascii="Times New Roman" w:hAnsi="Times New Roman" w:cs="Times New Roman"/>
          <w:sz w:val="24"/>
          <w:szCs w:val="24"/>
        </w:rPr>
        <w:t>or</w:t>
      </w:r>
      <w:r w:rsidRPr="003B329E">
        <w:rPr>
          <w:rFonts w:ascii="Times New Roman" w:hAnsi="Times New Roman" w:cs="Times New Roman"/>
          <w:sz w:val="24"/>
          <w:szCs w:val="24"/>
        </w:rPr>
        <w:t xml:space="preserve"> creanțe chirografare. La finele anului 2022 valoarea creanțelor constitui</w:t>
      </w:r>
      <w:r>
        <w:rPr>
          <w:rFonts w:ascii="Times New Roman" w:hAnsi="Times New Roman" w:cs="Times New Roman"/>
          <w:sz w:val="24"/>
          <w:szCs w:val="24"/>
        </w:rPr>
        <w:t>a</w:t>
      </w:r>
      <w:r w:rsidRPr="003B329E">
        <w:rPr>
          <w:rFonts w:ascii="Times New Roman" w:hAnsi="Times New Roman" w:cs="Times New Roman"/>
          <w:sz w:val="24"/>
          <w:szCs w:val="24"/>
        </w:rPr>
        <w:t xml:space="preserve"> 323,7 mii lei. Cu toate că suma indicată este nesemnificativă și existau premise pentru stingerea </w:t>
      </w:r>
      <w:r>
        <w:rPr>
          <w:rFonts w:ascii="Times New Roman" w:hAnsi="Times New Roman" w:cs="Times New Roman"/>
          <w:sz w:val="24"/>
          <w:szCs w:val="24"/>
        </w:rPr>
        <w:t>creanțelor</w:t>
      </w:r>
      <w:r w:rsidRPr="003B329E">
        <w:rPr>
          <w:rFonts w:ascii="Times New Roman" w:hAnsi="Times New Roman" w:cs="Times New Roman"/>
          <w:sz w:val="24"/>
          <w:szCs w:val="24"/>
        </w:rPr>
        <w:t>, CS și DGACG nu au identificat soluții în acest sens</w:t>
      </w:r>
      <w:r>
        <w:rPr>
          <w:rFonts w:ascii="Times New Roman" w:hAnsi="Times New Roman" w:cs="Times New Roman"/>
          <w:sz w:val="24"/>
          <w:szCs w:val="24"/>
        </w:rPr>
        <w:t>,</w:t>
      </w:r>
      <w:r w:rsidR="00BA69A9">
        <w:rPr>
          <w:rFonts w:ascii="Times New Roman" w:hAnsi="Times New Roman" w:cs="Times New Roman"/>
          <w:sz w:val="24"/>
          <w:szCs w:val="24"/>
        </w:rPr>
        <w:t xml:space="preserve"> </w:t>
      </w:r>
      <w:r w:rsidRPr="003B329E">
        <w:rPr>
          <w:rFonts w:ascii="Times New Roman" w:hAnsi="Times New Roman" w:cs="Times New Roman"/>
          <w:sz w:val="24"/>
          <w:szCs w:val="24"/>
        </w:rPr>
        <w:t xml:space="preserve">care ar fi asigurat păstrarea bunurilor materiale în vederea folosirii lor în activitatea </w:t>
      </w:r>
      <w:r>
        <w:rPr>
          <w:rFonts w:ascii="Times New Roman" w:hAnsi="Times New Roman" w:cs="Times New Roman"/>
          <w:sz w:val="24"/>
          <w:szCs w:val="24"/>
        </w:rPr>
        <w:t>„</w:t>
      </w:r>
      <w:r w:rsidRPr="003B329E">
        <w:rPr>
          <w:rFonts w:ascii="Times New Roman" w:hAnsi="Times New Roman" w:cs="Times New Roman"/>
          <w:sz w:val="24"/>
          <w:szCs w:val="24"/>
        </w:rPr>
        <w:t>IT-Relax</w:t>
      </w:r>
      <w:r>
        <w:rPr>
          <w:rFonts w:ascii="Times New Roman" w:hAnsi="Times New Roman" w:cs="Times New Roman"/>
          <w:sz w:val="24"/>
          <w:szCs w:val="24"/>
        </w:rPr>
        <w:t>”</w:t>
      </w:r>
      <w:r w:rsidRPr="003B329E">
        <w:rPr>
          <w:rFonts w:ascii="Times New Roman" w:hAnsi="Times New Roman" w:cs="Times New Roman"/>
          <w:sz w:val="24"/>
          <w:szCs w:val="24"/>
        </w:rPr>
        <w:t>. Se relevă că în anul 2022 DGACG a încasat venituri din prestare</w:t>
      </w:r>
      <w:r>
        <w:rPr>
          <w:rFonts w:ascii="Times New Roman" w:hAnsi="Times New Roman" w:cs="Times New Roman"/>
          <w:sz w:val="24"/>
          <w:szCs w:val="24"/>
        </w:rPr>
        <w:t>a</w:t>
      </w:r>
      <w:r w:rsidRPr="003B329E">
        <w:rPr>
          <w:rFonts w:ascii="Times New Roman" w:hAnsi="Times New Roman" w:cs="Times New Roman"/>
          <w:sz w:val="24"/>
          <w:szCs w:val="24"/>
        </w:rPr>
        <w:t xml:space="preserve"> serviciilor de agrement în valoare de 1,7 mil. lei.</w:t>
      </w:r>
    </w:p>
    <w:p w14:paraId="2943A168" w14:textId="2E4EFC81" w:rsidR="00450503" w:rsidRPr="00F76DDE" w:rsidRDefault="00450503" w:rsidP="00450503">
      <w:pPr>
        <w:spacing w:after="80" w:line="276" w:lineRule="auto"/>
        <w:jc w:val="both"/>
        <w:rPr>
          <w:rFonts w:ascii="Times New Roman" w:hAnsi="Times New Roman" w:cs="Times New Roman"/>
          <w:b/>
          <w:color w:val="2F5496" w:themeColor="accent5" w:themeShade="BF"/>
          <w:sz w:val="24"/>
          <w:szCs w:val="24"/>
        </w:rPr>
      </w:pPr>
      <w:r w:rsidRPr="003B329E">
        <w:rPr>
          <w:rFonts w:ascii="Times New Roman" w:hAnsi="Times New Roman" w:cs="Times New Roman"/>
          <w:sz w:val="24"/>
          <w:szCs w:val="24"/>
        </w:rPr>
        <w:t xml:space="preserve">Auditul evidențiază că o altă cauză a tergiversării procesului de lichidare a SC „IT-Relax” SRL </w:t>
      </w:r>
      <w:r>
        <w:rPr>
          <w:rFonts w:ascii="Times New Roman" w:hAnsi="Times New Roman" w:cs="Times New Roman"/>
          <w:sz w:val="24"/>
          <w:szCs w:val="24"/>
        </w:rPr>
        <w:t>sunt</w:t>
      </w:r>
      <w:r w:rsidRPr="00F76DDE">
        <w:rPr>
          <w:rFonts w:ascii="Times New Roman" w:hAnsi="Times New Roman" w:cs="Times New Roman"/>
          <w:sz w:val="24"/>
          <w:szCs w:val="24"/>
        </w:rPr>
        <w:t xml:space="preserve"> disputele existente între părți referitor la transmiterea de către ASP către CS/DGACG a valorii capitalului social</w:t>
      </w:r>
      <w:r w:rsidRPr="00F76DDE">
        <w:rPr>
          <w:rFonts w:ascii="Times New Roman" w:hAnsi="Times New Roman" w:cs="Times New Roman"/>
          <w:iCs/>
          <w:color w:val="000000"/>
          <w:sz w:val="24"/>
          <w:szCs w:val="24"/>
        </w:rPr>
        <w:t xml:space="preserve"> în sumă de 25,4 mil. lei.</w:t>
      </w:r>
      <w:r w:rsidR="00BA69A9">
        <w:rPr>
          <w:rFonts w:ascii="Times New Roman" w:hAnsi="Times New Roman" w:cs="Times New Roman"/>
          <w:iCs/>
          <w:color w:val="000000"/>
          <w:sz w:val="24"/>
          <w:szCs w:val="24"/>
        </w:rPr>
        <w:t xml:space="preserve">      </w:t>
      </w:r>
    </w:p>
    <w:p w14:paraId="5BBD9A0A" w14:textId="77777777" w:rsidR="003264FB" w:rsidRPr="00B94290" w:rsidRDefault="003264FB" w:rsidP="003264FB">
      <w:pPr>
        <w:pStyle w:val="a7"/>
        <w:numPr>
          <w:ilvl w:val="0"/>
          <w:numId w:val="32"/>
        </w:numPr>
        <w:tabs>
          <w:tab w:val="left" w:pos="284"/>
          <w:tab w:val="left" w:pos="426"/>
        </w:tabs>
        <w:ind w:left="142" w:hanging="142"/>
        <w:jc w:val="both"/>
        <w:rPr>
          <w:rFonts w:ascii="Times New Roman" w:hAnsi="Times New Roman" w:cs="Times New Roman"/>
          <w:b/>
          <w:color w:val="2E74B5" w:themeColor="accent1" w:themeShade="BF"/>
          <w:sz w:val="24"/>
          <w:szCs w:val="24"/>
        </w:rPr>
      </w:pPr>
      <w:r w:rsidRPr="00B94290">
        <w:rPr>
          <w:rFonts w:ascii="Times New Roman" w:hAnsi="Times New Roman" w:cs="Times New Roman"/>
          <w:b/>
          <w:color w:val="2E74B5" w:themeColor="accent1" w:themeShade="BF"/>
          <w:sz w:val="24"/>
          <w:szCs w:val="24"/>
        </w:rPr>
        <w:t>Aspecte defectuoase în gestionarea terenurilor din fondul forestier al statului</w:t>
      </w:r>
      <w:r>
        <w:rPr>
          <w:rFonts w:ascii="Times New Roman" w:hAnsi="Times New Roman" w:cs="Times New Roman"/>
          <w:b/>
          <w:color w:val="2E74B5" w:themeColor="accent1" w:themeShade="BF"/>
          <w:sz w:val="24"/>
          <w:szCs w:val="24"/>
        </w:rPr>
        <w:t>,</w:t>
      </w:r>
      <w:r w:rsidRPr="00B94290">
        <w:rPr>
          <w:rFonts w:ascii="Times New Roman" w:hAnsi="Times New Roman" w:cs="Times New Roman"/>
          <w:b/>
          <w:color w:val="2E74B5" w:themeColor="accent1" w:themeShade="BF"/>
          <w:sz w:val="24"/>
          <w:szCs w:val="24"/>
        </w:rPr>
        <w:t xml:space="preserve"> cu suprafața de 24,8 ha</w:t>
      </w:r>
      <w:r>
        <w:rPr>
          <w:rFonts w:ascii="Times New Roman" w:hAnsi="Times New Roman" w:cs="Times New Roman"/>
          <w:b/>
          <w:color w:val="2E74B5" w:themeColor="accent1" w:themeShade="BF"/>
          <w:sz w:val="24"/>
          <w:szCs w:val="24"/>
        </w:rPr>
        <w:t>,</w:t>
      </w:r>
      <w:r w:rsidRPr="00B94290">
        <w:rPr>
          <w:rFonts w:ascii="Times New Roman" w:hAnsi="Times New Roman" w:cs="Times New Roman"/>
          <w:b/>
          <w:color w:val="2E74B5" w:themeColor="accent1" w:themeShade="BF"/>
          <w:sz w:val="24"/>
          <w:szCs w:val="24"/>
        </w:rPr>
        <w:t xml:space="preserve"> transmise de CS în administrare fiduciară unui agent economic</w:t>
      </w:r>
    </w:p>
    <w:p w14:paraId="37379189" w14:textId="4C694D5B" w:rsidR="007A4DC8" w:rsidRPr="007A4DC8" w:rsidRDefault="007A4DC8" w:rsidP="00A25A2C">
      <w:pPr>
        <w:spacing w:after="80" w:line="276" w:lineRule="auto"/>
        <w:jc w:val="both"/>
        <w:rPr>
          <w:rFonts w:ascii="Times New Roman" w:hAnsi="Times New Roman" w:cs="Times New Roman"/>
          <w:sz w:val="24"/>
          <w:szCs w:val="24"/>
        </w:rPr>
      </w:pPr>
      <w:r w:rsidRPr="007A4DC8">
        <w:rPr>
          <w:rFonts w:ascii="Times New Roman" w:hAnsi="Times New Roman" w:cs="Times New Roman"/>
          <w:sz w:val="24"/>
          <w:szCs w:val="24"/>
        </w:rPr>
        <w:t>În anul 2004, Cancelaria de</w:t>
      </w:r>
      <w:r w:rsidR="000B3EA9">
        <w:rPr>
          <w:rFonts w:ascii="Times New Roman" w:hAnsi="Times New Roman" w:cs="Times New Roman"/>
          <w:sz w:val="24"/>
          <w:szCs w:val="24"/>
        </w:rPr>
        <w:t xml:space="preserve"> Sat, în temeiul HG nr.759/2004</w:t>
      </w:r>
      <w:r w:rsidR="000B3EA9">
        <w:rPr>
          <w:rStyle w:val="a5"/>
          <w:rFonts w:ascii="Times New Roman" w:hAnsi="Times New Roman" w:cs="Times New Roman"/>
          <w:sz w:val="24"/>
          <w:szCs w:val="24"/>
        </w:rPr>
        <w:footnoteReference w:id="119"/>
      </w:r>
      <w:r w:rsidRPr="007A4DC8">
        <w:rPr>
          <w:rFonts w:ascii="Times New Roman" w:hAnsi="Times New Roman" w:cs="Times New Roman"/>
          <w:sz w:val="24"/>
          <w:szCs w:val="24"/>
        </w:rPr>
        <w:t>, a transmis</w:t>
      </w:r>
      <w:r w:rsidR="00BA69A9">
        <w:rPr>
          <w:rFonts w:ascii="Times New Roman" w:hAnsi="Times New Roman" w:cs="Times New Roman"/>
          <w:sz w:val="24"/>
          <w:szCs w:val="24"/>
        </w:rPr>
        <w:t xml:space="preserve"> </w:t>
      </w:r>
      <w:r w:rsidRPr="007A4DC8">
        <w:rPr>
          <w:rFonts w:ascii="Times New Roman" w:hAnsi="Times New Roman" w:cs="Times New Roman"/>
          <w:sz w:val="24"/>
          <w:szCs w:val="24"/>
        </w:rPr>
        <w:t>condiționat în administrare fiduciară Bursei „LARA” SRL, pe un termen de 25 de ani (până la 22.09.2029), două terenuri din</w:t>
      </w:r>
      <w:r w:rsidR="00BA69A9">
        <w:rPr>
          <w:rFonts w:ascii="Times New Roman" w:hAnsi="Times New Roman" w:cs="Times New Roman"/>
          <w:sz w:val="24"/>
          <w:szCs w:val="24"/>
        </w:rPr>
        <w:t xml:space="preserve"> </w:t>
      </w:r>
      <w:r w:rsidRPr="007A4DC8">
        <w:rPr>
          <w:rFonts w:ascii="Times New Roman" w:hAnsi="Times New Roman" w:cs="Times New Roman"/>
          <w:sz w:val="24"/>
          <w:szCs w:val="24"/>
        </w:rPr>
        <w:t>fondul forestier deținute de I.P. „Pensiunea din Holercani”,</w:t>
      </w:r>
      <w:r w:rsidR="00A25A2C">
        <w:rPr>
          <w:rFonts w:ascii="Times New Roman" w:hAnsi="Times New Roman" w:cs="Times New Roman"/>
          <w:sz w:val="24"/>
          <w:szCs w:val="24"/>
        </w:rPr>
        <w:t xml:space="preserve"> cu suprafața totală de 24,8 ha</w:t>
      </w:r>
      <w:r w:rsidRPr="007A4DC8">
        <w:rPr>
          <w:rFonts w:ascii="Times New Roman" w:hAnsi="Times New Roman" w:cs="Times New Roman"/>
          <w:sz w:val="24"/>
          <w:szCs w:val="24"/>
        </w:rPr>
        <w:t xml:space="preserve">. </w:t>
      </w:r>
    </w:p>
    <w:p w14:paraId="6FA349E0" w14:textId="77777777" w:rsidR="00FF0FB3" w:rsidRDefault="007A4DC8" w:rsidP="00A25A2C">
      <w:pPr>
        <w:spacing w:after="0" w:line="276" w:lineRule="auto"/>
        <w:jc w:val="both"/>
        <w:rPr>
          <w:rFonts w:ascii="Times New Roman" w:hAnsi="Times New Roman" w:cs="Times New Roman"/>
          <w:b/>
          <w:i/>
          <w:color w:val="1F4E79" w:themeColor="accent1" w:themeShade="80"/>
          <w:sz w:val="24"/>
          <w:szCs w:val="24"/>
        </w:rPr>
      </w:pPr>
      <w:r w:rsidRPr="007A4DC8">
        <w:rPr>
          <w:rFonts w:ascii="Times New Roman" w:hAnsi="Times New Roman" w:cs="Times New Roman"/>
          <w:sz w:val="24"/>
          <w:szCs w:val="24"/>
        </w:rPr>
        <w:t>Scopul principal al acestei tranzacții a constituit atragerea investițiilor și dezvoltarea turismului prin construcția unui complex hotelier-locativ la Holercani. Potrivit pct. 5.2 din contract, transmiterea obiectului în administrare fiduciară nu atrage după sine și trecerea dreptului de proprietate a terenului. Amplasarea terenului și proiectul de investiție se p</w:t>
      </w:r>
      <w:r>
        <w:rPr>
          <w:rFonts w:ascii="Times New Roman" w:hAnsi="Times New Roman" w:cs="Times New Roman"/>
          <w:sz w:val="24"/>
          <w:szCs w:val="24"/>
        </w:rPr>
        <w:t>rezintă în imaginile de mai jos</w:t>
      </w:r>
      <w:r w:rsidR="00F5532F">
        <w:rPr>
          <w:rFonts w:ascii="Times New Roman" w:hAnsi="Times New Roman" w:cs="Times New Roman"/>
          <w:sz w:val="24"/>
          <w:szCs w:val="24"/>
        </w:rPr>
        <w:t>.</w:t>
      </w:r>
      <w:r w:rsidR="00FF0FB3" w:rsidRPr="00FF0FB3">
        <w:rPr>
          <w:rFonts w:ascii="Times New Roman" w:hAnsi="Times New Roman" w:cs="Times New Roman"/>
          <w:b/>
          <w:i/>
          <w:color w:val="1F4E79" w:themeColor="accent1" w:themeShade="80"/>
          <w:sz w:val="24"/>
          <w:szCs w:val="24"/>
        </w:rPr>
        <w:t xml:space="preserve"> </w:t>
      </w:r>
    </w:p>
    <w:p w14:paraId="5884313B" w14:textId="2E2F8237" w:rsidR="00484422" w:rsidRDefault="00FF0FB3" w:rsidP="00FF0FB3">
      <w:pPr>
        <w:spacing w:after="120" w:line="276" w:lineRule="auto"/>
        <w:jc w:val="center"/>
        <w:rPr>
          <w:rFonts w:ascii="Times New Roman" w:hAnsi="Times New Roman" w:cs="Times New Roman"/>
          <w:sz w:val="24"/>
          <w:szCs w:val="24"/>
        </w:rPr>
      </w:pPr>
      <w:r w:rsidRPr="0081604E">
        <w:rPr>
          <w:rFonts w:ascii="Times New Roman" w:hAnsi="Times New Roman" w:cs="Times New Roman"/>
          <w:b/>
          <w:i/>
          <w:color w:val="1F4E79" w:themeColor="accent1" w:themeShade="80"/>
          <w:sz w:val="24"/>
          <w:szCs w:val="24"/>
        </w:rPr>
        <w:t xml:space="preserve">Amplasarea </w:t>
      </w:r>
      <w:r>
        <w:rPr>
          <w:rFonts w:ascii="Times New Roman" w:hAnsi="Times New Roman" w:cs="Times New Roman"/>
          <w:b/>
          <w:i/>
          <w:color w:val="1F4E79" w:themeColor="accent1" w:themeShade="80"/>
          <w:sz w:val="24"/>
          <w:szCs w:val="24"/>
        </w:rPr>
        <w:t>terenului</w:t>
      </w:r>
      <w:r w:rsidRPr="0081604E">
        <w:rPr>
          <w:rFonts w:ascii="Times New Roman" w:hAnsi="Times New Roman" w:cs="Times New Roman"/>
          <w:b/>
          <w:i/>
          <w:color w:val="1F4E79" w:themeColor="accent1" w:themeShade="80"/>
          <w:sz w:val="24"/>
          <w:szCs w:val="24"/>
        </w:rPr>
        <w:t xml:space="preserve"> transmis în administrare fiduciară</w:t>
      </w:r>
    </w:p>
    <w:tbl>
      <w:tblPr>
        <w:tblStyle w:val="a6"/>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7"/>
      </w:tblGrid>
      <w:tr w:rsidR="007943AE" w14:paraId="37246162" w14:textId="77777777" w:rsidTr="00FF0FB3">
        <w:trPr>
          <w:trHeight w:val="3544"/>
        </w:trPr>
        <w:tc>
          <w:tcPr>
            <w:tcW w:w="9687" w:type="dxa"/>
          </w:tcPr>
          <w:p w14:paraId="40166B6F" w14:textId="5B5AC439" w:rsidR="007943AE" w:rsidRPr="00F76DDE" w:rsidRDefault="006B0985" w:rsidP="00F76DDE">
            <w:pPr>
              <w:tabs>
                <w:tab w:val="left" w:pos="284"/>
                <w:tab w:val="left" w:pos="426"/>
              </w:tabs>
              <w:ind w:left="360"/>
              <w:jc w:val="center"/>
              <w:rPr>
                <w:rFonts w:ascii="Times New Roman" w:hAnsi="Times New Roman" w:cs="Times New Roman"/>
                <w:b/>
                <w:i/>
                <w:color w:val="1F4E79" w:themeColor="accent1" w:themeShade="80"/>
                <w:sz w:val="24"/>
                <w:szCs w:val="24"/>
              </w:rPr>
            </w:pPr>
            <w:r>
              <w:rPr>
                <w:noProof/>
                <w:lang w:val="ru-RU" w:eastAsia="ru-RU"/>
              </w:rPr>
              <mc:AlternateContent>
                <mc:Choice Requires="wps">
                  <w:drawing>
                    <wp:anchor distT="0" distB="0" distL="114300" distR="114300" simplePos="0" relativeHeight="251662336" behindDoc="0" locked="0" layoutInCell="1" allowOverlap="1" wp14:anchorId="3D139890" wp14:editId="3097F892">
                      <wp:simplePos x="0" y="0"/>
                      <wp:positionH relativeFrom="column">
                        <wp:posOffset>2869697</wp:posOffset>
                      </wp:positionH>
                      <wp:positionV relativeFrom="paragraph">
                        <wp:posOffset>1213657</wp:posOffset>
                      </wp:positionV>
                      <wp:extent cx="1064347" cy="294171"/>
                      <wp:effectExtent l="251777" t="0" r="254318" b="0"/>
                      <wp:wrapNone/>
                      <wp:docPr id="9" name="Oval 9"/>
                      <wp:cNvGraphicFramePr/>
                      <a:graphic xmlns:a="http://schemas.openxmlformats.org/drawingml/2006/main">
                        <a:graphicData uri="http://schemas.microsoft.com/office/word/2010/wordprocessingShape">
                          <wps:wsp>
                            <wps:cNvSpPr/>
                            <wps:spPr>
                              <a:xfrm rot="2782340">
                                <a:off x="0" y="0"/>
                                <a:ext cx="1064347" cy="294171"/>
                              </a:xfrm>
                              <a:prstGeom prst="ellipse">
                                <a:avLst/>
                              </a:prstGeom>
                              <a:noFill/>
                              <a:ln w="9525" cap="flat" cmpd="sng" algn="ctr">
                                <a:solidFill>
                                  <a:srgbClr val="00B0F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278442C8" id="Oval 9" o:spid="_x0000_s1026" style="position:absolute;margin-left:225.95pt;margin-top:95.55pt;width:83.8pt;height:23.15pt;rotation:3039057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" filled="f" strokecolor="#00b0f0"/>
                  </w:pict>
                </mc:Fallback>
              </mc:AlternateContent>
            </w:r>
            <w:r>
              <w:rPr>
                <w:noProof/>
                <w:lang w:val="ru-RU" w:eastAsia="ru-RU"/>
              </w:rPr>
              <mc:AlternateContent>
                <mc:Choice Requires="wps">
                  <w:drawing>
                    <wp:anchor distT="0" distB="0" distL="114300" distR="114300" simplePos="0" relativeHeight="251663360" behindDoc="0" locked="0" layoutInCell="1" allowOverlap="1" wp14:anchorId="538739E1" wp14:editId="76F31C0D">
                      <wp:simplePos x="0" y="0"/>
                      <wp:positionH relativeFrom="column">
                        <wp:posOffset>1838960</wp:posOffset>
                      </wp:positionH>
                      <wp:positionV relativeFrom="paragraph">
                        <wp:posOffset>1149523</wp:posOffset>
                      </wp:positionV>
                      <wp:extent cx="2080260" cy="579120"/>
                      <wp:effectExtent l="0" t="0" r="0" b="0"/>
                      <wp:wrapNone/>
                      <wp:docPr id="3" name="Flowchart: Sequential Access Storage 3"/>
                      <wp:cNvGraphicFramePr/>
                      <a:graphic xmlns:a="http://schemas.openxmlformats.org/drawingml/2006/main">
                        <a:graphicData uri="http://schemas.microsoft.com/office/word/2010/wordprocessingShape">
                          <wps:wsp>
                            <wps:cNvSpPr/>
                            <wps:spPr>
                              <a:xfrm>
                                <a:off x="0" y="0"/>
                                <a:ext cx="2080260" cy="579120"/>
                              </a:xfrm>
                              <a:prstGeom prst="flowChartMagneticTape">
                                <a:avLst/>
                              </a:prstGeom>
                              <a:noFill/>
                              <a:ln>
                                <a:noFill/>
                              </a:ln>
                            </wps:spPr>
                            <wps:style>
                              <a:lnRef idx="0">
                                <a:scrgbClr r="0" g="0" b="0"/>
                              </a:lnRef>
                              <a:fillRef idx="0">
                                <a:scrgbClr r="0" g="0" b="0"/>
                              </a:fillRef>
                              <a:effectRef idx="0">
                                <a:scrgbClr r="0" g="0" b="0"/>
                              </a:effectRef>
                              <a:fontRef idx="minor">
                                <a:schemeClr val="accent1"/>
                              </a:fontRef>
                            </wps:style>
                            <wps:txbx>
                              <w:txbxContent>
                                <w:p w14:paraId="3BF9C777" w14:textId="47096BFF" w:rsidR="00753EA2" w:rsidRPr="006667EC" w:rsidRDefault="00753EA2" w:rsidP="00865F6E">
                                  <w:pPr>
                                    <w:jc w:val="center"/>
                                    <w:rPr>
                                      <w:b/>
                                      <w:color w:val="00B0F0"/>
                                      <w:sz w:val="24"/>
                                      <w:szCs w:val="24"/>
                                    </w:rPr>
                                  </w:pPr>
                                  <w:r w:rsidRPr="006667EC">
                                    <w:rPr>
                                      <w:b/>
                                      <w:color w:val="00B0F0"/>
                                      <w:sz w:val="24"/>
                                      <w:szCs w:val="24"/>
                                    </w:rPr>
                                    <w:t xml:space="preserve">Terenul de 24,8 ha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38739E1" id="_x0000_t131" coordsize="21600,21600" o:spt="131" path="ar,,21600,21600,18685,18165,10677,21597l20990,21597r,-3432xe">
                      <v:stroke joinstyle="miter"/>
                      <v:path o:connecttype="rect" textboxrect="3163,3163,18437,18437"/>
                    </v:shapetype>
                    <v:shape id="Flowchart: Sequential Access Storage 3" o:spid="_x0000_s1026" type="#_x0000_t131" style="position:absolute;left:0;text-align:left;margin-left:144.8pt;margin-top:90.5pt;width:163.8pt;height:4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" filled="f" stroked="f">
                      <v:textbox>
                        <w:txbxContent>
                          <w:p w14:paraId="3BF9C777" w14:textId="47096BFF" w:rsidR="00753EA2" w:rsidRPr="006667EC" w:rsidRDefault="00753EA2" w:rsidP="00865F6E">
                            <w:pPr>
                              <w:jc w:val="center"/>
                              <w:rPr>
                                <w:b/>
                                <w:color w:val="00B0F0"/>
                                <w:sz w:val="24"/>
                                <w:szCs w:val="24"/>
                              </w:rPr>
                            </w:pPr>
                            <w:r w:rsidRPr="006667EC">
                              <w:rPr>
                                <w:b/>
                                <w:color w:val="00B0F0"/>
                                <w:sz w:val="24"/>
                                <w:szCs w:val="24"/>
                              </w:rPr>
                              <w:t xml:space="preserve">Terenul de 24,8 ha </w:t>
                            </w:r>
                          </w:p>
                        </w:txbxContent>
                      </v:textbox>
                    </v:shape>
                  </w:pict>
                </mc:Fallback>
              </mc:AlternateContent>
            </w:r>
            <w:r w:rsidR="007943AE" w:rsidRPr="00DF436A">
              <w:rPr>
                <w:noProof/>
                <w:lang w:val="ru-RU" w:eastAsia="ru-RU"/>
              </w:rPr>
              <w:drawing>
                <wp:inline distT="0" distB="0" distL="0" distR="0" wp14:anchorId="479A73CB" wp14:editId="037A096A">
                  <wp:extent cx="2879386" cy="2338634"/>
                  <wp:effectExtent l="0" t="0" r="0" b="5080"/>
                  <wp:docPr id="10" name="Picture 10" descr="d:\a_certan\Desktop\CANCELARIA DE STAT\EXECUTARE\IP Holercani\lar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_certan\Desktop\CANCELARIA DE STAT\EXECUTARE\IP Holercani\lara 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7382" cy="2361372"/>
                          </a:xfrm>
                          <a:prstGeom prst="rect">
                            <a:avLst/>
                          </a:prstGeom>
                          <a:noFill/>
                          <a:ln>
                            <a:noFill/>
                          </a:ln>
                        </pic:spPr>
                      </pic:pic>
                    </a:graphicData>
                  </a:graphic>
                </wp:inline>
              </w:drawing>
            </w:r>
          </w:p>
        </w:tc>
      </w:tr>
    </w:tbl>
    <w:p w14:paraId="5BE4C7B7" w14:textId="10C22185" w:rsidR="00A57892" w:rsidRPr="003B329E" w:rsidRDefault="00A57892" w:rsidP="00A57892">
      <w:pPr>
        <w:spacing w:before="160" w:after="120" w:line="276" w:lineRule="auto"/>
        <w:jc w:val="both"/>
        <w:rPr>
          <w:rFonts w:ascii="Times New Roman" w:hAnsi="Times New Roman" w:cs="Times New Roman"/>
          <w:sz w:val="24"/>
          <w:szCs w:val="24"/>
        </w:rPr>
      </w:pPr>
      <w:r w:rsidRPr="003B329E">
        <w:rPr>
          <w:rFonts w:ascii="Times New Roman" w:hAnsi="Times New Roman" w:cs="Times New Roman"/>
          <w:sz w:val="24"/>
          <w:szCs w:val="24"/>
        </w:rPr>
        <w:t>Analizând etapizat realizarea proiectului privind construcția complexului hotelier-locativ Holercani, se constată că</w:t>
      </w:r>
      <w:r>
        <w:rPr>
          <w:rFonts w:ascii="Times New Roman" w:hAnsi="Times New Roman" w:cs="Times New Roman"/>
          <w:sz w:val="24"/>
          <w:szCs w:val="24"/>
        </w:rPr>
        <w:t>,</w:t>
      </w:r>
      <w:r w:rsidRPr="003B329E">
        <w:rPr>
          <w:rFonts w:ascii="Times New Roman" w:hAnsi="Times New Roman" w:cs="Times New Roman"/>
          <w:sz w:val="24"/>
          <w:szCs w:val="24"/>
        </w:rPr>
        <w:t xml:space="preserve"> deși din momentul deciderii implementării acestuia au trecut 19 ani, până la </w:t>
      </w:r>
      <w:r>
        <w:rPr>
          <w:rFonts w:ascii="Times New Roman" w:hAnsi="Times New Roman" w:cs="Times New Roman"/>
          <w:sz w:val="24"/>
          <w:szCs w:val="24"/>
        </w:rPr>
        <w:t>inițierea</w:t>
      </w:r>
      <w:r w:rsidRPr="003B329E">
        <w:rPr>
          <w:rFonts w:ascii="Times New Roman" w:hAnsi="Times New Roman" w:cs="Times New Roman"/>
          <w:sz w:val="24"/>
          <w:szCs w:val="24"/>
        </w:rPr>
        <w:t xml:space="preserve"> </w:t>
      </w:r>
      <w:r>
        <w:rPr>
          <w:rFonts w:ascii="Times New Roman" w:hAnsi="Times New Roman" w:cs="Times New Roman"/>
          <w:sz w:val="24"/>
          <w:szCs w:val="24"/>
        </w:rPr>
        <w:t xml:space="preserve">misiunii de </w:t>
      </w:r>
      <w:r w:rsidRPr="003B329E">
        <w:rPr>
          <w:rFonts w:ascii="Times New Roman" w:hAnsi="Times New Roman" w:cs="Times New Roman"/>
          <w:sz w:val="24"/>
          <w:szCs w:val="24"/>
        </w:rPr>
        <w:t>audit nu au fost executate și definitivate lucrări privind edificarea complexului de clădiri. În fapt, o parte semnificativă a problem</w:t>
      </w:r>
      <w:r>
        <w:rPr>
          <w:rFonts w:ascii="Times New Roman" w:hAnsi="Times New Roman" w:cs="Times New Roman"/>
          <w:sz w:val="24"/>
          <w:szCs w:val="24"/>
        </w:rPr>
        <w:t>elor</w:t>
      </w:r>
      <w:r w:rsidRPr="003B329E">
        <w:rPr>
          <w:rFonts w:ascii="Times New Roman" w:hAnsi="Times New Roman" w:cs="Times New Roman"/>
          <w:sz w:val="24"/>
          <w:szCs w:val="24"/>
        </w:rPr>
        <w:t xml:space="preserve"> care au influențat </w:t>
      </w:r>
      <w:r w:rsidR="009D6C87">
        <w:rPr>
          <w:rFonts w:ascii="Times New Roman" w:hAnsi="Times New Roman" w:cs="Times New Roman"/>
          <w:sz w:val="24"/>
          <w:szCs w:val="24"/>
        </w:rPr>
        <w:t>realizarea</w:t>
      </w:r>
      <w:r w:rsidRPr="003B329E">
        <w:rPr>
          <w:rFonts w:ascii="Times New Roman" w:hAnsi="Times New Roman" w:cs="Times New Roman"/>
          <w:sz w:val="24"/>
          <w:szCs w:val="24"/>
        </w:rPr>
        <w:t xml:space="preserve"> proiectului în cauză </w:t>
      </w:r>
      <w:r>
        <w:rPr>
          <w:rFonts w:ascii="Times New Roman" w:hAnsi="Times New Roman" w:cs="Times New Roman"/>
          <w:sz w:val="24"/>
          <w:szCs w:val="24"/>
        </w:rPr>
        <w:t>sunt</w:t>
      </w:r>
      <w:r w:rsidRPr="003B329E">
        <w:rPr>
          <w:rFonts w:ascii="Times New Roman" w:hAnsi="Times New Roman" w:cs="Times New Roman"/>
          <w:sz w:val="24"/>
          <w:szCs w:val="24"/>
        </w:rPr>
        <w:t xml:space="preserve"> atât de ordin legislativ, în mare parte cu incidență asupra mediului, cât și administrativ, acestea contur</w:t>
      </w:r>
      <w:r>
        <w:rPr>
          <w:rFonts w:ascii="Times New Roman" w:hAnsi="Times New Roman" w:cs="Times New Roman"/>
          <w:sz w:val="24"/>
          <w:szCs w:val="24"/>
        </w:rPr>
        <w:t>â</w:t>
      </w:r>
      <w:r w:rsidRPr="003B329E">
        <w:rPr>
          <w:rFonts w:ascii="Times New Roman" w:hAnsi="Times New Roman" w:cs="Times New Roman"/>
          <w:sz w:val="24"/>
          <w:szCs w:val="24"/>
        </w:rPr>
        <w:t>n</w:t>
      </w:r>
      <w:r w:rsidRPr="003B329E">
        <w:rPr>
          <w:rFonts w:ascii="Times New Roman" w:hAnsi="Times New Roman" w:cs="Times New Roman"/>
          <w:sz w:val="24"/>
          <w:szCs w:val="24"/>
          <w:lang w:val="ro-RO"/>
        </w:rPr>
        <w:t xml:space="preserve">du-se </w:t>
      </w:r>
      <w:r w:rsidRPr="003B329E">
        <w:rPr>
          <w:rFonts w:ascii="Times New Roman" w:hAnsi="Times New Roman" w:cs="Times New Roman"/>
          <w:sz w:val="24"/>
          <w:szCs w:val="24"/>
        </w:rPr>
        <w:t>încă de la etap</w:t>
      </w:r>
      <w:r>
        <w:rPr>
          <w:rFonts w:ascii="Times New Roman" w:hAnsi="Times New Roman" w:cs="Times New Roman"/>
          <w:sz w:val="24"/>
          <w:szCs w:val="24"/>
        </w:rPr>
        <w:t>a</w:t>
      </w:r>
      <w:r w:rsidRPr="003B329E">
        <w:rPr>
          <w:rFonts w:ascii="Times New Roman" w:hAnsi="Times New Roman" w:cs="Times New Roman"/>
          <w:sz w:val="24"/>
          <w:szCs w:val="24"/>
        </w:rPr>
        <w:t xml:space="preserve"> incipientă de pregătire a proiectului investițional. </w:t>
      </w:r>
      <w:r w:rsidRPr="003B329E">
        <w:rPr>
          <w:rFonts w:ascii="Times New Roman" w:eastAsiaTheme="minorEastAsia" w:hAnsi="Times New Roman" w:cs="Times New Roman"/>
          <w:sz w:val="24"/>
          <w:szCs w:val="24"/>
          <w:lang w:eastAsia="ru-RU"/>
        </w:rPr>
        <w:t xml:space="preserve">În contextul expus </w:t>
      </w:r>
      <w:r w:rsidRPr="003B329E">
        <w:rPr>
          <w:rFonts w:ascii="Times New Roman" w:hAnsi="Times New Roman" w:cs="Times New Roman"/>
          <w:sz w:val="24"/>
          <w:szCs w:val="24"/>
        </w:rPr>
        <w:t>se menționează următoarele observații de audit.</w:t>
      </w:r>
    </w:p>
    <w:p w14:paraId="72CE9151" w14:textId="564A5B70" w:rsidR="00A57892" w:rsidRPr="003B329E" w:rsidRDefault="00A57892" w:rsidP="00A57892">
      <w:pPr>
        <w:pStyle w:val="a7"/>
        <w:numPr>
          <w:ilvl w:val="0"/>
          <w:numId w:val="15"/>
        </w:numPr>
        <w:spacing w:after="80" w:line="276" w:lineRule="auto"/>
        <w:ind w:left="284" w:hanging="284"/>
        <w:jc w:val="both"/>
        <w:rPr>
          <w:rFonts w:ascii="Times New Roman" w:hAnsi="Times New Roman" w:cs="Times New Roman"/>
          <w:sz w:val="24"/>
          <w:szCs w:val="24"/>
        </w:rPr>
      </w:pPr>
      <w:r>
        <w:rPr>
          <w:rFonts w:ascii="Times New Roman" w:hAnsi="Times New Roman" w:cs="Times New Roman"/>
          <w:sz w:val="24"/>
          <w:szCs w:val="24"/>
        </w:rPr>
        <w:t>d</w:t>
      </w:r>
      <w:r w:rsidRPr="003B329E">
        <w:rPr>
          <w:rFonts w:ascii="Times New Roman" w:hAnsi="Times New Roman" w:cs="Times New Roman"/>
          <w:sz w:val="24"/>
          <w:szCs w:val="24"/>
        </w:rPr>
        <w:t xml:space="preserve">ecizia </w:t>
      </w:r>
      <w:r w:rsidRPr="00A57892">
        <w:rPr>
          <w:rFonts w:ascii="Times New Roman" w:hAnsi="Times New Roman" w:cs="Times New Roman"/>
          <w:sz w:val="24"/>
          <w:szCs w:val="24"/>
        </w:rPr>
        <w:t>privind acordarea dreptului de odihnă a populației asupra terenului de 24,8 ha a fost adoptată prin HG nr. 666/2002</w:t>
      </w:r>
      <w:r w:rsidR="000B3EA9">
        <w:rPr>
          <w:rStyle w:val="a5"/>
          <w:rFonts w:ascii="Times New Roman" w:hAnsi="Times New Roman" w:cs="Times New Roman"/>
          <w:sz w:val="24"/>
          <w:szCs w:val="24"/>
        </w:rPr>
        <w:footnoteReference w:id="120"/>
      </w:r>
      <w:r w:rsidRPr="00A57892">
        <w:rPr>
          <w:rFonts w:ascii="Times New Roman" w:hAnsi="Times New Roman" w:cs="Times New Roman"/>
          <w:sz w:val="24"/>
          <w:szCs w:val="24"/>
        </w:rPr>
        <w:t>, și anume se statua că aceste loturi de pământ s-au</w:t>
      </w:r>
      <w:r w:rsidRPr="003B329E">
        <w:rPr>
          <w:rFonts w:ascii="Times New Roman" w:hAnsi="Times New Roman" w:cs="Times New Roman"/>
          <w:sz w:val="24"/>
          <w:szCs w:val="24"/>
        </w:rPr>
        <w:t xml:space="preserve"> transmis I.P. „Pensiunea din Holercani” în folosință din fondu</w:t>
      </w:r>
      <w:r w:rsidR="009D6C87">
        <w:rPr>
          <w:rFonts w:ascii="Times New Roman" w:hAnsi="Times New Roman" w:cs="Times New Roman"/>
          <w:sz w:val="24"/>
          <w:szCs w:val="24"/>
        </w:rPr>
        <w:t>l forestier al Î.S. „Moldsilva”</w:t>
      </w:r>
      <w:r w:rsidRPr="003B329E">
        <w:rPr>
          <w:rFonts w:ascii="Times New Roman" w:hAnsi="Times New Roman" w:cs="Times New Roman"/>
          <w:sz w:val="24"/>
          <w:szCs w:val="24"/>
        </w:rPr>
        <w:t xml:space="preserve"> în scopuri de recreere</w:t>
      </w:r>
      <w:r>
        <w:rPr>
          <w:rFonts w:ascii="Times New Roman" w:hAnsi="Times New Roman" w:cs="Times New Roman"/>
          <w:sz w:val="24"/>
          <w:szCs w:val="24"/>
        </w:rPr>
        <w:t>,</w:t>
      </w:r>
      <w:r w:rsidRPr="003B329E">
        <w:rPr>
          <w:rFonts w:ascii="Times New Roman" w:hAnsi="Times New Roman" w:cs="Times New Roman"/>
          <w:sz w:val="24"/>
          <w:szCs w:val="24"/>
        </w:rPr>
        <w:t xml:space="preserve"> fără excludere din fondul forestier și</w:t>
      </w:r>
      <w:r w:rsidRPr="003B329E">
        <w:rPr>
          <w:rFonts w:ascii="Times New Roman" w:hAnsi="Times New Roman" w:cs="Times New Roman"/>
          <w:i/>
          <w:sz w:val="24"/>
          <w:szCs w:val="24"/>
        </w:rPr>
        <w:t xml:space="preserve"> fără dreptul de a efectua construcții capitale</w:t>
      </w:r>
      <w:r w:rsidRPr="003B329E">
        <w:rPr>
          <w:rFonts w:ascii="Times New Roman" w:hAnsi="Times New Roman" w:cs="Times New Roman"/>
          <w:sz w:val="24"/>
          <w:szCs w:val="24"/>
        </w:rPr>
        <w:t xml:space="preserve">. Însă, </w:t>
      </w:r>
      <w:r w:rsidR="009D6C87">
        <w:rPr>
          <w:rFonts w:ascii="Times New Roman" w:hAnsi="Times New Roman" w:cs="Times New Roman"/>
          <w:sz w:val="24"/>
          <w:szCs w:val="24"/>
        </w:rPr>
        <w:t>contrar</w:t>
      </w:r>
      <w:r w:rsidRPr="003B329E">
        <w:rPr>
          <w:rFonts w:ascii="Times New Roman" w:hAnsi="Times New Roman" w:cs="Times New Roman"/>
          <w:sz w:val="24"/>
          <w:szCs w:val="24"/>
        </w:rPr>
        <w:t xml:space="preserve"> prevederilor hotărârii menționate, în anul 2004 Guvernul a adoptat o altă hotărâre (</w:t>
      </w:r>
      <w:r>
        <w:rPr>
          <w:rFonts w:ascii="Times New Roman" w:hAnsi="Times New Roman" w:cs="Times New Roman"/>
          <w:sz w:val="24"/>
          <w:szCs w:val="24"/>
        </w:rPr>
        <w:t>nr.</w:t>
      </w:r>
      <w:r w:rsidRPr="003B329E">
        <w:rPr>
          <w:rFonts w:ascii="Times New Roman" w:hAnsi="Times New Roman" w:cs="Times New Roman"/>
          <w:sz w:val="24"/>
          <w:szCs w:val="24"/>
        </w:rPr>
        <w:t>759/2004) prin care s-a decis edificarea unui complex hotelier-locativ pe acest teren, ceea ce contravenea spețelor primului act adoptat. De menționat că</w:t>
      </w:r>
      <w:r>
        <w:rPr>
          <w:rFonts w:ascii="Times New Roman" w:hAnsi="Times New Roman" w:cs="Times New Roman"/>
          <w:sz w:val="24"/>
          <w:szCs w:val="24"/>
        </w:rPr>
        <w:t>,</w:t>
      </w:r>
      <w:r w:rsidRPr="003B329E">
        <w:rPr>
          <w:rFonts w:ascii="Times New Roman" w:hAnsi="Times New Roman" w:cs="Times New Roman"/>
          <w:sz w:val="24"/>
          <w:szCs w:val="24"/>
        </w:rPr>
        <w:t xml:space="preserve"> conform informații</w:t>
      </w:r>
      <w:r>
        <w:rPr>
          <w:rFonts w:ascii="Times New Roman" w:hAnsi="Times New Roman" w:cs="Times New Roman"/>
          <w:sz w:val="24"/>
          <w:szCs w:val="24"/>
        </w:rPr>
        <w:t>lor</w:t>
      </w:r>
      <w:r w:rsidRPr="003B329E">
        <w:rPr>
          <w:rFonts w:ascii="Times New Roman" w:hAnsi="Times New Roman" w:cs="Times New Roman"/>
          <w:sz w:val="24"/>
          <w:szCs w:val="24"/>
        </w:rPr>
        <w:t xml:space="preserve"> prezentate de CS</w:t>
      </w:r>
      <w:r>
        <w:rPr>
          <w:rFonts w:ascii="Times New Roman" w:hAnsi="Times New Roman" w:cs="Times New Roman"/>
          <w:sz w:val="24"/>
          <w:szCs w:val="24"/>
        </w:rPr>
        <w:t>,</w:t>
      </w:r>
      <w:r w:rsidRPr="003B329E">
        <w:rPr>
          <w:rFonts w:ascii="Times New Roman" w:hAnsi="Times New Roman" w:cs="Times New Roman"/>
          <w:sz w:val="24"/>
          <w:szCs w:val="24"/>
        </w:rPr>
        <w:t xml:space="preserve"> se planifica construcția următoarelor clădiri:</w:t>
      </w:r>
      <w:r>
        <w:rPr>
          <w:rFonts w:ascii="Times New Roman" w:hAnsi="Times New Roman" w:cs="Times New Roman"/>
          <w:sz w:val="24"/>
          <w:szCs w:val="24"/>
        </w:rPr>
        <w:t xml:space="preserve"> </w:t>
      </w:r>
    </w:p>
    <w:p w14:paraId="43FF749D" w14:textId="77777777" w:rsidR="009D6C87" w:rsidRPr="003B329E" w:rsidRDefault="009D6C87" w:rsidP="009D6C87">
      <w:pPr>
        <w:pStyle w:val="a7"/>
        <w:numPr>
          <w:ilvl w:val="0"/>
          <w:numId w:val="14"/>
        </w:numPr>
        <w:tabs>
          <w:tab w:val="left" w:pos="1134"/>
        </w:tabs>
        <w:spacing w:after="0" w:line="276" w:lineRule="auto"/>
        <w:ind w:left="993" w:hanging="142"/>
        <w:contextualSpacing w:val="0"/>
        <w:jc w:val="both"/>
        <w:rPr>
          <w:rFonts w:ascii="Times New Roman" w:hAnsi="Times New Roman" w:cs="Times New Roman"/>
          <w:sz w:val="24"/>
          <w:szCs w:val="24"/>
        </w:rPr>
      </w:pPr>
      <w:r>
        <w:rPr>
          <w:rFonts w:ascii="Times New Roman" w:hAnsi="Times New Roman" w:cs="Times New Roman"/>
          <w:sz w:val="24"/>
          <w:szCs w:val="24"/>
        </w:rPr>
        <w:t>v</w:t>
      </w:r>
      <w:r w:rsidRPr="003B329E">
        <w:rPr>
          <w:rFonts w:ascii="Times New Roman" w:hAnsi="Times New Roman" w:cs="Times New Roman"/>
          <w:sz w:val="24"/>
          <w:szCs w:val="24"/>
        </w:rPr>
        <w:t>ile-reședințe, hotel pentru 30 de locuri cu restaurant și iaht-club;</w:t>
      </w:r>
    </w:p>
    <w:p w14:paraId="3A297118" w14:textId="77777777" w:rsidR="009D6C87" w:rsidRPr="003B329E" w:rsidRDefault="009D6C87" w:rsidP="009D6C87">
      <w:pPr>
        <w:pStyle w:val="a7"/>
        <w:numPr>
          <w:ilvl w:val="0"/>
          <w:numId w:val="14"/>
        </w:numPr>
        <w:tabs>
          <w:tab w:val="left" w:pos="1134"/>
        </w:tabs>
        <w:spacing w:after="0" w:line="276" w:lineRule="auto"/>
        <w:ind w:left="993" w:hanging="142"/>
        <w:contextualSpacing w:val="0"/>
        <w:jc w:val="both"/>
        <w:rPr>
          <w:rFonts w:ascii="Times New Roman" w:hAnsi="Times New Roman" w:cs="Times New Roman"/>
          <w:sz w:val="24"/>
          <w:szCs w:val="24"/>
        </w:rPr>
      </w:pPr>
      <w:r>
        <w:rPr>
          <w:rFonts w:ascii="Times New Roman" w:hAnsi="Times New Roman" w:cs="Times New Roman"/>
          <w:sz w:val="24"/>
          <w:szCs w:val="24"/>
        </w:rPr>
        <w:t>c</w:t>
      </w:r>
      <w:r w:rsidRPr="003B329E">
        <w:rPr>
          <w:rFonts w:ascii="Times New Roman" w:hAnsi="Times New Roman" w:cs="Times New Roman"/>
          <w:sz w:val="24"/>
          <w:szCs w:val="24"/>
        </w:rPr>
        <w:t>afenea de vară, a</w:t>
      </w:r>
      <w:r>
        <w:rPr>
          <w:rFonts w:ascii="Times New Roman" w:hAnsi="Times New Roman" w:cs="Times New Roman"/>
          <w:sz w:val="24"/>
          <w:szCs w:val="24"/>
        </w:rPr>
        <w:t>qua park</w:t>
      </w:r>
      <w:r w:rsidRPr="003B329E">
        <w:rPr>
          <w:rFonts w:ascii="Times New Roman" w:hAnsi="Times New Roman" w:cs="Times New Roman"/>
          <w:sz w:val="24"/>
          <w:szCs w:val="24"/>
        </w:rPr>
        <w:t xml:space="preserve">, piscine și terenuri </w:t>
      </w:r>
      <w:r>
        <w:rPr>
          <w:rFonts w:ascii="Times New Roman" w:hAnsi="Times New Roman" w:cs="Times New Roman"/>
          <w:sz w:val="24"/>
          <w:szCs w:val="24"/>
        </w:rPr>
        <w:t xml:space="preserve">de </w:t>
      </w:r>
      <w:r w:rsidRPr="003B329E">
        <w:rPr>
          <w:rFonts w:ascii="Times New Roman" w:hAnsi="Times New Roman" w:cs="Times New Roman"/>
          <w:sz w:val="24"/>
          <w:szCs w:val="24"/>
        </w:rPr>
        <w:t>sport;</w:t>
      </w:r>
    </w:p>
    <w:p w14:paraId="62E47930" w14:textId="77777777" w:rsidR="009D6C87" w:rsidRPr="003B329E" w:rsidRDefault="009D6C87" w:rsidP="009D6C87">
      <w:pPr>
        <w:pStyle w:val="a7"/>
        <w:numPr>
          <w:ilvl w:val="0"/>
          <w:numId w:val="14"/>
        </w:numPr>
        <w:tabs>
          <w:tab w:val="left" w:pos="1134"/>
        </w:tabs>
        <w:spacing w:after="0" w:line="276" w:lineRule="auto"/>
        <w:ind w:left="993" w:hanging="142"/>
        <w:contextualSpacing w:val="0"/>
        <w:jc w:val="both"/>
        <w:rPr>
          <w:rFonts w:ascii="Times New Roman" w:hAnsi="Times New Roman" w:cs="Times New Roman"/>
          <w:sz w:val="24"/>
          <w:szCs w:val="24"/>
        </w:rPr>
      </w:pPr>
      <w:r>
        <w:rPr>
          <w:rFonts w:ascii="Times New Roman" w:hAnsi="Times New Roman" w:cs="Times New Roman"/>
          <w:sz w:val="24"/>
          <w:szCs w:val="24"/>
        </w:rPr>
        <w:t>d</w:t>
      </w:r>
      <w:r w:rsidRPr="003B329E">
        <w:rPr>
          <w:rFonts w:ascii="Times New Roman" w:hAnsi="Times New Roman" w:cs="Times New Roman"/>
          <w:sz w:val="24"/>
          <w:szCs w:val="24"/>
        </w:rPr>
        <w:t>ună, plajă;</w:t>
      </w:r>
    </w:p>
    <w:p w14:paraId="5740A44C" w14:textId="08065BFE" w:rsidR="00A57892" w:rsidRPr="009D6C87" w:rsidRDefault="009D6C87" w:rsidP="009D6C87">
      <w:pPr>
        <w:pStyle w:val="a7"/>
        <w:numPr>
          <w:ilvl w:val="0"/>
          <w:numId w:val="14"/>
        </w:numPr>
        <w:tabs>
          <w:tab w:val="left" w:pos="1134"/>
        </w:tabs>
        <w:spacing w:after="120" w:line="276" w:lineRule="auto"/>
        <w:ind w:left="993" w:hanging="142"/>
        <w:contextualSpacing w:val="0"/>
        <w:jc w:val="both"/>
        <w:rPr>
          <w:rFonts w:ascii="Times New Roman" w:hAnsi="Times New Roman" w:cs="Times New Roman"/>
          <w:sz w:val="24"/>
          <w:szCs w:val="24"/>
        </w:rPr>
      </w:pPr>
      <w:r>
        <w:rPr>
          <w:rFonts w:ascii="Times New Roman" w:hAnsi="Times New Roman" w:cs="Times New Roman"/>
          <w:sz w:val="24"/>
          <w:szCs w:val="24"/>
        </w:rPr>
        <w:t>b</w:t>
      </w:r>
      <w:r w:rsidRPr="003B329E">
        <w:rPr>
          <w:rFonts w:ascii="Times New Roman" w:hAnsi="Times New Roman" w:cs="Times New Roman"/>
          <w:sz w:val="24"/>
          <w:szCs w:val="24"/>
        </w:rPr>
        <w:t>locul administrativ și parcare pentru autoturisme</w:t>
      </w:r>
      <w:r>
        <w:rPr>
          <w:rFonts w:ascii="Times New Roman" w:hAnsi="Times New Roman" w:cs="Times New Roman"/>
          <w:sz w:val="24"/>
          <w:szCs w:val="24"/>
        </w:rPr>
        <w:t>.</w:t>
      </w:r>
    </w:p>
    <w:p w14:paraId="65EBCBB7" w14:textId="32BAB2DF" w:rsidR="00A57892" w:rsidRPr="003B329E" w:rsidRDefault="009D6C87" w:rsidP="00A57892">
      <w:pPr>
        <w:pStyle w:val="a7"/>
        <w:numPr>
          <w:ilvl w:val="0"/>
          <w:numId w:val="15"/>
        </w:numPr>
        <w:spacing w:after="80" w:line="276" w:lineRule="auto"/>
        <w:ind w:left="284" w:hanging="284"/>
        <w:jc w:val="both"/>
        <w:rPr>
          <w:rFonts w:ascii="Times New Roman" w:hAnsi="Times New Roman" w:cs="Times New Roman"/>
          <w:sz w:val="24"/>
          <w:szCs w:val="24"/>
        </w:rPr>
      </w:pPr>
      <w:r>
        <w:rPr>
          <w:rFonts w:ascii="Times New Roman" w:hAnsi="Times New Roman" w:cs="Times New Roman"/>
          <w:sz w:val="24"/>
          <w:szCs w:val="24"/>
        </w:rPr>
        <w:t>î</w:t>
      </w:r>
      <w:r w:rsidRPr="003B329E">
        <w:rPr>
          <w:rFonts w:ascii="Times New Roman" w:hAnsi="Times New Roman" w:cs="Times New Roman"/>
          <w:sz w:val="24"/>
          <w:szCs w:val="24"/>
        </w:rPr>
        <w:t>n conformitate cu înscrierile din actele cadastrale</w:t>
      </w:r>
      <w:r>
        <w:rPr>
          <w:rFonts w:ascii="Times New Roman" w:hAnsi="Times New Roman" w:cs="Times New Roman"/>
          <w:sz w:val="24"/>
          <w:szCs w:val="24"/>
        </w:rPr>
        <w:t>,</w:t>
      </w:r>
      <w:r w:rsidRPr="003B329E">
        <w:rPr>
          <w:rFonts w:ascii="Times New Roman" w:hAnsi="Times New Roman" w:cs="Times New Roman"/>
          <w:sz w:val="24"/>
          <w:szCs w:val="24"/>
        </w:rPr>
        <w:t xml:space="preserve"> terenul de 24,8 ha transmis pentru construcții este din „fondul forestier” al țării și</w:t>
      </w:r>
      <w:r>
        <w:rPr>
          <w:rFonts w:ascii="Times New Roman" w:hAnsi="Times New Roman" w:cs="Times New Roman"/>
          <w:sz w:val="24"/>
          <w:szCs w:val="24"/>
        </w:rPr>
        <w:t>,</w:t>
      </w:r>
      <w:r w:rsidRPr="003B329E">
        <w:rPr>
          <w:rFonts w:ascii="Times New Roman" w:hAnsi="Times New Roman" w:cs="Times New Roman"/>
          <w:sz w:val="24"/>
          <w:szCs w:val="24"/>
        </w:rPr>
        <w:t xml:space="preserve"> fiind situat pe malul drept al râului Nistru, incorporează și </w:t>
      </w:r>
      <w:r w:rsidRPr="003B329E">
        <w:rPr>
          <w:rFonts w:ascii="Times New Roman" w:hAnsi="Times New Roman" w:cs="Times New Roman"/>
          <w:i/>
          <w:sz w:val="24"/>
          <w:szCs w:val="24"/>
        </w:rPr>
        <w:t>fâșia riverană de protecție a apelor</w:t>
      </w:r>
      <w:r w:rsidRPr="003B329E">
        <w:rPr>
          <w:rFonts w:ascii="Times New Roman" w:hAnsi="Times New Roman" w:cs="Times New Roman"/>
          <w:sz w:val="24"/>
          <w:szCs w:val="24"/>
        </w:rPr>
        <w:t xml:space="preserve">. Potrivit art. 14 al Legii </w:t>
      </w:r>
      <w:r>
        <w:rPr>
          <w:rFonts w:ascii="Times New Roman" w:hAnsi="Times New Roman" w:cs="Times New Roman"/>
          <w:sz w:val="24"/>
          <w:szCs w:val="24"/>
        </w:rPr>
        <w:t>nr.</w:t>
      </w:r>
      <w:r w:rsidRPr="003B329E">
        <w:rPr>
          <w:rFonts w:ascii="Times New Roman" w:hAnsi="Times New Roman" w:cs="Times New Roman"/>
          <w:sz w:val="24"/>
          <w:szCs w:val="24"/>
        </w:rPr>
        <w:t>440/1995</w:t>
      </w:r>
      <w:r w:rsidRPr="003B329E">
        <w:rPr>
          <w:rStyle w:val="a5"/>
          <w:rFonts w:ascii="Times New Roman" w:hAnsi="Times New Roman" w:cs="Times New Roman"/>
          <w:sz w:val="24"/>
          <w:szCs w:val="24"/>
        </w:rPr>
        <w:footnoteReference w:id="121"/>
      </w:r>
      <w:r>
        <w:rPr>
          <w:rFonts w:ascii="Times New Roman" w:hAnsi="Times New Roman" w:cs="Times New Roman"/>
          <w:sz w:val="24"/>
          <w:szCs w:val="24"/>
        </w:rPr>
        <w:t>,</w:t>
      </w:r>
      <w:r w:rsidRPr="003B329E">
        <w:rPr>
          <w:rFonts w:ascii="Times New Roman" w:hAnsi="Times New Roman" w:cs="Times New Roman"/>
          <w:sz w:val="24"/>
          <w:szCs w:val="24"/>
        </w:rPr>
        <w:t xml:space="preserve"> înăuntrul fâșiilor riverane de protecție pot fi construite numai construcții hidrotehnice de protecție și de consolidare a malurilor, construcții și instalații provizorii pentru creșterea și prinsul peștelui și animalelor de apă, nefiind permisă ridicarea clădirilor destinate recreerii și fortificării sănătății</w:t>
      </w:r>
      <w:r>
        <w:rPr>
          <w:rFonts w:ascii="Times New Roman" w:hAnsi="Times New Roman" w:cs="Times New Roman"/>
          <w:sz w:val="24"/>
          <w:szCs w:val="24"/>
        </w:rPr>
        <w:t>,</w:t>
      </w:r>
      <w:r w:rsidRPr="003B329E">
        <w:rPr>
          <w:rFonts w:ascii="Times New Roman" w:hAnsi="Times New Roman" w:cs="Times New Roman"/>
          <w:sz w:val="24"/>
          <w:szCs w:val="24"/>
        </w:rPr>
        <w:t xml:space="preserve"> precum și amenajarea campingurilor și taberelor staționare de corturi. Este statuată și limitarea activității economice în zonele de protecție a apelor</w:t>
      </w:r>
      <w:r>
        <w:rPr>
          <w:rFonts w:ascii="Times New Roman" w:hAnsi="Times New Roman" w:cs="Times New Roman"/>
          <w:sz w:val="24"/>
          <w:szCs w:val="24"/>
        </w:rPr>
        <w:t>,</w:t>
      </w:r>
      <w:r w:rsidRPr="003B329E">
        <w:rPr>
          <w:rFonts w:ascii="Times New Roman" w:hAnsi="Times New Roman" w:cs="Times New Roman"/>
          <w:sz w:val="24"/>
          <w:szCs w:val="24"/>
        </w:rPr>
        <w:t xml:space="preserve"> c</w:t>
      </w:r>
      <w:r>
        <w:rPr>
          <w:rFonts w:ascii="Times New Roman" w:hAnsi="Times New Roman" w:cs="Times New Roman"/>
          <w:sz w:val="24"/>
          <w:szCs w:val="24"/>
        </w:rPr>
        <w:t>â</w:t>
      </w:r>
      <w:r w:rsidRPr="003B329E">
        <w:rPr>
          <w:rFonts w:ascii="Times New Roman" w:hAnsi="Times New Roman" w:cs="Times New Roman"/>
          <w:sz w:val="24"/>
          <w:szCs w:val="24"/>
        </w:rPr>
        <w:t>t și regimul juridic special de folosire a terenurilor fâșiilor riverane</w:t>
      </w:r>
      <w:r>
        <w:rPr>
          <w:rFonts w:ascii="Times New Roman" w:hAnsi="Times New Roman" w:cs="Times New Roman"/>
          <w:sz w:val="24"/>
          <w:szCs w:val="24"/>
        </w:rPr>
        <w:t>;</w:t>
      </w:r>
      <w:r w:rsidR="00A57892" w:rsidRPr="003B329E">
        <w:rPr>
          <w:rFonts w:ascii="Times New Roman" w:hAnsi="Times New Roman" w:cs="Times New Roman"/>
          <w:sz w:val="24"/>
          <w:szCs w:val="24"/>
        </w:rPr>
        <w:t xml:space="preserve"> </w:t>
      </w:r>
    </w:p>
    <w:p w14:paraId="7AE8C481" w14:textId="7A4861D1" w:rsidR="009D6C87" w:rsidRPr="003B329E" w:rsidRDefault="00A57892" w:rsidP="009D6C87">
      <w:pPr>
        <w:pStyle w:val="a7"/>
        <w:numPr>
          <w:ilvl w:val="0"/>
          <w:numId w:val="15"/>
        </w:numPr>
        <w:spacing w:after="80" w:line="276" w:lineRule="auto"/>
        <w:ind w:left="284" w:hanging="284"/>
        <w:jc w:val="both"/>
        <w:rPr>
          <w:rFonts w:ascii="Times New Roman" w:hAnsi="Times New Roman" w:cs="Times New Roman"/>
          <w:sz w:val="24"/>
          <w:szCs w:val="24"/>
        </w:rPr>
      </w:pPr>
      <w:r>
        <w:rPr>
          <w:rFonts w:ascii="Times New Roman" w:hAnsi="Times New Roman" w:cs="Times New Roman"/>
          <w:sz w:val="24"/>
          <w:szCs w:val="24"/>
        </w:rPr>
        <w:t>l</w:t>
      </w:r>
      <w:r w:rsidRPr="003B329E">
        <w:rPr>
          <w:rFonts w:ascii="Times New Roman" w:hAnsi="Times New Roman" w:cs="Times New Roman"/>
          <w:sz w:val="24"/>
          <w:szCs w:val="24"/>
        </w:rPr>
        <w:t>a</w:t>
      </w:r>
      <w:r w:rsidR="009D6C87">
        <w:rPr>
          <w:rFonts w:ascii="Times New Roman" w:hAnsi="Times New Roman" w:cs="Times New Roman"/>
          <w:sz w:val="24"/>
          <w:szCs w:val="24"/>
        </w:rPr>
        <w:t xml:space="preserve"> </w:t>
      </w:r>
      <w:r w:rsidR="009D6C87" w:rsidRPr="003B329E">
        <w:rPr>
          <w:rFonts w:ascii="Times New Roman" w:hAnsi="Times New Roman" w:cs="Times New Roman"/>
          <w:sz w:val="24"/>
          <w:szCs w:val="24"/>
        </w:rPr>
        <w:t>fel, despre conținutul contradictoriu al prevederilor HG nr.759/2004 privind edificarea Complexului hotelier-locativ Holercani, în anii 2004-2006 s-au expus și autoritățile statului</w:t>
      </w:r>
      <w:r w:rsidR="009D6C87" w:rsidRPr="003B329E">
        <w:rPr>
          <w:rStyle w:val="a5"/>
          <w:rFonts w:ascii="Times New Roman" w:hAnsi="Times New Roman" w:cs="Times New Roman"/>
          <w:sz w:val="24"/>
          <w:szCs w:val="24"/>
        </w:rPr>
        <w:footnoteReference w:id="122"/>
      </w:r>
      <w:r w:rsidR="009D6C87" w:rsidRPr="003B329E">
        <w:rPr>
          <w:rFonts w:ascii="Times New Roman" w:hAnsi="Times New Roman" w:cs="Times New Roman"/>
          <w:sz w:val="24"/>
          <w:szCs w:val="24"/>
        </w:rPr>
        <w:t>, inclusiv cele de protecți</w:t>
      </w:r>
      <w:r w:rsidR="009D6C87">
        <w:rPr>
          <w:rFonts w:ascii="Times New Roman" w:hAnsi="Times New Roman" w:cs="Times New Roman"/>
          <w:sz w:val="24"/>
          <w:szCs w:val="24"/>
        </w:rPr>
        <w:t xml:space="preserve">e </w:t>
      </w:r>
      <w:r w:rsidR="009D6C87" w:rsidRPr="003B329E">
        <w:rPr>
          <w:rFonts w:ascii="Times New Roman" w:hAnsi="Times New Roman" w:cs="Times New Roman"/>
          <w:sz w:val="24"/>
          <w:szCs w:val="24"/>
        </w:rPr>
        <w:t>a mediului înconjurător, relevând faptul că locul unde se preconiza construcția obiectivului este ocupat de vegetație forestieră de protecție a râului Nistru</w:t>
      </w:r>
      <w:r w:rsidR="009D6C87">
        <w:rPr>
          <w:rFonts w:ascii="Times New Roman" w:hAnsi="Times New Roman" w:cs="Times New Roman"/>
          <w:sz w:val="24"/>
          <w:szCs w:val="24"/>
        </w:rPr>
        <w:t>,</w:t>
      </w:r>
      <w:r w:rsidR="009D6C87" w:rsidRPr="003B329E">
        <w:rPr>
          <w:rFonts w:ascii="Times New Roman" w:hAnsi="Times New Roman" w:cs="Times New Roman"/>
          <w:sz w:val="24"/>
          <w:szCs w:val="24"/>
        </w:rPr>
        <w:t xml:space="preserve"> nefiind permisă amplasarea obiectivului nominalizat. În principal, s-a menționat despre încălcarea at</w:t>
      </w:r>
      <w:r w:rsidR="009D6C87">
        <w:rPr>
          <w:rFonts w:ascii="Times New Roman" w:hAnsi="Times New Roman" w:cs="Times New Roman"/>
          <w:sz w:val="24"/>
          <w:szCs w:val="24"/>
        </w:rPr>
        <w:t>â</w:t>
      </w:r>
      <w:r w:rsidR="009D6C87" w:rsidRPr="003B329E">
        <w:rPr>
          <w:rFonts w:ascii="Times New Roman" w:hAnsi="Times New Roman" w:cs="Times New Roman"/>
          <w:sz w:val="24"/>
          <w:szCs w:val="24"/>
        </w:rPr>
        <w:t xml:space="preserve">t a art. 14 din Legea </w:t>
      </w:r>
      <w:r w:rsidR="009D6C87">
        <w:rPr>
          <w:rFonts w:ascii="Times New Roman" w:hAnsi="Times New Roman" w:cs="Times New Roman"/>
          <w:sz w:val="24"/>
          <w:szCs w:val="24"/>
        </w:rPr>
        <w:t>nr.</w:t>
      </w:r>
      <w:r w:rsidR="009D6C87" w:rsidRPr="003B329E">
        <w:rPr>
          <w:rFonts w:ascii="Times New Roman" w:hAnsi="Times New Roman" w:cs="Times New Roman"/>
          <w:sz w:val="24"/>
          <w:szCs w:val="24"/>
        </w:rPr>
        <w:t>440/1995 menționat</w:t>
      </w:r>
      <w:r w:rsidR="009D6C87">
        <w:rPr>
          <w:rFonts w:ascii="Times New Roman" w:hAnsi="Times New Roman" w:cs="Times New Roman"/>
          <w:sz w:val="24"/>
          <w:szCs w:val="24"/>
        </w:rPr>
        <w:t>ă</w:t>
      </w:r>
      <w:r w:rsidR="009D6C87" w:rsidRPr="003B329E">
        <w:rPr>
          <w:rFonts w:ascii="Times New Roman" w:hAnsi="Times New Roman" w:cs="Times New Roman"/>
          <w:sz w:val="24"/>
          <w:szCs w:val="24"/>
        </w:rPr>
        <w:t xml:space="preserve"> supra la pct. b)</w:t>
      </w:r>
      <w:r w:rsidR="009D6C87">
        <w:rPr>
          <w:rFonts w:ascii="Times New Roman" w:hAnsi="Times New Roman" w:cs="Times New Roman"/>
          <w:sz w:val="24"/>
          <w:szCs w:val="24"/>
        </w:rPr>
        <w:t>,</w:t>
      </w:r>
      <w:r w:rsidR="009D6C87" w:rsidRPr="003B329E">
        <w:rPr>
          <w:rFonts w:ascii="Times New Roman" w:hAnsi="Times New Roman" w:cs="Times New Roman"/>
          <w:sz w:val="24"/>
          <w:szCs w:val="24"/>
        </w:rPr>
        <w:t xml:space="preserve"> c</w:t>
      </w:r>
      <w:r w:rsidR="009D6C87">
        <w:rPr>
          <w:rFonts w:ascii="Times New Roman" w:hAnsi="Times New Roman" w:cs="Times New Roman"/>
          <w:sz w:val="24"/>
          <w:szCs w:val="24"/>
        </w:rPr>
        <w:t>â</w:t>
      </w:r>
      <w:r w:rsidR="009D6C87" w:rsidRPr="003B329E">
        <w:rPr>
          <w:rFonts w:ascii="Times New Roman" w:hAnsi="Times New Roman" w:cs="Times New Roman"/>
          <w:sz w:val="24"/>
          <w:szCs w:val="24"/>
        </w:rPr>
        <w:t xml:space="preserve">t și a următoarelor acte legislative (redacția anului 2004-2005): </w:t>
      </w:r>
    </w:p>
    <w:p w14:paraId="4EC7925B" w14:textId="77777777" w:rsidR="009D6C87" w:rsidRPr="003B329E" w:rsidRDefault="009D6C87" w:rsidP="009D6C87">
      <w:pPr>
        <w:pStyle w:val="a7"/>
        <w:numPr>
          <w:ilvl w:val="0"/>
          <w:numId w:val="14"/>
        </w:numPr>
        <w:tabs>
          <w:tab w:val="left" w:pos="993"/>
        </w:tabs>
        <w:spacing w:after="0" w:line="276" w:lineRule="auto"/>
        <w:ind w:left="567" w:firstLine="141"/>
        <w:contextualSpacing w:val="0"/>
        <w:jc w:val="both"/>
        <w:rPr>
          <w:rFonts w:ascii="Times New Roman" w:hAnsi="Times New Roman" w:cs="Times New Roman"/>
          <w:sz w:val="24"/>
          <w:szCs w:val="24"/>
        </w:rPr>
      </w:pPr>
      <w:r w:rsidRPr="003B329E">
        <w:rPr>
          <w:rFonts w:ascii="Times New Roman" w:hAnsi="Times New Roman" w:cs="Times New Roman"/>
          <w:i/>
          <w:sz w:val="24"/>
          <w:szCs w:val="24"/>
        </w:rPr>
        <w:t xml:space="preserve">art. 41 </w:t>
      </w:r>
      <w:r>
        <w:rPr>
          <w:rFonts w:ascii="Times New Roman" w:hAnsi="Times New Roman" w:cs="Times New Roman"/>
          <w:i/>
          <w:sz w:val="24"/>
          <w:szCs w:val="24"/>
        </w:rPr>
        <w:t>alin.</w:t>
      </w:r>
      <w:r w:rsidRPr="003B329E">
        <w:rPr>
          <w:rFonts w:ascii="Times New Roman" w:hAnsi="Times New Roman" w:cs="Times New Roman"/>
          <w:i/>
          <w:sz w:val="24"/>
          <w:szCs w:val="24"/>
        </w:rPr>
        <w:t xml:space="preserve"> (1) din Legea </w:t>
      </w:r>
      <w:r>
        <w:rPr>
          <w:rFonts w:ascii="Times New Roman" w:hAnsi="Times New Roman" w:cs="Times New Roman"/>
          <w:i/>
          <w:sz w:val="24"/>
          <w:szCs w:val="24"/>
        </w:rPr>
        <w:t>nr.</w:t>
      </w:r>
      <w:r w:rsidRPr="003B329E">
        <w:rPr>
          <w:rFonts w:ascii="Times New Roman" w:hAnsi="Times New Roman" w:cs="Times New Roman"/>
          <w:i/>
          <w:sz w:val="24"/>
          <w:szCs w:val="24"/>
        </w:rPr>
        <w:t>1515/1993 privind protecția mediului înconjurător</w:t>
      </w:r>
      <w:r w:rsidRPr="003B329E">
        <w:rPr>
          <w:rFonts w:ascii="Times New Roman" w:hAnsi="Times New Roman" w:cs="Times New Roman"/>
          <w:sz w:val="24"/>
          <w:szCs w:val="24"/>
        </w:rPr>
        <w:t>, și anume se statuează interzicerea reducerii suprafeței terenurilor fondului forestier</w:t>
      </w:r>
      <w:r>
        <w:rPr>
          <w:rFonts w:ascii="Times New Roman" w:hAnsi="Times New Roman" w:cs="Times New Roman"/>
          <w:sz w:val="24"/>
          <w:szCs w:val="24"/>
        </w:rPr>
        <w:t>,</w:t>
      </w:r>
      <w:r w:rsidRPr="003B329E">
        <w:rPr>
          <w:rFonts w:ascii="Times New Roman" w:hAnsi="Times New Roman" w:cs="Times New Roman"/>
          <w:sz w:val="24"/>
          <w:szCs w:val="24"/>
        </w:rPr>
        <w:t xml:space="preserve"> iar în cazuri excepționale, această acțiune se permite în baza deciziei Guvernului doar cu obținerea acordului de mediu sau a </w:t>
      </w:r>
      <w:r w:rsidRPr="00A57892">
        <w:rPr>
          <w:rFonts w:ascii="Times New Roman" w:hAnsi="Times New Roman" w:cs="Times New Roman"/>
          <w:sz w:val="24"/>
          <w:szCs w:val="24"/>
        </w:rPr>
        <w:t>avizului</w:t>
      </w:r>
      <w:r>
        <w:rPr>
          <w:rStyle w:val="af7"/>
          <w:rFonts w:ascii="Times New Roman" w:hAnsi="Times New Roman" w:cs="Times New Roman"/>
          <w:sz w:val="24"/>
          <w:szCs w:val="24"/>
        </w:rPr>
        <w:t xml:space="preserve"> de e</w:t>
      </w:r>
      <w:r w:rsidRPr="00A57892">
        <w:rPr>
          <w:rStyle w:val="af7"/>
          <w:rFonts w:ascii="Times New Roman" w:hAnsi="Times New Roman" w:cs="Times New Roman"/>
          <w:sz w:val="24"/>
          <w:szCs w:val="24"/>
        </w:rPr>
        <w:t>xpertiz</w:t>
      </w:r>
      <w:r>
        <w:rPr>
          <w:rStyle w:val="af7"/>
          <w:rFonts w:ascii="Times New Roman" w:hAnsi="Times New Roman" w:cs="Times New Roman"/>
          <w:sz w:val="24"/>
          <w:szCs w:val="24"/>
        </w:rPr>
        <w:t>ă</w:t>
      </w:r>
      <w:r w:rsidRPr="00A57892">
        <w:rPr>
          <w:rStyle w:val="af7"/>
          <w:rFonts w:ascii="Times New Roman" w:hAnsi="Times New Roman" w:cs="Times New Roman"/>
          <w:sz w:val="24"/>
          <w:szCs w:val="24"/>
        </w:rPr>
        <w:t xml:space="preserve"> ec</w:t>
      </w:r>
      <w:r w:rsidRPr="00A57892">
        <w:rPr>
          <w:rFonts w:ascii="Times New Roman" w:hAnsi="Times New Roman" w:cs="Times New Roman"/>
          <w:sz w:val="24"/>
          <w:szCs w:val="24"/>
        </w:rPr>
        <w:t>ologic</w:t>
      </w:r>
      <w:r>
        <w:rPr>
          <w:rFonts w:ascii="Times New Roman" w:hAnsi="Times New Roman" w:cs="Times New Roman"/>
          <w:sz w:val="24"/>
          <w:szCs w:val="24"/>
        </w:rPr>
        <w:t>ă</w:t>
      </w:r>
      <w:r w:rsidRPr="00A57892">
        <w:rPr>
          <w:rFonts w:ascii="Times New Roman" w:hAnsi="Times New Roman" w:cs="Times New Roman"/>
          <w:sz w:val="24"/>
          <w:szCs w:val="24"/>
        </w:rPr>
        <w:t xml:space="preserve"> de stat</w:t>
      </w:r>
      <w:r w:rsidRPr="003B329E">
        <w:rPr>
          <w:rFonts w:ascii="Times New Roman" w:hAnsi="Times New Roman" w:cs="Times New Roman"/>
          <w:sz w:val="24"/>
          <w:szCs w:val="24"/>
        </w:rPr>
        <w:t>. Auditul atestă că pentru acest proiect nu a fost obținut avizul pozitiv al autorităților din domeniu mediului;</w:t>
      </w:r>
    </w:p>
    <w:p w14:paraId="594692E3" w14:textId="77777777" w:rsidR="009D6C87" w:rsidRPr="003B329E" w:rsidRDefault="009D6C87" w:rsidP="009D6C87">
      <w:pPr>
        <w:pStyle w:val="a7"/>
        <w:numPr>
          <w:ilvl w:val="0"/>
          <w:numId w:val="14"/>
        </w:numPr>
        <w:tabs>
          <w:tab w:val="left" w:pos="993"/>
        </w:tabs>
        <w:spacing w:after="0" w:line="276" w:lineRule="auto"/>
        <w:ind w:left="567" w:firstLine="141"/>
        <w:contextualSpacing w:val="0"/>
        <w:jc w:val="both"/>
        <w:rPr>
          <w:rFonts w:ascii="Times New Roman" w:hAnsi="Times New Roman" w:cs="Times New Roman"/>
          <w:i/>
          <w:sz w:val="24"/>
          <w:szCs w:val="24"/>
        </w:rPr>
      </w:pPr>
      <w:r w:rsidRPr="003B329E">
        <w:rPr>
          <w:rFonts w:ascii="Times New Roman" w:hAnsi="Times New Roman" w:cs="Times New Roman"/>
          <w:i/>
          <w:sz w:val="24"/>
          <w:szCs w:val="24"/>
        </w:rPr>
        <w:t>art. 15 din Codul funciar</w:t>
      </w:r>
      <w:r w:rsidRPr="003B329E">
        <w:rPr>
          <w:rStyle w:val="a5"/>
          <w:rFonts w:ascii="Times New Roman" w:hAnsi="Times New Roman" w:cs="Times New Roman"/>
          <w:i/>
          <w:sz w:val="24"/>
          <w:szCs w:val="24"/>
        </w:rPr>
        <w:footnoteReference w:id="123"/>
      </w:r>
      <w:r w:rsidRPr="003B329E">
        <w:rPr>
          <w:rFonts w:ascii="Times New Roman" w:hAnsi="Times New Roman" w:cs="Times New Roman"/>
          <w:i/>
          <w:sz w:val="24"/>
          <w:szCs w:val="24"/>
        </w:rPr>
        <w:t xml:space="preserve">, </w:t>
      </w:r>
      <w:r w:rsidRPr="00540B55">
        <w:rPr>
          <w:rFonts w:ascii="Times New Roman" w:hAnsi="Times New Roman" w:cs="Times New Roman"/>
          <w:sz w:val="24"/>
          <w:szCs w:val="24"/>
        </w:rPr>
        <w:t xml:space="preserve">care </w:t>
      </w:r>
      <w:r w:rsidRPr="003B329E">
        <w:rPr>
          <w:rFonts w:ascii="Times New Roman" w:hAnsi="Times New Roman" w:cs="Times New Roman"/>
          <w:sz w:val="24"/>
          <w:szCs w:val="24"/>
        </w:rPr>
        <w:t>reglementează faptul că pentru construcția clădirilor aferente altor necesități dec</w:t>
      </w:r>
      <w:r>
        <w:rPr>
          <w:rFonts w:ascii="Times New Roman" w:hAnsi="Times New Roman" w:cs="Times New Roman"/>
          <w:sz w:val="24"/>
          <w:szCs w:val="24"/>
        </w:rPr>
        <w:t>â</w:t>
      </w:r>
      <w:r w:rsidRPr="003B329E">
        <w:rPr>
          <w:rFonts w:ascii="Times New Roman" w:hAnsi="Times New Roman" w:cs="Times New Roman"/>
          <w:sz w:val="24"/>
          <w:szCs w:val="24"/>
        </w:rPr>
        <w:t>t producția agricolă se atribuie terenuri neîmpădurite;</w:t>
      </w:r>
    </w:p>
    <w:p w14:paraId="037DE28A" w14:textId="77777777" w:rsidR="009D6C87" w:rsidRPr="003B329E" w:rsidRDefault="009D6C87" w:rsidP="009D6C87">
      <w:pPr>
        <w:pStyle w:val="a7"/>
        <w:numPr>
          <w:ilvl w:val="0"/>
          <w:numId w:val="14"/>
        </w:numPr>
        <w:tabs>
          <w:tab w:val="left" w:pos="993"/>
        </w:tabs>
        <w:spacing w:after="80" w:line="276" w:lineRule="auto"/>
        <w:ind w:left="567" w:firstLine="141"/>
        <w:contextualSpacing w:val="0"/>
        <w:jc w:val="both"/>
        <w:rPr>
          <w:rFonts w:ascii="Times New Roman" w:hAnsi="Times New Roman" w:cs="Times New Roman"/>
          <w:sz w:val="24"/>
          <w:szCs w:val="24"/>
        </w:rPr>
      </w:pPr>
      <w:r w:rsidRPr="003B329E">
        <w:rPr>
          <w:rFonts w:ascii="Times New Roman" w:hAnsi="Times New Roman" w:cs="Times New Roman"/>
          <w:i/>
          <w:sz w:val="24"/>
          <w:szCs w:val="24"/>
        </w:rPr>
        <w:t>art</w:t>
      </w:r>
      <w:r>
        <w:rPr>
          <w:rFonts w:ascii="Times New Roman" w:hAnsi="Times New Roman" w:cs="Times New Roman"/>
          <w:i/>
          <w:sz w:val="24"/>
          <w:szCs w:val="24"/>
        </w:rPr>
        <w:t>.</w:t>
      </w:r>
      <w:r w:rsidRPr="003B329E">
        <w:rPr>
          <w:rFonts w:ascii="Times New Roman" w:hAnsi="Times New Roman" w:cs="Times New Roman"/>
          <w:i/>
          <w:sz w:val="24"/>
          <w:szCs w:val="24"/>
        </w:rPr>
        <w:t xml:space="preserve"> 77 alin. (2),</w:t>
      </w:r>
      <w:r>
        <w:rPr>
          <w:rFonts w:ascii="Times New Roman" w:hAnsi="Times New Roman" w:cs="Times New Roman"/>
          <w:i/>
          <w:sz w:val="24"/>
          <w:szCs w:val="24"/>
        </w:rPr>
        <w:t xml:space="preserve"> art.</w:t>
      </w:r>
      <w:r w:rsidRPr="003B329E">
        <w:rPr>
          <w:rFonts w:ascii="Times New Roman" w:hAnsi="Times New Roman" w:cs="Times New Roman"/>
          <w:i/>
          <w:sz w:val="24"/>
          <w:szCs w:val="24"/>
        </w:rPr>
        <w:t xml:space="preserve">78 alin.(2) și </w:t>
      </w:r>
      <w:r>
        <w:rPr>
          <w:rFonts w:ascii="Times New Roman" w:hAnsi="Times New Roman" w:cs="Times New Roman"/>
          <w:i/>
          <w:sz w:val="24"/>
          <w:szCs w:val="24"/>
        </w:rPr>
        <w:t>art.</w:t>
      </w:r>
      <w:r w:rsidRPr="003B329E">
        <w:rPr>
          <w:rFonts w:ascii="Times New Roman" w:hAnsi="Times New Roman" w:cs="Times New Roman"/>
          <w:i/>
          <w:sz w:val="24"/>
          <w:szCs w:val="24"/>
        </w:rPr>
        <w:t>79 din Codul silvic</w:t>
      </w:r>
      <w:r w:rsidRPr="003B329E">
        <w:rPr>
          <w:rStyle w:val="a5"/>
          <w:rFonts w:ascii="Times New Roman" w:hAnsi="Times New Roman" w:cs="Times New Roman"/>
          <w:sz w:val="24"/>
          <w:szCs w:val="24"/>
        </w:rPr>
        <w:footnoteReference w:id="124"/>
      </w:r>
      <w:r w:rsidRPr="003B329E">
        <w:rPr>
          <w:rFonts w:ascii="Times New Roman" w:hAnsi="Times New Roman" w:cs="Times New Roman"/>
          <w:i/>
          <w:sz w:val="24"/>
          <w:szCs w:val="24"/>
        </w:rPr>
        <w:t>,</w:t>
      </w:r>
      <w:r w:rsidRPr="003B329E">
        <w:rPr>
          <w:rFonts w:ascii="Times New Roman" w:hAnsi="Times New Roman" w:cs="Times New Roman"/>
          <w:sz w:val="24"/>
          <w:szCs w:val="24"/>
        </w:rPr>
        <w:t xml:space="preserve"> conform cărora se necesită asigurarea integrității</w:t>
      </w:r>
      <w:r>
        <w:rPr>
          <w:rFonts w:ascii="Times New Roman" w:hAnsi="Times New Roman" w:cs="Times New Roman"/>
          <w:sz w:val="24"/>
          <w:szCs w:val="24"/>
        </w:rPr>
        <w:t>,</w:t>
      </w:r>
      <w:r w:rsidRPr="003B329E">
        <w:rPr>
          <w:rFonts w:ascii="Times New Roman" w:hAnsi="Times New Roman" w:cs="Times New Roman"/>
          <w:sz w:val="24"/>
          <w:szCs w:val="24"/>
        </w:rPr>
        <w:t xml:space="preserve"> dezvoltării fondului forestier și interdicția reducerii suprafețelor împădurite.</w:t>
      </w:r>
    </w:p>
    <w:p w14:paraId="5668BDCF" w14:textId="35B0C196" w:rsidR="00A57892" w:rsidRPr="009D6C87" w:rsidRDefault="00A57892" w:rsidP="009D6C87">
      <w:pPr>
        <w:spacing w:after="80" w:line="276" w:lineRule="auto"/>
        <w:jc w:val="both"/>
        <w:rPr>
          <w:rFonts w:ascii="Times New Roman" w:hAnsi="Times New Roman" w:cs="Times New Roman"/>
          <w:sz w:val="24"/>
          <w:szCs w:val="24"/>
        </w:rPr>
      </w:pPr>
      <w:r w:rsidRPr="009D6C87">
        <w:rPr>
          <w:rFonts w:ascii="Times New Roman" w:hAnsi="Times New Roman" w:cs="Times New Roman"/>
          <w:sz w:val="24"/>
          <w:szCs w:val="24"/>
        </w:rPr>
        <w:t>Rezumând cele menționate supra, echipa de audit constată că autoritățile statului, prin deciziile/acțiunile lor, și-au asumat implementarea unui proiect la realizarea căruia se încălcau sau se contraziceau un șir de norme legale, și anume edificarea ilegală a construcțiilor capitale destinate recreerii pe terenuri împădurite proprietate publică a statului. Acest fapt, implicit</w:t>
      </w:r>
      <w:r w:rsidR="009D6C87">
        <w:rPr>
          <w:rFonts w:ascii="Times New Roman" w:hAnsi="Times New Roman" w:cs="Times New Roman"/>
          <w:sz w:val="24"/>
          <w:szCs w:val="24"/>
        </w:rPr>
        <w:t>,</w:t>
      </w:r>
      <w:r w:rsidRPr="009D6C87">
        <w:rPr>
          <w:rFonts w:ascii="Times New Roman" w:hAnsi="Times New Roman" w:cs="Times New Roman"/>
          <w:sz w:val="24"/>
          <w:szCs w:val="24"/>
        </w:rPr>
        <w:t xml:space="preserve"> ar fi atras ulterior scoaterea terenului din domeniul public, excluderea din fondul forestier și schimbarea destinației lui.</w:t>
      </w:r>
      <w:r w:rsidR="00BA69A9" w:rsidRPr="009D6C87">
        <w:rPr>
          <w:rFonts w:ascii="Times New Roman" w:hAnsi="Times New Roman" w:cs="Times New Roman"/>
          <w:sz w:val="24"/>
          <w:szCs w:val="24"/>
        </w:rPr>
        <w:t xml:space="preserve"> </w:t>
      </w:r>
    </w:p>
    <w:p w14:paraId="0B46A21E" w14:textId="77777777" w:rsidR="00A57892" w:rsidRPr="003B329E" w:rsidRDefault="00A57892" w:rsidP="00A57892">
      <w:pPr>
        <w:spacing w:after="80" w:line="276" w:lineRule="auto"/>
        <w:jc w:val="both"/>
        <w:rPr>
          <w:rFonts w:ascii="Times New Roman" w:hAnsi="Times New Roman" w:cs="Times New Roman"/>
          <w:sz w:val="24"/>
          <w:szCs w:val="24"/>
        </w:rPr>
      </w:pPr>
      <w:r w:rsidRPr="003B329E">
        <w:rPr>
          <w:rFonts w:ascii="Times New Roman" w:hAnsi="Times New Roman" w:cs="Times New Roman"/>
          <w:sz w:val="24"/>
          <w:szCs w:val="24"/>
        </w:rPr>
        <w:t xml:space="preserve">Mai mult </w:t>
      </w:r>
      <w:r>
        <w:rPr>
          <w:rFonts w:ascii="Times New Roman" w:hAnsi="Times New Roman" w:cs="Times New Roman"/>
          <w:sz w:val="24"/>
          <w:szCs w:val="24"/>
        </w:rPr>
        <w:t>decât</w:t>
      </w:r>
      <w:r w:rsidRPr="003B329E">
        <w:rPr>
          <w:rFonts w:ascii="Times New Roman" w:hAnsi="Times New Roman" w:cs="Times New Roman"/>
          <w:sz w:val="24"/>
          <w:szCs w:val="24"/>
        </w:rPr>
        <w:t xml:space="preserve"> atât, realizarea proiectului turistic menționat ar fi condus la reducerea suprafeței zonei împădurite (defrișarea copacilor) și </w:t>
      </w:r>
      <w:r>
        <w:rPr>
          <w:rFonts w:ascii="Times New Roman" w:hAnsi="Times New Roman" w:cs="Times New Roman"/>
          <w:sz w:val="24"/>
          <w:szCs w:val="24"/>
        </w:rPr>
        <w:t xml:space="preserve">la </w:t>
      </w:r>
      <w:r w:rsidRPr="003B329E">
        <w:rPr>
          <w:rFonts w:ascii="Times New Roman" w:hAnsi="Times New Roman" w:cs="Times New Roman"/>
          <w:sz w:val="24"/>
          <w:szCs w:val="24"/>
        </w:rPr>
        <w:t xml:space="preserve">modificarea structurii zonei de protecție a râurilor, </w:t>
      </w:r>
      <w:r w:rsidRPr="003B329E">
        <w:rPr>
          <w:rFonts w:ascii="Times New Roman" w:hAnsi="Times New Roman" w:cs="Times New Roman"/>
          <w:i/>
          <w:sz w:val="24"/>
          <w:szCs w:val="24"/>
        </w:rPr>
        <w:t>acțiuni</w:t>
      </w:r>
      <w:r w:rsidRPr="003B329E">
        <w:rPr>
          <w:rFonts w:ascii="Times New Roman" w:hAnsi="Times New Roman" w:cs="Times New Roman"/>
          <w:sz w:val="24"/>
          <w:szCs w:val="24"/>
        </w:rPr>
        <w:t xml:space="preserve"> care nu se aliniază la țintele naționale</w:t>
      </w:r>
      <w:r w:rsidRPr="003B329E">
        <w:rPr>
          <w:rStyle w:val="a5"/>
          <w:rFonts w:ascii="Times New Roman" w:hAnsi="Times New Roman" w:cs="Times New Roman"/>
          <w:sz w:val="24"/>
          <w:szCs w:val="24"/>
        </w:rPr>
        <w:footnoteReference w:id="125"/>
      </w:r>
      <w:r w:rsidRPr="003B329E">
        <w:rPr>
          <w:rFonts w:ascii="Times New Roman" w:hAnsi="Times New Roman" w:cs="Times New Roman"/>
          <w:sz w:val="24"/>
          <w:szCs w:val="24"/>
        </w:rPr>
        <w:t xml:space="preserve"> privind atingerea Obiectivului de Dezvoltare Durabilă 15 „Viață pe pământ” și </w:t>
      </w:r>
      <w:r>
        <w:rPr>
          <w:rFonts w:ascii="Times New Roman" w:hAnsi="Times New Roman" w:cs="Times New Roman"/>
          <w:sz w:val="24"/>
          <w:szCs w:val="24"/>
        </w:rPr>
        <w:t xml:space="preserve">la </w:t>
      </w:r>
      <w:r w:rsidRPr="003B329E">
        <w:rPr>
          <w:rFonts w:ascii="Times New Roman" w:hAnsi="Times New Roman" w:cs="Times New Roman"/>
          <w:sz w:val="24"/>
          <w:szCs w:val="24"/>
        </w:rPr>
        <w:t>strategiile</w:t>
      </w:r>
      <w:r w:rsidRPr="003B329E">
        <w:rPr>
          <w:rStyle w:val="a5"/>
          <w:rFonts w:ascii="Times New Roman" w:hAnsi="Times New Roman" w:cs="Times New Roman"/>
          <w:sz w:val="24"/>
          <w:szCs w:val="24"/>
        </w:rPr>
        <w:footnoteReference w:id="126"/>
      </w:r>
      <w:r w:rsidRPr="003B329E">
        <w:rPr>
          <w:rFonts w:ascii="Times New Roman" w:hAnsi="Times New Roman" w:cs="Times New Roman"/>
          <w:sz w:val="24"/>
          <w:szCs w:val="24"/>
        </w:rPr>
        <w:t xml:space="preserve"> în domeniul mediului adoptate la nivel de țară pe parcursul ultimilor ani, orientate spre: restaurarea și conservarea resurselor ecosistemelor terestre, gestionarea durabilă a pădurilor, combaterea defrișării, restabilirea pădurilor degradate și creșterea semnificativă a împăduririi și reîmpăduririi.</w:t>
      </w:r>
    </w:p>
    <w:p w14:paraId="2FC60C4D" w14:textId="77777777" w:rsidR="00A57892" w:rsidRPr="003B329E" w:rsidRDefault="00A57892" w:rsidP="00A57892">
      <w:pPr>
        <w:pStyle w:val="a7"/>
        <w:tabs>
          <w:tab w:val="left" w:pos="426"/>
        </w:tabs>
        <w:spacing w:after="120" w:line="276" w:lineRule="auto"/>
        <w:ind w:left="0"/>
        <w:contextualSpacing w:val="0"/>
        <w:jc w:val="both"/>
        <w:rPr>
          <w:rFonts w:ascii="Times New Roman" w:hAnsi="Times New Roman" w:cs="Times New Roman"/>
          <w:i/>
          <w:sz w:val="24"/>
          <w:szCs w:val="24"/>
        </w:rPr>
      </w:pPr>
      <w:r w:rsidRPr="003B329E">
        <w:rPr>
          <w:rFonts w:ascii="Times New Roman" w:hAnsi="Times New Roman" w:cs="Times New Roman"/>
          <w:b/>
          <w:i/>
          <w:color w:val="2F5496" w:themeColor="accent5" w:themeShade="BF"/>
          <w:sz w:val="24"/>
          <w:szCs w:val="24"/>
        </w:rPr>
        <w:t>Auditul relevă problematici și la etapa de implementare a Contractului de administrare fiduciară nr. 1 din 22.09.2004, încheiat între CS (fondator al administrării) și Bursa „LARA” SRL (administratorul fiduciar).</w:t>
      </w:r>
      <w:r w:rsidRPr="003B329E">
        <w:rPr>
          <w:rFonts w:ascii="Times New Roman" w:hAnsi="Times New Roman" w:cs="Times New Roman"/>
          <w:color w:val="000000" w:themeColor="text1"/>
          <w:sz w:val="24"/>
          <w:szCs w:val="24"/>
        </w:rPr>
        <w:t xml:space="preserve"> </w:t>
      </w:r>
      <w:r w:rsidRPr="003B329E">
        <w:rPr>
          <w:rFonts w:ascii="Times New Roman" w:hAnsi="Times New Roman" w:cs="Times New Roman"/>
          <w:sz w:val="24"/>
          <w:szCs w:val="24"/>
        </w:rPr>
        <w:t>În acest context, punctual menționăm următoarele:</w:t>
      </w:r>
    </w:p>
    <w:p w14:paraId="5BD2B0AD" w14:textId="7F86944D" w:rsidR="00A57892" w:rsidRPr="003B329E" w:rsidRDefault="00A57892" w:rsidP="00A57892">
      <w:pPr>
        <w:pStyle w:val="a7"/>
        <w:numPr>
          <w:ilvl w:val="0"/>
          <w:numId w:val="13"/>
        </w:numPr>
        <w:tabs>
          <w:tab w:val="left" w:pos="284"/>
        </w:tabs>
        <w:spacing w:after="120" w:line="276"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d</w:t>
      </w:r>
      <w:r w:rsidRPr="003B329E">
        <w:rPr>
          <w:rFonts w:ascii="Times New Roman" w:hAnsi="Times New Roman" w:cs="Times New Roman"/>
          <w:sz w:val="24"/>
          <w:szCs w:val="24"/>
        </w:rPr>
        <w:t>eși autoritățile statului cunoșteau despre încălcarea unor șir de norme legale la realizarea complexului hotelier-locativ Holercani, odată cu semnarea contractului au fost agreate unele condiții vicioase și dezavantajoase care au redus din buna gestiune și valorificare a patrimoniului public a</w:t>
      </w:r>
      <w:r>
        <w:rPr>
          <w:rFonts w:ascii="Times New Roman" w:hAnsi="Times New Roman" w:cs="Times New Roman"/>
          <w:sz w:val="24"/>
          <w:szCs w:val="24"/>
        </w:rPr>
        <w:t>l</w:t>
      </w:r>
      <w:r w:rsidRPr="003B329E">
        <w:rPr>
          <w:rFonts w:ascii="Times New Roman" w:hAnsi="Times New Roman" w:cs="Times New Roman"/>
          <w:sz w:val="24"/>
          <w:szCs w:val="24"/>
        </w:rPr>
        <w:t xml:space="preserve"> statutului. Astfel, potrivit pct</w:t>
      </w:r>
      <w:r>
        <w:rPr>
          <w:rFonts w:ascii="Times New Roman" w:hAnsi="Times New Roman" w:cs="Times New Roman"/>
          <w:sz w:val="24"/>
          <w:szCs w:val="24"/>
        </w:rPr>
        <w:t>.</w:t>
      </w:r>
      <w:r w:rsidRPr="003B329E">
        <w:rPr>
          <w:rFonts w:ascii="Times New Roman" w:hAnsi="Times New Roman" w:cs="Times New Roman"/>
          <w:sz w:val="24"/>
          <w:szCs w:val="24"/>
        </w:rPr>
        <w:t xml:space="preserve"> 9.1. </w:t>
      </w:r>
      <w:r>
        <w:rPr>
          <w:rFonts w:ascii="Times New Roman" w:hAnsi="Times New Roman" w:cs="Times New Roman"/>
          <w:sz w:val="24"/>
          <w:szCs w:val="24"/>
        </w:rPr>
        <w:t>și</w:t>
      </w:r>
      <w:r w:rsidRPr="003B329E">
        <w:rPr>
          <w:rFonts w:ascii="Times New Roman" w:hAnsi="Times New Roman" w:cs="Times New Roman"/>
          <w:sz w:val="24"/>
          <w:szCs w:val="24"/>
        </w:rPr>
        <w:t xml:space="preserve"> 9.2. din contractul nr. 1/2004</w:t>
      </w:r>
      <w:r>
        <w:rPr>
          <w:rFonts w:ascii="Times New Roman" w:hAnsi="Times New Roman" w:cs="Times New Roman"/>
          <w:sz w:val="24"/>
          <w:szCs w:val="24"/>
        </w:rPr>
        <w:t>,</w:t>
      </w:r>
      <w:r w:rsidRPr="003B329E">
        <w:rPr>
          <w:rFonts w:ascii="Times New Roman" w:hAnsi="Times New Roman" w:cs="Times New Roman"/>
          <w:sz w:val="24"/>
          <w:szCs w:val="24"/>
        </w:rPr>
        <w:t xml:space="preserve"> s-a statuat că</w:t>
      </w:r>
      <w:r>
        <w:rPr>
          <w:rFonts w:ascii="Times New Roman" w:hAnsi="Times New Roman" w:cs="Times New Roman"/>
          <w:sz w:val="24"/>
          <w:szCs w:val="24"/>
        </w:rPr>
        <w:t>,</w:t>
      </w:r>
      <w:r w:rsidRPr="003B329E">
        <w:rPr>
          <w:rFonts w:ascii="Times New Roman" w:hAnsi="Times New Roman" w:cs="Times New Roman"/>
          <w:sz w:val="24"/>
          <w:szCs w:val="24"/>
        </w:rPr>
        <w:t xml:space="preserve"> la rezilierea contractului înainte de termen, atât la inițiativa CS</w:t>
      </w:r>
      <w:r>
        <w:rPr>
          <w:rFonts w:ascii="Times New Roman" w:hAnsi="Times New Roman" w:cs="Times New Roman"/>
          <w:sz w:val="24"/>
          <w:szCs w:val="24"/>
        </w:rPr>
        <w:t>,</w:t>
      </w:r>
      <w:r w:rsidRPr="003B329E">
        <w:rPr>
          <w:rFonts w:ascii="Times New Roman" w:hAnsi="Times New Roman" w:cs="Times New Roman"/>
          <w:sz w:val="24"/>
          <w:szCs w:val="24"/>
        </w:rPr>
        <w:t xml:space="preserve"> cât și/sau a Bursei </w:t>
      </w:r>
      <w:r>
        <w:rPr>
          <w:rFonts w:ascii="Times New Roman" w:hAnsi="Times New Roman" w:cs="Times New Roman"/>
          <w:sz w:val="24"/>
          <w:szCs w:val="24"/>
        </w:rPr>
        <w:t>„</w:t>
      </w:r>
      <w:r w:rsidRPr="003B329E">
        <w:rPr>
          <w:rFonts w:ascii="Times New Roman" w:hAnsi="Times New Roman" w:cs="Times New Roman"/>
          <w:sz w:val="24"/>
          <w:szCs w:val="24"/>
        </w:rPr>
        <w:t>LARA</w:t>
      </w:r>
      <w:r>
        <w:rPr>
          <w:rFonts w:ascii="Times New Roman" w:hAnsi="Times New Roman" w:cs="Times New Roman"/>
          <w:sz w:val="24"/>
          <w:szCs w:val="24"/>
        </w:rPr>
        <w:t>”</w:t>
      </w:r>
      <w:r w:rsidRPr="003B329E">
        <w:rPr>
          <w:rFonts w:ascii="Times New Roman" w:hAnsi="Times New Roman" w:cs="Times New Roman"/>
          <w:sz w:val="24"/>
          <w:szCs w:val="24"/>
        </w:rPr>
        <w:t xml:space="preserve"> SRL, achitarea cheltuielilor în ambele cazuri va fi</w:t>
      </w:r>
      <w:r w:rsidR="00BA69A9">
        <w:rPr>
          <w:rFonts w:ascii="Times New Roman" w:hAnsi="Times New Roman" w:cs="Times New Roman"/>
          <w:sz w:val="24"/>
          <w:szCs w:val="24"/>
        </w:rPr>
        <w:t xml:space="preserve"> </w:t>
      </w:r>
      <w:r w:rsidRPr="003B329E">
        <w:rPr>
          <w:rFonts w:ascii="Times New Roman" w:hAnsi="Times New Roman" w:cs="Times New Roman"/>
          <w:sz w:val="24"/>
          <w:szCs w:val="24"/>
        </w:rPr>
        <w:t>suportată din contul fondatorului administrării (CS). Pe parcursul perioadei de realizare a contractului, administratorul fiduciar, periodic, comunica CS despre suportarea cheltuielilor în sumă de 1,7 mil. lei. Astfel, deși în anul 2013 autoritatea publică a avut intenția</w:t>
      </w:r>
      <w:r w:rsidRPr="003B329E">
        <w:rPr>
          <w:rStyle w:val="a5"/>
          <w:rFonts w:ascii="Times New Roman" w:hAnsi="Times New Roman" w:cs="Times New Roman"/>
          <w:sz w:val="24"/>
          <w:szCs w:val="24"/>
        </w:rPr>
        <w:footnoteReference w:id="127"/>
      </w:r>
      <w:r w:rsidRPr="003B329E">
        <w:rPr>
          <w:rFonts w:ascii="Times New Roman" w:hAnsi="Times New Roman" w:cs="Times New Roman"/>
          <w:sz w:val="24"/>
          <w:szCs w:val="24"/>
        </w:rPr>
        <w:t xml:space="preserve"> de a rezilia contractul sus</w:t>
      </w:r>
      <w:r>
        <w:rPr>
          <w:rFonts w:ascii="Times New Roman" w:hAnsi="Times New Roman" w:cs="Times New Roman"/>
          <w:sz w:val="24"/>
          <w:szCs w:val="24"/>
        </w:rPr>
        <w:t>-</w:t>
      </w:r>
      <w:r w:rsidRPr="003B329E">
        <w:rPr>
          <w:rFonts w:ascii="Times New Roman" w:hAnsi="Times New Roman" w:cs="Times New Roman"/>
          <w:sz w:val="24"/>
          <w:szCs w:val="24"/>
        </w:rPr>
        <w:t xml:space="preserve">numit, această procedură nu a avut finalitate, nefiind înaintate pretenții agentului economic, </w:t>
      </w:r>
      <w:r>
        <w:rPr>
          <w:rFonts w:ascii="Times New Roman" w:hAnsi="Times New Roman" w:cs="Times New Roman"/>
          <w:sz w:val="24"/>
          <w:szCs w:val="24"/>
        </w:rPr>
        <w:t xml:space="preserve">ca </w:t>
      </w:r>
      <w:r w:rsidRPr="003B329E">
        <w:rPr>
          <w:rFonts w:ascii="Times New Roman" w:hAnsi="Times New Roman" w:cs="Times New Roman"/>
          <w:sz w:val="24"/>
          <w:szCs w:val="24"/>
        </w:rPr>
        <w:t xml:space="preserve">urmare </w:t>
      </w:r>
      <w:r>
        <w:rPr>
          <w:rFonts w:ascii="Times New Roman" w:hAnsi="Times New Roman" w:cs="Times New Roman"/>
          <w:sz w:val="24"/>
          <w:szCs w:val="24"/>
        </w:rPr>
        <w:t xml:space="preserve">a </w:t>
      </w:r>
      <w:r w:rsidRPr="003B329E">
        <w:rPr>
          <w:rFonts w:ascii="Times New Roman" w:hAnsi="Times New Roman" w:cs="Times New Roman"/>
          <w:sz w:val="24"/>
          <w:szCs w:val="24"/>
        </w:rPr>
        <w:t>riscului de achitare a cheltuielilor din bugetul de stat</w:t>
      </w:r>
      <w:r>
        <w:rPr>
          <w:rFonts w:ascii="Times New Roman" w:hAnsi="Times New Roman" w:cs="Times New Roman"/>
          <w:sz w:val="24"/>
          <w:szCs w:val="24"/>
        </w:rPr>
        <w:t>;</w:t>
      </w:r>
      <w:r w:rsidR="00BA69A9">
        <w:rPr>
          <w:rFonts w:ascii="Times New Roman" w:hAnsi="Times New Roman" w:cs="Times New Roman"/>
          <w:sz w:val="24"/>
          <w:szCs w:val="24"/>
        </w:rPr>
        <w:t xml:space="preserve"> </w:t>
      </w:r>
      <w:r w:rsidRPr="003B329E">
        <w:rPr>
          <w:rFonts w:ascii="Times New Roman" w:hAnsi="Times New Roman" w:cs="Times New Roman"/>
          <w:sz w:val="24"/>
          <w:szCs w:val="24"/>
        </w:rPr>
        <w:t xml:space="preserve"> </w:t>
      </w:r>
    </w:p>
    <w:p w14:paraId="3CD0BA5C" w14:textId="3E2F065D" w:rsidR="00A57892" w:rsidRPr="003B329E" w:rsidRDefault="00A57892" w:rsidP="00A57892">
      <w:pPr>
        <w:pStyle w:val="a7"/>
        <w:numPr>
          <w:ilvl w:val="0"/>
          <w:numId w:val="13"/>
        </w:numPr>
        <w:tabs>
          <w:tab w:val="left" w:pos="284"/>
        </w:tabs>
        <w:spacing w:after="120" w:line="276"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î</w:t>
      </w:r>
      <w:r w:rsidRPr="003B329E">
        <w:rPr>
          <w:rFonts w:ascii="Times New Roman" w:hAnsi="Times New Roman" w:cs="Times New Roman"/>
          <w:sz w:val="24"/>
          <w:szCs w:val="24"/>
        </w:rPr>
        <w:t>n anul 2015 agentul economic a înaintat CS o scrisoare</w:t>
      </w:r>
      <w:r w:rsidRPr="003B329E">
        <w:rPr>
          <w:rStyle w:val="a5"/>
          <w:rFonts w:ascii="Times New Roman" w:hAnsi="Times New Roman" w:cs="Times New Roman"/>
          <w:sz w:val="24"/>
          <w:szCs w:val="24"/>
        </w:rPr>
        <w:footnoteReference w:id="128"/>
      </w:r>
      <w:r w:rsidRPr="003B329E">
        <w:rPr>
          <w:rFonts w:ascii="Times New Roman" w:hAnsi="Times New Roman" w:cs="Times New Roman"/>
          <w:sz w:val="24"/>
          <w:szCs w:val="24"/>
        </w:rPr>
        <w:t xml:space="preserve"> prin care comunica valoarea costurilor suportate în cadrul proiectului investițional, pentru perioada 2003-2004, în sumă totală de 1,7 mil. lei</w:t>
      </w:r>
      <w:r>
        <w:rPr>
          <w:rFonts w:ascii="Times New Roman" w:hAnsi="Times New Roman" w:cs="Times New Roman"/>
          <w:sz w:val="24"/>
          <w:szCs w:val="24"/>
        </w:rPr>
        <w:t>.</w:t>
      </w:r>
      <w:r w:rsidRPr="003B329E">
        <w:rPr>
          <w:rFonts w:ascii="Times New Roman" w:hAnsi="Times New Roman" w:cs="Times New Roman"/>
          <w:sz w:val="24"/>
          <w:szCs w:val="24"/>
        </w:rPr>
        <w:t xml:space="preserve"> </w:t>
      </w:r>
      <w:r>
        <w:rPr>
          <w:rFonts w:ascii="Times New Roman" w:hAnsi="Times New Roman" w:cs="Times New Roman"/>
          <w:sz w:val="24"/>
          <w:szCs w:val="24"/>
        </w:rPr>
        <w:t>E</w:t>
      </w:r>
      <w:r w:rsidRPr="003B329E">
        <w:rPr>
          <w:rFonts w:ascii="Times New Roman" w:hAnsi="Times New Roman" w:cs="Times New Roman"/>
          <w:sz w:val="24"/>
          <w:szCs w:val="24"/>
        </w:rPr>
        <w:t>chipei de audit nu i-au fost prezentate și anexele cu argumentări (326 foi) a</w:t>
      </w:r>
      <w:r w:rsidR="009D6C87">
        <w:rPr>
          <w:rFonts w:ascii="Times New Roman" w:hAnsi="Times New Roman" w:cs="Times New Roman"/>
          <w:sz w:val="24"/>
          <w:szCs w:val="24"/>
        </w:rPr>
        <w:t>le</w:t>
      </w:r>
      <w:r w:rsidRPr="003B329E">
        <w:rPr>
          <w:rFonts w:ascii="Times New Roman" w:hAnsi="Times New Roman" w:cs="Times New Roman"/>
          <w:sz w:val="24"/>
          <w:szCs w:val="24"/>
        </w:rPr>
        <w:t xml:space="preserve"> costurilor invocate în scrisoare, care</w:t>
      </w:r>
      <w:r>
        <w:rPr>
          <w:rFonts w:ascii="Times New Roman" w:hAnsi="Times New Roman" w:cs="Times New Roman"/>
          <w:sz w:val="24"/>
          <w:szCs w:val="24"/>
        </w:rPr>
        <w:t>,</w:t>
      </w:r>
      <w:r w:rsidRPr="003B329E">
        <w:rPr>
          <w:rFonts w:ascii="Times New Roman" w:hAnsi="Times New Roman" w:cs="Times New Roman"/>
          <w:sz w:val="24"/>
          <w:szCs w:val="24"/>
        </w:rPr>
        <w:t xml:space="preserve"> potrivit explicațiilor</w:t>
      </w:r>
      <w:r>
        <w:rPr>
          <w:rFonts w:ascii="Times New Roman" w:hAnsi="Times New Roman" w:cs="Times New Roman"/>
          <w:sz w:val="24"/>
          <w:szCs w:val="24"/>
        </w:rPr>
        <w:t>,</w:t>
      </w:r>
      <w:r w:rsidRPr="003B329E">
        <w:rPr>
          <w:rFonts w:ascii="Times New Roman" w:hAnsi="Times New Roman" w:cs="Times New Roman"/>
          <w:sz w:val="24"/>
          <w:szCs w:val="24"/>
        </w:rPr>
        <w:t xml:space="preserve"> nu pot fi găsite </w:t>
      </w:r>
      <w:r>
        <w:rPr>
          <w:rFonts w:ascii="Times New Roman" w:hAnsi="Times New Roman" w:cs="Times New Roman"/>
          <w:sz w:val="24"/>
          <w:szCs w:val="24"/>
        </w:rPr>
        <w:t>din cauza</w:t>
      </w:r>
      <w:r w:rsidRPr="003B329E">
        <w:rPr>
          <w:rFonts w:ascii="Times New Roman" w:hAnsi="Times New Roman" w:cs="Times New Roman"/>
          <w:sz w:val="24"/>
          <w:szCs w:val="24"/>
        </w:rPr>
        <w:t xml:space="preserve"> neanexării la dosar. Sarcina privind efectuarea controlului financiar, juridic și tehnic a</w:t>
      </w:r>
      <w:r>
        <w:rPr>
          <w:rFonts w:ascii="Times New Roman" w:hAnsi="Times New Roman" w:cs="Times New Roman"/>
          <w:sz w:val="24"/>
          <w:szCs w:val="24"/>
        </w:rPr>
        <w:t>l</w:t>
      </w:r>
      <w:r w:rsidRPr="003B329E">
        <w:rPr>
          <w:rFonts w:ascii="Times New Roman" w:hAnsi="Times New Roman" w:cs="Times New Roman"/>
          <w:sz w:val="24"/>
          <w:szCs w:val="24"/>
        </w:rPr>
        <w:t xml:space="preserve"> proiectului revenea unei Comisi</w:t>
      </w:r>
      <w:r>
        <w:rPr>
          <w:rFonts w:ascii="Times New Roman" w:hAnsi="Times New Roman" w:cs="Times New Roman"/>
          <w:sz w:val="24"/>
          <w:szCs w:val="24"/>
        </w:rPr>
        <w:t>i</w:t>
      </w:r>
      <w:r w:rsidRPr="003B329E">
        <w:rPr>
          <w:rFonts w:ascii="Times New Roman" w:hAnsi="Times New Roman" w:cs="Times New Roman"/>
          <w:sz w:val="24"/>
          <w:szCs w:val="24"/>
        </w:rPr>
        <w:t xml:space="preserve"> specializate</w:t>
      </w:r>
      <w:r w:rsidRPr="003B329E">
        <w:rPr>
          <w:rStyle w:val="a5"/>
          <w:rFonts w:ascii="Times New Roman" w:hAnsi="Times New Roman" w:cs="Times New Roman"/>
          <w:sz w:val="24"/>
          <w:szCs w:val="24"/>
        </w:rPr>
        <w:footnoteReference w:id="129"/>
      </w:r>
      <w:r w:rsidRPr="003B329E">
        <w:rPr>
          <w:rFonts w:ascii="Times New Roman" w:hAnsi="Times New Roman" w:cs="Times New Roman"/>
          <w:sz w:val="24"/>
          <w:szCs w:val="24"/>
        </w:rPr>
        <w:t xml:space="preserve">, instituite în baza pct. 2 din HG </w:t>
      </w:r>
      <w:r>
        <w:rPr>
          <w:rFonts w:ascii="Times New Roman" w:hAnsi="Times New Roman" w:cs="Times New Roman"/>
          <w:sz w:val="24"/>
          <w:szCs w:val="24"/>
        </w:rPr>
        <w:t>nr.</w:t>
      </w:r>
      <w:r w:rsidRPr="003B329E">
        <w:rPr>
          <w:rFonts w:ascii="Times New Roman" w:hAnsi="Times New Roman" w:cs="Times New Roman"/>
          <w:sz w:val="24"/>
          <w:szCs w:val="24"/>
        </w:rPr>
        <w:t>759/2004. Obligativitatea examinării de către Comisie a rapoartelor financiare trimestriale/anuale prezentate de agentul economic era statuată și în spețele</w:t>
      </w:r>
      <w:r w:rsidRPr="003B329E">
        <w:rPr>
          <w:rStyle w:val="a5"/>
          <w:rFonts w:ascii="Times New Roman" w:hAnsi="Times New Roman" w:cs="Times New Roman"/>
          <w:sz w:val="24"/>
          <w:szCs w:val="24"/>
        </w:rPr>
        <w:footnoteReference w:id="130"/>
      </w:r>
      <w:r w:rsidRPr="003B329E">
        <w:rPr>
          <w:rFonts w:ascii="Times New Roman" w:hAnsi="Times New Roman" w:cs="Times New Roman"/>
          <w:sz w:val="24"/>
          <w:szCs w:val="24"/>
        </w:rPr>
        <w:t xml:space="preserve"> contractului nr. 1/2004.</w:t>
      </w:r>
      <w:r w:rsidR="00BA69A9">
        <w:rPr>
          <w:rFonts w:ascii="Times New Roman" w:hAnsi="Times New Roman" w:cs="Times New Roman"/>
          <w:sz w:val="24"/>
          <w:szCs w:val="24"/>
        </w:rPr>
        <w:t xml:space="preserve"> </w:t>
      </w:r>
      <w:r w:rsidRPr="003B329E">
        <w:rPr>
          <w:rFonts w:ascii="Times New Roman" w:hAnsi="Times New Roman" w:cs="Times New Roman"/>
          <w:sz w:val="24"/>
          <w:szCs w:val="24"/>
        </w:rPr>
        <w:t>Însă, auditul relevă că Comisi</w:t>
      </w:r>
      <w:r>
        <w:rPr>
          <w:rFonts w:ascii="Times New Roman" w:hAnsi="Times New Roman" w:cs="Times New Roman"/>
          <w:sz w:val="24"/>
          <w:szCs w:val="24"/>
        </w:rPr>
        <w:t>a</w:t>
      </w:r>
      <w:r w:rsidRPr="003B329E">
        <w:rPr>
          <w:rFonts w:ascii="Times New Roman" w:hAnsi="Times New Roman" w:cs="Times New Roman"/>
          <w:sz w:val="24"/>
          <w:szCs w:val="24"/>
        </w:rPr>
        <w:t xml:space="preserve"> nu a efectuat nicio verificare</w:t>
      </w:r>
      <w:r w:rsidRPr="003B329E">
        <w:rPr>
          <w:rStyle w:val="a5"/>
          <w:rFonts w:ascii="Times New Roman" w:hAnsi="Times New Roman" w:cs="Times New Roman"/>
          <w:sz w:val="24"/>
          <w:szCs w:val="24"/>
        </w:rPr>
        <w:footnoteReference w:id="131"/>
      </w:r>
      <w:r>
        <w:rPr>
          <w:rFonts w:ascii="Times New Roman" w:hAnsi="Times New Roman" w:cs="Times New Roman"/>
          <w:sz w:val="24"/>
          <w:szCs w:val="24"/>
        </w:rPr>
        <w:t>,</w:t>
      </w:r>
      <w:r w:rsidRPr="003B329E">
        <w:rPr>
          <w:rFonts w:ascii="Times New Roman" w:hAnsi="Times New Roman" w:cs="Times New Roman"/>
          <w:sz w:val="24"/>
          <w:szCs w:val="24"/>
        </w:rPr>
        <w:t xml:space="preserve"> </w:t>
      </w:r>
      <w:r>
        <w:rPr>
          <w:rFonts w:ascii="Times New Roman" w:hAnsi="Times New Roman" w:cs="Times New Roman"/>
          <w:sz w:val="24"/>
          <w:szCs w:val="24"/>
        </w:rPr>
        <w:t xml:space="preserve">nici </w:t>
      </w:r>
      <w:r w:rsidRPr="003B329E">
        <w:rPr>
          <w:rFonts w:ascii="Times New Roman" w:hAnsi="Times New Roman" w:cs="Times New Roman"/>
          <w:sz w:val="24"/>
          <w:szCs w:val="24"/>
        </w:rPr>
        <w:t>a conformității cheltuielilor în sumă de 1,7 mil. lei</w:t>
      </w:r>
      <w:r>
        <w:rPr>
          <w:rFonts w:ascii="Times New Roman" w:hAnsi="Times New Roman" w:cs="Times New Roman"/>
          <w:sz w:val="24"/>
          <w:szCs w:val="24"/>
        </w:rPr>
        <w:t xml:space="preserve"> și nici</w:t>
      </w:r>
      <w:r w:rsidRPr="003B329E">
        <w:rPr>
          <w:rFonts w:ascii="Times New Roman" w:hAnsi="Times New Roman" w:cs="Times New Roman"/>
          <w:sz w:val="24"/>
          <w:szCs w:val="24"/>
        </w:rPr>
        <w:t xml:space="preserve"> a rapoartelor financiare</w:t>
      </w:r>
      <w:r w:rsidRPr="003B329E">
        <w:rPr>
          <w:rStyle w:val="a5"/>
          <w:rFonts w:ascii="Times New Roman" w:hAnsi="Times New Roman" w:cs="Times New Roman"/>
          <w:sz w:val="24"/>
          <w:szCs w:val="24"/>
        </w:rPr>
        <w:footnoteReference w:id="132"/>
      </w:r>
      <w:r w:rsidRPr="003B329E">
        <w:rPr>
          <w:rFonts w:ascii="Times New Roman" w:hAnsi="Times New Roman" w:cs="Times New Roman"/>
          <w:sz w:val="24"/>
          <w:szCs w:val="24"/>
        </w:rPr>
        <w:t xml:space="preserve"> ale proiectului. </w:t>
      </w:r>
      <w:r>
        <w:rPr>
          <w:rFonts w:ascii="Times New Roman" w:hAnsi="Times New Roman" w:cs="Times New Roman"/>
          <w:sz w:val="24"/>
          <w:szCs w:val="24"/>
        </w:rPr>
        <w:t>N</w:t>
      </w:r>
      <w:r w:rsidRPr="003B329E">
        <w:rPr>
          <w:rFonts w:ascii="Times New Roman" w:hAnsi="Times New Roman" w:cs="Times New Roman"/>
          <w:sz w:val="24"/>
          <w:szCs w:val="24"/>
        </w:rPr>
        <w:t>ote/rapoarte ale comisiei nu se regăsesc în dosarul prezentat auditului de către CS. Reieșind din cele expuse, se concluzionează că nu există o confirmare privind corectitudinea și veridicitatea sumei de 1,7 mil</w:t>
      </w:r>
      <w:r>
        <w:rPr>
          <w:rFonts w:ascii="Times New Roman" w:hAnsi="Times New Roman" w:cs="Times New Roman"/>
          <w:sz w:val="24"/>
          <w:szCs w:val="24"/>
        </w:rPr>
        <w:t>.</w:t>
      </w:r>
      <w:r w:rsidRPr="003B329E">
        <w:rPr>
          <w:rFonts w:ascii="Times New Roman" w:hAnsi="Times New Roman" w:cs="Times New Roman"/>
          <w:sz w:val="24"/>
          <w:szCs w:val="24"/>
        </w:rPr>
        <w:t xml:space="preserve"> lei suportate și invocate CS de Bursa „LARA” SRL</w:t>
      </w:r>
      <w:r>
        <w:rPr>
          <w:rFonts w:ascii="Times New Roman" w:hAnsi="Times New Roman" w:cs="Times New Roman"/>
          <w:sz w:val="24"/>
          <w:szCs w:val="24"/>
        </w:rPr>
        <w:t>;</w:t>
      </w:r>
      <w:r w:rsidR="00BA69A9">
        <w:rPr>
          <w:rFonts w:ascii="Times New Roman" w:hAnsi="Times New Roman" w:cs="Times New Roman"/>
          <w:sz w:val="24"/>
          <w:szCs w:val="24"/>
        </w:rPr>
        <w:t xml:space="preserve"> </w:t>
      </w:r>
    </w:p>
    <w:p w14:paraId="2E8A2946" w14:textId="4D9F6B40" w:rsidR="00A57892" w:rsidRPr="003B329E" w:rsidRDefault="00A57892" w:rsidP="00A57892">
      <w:pPr>
        <w:pStyle w:val="a7"/>
        <w:numPr>
          <w:ilvl w:val="0"/>
          <w:numId w:val="13"/>
        </w:numPr>
        <w:tabs>
          <w:tab w:val="left" w:pos="284"/>
        </w:tabs>
        <w:spacing w:after="80" w:line="276"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o</w:t>
      </w:r>
      <w:r w:rsidRPr="003B329E">
        <w:rPr>
          <w:rFonts w:ascii="Times New Roman" w:hAnsi="Times New Roman" w:cs="Times New Roman"/>
          <w:sz w:val="24"/>
          <w:szCs w:val="24"/>
        </w:rPr>
        <w:t xml:space="preserve"> altă speță contractuală</w:t>
      </w:r>
      <w:r w:rsidRPr="003B329E">
        <w:rPr>
          <w:rStyle w:val="a5"/>
          <w:rFonts w:ascii="Times New Roman" w:hAnsi="Times New Roman" w:cs="Times New Roman"/>
          <w:sz w:val="24"/>
          <w:szCs w:val="24"/>
        </w:rPr>
        <w:footnoteReference w:id="133"/>
      </w:r>
      <w:r w:rsidRPr="003B329E">
        <w:rPr>
          <w:rFonts w:ascii="Times New Roman" w:hAnsi="Times New Roman" w:cs="Times New Roman"/>
          <w:sz w:val="24"/>
          <w:szCs w:val="24"/>
        </w:rPr>
        <w:t xml:space="preserve"> care vine în detrimentul intereselor statului prevedea că</w:t>
      </w:r>
      <w:r>
        <w:rPr>
          <w:rFonts w:ascii="Times New Roman" w:hAnsi="Times New Roman" w:cs="Times New Roman"/>
          <w:sz w:val="24"/>
          <w:szCs w:val="24"/>
        </w:rPr>
        <w:t>,</w:t>
      </w:r>
      <w:r w:rsidRPr="003B329E">
        <w:rPr>
          <w:rFonts w:ascii="Times New Roman" w:hAnsi="Times New Roman" w:cs="Times New Roman"/>
          <w:sz w:val="24"/>
          <w:szCs w:val="24"/>
        </w:rPr>
        <w:t xml:space="preserve"> construcțiile ce urmau a fi ridicate ulterior încetării contractului deveneau proprietatea Bursei „LARA” SRL, însă terenul pe care urmau a fi amplasate obiectivele respective să rămână în proprietatea statului, or</w:t>
      </w:r>
      <w:r>
        <w:rPr>
          <w:rFonts w:ascii="Times New Roman" w:hAnsi="Times New Roman" w:cs="Times New Roman"/>
          <w:sz w:val="24"/>
          <w:szCs w:val="24"/>
        </w:rPr>
        <w:t>,</w:t>
      </w:r>
      <w:r w:rsidRPr="003B329E">
        <w:rPr>
          <w:rFonts w:ascii="Times New Roman" w:hAnsi="Times New Roman" w:cs="Times New Roman"/>
          <w:sz w:val="24"/>
          <w:szCs w:val="24"/>
        </w:rPr>
        <w:t xml:space="preserve"> în aceste condiții</w:t>
      </w:r>
      <w:r>
        <w:rPr>
          <w:rFonts w:ascii="Times New Roman" w:hAnsi="Times New Roman" w:cs="Times New Roman"/>
          <w:sz w:val="24"/>
          <w:szCs w:val="24"/>
        </w:rPr>
        <w:t>,</w:t>
      </w:r>
      <w:r w:rsidRPr="003B329E">
        <w:rPr>
          <w:rFonts w:ascii="Times New Roman" w:hAnsi="Times New Roman" w:cs="Times New Roman"/>
          <w:sz w:val="24"/>
          <w:szCs w:val="24"/>
        </w:rPr>
        <w:t xml:space="preserve"> se creează premise de ulterioară privatizare a </w:t>
      </w:r>
      <w:r w:rsidR="009D6C87">
        <w:rPr>
          <w:rFonts w:ascii="Times New Roman" w:hAnsi="Times New Roman" w:cs="Times New Roman"/>
          <w:sz w:val="24"/>
          <w:szCs w:val="24"/>
        </w:rPr>
        <w:t>terenului aferent clădirilor nou</w:t>
      </w:r>
      <w:r w:rsidRPr="003B329E">
        <w:rPr>
          <w:rFonts w:ascii="Times New Roman" w:hAnsi="Times New Roman" w:cs="Times New Roman"/>
          <w:sz w:val="24"/>
          <w:szCs w:val="24"/>
        </w:rPr>
        <w:t xml:space="preserve"> construite, în condiții favorizante și la prețuri scăzute</w:t>
      </w:r>
      <w:r>
        <w:rPr>
          <w:rFonts w:ascii="Times New Roman" w:hAnsi="Times New Roman" w:cs="Times New Roman"/>
          <w:sz w:val="24"/>
          <w:szCs w:val="24"/>
        </w:rPr>
        <w:t>;</w:t>
      </w:r>
      <w:r w:rsidRPr="003B329E">
        <w:rPr>
          <w:rFonts w:ascii="Times New Roman" w:hAnsi="Times New Roman" w:cs="Times New Roman"/>
          <w:sz w:val="24"/>
          <w:szCs w:val="24"/>
        </w:rPr>
        <w:t xml:space="preserve"> </w:t>
      </w:r>
    </w:p>
    <w:p w14:paraId="055E31B5" w14:textId="77777777" w:rsidR="00A57892" w:rsidRPr="003B329E" w:rsidRDefault="00A57892" w:rsidP="00A57892">
      <w:pPr>
        <w:pStyle w:val="a7"/>
        <w:numPr>
          <w:ilvl w:val="0"/>
          <w:numId w:val="13"/>
        </w:numPr>
        <w:tabs>
          <w:tab w:val="left" w:pos="284"/>
        </w:tabs>
        <w:spacing w:line="276" w:lineRule="auto"/>
        <w:ind w:left="0" w:firstLine="0"/>
        <w:jc w:val="both"/>
        <w:rPr>
          <w:rFonts w:ascii="Times New Roman" w:hAnsi="Times New Roman" w:cs="Times New Roman"/>
          <w:sz w:val="24"/>
          <w:szCs w:val="24"/>
        </w:rPr>
      </w:pPr>
      <w:r w:rsidRPr="003B329E">
        <w:rPr>
          <w:rFonts w:ascii="Times New Roman" w:hAnsi="Times New Roman" w:cs="Times New Roman"/>
          <w:sz w:val="24"/>
          <w:szCs w:val="24"/>
        </w:rPr>
        <w:t>actualmente agentul economic folosește terenul proprietate</w:t>
      </w:r>
      <w:r>
        <w:rPr>
          <w:rFonts w:ascii="Times New Roman" w:hAnsi="Times New Roman" w:cs="Times New Roman"/>
          <w:sz w:val="24"/>
          <w:szCs w:val="24"/>
        </w:rPr>
        <w:t xml:space="preserve"> </w:t>
      </w:r>
      <w:r w:rsidRPr="003B329E">
        <w:rPr>
          <w:rFonts w:ascii="Times New Roman" w:hAnsi="Times New Roman" w:cs="Times New Roman"/>
          <w:sz w:val="24"/>
          <w:szCs w:val="24"/>
        </w:rPr>
        <w:t xml:space="preserve">a statului în scopuri personale și incerte, nefiind respectat pct. 2.2 din Contractul </w:t>
      </w:r>
      <w:r>
        <w:rPr>
          <w:rFonts w:ascii="Times New Roman" w:hAnsi="Times New Roman" w:cs="Times New Roman"/>
          <w:sz w:val="24"/>
          <w:szCs w:val="24"/>
        </w:rPr>
        <w:t>nr.</w:t>
      </w:r>
      <w:r w:rsidRPr="003B329E">
        <w:rPr>
          <w:rFonts w:ascii="Times New Roman" w:hAnsi="Times New Roman" w:cs="Times New Roman"/>
          <w:sz w:val="24"/>
          <w:szCs w:val="24"/>
        </w:rPr>
        <w:t xml:space="preserve">1/2004, care prevede expres că obiectul se utilizează de administratorul fiduciar în următoarele scopuri: proiectarea „Complexului”, atragerea investițiilor pentru dezvoltarea „Complexului”; dezvoltarea și exploatarea obiectivului. </w:t>
      </w:r>
    </w:p>
    <w:p w14:paraId="09A5A6FA" w14:textId="77777777" w:rsidR="00A57892" w:rsidRPr="003B329E" w:rsidRDefault="00A57892" w:rsidP="00A57892">
      <w:pPr>
        <w:pStyle w:val="a7"/>
        <w:tabs>
          <w:tab w:val="left" w:pos="284"/>
        </w:tabs>
        <w:spacing w:after="120" w:line="276"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P</w:t>
      </w:r>
      <w:r w:rsidRPr="003B329E">
        <w:rPr>
          <w:rFonts w:ascii="Times New Roman" w:hAnsi="Times New Roman" w:cs="Times New Roman"/>
          <w:sz w:val="24"/>
          <w:szCs w:val="24"/>
        </w:rPr>
        <w:t>otrivit informații</w:t>
      </w:r>
      <w:r>
        <w:rPr>
          <w:rFonts w:ascii="Times New Roman" w:hAnsi="Times New Roman" w:cs="Times New Roman"/>
          <w:sz w:val="24"/>
          <w:szCs w:val="24"/>
        </w:rPr>
        <w:t>lor</w:t>
      </w:r>
      <w:r w:rsidRPr="003B329E">
        <w:rPr>
          <w:rStyle w:val="a5"/>
          <w:rFonts w:ascii="Times New Roman" w:hAnsi="Times New Roman" w:cs="Times New Roman"/>
          <w:sz w:val="24"/>
          <w:szCs w:val="24"/>
        </w:rPr>
        <w:footnoteReference w:id="134"/>
      </w:r>
      <w:r>
        <w:rPr>
          <w:rFonts w:ascii="Times New Roman" w:hAnsi="Times New Roman" w:cs="Times New Roman"/>
          <w:sz w:val="24"/>
          <w:szCs w:val="24"/>
        </w:rPr>
        <w:t xml:space="preserve"> oferite de</w:t>
      </w:r>
      <w:r w:rsidRPr="003B329E">
        <w:rPr>
          <w:rFonts w:ascii="Times New Roman" w:hAnsi="Times New Roman" w:cs="Times New Roman"/>
          <w:sz w:val="24"/>
          <w:szCs w:val="24"/>
        </w:rPr>
        <w:t xml:space="preserve"> I.P. „Pensiunea din Holercani” </w:t>
      </w:r>
      <w:r>
        <w:rPr>
          <w:rFonts w:ascii="Times New Roman" w:hAnsi="Times New Roman" w:cs="Times New Roman"/>
          <w:sz w:val="24"/>
          <w:szCs w:val="24"/>
        </w:rPr>
        <w:t>î</w:t>
      </w:r>
      <w:r w:rsidRPr="003B329E">
        <w:rPr>
          <w:rFonts w:ascii="Times New Roman" w:hAnsi="Times New Roman" w:cs="Times New Roman"/>
          <w:sz w:val="24"/>
          <w:szCs w:val="24"/>
        </w:rPr>
        <w:t>n anul 2022, în cadrul controlului tematic la fața locului, efectuat de un grup de lucru instituit prin ordinul directorului instituției publice, s-a identificat că agentul economic folosește abuziv terenul pentru organizarea odihnei în aer liber, întruc</w:t>
      </w:r>
      <w:r>
        <w:rPr>
          <w:rFonts w:ascii="Times New Roman" w:hAnsi="Times New Roman" w:cs="Times New Roman"/>
          <w:sz w:val="24"/>
          <w:szCs w:val="24"/>
        </w:rPr>
        <w:t>â</w:t>
      </w:r>
      <w:r w:rsidRPr="003B329E">
        <w:rPr>
          <w:rFonts w:ascii="Times New Roman" w:hAnsi="Times New Roman" w:cs="Times New Roman"/>
          <w:sz w:val="24"/>
          <w:szCs w:val="24"/>
        </w:rPr>
        <w:t>t pe copaci s</w:t>
      </w:r>
      <w:r>
        <w:rPr>
          <w:rFonts w:ascii="Times New Roman" w:hAnsi="Times New Roman" w:cs="Times New Roman"/>
          <w:sz w:val="24"/>
          <w:szCs w:val="24"/>
        </w:rPr>
        <w:t>u</w:t>
      </w:r>
      <w:r w:rsidRPr="003B329E">
        <w:rPr>
          <w:rFonts w:ascii="Times New Roman" w:hAnsi="Times New Roman" w:cs="Times New Roman"/>
          <w:sz w:val="24"/>
          <w:szCs w:val="24"/>
        </w:rPr>
        <w:t xml:space="preserve">nt fixate plăcuțe cu numerotarea locului de odihnă, </w:t>
      </w:r>
      <w:r>
        <w:rPr>
          <w:rFonts w:ascii="Times New Roman" w:hAnsi="Times New Roman" w:cs="Times New Roman"/>
          <w:sz w:val="24"/>
          <w:szCs w:val="24"/>
        </w:rPr>
        <w:t xml:space="preserve">de asemenea </w:t>
      </w:r>
      <w:r w:rsidRPr="003B329E">
        <w:rPr>
          <w:rFonts w:ascii="Times New Roman" w:hAnsi="Times New Roman" w:cs="Times New Roman"/>
          <w:sz w:val="24"/>
          <w:szCs w:val="24"/>
        </w:rPr>
        <w:t xml:space="preserve">se atestă prezența resturilor de ruguri, precum și diferite deșeuri. </w:t>
      </w:r>
    </w:p>
    <w:p w14:paraId="1AEFE770" w14:textId="77777777" w:rsidR="009D6C87" w:rsidRPr="003B329E" w:rsidRDefault="009D6C87" w:rsidP="009D6C87">
      <w:pPr>
        <w:pStyle w:val="a7"/>
        <w:tabs>
          <w:tab w:val="left" w:pos="284"/>
        </w:tabs>
        <w:spacing w:after="120" w:line="276" w:lineRule="auto"/>
        <w:ind w:left="0"/>
        <w:contextualSpacing w:val="0"/>
        <w:jc w:val="both"/>
        <w:rPr>
          <w:rFonts w:ascii="Times New Roman" w:hAnsi="Times New Roman" w:cs="Times New Roman"/>
          <w:sz w:val="24"/>
          <w:szCs w:val="24"/>
        </w:rPr>
      </w:pPr>
      <w:r w:rsidRPr="003B329E">
        <w:rPr>
          <w:rFonts w:ascii="Times New Roman" w:hAnsi="Times New Roman" w:cs="Times New Roman"/>
          <w:sz w:val="24"/>
          <w:szCs w:val="24"/>
        </w:rPr>
        <w:t xml:space="preserve">Suplimentar se menționează că, condiția generală de valorificare a terenurilor statului din fondul forestier în scopuri de recreere este reglementată prin HG </w:t>
      </w:r>
      <w:r>
        <w:rPr>
          <w:rFonts w:ascii="Times New Roman" w:hAnsi="Times New Roman" w:cs="Times New Roman"/>
          <w:sz w:val="24"/>
          <w:szCs w:val="24"/>
        </w:rPr>
        <w:t>nr.</w:t>
      </w:r>
      <w:r w:rsidRPr="003B329E">
        <w:rPr>
          <w:rFonts w:ascii="Times New Roman" w:hAnsi="Times New Roman" w:cs="Times New Roman"/>
          <w:sz w:val="24"/>
          <w:szCs w:val="24"/>
        </w:rPr>
        <w:t>187/2008</w:t>
      </w:r>
      <w:r w:rsidRPr="003B329E">
        <w:rPr>
          <w:rStyle w:val="a5"/>
          <w:rFonts w:ascii="Times New Roman" w:hAnsi="Times New Roman" w:cs="Times New Roman"/>
          <w:sz w:val="24"/>
          <w:szCs w:val="24"/>
        </w:rPr>
        <w:footnoteReference w:id="135"/>
      </w:r>
      <w:r w:rsidRPr="003B329E">
        <w:rPr>
          <w:rFonts w:ascii="Times New Roman" w:hAnsi="Times New Roman" w:cs="Times New Roman"/>
          <w:sz w:val="24"/>
          <w:szCs w:val="24"/>
        </w:rPr>
        <w:t>, iar potrivit pct. 13 și pct.21 din Regulamentul aprobat prin hotărârea citată, se statuează că cuantumul plății anuale constituie 19</w:t>
      </w:r>
      <w:r>
        <w:rPr>
          <w:rFonts w:ascii="Times New Roman" w:hAnsi="Times New Roman" w:cs="Times New Roman"/>
          <w:sz w:val="24"/>
          <w:szCs w:val="24"/>
        </w:rPr>
        <w:t>.</w:t>
      </w:r>
      <w:r w:rsidRPr="003B329E">
        <w:rPr>
          <w:rFonts w:ascii="Times New Roman" w:hAnsi="Times New Roman" w:cs="Times New Roman"/>
          <w:sz w:val="24"/>
          <w:szCs w:val="24"/>
        </w:rPr>
        <w:t>092,37 lei/ha. Astfel, doar pentru perioada 2018-2022, I.P./statul, în caz dacă ar fi dat în arendă acest lot Bursei „LARA” S.R.L., ar fi obținut venituri suplimentare în sumă totală de 2,37 mil. lei. Comparând cheltuielile pretinse de agentul economic</w:t>
      </w:r>
      <w:r>
        <w:rPr>
          <w:rFonts w:ascii="Times New Roman" w:hAnsi="Times New Roman" w:cs="Times New Roman"/>
          <w:sz w:val="24"/>
          <w:szCs w:val="24"/>
        </w:rPr>
        <w:t xml:space="preserve"> de</w:t>
      </w:r>
      <w:r w:rsidRPr="003B329E">
        <w:rPr>
          <w:rFonts w:ascii="Times New Roman" w:hAnsi="Times New Roman" w:cs="Times New Roman"/>
          <w:sz w:val="24"/>
          <w:szCs w:val="24"/>
        </w:rPr>
        <w:t xml:space="preserve"> 1,7 mil. lei cu veniturile neobținute de stat din folosirea terenului (2,37 mil.lei), precum și luând în calcul posibilele venituri din darea în arend</w:t>
      </w:r>
      <w:r>
        <w:rPr>
          <w:rFonts w:ascii="Times New Roman" w:hAnsi="Times New Roman" w:cs="Times New Roman"/>
          <w:sz w:val="24"/>
          <w:szCs w:val="24"/>
        </w:rPr>
        <w:t>ă</w:t>
      </w:r>
      <w:r w:rsidRPr="003B329E">
        <w:rPr>
          <w:rFonts w:ascii="Times New Roman" w:hAnsi="Times New Roman" w:cs="Times New Roman"/>
          <w:sz w:val="24"/>
          <w:szCs w:val="24"/>
        </w:rPr>
        <w:t xml:space="preserve"> a locurilor din pădure de către Bursa „LARA” S.R.L, gestionarea necontrolată a masei lemnoase din pădure, se constată că agentul economic a beneficiat semnificativ din</w:t>
      </w:r>
      <w:r>
        <w:rPr>
          <w:rFonts w:ascii="Times New Roman" w:hAnsi="Times New Roman" w:cs="Times New Roman"/>
          <w:sz w:val="24"/>
          <w:szCs w:val="24"/>
        </w:rPr>
        <w:t xml:space="preserve"> această tranzacție dubioasă. </w:t>
      </w:r>
      <w:r w:rsidRPr="003B329E">
        <w:rPr>
          <w:rFonts w:ascii="Times New Roman" w:hAnsi="Times New Roman" w:cs="Times New Roman"/>
          <w:sz w:val="24"/>
          <w:szCs w:val="24"/>
        </w:rPr>
        <w:t>Calculele echipei de audit se prezintă det</w:t>
      </w:r>
      <w:r>
        <w:rPr>
          <w:rFonts w:ascii="Times New Roman" w:hAnsi="Times New Roman" w:cs="Times New Roman"/>
          <w:sz w:val="24"/>
          <w:szCs w:val="24"/>
        </w:rPr>
        <w:t xml:space="preserve">aliat în </w:t>
      </w:r>
      <w:r w:rsidRPr="00E46D8A">
        <w:rPr>
          <w:rFonts w:ascii="Times New Roman" w:hAnsi="Times New Roman" w:cs="Times New Roman"/>
          <w:i/>
          <w:sz w:val="24"/>
          <w:szCs w:val="24"/>
        </w:rPr>
        <w:t>Anexa nr. 9</w:t>
      </w:r>
      <w:r>
        <w:rPr>
          <w:rFonts w:ascii="Times New Roman" w:hAnsi="Times New Roman" w:cs="Times New Roman"/>
          <w:sz w:val="24"/>
          <w:szCs w:val="24"/>
        </w:rPr>
        <w:t xml:space="preserve"> </w:t>
      </w:r>
      <w:r w:rsidRPr="00E80CAA">
        <w:rPr>
          <w:rFonts w:ascii="Times New Roman" w:hAnsi="Times New Roman" w:cs="Times New Roman"/>
          <w:i/>
          <w:sz w:val="24"/>
          <w:szCs w:val="24"/>
        </w:rPr>
        <w:t>la prezentul Raport de audit</w:t>
      </w:r>
      <w:r>
        <w:rPr>
          <w:rFonts w:ascii="Times New Roman" w:hAnsi="Times New Roman" w:cs="Times New Roman"/>
          <w:sz w:val="24"/>
          <w:szCs w:val="24"/>
        </w:rPr>
        <w:t>.</w:t>
      </w:r>
    </w:p>
    <w:p w14:paraId="27F1245C" w14:textId="6B7DC3A5" w:rsidR="00A57892" w:rsidRPr="00F76DDE" w:rsidRDefault="009D6C87" w:rsidP="00A57892">
      <w:pPr>
        <w:spacing w:line="276" w:lineRule="auto"/>
        <w:jc w:val="both"/>
        <w:rPr>
          <w:rFonts w:ascii="Times New Roman" w:hAnsi="Times New Roman" w:cs="Times New Roman"/>
          <w:sz w:val="24"/>
          <w:szCs w:val="24"/>
        </w:rPr>
      </w:pPr>
      <w:r w:rsidRPr="003B329E">
        <w:rPr>
          <w:rFonts w:ascii="Times New Roman" w:hAnsi="Times New Roman" w:cs="Times New Roman"/>
          <w:sz w:val="24"/>
          <w:szCs w:val="24"/>
        </w:rPr>
        <w:t xml:space="preserve">Se </w:t>
      </w:r>
      <w:r>
        <w:rPr>
          <w:rFonts w:ascii="Times New Roman" w:hAnsi="Times New Roman" w:cs="Times New Roman"/>
          <w:sz w:val="24"/>
          <w:szCs w:val="24"/>
        </w:rPr>
        <w:t>atrage atenția</w:t>
      </w:r>
      <w:r w:rsidRPr="003B329E">
        <w:rPr>
          <w:rFonts w:ascii="Times New Roman" w:hAnsi="Times New Roman" w:cs="Times New Roman"/>
          <w:sz w:val="24"/>
          <w:szCs w:val="24"/>
        </w:rPr>
        <w:t xml:space="preserve"> că despre existența unor problem</w:t>
      </w:r>
      <w:r>
        <w:rPr>
          <w:rFonts w:ascii="Times New Roman" w:hAnsi="Times New Roman" w:cs="Times New Roman"/>
          <w:sz w:val="24"/>
          <w:szCs w:val="24"/>
        </w:rPr>
        <w:t>e</w:t>
      </w:r>
      <w:r w:rsidRPr="003B329E">
        <w:rPr>
          <w:rFonts w:ascii="Times New Roman" w:hAnsi="Times New Roman" w:cs="Times New Roman"/>
          <w:sz w:val="24"/>
          <w:szCs w:val="24"/>
        </w:rPr>
        <w:t xml:space="preserve"> privind construcția acestui obiectiv investițional, Curtea de Conturi a menționat și anterior</w:t>
      </w:r>
      <w:r w:rsidRPr="003B329E">
        <w:rPr>
          <w:rStyle w:val="a5"/>
          <w:rFonts w:ascii="Times New Roman" w:hAnsi="Times New Roman" w:cs="Times New Roman"/>
          <w:sz w:val="24"/>
          <w:szCs w:val="24"/>
        </w:rPr>
        <w:footnoteReference w:id="136"/>
      </w:r>
      <w:r>
        <w:rPr>
          <w:rFonts w:ascii="Times New Roman" w:hAnsi="Times New Roman" w:cs="Times New Roman"/>
          <w:sz w:val="24"/>
          <w:szCs w:val="24"/>
        </w:rPr>
        <w:t>,</w:t>
      </w:r>
      <w:r w:rsidRPr="003B329E">
        <w:rPr>
          <w:rFonts w:ascii="Times New Roman" w:hAnsi="Times New Roman" w:cs="Times New Roman"/>
          <w:sz w:val="24"/>
          <w:szCs w:val="24"/>
        </w:rPr>
        <w:t xml:space="preserve"> în anul 2013 fiind înaintată o recomandare CS în calitate de fondator în comun cu I</w:t>
      </w:r>
      <w:r>
        <w:rPr>
          <w:rFonts w:ascii="Times New Roman" w:hAnsi="Times New Roman" w:cs="Times New Roman"/>
          <w:sz w:val="24"/>
          <w:szCs w:val="24"/>
        </w:rPr>
        <w:t>.</w:t>
      </w:r>
      <w:r w:rsidRPr="003B329E">
        <w:rPr>
          <w:rFonts w:ascii="Times New Roman" w:hAnsi="Times New Roman" w:cs="Times New Roman"/>
          <w:sz w:val="24"/>
          <w:szCs w:val="24"/>
        </w:rPr>
        <w:t>P</w:t>
      </w:r>
      <w:r>
        <w:rPr>
          <w:rFonts w:ascii="Times New Roman" w:hAnsi="Times New Roman" w:cs="Times New Roman"/>
          <w:sz w:val="24"/>
          <w:szCs w:val="24"/>
        </w:rPr>
        <w:t>.</w:t>
      </w:r>
      <w:r w:rsidRPr="003B329E">
        <w:rPr>
          <w:rFonts w:ascii="Times New Roman" w:hAnsi="Times New Roman" w:cs="Times New Roman"/>
          <w:sz w:val="24"/>
          <w:szCs w:val="24"/>
        </w:rPr>
        <w:t xml:space="preserve"> „Pensiunea din Holercani”</w:t>
      </w:r>
      <w:r>
        <w:rPr>
          <w:rFonts w:ascii="Times New Roman" w:hAnsi="Times New Roman" w:cs="Times New Roman"/>
          <w:sz w:val="24"/>
          <w:szCs w:val="24"/>
        </w:rPr>
        <w:t>,</w:t>
      </w:r>
      <w:r w:rsidRPr="003B329E">
        <w:rPr>
          <w:rFonts w:ascii="Times New Roman" w:hAnsi="Times New Roman" w:cs="Times New Roman"/>
          <w:sz w:val="24"/>
          <w:szCs w:val="24"/>
        </w:rPr>
        <w:t xml:space="preserve"> de a întreprinde măsuri orientate spre buna gestiune a patrimoniului statului</w:t>
      </w:r>
      <w:r w:rsidRPr="003B329E">
        <w:rPr>
          <w:rStyle w:val="a5"/>
          <w:rFonts w:ascii="Times New Roman" w:hAnsi="Times New Roman" w:cs="Times New Roman"/>
          <w:sz w:val="24"/>
          <w:szCs w:val="24"/>
        </w:rPr>
        <w:footnoteReference w:id="137"/>
      </w:r>
      <w:r w:rsidRPr="003B329E">
        <w:rPr>
          <w:rFonts w:ascii="Times New Roman" w:hAnsi="Times New Roman" w:cs="Times New Roman"/>
          <w:sz w:val="24"/>
          <w:szCs w:val="24"/>
        </w:rPr>
        <w:t>. La fel, acest aspect a fost menționat și de către Inspecția Financiară în cadrul controlului din semestru</w:t>
      </w:r>
      <w:r>
        <w:rPr>
          <w:rFonts w:ascii="Times New Roman" w:hAnsi="Times New Roman" w:cs="Times New Roman"/>
          <w:sz w:val="24"/>
          <w:szCs w:val="24"/>
        </w:rPr>
        <w:t>l</w:t>
      </w:r>
      <w:r w:rsidRPr="003B329E">
        <w:rPr>
          <w:rFonts w:ascii="Times New Roman" w:hAnsi="Times New Roman" w:cs="Times New Roman"/>
          <w:sz w:val="24"/>
          <w:szCs w:val="24"/>
        </w:rPr>
        <w:t xml:space="preserve"> II al anului 2020.  Însă, în pofida celor relatate de către CCRM și IF în cadrul acțiunilor de verificare, autoritățile statului nu au întreprins măsuri rezultative în vederea rezilierii/anulării contractului și/sau declarării nulității HG </w:t>
      </w:r>
      <w:r>
        <w:rPr>
          <w:rFonts w:ascii="Times New Roman" w:hAnsi="Times New Roman" w:cs="Times New Roman"/>
          <w:sz w:val="24"/>
          <w:szCs w:val="24"/>
        </w:rPr>
        <w:t>nr.</w:t>
      </w:r>
      <w:r w:rsidRPr="003B329E">
        <w:rPr>
          <w:rFonts w:ascii="Times New Roman" w:hAnsi="Times New Roman" w:cs="Times New Roman"/>
          <w:sz w:val="24"/>
          <w:szCs w:val="24"/>
        </w:rPr>
        <w:t xml:space="preserve">759/2004, activitățile </w:t>
      </w:r>
      <w:r w:rsidRPr="00F76DDE">
        <w:rPr>
          <w:rFonts w:ascii="Times New Roman" w:hAnsi="Times New Roman" w:cs="Times New Roman"/>
          <w:sz w:val="24"/>
          <w:szCs w:val="24"/>
        </w:rPr>
        <w:t>rezum</w:t>
      </w:r>
      <w:r>
        <w:rPr>
          <w:rFonts w:ascii="Times New Roman" w:hAnsi="Times New Roman" w:cs="Times New Roman"/>
          <w:sz w:val="24"/>
          <w:szCs w:val="24"/>
        </w:rPr>
        <w:t>â</w:t>
      </w:r>
      <w:r w:rsidRPr="00F76DDE">
        <w:rPr>
          <w:rFonts w:ascii="Times New Roman" w:hAnsi="Times New Roman" w:cs="Times New Roman"/>
          <w:sz w:val="24"/>
          <w:szCs w:val="24"/>
        </w:rPr>
        <w:t>ndu-se la o comunicare neeficientă</w:t>
      </w:r>
      <w:r w:rsidRPr="00F76DDE">
        <w:rPr>
          <w:rStyle w:val="a5"/>
          <w:rFonts w:ascii="Times New Roman" w:hAnsi="Times New Roman" w:cs="Times New Roman"/>
          <w:sz w:val="24"/>
          <w:szCs w:val="24"/>
        </w:rPr>
        <w:footnoteReference w:id="138"/>
      </w:r>
      <w:r w:rsidRPr="00F76DDE">
        <w:rPr>
          <w:rFonts w:ascii="Times New Roman" w:hAnsi="Times New Roman" w:cs="Times New Roman"/>
          <w:sz w:val="24"/>
          <w:szCs w:val="24"/>
        </w:rPr>
        <w:t xml:space="preserve"> între CS și Pro</w:t>
      </w:r>
      <w:r>
        <w:rPr>
          <w:rFonts w:ascii="Times New Roman" w:hAnsi="Times New Roman" w:cs="Times New Roman"/>
          <w:sz w:val="24"/>
          <w:szCs w:val="24"/>
        </w:rPr>
        <w:t>curatura Generală în anul 2015.</w:t>
      </w:r>
    </w:p>
    <w:p w14:paraId="501D5CCE" w14:textId="610BBCB6" w:rsidR="00130DFC" w:rsidRPr="00F76DDE" w:rsidRDefault="00130DFC" w:rsidP="00BD2237">
      <w:pPr>
        <w:pStyle w:val="a7"/>
        <w:numPr>
          <w:ilvl w:val="0"/>
          <w:numId w:val="32"/>
        </w:numPr>
        <w:tabs>
          <w:tab w:val="left" w:pos="284"/>
          <w:tab w:val="left" w:pos="426"/>
        </w:tabs>
        <w:ind w:left="142" w:hanging="142"/>
        <w:jc w:val="both"/>
        <w:rPr>
          <w:rFonts w:ascii="Times New Roman" w:hAnsi="Times New Roman" w:cs="Times New Roman"/>
          <w:b/>
          <w:color w:val="0070C0"/>
          <w:sz w:val="24"/>
          <w:szCs w:val="24"/>
        </w:rPr>
      </w:pPr>
      <w:r w:rsidRPr="00F76DDE">
        <w:rPr>
          <w:rFonts w:ascii="Times New Roman" w:hAnsi="Times New Roman" w:cs="Times New Roman"/>
          <w:b/>
          <w:color w:val="0070C0"/>
          <w:sz w:val="24"/>
          <w:szCs w:val="24"/>
        </w:rPr>
        <w:t>Înstrăinarea ilegală a unor spații amplasate în imobilele gestionate de către DGACG</w:t>
      </w:r>
    </w:p>
    <w:p w14:paraId="1F03A5D1" w14:textId="5F565E40" w:rsidR="0069766E" w:rsidRPr="00130DFC" w:rsidRDefault="0069766E" w:rsidP="0069766E">
      <w:pPr>
        <w:tabs>
          <w:tab w:val="left" w:pos="1164"/>
        </w:tabs>
        <w:spacing w:line="276" w:lineRule="auto"/>
        <w:jc w:val="both"/>
        <w:rPr>
          <w:rFonts w:ascii="Times New Roman" w:hAnsi="Times New Roman" w:cs="Times New Roman"/>
          <w:sz w:val="24"/>
          <w:szCs w:val="24"/>
        </w:rPr>
      </w:pPr>
      <w:r w:rsidRPr="00130DFC">
        <w:rPr>
          <w:rFonts w:ascii="Times New Roman" w:hAnsi="Times New Roman" w:cs="Times New Roman"/>
          <w:sz w:val="24"/>
          <w:szCs w:val="24"/>
        </w:rPr>
        <w:t>Conform datelor cadastrale și evidenței contabile</w:t>
      </w:r>
      <w:r>
        <w:rPr>
          <w:rFonts w:ascii="Times New Roman" w:hAnsi="Times New Roman" w:cs="Times New Roman"/>
          <w:sz w:val="24"/>
          <w:szCs w:val="24"/>
        </w:rPr>
        <w:t>,</w:t>
      </w:r>
      <w:r w:rsidRPr="00130DFC">
        <w:rPr>
          <w:rFonts w:ascii="Times New Roman" w:hAnsi="Times New Roman" w:cs="Times New Roman"/>
          <w:sz w:val="24"/>
          <w:szCs w:val="24"/>
        </w:rPr>
        <w:t xml:space="preserve"> I.P.</w:t>
      </w:r>
      <w:r>
        <w:rPr>
          <w:rFonts w:ascii="Times New Roman" w:hAnsi="Times New Roman" w:cs="Times New Roman"/>
          <w:sz w:val="24"/>
          <w:szCs w:val="24"/>
        </w:rPr>
        <w:t xml:space="preserve"> </w:t>
      </w:r>
      <w:r w:rsidRPr="00130DFC">
        <w:rPr>
          <w:rFonts w:ascii="Times New Roman" w:hAnsi="Times New Roman" w:cs="Times New Roman"/>
          <w:sz w:val="24"/>
          <w:szCs w:val="24"/>
        </w:rPr>
        <w:t>„DGACG” gestionează clădirea cu suprafața de 1</w:t>
      </w:r>
      <w:r>
        <w:rPr>
          <w:rFonts w:ascii="Times New Roman" w:hAnsi="Times New Roman" w:cs="Times New Roman"/>
          <w:sz w:val="24"/>
          <w:szCs w:val="24"/>
        </w:rPr>
        <w:t>.</w:t>
      </w:r>
      <w:r w:rsidRPr="00130DFC">
        <w:rPr>
          <w:rFonts w:ascii="Times New Roman" w:hAnsi="Times New Roman" w:cs="Times New Roman"/>
          <w:sz w:val="24"/>
          <w:szCs w:val="24"/>
        </w:rPr>
        <w:t>186,6 m.p. amplasata în bd. Ștefan cel Mare și Sfânt nr. 134, mun. Chișinău. În anul 2019, potrivit Deciziei Comisiei de privatizare</w:t>
      </w:r>
      <w:r w:rsidRPr="00F456A8">
        <w:t xml:space="preserve"> </w:t>
      </w:r>
      <w:r w:rsidRPr="00130DFC">
        <w:rPr>
          <w:rFonts w:ascii="Times New Roman" w:hAnsi="Times New Roman" w:cs="Times New Roman"/>
          <w:sz w:val="24"/>
          <w:szCs w:val="24"/>
        </w:rPr>
        <w:t>a încăperilor nelocuibile date în locațiune nr. 43 din 15.04.2019 și Contractului de privatizare nr. 1719 din 14.05.2019</w:t>
      </w:r>
      <w:r>
        <w:rPr>
          <w:rFonts w:ascii="Times New Roman" w:hAnsi="Times New Roman" w:cs="Times New Roman"/>
          <w:sz w:val="24"/>
          <w:szCs w:val="24"/>
        </w:rPr>
        <w:t>,</w:t>
      </w:r>
      <w:r w:rsidRPr="00130DFC">
        <w:rPr>
          <w:rFonts w:ascii="Times New Roman" w:hAnsi="Times New Roman" w:cs="Times New Roman"/>
          <w:sz w:val="24"/>
          <w:szCs w:val="24"/>
        </w:rPr>
        <w:t xml:space="preserve"> semnat între APP și un agent economic, </w:t>
      </w:r>
      <w:r>
        <w:rPr>
          <w:rFonts w:ascii="Times New Roman" w:hAnsi="Times New Roman" w:cs="Times New Roman"/>
          <w:sz w:val="24"/>
          <w:szCs w:val="24"/>
        </w:rPr>
        <w:t>cu acceptul DGACG</w:t>
      </w:r>
      <w:r>
        <w:rPr>
          <w:rStyle w:val="a5"/>
          <w:rFonts w:ascii="Times New Roman" w:hAnsi="Times New Roman" w:cs="Times New Roman"/>
          <w:sz w:val="24"/>
          <w:szCs w:val="24"/>
        </w:rPr>
        <w:footnoteReference w:id="139"/>
      </w:r>
      <w:r>
        <w:rPr>
          <w:rFonts w:ascii="Times New Roman" w:hAnsi="Times New Roman" w:cs="Times New Roman"/>
          <w:sz w:val="24"/>
          <w:szCs w:val="24"/>
        </w:rPr>
        <w:t xml:space="preserve"> </w:t>
      </w:r>
      <w:r w:rsidRPr="00130DFC">
        <w:rPr>
          <w:rFonts w:ascii="Times New Roman" w:hAnsi="Times New Roman" w:cs="Times New Roman"/>
          <w:sz w:val="24"/>
          <w:szCs w:val="24"/>
        </w:rPr>
        <w:t>s-a privatizat o suprafață nelocuibilă</w:t>
      </w:r>
      <w:r>
        <w:rPr>
          <w:rStyle w:val="a5"/>
          <w:rFonts w:ascii="Times New Roman" w:hAnsi="Times New Roman" w:cs="Times New Roman"/>
          <w:sz w:val="24"/>
          <w:szCs w:val="24"/>
        </w:rPr>
        <w:footnoteReference w:id="140"/>
      </w:r>
      <w:r w:rsidRPr="00130DFC">
        <w:rPr>
          <w:rFonts w:ascii="Times New Roman" w:hAnsi="Times New Roman" w:cs="Times New Roman"/>
          <w:sz w:val="24"/>
          <w:szCs w:val="24"/>
        </w:rPr>
        <w:t xml:space="preserve"> de 39,00 m.p. la valoarea de 470,0 mii lei, de la etajul doi </w:t>
      </w:r>
      <w:r>
        <w:rPr>
          <w:rFonts w:ascii="Times New Roman" w:hAnsi="Times New Roman" w:cs="Times New Roman"/>
          <w:sz w:val="24"/>
          <w:szCs w:val="24"/>
        </w:rPr>
        <w:t>al</w:t>
      </w:r>
      <w:r w:rsidRPr="00130DFC">
        <w:rPr>
          <w:rFonts w:ascii="Times New Roman" w:hAnsi="Times New Roman" w:cs="Times New Roman"/>
          <w:sz w:val="24"/>
          <w:szCs w:val="24"/>
        </w:rPr>
        <w:t xml:space="preserve"> acest</w:t>
      </w:r>
      <w:r>
        <w:rPr>
          <w:rFonts w:ascii="Times New Roman" w:hAnsi="Times New Roman" w:cs="Times New Roman"/>
          <w:sz w:val="24"/>
          <w:szCs w:val="24"/>
        </w:rPr>
        <w:t>ui</w:t>
      </w:r>
      <w:r w:rsidRPr="00130DFC">
        <w:rPr>
          <w:rFonts w:ascii="Times New Roman" w:hAnsi="Times New Roman" w:cs="Times New Roman"/>
          <w:sz w:val="24"/>
          <w:szCs w:val="24"/>
        </w:rPr>
        <w:t xml:space="preserve"> imobil. Însă, potrivit cadrului legal</w:t>
      </w:r>
      <w:r w:rsidRPr="00E077A4">
        <w:rPr>
          <w:rStyle w:val="a5"/>
          <w:rFonts w:ascii="Times New Roman" w:hAnsi="Times New Roman" w:cs="Times New Roman"/>
          <w:sz w:val="24"/>
          <w:szCs w:val="24"/>
        </w:rPr>
        <w:footnoteReference w:id="141"/>
      </w:r>
      <w:r>
        <w:rPr>
          <w:rFonts w:ascii="Times New Roman" w:hAnsi="Times New Roman" w:cs="Times New Roman"/>
          <w:sz w:val="24"/>
          <w:szCs w:val="24"/>
        </w:rPr>
        <w:t>,</w:t>
      </w:r>
      <w:r w:rsidRPr="00130DFC">
        <w:rPr>
          <w:rFonts w:ascii="Times New Roman" w:hAnsi="Times New Roman" w:cs="Times New Roman"/>
          <w:sz w:val="24"/>
          <w:szCs w:val="24"/>
        </w:rPr>
        <w:t xml:space="preserve"> nu sunt pasibile de privatizare încăperile nelocuibile din clădirile în care s</w:t>
      </w:r>
      <w:r>
        <w:rPr>
          <w:rFonts w:ascii="Times New Roman" w:hAnsi="Times New Roman" w:cs="Times New Roman"/>
          <w:sz w:val="24"/>
          <w:szCs w:val="24"/>
        </w:rPr>
        <w:t>u</w:t>
      </w:r>
      <w:r w:rsidRPr="00130DFC">
        <w:rPr>
          <w:rFonts w:ascii="Times New Roman" w:hAnsi="Times New Roman" w:cs="Times New Roman"/>
          <w:sz w:val="24"/>
          <w:szCs w:val="24"/>
        </w:rPr>
        <w:t>nt amplasate autorități publice, întreprinderi, organizații şi instituții de stat/municipale (cu excepția subsolurilor ori parter</w:t>
      </w:r>
      <w:r>
        <w:rPr>
          <w:rFonts w:ascii="Times New Roman" w:hAnsi="Times New Roman" w:cs="Times New Roman"/>
          <w:sz w:val="24"/>
          <w:szCs w:val="24"/>
        </w:rPr>
        <w:t>elor</w:t>
      </w:r>
      <w:r w:rsidRPr="00130DFC">
        <w:rPr>
          <w:rFonts w:ascii="Times New Roman" w:hAnsi="Times New Roman" w:cs="Times New Roman"/>
          <w:sz w:val="24"/>
          <w:szCs w:val="24"/>
        </w:rPr>
        <w:t xml:space="preserve"> acestor clădiri). Contrar acestor prevederi</w:t>
      </w:r>
      <w:r>
        <w:rPr>
          <w:rFonts w:ascii="Times New Roman" w:hAnsi="Times New Roman" w:cs="Times New Roman"/>
          <w:sz w:val="24"/>
          <w:szCs w:val="24"/>
        </w:rPr>
        <w:t>,</w:t>
      </w:r>
      <w:r w:rsidRPr="00130DFC">
        <w:rPr>
          <w:rFonts w:ascii="Times New Roman" w:hAnsi="Times New Roman" w:cs="Times New Roman"/>
          <w:sz w:val="24"/>
          <w:szCs w:val="24"/>
        </w:rPr>
        <w:t xml:space="preserve"> auditul atestă privatizarea ilegală în perioada auditată a încăperii menționate supra</w:t>
      </w:r>
      <w:r>
        <w:rPr>
          <w:rFonts w:ascii="Times New Roman" w:hAnsi="Times New Roman" w:cs="Times New Roman"/>
          <w:sz w:val="24"/>
          <w:szCs w:val="24"/>
        </w:rPr>
        <w:t>,</w:t>
      </w:r>
      <w:r w:rsidRPr="00130DFC">
        <w:rPr>
          <w:rFonts w:ascii="Times New Roman" w:hAnsi="Times New Roman" w:cs="Times New Roman"/>
          <w:sz w:val="24"/>
          <w:szCs w:val="24"/>
        </w:rPr>
        <w:t xml:space="preserve"> av</w:t>
      </w:r>
      <w:r>
        <w:rPr>
          <w:rFonts w:ascii="Times New Roman" w:hAnsi="Times New Roman" w:cs="Times New Roman"/>
          <w:sz w:val="24"/>
          <w:szCs w:val="24"/>
        </w:rPr>
        <w:t>â</w:t>
      </w:r>
      <w:r w:rsidRPr="00130DFC">
        <w:rPr>
          <w:rFonts w:ascii="Times New Roman" w:hAnsi="Times New Roman" w:cs="Times New Roman"/>
          <w:sz w:val="24"/>
          <w:szCs w:val="24"/>
        </w:rPr>
        <w:t>nd în vedere at</w:t>
      </w:r>
      <w:r>
        <w:rPr>
          <w:rFonts w:ascii="Times New Roman" w:hAnsi="Times New Roman" w:cs="Times New Roman"/>
          <w:sz w:val="24"/>
          <w:szCs w:val="24"/>
        </w:rPr>
        <w:t>â</w:t>
      </w:r>
      <w:r w:rsidRPr="00130DFC">
        <w:rPr>
          <w:rFonts w:ascii="Times New Roman" w:hAnsi="Times New Roman" w:cs="Times New Roman"/>
          <w:sz w:val="24"/>
          <w:szCs w:val="24"/>
        </w:rPr>
        <w:t>t locul amplasării acest</w:t>
      </w:r>
      <w:r>
        <w:rPr>
          <w:rFonts w:ascii="Times New Roman" w:hAnsi="Times New Roman" w:cs="Times New Roman"/>
          <w:sz w:val="24"/>
          <w:szCs w:val="24"/>
        </w:rPr>
        <w:t>eia,</w:t>
      </w:r>
      <w:r w:rsidRPr="00130DFC">
        <w:rPr>
          <w:rFonts w:ascii="Times New Roman" w:hAnsi="Times New Roman" w:cs="Times New Roman"/>
          <w:sz w:val="24"/>
          <w:szCs w:val="24"/>
        </w:rPr>
        <w:t xml:space="preserve"> la etajul 2 din clădire și nu în subsol sau la parter</w:t>
      </w:r>
      <w:r>
        <w:rPr>
          <w:rFonts w:ascii="Times New Roman" w:hAnsi="Times New Roman" w:cs="Times New Roman"/>
          <w:sz w:val="24"/>
          <w:szCs w:val="24"/>
        </w:rPr>
        <w:t>,</w:t>
      </w:r>
      <w:r w:rsidRPr="00130DFC">
        <w:rPr>
          <w:rFonts w:ascii="Times New Roman" w:hAnsi="Times New Roman" w:cs="Times New Roman"/>
          <w:sz w:val="24"/>
          <w:szCs w:val="24"/>
        </w:rPr>
        <w:t xml:space="preserve"> c</w:t>
      </w:r>
      <w:r>
        <w:rPr>
          <w:rFonts w:ascii="Times New Roman" w:hAnsi="Times New Roman" w:cs="Times New Roman"/>
          <w:sz w:val="24"/>
          <w:szCs w:val="24"/>
        </w:rPr>
        <w:t>â</w:t>
      </w:r>
      <w:r w:rsidRPr="00130DFC">
        <w:rPr>
          <w:rFonts w:ascii="Times New Roman" w:hAnsi="Times New Roman" w:cs="Times New Roman"/>
          <w:sz w:val="24"/>
          <w:szCs w:val="24"/>
        </w:rPr>
        <w:t xml:space="preserve">t și faptul că </w:t>
      </w:r>
      <w:r>
        <w:rPr>
          <w:rFonts w:ascii="Times New Roman" w:hAnsi="Times New Roman" w:cs="Times New Roman"/>
          <w:sz w:val="24"/>
          <w:szCs w:val="24"/>
        </w:rPr>
        <w:t>imobilul este</w:t>
      </w:r>
      <w:r w:rsidRPr="00130DFC">
        <w:rPr>
          <w:rFonts w:ascii="Times New Roman" w:hAnsi="Times New Roman" w:cs="Times New Roman"/>
          <w:sz w:val="24"/>
          <w:szCs w:val="24"/>
        </w:rPr>
        <w:t xml:space="preserve"> gestionat de către o instituție publică a statului. </w:t>
      </w:r>
    </w:p>
    <w:p w14:paraId="69FD08D5" w14:textId="1DD7FAE0" w:rsidR="0069766E" w:rsidRPr="00F76DDE" w:rsidRDefault="0069766E" w:rsidP="0069766E">
      <w:pPr>
        <w:spacing w:before="120" w:after="120" w:line="276" w:lineRule="auto"/>
        <w:jc w:val="both"/>
        <w:rPr>
          <w:rFonts w:ascii="Times New Roman" w:hAnsi="Times New Roman" w:cs="Times New Roman"/>
          <w:sz w:val="24"/>
          <w:szCs w:val="24"/>
        </w:rPr>
      </w:pPr>
      <w:r w:rsidRPr="00130DFC">
        <w:rPr>
          <w:rFonts w:ascii="Times New Roman" w:hAnsi="Times New Roman" w:cs="Times New Roman"/>
          <w:sz w:val="24"/>
          <w:szCs w:val="24"/>
        </w:rPr>
        <w:t xml:space="preserve">Mai mult </w:t>
      </w:r>
      <w:r>
        <w:rPr>
          <w:rFonts w:ascii="Times New Roman" w:hAnsi="Times New Roman" w:cs="Times New Roman"/>
          <w:sz w:val="24"/>
          <w:szCs w:val="24"/>
        </w:rPr>
        <w:t>decât</w:t>
      </w:r>
      <w:r w:rsidRPr="00130DFC">
        <w:rPr>
          <w:rFonts w:ascii="Times New Roman" w:hAnsi="Times New Roman" w:cs="Times New Roman"/>
          <w:sz w:val="24"/>
          <w:szCs w:val="24"/>
        </w:rPr>
        <w:t xml:space="preserve"> atât, potrivit constatărilor unui alt</w:t>
      </w:r>
      <w:r w:rsidRPr="0046738A">
        <w:rPr>
          <w:rStyle w:val="a5"/>
          <w:rFonts w:ascii="Times New Roman" w:hAnsi="Times New Roman" w:cs="Times New Roman"/>
          <w:sz w:val="24"/>
          <w:szCs w:val="24"/>
        </w:rPr>
        <w:footnoteReference w:id="142"/>
      </w:r>
      <w:r w:rsidRPr="00130DFC">
        <w:rPr>
          <w:rFonts w:ascii="Times New Roman" w:hAnsi="Times New Roman" w:cs="Times New Roman"/>
          <w:sz w:val="24"/>
          <w:szCs w:val="24"/>
        </w:rPr>
        <w:t xml:space="preserve"> audit a</w:t>
      </w:r>
      <w:r>
        <w:rPr>
          <w:rFonts w:ascii="Times New Roman" w:hAnsi="Times New Roman" w:cs="Times New Roman"/>
          <w:sz w:val="24"/>
          <w:szCs w:val="24"/>
        </w:rPr>
        <w:t>l</w:t>
      </w:r>
      <w:r w:rsidRPr="00130DFC">
        <w:rPr>
          <w:rFonts w:ascii="Times New Roman" w:hAnsi="Times New Roman" w:cs="Times New Roman"/>
          <w:sz w:val="24"/>
          <w:szCs w:val="24"/>
        </w:rPr>
        <w:t xml:space="preserve"> Curții de Conturi, a fot relatat faptul privatizării acestei suprafețe amplasate </w:t>
      </w:r>
      <w:r>
        <w:rPr>
          <w:rFonts w:ascii="Times New Roman" w:hAnsi="Times New Roman" w:cs="Times New Roman"/>
          <w:sz w:val="24"/>
          <w:szCs w:val="24"/>
        </w:rPr>
        <w:t>în</w:t>
      </w:r>
      <w:r w:rsidRPr="00130DFC">
        <w:rPr>
          <w:rFonts w:ascii="Times New Roman" w:hAnsi="Times New Roman" w:cs="Times New Roman"/>
          <w:sz w:val="24"/>
          <w:szCs w:val="24"/>
        </w:rPr>
        <w:t xml:space="preserve"> centr</w:t>
      </w:r>
      <w:r>
        <w:rPr>
          <w:rFonts w:ascii="Times New Roman" w:hAnsi="Times New Roman" w:cs="Times New Roman"/>
          <w:sz w:val="24"/>
          <w:szCs w:val="24"/>
        </w:rPr>
        <w:t>ul</w:t>
      </w:r>
      <w:r w:rsidRPr="00130DFC">
        <w:rPr>
          <w:rFonts w:ascii="Times New Roman" w:hAnsi="Times New Roman" w:cs="Times New Roman"/>
          <w:sz w:val="24"/>
          <w:szCs w:val="24"/>
        </w:rPr>
        <w:t xml:space="preserve"> municipiului la un preț derizoriu </w:t>
      </w:r>
      <w:r>
        <w:rPr>
          <w:rFonts w:ascii="Times New Roman" w:hAnsi="Times New Roman" w:cs="Times New Roman"/>
          <w:sz w:val="24"/>
          <w:szCs w:val="24"/>
        </w:rPr>
        <w:t xml:space="preserve">de </w:t>
      </w:r>
      <w:r w:rsidRPr="00130DFC">
        <w:rPr>
          <w:rFonts w:ascii="Times New Roman" w:hAnsi="Times New Roman" w:cs="Times New Roman"/>
          <w:sz w:val="24"/>
          <w:szCs w:val="24"/>
        </w:rPr>
        <w:t>470,0 mii lei, care comparativ cu prețurile minime de piață</w:t>
      </w:r>
      <w:r w:rsidRPr="0046738A">
        <w:rPr>
          <w:rStyle w:val="a5"/>
          <w:rFonts w:ascii="Times New Roman" w:hAnsi="Times New Roman" w:cs="Times New Roman"/>
          <w:sz w:val="24"/>
          <w:szCs w:val="24"/>
        </w:rPr>
        <w:footnoteReference w:id="143"/>
      </w:r>
      <w:r w:rsidRPr="00130DFC">
        <w:rPr>
          <w:rFonts w:ascii="Times New Roman" w:hAnsi="Times New Roman" w:cs="Times New Roman"/>
          <w:sz w:val="24"/>
          <w:szCs w:val="24"/>
        </w:rPr>
        <w:t xml:space="preserve"> în acea perioadă pentru obiectivele similar amplasate ar fi constituit 815,1 mii lei, în așa mod fiind rata</w:t>
      </w:r>
      <w:r>
        <w:rPr>
          <w:rFonts w:ascii="Times New Roman" w:hAnsi="Times New Roman" w:cs="Times New Roman"/>
          <w:sz w:val="24"/>
          <w:szCs w:val="24"/>
        </w:rPr>
        <w:t>te</w:t>
      </w:r>
      <w:r w:rsidRPr="00130DFC">
        <w:rPr>
          <w:rFonts w:ascii="Times New Roman" w:hAnsi="Times New Roman" w:cs="Times New Roman"/>
          <w:sz w:val="24"/>
          <w:szCs w:val="24"/>
        </w:rPr>
        <w:t xml:space="preserve"> posibile venituri în sumă de 345,1 mii </w:t>
      </w:r>
      <w:r w:rsidRPr="00F76DDE">
        <w:rPr>
          <w:rFonts w:ascii="Times New Roman" w:hAnsi="Times New Roman" w:cs="Times New Roman"/>
          <w:sz w:val="24"/>
          <w:szCs w:val="24"/>
        </w:rPr>
        <w:t>lei.</w:t>
      </w:r>
      <w:r w:rsidR="00BA69A9">
        <w:rPr>
          <w:rFonts w:ascii="Times New Roman" w:hAnsi="Times New Roman" w:cs="Times New Roman"/>
          <w:sz w:val="24"/>
          <w:szCs w:val="24"/>
        </w:rPr>
        <w:t xml:space="preserve"> </w:t>
      </w:r>
    </w:p>
    <w:p w14:paraId="08F0C870" w14:textId="0D188640" w:rsidR="00854636" w:rsidRPr="00F76DDE" w:rsidRDefault="00B94290" w:rsidP="00624F0F">
      <w:pPr>
        <w:pStyle w:val="a7"/>
        <w:numPr>
          <w:ilvl w:val="0"/>
          <w:numId w:val="32"/>
        </w:numPr>
        <w:tabs>
          <w:tab w:val="left" w:pos="284"/>
          <w:tab w:val="left" w:pos="426"/>
        </w:tabs>
        <w:ind w:left="142" w:hanging="142"/>
        <w:jc w:val="both"/>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 </w:t>
      </w:r>
      <w:r w:rsidR="009D6C87" w:rsidRPr="00F76DDE">
        <w:rPr>
          <w:rFonts w:ascii="Times New Roman" w:hAnsi="Times New Roman" w:cs="Times New Roman"/>
          <w:b/>
          <w:color w:val="0070C0"/>
          <w:sz w:val="24"/>
          <w:szCs w:val="24"/>
        </w:rPr>
        <w:t>Problematici privind legiferarea de către unele entități a dreptului de proprietar a</w:t>
      </w:r>
      <w:r w:rsidR="009D6C87">
        <w:rPr>
          <w:rFonts w:ascii="Times New Roman" w:hAnsi="Times New Roman" w:cs="Times New Roman"/>
          <w:b/>
          <w:color w:val="0070C0"/>
          <w:sz w:val="24"/>
          <w:szCs w:val="24"/>
        </w:rPr>
        <w:t>l</w:t>
      </w:r>
      <w:r w:rsidR="009D6C87" w:rsidRPr="00F76DDE">
        <w:rPr>
          <w:rFonts w:ascii="Times New Roman" w:hAnsi="Times New Roman" w:cs="Times New Roman"/>
          <w:b/>
          <w:color w:val="0070C0"/>
          <w:sz w:val="24"/>
          <w:szCs w:val="24"/>
        </w:rPr>
        <w:t xml:space="preserve"> imobilelor, gestionate anterior de I</w:t>
      </w:r>
      <w:r w:rsidR="009D6C87">
        <w:rPr>
          <w:rFonts w:ascii="Times New Roman" w:hAnsi="Times New Roman" w:cs="Times New Roman"/>
          <w:b/>
          <w:color w:val="0070C0"/>
          <w:sz w:val="24"/>
          <w:szCs w:val="24"/>
        </w:rPr>
        <w:t>.</w:t>
      </w:r>
      <w:r w:rsidR="009D6C87" w:rsidRPr="00F76DDE">
        <w:rPr>
          <w:rFonts w:ascii="Times New Roman" w:hAnsi="Times New Roman" w:cs="Times New Roman"/>
          <w:b/>
          <w:color w:val="0070C0"/>
          <w:sz w:val="24"/>
          <w:szCs w:val="24"/>
        </w:rPr>
        <w:t>P</w:t>
      </w:r>
      <w:r w:rsidR="009D6C87">
        <w:rPr>
          <w:rFonts w:ascii="Times New Roman" w:hAnsi="Times New Roman" w:cs="Times New Roman"/>
          <w:b/>
          <w:color w:val="0070C0"/>
          <w:sz w:val="24"/>
          <w:szCs w:val="24"/>
        </w:rPr>
        <w:t>.</w:t>
      </w:r>
      <w:r w:rsidR="009D6C87" w:rsidRPr="00F76DDE">
        <w:rPr>
          <w:rFonts w:ascii="Times New Roman" w:hAnsi="Times New Roman" w:cs="Times New Roman"/>
          <w:b/>
          <w:color w:val="0070C0"/>
          <w:sz w:val="24"/>
          <w:szCs w:val="24"/>
        </w:rPr>
        <w:t xml:space="preserve"> monitorizate de CS</w:t>
      </w:r>
    </w:p>
    <w:p w14:paraId="1DAC5DFF" w14:textId="74F615BE" w:rsidR="00B94290" w:rsidRPr="003B329E" w:rsidRDefault="00B94290" w:rsidP="00231A57">
      <w:pPr>
        <w:tabs>
          <w:tab w:val="left" w:pos="426"/>
          <w:tab w:val="left" w:pos="567"/>
        </w:tabs>
        <w:spacing w:after="80" w:line="276" w:lineRule="auto"/>
        <w:jc w:val="both"/>
        <w:rPr>
          <w:rFonts w:ascii="Times New Roman" w:eastAsia="Calibri" w:hAnsi="Times New Roman" w:cs="Times New Roman"/>
          <w:sz w:val="24"/>
          <w:szCs w:val="24"/>
        </w:rPr>
      </w:pPr>
      <w:r w:rsidRPr="003B329E">
        <w:rPr>
          <w:rFonts w:ascii="Times New Roman" w:eastAsia="Calibri" w:hAnsi="Times New Roman" w:cs="Times New Roman"/>
          <w:sz w:val="24"/>
          <w:szCs w:val="24"/>
        </w:rPr>
        <w:t>Potrivit datelor evidenței contabile a I.P. „Pensiun</w:t>
      </w:r>
      <w:r>
        <w:rPr>
          <w:rFonts w:ascii="Times New Roman" w:eastAsia="Calibri" w:hAnsi="Times New Roman" w:cs="Times New Roman"/>
          <w:sz w:val="24"/>
          <w:szCs w:val="24"/>
        </w:rPr>
        <w:t>ea</w:t>
      </w:r>
      <w:r w:rsidRPr="003B329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din </w:t>
      </w:r>
      <w:r w:rsidRPr="003B329E">
        <w:rPr>
          <w:rFonts w:ascii="Times New Roman" w:eastAsia="Calibri" w:hAnsi="Times New Roman" w:cs="Times New Roman"/>
          <w:sz w:val="24"/>
          <w:szCs w:val="24"/>
        </w:rPr>
        <w:t>Holercani”</w:t>
      </w:r>
      <w:r>
        <w:rPr>
          <w:rFonts w:ascii="Times New Roman" w:eastAsia="Calibri" w:hAnsi="Times New Roman" w:cs="Times New Roman"/>
          <w:sz w:val="24"/>
          <w:szCs w:val="24"/>
        </w:rPr>
        <w:t>,</w:t>
      </w:r>
      <w:r w:rsidRPr="003B329E">
        <w:rPr>
          <w:rFonts w:ascii="Times New Roman" w:eastAsia="Calibri" w:hAnsi="Times New Roman" w:cs="Times New Roman"/>
          <w:sz w:val="24"/>
          <w:szCs w:val="24"/>
        </w:rPr>
        <w:t xml:space="preserve"> se atestă faptul că</w:t>
      </w:r>
      <w:r>
        <w:rPr>
          <w:rFonts w:ascii="Times New Roman" w:eastAsia="Calibri" w:hAnsi="Times New Roman" w:cs="Times New Roman"/>
          <w:sz w:val="24"/>
          <w:szCs w:val="24"/>
        </w:rPr>
        <w:t>,</w:t>
      </w:r>
      <w:r w:rsidRPr="003B329E">
        <w:rPr>
          <w:rFonts w:ascii="Times New Roman" w:eastAsia="Calibri" w:hAnsi="Times New Roman" w:cs="Times New Roman"/>
          <w:sz w:val="24"/>
          <w:szCs w:val="24"/>
        </w:rPr>
        <w:t xml:space="preserve"> din cele 18 vile edificate pe teritoriu</w:t>
      </w:r>
      <w:r>
        <w:rPr>
          <w:rFonts w:ascii="Times New Roman" w:eastAsia="Calibri" w:hAnsi="Times New Roman" w:cs="Times New Roman"/>
          <w:sz w:val="24"/>
          <w:szCs w:val="24"/>
        </w:rPr>
        <w:t>l</w:t>
      </w:r>
      <w:r w:rsidRPr="003B329E">
        <w:rPr>
          <w:rFonts w:ascii="Times New Roman" w:eastAsia="Calibri" w:hAnsi="Times New Roman" w:cs="Times New Roman"/>
          <w:sz w:val="24"/>
          <w:szCs w:val="24"/>
        </w:rPr>
        <w:t xml:space="preserve"> acesteia, Vila nr. 9 (Casa de Protocol nr. 9) nu se regăsește în situația patrimonială a instituției publice, </w:t>
      </w:r>
      <w:r>
        <w:rPr>
          <w:rFonts w:ascii="Times New Roman" w:eastAsia="Calibri" w:hAnsi="Times New Roman" w:cs="Times New Roman"/>
          <w:sz w:val="24"/>
          <w:szCs w:val="24"/>
        </w:rPr>
        <w:t xml:space="preserve">ca </w:t>
      </w:r>
      <w:r w:rsidRPr="003B329E">
        <w:rPr>
          <w:rFonts w:ascii="Times New Roman" w:eastAsia="Calibri" w:hAnsi="Times New Roman" w:cs="Times New Roman"/>
          <w:sz w:val="24"/>
          <w:szCs w:val="24"/>
        </w:rPr>
        <w:t xml:space="preserve">urmare </w:t>
      </w:r>
      <w:r>
        <w:rPr>
          <w:rFonts w:ascii="Times New Roman" w:eastAsia="Calibri" w:hAnsi="Times New Roman" w:cs="Times New Roman"/>
          <w:sz w:val="24"/>
          <w:szCs w:val="24"/>
        </w:rPr>
        <w:t xml:space="preserve">a </w:t>
      </w:r>
      <w:r w:rsidRPr="003B329E">
        <w:rPr>
          <w:rFonts w:ascii="Times New Roman" w:eastAsia="Calibri" w:hAnsi="Times New Roman" w:cs="Times New Roman"/>
          <w:sz w:val="24"/>
          <w:szCs w:val="24"/>
        </w:rPr>
        <w:t xml:space="preserve">transmiterii acesteia în gestiune economică BNM. </w:t>
      </w:r>
    </w:p>
    <w:p w14:paraId="44A26BDC" w14:textId="77777777" w:rsidR="009D6C87" w:rsidRDefault="009D6C87" w:rsidP="00231A57">
      <w:pPr>
        <w:tabs>
          <w:tab w:val="left" w:pos="426"/>
          <w:tab w:val="left" w:pos="567"/>
        </w:tabs>
        <w:spacing w:after="80" w:line="276" w:lineRule="auto"/>
        <w:jc w:val="both"/>
        <w:rPr>
          <w:rFonts w:ascii="Times New Roman" w:eastAsia="Calibri" w:hAnsi="Times New Roman" w:cs="Times New Roman"/>
          <w:sz w:val="24"/>
          <w:szCs w:val="24"/>
        </w:rPr>
      </w:pPr>
      <w:r w:rsidRPr="003B329E">
        <w:rPr>
          <w:rFonts w:ascii="Times New Roman" w:eastAsia="Calibri" w:hAnsi="Times New Roman" w:cs="Times New Roman"/>
          <w:sz w:val="24"/>
          <w:szCs w:val="24"/>
        </w:rPr>
        <w:t>Astfel, se relevă că</w:t>
      </w:r>
      <w:r>
        <w:rPr>
          <w:rFonts w:ascii="Times New Roman" w:eastAsia="Calibri" w:hAnsi="Times New Roman" w:cs="Times New Roman"/>
          <w:sz w:val="24"/>
          <w:szCs w:val="24"/>
        </w:rPr>
        <w:t>,</w:t>
      </w:r>
      <w:r w:rsidRPr="003B329E">
        <w:rPr>
          <w:rFonts w:ascii="Times New Roman" w:eastAsia="Calibri" w:hAnsi="Times New Roman" w:cs="Times New Roman"/>
          <w:sz w:val="24"/>
          <w:szCs w:val="24"/>
        </w:rPr>
        <w:t xml:space="preserve"> în anul 1998, potrivit dispoziției</w:t>
      </w:r>
      <w:r w:rsidRPr="003B329E">
        <w:rPr>
          <w:rStyle w:val="a5"/>
          <w:rFonts w:ascii="Times New Roman" w:eastAsia="Calibri" w:hAnsi="Times New Roman" w:cs="Times New Roman"/>
          <w:sz w:val="24"/>
          <w:szCs w:val="24"/>
        </w:rPr>
        <w:footnoteReference w:id="144"/>
      </w:r>
      <w:r w:rsidRPr="003B329E">
        <w:rPr>
          <w:rFonts w:ascii="Times New Roman" w:eastAsia="Calibri" w:hAnsi="Times New Roman" w:cs="Times New Roman"/>
          <w:sz w:val="24"/>
          <w:szCs w:val="24"/>
        </w:rPr>
        <w:t xml:space="preserve"> Guvernului, s-a dispus transmiterea de la balanța CS la balanța BNM a vilelor nr. 9, nr. 11/1 și nr. 11/2</w:t>
      </w:r>
      <w:r w:rsidRPr="003B329E">
        <w:rPr>
          <w:rStyle w:val="a5"/>
          <w:rFonts w:ascii="Times New Roman" w:eastAsia="Calibri" w:hAnsi="Times New Roman" w:cs="Times New Roman"/>
          <w:sz w:val="24"/>
          <w:szCs w:val="24"/>
        </w:rPr>
        <w:footnoteReference w:id="145"/>
      </w:r>
      <w:r w:rsidRPr="003B329E">
        <w:rPr>
          <w:rFonts w:ascii="Times New Roman" w:eastAsia="Calibri" w:hAnsi="Times New Roman" w:cs="Times New Roman"/>
          <w:sz w:val="24"/>
          <w:szCs w:val="24"/>
        </w:rPr>
        <w:t xml:space="preserve"> din Pensiune, pentru recreerea personalului instituției financiare. În acest sens, la data de 05.03.1998 a fost instituită</w:t>
      </w:r>
      <w:r w:rsidRPr="003B329E">
        <w:rPr>
          <w:rStyle w:val="a5"/>
          <w:rFonts w:ascii="Times New Roman" w:eastAsia="Calibri" w:hAnsi="Times New Roman" w:cs="Times New Roman"/>
          <w:sz w:val="24"/>
          <w:szCs w:val="24"/>
        </w:rPr>
        <w:footnoteReference w:id="146"/>
      </w:r>
      <w:r w:rsidRPr="003B329E">
        <w:rPr>
          <w:rFonts w:ascii="Times New Roman" w:eastAsia="Calibri" w:hAnsi="Times New Roman" w:cs="Times New Roman"/>
          <w:sz w:val="24"/>
          <w:szCs w:val="24"/>
        </w:rPr>
        <w:t xml:space="preserve"> Comisia pentru transmiterea clădirilor nominalizate, iar peste 5 zile a avut loc transmiterea propriu</w:t>
      </w:r>
      <w:r>
        <w:rPr>
          <w:rFonts w:ascii="Times New Roman" w:eastAsia="Calibri" w:hAnsi="Times New Roman" w:cs="Times New Roman"/>
          <w:sz w:val="24"/>
          <w:szCs w:val="24"/>
        </w:rPr>
        <w:t>-</w:t>
      </w:r>
      <w:r w:rsidRPr="003B329E">
        <w:rPr>
          <w:rFonts w:ascii="Times New Roman" w:eastAsia="Calibri" w:hAnsi="Times New Roman" w:cs="Times New Roman"/>
          <w:sz w:val="24"/>
          <w:szCs w:val="24"/>
        </w:rPr>
        <w:t>zisă a imobil</w:t>
      </w:r>
      <w:r>
        <w:rPr>
          <w:rFonts w:ascii="Times New Roman" w:eastAsia="Calibri" w:hAnsi="Times New Roman" w:cs="Times New Roman"/>
          <w:sz w:val="24"/>
          <w:szCs w:val="24"/>
        </w:rPr>
        <w:t>e</w:t>
      </w:r>
      <w:r w:rsidRPr="003B329E">
        <w:rPr>
          <w:rFonts w:ascii="Times New Roman" w:eastAsia="Calibri" w:hAnsi="Times New Roman" w:cs="Times New Roman"/>
          <w:sz w:val="24"/>
          <w:szCs w:val="24"/>
        </w:rPr>
        <w:t xml:space="preserve">lor, fiind întocmit Actul de primire-predare din 10.03.1998. </w:t>
      </w:r>
      <w:r w:rsidRPr="003B329E">
        <w:rPr>
          <w:rFonts w:ascii="Times New Roman" w:hAnsi="Times New Roman" w:cs="Times New Roman"/>
          <w:sz w:val="24"/>
          <w:szCs w:val="24"/>
        </w:rPr>
        <w:t>În anul 2002, vilele nr. 11/1 și nr. 11/2 au fost restituite în gestiune I</w:t>
      </w:r>
      <w:r>
        <w:rPr>
          <w:rFonts w:ascii="Times New Roman" w:hAnsi="Times New Roman" w:cs="Times New Roman"/>
          <w:sz w:val="24"/>
          <w:szCs w:val="24"/>
        </w:rPr>
        <w:t>.</w:t>
      </w:r>
      <w:r w:rsidRPr="003B329E">
        <w:rPr>
          <w:rFonts w:ascii="Times New Roman" w:hAnsi="Times New Roman" w:cs="Times New Roman"/>
          <w:sz w:val="24"/>
          <w:szCs w:val="24"/>
        </w:rPr>
        <w:t>P</w:t>
      </w:r>
      <w:r>
        <w:rPr>
          <w:rFonts w:ascii="Times New Roman" w:hAnsi="Times New Roman" w:cs="Times New Roman"/>
          <w:sz w:val="24"/>
          <w:szCs w:val="24"/>
        </w:rPr>
        <w:t>.</w:t>
      </w:r>
      <w:r w:rsidRPr="003B329E">
        <w:rPr>
          <w:rFonts w:ascii="Times New Roman" w:hAnsi="Times New Roman" w:cs="Times New Roman"/>
          <w:sz w:val="24"/>
          <w:szCs w:val="24"/>
        </w:rPr>
        <w:t xml:space="preserve"> </w:t>
      </w:r>
      <w:r>
        <w:rPr>
          <w:rFonts w:ascii="Times New Roman" w:hAnsi="Times New Roman" w:cs="Times New Roman"/>
          <w:sz w:val="24"/>
          <w:szCs w:val="24"/>
        </w:rPr>
        <w:t>„</w:t>
      </w:r>
      <w:r w:rsidRPr="003B329E">
        <w:rPr>
          <w:rFonts w:ascii="Times New Roman" w:hAnsi="Times New Roman" w:cs="Times New Roman"/>
          <w:sz w:val="24"/>
          <w:szCs w:val="24"/>
        </w:rPr>
        <w:t>Pensiunea din Holercani</w:t>
      </w:r>
      <w:r>
        <w:rPr>
          <w:rFonts w:ascii="Times New Roman" w:hAnsi="Times New Roman" w:cs="Times New Roman"/>
          <w:sz w:val="24"/>
          <w:szCs w:val="24"/>
        </w:rPr>
        <w:t>”</w:t>
      </w:r>
      <w:r w:rsidRPr="003B329E">
        <w:rPr>
          <w:rFonts w:ascii="Times New Roman" w:hAnsi="Times New Roman" w:cs="Times New Roman"/>
          <w:sz w:val="24"/>
          <w:szCs w:val="24"/>
        </w:rPr>
        <w:t>,</w:t>
      </w:r>
      <w:r w:rsidRPr="003B329E">
        <w:rPr>
          <w:rFonts w:ascii="Times New Roman" w:eastAsia="Calibri" w:hAnsi="Times New Roman" w:cs="Times New Roman"/>
          <w:sz w:val="24"/>
          <w:szCs w:val="24"/>
        </w:rPr>
        <w:t xml:space="preserve"> astfel în gestiunea BNM rămânând  spre utilizare do</w:t>
      </w:r>
      <w:r>
        <w:rPr>
          <w:rFonts w:ascii="Times New Roman" w:eastAsia="Calibri" w:hAnsi="Times New Roman" w:cs="Times New Roman"/>
          <w:sz w:val="24"/>
          <w:szCs w:val="24"/>
        </w:rPr>
        <w:t>a</w:t>
      </w:r>
      <w:r w:rsidRPr="003B329E">
        <w:rPr>
          <w:rFonts w:ascii="Times New Roman" w:eastAsia="Calibri" w:hAnsi="Times New Roman" w:cs="Times New Roman"/>
          <w:sz w:val="24"/>
          <w:szCs w:val="24"/>
        </w:rPr>
        <w:t>r vila nr.9.</w:t>
      </w:r>
    </w:p>
    <w:p w14:paraId="7FED5BCB" w14:textId="38FFB3D3" w:rsidR="00B94290" w:rsidRPr="003B329E" w:rsidRDefault="00B94290" w:rsidP="00231A57">
      <w:pPr>
        <w:tabs>
          <w:tab w:val="left" w:pos="426"/>
          <w:tab w:val="left" w:pos="567"/>
        </w:tabs>
        <w:spacing w:after="80" w:line="276" w:lineRule="auto"/>
        <w:jc w:val="both"/>
        <w:rPr>
          <w:rFonts w:ascii="Times New Roman" w:hAnsi="Times New Roman" w:cs="Times New Roman"/>
          <w:sz w:val="24"/>
          <w:szCs w:val="24"/>
        </w:rPr>
      </w:pPr>
      <w:r w:rsidRPr="003B329E">
        <w:rPr>
          <w:rFonts w:ascii="Times New Roman" w:eastAsia="Calibri" w:hAnsi="Times New Roman" w:cs="Times New Roman"/>
          <w:sz w:val="24"/>
          <w:szCs w:val="24"/>
        </w:rPr>
        <w:t>Se menționează că</w:t>
      </w:r>
      <w:r>
        <w:rPr>
          <w:rFonts w:ascii="Times New Roman" w:eastAsia="Calibri" w:hAnsi="Times New Roman" w:cs="Times New Roman"/>
          <w:sz w:val="24"/>
          <w:szCs w:val="24"/>
        </w:rPr>
        <w:t>,</w:t>
      </w:r>
      <w:r w:rsidRPr="003B329E">
        <w:rPr>
          <w:rFonts w:ascii="Times New Roman" w:eastAsia="Calibri" w:hAnsi="Times New Roman" w:cs="Times New Roman"/>
          <w:sz w:val="24"/>
          <w:szCs w:val="24"/>
        </w:rPr>
        <w:t xml:space="preserve"> în cadrul auditului </w:t>
      </w:r>
      <w:r w:rsidRPr="003B329E">
        <w:rPr>
          <w:rFonts w:ascii="Times New Roman" w:hAnsi="Times New Roman" w:cs="Times New Roman"/>
          <w:sz w:val="24"/>
          <w:szCs w:val="24"/>
        </w:rPr>
        <w:t>conformității executării devizului de cheltuieli la Banca Națională a Moldovei pe anii 2013-2014</w:t>
      </w:r>
      <w:r w:rsidRPr="003B329E">
        <w:rPr>
          <w:rStyle w:val="a5"/>
          <w:rFonts w:ascii="Times New Roman" w:hAnsi="Times New Roman" w:cs="Times New Roman"/>
          <w:sz w:val="24"/>
          <w:szCs w:val="24"/>
        </w:rPr>
        <w:footnoteReference w:id="147"/>
      </w:r>
      <w:r w:rsidRPr="003B329E">
        <w:rPr>
          <w:rFonts w:ascii="Times New Roman" w:hAnsi="Times New Roman" w:cs="Times New Roman"/>
          <w:sz w:val="24"/>
          <w:szCs w:val="24"/>
        </w:rPr>
        <w:t>, Curtea de Conturi a constatat neînregistrarea la organul cadastral a dreptului de gestionare a imobilului menționat supra de către BNM. Deși</w:t>
      </w:r>
      <w:r>
        <w:rPr>
          <w:rFonts w:ascii="Times New Roman" w:hAnsi="Times New Roman" w:cs="Times New Roman"/>
          <w:sz w:val="24"/>
          <w:szCs w:val="24"/>
        </w:rPr>
        <w:t>,</w:t>
      </w:r>
      <w:r w:rsidRPr="003B329E">
        <w:rPr>
          <w:rFonts w:ascii="Times New Roman" w:hAnsi="Times New Roman" w:cs="Times New Roman"/>
          <w:sz w:val="24"/>
          <w:szCs w:val="24"/>
        </w:rPr>
        <w:t xml:space="preserve"> la recomandarea Curții de Conturi, au fost inițiate unele acțiuni privind înregistrarea bunului imobil și a drepturilor instituției financiare asupra acestuia</w:t>
      </w:r>
      <w:r w:rsidRPr="003B329E">
        <w:rPr>
          <w:rStyle w:val="a5"/>
          <w:rFonts w:ascii="Times New Roman" w:hAnsi="Times New Roman" w:cs="Times New Roman"/>
          <w:sz w:val="24"/>
          <w:szCs w:val="24"/>
        </w:rPr>
        <w:footnoteReference w:id="148"/>
      </w:r>
      <w:r w:rsidRPr="003B329E">
        <w:rPr>
          <w:rFonts w:ascii="Times New Roman" w:hAnsi="Times New Roman" w:cs="Times New Roman"/>
          <w:sz w:val="24"/>
          <w:szCs w:val="24"/>
        </w:rPr>
        <w:t xml:space="preserve">, </w:t>
      </w:r>
      <w:r w:rsidRPr="003B329E">
        <w:rPr>
          <w:rFonts w:ascii="Times New Roman" w:eastAsia="Calibri" w:hAnsi="Times New Roman" w:cs="Times New Roman"/>
          <w:sz w:val="24"/>
          <w:szCs w:val="24"/>
        </w:rPr>
        <w:t xml:space="preserve">observațiile de audit denotă că BNM și autoritățile responsabile nu au asigurat finalitatea acestui proces. </w:t>
      </w:r>
      <w:r w:rsidRPr="003B329E">
        <w:rPr>
          <w:rFonts w:ascii="Times New Roman" w:hAnsi="Times New Roman" w:cs="Times New Roman"/>
          <w:sz w:val="24"/>
          <w:szCs w:val="24"/>
        </w:rPr>
        <w:t>În fapt, impedimentul care a stopat procesul de înregistrare cadastrală a imobilului ține de legalitatea emiterii dispoziției privind</w:t>
      </w:r>
      <w:r w:rsidR="00BA69A9">
        <w:rPr>
          <w:rFonts w:ascii="Times New Roman" w:hAnsi="Times New Roman" w:cs="Times New Roman"/>
          <w:sz w:val="24"/>
          <w:szCs w:val="24"/>
        </w:rPr>
        <w:t xml:space="preserve"> </w:t>
      </w:r>
      <w:r w:rsidRPr="003B329E">
        <w:rPr>
          <w:rFonts w:ascii="Times New Roman" w:hAnsi="Times New Roman" w:cs="Times New Roman"/>
          <w:sz w:val="24"/>
          <w:szCs w:val="24"/>
        </w:rPr>
        <w:t>transmiterea</w:t>
      </w:r>
      <w:r w:rsidR="00BA69A9">
        <w:rPr>
          <w:rFonts w:ascii="Times New Roman" w:hAnsi="Times New Roman" w:cs="Times New Roman"/>
          <w:sz w:val="24"/>
          <w:szCs w:val="24"/>
        </w:rPr>
        <w:t xml:space="preserve"> </w:t>
      </w:r>
      <w:r w:rsidRPr="003B329E">
        <w:rPr>
          <w:rFonts w:ascii="Times New Roman" w:hAnsi="Times New Roman" w:cs="Times New Roman"/>
          <w:sz w:val="24"/>
          <w:szCs w:val="24"/>
        </w:rPr>
        <w:t xml:space="preserve">acestui imobil în gestiunea BNM. În acest context se </w:t>
      </w:r>
      <w:r>
        <w:rPr>
          <w:rFonts w:ascii="Times New Roman" w:hAnsi="Times New Roman" w:cs="Times New Roman"/>
          <w:sz w:val="24"/>
          <w:szCs w:val="24"/>
        </w:rPr>
        <w:t>relevă</w:t>
      </w:r>
      <w:r w:rsidRPr="003B329E">
        <w:rPr>
          <w:rFonts w:ascii="Times New Roman" w:hAnsi="Times New Roman" w:cs="Times New Roman"/>
          <w:sz w:val="24"/>
          <w:szCs w:val="24"/>
        </w:rPr>
        <w:t xml:space="preserve"> următoarele:</w:t>
      </w:r>
    </w:p>
    <w:p w14:paraId="4FE76C90" w14:textId="2DF9E064" w:rsidR="00B94290" w:rsidRPr="003B329E" w:rsidRDefault="00B94290" w:rsidP="00231A57">
      <w:pPr>
        <w:tabs>
          <w:tab w:val="left" w:pos="426"/>
          <w:tab w:val="left" w:pos="567"/>
        </w:tabs>
        <w:spacing w:after="80" w:line="276" w:lineRule="auto"/>
        <w:jc w:val="both"/>
        <w:rPr>
          <w:rFonts w:ascii="Times New Roman" w:eastAsia="Calibri" w:hAnsi="Times New Roman" w:cs="Times New Roman"/>
          <w:sz w:val="24"/>
          <w:szCs w:val="24"/>
        </w:rPr>
      </w:pPr>
      <w:r w:rsidRPr="003B329E">
        <w:rPr>
          <w:rFonts w:ascii="Times New Roman" w:eastAsia="Calibri" w:hAnsi="Times New Roman" w:cs="Times New Roman"/>
          <w:b/>
          <w:sz w:val="24"/>
          <w:szCs w:val="24"/>
        </w:rPr>
        <w:t>a)</w:t>
      </w:r>
      <w:r w:rsidRPr="003B329E">
        <w:rPr>
          <w:rFonts w:ascii="Times New Roman" w:eastAsia="Calibri" w:hAnsi="Times New Roman" w:cs="Times New Roman"/>
          <w:sz w:val="24"/>
          <w:szCs w:val="24"/>
        </w:rPr>
        <w:t xml:space="preserve"> </w:t>
      </w:r>
      <w:r>
        <w:rPr>
          <w:rFonts w:ascii="Times New Roman" w:eastAsia="Calibri" w:hAnsi="Times New Roman" w:cs="Times New Roman"/>
          <w:sz w:val="24"/>
          <w:szCs w:val="24"/>
        </w:rPr>
        <w:t>t</w:t>
      </w:r>
      <w:r w:rsidRPr="003B329E">
        <w:rPr>
          <w:rFonts w:ascii="Times New Roman" w:eastAsia="Calibri" w:hAnsi="Times New Roman" w:cs="Times New Roman"/>
          <w:sz w:val="24"/>
          <w:szCs w:val="24"/>
        </w:rPr>
        <w:t xml:space="preserve">ransmiterea patrimoniului proprietate de stat prin dispoziția </w:t>
      </w:r>
      <w:r w:rsidR="00DD273B">
        <w:rPr>
          <w:rFonts w:ascii="Times New Roman" w:eastAsia="Calibri" w:hAnsi="Times New Roman" w:cs="Times New Roman"/>
          <w:sz w:val="24"/>
          <w:szCs w:val="24"/>
        </w:rPr>
        <w:t xml:space="preserve">semnată de </w:t>
      </w:r>
      <w:r w:rsidRPr="003B329E">
        <w:rPr>
          <w:rFonts w:ascii="Times New Roman" w:eastAsia="Calibri" w:hAnsi="Times New Roman" w:cs="Times New Roman"/>
          <w:sz w:val="24"/>
          <w:szCs w:val="24"/>
        </w:rPr>
        <w:t>Pri</w:t>
      </w:r>
      <w:r w:rsidR="00DD273B">
        <w:rPr>
          <w:rFonts w:ascii="Times New Roman" w:eastAsia="Calibri" w:hAnsi="Times New Roman" w:cs="Times New Roman"/>
          <w:sz w:val="24"/>
          <w:szCs w:val="24"/>
        </w:rPr>
        <w:t>m-ministrul</w:t>
      </w:r>
      <w:r w:rsidRPr="003B329E">
        <w:rPr>
          <w:rFonts w:ascii="Times New Roman" w:eastAsia="Calibri" w:hAnsi="Times New Roman" w:cs="Times New Roman"/>
          <w:sz w:val="24"/>
          <w:szCs w:val="24"/>
        </w:rPr>
        <w:t xml:space="preserve"> contravine art. 30 din Legea cu privire la Guvern nr. 64-XII din 31.05.1990, or</w:t>
      </w:r>
      <w:r>
        <w:rPr>
          <w:rFonts w:ascii="Times New Roman" w:eastAsia="Calibri" w:hAnsi="Times New Roman" w:cs="Times New Roman"/>
          <w:sz w:val="24"/>
          <w:szCs w:val="24"/>
        </w:rPr>
        <w:t>,</w:t>
      </w:r>
      <w:r w:rsidRPr="003B329E">
        <w:rPr>
          <w:rFonts w:ascii="Times New Roman" w:eastAsia="Calibri" w:hAnsi="Times New Roman" w:cs="Times New Roman"/>
          <w:sz w:val="24"/>
          <w:szCs w:val="24"/>
        </w:rPr>
        <w:t xml:space="preserve"> în condițiile acestei norme</w:t>
      </w:r>
      <w:r>
        <w:rPr>
          <w:rFonts w:ascii="Times New Roman" w:eastAsia="Calibri" w:hAnsi="Times New Roman" w:cs="Times New Roman"/>
          <w:sz w:val="24"/>
          <w:szCs w:val="24"/>
        </w:rPr>
        <w:t>,</w:t>
      </w:r>
      <w:r w:rsidRPr="003B329E">
        <w:rPr>
          <w:rFonts w:ascii="Times New Roman" w:eastAsia="Calibri" w:hAnsi="Times New Roman" w:cs="Times New Roman"/>
          <w:sz w:val="24"/>
          <w:szCs w:val="24"/>
        </w:rPr>
        <w:t xml:space="preserve"> „Dispozițiile se emit de către Prim-ministru pentru organizarea activității interne a Guvernului”;</w:t>
      </w:r>
    </w:p>
    <w:p w14:paraId="7C3CA6DA" w14:textId="102B95AE" w:rsidR="00B94290" w:rsidRPr="003B329E" w:rsidRDefault="00B94290" w:rsidP="00B94290">
      <w:pPr>
        <w:tabs>
          <w:tab w:val="left" w:pos="426"/>
          <w:tab w:val="left" w:pos="567"/>
        </w:tabs>
        <w:spacing w:line="276" w:lineRule="auto"/>
        <w:jc w:val="both"/>
        <w:rPr>
          <w:rFonts w:ascii="Times New Roman" w:eastAsia="Calibri" w:hAnsi="Times New Roman" w:cs="Times New Roman"/>
          <w:sz w:val="24"/>
          <w:szCs w:val="24"/>
        </w:rPr>
      </w:pPr>
      <w:r w:rsidRPr="003B329E">
        <w:rPr>
          <w:rFonts w:ascii="Times New Roman" w:eastAsia="Calibri" w:hAnsi="Times New Roman" w:cs="Times New Roman"/>
          <w:b/>
          <w:sz w:val="24"/>
          <w:szCs w:val="24"/>
        </w:rPr>
        <w:t>b)</w:t>
      </w:r>
      <w:r w:rsidRPr="003B329E">
        <w:rPr>
          <w:rFonts w:ascii="Times New Roman" w:eastAsia="Calibri" w:hAnsi="Times New Roman" w:cs="Times New Roman"/>
          <w:sz w:val="24"/>
          <w:szCs w:val="24"/>
        </w:rPr>
        <w:t xml:space="preserve"> </w:t>
      </w:r>
      <w:r w:rsidR="00F94284">
        <w:rPr>
          <w:rFonts w:ascii="Times New Roman" w:eastAsia="Calibri" w:hAnsi="Times New Roman" w:cs="Times New Roman"/>
          <w:sz w:val="24"/>
          <w:szCs w:val="24"/>
        </w:rPr>
        <w:t>p</w:t>
      </w:r>
      <w:r w:rsidR="00F94284" w:rsidRPr="003B329E">
        <w:rPr>
          <w:rFonts w:ascii="Times New Roman" w:eastAsia="Calibri" w:hAnsi="Times New Roman" w:cs="Times New Roman"/>
          <w:sz w:val="24"/>
          <w:szCs w:val="24"/>
        </w:rPr>
        <w:t>ct. 14 din Regulamentul cu privire la modul de transmitere a întreprinderilor de stat, organizațiilor, instituțiilor, a subdiviziunilor lor, clădirilor, construcțiilor</w:t>
      </w:r>
      <w:r w:rsidR="00F94284">
        <w:rPr>
          <w:rFonts w:ascii="Times New Roman" w:eastAsia="Calibri" w:hAnsi="Times New Roman" w:cs="Times New Roman"/>
          <w:sz w:val="24"/>
          <w:szCs w:val="24"/>
        </w:rPr>
        <w:t>,</w:t>
      </w:r>
      <w:r w:rsidR="00F94284" w:rsidRPr="003B329E">
        <w:rPr>
          <w:rFonts w:ascii="Times New Roman" w:eastAsia="Calibri" w:hAnsi="Times New Roman" w:cs="Times New Roman"/>
          <w:sz w:val="24"/>
          <w:szCs w:val="24"/>
        </w:rPr>
        <w:t xml:space="preserve"> mijloacelor fixe </w:t>
      </w:r>
      <w:r w:rsidR="00DD273B" w:rsidRPr="003B329E">
        <w:rPr>
          <w:rFonts w:ascii="Times New Roman" w:eastAsia="Calibri" w:hAnsi="Times New Roman" w:cs="Times New Roman"/>
          <w:sz w:val="24"/>
          <w:szCs w:val="24"/>
        </w:rPr>
        <w:t>și</w:t>
      </w:r>
      <w:r w:rsidR="00F94284" w:rsidRPr="003B329E">
        <w:rPr>
          <w:rFonts w:ascii="Times New Roman" w:eastAsia="Calibri" w:hAnsi="Times New Roman" w:cs="Times New Roman"/>
          <w:sz w:val="24"/>
          <w:szCs w:val="24"/>
        </w:rPr>
        <w:t xml:space="preserve"> altor active, aprobat prin HG nr. 688 din 09.10.1995 </w:t>
      </w:r>
      <w:r w:rsidR="00F94284" w:rsidRPr="00540B55">
        <w:rPr>
          <w:rFonts w:ascii="Times New Roman" w:eastAsia="Calibri" w:hAnsi="Times New Roman" w:cs="Times New Roman"/>
          <w:sz w:val="24"/>
          <w:szCs w:val="24"/>
        </w:rPr>
        <w:t>și</w:t>
      </w:r>
      <w:r w:rsidR="00F94284" w:rsidRPr="003B329E">
        <w:rPr>
          <w:rFonts w:ascii="Times New Roman" w:eastAsia="Calibri" w:hAnsi="Times New Roman" w:cs="Times New Roman"/>
          <w:i/>
          <w:sz w:val="24"/>
          <w:szCs w:val="24"/>
        </w:rPr>
        <w:t xml:space="preserve"> </w:t>
      </w:r>
      <w:r w:rsidR="00F94284" w:rsidRPr="003B329E">
        <w:rPr>
          <w:rFonts w:ascii="Times New Roman" w:eastAsia="Calibri" w:hAnsi="Times New Roman" w:cs="Times New Roman"/>
          <w:sz w:val="24"/>
          <w:szCs w:val="24"/>
        </w:rPr>
        <w:t>pct. 10 din Regulamentul cu privire la modul de transmitere a bunurilor proprietate publică, aprobat prin HG nr. 901 din 31.12.2015 statuează că transmiterea proprietății statului unei entități/autorități independente se efectue</w:t>
      </w:r>
      <w:r w:rsidR="00F94284">
        <w:rPr>
          <w:rFonts w:ascii="Times New Roman" w:eastAsia="Calibri" w:hAnsi="Times New Roman" w:cs="Times New Roman"/>
          <w:sz w:val="24"/>
          <w:szCs w:val="24"/>
        </w:rPr>
        <w:t>a</w:t>
      </w:r>
      <w:r w:rsidR="00F94284" w:rsidRPr="003B329E">
        <w:rPr>
          <w:rFonts w:ascii="Times New Roman" w:eastAsia="Calibri" w:hAnsi="Times New Roman" w:cs="Times New Roman"/>
          <w:sz w:val="24"/>
          <w:szCs w:val="24"/>
        </w:rPr>
        <w:t>z</w:t>
      </w:r>
      <w:r w:rsidR="00F94284">
        <w:rPr>
          <w:rFonts w:ascii="Times New Roman" w:eastAsia="Calibri" w:hAnsi="Times New Roman" w:cs="Times New Roman"/>
          <w:sz w:val="24"/>
          <w:szCs w:val="24"/>
        </w:rPr>
        <w:t>ă</w:t>
      </w:r>
      <w:r w:rsidR="00F94284" w:rsidRPr="003B329E">
        <w:rPr>
          <w:rFonts w:ascii="Times New Roman" w:eastAsia="Calibri" w:hAnsi="Times New Roman" w:cs="Times New Roman"/>
          <w:sz w:val="24"/>
          <w:szCs w:val="24"/>
        </w:rPr>
        <w:t xml:space="preserve"> în conformitate cu un act normativ emis de Guvern.</w:t>
      </w:r>
      <w:r w:rsidRPr="003B329E">
        <w:rPr>
          <w:rFonts w:ascii="Times New Roman" w:eastAsia="Calibri" w:hAnsi="Times New Roman" w:cs="Times New Roman"/>
          <w:sz w:val="24"/>
          <w:szCs w:val="24"/>
        </w:rPr>
        <w:t xml:space="preserve"> </w:t>
      </w:r>
    </w:p>
    <w:p w14:paraId="60CA4FA5" w14:textId="77777777" w:rsidR="00F94284" w:rsidRDefault="00F94284" w:rsidP="00231A57">
      <w:pPr>
        <w:tabs>
          <w:tab w:val="left" w:pos="426"/>
          <w:tab w:val="left" w:pos="567"/>
        </w:tabs>
        <w:spacing w:after="80" w:line="276" w:lineRule="auto"/>
        <w:jc w:val="both"/>
        <w:rPr>
          <w:rFonts w:ascii="Times New Roman" w:hAnsi="Times New Roman" w:cs="Times New Roman"/>
          <w:sz w:val="24"/>
          <w:szCs w:val="24"/>
        </w:rPr>
      </w:pPr>
      <w:r w:rsidRPr="003B329E">
        <w:rPr>
          <w:rFonts w:ascii="Times New Roman" w:eastAsia="Calibri" w:hAnsi="Times New Roman" w:cs="Times New Roman"/>
          <w:sz w:val="24"/>
          <w:szCs w:val="24"/>
        </w:rPr>
        <w:t xml:space="preserve">Astfel, deși BNM a solicitat autorităților responsabile înregistrarea bunului imobil </w:t>
      </w:r>
      <w:r w:rsidRPr="003B329E">
        <w:rPr>
          <w:rFonts w:ascii="Times New Roman" w:hAnsi="Times New Roman" w:cs="Times New Roman"/>
          <w:sz w:val="24"/>
          <w:szCs w:val="24"/>
        </w:rPr>
        <w:t xml:space="preserve">reieșind din faptul </w:t>
      </w:r>
      <w:r w:rsidRPr="003B329E">
        <w:rPr>
          <w:rFonts w:ascii="Times New Roman" w:hAnsi="Times New Roman" w:cs="Times New Roman"/>
          <w:i/>
          <w:sz w:val="24"/>
          <w:szCs w:val="24"/>
        </w:rPr>
        <w:t>că cadrul normativ în vigoare</w:t>
      </w:r>
      <w:r w:rsidRPr="003B329E">
        <w:rPr>
          <w:rStyle w:val="a5"/>
          <w:rFonts w:ascii="Times New Roman" w:hAnsi="Times New Roman" w:cs="Times New Roman"/>
          <w:i/>
          <w:sz w:val="24"/>
          <w:szCs w:val="24"/>
        </w:rPr>
        <w:footnoteReference w:id="149"/>
      </w:r>
      <w:r>
        <w:rPr>
          <w:rFonts w:ascii="Times New Roman" w:hAnsi="Times New Roman" w:cs="Times New Roman"/>
          <w:i/>
          <w:sz w:val="24"/>
          <w:szCs w:val="24"/>
        </w:rPr>
        <w:t>,</w:t>
      </w:r>
      <w:r w:rsidRPr="003B329E">
        <w:rPr>
          <w:rFonts w:ascii="Times New Roman" w:hAnsi="Times New Roman" w:cs="Times New Roman"/>
          <w:i/>
          <w:sz w:val="24"/>
          <w:szCs w:val="24"/>
        </w:rPr>
        <w:t xml:space="preserve"> la data depunerii cererii (anul 2016),</w:t>
      </w:r>
      <w:r w:rsidRPr="003B329E">
        <w:rPr>
          <w:rFonts w:ascii="Times New Roman" w:hAnsi="Times New Roman" w:cs="Times New Roman"/>
          <w:sz w:val="24"/>
          <w:szCs w:val="24"/>
        </w:rPr>
        <w:t xml:space="preserve"> reglementa că înregistrarea dreptului în RBI se efectuează doar asupra bunurilor imobile transmise în temeiul Hotărârilor de Guvern și nu în temeiul Dispozițiilor de Guvern</w:t>
      </w:r>
      <w:r w:rsidRPr="003B329E">
        <w:rPr>
          <w:rStyle w:val="a5"/>
          <w:rFonts w:ascii="Times New Roman" w:hAnsi="Times New Roman" w:cs="Times New Roman"/>
          <w:sz w:val="24"/>
          <w:szCs w:val="24"/>
        </w:rPr>
        <w:footnoteReference w:id="150"/>
      </w:r>
      <w:r w:rsidRPr="003B329E">
        <w:rPr>
          <w:rFonts w:ascii="Times New Roman" w:hAnsi="Times New Roman" w:cs="Times New Roman"/>
          <w:sz w:val="24"/>
          <w:szCs w:val="24"/>
        </w:rPr>
        <w:t xml:space="preserve">, acestea au refuzat legiferarea dreptului. În scopul </w:t>
      </w:r>
      <w:r>
        <w:rPr>
          <w:rFonts w:ascii="Times New Roman" w:hAnsi="Times New Roman" w:cs="Times New Roman"/>
          <w:sz w:val="24"/>
          <w:szCs w:val="24"/>
        </w:rPr>
        <w:t>elaborării</w:t>
      </w:r>
      <w:r w:rsidRPr="003B329E">
        <w:rPr>
          <w:rFonts w:ascii="Times New Roman" w:hAnsi="Times New Roman" w:cs="Times New Roman"/>
          <w:sz w:val="24"/>
          <w:szCs w:val="24"/>
        </w:rPr>
        <w:t xml:space="preserve"> actului de confirmare a dreptului de gestiune asupra clădirii s-a recomandat operarea modificărilor la HG nr. 351 din 23.03.2005</w:t>
      </w:r>
      <w:r w:rsidRPr="003B329E">
        <w:rPr>
          <w:rStyle w:val="a5"/>
          <w:rFonts w:ascii="Times New Roman" w:hAnsi="Times New Roman" w:cs="Times New Roman"/>
          <w:sz w:val="24"/>
          <w:szCs w:val="24"/>
        </w:rPr>
        <w:footnoteReference w:id="151"/>
      </w:r>
      <w:r w:rsidRPr="003B329E">
        <w:rPr>
          <w:rFonts w:ascii="Times New Roman" w:hAnsi="Times New Roman" w:cs="Times New Roman"/>
          <w:sz w:val="24"/>
          <w:szCs w:val="24"/>
        </w:rPr>
        <w:t>, și anume de a include bunul imobil în lista bunurilor imobile proprietate a statului aflate în administrarea BNM. Astfel, la etapa respectivă</w:t>
      </w:r>
      <w:r w:rsidRPr="003B329E">
        <w:rPr>
          <w:rStyle w:val="a5"/>
          <w:rFonts w:ascii="Times New Roman" w:hAnsi="Times New Roman" w:cs="Times New Roman"/>
          <w:sz w:val="24"/>
          <w:szCs w:val="24"/>
        </w:rPr>
        <w:footnoteReference w:id="152"/>
      </w:r>
      <w:r w:rsidRPr="003B329E">
        <w:rPr>
          <w:rFonts w:ascii="Times New Roman" w:hAnsi="Times New Roman" w:cs="Times New Roman"/>
          <w:sz w:val="24"/>
          <w:szCs w:val="24"/>
        </w:rPr>
        <w:t xml:space="preserve"> (decembrie 2016), BNM a înaintat demersul corespunzător privind completarea Anexei nr. 22</w:t>
      </w:r>
      <w:r w:rsidRPr="003B329E">
        <w:rPr>
          <w:rFonts w:ascii="Times New Roman" w:hAnsi="Times New Roman" w:cs="Times New Roman"/>
          <w:sz w:val="24"/>
          <w:szCs w:val="24"/>
          <w:vertAlign w:val="superscript"/>
        </w:rPr>
        <w:t xml:space="preserve">2 </w:t>
      </w:r>
      <w:r w:rsidRPr="003B329E">
        <w:rPr>
          <w:rFonts w:ascii="Times New Roman" w:hAnsi="Times New Roman" w:cs="Times New Roman"/>
          <w:sz w:val="24"/>
          <w:szCs w:val="24"/>
        </w:rPr>
        <w:t>„</w:t>
      </w:r>
      <w:r w:rsidRPr="003B329E">
        <w:rPr>
          <w:rFonts w:ascii="Times New Roman" w:hAnsi="Times New Roman" w:cs="Times New Roman"/>
          <w:i/>
          <w:sz w:val="24"/>
          <w:szCs w:val="24"/>
        </w:rPr>
        <w:t>Lista bunurilor imobile, proprietate a statului, aflate în administrarea Băncii Naționale a Moldovei conform situației la 1 ianuarie 2007</w:t>
      </w:r>
      <w:r w:rsidRPr="003B329E">
        <w:rPr>
          <w:rFonts w:ascii="Times New Roman" w:hAnsi="Times New Roman" w:cs="Times New Roman"/>
          <w:sz w:val="24"/>
          <w:szCs w:val="24"/>
        </w:rPr>
        <w:t xml:space="preserve">” </w:t>
      </w:r>
      <w:r>
        <w:rPr>
          <w:rFonts w:ascii="Times New Roman" w:hAnsi="Times New Roman" w:cs="Times New Roman"/>
          <w:sz w:val="24"/>
          <w:szCs w:val="24"/>
        </w:rPr>
        <w:t>la</w:t>
      </w:r>
      <w:r w:rsidRPr="003B329E">
        <w:rPr>
          <w:rFonts w:ascii="Times New Roman" w:hAnsi="Times New Roman" w:cs="Times New Roman"/>
          <w:sz w:val="24"/>
          <w:szCs w:val="24"/>
        </w:rPr>
        <w:t xml:space="preserve"> HG </w:t>
      </w:r>
      <w:r>
        <w:rPr>
          <w:rFonts w:ascii="Times New Roman" w:hAnsi="Times New Roman" w:cs="Times New Roman"/>
          <w:sz w:val="24"/>
          <w:szCs w:val="24"/>
        </w:rPr>
        <w:t>nr.</w:t>
      </w:r>
      <w:r w:rsidRPr="003B329E">
        <w:rPr>
          <w:rFonts w:ascii="Times New Roman" w:hAnsi="Times New Roman" w:cs="Times New Roman"/>
          <w:sz w:val="24"/>
          <w:szCs w:val="24"/>
        </w:rPr>
        <w:t xml:space="preserve">351/2005, însă la momentul aprobării de către Guvern a modificării actului normativ menționat propunerea BNM nu s-a regăsit. </w:t>
      </w:r>
    </w:p>
    <w:p w14:paraId="6D13BD74" w14:textId="3058FC0D" w:rsidR="00B94290" w:rsidRPr="003B329E" w:rsidRDefault="00B94290" w:rsidP="00231A57">
      <w:pPr>
        <w:tabs>
          <w:tab w:val="left" w:pos="426"/>
          <w:tab w:val="left" w:pos="567"/>
        </w:tabs>
        <w:spacing w:after="80" w:line="276" w:lineRule="auto"/>
        <w:jc w:val="both"/>
        <w:rPr>
          <w:rFonts w:ascii="Times New Roman" w:hAnsi="Times New Roman" w:cs="Times New Roman"/>
          <w:sz w:val="24"/>
          <w:szCs w:val="24"/>
        </w:rPr>
      </w:pPr>
      <w:r w:rsidRPr="003B329E">
        <w:rPr>
          <w:rFonts w:ascii="Times New Roman" w:hAnsi="Times New Roman" w:cs="Times New Roman"/>
          <w:sz w:val="24"/>
          <w:szCs w:val="24"/>
        </w:rPr>
        <w:t>Ulterior, în anul 2021, BNM a solicitat repetat de la APP „suportul privind efectuarea corectărilor de rigoare în soluționarea întrebării deschise cu dreptul de gestiune economică a Oficiului de Protocol nr. 9 din s</w:t>
      </w:r>
      <w:r>
        <w:rPr>
          <w:rFonts w:ascii="Times New Roman" w:hAnsi="Times New Roman" w:cs="Times New Roman"/>
          <w:sz w:val="24"/>
          <w:szCs w:val="24"/>
        </w:rPr>
        <w:t>a</w:t>
      </w:r>
      <w:r w:rsidRPr="003B329E">
        <w:rPr>
          <w:rFonts w:ascii="Times New Roman" w:hAnsi="Times New Roman" w:cs="Times New Roman"/>
          <w:sz w:val="24"/>
          <w:szCs w:val="24"/>
        </w:rPr>
        <w:t>t. Holercani r-</w:t>
      </w:r>
      <w:r>
        <w:rPr>
          <w:rFonts w:ascii="Times New Roman" w:hAnsi="Times New Roman" w:cs="Times New Roman"/>
          <w:sz w:val="24"/>
          <w:szCs w:val="24"/>
        </w:rPr>
        <w:t>nu</w:t>
      </w:r>
      <w:r w:rsidRPr="003B329E">
        <w:rPr>
          <w:rFonts w:ascii="Times New Roman" w:hAnsi="Times New Roman" w:cs="Times New Roman"/>
          <w:sz w:val="24"/>
          <w:szCs w:val="24"/>
        </w:rPr>
        <w:t>l Dubăsari”, acestuia fiindu-i recomanda</w:t>
      </w:r>
      <w:r>
        <w:rPr>
          <w:rFonts w:ascii="Times New Roman" w:hAnsi="Times New Roman" w:cs="Times New Roman"/>
          <w:sz w:val="24"/>
          <w:szCs w:val="24"/>
        </w:rPr>
        <w:t>tă</w:t>
      </w:r>
      <w:r w:rsidRPr="003B329E">
        <w:rPr>
          <w:rFonts w:ascii="Times New Roman" w:hAnsi="Times New Roman" w:cs="Times New Roman"/>
          <w:sz w:val="24"/>
          <w:szCs w:val="24"/>
        </w:rPr>
        <w:t xml:space="preserve"> inițierea unui nou proces privind modificarea HG </w:t>
      </w:r>
      <w:r>
        <w:rPr>
          <w:rFonts w:ascii="Times New Roman" w:hAnsi="Times New Roman" w:cs="Times New Roman"/>
          <w:sz w:val="24"/>
          <w:szCs w:val="24"/>
        </w:rPr>
        <w:t>nr.</w:t>
      </w:r>
      <w:r w:rsidRPr="003B329E">
        <w:rPr>
          <w:rFonts w:ascii="Times New Roman" w:hAnsi="Times New Roman" w:cs="Times New Roman"/>
          <w:sz w:val="24"/>
          <w:szCs w:val="24"/>
        </w:rPr>
        <w:t xml:space="preserve">351/2005. </w:t>
      </w:r>
    </w:p>
    <w:p w14:paraId="2957FD2F" w14:textId="77777777" w:rsidR="00B94290" w:rsidRDefault="00B94290" w:rsidP="00231A57">
      <w:pPr>
        <w:tabs>
          <w:tab w:val="left" w:pos="426"/>
          <w:tab w:val="left" w:pos="567"/>
          <w:tab w:val="left" w:pos="2694"/>
        </w:tabs>
        <w:spacing w:after="80" w:line="276" w:lineRule="auto"/>
        <w:jc w:val="both"/>
        <w:rPr>
          <w:rFonts w:ascii="Times New Roman" w:hAnsi="Times New Roman" w:cs="Times New Roman"/>
          <w:sz w:val="24"/>
          <w:szCs w:val="24"/>
        </w:rPr>
      </w:pPr>
      <w:r w:rsidRPr="003B329E">
        <w:rPr>
          <w:rFonts w:ascii="Times New Roman" w:eastAsia="Calibri" w:hAnsi="Times New Roman" w:cs="Times New Roman"/>
          <w:sz w:val="24"/>
          <w:szCs w:val="24"/>
        </w:rPr>
        <w:t xml:space="preserve">Cele expuse mai sus atestă existența unor probleme privind înregistrarea conformă a </w:t>
      </w:r>
      <w:r w:rsidRPr="003B329E">
        <w:rPr>
          <w:rFonts w:ascii="Times New Roman" w:hAnsi="Times New Roman" w:cs="Times New Roman"/>
          <w:sz w:val="24"/>
          <w:szCs w:val="24"/>
        </w:rPr>
        <w:t>dreptul</w:t>
      </w:r>
      <w:r>
        <w:rPr>
          <w:rFonts w:ascii="Times New Roman" w:hAnsi="Times New Roman" w:cs="Times New Roman"/>
          <w:sz w:val="24"/>
          <w:szCs w:val="24"/>
        </w:rPr>
        <w:t>ui</w:t>
      </w:r>
      <w:r w:rsidRPr="003B329E">
        <w:rPr>
          <w:rFonts w:ascii="Times New Roman" w:hAnsi="Times New Roman" w:cs="Times New Roman"/>
          <w:sz w:val="24"/>
          <w:szCs w:val="24"/>
        </w:rPr>
        <w:t xml:space="preserve"> titularului privind gestiunea economică asupra Vilei nr. 9, cu suprafața de 246,8 m.p.</w:t>
      </w:r>
      <w:r>
        <w:rPr>
          <w:rFonts w:ascii="Times New Roman" w:hAnsi="Times New Roman" w:cs="Times New Roman"/>
          <w:sz w:val="24"/>
          <w:szCs w:val="24"/>
        </w:rPr>
        <w:t>,</w:t>
      </w:r>
      <w:r w:rsidRPr="003B329E">
        <w:rPr>
          <w:rFonts w:ascii="Times New Roman" w:hAnsi="Times New Roman" w:cs="Times New Roman"/>
          <w:sz w:val="24"/>
          <w:szCs w:val="24"/>
        </w:rPr>
        <w:t xml:space="preserve"> generate de aspectele neconforme ale actului normativ privind transmiterea acestui bun. În pofida acestui fapt, CS nu a intervenit pentru a remedia aceste deficiențe, ceea ce a condus la faptul că până la etapa actuală în baza de date a organului cadastral clădirea nu se regăsește înregistrată în posesia </w:t>
      </w:r>
      <w:r>
        <w:rPr>
          <w:rFonts w:ascii="Times New Roman" w:hAnsi="Times New Roman" w:cs="Times New Roman"/>
          <w:sz w:val="24"/>
          <w:szCs w:val="24"/>
        </w:rPr>
        <w:t>vre</w:t>
      </w:r>
      <w:r w:rsidRPr="003B329E">
        <w:rPr>
          <w:rFonts w:ascii="Times New Roman" w:hAnsi="Times New Roman" w:cs="Times New Roman"/>
          <w:sz w:val="24"/>
          <w:szCs w:val="24"/>
        </w:rPr>
        <w:t xml:space="preserve">unei instituții. </w:t>
      </w:r>
    </w:p>
    <w:p w14:paraId="2F98B93C" w14:textId="5D84A061" w:rsidR="00B94290" w:rsidRDefault="00B94290" w:rsidP="00B94290">
      <w:pPr>
        <w:tabs>
          <w:tab w:val="left" w:pos="426"/>
          <w:tab w:val="left" w:pos="567"/>
          <w:tab w:val="left" w:pos="2694"/>
        </w:tabs>
        <w:spacing w:line="276" w:lineRule="auto"/>
        <w:jc w:val="both"/>
        <w:rPr>
          <w:rFonts w:ascii="Times New Roman" w:hAnsi="Times New Roman" w:cs="Times New Roman"/>
          <w:sz w:val="24"/>
          <w:szCs w:val="24"/>
        </w:rPr>
      </w:pPr>
      <w:r>
        <w:rPr>
          <w:rFonts w:ascii="Times New Roman" w:hAnsi="Times New Roman" w:cs="Times New Roman"/>
          <w:sz w:val="24"/>
          <w:szCs w:val="24"/>
        </w:rPr>
        <w:t>Un c</w:t>
      </w:r>
      <w:r w:rsidRPr="00C16203">
        <w:rPr>
          <w:rFonts w:ascii="Times New Roman" w:hAnsi="Times New Roman" w:cs="Times New Roman"/>
          <w:sz w:val="24"/>
          <w:szCs w:val="24"/>
        </w:rPr>
        <w:t xml:space="preserve">az </w:t>
      </w:r>
      <w:r>
        <w:rPr>
          <w:rFonts w:ascii="Times New Roman" w:hAnsi="Times New Roman" w:cs="Times New Roman"/>
          <w:sz w:val="24"/>
          <w:szCs w:val="24"/>
        </w:rPr>
        <w:t xml:space="preserve">similar </w:t>
      </w:r>
      <w:r w:rsidRPr="00C16203">
        <w:rPr>
          <w:rFonts w:ascii="Times New Roman" w:hAnsi="Times New Roman" w:cs="Times New Roman"/>
          <w:sz w:val="24"/>
          <w:szCs w:val="24"/>
        </w:rPr>
        <w:t>se atestă</w:t>
      </w:r>
      <w:r>
        <w:rPr>
          <w:rFonts w:ascii="Times New Roman" w:hAnsi="Times New Roman" w:cs="Times New Roman"/>
          <w:sz w:val="24"/>
          <w:szCs w:val="24"/>
        </w:rPr>
        <w:t xml:space="preserve"> și la transmiterea în baza unei Dispoziții a Guvernului</w:t>
      </w:r>
      <w:r>
        <w:rPr>
          <w:rStyle w:val="a5"/>
          <w:rFonts w:ascii="Times New Roman" w:hAnsi="Times New Roman" w:cs="Times New Roman"/>
          <w:sz w:val="24"/>
          <w:szCs w:val="24"/>
        </w:rPr>
        <w:footnoteReference w:id="153"/>
      </w:r>
      <w:r>
        <w:rPr>
          <w:rFonts w:ascii="Times New Roman" w:hAnsi="Times New Roman" w:cs="Times New Roman"/>
          <w:sz w:val="24"/>
          <w:szCs w:val="24"/>
        </w:rPr>
        <w:t xml:space="preserve">, </w:t>
      </w:r>
      <w:r w:rsidRPr="00DA26B2">
        <w:rPr>
          <w:rFonts w:ascii="Times New Roman" w:hAnsi="Times New Roman" w:cs="Times New Roman"/>
          <w:sz w:val="24"/>
          <w:szCs w:val="24"/>
        </w:rPr>
        <w:t>din gestiunea DGACG</w:t>
      </w:r>
      <w:r w:rsidR="00BA69A9">
        <w:rPr>
          <w:rFonts w:ascii="Times New Roman" w:hAnsi="Times New Roman" w:cs="Times New Roman"/>
          <w:sz w:val="24"/>
          <w:szCs w:val="24"/>
        </w:rPr>
        <w:t xml:space="preserve"> </w:t>
      </w:r>
      <w:r w:rsidRPr="00DA26B2">
        <w:rPr>
          <w:rFonts w:ascii="Times New Roman" w:hAnsi="Times New Roman" w:cs="Times New Roman"/>
          <w:sz w:val="24"/>
          <w:szCs w:val="24"/>
        </w:rPr>
        <w:t>în gestiunea Î.S</w:t>
      </w:r>
      <w:r w:rsidR="0019113A">
        <w:rPr>
          <w:rFonts w:ascii="Times New Roman" w:hAnsi="Times New Roman" w:cs="Times New Roman"/>
          <w:sz w:val="24"/>
          <w:szCs w:val="24"/>
        </w:rPr>
        <w:t>.</w:t>
      </w:r>
      <w:r w:rsidRPr="00DA26B2">
        <w:rPr>
          <w:rFonts w:ascii="Times New Roman" w:hAnsi="Times New Roman" w:cs="Times New Roman"/>
          <w:sz w:val="24"/>
          <w:szCs w:val="24"/>
        </w:rPr>
        <w:t xml:space="preserve"> „Moldelectrtica”</w:t>
      </w:r>
      <w:r>
        <w:rPr>
          <w:rFonts w:ascii="Times New Roman" w:hAnsi="Times New Roman" w:cs="Times New Roman"/>
          <w:sz w:val="24"/>
          <w:szCs w:val="24"/>
        </w:rPr>
        <w:t>,</w:t>
      </w:r>
      <w:r w:rsidRPr="00DA26B2">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DA26B2">
        <w:rPr>
          <w:rFonts w:ascii="Times New Roman" w:hAnsi="Times New Roman" w:cs="Times New Roman"/>
          <w:sz w:val="24"/>
          <w:szCs w:val="24"/>
        </w:rPr>
        <w:t>spațiul</w:t>
      </w:r>
      <w:r>
        <w:rPr>
          <w:rFonts w:ascii="Times New Roman" w:hAnsi="Times New Roman" w:cs="Times New Roman"/>
          <w:sz w:val="24"/>
          <w:szCs w:val="24"/>
          <w:lang w:val="en-US"/>
        </w:rPr>
        <w:t>ui</w:t>
      </w:r>
      <w:r w:rsidRPr="00DA26B2">
        <w:rPr>
          <w:rFonts w:ascii="Times New Roman" w:hAnsi="Times New Roman" w:cs="Times New Roman"/>
          <w:sz w:val="24"/>
          <w:szCs w:val="24"/>
        </w:rPr>
        <w:t xml:space="preserve"> cu suprafața</w:t>
      </w:r>
      <w:r>
        <w:rPr>
          <w:rStyle w:val="a5"/>
          <w:rFonts w:ascii="Times New Roman" w:hAnsi="Times New Roman" w:cs="Times New Roman"/>
          <w:sz w:val="24"/>
          <w:szCs w:val="24"/>
        </w:rPr>
        <w:footnoteReference w:id="154"/>
      </w:r>
      <w:r w:rsidRPr="00DA26B2">
        <w:rPr>
          <w:rFonts w:ascii="Times New Roman" w:hAnsi="Times New Roman" w:cs="Times New Roman"/>
          <w:sz w:val="24"/>
          <w:szCs w:val="24"/>
        </w:rPr>
        <w:t xml:space="preserve"> de 2</w:t>
      </w:r>
      <w:r>
        <w:rPr>
          <w:rFonts w:ascii="Times New Roman" w:hAnsi="Times New Roman" w:cs="Times New Roman"/>
          <w:sz w:val="24"/>
          <w:szCs w:val="24"/>
        </w:rPr>
        <w:t>.</w:t>
      </w:r>
      <w:r w:rsidRPr="00DA26B2">
        <w:rPr>
          <w:rFonts w:ascii="Times New Roman" w:hAnsi="Times New Roman" w:cs="Times New Roman"/>
          <w:sz w:val="24"/>
          <w:szCs w:val="24"/>
        </w:rPr>
        <w:t>728,4 m.p</w:t>
      </w:r>
      <w:r>
        <w:rPr>
          <w:rFonts w:ascii="Times New Roman" w:hAnsi="Times New Roman" w:cs="Times New Roman"/>
          <w:sz w:val="24"/>
          <w:szCs w:val="24"/>
        </w:rPr>
        <w:t xml:space="preserve">. </w:t>
      </w:r>
      <w:r w:rsidRPr="00DA26B2">
        <w:rPr>
          <w:rFonts w:ascii="Times New Roman" w:hAnsi="Times New Roman" w:cs="Times New Roman"/>
          <w:sz w:val="24"/>
          <w:szCs w:val="24"/>
        </w:rPr>
        <w:t xml:space="preserve">din clădirea </w:t>
      </w:r>
      <w:r>
        <w:rPr>
          <w:rFonts w:ascii="Times New Roman" w:hAnsi="Times New Roman" w:cs="Times New Roman"/>
          <w:sz w:val="24"/>
          <w:szCs w:val="24"/>
        </w:rPr>
        <w:t>de pe str. Vasile Lupu nr.</w:t>
      </w:r>
      <w:r w:rsidRPr="00DA26B2">
        <w:rPr>
          <w:rFonts w:ascii="Times New Roman" w:hAnsi="Times New Roman" w:cs="Times New Roman"/>
          <w:sz w:val="24"/>
          <w:szCs w:val="24"/>
        </w:rPr>
        <w:t>18</w:t>
      </w:r>
      <w:r>
        <w:rPr>
          <w:rFonts w:ascii="Times New Roman" w:hAnsi="Times New Roman" w:cs="Times New Roman"/>
          <w:sz w:val="24"/>
          <w:szCs w:val="24"/>
        </w:rPr>
        <w:t>,</w:t>
      </w:r>
      <w:r w:rsidRPr="00DA26B2">
        <w:rPr>
          <w:rFonts w:ascii="Times New Roman" w:hAnsi="Times New Roman" w:cs="Times New Roman"/>
          <w:sz w:val="24"/>
          <w:szCs w:val="24"/>
        </w:rPr>
        <w:t xml:space="preserve"> pentru organizarea și desfășurarea activității aceste</w:t>
      </w:r>
      <w:r>
        <w:rPr>
          <w:rFonts w:ascii="Times New Roman" w:hAnsi="Times New Roman" w:cs="Times New Roman"/>
          <w:sz w:val="24"/>
          <w:szCs w:val="24"/>
        </w:rPr>
        <w:t>i</w:t>
      </w:r>
      <w:r w:rsidRPr="00DA26B2">
        <w:rPr>
          <w:rFonts w:ascii="Times New Roman" w:hAnsi="Times New Roman" w:cs="Times New Roman"/>
          <w:sz w:val="24"/>
          <w:szCs w:val="24"/>
        </w:rPr>
        <w:t>a.</w:t>
      </w:r>
      <w:r>
        <w:rPr>
          <w:rFonts w:ascii="Times New Roman" w:hAnsi="Times New Roman" w:cs="Times New Roman"/>
          <w:sz w:val="24"/>
          <w:szCs w:val="24"/>
        </w:rPr>
        <w:t xml:space="preserve"> Având în vedere transmiterea neregulamentară a acestei suprafețe, și anume în lipsa unui act normativ aprobat de executiv, la organul cadastral nu a fost înregistrat dreptul de gestiune asupra acestui imobil după întreprinderea de stat, precum și nu s-au încasat venituri pasibile în valoare anuală de cca 585,6 mii lei. Mai mult decât atât, verificările de audit atestă că suprafața respectivă se regăsește în evidența contabilă atât la </w:t>
      </w:r>
      <w:r w:rsidRPr="00DA26B2">
        <w:rPr>
          <w:rFonts w:ascii="Times New Roman" w:hAnsi="Times New Roman" w:cs="Times New Roman"/>
          <w:sz w:val="24"/>
          <w:szCs w:val="24"/>
        </w:rPr>
        <w:t>Î.S</w:t>
      </w:r>
      <w:r w:rsidR="00CE6366">
        <w:rPr>
          <w:rFonts w:ascii="Times New Roman" w:hAnsi="Times New Roman" w:cs="Times New Roman"/>
          <w:sz w:val="24"/>
          <w:szCs w:val="24"/>
        </w:rPr>
        <w:t>.</w:t>
      </w:r>
      <w:r w:rsidRPr="00DA26B2">
        <w:rPr>
          <w:rFonts w:ascii="Times New Roman" w:hAnsi="Times New Roman" w:cs="Times New Roman"/>
          <w:sz w:val="24"/>
          <w:szCs w:val="24"/>
        </w:rPr>
        <w:t xml:space="preserve"> „Moldelectrtica”</w:t>
      </w:r>
      <w:r>
        <w:rPr>
          <w:rFonts w:ascii="Times New Roman" w:hAnsi="Times New Roman" w:cs="Times New Roman"/>
          <w:sz w:val="24"/>
          <w:szCs w:val="24"/>
        </w:rPr>
        <w:t>, cât și la DGACG, ambele entități calculând uzura anuală.</w:t>
      </w:r>
    </w:p>
    <w:p w14:paraId="4827CAD7" w14:textId="42E33D96" w:rsidR="001A04A1" w:rsidRPr="00F94284" w:rsidRDefault="00F94284" w:rsidP="00F94284">
      <w:pPr>
        <w:pStyle w:val="a7"/>
        <w:numPr>
          <w:ilvl w:val="0"/>
          <w:numId w:val="32"/>
        </w:numPr>
        <w:tabs>
          <w:tab w:val="left" w:pos="284"/>
          <w:tab w:val="left" w:pos="426"/>
        </w:tabs>
        <w:ind w:left="142" w:hanging="142"/>
        <w:jc w:val="both"/>
        <w:rPr>
          <w:rFonts w:ascii="Times New Roman" w:hAnsi="Times New Roman" w:cs="Times New Roman"/>
          <w:b/>
          <w:color w:val="0070C0"/>
          <w:sz w:val="24"/>
          <w:szCs w:val="24"/>
          <w:lang w:val="ro-RO"/>
        </w:rPr>
      </w:pPr>
      <w:r w:rsidRPr="00F76DDE">
        <w:rPr>
          <w:rFonts w:ascii="Times New Roman" w:hAnsi="Times New Roman" w:cs="Times New Roman"/>
          <w:b/>
          <w:color w:val="0070C0"/>
          <w:sz w:val="24"/>
          <w:szCs w:val="24"/>
          <w:lang w:val="ro-RO"/>
        </w:rPr>
        <w:t>În perioada auditată nu a</w:t>
      </w:r>
      <w:r>
        <w:rPr>
          <w:rFonts w:ascii="Times New Roman" w:hAnsi="Times New Roman" w:cs="Times New Roman"/>
          <w:b/>
          <w:color w:val="0070C0"/>
          <w:sz w:val="24"/>
          <w:szCs w:val="24"/>
          <w:lang w:val="ro-RO"/>
        </w:rPr>
        <w:t xml:space="preserve"> fost</w:t>
      </w:r>
      <w:r w:rsidRPr="00F76DDE">
        <w:rPr>
          <w:rFonts w:ascii="Times New Roman" w:hAnsi="Times New Roman" w:cs="Times New Roman"/>
          <w:b/>
          <w:color w:val="0070C0"/>
          <w:sz w:val="24"/>
          <w:szCs w:val="24"/>
          <w:lang w:val="ro-RO"/>
        </w:rPr>
        <w:t xml:space="preserve"> soluționat</w:t>
      </w:r>
      <w:r>
        <w:rPr>
          <w:rFonts w:ascii="Times New Roman" w:hAnsi="Times New Roman" w:cs="Times New Roman"/>
          <w:b/>
          <w:color w:val="0070C0"/>
          <w:sz w:val="24"/>
          <w:szCs w:val="24"/>
          <w:lang w:val="ro-RO"/>
        </w:rPr>
        <w:t>ă</w:t>
      </w:r>
      <w:r w:rsidRPr="00F76DDE">
        <w:rPr>
          <w:rFonts w:ascii="Times New Roman" w:hAnsi="Times New Roman" w:cs="Times New Roman"/>
          <w:b/>
          <w:color w:val="0070C0"/>
          <w:sz w:val="24"/>
          <w:szCs w:val="24"/>
          <w:lang w:val="ro-RO"/>
        </w:rPr>
        <w:t xml:space="preserve"> problema blocului locativ din str. Florica Niț</w:t>
      </w:r>
      <w:r>
        <w:rPr>
          <w:rFonts w:ascii="Times New Roman" w:hAnsi="Times New Roman" w:cs="Times New Roman"/>
          <w:b/>
          <w:color w:val="0070C0"/>
          <w:sz w:val="24"/>
          <w:szCs w:val="24"/>
          <w:lang w:val="ro-RO"/>
        </w:rPr>
        <w:t>ă</w:t>
      </w:r>
      <w:r w:rsidRPr="00F76DDE">
        <w:rPr>
          <w:rFonts w:ascii="Times New Roman" w:hAnsi="Times New Roman" w:cs="Times New Roman"/>
          <w:b/>
          <w:color w:val="0070C0"/>
          <w:sz w:val="24"/>
          <w:szCs w:val="24"/>
          <w:lang w:val="ro-RO"/>
        </w:rPr>
        <w:t>, DGACG suport</w:t>
      </w:r>
      <w:r>
        <w:rPr>
          <w:rFonts w:ascii="Times New Roman" w:hAnsi="Times New Roman" w:cs="Times New Roman"/>
          <w:b/>
          <w:color w:val="0070C0"/>
          <w:sz w:val="24"/>
          <w:szCs w:val="24"/>
          <w:lang w:val="ro-RO"/>
        </w:rPr>
        <w:t>â</w:t>
      </w:r>
      <w:r w:rsidRPr="00F76DDE">
        <w:rPr>
          <w:rFonts w:ascii="Times New Roman" w:hAnsi="Times New Roman" w:cs="Times New Roman"/>
          <w:b/>
          <w:color w:val="0070C0"/>
          <w:sz w:val="24"/>
          <w:szCs w:val="24"/>
          <w:lang w:val="ro-RO"/>
        </w:rPr>
        <w:t>nd neîntemeiat din contul mijloacelor bugetare cheltuielile pentru serviciile comunale ale locatarilor acestor apartamente</w:t>
      </w:r>
      <w:r>
        <w:rPr>
          <w:rFonts w:ascii="Times New Roman" w:hAnsi="Times New Roman" w:cs="Times New Roman"/>
          <w:b/>
          <w:color w:val="0070C0"/>
          <w:sz w:val="24"/>
          <w:szCs w:val="24"/>
          <w:lang w:val="ro-RO"/>
        </w:rPr>
        <w:t>.</w:t>
      </w:r>
      <w:r w:rsidRPr="00F76DDE">
        <w:rPr>
          <w:rFonts w:ascii="Times New Roman" w:hAnsi="Times New Roman" w:cs="Times New Roman"/>
          <w:b/>
          <w:color w:val="0070C0"/>
          <w:sz w:val="24"/>
          <w:szCs w:val="24"/>
          <w:lang w:val="ro-RO"/>
        </w:rPr>
        <w:t xml:space="preserve"> </w:t>
      </w:r>
      <w:r w:rsidRPr="00B94290">
        <w:rPr>
          <w:rFonts w:ascii="Times New Roman" w:hAnsi="Times New Roman" w:cs="Times New Roman"/>
          <w:b/>
          <w:color w:val="0070C0"/>
          <w:sz w:val="24"/>
          <w:szCs w:val="24"/>
          <w:lang w:val="ro-RO"/>
        </w:rPr>
        <w:t xml:space="preserve"> </w:t>
      </w:r>
      <w:r w:rsidR="00BA69A9" w:rsidRPr="00F94284">
        <w:rPr>
          <w:rFonts w:ascii="Times New Roman" w:hAnsi="Times New Roman" w:cs="Times New Roman"/>
          <w:b/>
          <w:color w:val="0070C0"/>
          <w:sz w:val="24"/>
          <w:szCs w:val="24"/>
          <w:lang w:val="ro-RO"/>
        </w:rPr>
        <w:t xml:space="preserve"> </w:t>
      </w:r>
    </w:p>
    <w:p w14:paraId="08390D0B" w14:textId="5714E551" w:rsidR="00F94284" w:rsidRPr="000D4888" w:rsidRDefault="006E076A" w:rsidP="00231A57">
      <w:pPr>
        <w:pStyle w:val="af0"/>
        <w:spacing w:after="80" w:line="276" w:lineRule="auto"/>
        <w:jc w:val="both"/>
      </w:pPr>
      <w:r>
        <w:t>Conform cadrului normativ</w:t>
      </w:r>
      <w:r w:rsidR="00F94284" w:rsidRPr="003B329E">
        <w:rPr>
          <w:rStyle w:val="a5"/>
        </w:rPr>
        <w:footnoteReference w:id="155"/>
      </w:r>
      <w:r w:rsidR="00F94284">
        <w:t>,</w:t>
      </w:r>
      <w:r w:rsidR="00F94284" w:rsidRPr="003B329E">
        <w:t xml:space="preserve"> în </w:t>
      </w:r>
      <w:r w:rsidR="00F94284" w:rsidRPr="00B94290">
        <w:t xml:space="preserve">momentul identificării apariției proprietății private asupra locuințelor (încăperilor izolate), entitățile, în evidența cărora se află aceste </w:t>
      </w:r>
      <w:r w:rsidR="00DD273B" w:rsidRPr="00B94290">
        <w:t>construcții</w:t>
      </w:r>
      <w:r w:rsidR="00F94284" w:rsidRPr="003B329E">
        <w:t xml:space="preserve"> (blocuri locative)</w:t>
      </w:r>
      <w:r w:rsidR="00F94284">
        <w:t>,</w:t>
      </w:r>
      <w:r w:rsidR="00F94284" w:rsidRPr="003B329E">
        <w:t xml:space="preserve"> vor diviza costul </w:t>
      </w:r>
      <w:r w:rsidR="00DD273B" w:rsidRPr="003B329E">
        <w:t>construcției</w:t>
      </w:r>
      <w:r w:rsidR="00F94284" w:rsidRPr="003B329E">
        <w:t xml:space="preserve"> respective pe apartamente </w:t>
      </w:r>
      <w:r w:rsidR="00DD273B" w:rsidRPr="003B329E">
        <w:t>și</w:t>
      </w:r>
      <w:r w:rsidR="00F94284" w:rsidRPr="003B329E">
        <w:t xml:space="preserve"> alte încăperi conform datelor de inventariere a blocului locativ </w:t>
      </w:r>
      <w:r w:rsidR="00DD273B" w:rsidRPr="003B329E">
        <w:t>și</w:t>
      </w:r>
      <w:r w:rsidR="00F94284" w:rsidRPr="003B329E">
        <w:t xml:space="preserve"> vor înregistra în </w:t>
      </w:r>
      <w:r w:rsidR="00DD273B" w:rsidRPr="003B329E">
        <w:t>evidența</w:t>
      </w:r>
      <w:r w:rsidR="00F94284" w:rsidRPr="003B329E">
        <w:t xml:space="preserve"> contabilă valoarea încăperilor izolate proprietate publică, iar valoarea </w:t>
      </w:r>
      <w:r w:rsidR="00DD273B" w:rsidRPr="003B329E">
        <w:t>locuințelor</w:t>
      </w:r>
      <w:r w:rsidR="00F94284" w:rsidRPr="003B329E">
        <w:t xml:space="preserve"> privatizate se v</w:t>
      </w:r>
      <w:r w:rsidR="00F94284">
        <w:t>a</w:t>
      </w:r>
      <w:r w:rsidR="00F94284" w:rsidRPr="003B329E">
        <w:t xml:space="preserve"> exclude, în conformitate cu dosarul de inventar şi cu datele prezentate de organele abilitate. Nerespect</w:t>
      </w:r>
      <w:r w:rsidR="00F94284">
        <w:t>â</w:t>
      </w:r>
      <w:r w:rsidR="00F94284" w:rsidRPr="003B329E">
        <w:t>nd normele menționate</w:t>
      </w:r>
      <w:r w:rsidR="00F94284">
        <w:t>,</w:t>
      </w:r>
      <w:r w:rsidR="00F94284" w:rsidRPr="003B329E">
        <w:t xml:space="preserve"> în evidența contabilă a DGACG este înregistrat integral blocul locativ din str. Florica Niț</w:t>
      </w:r>
      <w:r w:rsidR="00F94284">
        <w:t>ă</w:t>
      </w:r>
      <w:r w:rsidR="00F94284" w:rsidRPr="003B329E">
        <w:t xml:space="preserve"> cu suprafața de 1</w:t>
      </w:r>
      <w:r w:rsidR="00F94284">
        <w:t>.</w:t>
      </w:r>
      <w:r w:rsidR="00F94284" w:rsidRPr="003B329E">
        <w:t xml:space="preserve">121,9 </w:t>
      </w:r>
      <w:r w:rsidR="00F94284" w:rsidRPr="000D4888">
        <w:t>m.p., deși încăperile din blocul respectiv au fost înstrăinate, iar DGACG deține doar 3 apartamente.</w:t>
      </w:r>
    </w:p>
    <w:p w14:paraId="0FB6073C" w14:textId="46A6AC18" w:rsidR="00F94284" w:rsidRPr="000D4888" w:rsidRDefault="00F94284" w:rsidP="000D4888">
      <w:pPr>
        <w:pStyle w:val="af0"/>
        <w:spacing w:after="80" w:line="276" w:lineRule="auto"/>
        <w:jc w:val="both"/>
      </w:pPr>
      <w:r w:rsidRPr="000D4888">
        <w:rPr>
          <w:iCs/>
        </w:rPr>
        <w:t>Nu a fost executată nici Hotărârea Guvernului</w:t>
      </w:r>
      <w:r w:rsidRPr="000D4888">
        <w:t xml:space="preserve"> nr. 443 din 24.04.2007 care prevede </w:t>
      </w:r>
      <w:r w:rsidRPr="000D4888">
        <w:rPr>
          <w:iCs/>
        </w:rPr>
        <w:t>obligativitatea de a transmite blocul locativ cu 63 de apartamente de pe str. Florica Niţă nr.7/1</w:t>
      </w:r>
      <w:r w:rsidRPr="000D4888">
        <w:rPr>
          <w:shd w:val="clear" w:color="auto" w:fill="FFFFFF"/>
        </w:rPr>
        <w:t xml:space="preserve">, cu titlu gratuit, din proprietatea publică a statului (din gestiunea economică a DGACG) în proprietatea Asociației de coproprietari în condominiu nr. 55/81 (cu excepția apartamentelor nr. 29, nr. 38 </w:t>
      </w:r>
      <w:r w:rsidR="000D4888" w:rsidRPr="000D4888">
        <w:rPr>
          <w:shd w:val="clear" w:color="auto" w:fill="FFFFFF"/>
        </w:rPr>
        <w:t>și</w:t>
      </w:r>
      <w:r w:rsidRPr="000D4888">
        <w:rPr>
          <w:shd w:val="clear" w:color="auto" w:fill="FFFFFF"/>
        </w:rPr>
        <w:t xml:space="preserve"> nr. 50) </w:t>
      </w:r>
      <w:r w:rsidR="000D4888" w:rsidRPr="000D4888">
        <w:rPr>
          <w:shd w:val="clear" w:color="auto" w:fill="FFFFFF"/>
        </w:rPr>
        <w:t>și</w:t>
      </w:r>
      <w:r w:rsidRPr="000D4888">
        <w:rPr>
          <w:shd w:val="clear" w:color="auto" w:fill="FFFFFF"/>
        </w:rPr>
        <w:t xml:space="preserve"> construcțiile aferente amplasate pe str. Florica Niţă nr.7/1, mun. </w:t>
      </w:r>
      <w:r w:rsidR="00DD273B" w:rsidRPr="000D4888">
        <w:rPr>
          <w:shd w:val="clear" w:color="auto" w:fill="FFFFFF"/>
        </w:rPr>
        <w:t>Chișinău</w:t>
      </w:r>
      <w:r w:rsidRPr="000D4888">
        <w:rPr>
          <w:shd w:val="clear" w:color="auto" w:fill="FFFFFF"/>
        </w:rPr>
        <w:t>, conform documentelor cadastrale.</w:t>
      </w:r>
      <w:r w:rsidRPr="000D4888">
        <w:t xml:space="preserve">  </w:t>
      </w:r>
    </w:p>
    <w:p w14:paraId="55405107" w14:textId="77777777" w:rsidR="00F94284" w:rsidRPr="000D4888" w:rsidRDefault="00F94284" w:rsidP="00BE6A29">
      <w:pPr>
        <w:spacing w:after="0" w:line="276" w:lineRule="auto"/>
        <w:jc w:val="both"/>
        <w:rPr>
          <w:rFonts w:ascii="Times New Roman" w:eastAsia="Times New Roman" w:hAnsi="Times New Roman" w:cs="Times New Roman"/>
          <w:sz w:val="24"/>
          <w:szCs w:val="24"/>
        </w:rPr>
      </w:pPr>
      <w:r w:rsidRPr="000D4888">
        <w:rPr>
          <w:rFonts w:ascii="Times New Roman" w:eastAsia="Times New Roman" w:hAnsi="Times New Roman" w:cs="Times New Roman"/>
          <w:iCs/>
          <w:sz w:val="24"/>
          <w:szCs w:val="24"/>
        </w:rPr>
        <w:t>Mai mult decât atât, până în prezent o parte din cheltuielile pentru serviciile comunale ale locatarilor acestor apartamente sunt acoperite din contul mijloacelor DGACG, care, de asemenea, sunt bani publici.</w:t>
      </w:r>
      <w:r w:rsidRPr="000D4888">
        <w:rPr>
          <w:rFonts w:ascii="Times New Roman" w:eastAsia="Times New Roman" w:hAnsi="Times New Roman" w:cs="Times New Roman"/>
          <w:sz w:val="24"/>
          <w:szCs w:val="24"/>
        </w:rPr>
        <w:t xml:space="preserve"> </w:t>
      </w:r>
    </w:p>
    <w:p w14:paraId="1F715748" w14:textId="6C7BACFA" w:rsidR="00F94284" w:rsidRPr="000D4888" w:rsidRDefault="006E076A" w:rsidP="00BE6A29">
      <w:pPr>
        <w:spacing w:after="0" w:line="276" w:lineRule="auto"/>
        <w:jc w:val="both"/>
        <w:rPr>
          <w:rFonts w:ascii="Times New Roman" w:eastAsia="Times New Roman" w:hAnsi="Times New Roman" w:cs="Times New Roman"/>
          <w:sz w:val="24"/>
          <w:szCs w:val="24"/>
        </w:rPr>
      </w:pPr>
      <w:r w:rsidRPr="000D4888">
        <w:rPr>
          <w:rFonts w:ascii="Times New Roman" w:eastAsia="Times New Roman" w:hAnsi="Times New Roman" w:cs="Times New Roman"/>
          <w:sz w:val="24"/>
          <w:szCs w:val="24"/>
        </w:rPr>
        <w:t>În perioada 2008-2022</w:t>
      </w:r>
      <w:r w:rsidR="00F94284" w:rsidRPr="000D4888">
        <w:rPr>
          <w:rFonts w:ascii="Times New Roman" w:eastAsia="Times New Roman" w:hAnsi="Times New Roman" w:cs="Times New Roman"/>
          <w:sz w:val="24"/>
          <w:szCs w:val="24"/>
        </w:rPr>
        <w:t xml:space="preserve">, evidența cheltuielilor aferente serviciilor comunale ale locatarilor acestui bloc este ținută de către </w:t>
      </w:r>
      <w:r w:rsidR="00F94284" w:rsidRPr="000D4888">
        <w:rPr>
          <w:rFonts w:ascii="Times New Roman" w:eastAsia="Times New Roman" w:hAnsi="Times New Roman" w:cs="Times New Roman"/>
          <w:bCs/>
          <w:sz w:val="24"/>
          <w:szCs w:val="24"/>
        </w:rPr>
        <w:t>DGACG</w:t>
      </w:r>
      <w:r w:rsidR="00F94284" w:rsidRPr="000D4888">
        <w:rPr>
          <w:rFonts w:ascii="Times New Roman" w:eastAsia="Times New Roman" w:hAnsi="Times New Roman" w:cs="Times New Roman"/>
          <w:sz w:val="24"/>
          <w:szCs w:val="24"/>
        </w:rPr>
        <w:t xml:space="preserve">, care încheie şi contracte de prestare a serviciilor cu furnizorii. Contabilitatea </w:t>
      </w:r>
      <w:r w:rsidR="00F94284" w:rsidRPr="000D4888">
        <w:rPr>
          <w:rFonts w:ascii="Times New Roman" w:eastAsia="Times New Roman" w:hAnsi="Times New Roman" w:cs="Times New Roman"/>
          <w:bCs/>
          <w:sz w:val="24"/>
          <w:szCs w:val="24"/>
        </w:rPr>
        <w:t>entității</w:t>
      </w:r>
      <w:r w:rsidR="00F94284" w:rsidRPr="000D4888">
        <w:rPr>
          <w:rFonts w:ascii="Times New Roman" w:eastAsia="Times New Roman" w:hAnsi="Times New Roman" w:cs="Times New Roman"/>
          <w:sz w:val="24"/>
          <w:szCs w:val="24"/>
        </w:rPr>
        <w:t xml:space="preserve"> calculează şi prezintă lunar locatarilor blocului bonurile privind încasarea plăților pentru consumul de servicii comunale. </w:t>
      </w:r>
    </w:p>
    <w:p w14:paraId="5A2E218C" w14:textId="77777777" w:rsidR="00F94284" w:rsidRPr="003B329E" w:rsidRDefault="00F94284" w:rsidP="00F94284">
      <w:pPr>
        <w:spacing w:after="0" w:line="276" w:lineRule="auto"/>
        <w:jc w:val="both"/>
        <w:rPr>
          <w:rFonts w:ascii="Times New Roman" w:eastAsia="Times New Roman" w:hAnsi="Times New Roman" w:cs="Times New Roman"/>
          <w:sz w:val="24"/>
          <w:szCs w:val="24"/>
        </w:rPr>
      </w:pPr>
      <w:r w:rsidRPr="003B329E">
        <w:rPr>
          <w:rFonts w:ascii="Times New Roman" w:eastAsia="Times New Roman" w:hAnsi="Times New Roman" w:cs="Times New Roman"/>
          <w:sz w:val="24"/>
          <w:szCs w:val="24"/>
        </w:rPr>
        <w:t xml:space="preserve">Misiunea de audit, verificând creanțele pentru serviciile comunale formate de către locatari, a constatat o creştere continuă a </w:t>
      </w:r>
      <w:r w:rsidRPr="00B94290">
        <w:rPr>
          <w:rFonts w:ascii="Times New Roman" w:eastAsia="Times New Roman" w:hAnsi="Times New Roman" w:cs="Times New Roman"/>
          <w:sz w:val="24"/>
          <w:szCs w:val="24"/>
        </w:rPr>
        <w:t xml:space="preserve">acestora, care la 31.12.2022 au atins cifra de </w:t>
      </w:r>
      <w:r w:rsidRPr="00B94290">
        <w:rPr>
          <w:rFonts w:ascii="Times New Roman" w:eastAsia="Times New Roman" w:hAnsi="Times New Roman" w:cs="Times New Roman"/>
          <w:bCs/>
          <w:sz w:val="24"/>
          <w:szCs w:val="24"/>
        </w:rPr>
        <w:t>192,3 mii lei,</w:t>
      </w:r>
      <w:r w:rsidRPr="00B94290">
        <w:rPr>
          <w:rFonts w:ascii="Times New Roman" w:eastAsia="Times New Roman" w:hAnsi="Times New Roman" w:cs="Times New Roman"/>
          <w:sz w:val="24"/>
          <w:szCs w:val="24"/>
        </w:rPr>
        <w:t xml:space="preserve"> faţă de </w:t>
      </w:r>
      <w:r w:rsidRPr="00B94290">
        <w:rPr>
          <w:rFonts w:ascii="Times New Roman" w:eastAsia="Times New Roman" w:hAnsi="Times New Roman" w:cs="Times New Roman"/>
          <w:bCs/>
          <w:sz w:val="24"/>
          <w:szCs w:val="24"/>
        </w:rPr>
        <w:t>119,2 mii lei</w:t>
      </w:r>
      <w:r w:rsidRPr="00B94290">
        <w:rPr>
          <w:rFonts w:ascii="Times New Roman" w:eastAsia="Times New Roman" w:hAnsi="Times New Roman" w:cs="Times New Roman"/>
          <w:sz w:val="24"/>
          <w:szCs w:val="24"/>
        </w:rPr>
        <w:t xml:space="preserve"> la situaţia din 31.12.2021. În</w:t>
      </w:r>
      <w:r w:rsidRPr="003B329E">
        <w:rPr>
          <w:rFonts w:ascii="Times New Roman" w:eastAsia="Times New Roman" w:hAnsi="Times New Roman" w:cs="Times New Roman"/>
          <w:sz w:val="24"/>
          <w:szCs w:val="24"/>
        </w:rPr>
        <w:t xml:space="preserve"> consecință, </w:t>
      </w:r>
      <w:r w:rsidRPr="003B329E">
        <w:rPr>
          <w:rFonts w:ascii="Times New Roman" w:eastAsia="Times New Roman" w:hAnsi="Times New Roman" w:cs="Times New Roman"/>
          <w:bCs/>
          <w:sz w:val="24"/>
          <w:szCs w:val="24"/>
        </w:rPr>
        <w:t>DGACG</w:t>
      </w:r>
      <w:r w:rsidRPr="003B329E">
        <w:rPr>
          <w:rFonts w:ascii="Times New Roman" w:eastAsia="Times New Roman" w:hAnsi="Times New Roman" w:cs="Times New Roman"/>
          <w:sz w:val="24"/>
          <w:szCs w:val="24"/>
        </w:rPr>
        <w:t xml:space="preserve"> achită din contul altor venituri realizate costul serviciilor comunale consumate de către locatari, ceea ce duce la majorarea neîntemeiată a cheltuielilor de întreținere ale </w:t>
      </w:r>
      <w:r>
        <w:rPr>
          <w:rFonts w:ascii="Times New Roman" w:eastAsia="Times New Roman" w:hAnsi="Times New Roman" w:cs="Times New Roman"/>
          <w:bCs/>
          <w:sz w:val="24"/>
          <w:szCs w:val="24"/>
        </w:rPr>
        <w:t>instituției publice</w:t>
      </w:r>
      <w:r w:rsidRPr="003B329E">
        <w:rPr>
          <w:rFonts w:ascii="Times New Roman" w:eastAsia="Times New Roman" w:hAnsi="Times New Roman" w:cs="Times New Roman"/>
          <w:sz w:val="24"/>
          <w:szCs w:val="24"/>
        </w:rPr>
        <w:t>.</w:t>
      </w:r>
    </w:p>
    <w:tbl>
      <w:tblPr>
        <w:tblStyle w:val="a6"/>
        <w:tblW w:w="0" w:type="auto"/>
        <w:tblLook w:val="04A0" w:firstRow="1" w:lastRow="0" w:firstColumn="1" w:lastColumn="0" w:noHBand="0" w:noVBand="1"/>
      </w:tblPr>
      <w:tblGrid>
        <w:gridCol w:w="9344"/>
      </w:tblGrid>
      <w:tr w:rsidR="00B94290" w:rsidRPr="003B329E" w14:paraId="7498BCF7" w14:textId="77777777" w:rsidTr="008B54FE">
        <w:tc>
          <w:tcPr>
            <w:tcW w:w="9678" w:type="dxa"/>
          </w:tcPr>
          <w:p w14:paraId="33FC6418" w14:textId="6A16042C" w:rsidR="00B94290" w:rsidRPr="00C931E2" w:rsidRDefault="00B94290" w:rsidP="008B54FE">
            <w:pPr>
              <w:spacing w:line="276" w:lineRule="auto"/>
              <w:jc w:val="both"/>
              <w:rPr>
                <w:rFonts w:ascii="Times New Roman" w:eastAsia="Times New Roman" w:hAnsi="Times New Roman" w:cs="Times New Roman"/>
                <w:sz w:val="24"/>
                <w:szCs w:val="24"/>
              </w:rPr>
            </w:pPr>
            <w:r w:rsidRPr="00C931E2">
              <w:rPr>
                <w:rFonts w:ascii="Times New Roman" w:eastAsia="Times New Roman" w:hAnsi="Times New Roman" w:cs="Times New Roman"/>
                <w:sz w:val="24"/>
                <w:szCs w:val="24"/>
              </w:rPr>
              <w:t>Se ia act că</w:t>
            </w:r>
            <w:r w:rsidR="00F94284">
              <w:rPr>
                <w:rFonts w:ascii="Times New Roman" w:eastAsia="Times New Roman" w:hAnsi="Times New Roman" w:cs="Times New Roman"/>
                <w:sz w:val="24"/>
                <w:szCs w:val="24"/>
              </w:rPr>
              <w:t>,</w:t>
            </w:r>
            <w:r w:rsidRPr="00C931E2">
              <w:rPr>
                <w:rFonts w:ascii="Times New Roman" w:eastAsia="Times New Roman" w:hAnsi="Times New Roman" w:cs="Times New Roman"/>
                <w:sz w:val="24"/>
                <w:szCs w:val="24"/>
              </w:rPr>
              <w:t xml:space="preserve"> pe parcursul auditului apartamentele din imobilul din str. Florica Niță </w:t>
            </w:r>
            <w:r>
              <w:rPr>
                <w:rFonts w:ascii="Times New Roman" w:eastAsia="Times New Roman" w:hAnsi="Times New Roman" w:cs="Times New Roman"/>
                <w:sz w:val="24"/>
                <w:szCs w:val="24"/>
              </w:rPr>
              <w:t>nr.</w:t>
            </w:r>
            <w:r w:rsidRPr="00C931E2">
              <w:rPr>
                <w:rFonts w:ascii="Times New Roman" w:eastAsia="Times New Roman" w:hAnsi="Times New Roman" w:cs="Times New Roman"/>
                <w:sz w:val="24"/>
                <w:szCs w:val="24"/>
              </w:rPr>
              <w:t>7/1 au fost transmise Asociației de coproprietari în condominiu nr. 55/81, cu excepția celor trei apartamente care aparțineau DGACG.</w:t>
            </w:r>
          </w:p>
        </w:tc>
      </w:tr>
    </w:tbl>
    <w:p w14:paraId="2E283222" w14:textId="3FFEF4A6" w:rsidR="0050798B" w:rsidRPr="00C013B0" w:rsidRDefault="0050798B" w:rsidP="00C013B0">
      <w:pPr>
        <w:pStyle w:val="a7"/>
        <w:numPr>
          <w:ilvl w:val="2"/>
          <w:numId w:val="4"/>
        </w:numPr>
        <w:tabs>
          <w:tab w:val="left" w:pos="567"/>
        </w:tabs>
        <w:spacing w:before="120" w:after="120" w:line="276" w:lineRule="auto"/>
        <w:ind w:left="0" w:firstLine="0"/>
        <w:contextualSpacing w:val="0"/>
        <w:jc w:val="both"/>
        <w:rPr>
          <w:rFonts w:ascii="Times New Roman" w:hAnsi="Times New Roman" w:cs="Times New Roman"/>
          <w:b/>
          <w:color w:val="0070C0"/>
          <w:sz w:val="24"/>
          <w:szCs w:val="24"/>
        </w:rPr>
      </w:pPr>
      <w:r w:rsidRPr="00C013B0">
        <w:rPr>
          <w:rFonts w:ascii="Times New Roman" w:hAnsi="Times New Roman" w:cs="Times New Roman"/>
          <w:b/>
          <w:color w:val="0070C0"/>
          <w:sz w:val="24"/>
          <w:szCs w:val="24"/>
        </w:rPr>
        <w:t xml:space="preserve"> </w:t>
      </w:r>
      <w:bookmarkStart w:id="36" w:name="_Toc156220546"/>
      <w:r w:rsidR="00B94290" w:rsidRPr="00C013B0">
        <w:rPr>
          <w:rFonts w:ascii="Times New Roman" w:hAnsi="Times New Roman" w:cs="Times New Roman"/>
          <w:b/>
          <w:color w:val="0070C0"/>
          <w:sz w:val="24"/>
          <w:szCs w:val="24"/>
        </w:rPr>
        <w:t>Existența unor deficiențe privind asigurarea cu trans</w:t>
      </w:r>
      <w:r w:rsidR="0018763D" w:rsidRPr="00C013B0">
        <w:rPr>
          <w:rFonts w:ascii="Times New Roman" w:hAnsi="Times New Roman" w:cs="Times New Roman"/>
          <w:b/>
          <w:color w:val="0070C0"/>
          <w:sz w:val="24"/>
          <w:szCs w:val="24"/>
        </w:rPr>
        <w:t>port auto de către BA a CS a unor</w:t>
      </w:r>
      <w:r w:rsidR="00B94290" w:rsidRPr="00C013B0">
        <w:rPr>
          <w:rFonts w:ascii="Times New Roman" w:hAnsi="Times New Roman" w:cs="Times New Roman"/>
          <w:b/>
          <w:color w:val="0070C0"/>
          <w:sz w:val="24"/>
          <w:szCs w:val="24"/>
        </w:rPr>
        <w:t xml:space="preserve"> instituții medicale, determină efectuarea unor cheltuieli suplimentare nespecifice entității</w:t>
      </w:r>
      <w:bookmarkEnd w:id="36"/>
      <w:r w:rsidR="00B94290" w:rsidRPr="00C013B0">
        <w:rPr>
          <w:rFonts w:ascii="Times New Roman" w:hAnsi="Times New Roman" w:cs="Times New Roman"/>
          <w:b/>
          <w:color w:val="0070C0"/>
          <w:sz w:val="24"/>
          <w:szCs w:val="24"/>
        </w:rPr>
        <w:t>.</w:t>
      </w:r>
    </w:p>
    <w:p w14:paraId="357E6F65" w14:textId="77777777" w:rsidR="00F94284" w:rsidRPr="003B329E" w:rsidRDefault="00F94284" w:rsidP="00F94284">
      <w:pPr>
        <w:spacing w:after="80" w:line="276" w:lineRule="auto"/>
        <w:jc w:val="both"/>
        <w:rPr>
          <w:rFonts w:ascii="Times New Roman" w:hAnsi="Times New Roman" w:cs="Times New Roman"/>
          <w:sz w:val="24"/>
          <w:szCs w:val="24"/>
        </w:rPr>
      </w:pPr>
      <w:r w:rsidRPr="003B329E">
        <w:rPr>
          <w:rFonts w:ascii="Times New Roman" w:hAnsi="Times New Roman" w:cs="Times New Roman"/>
          <w:sz w:val="24"/>
          <w:szCs w:val="24"/>
        </w:rPr>
        <w:t xml:space="preserve">Anual, din cele 165 </w:t>
      </w:r>
      <w:r>
        <w:rPr>
          <w:rFonts w:ascii="Times New Roman" w:hAnsi="Times New Roman" w:cs="Times New Roman"/>
          <w:sz w:val="24"/>
          <w:szCs w:val="24"/>
        </w:rPr>
        <w:t>de mijloace</w:t>
      </w:r>
      <w:r w:rsidRPr="003B329E">
        <w:rPr>
          <w:rFonts w:ascii="Times New Roman" w:hAnsi="Times New Roman" w:cs="Times New Roman"/>
          <w:sz w:val="24"/>
          <w:szCs w:val="24"/>
        </w:rPr>
        <w:t xml:space="preserve"> de transport din parcul auto a</w:t>
      </w:r>
      <w:r>
        <w:rPr>
          <w:rFonts w:ascii="Times New Roman" w:hAnsi="Times New Roman" w:cs="Times New Roman"/>
          <w:sz w:val="24"/>
          <w:szCs w:val="24"/>
        </w:rPr>
        <w:t>l</w:t>
      </w:r>
      <w:r w:rsidRPr="003B329E">
        <w:rPr>
          <w:rFonts w:ascii="Times New Roman" w:hAnsi="Times New Roman" w:cs="Times New Roman"/>
          <w:sz w:val="24"/>
          <w:szCs w:val="24"/>
        </w:rPr>
        <w:t xml:space="preserve"> I</w:t>
      </w:r>
      <w:r>
        <w:rPr>
          <w:rFonts w:ascii="Times New Roman" w:hAnsi="Times New Roman" w:cs="Times New Roman"/>
          <w:sz w:val="24"/>
          <w:szCs w:val="24"/>
        </w:rPr>
        <w:t>.</w:t>
      </w:r>
      <w:r w:rsidRPr="003B329E">
        <w:rPr>
          <w:rFonts w:ascii="Times New Roman" w:hAnsi="Times New Roman" w:cs="Times New Roman"/>
          <w:sz w:val="24"/>
          <w:szCs w:val="24"/>
        </w:rPr>
        <w:t>P</w:t>
      </w:r>
      <w:r>
        <w:rPr>
          <w:rFonts w:ascii="Times New Roman" w:hAnsi="Times New Roman" w:cs="Times New Roman"/>
          <w:sz w:val="24"/>
          <w:szCs w:val="24"/>
        </w:rPr>
        <w:t>.</w:t>
      </w:r>
      <w:r w:rsidRPr="003B329E">
        <w:rPr>
          <w:rFonts w:ascii="Times New Roman" w:hAnsi="Times New Roman" w:cs="Times New Roman"/>
          <w:sz w:val="24"/>
          <w:szCs w:val="24"/>
        </w:rPr>
        <w:t xml:space="preserve"> „Baz</w:t>
      </w:r>
      <w:r>
        <w:rPr>
          <w:rFonts w:ascii="Times New Roman" w:hAnsi="Times New Roman" w:cs="Times New Roman"/>
          <w:sz w:val="24"/>
          <w:szCs w:val="24"/>
        </w:rPr>
        <w:t>a</w:t>
      </w:r>
      <w:r w:rsidRPr="003B329E">
        <w:rPr>
          <w:rFonts w:ascii="Times New Roman" w:hAnsi="Times New Roman" w:cs="Times New Roman"/>
          <w:sz w:val="24"/>
          <w:szCs w:val="24"/>
        </w:rPr>
        <w:t xml:space="preserve"> auto a C</w:t>
      </w:r>
      <w:r>
        <w:rPr>
          <w:rFonts w:ascii="Times New Roman" w:hAnsi="Times New Roman" w:cs="Times New Roman"/>
          <w:sz w:val="24"/>
          <w:szCs w:val="24"/>
        </w:rPr>
        <w:t xml:space="preserve">ancelariei de </w:t>
      </w:r>
      <w:r w:rsidRPr="003B329E">
        <w:rPr>
          <w:rFonts w:ascii="Times New Roman" w:hAnsi="Times New Roman" w:cs="Times New Roman"/>
          <w:sz w:val="24"/>
          <w:szCs w:val="24"/>
        </w:rPr>
        <w:t>S</w:t>
      </w:r>
      <w:r>
        <w:rPr>
          <w:rFonts w:ascii="Times New Roman" w:hAnsi="Times New Roman" w:cs="Times New Roman"/>
          <w:sz w:val="24"/>
          <w:szCs w:val="24"/>
        </w:rPr>
        <w:t>tat</w:t>
      </w:r>
      <w:r w:rsidRPr="003B329E">
        <w:rPr>
          <w:rFonts w:ascii="Times New Roman" w:hAnsi="Times New Roman" w:cs="Times New Roman"/>
          <w:sz w:val="24"/>
          <w:szCs w:val="24"/>
        </w:rPr>
        <w:t xml:space="preserve">”, 13 unități </w:t>
      </w:r>
      <w:r>
        <w:rPr>
          <w:rFonts w:ascii="Times New Roman" w:hAnsi="Times New Roman" w:cs="Times New Roman"/>
          <w:sz w:val="24"/>
          <w:szCs w:val="24"/>
        </w:rPr>
        <w:t>sunt</w:t>
      </w:r>
      <w:r w:rsidRPr="003B329E">
        <w:rPr>
          <w:rFonts w:ascii="Times New Roman" w:hAnsi="Times New Roman" w:cs="Times New Roman"/>
          <w:sz w:val="24"/>
          <w:szCs w:val="24"/>
        </w:rPr>
        <w:t xml:space="preserve"> repartizate pentru asigurarea cu transport auto a IMSP Policlinica de Stat și IMSP Spitalul de Stat, instituții transmise în anul 2019</w:t>
      </w:r>
      <w:r w:rsidRPr="003B329E">
        <w:rPr>
          <w:rStyle w:val="a5"/>
          <w:rFonts w:ascii="Times New Roman" w:hAnsi="Times New Roman" w:cs="Times New Roman"/>
          <w:sz w:val="24"/>
          <w:szCs w:val="24"/>
        </w:rPr>
        <w:footnoteReference w:id="156"/>
      </w:r>
      <w:r w:rsidRPr="003B329E">
        <w:rPr>
          <w:rFonts w:ascii="Times New Roman" w:hAnsi="Times New Roman" w:cs="Times New Roman"/>
          <w:sz w:val="24"/>
          <w:szCs w:val="24"/>
        </w:rPr>
        <w:t xml:space="preserve"> din administrarea CS în administrarea MS. </w:t>
      </w:r>
    </w:p>
    <w:p w14:paraId="4E8457FF" w14:textId="77777777" w:rsidR="00F94284" w:rsidRPr="003B329E" w:rsidRDefault="00F94284" w:rsidP="00F94284">
      <w:pPr>
        <w:spacing w:after="80" w:line="276" w:lineRule="auto"/>
        <w:jc w:val="both"/>
        <w:rPr>
          <w:rFonts w:ascii="Times New Roman" w:hAnsi="Times New Roman" w:cs="Times New Roman"/>
          <w:sz w:val="24"/>
          <w:szCs w:val="24"/>
        </w:rPr>
      </w:pPr>
      <w:r w:rsidRPr="003B329E">
        <w:rPr>
          <w:rFonts w:ascii="Times New Roman" w:hAnsi="Times New Roman" w:cs="Times New Roman"/>
          <w:sz w:val="24"/>
          <w:szCs w:val="24"/>
        </w:rPr>
        <w:t>Sarcina de a asigura cu transport auto cele două instituții medico-sanitare a fost preluată de către I</w:t>
      </w:r>
      <w:r>
        <w:rPr>
          <w:rFonts w:ascii="Times New Roman" w:hAnsi="Times New Roman" w:cs="Times New Roman"/>
          <w:sz w:val="24"/>
          <w:szCs w:val="24"/>
        </w:rPr>
        <w:t>.</w:t>
      </w:r>
      <w:r w:rsidRPr="003B329E">
        <w:rPr>
          <w:rFonts w:ascii="Times New Roman" w:hAnsi="Times New Roman" w:cs="Times New Roman"/>
          <w:sz w:val="24"/>
          <w:szCs w:val="24"/>
        </w:rPr>
        <w:t>P</w:t>
      </w:r>
      <w:r>
        <w:rPr>
          <w:rFonts w:ascii="Times New Roman" w:hAnsi="Times New Roman" w:cs="Times New Roman"/>
          <w:sz w:val="24"/>
          <w:szCs w:val="24"/>
        </w:rPr>
        <w:t>.</w:t>
      </w:r>
      <w:r w:rsidRPr="003B329E">
        <w:rPr>
          <w:rFonts w:ascii="Times New Roman" w:hAnsi="Times New Roman" w:cs="Times New Roman"/>
          <w:sz w:val="24"/>
          <w:szCs w:val="24"/>
        </w:rPr>
        <w:t xml:space="preserve"> „Baza Auto a CS” </w:t>
      </w:r>
      <w:r>
        <w:rPr>
          <w:rFonts w:ascii="Times New Roman" w:hAnsi="Times New Roman" w:cs="Times New Roman"/>
          <w:sz w:val="24"/>
          <w:szCs w:val="24"/>
        </w:rPr>
        <w:t xml:space="preserve">ca </w:t>
      </w:r>
      <w:r w:rsidRPr="003B329E">
        <w:rPr>
          <w:rFonts w:ascii="Times New Roman" w:hAnsi="Times New Roman" w:cs="Times New Roman"/>
          <w:sz w:val="24"/>
          <w:szCs w:val="24"/>
        </w:rPr>
        <w:t xml:space="preserve">urmare </w:t>
      </w:r>
      <w:r>
        <w:rPr>
          <w:rFonts w:ascii="Times New Roman" w:hAnsi="Times New Roman" w:cs="Times New Roman"/>
          <w:sz w:val="24"/>
          <w:szCs w:val="24"/>
        </w:rPr>
        <w:t xml:space="preserve">a </w:t>
      </w:r>
      <w:r w:rsidRPr="003B329E">
        <w:rPr>
          <w:rFonts w:ascii="Times New Roman" w:hAnsi="Times New Roman" w:cs="Times New Roman"/>
          <w:sz w:val="24"/>
          <w:szCs w:val="24"/>
        </w:rPr>
        <w:t>fuziunii (absorbție)</w:t>
      </w:r>
      <w:r w:rsidRPr="003B329E">
        <w:rPr>
          <w:rStyle w:val="a5"/>
          <w:rFonts w:ascii="Times New Roman" w:hAnsi="Times New Roman" w:cs="Times New Roman"/>
          <w:sz w:val="24"/>
          <w:szCs w:val="24"/>
        </w:rPr>
        <w:footnoteReference w:id="157"/>
      </w:r>
      <w:r w:rsidRPr="003B329E">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3B329E">
        <w:rPr>
          <w:rFonts w:ascii="Times New Roman" w:hAnsi="Times New Roman" w:cs="Times New Roman"/>
          <w:sz w:val="24"/>
          <w:szCs w:val="24"/>
        </w:rPr>
        <w:t>acesteia, în anul 2018, cu I</w:t>
      </w:r>
      <w:r>
        <w:rPr>
          <w:rFonts w:ascii="Times New Roman" w:hAnsi="Times New Roman" w:cs="Times New Roman"/>
          <w:sz w:val="24"/>
          <w:szCs w:val="24"/>
        </w:rPr>
        <w:t>.</w:t>
      </w:r>
      <w:r w:rsidRPr="003B329E">
        <w:rPr>
          <w:rFonts w:ascii="Times New Roman" w:hAnsi="Times New Roman" w:cs="Times New Roman"/>
          <w:sz w:val="24"/>
          <w:szCs w:val="24"/>
        </w:rPr>
        <w:t>P</w:t>
      </w:r>
      <w:r>
        <w:rPr>
          <w:rFonts w:ascii="Times New Roman" w:hAnsi="Times New Roman" w:cs="Times New Roman"/>
          <w:sz w:val="24"/>
          <w:szCs w:val="24"/>
        </w:rPr>
        <w:t>.</w:t>
      </w:r>
      <w:r w:rsidRPr="003B329E">
        <w:rPr>
          <w:rFonts w:ascii="Times New Roman" w:hAnsi="Times New Roman" w:cs="Times New Roman"/>
          <w:sz w:val="24"/>
          <w:szCs w:val="24"/>
        </w:rPr>
        <w:t xml:space="preserve"> „Baza Auto a Asociației Curativ-Sanatoriale și de Recuperare a Cancelariei de Stat”, instituție căreia îi revenea obligativitatea de a deservi cu autoturisme atât IMSP Policlinica de Stat</w:t>
      </w:r>
      <w:r>
        <w:rPr>
          <w:rFonts w:ascii="Times New Roman" w:hAnsi="Times New Roman" w:cs="Times New Roman"/>
          <w:sz w:val="24"/>
          <w:szCs w:val="24"/>
        </w:rPr>
        <w:t>,</w:t>
      </w:r>
      <w:r w:rsidRPr="003B329E">
        <w:rPr>
          <w:rFonts w:ascii="Times New Roman" w:hAnsi="Times New Roman" w:cs="Times New Roman"/>
          <w:sz w:val="24"/>
          <w:szCs w:val="24"/>
        </w:rPr>
        <w:t xml:space="preserve"> cât și IMSP Spitalul de Stat.</w:t>
      </w:r>
    </w:p>
    <w:p w14:paraId="4630B777" w14:textId="77777777" w:rsidR="00F94284" w:rsidRPr="003B329E" w:rsidRDefault="00F94284" w:rsidP="00F94284">
      <w:pPr>
        <w:spacing w:after="80" w:line="276" w:lineRule="auto"/>
        <w:jc w:val="both"/>
        <w:rPr>
          <w:rFonts w:ascii="Times New Roman" w:hAnsi="Times New Roman" w:cs="Times New Roman"/>
          <w:sz w:val="24"/>
          <w:szCs w:val="24"/>
        </w:rPr>
      </w:pPr>
      <w:r w:rsidRPr="003B329E">
        <w:rPr>
          <w:rFonts w:ascii="Times New Roman" w:hAnsi="Times New Roman" w:cs="Times New Roman"/>
          <w:sz w:val="24"/>
          <w:szCs w:val="24"/>
        </w:rPr>
        <w:t>Totodată, conform prevederilor pct. 4 din Statutul I</w:t>
      </w:r>
      <w:r>
        <w:rPr>
          <w:rFonts w:ascii="Times New Roman" w:hAnsi="Times New Roman" w:cs="Times New Roman"/>
          <w:sz w:val="24"/>
          <w:szCs w:val="24"/>
        </w:rPr>
        <w:t>.</w:t>
      </w:r>
      <w:r w:rsidRPr="003B329E">
        <w:rPr>
          <w:rFonts w:ascii="Times New Roman" w:hAnsi="Times New Roman" w:cs="Times New Roman"/>
          <w:sz w:val="24"/>
          <w:szCs w:val="24"/>
        </w:rPr>
        <w:t>P</w:t>
      </w:r>
      <w:r>
        <w:rPr>
          <w:rFonts w:ascii="Times New Roman" w:hAnsi="Times New Roman" w:cs="Times New Roman"/>
          <w:sz w:val="24"/>
          <w:szCs w:val="24"/>
        </w:rPr>
        <w:t>.</w:t>
      </w:r>
      <w:r w:rsidRPr="003B329E">
        <w:rPr>
          <w:rFonts w:ascii="Times New Roman" w:hAnsi="Times New Roman" w:cs="Times New Roman"/>
          <w:sz w:val="24"/>
          <w:szCs w:val="24"/>
        </w:rPr>
        <w:t xml:space="preserve"> „Baza auto a CS”, aprobat prin HG </w:t>
      </w:r>
      <w:r>
        <w:rPr>
          <w:rFonts w:ascii="Times New Roman" w:hAnsi="Times New Roman" w:cs="Times New Roman"/>
          <w:sz w:val="24"/>
          <w:szCs w:val="24"/>
        </w:rPr>
        <w:t>nr.</w:t>
      </w:r>
      <w:r w:rsidRPr="003B329E">
        <w:rPr>
          <w:rFonts w:ascii="Times New Roman" w:hAnsi="Times New Roman" w:cs="Times New Roman"/>
          <w:sz w:val="24"/>
          <w:szCs w:val="24"/>
        </w:rPr>
        <w:t xml:space="preserve">916/2018, </w:t>
      </w:r>
      <w:r w:rsidRPr="003B329E">
        <w:rPr>
          <w:rFonts w:ascii="Times New Roman" w:hAnsi="Times New Roman" w:cs="Times New Roman"/>
          <w:sz w:val="24"/>
          <w:szCs w:val="24"/>
          <w:shd w:val="clear" w:color="auto" w:fill="FFFFFF"/>
        </w:rPr>
        <w:t xml:space="preserve">entitatea are misiunea de </w:t>
      </w:r>
      <w:r w:rsidRPr="00992E0D">
        <w:rPr>
          <w:rFonts w:ascii="Times New Roman" w:hAnsi="Times New Roman" w:cs="Times New Roman"/>
          <w:i/>
          <w:sz w:val="24"/>
          <w:szCs w:val="24"/>
          <w:shd w:val="clear" w:color="auto" w:fill="FFFFFF"/>
        </w:rPr>
        <w:t>a</w:t>
      </w:r>
      <w:r w:rsidRPr="003B329E">
        <w:rPr>
          <w:rFonts w:ascii="Times New Roman" w:hAnsi="Times New Roman" w:cs="Times New Roman"/>
          <w:sz w:val="24"/>
          <w:szCs w:val="24"/>
          <w:shd w:val="clear" w:color="auto" w:fill="FFFFFF"/>
        </w:rPr>
        <w:t xml:space="preserve"> </w:t>
      </w:r>
      <w:r w:rsidRPr="003B329E">
        <w:rPr>
          <w:rFonts w:ascii="Times New Roman" w:hAnsi="Times New Roman" w:cs="Times New Roman"/>
          <w:i/>
          <w:sz w:val="24"/>
          <w:szCs w:val="24"/>
          <w:shd w:val="clear" w:color="auto" w:fill="FFFFFF"/>
        </w:rPr>
        <w:t xml:space="preserve">asigura cu transport auto de serviciu conducătorii </w:t>
      </w:r>
      <w:r w:rsidRPr="003B329E">
        <w:rPr>
          <w:rFonts w:ascii="Times New Roman" w:hAnsi="Times New Roman" w:cs="Times New Roman"/>
          <w:sz w:val="24"/>
          <w:szCs w:val="24"/>
          <w:shd w:val="clear" w:color="auto" w:fill="FFFFFF"/>
        </w:rPr>
        <w:t>autorităților publice și autorităților administrației publice, conform normelor de deservire prestabilite. Ministerele și autoritățile administrației publice beneficiare de transport auto de serviciu oferit cu titlu gratuit de către I</w:t>
      </w:r>
      <w:r>
        <w:rPr>
          <w:rFonts w:ascii="Times New Roman" w:hAnsi="Times New Roman" w:cs="Times New Roman"/>
          <w:sz w:val="24"/>
          <w:szCs w:val="24"/>
          <w:shd w:val="clear" w:color="auto" w:fill="FFFFFF"/>
        </w:rPr>
        <w:t>.</w:t>
      </w:r>
      <w:r w:rsidRPr="003B329E">
        <w:rPr>
          <w:rFonts w:ascii="Times New Roman" w:hAnsi="Times New Roman" w:cs="Times New Roman"/>
          <w:sz w:val="24"/>
          <w:szCs w:val="24"/>
          <w:shd w:val="clear" w:color="auto" w:fill="FFFFFF"/>
        </w:rPr>
        <w:t>P</w:t>
      </w:r>
      <w:r>
        <w:rPr>
          <w:rFonts w:ascii="Times New Roman" w:hAnsi="Times New Roman" w:cs="Times New Roman"/>
          <w:sz w:val="24"/>
          <w:szCs w:val="24"/>
          <w:shd w:val="clear" w:color="auto" w:fill="FFFFFF"/>
        </w:rPr>
        <w:t>.</w:t>
      </w:r>
      <w:r w:rsidRPr="003B329E">
        <w:rPr>
          <w:rFonts w:ascii="Times New Roman" w:hAnsi="Times New Roman" w:cs="Times New Roman"/>
          <w:sz w:val="24"/>
          <w:szCs w:val="24"/>
          <w:shd w:val="clear" w:color="auto" w:fill="FFFFFF"/>
        </w:rPr>
        <w:t xml:space="preserve"> „Baza Auto a CS” s</w:t>
      </w:r>
      <w:r>
        <w:rPr>
          <w:rFonts w:ascii="Times New Roman" w:hAnsi="Times New Roman" w:cs="Times New Roman"/>
          <w:sz w:val="24"/>
          <w:szCs w:val="24"/>
          <w:shd w:val="clear" w:color="auto" w:fill="FFFFFF"/>
        </w:rPr>
        <w:t>u</w:t>
      </w:r>
      <w:r w:rsidRPr="003B329E">
        <w:rPr>
          <w:rFonts w:ascii="Times New Roman" w:hAnsi="Times New Roman" w:cs="Times New Roman"/>
          <w:sz w:val="24"/>
          <w:szCs w:val="24"/>
          <w:shd w:val="clear" w:color="auto" w:fill="FFFFFF"/>
        </w:rPr>
        <w:t>nt stabil</w:t>
      </w:r>
      <w:r>
        <w:rPr>
          <w:rFonts w:ascii="Times New Roman" w:hAnsi="Times New Roman" w:cs="Times New Roman"/>
          <w:sz w:val="24"/>
          <w:szCs w:val="24"/>
          <w:shd w:val="clear" w:color="auto" w:fill="FFFFFF"/>
        </w:rPr>
        <w:t>it</w:t>
      </w:r>
      <w:r w:rsidRPr="003B329E">
        <w:rPr>
          <w:rFonts w:ascii="Times New Roman" w:hAnsi="Times New Roman" w:cs="Times New Roman"/>
          <w:sz w:val="24"/>
          <w:szCs w:val="24"/>
          <w:shd w:val="clear" w:color="auto" w:fill="FFFFFF"/>
        </w:rPr>
        <w:t xml:space="preserve">e în </w:t>
      </w:r>
      <w:r w:rsidRPr="003B329E">
        <w:rPr>
          <w:rFonts w:ascii="Times New Roman" w:hAnsi="Times New Roman" w:cs="Times New Roman"/>
          <w:bCs/>
          <w:sz w:val="24"/>
          <w:szCs w:val="24"/>
          <w:shd w:val="clear" w:color="auto" w:fill="FFFFFF"/>
          <w:lang w:val="ro-RO"/>
        </w:rPr>
        <w:t>Anexa nr. 1 la HG nr. 1404/2005</w:t>
      </w:r>
      <w:r w:rsidRPr="003B329E">
        <w:rPr>
          <w:rStyle w:val="a5"/>
          <w:rFonts w:ascii="Times New Roman" w:hAnsi="Times New Roman" w:cs="Times New Roman"/>
          <w:bCs/>
          <w:sz w:val="24"/>
          <w:szCs w:val="24"/>
          <w:shd w:val="clear" w:color="auto" w:fill="FFFFFF"/>
          <w:lang w:val="ro-RO"/>
        </w:rPr>
        <w:footnoteReference w:id="158"/>
      </w:r>
      <w:r w:rsidRPr="003B329E">
        <w:rPr>
          <w:rFonts w:ascii="Times New Roman" w:hAnsi="Times New Roman" w:cs="Times New Roman"/>
          <w:bCs/>
          <w:sz w:val="24"/>
          <w:szCs w:val="24"/>
          <w:shd w:val="clear" w:color="auto" w:fill="FFFFFF"/>
          <w:lang w:val="ro-RO"/>
        </w:rPr>
        <w:t>. Însă, a</w:t>
      </w:r>
      <w:r w:rsidRPr="003B329E">
        <w:rPr>
          <w:rFonts w:ascii="Times New Roman" w:hAnsi="Times New Roman" w:cs="Times New Roman"/>
          <w:sz w:val="24"/>
          <w:szCs w:val="24"/>
        </w:rPr>
        <w:t>uditul relevă că cele două instituții medico-sanitare monitorizate de MS nu se regăsesc în lista respectivă și, prin urmare</w:t>
      </w:r>
      <w:r>
        <w:rPr>
          <w:rFonts w:ascii="Times New Roman" w:hAnsi="Times New Roman" w:cs="Times New Roman"/>
          <w:sz w:val="24"/>
          <w:szCs w:val="24"/>
        </w:rPr>
        <w:t>,</w:t>
      </w:r>
      <w:r w:rsidRPr="003B329E">
        <w:rPr>
          <w:rFonts w:ascii="Times New Roman" w:hAnsi="Times New Roman" w:cs="Times New Roman"/>
          <w:sz w:val="24"/>
          <w:szCs w:val="24"/>
        </w:rPr>
        <w:t xml:space="preserve"> nu cad sub incidența autorităților publice pe care I</w:t>
      </w:r>
      <w:r>
        <w:rPr>
          <w:rFonts w:ascii="Times New Roman" w:hAnsi="Times New Roman" w:cs="Times New Roman"/>
          <w:sz w:val="24"/>
          <w:szCs w:val="24"/>
        </w:rPr>
        <w:t>.</w:t>
      </w:r>
      <w:r w:rsidRPr="003B329E">
        <w:rPr>
          <w:rFonts w:ascii="Times New Roman" w:hAnsi="Times New Roman" w:cs="Times New Roman"/>
          <w:sz w:val="24"/>
          <w:szCs w:val="24"/>
        </w:rPr>
        <w:t>P</w:t>
      </w:r>
      <w:r>
        <w:rPr>
          <w:rFonts w:ascii="Times New Roman" w:hAnsi="Times New Roman" w:cs="Times New Roman"/>
          <w:sz w:val="24"/>
          <w:szCs w:val="24"/>
        </w:rPr>
        <w:t>.</w:t>
      </w:r>
      <w:r w:rsidRPr="003B329E">
        <w:rPr>
          <w:rFonts w:ascii="Times New Roman" w:hAnsi="Times New Roman" w:cs="Times New Roman"/>
          <w:sz w:val="24"/>
          <w:szCs w:val="24"/>
        </w:rPr>
        <w:t xml:space="preserve"> „Baza Auto a CS” trebuie să le asigure cu autoturisme de serviciu fără plată. În acest context</w:t>
      </w:r>
      <w:r>
        <w:rPr>
          <w:rFonts w:ascii="Times New Roman" w:hAnsi="Times New Roman" w:cs="Times New Roman"/>
          <w:sz w:val="24"/>
          <w:szCs w:val="24"/>
        </w:rPr>
        <w:t>,</w:t>
      </w:r>
      <w:r w:rsidRPr="003B329E">
        <w:rPr>
          <w:rFonts w:ascii="Times New Roman" w:hAnsi="Times New Roman" w:cs="Times New Roman"/>
          <w:sz w:val="24"/>
          <w:szCs w:val="24"/>
        </w:rPr>
        <w:t xml:space="preserve"> auditul menționează existența neconcordanțelor  </w:t>
      </w:r>
      <w:r>
        <w:rPr>
          <w:rFonts w:ascii="Times New Roman" w:hAnsi="Times New Roman" w:cs="Times New Roman"/>
          <w:sz w:val="24"/>
          <w:szCs w:val="24"/>
        </w:rPr>
        <w:t xml:space="preserve">în </w:t>
      </w:r>
      <w:r w:rsidRPr="00B94290">
        <w:rPr>
          <w:rFonts w:ascii="Times New Roman" w:hAnsi="Times New Roman" w:cs="Times New Roman"/>
          <w:sz w:val="24"/>
          <w:szCs w:val="24"/>
        </w:rPr>
        <w:t>normel</w:t>
      </w:r>
      <w:r>
        <w:rPr>
          <w:rFonts w:ascii="Times New Roman" w:hAnsi="Times New Roman" w:cs="Times New Roman"/>
          <w:sz w:val="24"/>
          <w:szCs w:val="24"/>
        </w:rPr>
        <w:t>e</w:t>
      </w:r>
      <w:r w:rsidRPr="00B94290">
        <w:rPr>
          <w:rFonts w:ascii="Times New Roman" w:hAnsi="Times New Roman" w:cs="Times New Roman"/>
          <w:sz w:val="24"/>
          <w:szCs w:val="24"/>
        </w:rPr>
        <w:t xml:space="preserve"> ce</w:t>
      </w:r>
      <w:r w:rsidRPr="003B329E">
        <w:rPr>
          <w:rFonts w:ascii="Times New Roman" w:hAnsi="Times New Roman" w:cs="Times New Roman"/>
          <w:sz w:val="24"/>
          <w:szCs w:val="24"/>
        </w:rPr>
        <w:t xml:space="preserve"> țin de asigurarea cu transport auto a IMSP Policlinica de Stat și </w:t>
      </w:r>
      <w:r>
        <w:rPr>
          <w:rFonts w:ascii="Times New Roman" w:hAnsi="Times New Roman" w:cs="Times New Roman"/>
          <w:sz w:val="24"/>
          <w:szCs w:val="24"/>
        </w:rPr>
        <w:t xml:space="preserve">a </w:t>
      </w:r>
      <w:r w:rsidRPr="003B329E">
        <w:rPr>
          <w:rFonts w:ascii="Times New Roman" w:hAnsi="Times New Roman" w:cs="Times New Roman"/>
          <w:sz w:val="24"/>
          <w:szCs w:val="24"/>
        </w:rPr>
        <w:t>IMSP  Spitalul de Stat.</w:t>
      </w:r>
    </w:p>
    <w:p w14:paraId="55FB244D" w14:textId="77777777" w:rsidR="00F94284" w:rsidRPr="003B329E" w:rsidRDefault="00F94284" w:rsidP="00F94284">
      <w:pPr>
        <w:spacing w:after="80" w:line="276" w:lineRule="auto"/>
        <w:jc w:val="both"/>
        <w:rPr>
          <w:rFonts w:ascii="Times New Roman" w:hAnsi="Times New Roman" w:cs="Times New Roman"/>
          <w:sz w:val="24"/>
          <w:szCs w:val="24"/>
        </w:rPr>
      </w:pPr>
      <w:r w:rsidRPr="003B329E">
        <w:rPr>
          <w:rFonts w:ascii="Times New Roman" w:hAnsi="Times New Roman" w:cs="Times New Roman"/>
          <w:sz w:val="24"/>
          <w:szCs w:val="24"/>
        </w:rPr>
        <w:t xml:space="preserve">Mai mult </w:t>
      </w:r>
      <w:r>
        <w:rPr>
          <w:rFonts w:ascii="Times New Roman" w:hAnsi="Times New Roman" w:cs="Times New Roman"/>
          <w:sz w:val="24"/>
          <w:szCs w:val="24"/>
        </w:rPr>
        <w:t>decât</w:t>
      </w:r>
      <w:r w:rsidRPr="003B329E">
        <w:rPr>
          <w:rFonts w:ascii="Times New Roman" w:hAnsi="Times New Roman" w:cs="Times New Roman"/>
          <w:sz w:val="24"/>
          <w:szCs w:val="24"/>
        </w:rPr>
        <w:t xml:space="preserve"> atât, menționăm că</w:t>
      </w:r>
      <w:r>
        <w:rPr>
          <w:rFonts w:ascii="Times New Roman" w:hAnsi="Times New Roman" w:cs="Times New Roman"/>
          <w:sz w:val="24"/>
          <w:szCs w:val="24"/>
        </w:rPr>
        <w:t>,</w:t>
      </w:r>
      <w:r w:rsidRPr="003B329E">
        <w:rPr>
          <w:rFonts w:ascii="Times New Roman" w:hAnsi="Times New Roman" w:cs="Times New Roman"/>
          <w:sz w:val="24"/>
          <w:szCs w:val="24"/>
        </w:rPr>
        <w:t xml:space="preserve"> din cele 13 </w:t>
      </w:r>
      <w:r>
        <w:rPr>
          <w:rFonts w:ascii="Times New Roman" w:hAnsi="Times New Roman" w:cs="Times New Roman"/>
          <w:sz w:val="24"/>
          <w:szCs w:val="24"/>
        </w:rPr>
        <w:t>mijloace</w:t>
      </w:r>
      <w:r w:rsidRPr="003B329E">
        <w:rPr>
          <w:rFonts w:ascii="Times New Roman" w:hAnsi="Times New Roman" w:cs="Times New Roman"/>
          <w:sz w:val="24"/>
          <w:szCs w:val="24"/>
        </w:rPr>
        <w:t xml:space="preserve"> de transport, 5 sunt ambulanțe și un reanimobil, și reieșind din faptul că acestea s</w:t>
      </w:r>
      <w:r>
        <w:rPr>
          <w:rFonts w:ascii="Times New Roman" w:hAnsi="Times New Roman" w:cs="Times New Roman"/>
          <w:sz w:val="24"/>
          <w:szCs w:val="24"/>
        </w:rPr>
        <w:t>u</w:t>
      </w:r>
      <w:r w:rsidRPr="003B329E">
        <w:rPr>
          <w:rFonts w:ascii="Times New Roman" w:hAnsi="Times New Roman" w:cs="Times New Roman"/>
          <w:sz w:val="24"/>
          <w:szCs w:val="24"/>
        </w:rPr>
        <w:t>nt destinate acordării asistenței medicale urgente și nicidecum nu fac parte din categoria autoturisme</w:t>
      </w:r>
      <w:r>
        <w:rPr>
          <w:rFonts w:ascii="Times New Roman" w:hAnsi="Times New Roman" w:cs="Times New Roman"/>
          <w:sz w:val="24"/>
          <w:szCs w:val="24"/>
        </w:rPr>
        <w:t>lor</w:t>
      </w:r>
      <w:r w:rsidRPr="003B329E">
        <w:rPr>
          <w:rFonts w:ascii="Times New Roman" w:hAnsi="Times New Roman" w:cs="Times New Roman"/>
          <w:sz w:val="24"/>
          <w:szCs w:val="24"/>
        </w:rPr>
        <w:t xml:space="preserve"> de serviciu</w:t>
      </w:r>
      <w:r>
        <w:rPr>
          <w:rFonts w:ascii="Times New Roman" w:hAnsi="Times New Roman" w:cs="Times New Roman"/>
          <w:sz w:val="24"/>
          <w:szCs w:val="24"/>
        </w:rPr>
        <w:t xml:space="preserve">, de a căror </w:t>
      </w:r>
      <w:r w:rsidRPr="003B329E">
        <w:rPr>
          <w:rFonts w:ascii="Times New Roman" w:hAnsi="Times New Roman" w:cs="Times New Roman"/>
          <w:sz w:val="24"/>
          <w:szCs w:val="24"/>
        </w:rPr>
        <w:t>administrare este responsabilă Baza Auto, se conturează necesitatea transmiterii acestor tipuri de autovehicule autorităților cu atribuții în domeniu</w:t>
      </w:r>
      <w:r>
        <w:rPr>
          <w:rFonts w:ascii="Times New Roman" w:hAnsi="Times New Roman" w:cs="Times New Roman"/>
          <w:sz w:val="24"/>
          <w:szCs w:val="24"/>
        </w:rPr>
        <w:t>l</w:t>
      </w:r>
      <w:r w:rsidRPr="003B329E">
        <w:rPr>
          <w:rFonts w:ascii="Times New Roman" w:hAnsi="Times New Roman" w:cs="Times New Roman"/>
          <w:sz w:val="24"/>
          <w:szCs w:val="24"/>
        </w:rPr>
        <w:t xml:space="preserve"> acordării asistenței medicale din subordinea MS. Deși CS în anul 2022 a înaintat un demers MS în acest sens, acțiunea nu s-a soldat cu rezultate întruc</w:t>
      </w:r>
      <w:r>
        <w:rPr>
          <w:rFonts w:ascii="Times New Roman" w:hAnsi="Times New Roman" w:cs="Times New Roman"/>
          <w:sz w:val="24"/>
          <w:szCs w:val="24"/>
        </w:rPr>
        <w:t>â</w:t>
      </w:r>
      <w:r w:rsidRPr="003B329E">
        <w:rPr>
          <w:rFonts w:ascii="Times New Roman" w:hAnsi="Times New Roman" w:cs="Times New Roman"/>
          <w:sz w:val="24"/>
          <w:szCs w:val="24"/>
        </w:rPr>
        <w:t>t ministerul nu a dat curs solicitării.</w:t>
      </w:r>
    </w:p>
    <w:p w14:paraId="4DDAD137" w14:textId="1EAC702C" w:rsidR="00B94290" w:rsidRPr="003B329E" w:rsidRDefault="00F94284" w:rsidP="00F94284">
      <w:pPr>
        <w:spacing w:after="80" w:line="276" w:lineRule="auto"/>
        <w:jc w:val="both"/>
        <w:rPr>
          <w:rFonts w:ascii="Times New Roman" w:hAnsi="Times New Roman" w:cs="Times New Roman"/>
          <w:sz w:val="24"/>
          <w:szCs w:val="24"/>
        </w:rPr>
      </w:pPr>
      <w:r w:rsidRPr="003B329E">
        <w:rPr>
          <w:rFonts w:ascii="Times New Roman" w:hAnsi="Times New Roman" w:cs="Times New Roman"/>
          <w:sz w:val="24"/>
          <w:szCs w:val="24"/>
        </w:rPr>
        <w:t>Analiza auditului a stabilit că, pentru asigurarea cu autovehicule a celor două instituții medico-sanitare, I</w:t>
      </w:r>
      <w:r>
        <w:rPr>
          <w:rFonts w:ascii="Times New Roman" w:hAnsi="Times New Roman" w:cs="Times New Roman"/>
          <w:sz w:val="24"/>
          <w:szCs w:val="24"/>
        </w:rPr>
        <w:t>.</w:t>
      </w:r>
      <w:r w:rsidRPr="003B329E">
        <w:rPr>
          <w:rFonts w:ascii="Times New Roman" w:hAnsi="Times New Roman" w:cs="Times New Roman"/>
          <w:sz w:val="24"/>
          <w:szCs w:val="24"/>
        </w:rPr>
        <w:t>P</w:t>
      </w:r>
      <w:r>
        <w:rPr>
          <w:rFonts w:ascii="Times New Roman" w:hAnsi="Times New Roman" w:cs="Times New Roman"/>
          <w:sz w:val="24"/>
          <w:szCs w:val="24"/>
        </w:rPr>
        <w:t>.</w:t>
      </w:r>
      <w:r w:rsidRPr="003B329E">
        <w:rPr>
          <w:rFonts w:ascii="Times New Roman" w:hAnsi="Times New Roman" w:cs="Times New Roman"/>
          <w:sz w:val="24"/>
          <w:szCs w:val="24"/>
        </w:rPr>
        <w:t xml:space="preserve"> „BA a CS” pe parcursul anilor 2020</w:t>
      </w:r>
      <w:r>
        <w:rPr>
          <w:rFonts w:ascii="Times New Roman" w:hAnsi="Times New Roman" w:cs="Times New Roman"/>
          <w:sz w:val="24"/>
          <w:szCs w:val="24"/>
        </w:rPr>
        <w:t>-</w:t>
      </w:r>
      <w:r w:rsidRPr="003B329E">
        <w:rPr>
          <w:rFonts w:ascii="Times New Roman" w:hAnsi="Times New Roman" w:cs="Times New Roman"/>
          <w:sz w:val="24"/>
          <w:szCs w:val="24"/>
        </w:rPr>
        <w:t>2022 a suportat cheltuieli suplimentare în sumă totală de circa 2</w:t>
      </w:r>
      <w:r>
        <w:rPr>
          <w:rFonts w:ascii="Times New Roman" w:hAnsi="Times New Roman" w:cs="Times New Roman"/>
          <w:sz w:val="24"/>
          <w:szCs w:val="24"/>
        </w:rPr>
        <w:t>.</w:t>
      </w:r>
      <w:r w:rsidRPr="003B329E">
        <w:rPr>
          <w:rFonts w:ascii="Times New Roman" w:hAnsi="Times New Roman" w:cs="Times New Roman"/>
          <w:sz w:val="24"/>
          <w:szCs w:val="24"/>
        </w:rPr>
        <w:t>296,3 mii lei, dintre care: cheltuieli pentru combustibil – în valoare de 883,0 mii lei</w:t>
      </w:r>
      <w:r>
        <w:rPr>
          <w:rFonts w:ascii="Times New Roman" w:hAnsi="Times New Roman" w:cs="Times New Roman"/>
          <w:sz w:val="24"/>
          <w:szCs w:val="24"/>
        </w:rPr>
        <w:t>,</w:t>
      </w:r>
      <w:r w:rsidRPr="003B329E">
        <w:rPr>
          <w:rFonts w:ascii="Times New Roman" w:hAnsi="Times New Roman" w:cs="Times New Roman"/>
          <w:sz w:val="24"/>
          <w:szCs w:val="24"/>
        </w:rPr>
        <w:t xml:space="preserve"> și cheltuieli de personal – în sumă de 1.413,3 mii lei.</w:t>
      </w:r>
    </w:p>
    <w:p w14:paraId="354F5334" w14:textId="55CB445A" w:rsidR="000442EB" w:rsidRPr="00C013B0" w:rsidRDefault="000442EB" w:rsidP="00C013B0">
      <w:pPr>
        <w:pStyle w:val="a7"/>
        <w:numPr>
          <w:ilvl w:val="2"/>
          <w:numId w:val="4"/>
        </w:numPr>
        <w:tabs>
          <w:tab w:val="left" w:pos="567"/>
        </w:tabs>
        <w:spacing w:before="120" w:after="120" w:line="276" w:lineRule="auto"/>
        <w:ind w:left="0" w:firstLine="0"/>
        <w:contextualSpacing w:val="0"/>
        <w:jc w:val="both"/>
        <w:rPr>
          <w:rFonts w:ascii="Times New Roman" w:hAnsi="Times New Roman" w:cs="Times New Roman"/>
          <w:color w:val="0070C0"/>
          <w:sz w:val="24"/>
          <w:szCs w:val="24"/>
        </w:rPr>
      </w:pPr>
      <w:r w:rsidRPr="00C013B0">
        <w:rPr>
          <w:rFonts w:ascii="Times New Roman" w:hAnsi="Times New Roman" w:cs="Times New Roman"/>
          <w:b/>
          <w:color w:val="0070C0"/>
          <w:sz w:val="24"/>
          <w:szCs w:val="24"/>
        </w:rPr>
        <w:t>În</w:t>
      </w:r>
      <w:r w:rsidRPr="00C013B0">
        <w:rPr>
          <w:rFonts w:ascii="Times New Roman" w:eastAsia="Times New Roman" w:hAnsi="Times New Roman" w:cs="Times New Roman"/>
          <w:b/>
          <w:color w:val="0070C0"/>
          <w:sz w:val="24"/>
          <w:szCs w:val="24"/>
          <w:shd w:val="clear" w:color="auto" w:fill="FFFFFF"/>
        </w:rPr>
        <w:t xml:space="preserve"> cadrul </w:t>
      </w:r>
      <w:r w:rsidR="003B4055" w:rsidRPr="00C013B0">
        <w:rPr>
          <w:rFonts w:ascii="Times New Roman" w:eastAsia="Times New Roman" w:hAnsi="Times New Roman" w:cs="Times New Roman"/>
          <w:b/>
          <w:color w:val="0070C0"/>
          <w:sz w:val="24"/>
          <w:szCs w:val="24"/>
          <w:shd w:val="clear" w:color="auto" w:fill="FFFFFF"/>
        </w:rPr>
        <w:t>instituțiilor monitorizate de CS</w:t>
      </w:r>
      <w:r w:rsidRPr="00C013B0">
        <w:rPr>
          <w:rFonts w:ascii="Times New Roman" w:eastAsia="Times New Roman" w:hAnsi="Times New Roman" w:cs="Times New Roman"/>
          <w:b/>
          <w:color w:val="0070C0"/>
          <w:sz w:val="24"/>
          <w:szCs w:val="24"/>
          <w:shd w:val="clear" w:color="auto" w:fill="FFFFFF"/>
        </w:rPr>
        <w:t xml:space="preserve"> </w:t>
      </w:r>
      <w:bookmarkStart w:id="37" w:name="_Toc142925760"/>
      <w:r w:rsidRPr="00C013B0">
        <w:rPr>
          <w:rFonts w:ascii="Times New Roman" w:hAnsi="Times New Roman" w:cs="Times New Roman"/>
          <w:b/>
          <w:color w:val="0070C0"/>
          <w:sz w:val="24"/>
          <w:szCs w:val="24"/>
        </w:rPr>
        <w:t xml:space="preserve">a fost asigurat </w:t>
      </w:r>
      <w:r w:rsidR="009678DC" w:rsidRPr="00C013B0">
        <w:rPr>
          <w:rFonts w:ascii="Times New Roman" w:hAnsi="Times New Roman" w:cs="Times New Roman"/>
          <w:b/>
          <w:color w:val="0070C0"/>
          <w:sz w:val="24"/>
          <w:szCs w:val="24"/>
        </w:rPr>
        <w:t xml:space="preserve">parțial </w:t>
      </w:r>
      <w:r w:rsidRPr="00C013B0">
        <w:rPr>
          <w:rFonts w:ascii="Times New Roman" w:hAnsi="Times New Roman" w:cs="Times New Roman"/>
          <w:b/>
          <w:color w:val="0070C0"/>
          <w:sz w:val="24"/>
          <w:szCs w:val="24"/>
        </w:rPr>
        <w:t>un proces regulamentar de contabilizare, reevaluare, înregistrare cadastrală și raportare a bunurilor imobile proprietate publică a statului gestionate de acestea.</w:t>
      </w:r>
      <w:bookmarkEnd w:id="37"/>
    </w:p>
    <w:p w14:paraId="3F37D2B3" w14:textId="77777777" w:rsidR="003A1F29" w:rsidRPr="001021A4" w:rsidRDefault="00C75107" w:rsidP="00BD2237">
      <w:pPr>
        <w:pStyle w:val="a7"/>
        <w:numPr>
          <w:ilvl w:val="0"/>
          <w:numId w:val="18"/>
        </w:numPr>
        <w:tabs>
          <w:tab w:val="left" w:pos="2694"/>
        </w:tabs>
        <w:spacing w:line="276" w:lineRule="auto"/>
        <w:ind w:left="714" w:hanging="357"/>
        <w:contextualSpacing w:val="0"/>
        <w:jc w:val="both"/>
        <w:rPr>
          <w:rFonts w:ascii="Times New Roman" w:eastAsia="Times New Roman" w:hAnsi="Times New Roman" w:cs="Times New Roman"/>
          <w:b/>
          <w:i/>
          <w:color w:val="0070C0"/>
          <w:sz w:val="24"/>
          <w:szCs w:val="24"/>
          <w:shd w:val="clear" w:color="auto" w:fill="FFFFFF"/>
        </w:rPr>
      </w:pPr>
      <w:r w:rsidRPr="001021A4">
        <w:rPr>
          <w:rFonts w:ascii="Times New Roman" w:eastAsia="Times New Roman" w:hAnsi="Times New Roman" w:cs="Times New Roman"/>
          <w:b/>
          <w:i/>
          <w:color w:val="0070C0"/>
          <w:sz w:val="24"/>
          <w:szCs w:val="24"/>
          <w:shd w:val="clear" w:color="auto" w:fill="FFFFFF"/>
        </w:rPr>
        <w:t xml:space="preserve">Nereguli privind </w:t>
      </w:r>
      <w:r w:rsidR="00DB4FF9" w:rsidRPr="001021A4">
        <w:rPr>
          <w:rFonts w:ascii="Times New Roman" w:eastAsia="Times New Roman" w:hAnsi="Times New Roman" w:cs="Times New Roman"/>
          <w:b/>
          <w:i/>
          <w:color w:val="0070C0"/>
          <w:sz w:val="24"/>
          <w:szCs w:val="24"/>
          <w:shd w:val="clear" w:color="auto" w:fill="FFFFFF"/>
        </w:rPr>
        <w:t>înregistrarea la organul cadastral a bunurilor imobile administrate</w:t>
      </w:r>
      <w:r w:rsidRPr="001021A4">
        <w:rPr>
          <w:rFonts w:ascii="Times New Roman" w:eastAsia="Times New Roman" w:hAnsi="Times New Roman" w:cs="Times New Roman"/>
          <w:b/>
          <w:i/>
          <w:color w:val="0070C0"/>
          <w:sz w:val="24"/>
          <w:szCs w:val="24"/>
          <w:shd w:val="clear" w:color="auto" w:fill="FFFFFF"/>
        </w:rPr>
        <w:t xml:space="preserve"> de către instituțiile publice</w:t>
      </w:r>
    </w:p>
    <w:p w14:paraId="466F584B" w14:textId="77777777" w:rsidR="003019F5" w:rsidRPr="003B329E" w:rsidRDefault="003019F5" w:rsidP="003019F5">
      <w:pPr>
        <w:pStyle w:val="a7"/>
        <w:tabs>
          <w:tab w:val="left" w:pos="426"/>
        </w:tabs>
        <w:spacing w:after="80" w:line="276" w:lineRule="auto"/>
        <w:ind w:left="0"/>
        <w:contextualSpacing w:val="0"/>
        <w:jc w:val="both"/>
        <w:rPr>
          <w:rFonts w:ascii="Times New Roman" w:hAnsi="Times New Roman" w:cs="Times New Roman"/>
          <w:sz w:val="24"/>
          <w:szCs w:val="24"/>
        </w:rPr>
      </w:pPr>
      <w:r w:rsidRPr="003B329E">
        <w:rPr>
          <w:rFonts w:ascii="Times New Roman" w:hAnsi="Times New Roman" w:cs="Times New Roman"/>
          <w:sz w:val="24"/>
          <w:szCs w:val="24"/>
        </w:rPr>
        <w:t>Conform regulilor de înregistrare a bunurilor imobile</w:t>
      </w:r>
      <w:r w:rsidRPr="003B329E">
        <w:rPr>
          <w:rStyle w:val="a5"/>
          <w:rFonts w:ascii="Times New Roman" w:hAnsi="Times New Roman" w:cs="Times New Roman"/>
          <w:sz w:val="24"/>
          <w:szCs w:val="24"/>
        </w:rPr>
        <w:footnoteReference w:id="159"/>
      </w:r>
      <w:r w:rsidRPr="003B329E">
        <w:rPr>
          <w:rFonts w:ascii="Times New Roman" w:hAnsi="Times New Roman" w:cs="Times New Roman"/>
          <w:sz w:val="24"/>
          <w:szCs w:val="24"/>
        </w:rPr>
        <w:t xml:space="preserve">, orice </w:t>
      </w:r>
      <w:r w:rsidRPr="003019F5">
        <w:rPr>
          <w:rFonts w:ascii="Times New Roman" w:hAnsi="Times New Roman" w:cs="Times New Roman"/>
          <w:sz w:val="24"/>
          <w:szCs w:val="24"/>
        </w:rPr>
        <w:t>entitate/persoană juridică de drept public este obligată să asigure înregistrarea în RBI a drepturilor de gestiune economică</w:t>
      </w:r>
      <w:r w:rsidRPr="003B329E">
        <w:rPr>
          <w:rFonts w:ascii="Times New Roman" w:hAnsi="Times New Roman" w:cs="Times New Roman"/>
          <w:sz w:val="24"/>
          <w:szCs w:val="24"/>
        </w:rPr>
        <w:t xml:space="preserve"> asupra bunurilor imobile proprietate publică, în temeiul actelor administrative sau al altor acte justificative prin care se constituie sau se transmit aceste drepturi. </w:t>
      </w:r>
    </w:p>
    <w:p w14:paraId="61260987" w14:textId="20DFBB83" w:rsidR="00DB4FF9" w:rsidRPr="003B329E" w:rsidRDefault="003019F5" w:rsidP="00E93970">
      <w:pPr>
        <w:pStyle w:val="a7"/>
        <w:tabs>
          <w:tab w:val="left" w:pos="426"/>
        </w:tabs>
        <w:spacing w:after="80" w:line="276" w:lineRule="auto"/>
        <w:ind w:left="0"/>
        <w:contextualSpacing w:val="0"/>
        <w:jc w:val="both"/>
        <w:rPr>
          <w:rFonts w:ascii="Times New Roman" w:hAnsi="Times New Roman" w:cs="Times New Roman"/>
          <w:sz w:val="24"/>
          <w:szCs w:val="24"/>
        </w:rPr>
      </w:pPr>
      <w:r w:rsidRPr="003B329E">
        <w:rPr>
          <w:rFonts w:ascii="Times New Roman" w:hAnsi="Times New Roman" w:cs="Times New Roman"/>
          <w:sz w:val="24"/>
          <w:szCs w:val="24"/>
        </w:rPr>
        <w:t>Deși în perioada verificată CS și unele instituții monitorizate au întreprins unele măsuri privind legiferarea drepturilor reale asupra bunurilor imobile transmise în administrare și gestiune economică, totuși potrivit constatărilor de audit se atestă multiple cazuri de neînregistrare la organul cadastral a tuturor bunurilor imobile deținute</w:t>
      </w:r>
      <w:r>
        <w:rPr>
          <w:rFonts w:ascii="Times New Roman" w:hAnsi="Times New Roman" w:cs="Times New Roman"/>
          <w:sz w:val="24"/>
          <w:szCs w:val="24"/>
        </w:rPr>
        <w:t>,</w:t>
      </w:r>
      <w:r w:rsidRPr="003B329E">
        <w:rPr>
          <w:rFonts w:ascii="Times New Roman" w:hAnsi="Times New Roman" w:cs="Times New Roman"/>
          <w:sz w:val="24"/>
          <w:szCs w:val="24"/>
        </w:rPr>
        <w:t xml:space="preserve"> precum și erori în datele cadastrale. În acest context</w:t>
      </w:r>
      <w:r>
        <w:rPr>
          <w:rFonts w:ascii="Times New Roman" w:hAnsi="Times New Roman" w:cs="Times New Roman"/>
          <w:sz w:val="24"/>
          <w:szCs w:val="24"/>
        </w:rPr>
        <w:t>,</w:t>
      </w:r>
      <w:r w:rsidRPr="003B329E">
        <w:rPr>
          <w:rFonts w:ascii="Times New Roman" w:hAnsi="Times New Roman" w:cs="Times New Roman"/>
          <w:sz w:val="24"/>
          <w:szCs w:val="24"/>
        </w:rPr>
        <w:t xml:space="preserve"> se menționează următoarele</w:t>
      </w:r>
      <w:r>
        <w:rPr>
          <w:rFonts w:ascii="Times New Roman" w:hAnsi="Times New Roman" w:cs="Times New Roman"/>
          <w:sz w:val="24"/>
          <w:szCs w:val="24"/>
        </w:rPr>
        <w:t>.</w:t>
      </w:r>
    </w:p>
    <w:p w14:paraId="0B48711D" w14:textId="403017CE" w:rsidR="00EC050D" w:rsidRPr="003B329E" w:rsidRDefault="00EC050D" w:rsidP="00E93970">
      <w:pPr>
        <w:pStyle w:val="a7"/>
        <w:tabs>
          <w:tab w:val="left" w:pos="426"/>
        </w:tabs>
        <w:spacing w:after="80" w:line="276" w:lineRule="auto"/>
        <w:ind w:left="0"/>
        <w:contextualSpacing w:val="0"/>
        <w:jc w:val="both"/>
        <w:rPr>
          <w:rFonts w:ascii="Times New Roman" w:hAnsi="Times New Roman" w:cs="Times New Roman"/>
          <w:i/>
          <w:sz w:val="24"/>
          <w:szCs w:val="24"/>
        </w:rPr>
      </w:pPr>
      <w:r w:rsidRPr="003B329E">
        <w:rPr>
          <w:rFonts w:ascii="Times New Roman" w:hAnsi="Times New Roman" w:cs="Times New Roman"/>
          <w:i/>
          <w:sz w:val="24"/>
          <w:szCs w:val="24"/>
        </w:rPr>
        <w:t>Neconformități la acest aspect la DGACG</w:t>
      </w:r>
    </w:p>
    <w:p w14:paraId="00B1B9C7" w14:textId="75F37BEA" w:rsidR="003019F5" w:rsidRPr="003B329E" w:rsidRDefault="003019F5" w:rsidP="003019F5">
      <w:pPr>
        <w:tabs>
          <w:tab w:val="left" w:pos="426"/>
        </w:tabs>
        <w:spacing w:after="120" w:line="276" w:lineRule="auto"/>
        <w:jc w:val="both"/>
        <w:rPr>
          <w:rFonts w:ascii="Times New Roman" w:hAnsi="Times New Roman" w:cs="Times New Roman"/>
          <w:sz w:val="24"/>
          <w:szCs w:val="24"/>
        </w:rPr>
      </w:pPr>
      <w:r w:rsidRPr="003B329E">
        <w:rPr>
          <w:rFonts w:ascii="Times New Roman" w:hAnsi="Times New Roman" w:cs="Times New Roman"/>
          <w:sz w:val="24"/>
          <w:szCs w:val="24"/>
        </w:rPr>
        <w:t xml:space="preserve">DGACG nu a asigurat înregistrarea integrală la organul cadastral a dreptului de proprietate asupra </w:t>
      </w:r>
      <w:r>
        <w:rPr>
          <w:rFonts w:ascii="Times New Roman" w:hAnsi="Times New Roman" w:cs="Times New Roman"/>
          <w:sz w:val="24"/>
          <w:szCs w:val="24"/>
        </w:rPr>
        <w:t xml:space="preserve">a </w:t>
      </w:r>
      <w:r w:rsidRPr="003B329E">
        <w:rPr>
          <w:rFonts w:ascii="Times New Roman" w:hAnsi="Times New Roman" w:cs="Times New Roman"/>
          <w:sz w:val="24"/>
          <w:szCs w:val="24"/>
        </w:rPr>
        <w:t xml:space="preserve">24 </w:t>
      </w:r>
      <w:r>
        <w:rPr>
          <w:rFonts w:ascii="Times New Roman" w:hAnsi="Times New Roman" w:cs="Times New Roman"/>
          <w:sz w:val="24"/>
          <w:szCs w:val="24"/>
        </w:rPr>
        <w:t xml:space="preserve">de </w:t>
      </w:r>
      <w:r w:rsidRPr="003B329E">
        <w:rPr>
          <w:rFonts w:ascii="Times New Roman" w:hAnsi="Times New Roman" w:cs="Times New Roman"/>
          <w:sz w:val="24"/>
          <w:szCs w:val="24"/>
        </w:rPr>
        <w:t>imobile cu suprafața de circ</w:t>
      </w:r>
      <w:r>
        <w:rPr>
          <w:rFonts w:ascii="Times New Roman" w:hAnsi="Times New Roman" w:cs="Times New Roman"/>
          <w:sz w:val="24"/>
          <w:szCs w:val="24"/>
        </w:rPr>
        <w:t>a</w:t>
      </w:r>
      <w:r w:rsidRPr="003B329E">
        <w:rPr>
          <w:rFonts w:ascii="Times New Roman" w:hAnsi="Times New Roman" w:cs="Times New Roman"/>
          <w:sz w:val="24"/>
          <w:szCs w:val="24"/>
        </w:rPr>
        <w:t xml:space="preserve"> 3</w:t>
      </w:r>
      <w:r>
        <w:rPr>
          <w:rFonts w:ascii="Times New Roman" w:hAnsi="Times New Roman" w:cs="Times New Roman"/>
          <w:sz w:val="24"/>
          <w:szCs w:val="24"/>
        </w:rPr>
        <w:t>.</w:t>
      </w:r>
      <w:r w:rsidRPr="003B329E">
        <w:rPr>
          <w:rFonts w:ascii="Times New Roman" w:hAnsi="Times New Roman" w:cs="Times New Roman"/>
          <w:sz w:val="24"/>
          <w:szCs w:val="24"/>
        </w:rPr>
        <w:t>601,14 m.p. și în valoare de 3</w:t>
      </w:r>
      <w:r>
        <w:rPr>
          <w:rFonts w:ascii="Times New Roman" w:hAnsi="Times New Roman" w:cs="Times New Roman"/>
          <w:sz w:val="24"/>
          <w:szCs w:val="24"/>
        </w:rPr>
        <w:t>.</w:t>
      </w:r>
      <w:r w:rsidRPr="003B329E">
        <w:rPr>
          <w:rFonts w:ascii="Times New Roman" w:hAnsi="Times New Roman" w:cs="Times New Roman"/>
          <w:sz w:val="24"/>
          <w:szCs w:val="24"/>
        </w:rPr>
        <w:t>146,0 mii lei. Datele analitice per-constr</w:t>
      </w:r>
      <w:r>
        <w:rPr>
          <w:rFonts w:ascii="Times New Roman" w:hAnsi="Times New Roman" w:cs="Times New Roman"/>
          <w:sz w:val="24"/>
          <w:szCs w:val="24"/>
        </w:rPr>
        <w:t xml:space="preserve">ucție sunt prezentate în </w:t>
      </w:r>
      <w:r w:rsidR="00F94284" w:rsidRPr="005027AB">
        <w:rPr>
          <w:rFonts w:ascii="Times New Roman" w:hAnsi="Times New Roman" w:cs="Times New Roman"/>
          <w:i/>
          <w:sz w:val="24"/>
          <w:szCs w:val="24"/>
        </w:rPr>
        <w:t>Anexa nr.10 la prezentul Raport de audit.</w:t>
      </w:r>
    </w:p>
    <w:p w14:paraId="3D30C629" w14:textId="77777777" w:rsidR="003019F5" w:rsidRPr="003B329E" w:rsidRDefault="003019F5" w:rsidP="003019F5">
      <w:pPr>
        <w:tabs>
          <w:tab w:val="left" w:pos="426"/>
        </w:tabs>
        <w:spacing w:after="120" w:line="276" w:lineRule="auto"/>
        <w:jc w:val="both"/>
        <w:rPr>
          <w:rFonts w:ascii="Times New Roman" w:hAnsi="Times New Roman" w:cs="Times New Roman"/>
          <w:sz w:val="24"/>
          <w:szCs w:val="24"/>
        </w:rPr>
      </w:pPr>
      <w:r w:rsidRPr="003B329E">
        <w:rPr>
          <w:rFonts w:ascii="Times New Roman" w:hAnsi="Times New Roman" w:cs="Times New Roman"/>
          <w:sz w:val="24"/>
          <w:szCs w:val="24"/>
        </w:rPr>
        <w:t xml:space="preserve">Neînregistrarea la organul cadastral a clădirilor și </w:t>
      </w:r>
      <w:r>
        <w:rPr>
          <w:rFonts w:ascii="Times New Roman" w:hAnsi="Times New Roman" w:cs="Times New Roman"/>
          <w:sz w:val="24"/>
          <w:szCs w:val="24"/>
        </w:rPr>
        <w:t xml:space="preserve">a </w:t>
      </w:r>
      <w:r w:rsidRPr="003B329E">
        <w:rPr>
          <w:rFonts w:ascii="Times New Roman" w:hAnsi="Times New Roman" w:cs="Times New Roman"/>
          <w:sz w:val="24"/>
          <w:szCs w:val="24"/>
        </w:rPr>
        <w:t xml:space="preserve">drepturilor reale asupra acestora creează premise privind demolarea </w:t>
      </w:r>
      <w:r>
        <w:rPr>
          <w:rFonts w:ascii="Times New Roman" w:hAnsi="Times New Roman" w:cs="Times New Roman"/>
          <w:sz w:val="24"/>
          <w:szCs w:val="24"/>
        </w:rPr>
        <w:t>lor</w:t>
      </w:r>
      <w:r w:rsidRPr="003B329E">
        <w:rPr>
          <w:rFonts w:ascii="Times New Roman" w:hAnsi="Times New Roman" w:cs="Times New Roman"/>
          <w:sz w:val="24"/>
          <w:szCs w:val="24"/>
        </w:rPr>
        <w:t xml:space="preserve"> fără înștiințarea deținătorului imobilului. În acest context se exemplifică situația consta</w:t>
      </w:r>
      <w:r>
        <w:rPr>
          <w:rFonts w:ascii="Times New Roman" w:hAnsi="Times New Roman" w:cs="Times New Roman"/>
          <w:sz w:val="24"/>
          <w:szCs w:val="24"/>
        </w:rPr>
        <w:t>ta</w:t>
      </w:r>
      <w:r w:rsidRPr="003B329E">
        <w:rPr>
          <w:rFonts w:ascii="Times New Roman" w:hAnsi="Times New Roman" w:cs="Times New Roman"/>
          <w:sz w:val="24"/>
          <w:szCs w:val="24"/>
        </w:rPr>
        <w:t xml:space="preserve">tă de audit la bunurile imobile din str. </w:t>
      </w:r>
      <w:r>
        <w:rPr>
          <w:rFonts w:ascii="Times New Roman" w:hAnsi="Times New Roman" w:cs="Times New Roman"/>
          <w:sz w:val="24"/>
          <w:szCs w:val="24"/>
        </w:rPr>
        <w:t xml:space="preserve">Mitropolit G. </w:t>
      </w:r>
      <w:r w:rsidRPr="003B329E">
        <w:rPr>
          <w:rFonts w:ascii="Times New Roman" w:hAnsi="Times New Roman" w:cs="Times New Roman"/>
          <w:sz w:val="24"/>
          <w:szCs w:val="24"/>
        </w:rPr>
        <w:t>Bănulescu</w:t>
      </w:r>
      <w:r>
        <w:rPr>
          <w:rFonts w:ascii="Times New Roman" w:hAnsi="Times New Roman" w:cs="Times New Roman"/>
          <w:sz w:val="24"/>
          <w:szCs w:val="24"/>
        </w:rPr>
        <w:t>-</w:t>
      </w:r>
      <w:r w:rsidRPr="003B329E">
        <w:rPr>
          <w:rFonts w:ascii="Times New Roman" w:hAnsi="Times New Roman" w:cs="Times New Roman"/>
          <w:sz w:val="24"/>
          <w:szCs w:val="24"/>
        </w:rPr>
        <w:t>Bodoni nr. 45. Astfel, la situația d</w:t>
      </w:r>
      <w:r>
        <w:rPr>
          <w:rFonts w:ascii="Times New Roman" w:hAnsi="Times New Roman" w:cs="Times New Roman"/>
          <w:sz w:val="24"/>
          <w:szCs w:val="24"/>
        </w:rPr>
        <w:t>in</w:t>
      </w:r>
      <w:r w:rsidRPr="003B329E">
        <w:rPr>
          <w:rFonts w:ascii="Times New Roman" w:hAnsi="Times New Roman" w:cs="Times New Roman"/>
          <w:sz w:val="24"/>
          <w:szCs w:val="24"/>
        </w:rPr>
        <w:t xml:space="preserve"> 31.12.2022</w:t>
      </w:r>
      <w:r>
        <w:rPr>
          <w:rFonts w:ascii="Times New Roman" w:hAnsi="Times New Roman" w:cs="Times New Roman"/>
          <w:sz w:val="24"/>
          <w:szCs w:val="24"/>
        </w:rPr>
        <w:t>,</w:t>
      </w:r>
      <w:r w:rsidRPr="003B329E">
        <w:rPr>
          <w:rFonts w:ascii="Times New Roman" w:hAnsi="Times New Roman" w:cs="Times New Roman"/>
          <w:sz w:val="24"/>
          <w:szCs w:val="24"/>
        </w:rPr>
        <w:t xml:space="preserve"> în evidența contabilă a DGACG erau reflectate 3 imobile</w:t>
      </w:r>
      <w:r w:rsidRPr="003B329E">
        <w:rPr>
          <w:rStyle w:val="a5"/>
          <w:rFonts w:ascii="Times New Roman" w:hAnsi="Times New Roman" w:cs="Times New Roman"/>
          <w:sz w:val="24"/>
          <w:szCs w:val="24"/>
        </w:rPr>
        <w:footnoteReference w:id="160"/>
      </w:r>
      <w:r>
        <w:rPr>
          <w:rFonts w:ascii="Times New Roman" w:hAnsi="Times New Roman" w:cs="Times New Roman"/>
          <w:sz w:val="24"/>
          <w:szCs w:val="24"/>
        </w:rPr>
        <w:t>,</w:t>
      </w:r>
      <w:r w:rsidRPr="003B329E">
        <w:rPr>
          <w:rFonts w:ascii="Times New Roman" w:hAnsi="Times New Roman" w:cs="Times New Roman"/>
          <w:sz w:val="24"/>
          <w:szCs w:val="24"/>
        </w:rPr>
        <w:t xml:space="preserve"> dintre care două nu s</w:t>
      </w:r>
      <w:r>
        <w:rPr>
          <w:rFonts w:ascii="Times New Roman" w:hAnsi="Times New Roman" w:cs="Times New Roman"/>
          <w:sz w:val="24"/>
          <w:szCs w:val="24"/>
        </w:rPr>
        <w:t>u</w:t>
      </w:r>
      <w:r w:rsidRPr="003B329E">
        <w:rPr>
          <w:rFonts w:ascii="Times New Roman" w:hAnsi="Times New Roman" w:cs="Times New Roman"/>
          <w:sz w:val="24"/>
          <w:szCs w:val="24"/>
        </w:rPr>
        <w:t>nt înregistrate la organul cadastral</w:t>
      </w:r>
      <w:r w:rsidRPr="003B329E">
        <w:rPr>
          <w:rStyle w:val="a5"/>
          <w:rFonts w:ascii="Times New Roman" w:hAnsi="Times New Roman" w:cs="Times New Roman"/>
          <w:sz w:val="24"/>
          <w:szCs w:val="24"/>
        </w:rPr>
        <w:footnoteReference w:id="161"/>
      </w:r>
      <w:r w:rsidRPr="003B329E">
        <w:rPr>
          <w:rFonts w:ascii="Times New Roman" w:hAnsi="Times New Roman" w:cs="Times New Roman"/>
          <w:sz w:val="24"/>
          <w:szCs w:val="24"/>
        </w:rPr>
        <w:t xml:space="preserve"> și s</w:t>
      </w:r>
      <w:r>
        <w:rPr>
          <w:rFonts w:ascii="Times New Roman" w:hAnsi="Times New Roman" w:cs="Times New Roman"/>
          <w:sz w:val="24"/>
          <w:szCs w:val="24"/>
        </w:rPr>
        <w:t>u</w:t>
      </w:r>
      <w:r w:rsidRPr="003B329E">
        <w:rPr>
          <w:rFonts w:ascii="Times New Roman" w:hAnsi="Times New Roman" w:cs="Times New Roman"/>
          <w:sz w:val="24"/>
          <w:szCs w:val="24"/>
        </w:rPr>
        <w:t>nt date în locațiune</w:t>
      </w:r>
      <w:r w:rsidRPr="003B329E">
        <w:rPr>
          <w:rStyle w:val="a5"/>
          <w:rFonts w:ascii="Times New Roman" w:hAnsi="Times New Roman" w:cs="Times New Roman"/>
          <w:sz w:val="24"/>
          <w:szCs w:val="24"/>
        </w:rPr>
        <w:footnoteReference w:id="162"/>
      </w:r>
      <w:r w:rsidRPr="003B329E">
        <w:rPr>
          <w:rFonts w:ascii="Times New Roman" w:hAnsi="Times New Roman" w:cs="Times New Roman"/>
          <w:sz w:val="24"/>
          <w:szCs w:val="24"/>
        </w:rPr>
        <w:t xml:space="preserve"> agentului economic proprietar al terenului din jurul imobilelor respective. </w:t>
      </w:r>
      <w:r>
        <w:rPr>
          <w:rFonts w:ascii="Times New Roman" w:hAnsi="Times New Roman" w:cs="Times New Roman"/>
          <w:sz w:val="24"/>
          <w:szCs w:val="24"/>
        </w:rPr>
        <w:t>Ca u</w:t>
      </w:r>
      <w:r w:rsidRPr="003B329E">
        <w:rPr>
          <w:rFonts w:ascii="Times New Roman" w:hAnsi="Times New Roman" w:cs="Times New Roman"/>
          <w:sz w:val="24"/>
          <w:szCs w:val="24"/>
        </w:rPr>
        <w:t>rmare a vizualizării de către audit la fața locului, s-a constatat că cele două imobile arendate au fost demolate de către agentul economic menționat, care în locul acestora a construit un alt imobil, însă fără a rezilia contractul de locațiune și fără înștiințarea documentară a proprietarului. Cele menționate denotă nerespect</w:t>
      </w:r>
      <w:r>
        <w:rPr>
          <w:rFonts w:ascii="Times New Roman" w:hAnsi="Times New Roman" w:cs="Times New Roman"/>
          <w:sz w:val="24"/>
          <w:szCs w:val="24"/>
        </w:rPr>
        <w:t>area</w:t>
      </w:r>
      <w:r w:rsidRPr="003B329E">
        <w:rPr>
          <w:rFonts w:ascii="Times New Roman" w:hAnsi="Times New Roman" w:cs="Times New Roman"/>
          <w:sz w:val="24"/>
          <w:szCs w:val="24"/>
        </w:rPr>
        <w:t xml:space="preserve"> cadrului legal care prevede că clădirile şi alte construcții principale cu caracter definitiv, indiferent dacă sunt bunuri imobile sau p</w:t>
      </w:r>
      <w:r>
        <w:rPr>
          <w:rFonts w:ascii="Times New Roman" w:hAnsi="Times New Roman" w:cs="Times New Roman"/>
          <w:sz w:val="24"/>
          <w:szCs w:val="24"/>
        </w:rPr>
        <w:t>ă</w:t>
      </w:r>
      <w:r w:rsidRPr="003B329E">
        <w:rPr>
          <w:rFonts w:ascii="Times New Roman" w:hAnsi="Times New Roman" w:cs="Times New Roman"/>
          <w:sz w:val="24"/>
          <w:szCs w:val="24"/>
        </w:rPr>
        <w:t>rți componente ale acestora</w:t>
      </w:r>
      <w:r>
        <w:rPr>
          <w:rFonts w:ascii="Times New Roman" w:hAnsi="Times New Roman" w:cs="Times New Roman"/>
          <w:sz w:val="24"/>
          <w:szCs w:val="24"/>
        </w:rPr>
        <w:t>,</w:t>
      </w:r>
      <w:r w:rsidRPr="003B329E">
        <w:rPr>
          <w:rFonts w:ascii="Times New Roman" w:hAnsi="Times New Roman" w:cs="Times New Roman"/>
          <w:sz w:val="24"/>
          <w:szCs w:val="24"/>
        </w:rPr>
        <w:t xml:space="preserve"> sunt supuse înregistrării obligatorii în </w:t>
      </w:r>
      <w:r>
        <w:rPr>
          <w:rFonts w:ascii="Times New Roman" w:hAnsi="Times New Roman" w:cs="Times New Roman"/>
          <w:sz w:val="24"/>
          <w:szCs w:val="24"/>
        </w:rPr>
        <w:t>R</w:t>
      </w:r>
      <w:r w:rsidRPr="003B329E">
        <w:rPr>
          <w:rFonts w:ascii="Times New Roman" w:hAnsi="Times New Roman" w:cs="Times New Roman"/>
          <w:sz w:val="24"/>
          <w:szCs w:val="24"/>
        </w:rPr>
        <w:t>egistrul bunurilor imobile. Totodată</w:t>
      </w:r>
      <w:r>
        <w:rPr>
          <w:rFonts w:ascii="Times New Roman" w:hAnsi="Times New Roman" w:cs="Times New Roman"/>
          <w:sz w:val="24"/>
          <w:szCs w:val="24"/>
        </w:rPr>
        <w:t>,</w:t>
      </w:r>
      <w:r w:rsidRPr="003B329E">
        <w:rPr>
          <w:rFonts w:ascii="Times New Roman" w:hAnsi="Times New Roman" w:cs="Times New Roman"/>
          <w:sz w:val="24"/>
          <w:szCs w:val="24"/>
        </w:rPr>
        <w:t xml:space="preserve"> se indică că</w:t>
      </w:r>
      <w:r>
        <w:rPr>
          <w:rFonts w:ascii="Times New Roman" w:hAnsi="Times New Roman" w:cs="Times New Roman"/>
          <w:sz w:val="24"/>
          <w:szCs w:val="24"/>
        </w:rPr>
        <w:t>,</w:t>
      </w:r>
      <w:r w:rsidRPr="003B329E">
        <w:rPr>
          <w:rFonts w:ascii="Times New Roman" w:hAnsi="Times New Roman" w:cs="Times New Roman"/>
          <w:sz w:val="24"/>
          <w:szCs w:val="24"/>
        </w:rPr>
        <w:t xml:space="preserve"> în perioada auditată</w:t>
      </w:r>
      <w:r>
        <w:rPr>
          <w:rFonts w:ascii="Times New Roman" w:hAnsi="Times New Roman" w:cs="Times New Roman"/>
          <w:sz w:val="24"/>
          <w:szCs w:val="24"/>
        </w:rPr>
        <w:t>,</w:t>
      </w:r>
      <w:r w:rsidRPr="003B329E">
        <w:rPr>
          <w:rFonts w:ascii="Times New Roman" w:hAnsi="Times New Roman" w:cs="Times New Roman"/>
          <w:sz w:val="24"/>
          <w:szCs w:val="24"/>
        </w:rPr>
        <w:t xml:space="preserve"> inventarierea a fost </w:t>
      </w:r>
      <w:r>
        <w:rPr>
          <w:rFonts w:ascii="Times New Roman" w:hAnsi="Times New Roman" w:cs="Times New Roman"/>
          <w:sz w:val="24"/>
          <w:szCs w:val="24"/>
        </w:rPr>
        <w:t xml:space="preserve">efectuată </w:t>
      </w:r>
      <w:r w:rsidRPr="003B329E">
        <w:rPr>
          <w:rFonts w:ascii="Times New Roman" w:hAnsi="Times New Roman" w:cs="Times New Roman"/>
          <w:sz w:val="24"/>
          <w:szCs w:val="24"/>
        </w:rPr>
        <w:t>formal</w:t>
      </w:r>
      <w:r>
        <w:rPr>
          <w:rFonts w:ascii="Times New Roman" w:hAnsi="Times New Roman" w:cs="Times New Roman"/>
          <w:sz w:val="24"/>
          <w:szCs w:val="24"/>
        </w:rPr>
        <w:t>,</w:t>
      </w:r>
      <w:r w:rsidRPr="003B329E">
        <w:rPr>
          <w:rFonts w:ascii="Times New Roman" w:hAnsi="Times New Roman" w:cs="Times New Roman"/>
          <w:sz w:val="24"/>
          <w:szCs w:val="24"/>
        </w:rPr>
        <w:t xml:space="preserve"> cu abateri de la prevederile legale. Cele menționate determină riscul pierderii dreptului de proprietate și al înstrăinării ilegale a bunurilor imobile.</w:t>
      </w:r>
    </w:p>
    <w:p w14:paraId="132ED596" w14:textId="602AD8DF" w:rsidR="003019F5" w:rsidRDefault="003019F5" w:rsidP="003019F5">
      <w:pPr>
        <w:tabs>
          <w:tab w:val="left" w:pos="426"/>
        </w:tabs>
        <w:spacing w:after="120" w:line="276" w:lineRule="auto"/>
        <w:jc w:val="both"/>
        <w:rPr>
          <w:rFonts w:ascii="Times New Roman" w:hAnsi="Times New Roman" w:cs="Times New Roman"/>
          <w:sz w:val="24"/>
          <w:szCs w:val="24"/>
        </w:rPr>
      </w:pPr>
      <w:r w:rsidRPr="003B329E">
        <w:rPr>
          <w:rFonts w:ascii="Times New Roman" w:hAnsi="Times New Roman" w:cs="Times New Roman"/>
          <w:sz w:val="24"/>
          <w:szCs w:val="24"/>
        </w:rPr>
        <w:t xml:space="preserve">Entitatea nu a clarificat situația privind existența discrepanțelor </w:t>
      </w:r>
      <w:r>
        <w:rPr>
          <w:rFonts w:ascii="Times New Roman" w:hAnsi="Times New Roman" w:cs="Times New Roman"/>
          <w:sz w:val="24"/>
          <w:szCs w:val="24"/>
        </w:rPr>
        <w:t xml:space="preserve">în informațiile privind </w:t>
      </w:r>
      <w:r w:rsidRPr="003B329E">
        <w:rPr>
          <w:rFonts w:ascii="Times New Roman" w:hAnsi="Times New Roman" w:cs="Times New Roman"/>
          <w:sz w:val="24"/>
          <w:szCs w:val="24"/>
        </w:rPr>
        <w:t>suprafețel</w:t>
      </w:r>
      <w:r>
        <w:rPr>
          <w:rFonts w:ascii="Times New Roman" w:hAnsi="Times New Roman" w:cs="Times New Roman"/>
          <w:sz w:val="24"/>
          <w:szCs w:val="24"/>
        </w:rPr>
        <w:t>e</w:t>
      </w:r>
      <w:r w:rsidRPr="003B329E">
        <w:rPr>
          <w:rFonts w:ascii="Times New Roman" w:hAnsi="Times New Roman" w:cs="Times New Roman"/>
          <w:sz w:val="24"/>
          <w:szCs w:val="24"/>
        </w:rPr>
        <w:t xml:space="preserve"> încăperilor izolate din clădirile administrate, și </w:t>
      </w:r>
      <w:r w:rsidRPr="003019F5">
        <w:rPr>
          <w:rFonts w:ascii="Times New Roman" w:hAnsi="Times New Roman" w:cs="Times New Roman"/>
          <w:sz w:val="24"/>
          <w:szCs w:val="24"/>
        </w:rPr>
        <w:t>anume omogenizarea/unificarea datelor</w:t>
      </w:r>
      <w:r w:rsidRPr="003B329E">
        <w:rPr>
          <w:rFonts w:ascii="Times New Roman" w:hAnsi="Times New Roman" w:cs="Times New Roman"/>
          <w:sz w:val="24"/>
          <w:szCs w:val="24"/>
        </w:rPr>
        <w:t xml:space="preserve"> din RBI a</w:t>
      </w:r>
      <w:r>
        <w:rPr>
          <w:rFonts w:ascii="Times New Roman" w:hAnsi="Times New Roman" w:cs="Times New Roman"/>
          <w:sz w:val="24"/>
          <w:szCs w:val="24"/>
        </w:rPr>
        <w:t>l</w:t>
      </w:r>
      <w:r w:rsidRPr="003B329E">
        <w:rPr>
          <w:rFonts w:ascii="Times New Roman" w:hAnsi="Times New Roman" w:cs="Times New Roman"/>
          <w:sz w:val="24"/>
          <w:szCs w:val="24"/>
        </w:rPr>
        <w:t xml:space="preserve"> organului cadastral cu datele evidenței contabile și cele prezentate </w:t>
      </w:r>
      <w:r>
        <w:rPr>
          <w:rFonts w:ascii="Times New Roman" w:hAnsi="Times New Roman" w:cs="Times New Roman"/>
          <w:sz w:val="24"/>
          <w:szCs w:val="24"/>
        </w:rPr>
        <w:t xml:space="preserve">de </w:t>
      </w:r>
      <w:r w:rsidRPr="003B329E">
        <w:rPr>
          <w:rFonts w:ascii="Times New Roman" w:hAnsi="Times New Roman" w:cs="Times New Roman"/>
          <w:sz w:val="24"/>
          <w:szCs w:val="24"/>
        </w:rPr>
        <w:t>APP. În acest context exemplificăm situația constatată la imobilele</w:t>
      </w:r>
      <w:r w:rsidRPr="003B329E">
        <w:rPr>
          <w:rStyle w:val="a5"/>
          <w:rFonts w:ascii="Times New Roman" w:hAnsi="Times New Roman" w:cs="Times New Roman"/>
          <w:sz w:val="24"/>
          <w:szCs w:val="24"/>
        </w:rPr>
        <w:footnoteReference w:id="163"/>
      </w:r>
      <w:r w:rsidRPr="003B329E">
        <w:rPr>
          <w:rFonts w:ascii="Times New Roman" w:hAnsi="Times New Roman" w:cs="Times New Roman"/>
          <w:sz w:val="24"/>
          <w:szCs w:val="24"/>
        </w:rPr>
        <w:t xml:space="preserve"> din </w:t>
      </w:r>
      <w:r>
        <w:rPr>
          <w:rFonts w:ascii="Times New Roman" w:hAnsi="Times New Roman" w:cs="Times New Roman"/>
          <w:sz w:val="24"/>
          <w:szCs w:val="24"/>
        </w:rPr>
        <w:t>bd</w:t>
      </w:r>
      <w:r w:rsidRPr="003B329E">
        <w:rPr>
          <w:rFonts w:ascii="Times New Roman" w:hAnsi="Times New Roman" w:cs="Times New Roman"/>
          <w:sz w:val="24"/>
          <w:szCs w:val="24"/>
        </w:rPr>
        <w:t xml:space="preserve">. Ștefan cel Mare </w:t>
      </w:r>
      <w:r>
        <w:rPr>
          <w:rFonts w:ascii="Times New Roman" w:hAnsi="Times New Roman" w:cs="Times New Roman"/>
          <w:sz w:val="24"/>
          <w:szCs w:val="24"/>
        </w:rPr>
        <w:t xml:space="preserve">și Sfânt </w:t>
      </w:r>
      <w:r w:rsidRPr="003B329E">
        <w:rPr>
          <w:rFonts w:ascii="Times New Roman" w:hAnsi="Times New Roman" w:cs="Times New Roman"/>
          <w:sz w:val="24"/>
          <w:szCs w:val="24"/>
        </w:rPr>
        <w:t>nr. 180, care este reflectată în evidența contabilă și raportată la APP cu suprafața totală de 9</w:t>
      </w:r>
      <w:r>
        <w:rPr>
          <w:rFonts w:ascii="Times New Roman" w:hAnsi="Times New Roman" w:cs="Times New Roman"/>
          <w:sz w:val="24"/>
          <w:szCs w:val="24"/>
        </w:rPr>
        <w:t>.</w:t>
      </w:r>
      <w:r w:rsidRPr="003B329E">
        <w:rPr>
          <w:rFonts w:ascii="Times New Roman" w:hAnsi="Times New Roman" w:cs="Times New Roman"/>
          <w:sz w:val="24"/>
          <w:szCs w:val="24"/>
        </w:rPr>
        <w:t>355 m.p</w:t>
      </w:r>
      <w:r>
        <w:rPr>
          <w:rFonts w:ascii="Times New Roman" w:hAnsi="Times New Roman" w:cs="Times New Roman"/>
          <w:sz w:val="24"/>
          <w:szCs w:val="24"/>
        </w:rPr>
        <w:t>.,</w:t>
      </w:r>
      <w:r w:rsidRPr="003B329E">
        <w:rPr>
          <w:rFonts w:ascii="Times New Roman" w:hAnsi="Times New Roman" w:cs="Times New Roman"/>
          <w:sz w:val="24"/>
          <w:szCs w:val="24"/>
        </w:rPr>
        <w:t xml:space="preserve"> pe când la OCT este înregistrată cu suprafața de 9</w:t>
      </w:r>
      <w:r>
        <w:rPr>
          <w:rFonts w:ascii="Times New Roman" w:hAnsi="Times New Roman" w:cs="Times New Roman"/>
          <w:sz w:val="24"/>
          <w:szCs w:val="24"/>
        </w:rPr>
        <w:t>.</w:t>
      </w:r>
      <w:r w:rsidRPr="003B329E">
        <w:rPr>
          <w:rFonts w:ascii="Times New Roman" w:hAnsi="Times New Roman" w:cs="Times New Roman"/>
          <w:sz w:val="24"/>
          <w:szCs w:val="24"/>
        </w:rPr>
        <w:t>033,2</w:t>
      </w:r>
      <w:r>
        <w:rPr>
          <w:rFonts w:ascii="Times New Roman" w:hAnsi="Times New Roman" w:cs="Times New Roman"/>
          <w:sz w:val="24"/>
          <w:szCs w:val="24"/>
        </w:rPr>
        <w:t xml:space="preserve"> </w:t>
      </w:r>
      <w:r w:rsidRPr="003B329E">
        <w:rPr>
          <w:rFonts w:ascii="Times New Roman" w:hAnsi="Times New Roman" w:cs="Times New Roman"/>
          <w:sz w:val="24"/>
          <w:szCs w:val="24"/>
        </w:rPr>
        <w:t>m.p</w:t>
      </w:r>
      <w:r>
        <w:rPr>
          <w:rFonts w:ascii="Times New Roman" w:hAnsi="Times New Roman" w:cs="Times New Roman"/>
          <w:sz w:val="24"/>
          <w:szCs w:val="24"/>
        </w:rPr>
        <w:t>.,</w:t>
      </w:r>
      <w:r w:rsidRPr="003B329E">
        <w:rPr>
          <w:rFonts w:ascii="Times New Roman" w:hAnsi="Times New Roman" w:cs="Times New Roman"/>
          <w:sz w:val="24"/>
          <w:szCs w:val="24"/>
        </w:rPr>
        <w:t xml:space="preserve"> sau cu 322 m.p</w:t>
      </w:r>
      <w:r>
        <w:rPr>
          <w:rFonts w:ascii="Times New Roman" w:hAnsi="Times New Roman" w:cs="Times New Roman"/>
          <w:sz w:val="24"/>
          <w:szCs w:val="24"/>
        </w:rPr>
        <w:t>.</w:t>
      </w:r>
      <w:r w:rsidRPr="003B329E">
        <w:rPr>
          <w:rFonts w:ascii="Times New Roman" w:hAnsi="Times New Roman" w:cs="Times New Roman"/>
          <w:sz w:val="24"/>
          <w:szCs w:val="24"/>
        </w:rPr>
        <w:t xml:space="preserve"> mai puțin. Analogic, </w:t>
      </w:r>
      <w:r>
        <w:rPr>
          <w:rFonts w:ascii="Times New Roman" w:hAnsi="Times New Roman" w:cs="Times New Roman"/>
          <w:sz w:val="24"/>
          <w:szCs w:val="24"/>
        </w:rPr>
        <w:t>suprafața clădirii din</w:t>
      </w:r>
      <w:r w:rsidRPr="003B329E">
        <w:rPr>
          <w:rFonts w:ascii="Times New Roman" w:hAnsi="Times New Roman" w:cs="Times New Roman"/>
          <w:sz w:val="24"/>
          <w:szCs w:val="24"/>
        </w:rPr>
        <w:t xml:space="preserve"> str. Serghei Lazo nr. 48</w:t>
      </w:r>
      <w:r w:rsidRPr="003B329E">
        <w:rPr>
          <w:rStyle w:val="a5"/>
          <w:rFonts w:ascii="Times New Roman" w:hAnsi="Times New Roman" w:cs="Times New Roman"/>
          <w:sz w:val="24"/>
          <w:szCs w:val="24"/>
        </w:rPr>
        <w:footnoteReference w:id="164"/>
      </w:r>
      <w:r w:rsidRPr="003B329E">
        <w:rPr>
          <w:rFonts w:ascii="Times New Roman" w:hAnsi="Times New Roman" w:cs="Times New Roman"/>
          <w:sz w:val="24"/>
          <w:szCs w:val="24"/>
        </w:rPr>
        <w:t xml:space="preserve"> în evidența contabilă </w:t>
      </w:r>
      <w:r>
        <w:rPr>
          <w:rFonts w:ascii="Times New Roman" w:hAnsi="Times New Roman" w:cs="Times New Roman"/>
          <w:sz w:val="24"/>
          <w:szCs w:val="24"/>
        </w:rPr>
        <w:t xml:space="preserve">este înregistrată cu </w:t>
      </w:r>
      <w:r w:rsidRPr="003B329E">
        <w:rPr>
          <w:rFonts w:ascii="Times New Roman" w:hAnsi="Times New Roman" w:cs="Times New Roman"/>
          <w:sz w:val="24"/>
          <w:szCs w:val="24"/>
        </w:rPr>
        <w:t>3</w:t>
      </w:r>
      <w:r>
        <w:rPr>
          <w:rFonts w:ascii="Times New Roman" w:hAnsi="Times New Roman" w:cs="Times New Roman"/>
          <w:sz w:val="24"/>
          <w:szCs w:val="24"/>
        </w:rPr>
        <w:t>.</w:t>
      </w:r>
      <w:r w:rsidRPr="003B329E">
        <w:rPr>
          <w:rFonts w:ascii="Times New Roman" w:hAnsi="Times New Roman" w:cs="Times New Roman"/>
          <w:sz w:val="24"/>
          <w:szCs w:val="24"/>
        </w:rPr>
        <w:t xml:space="preserve">015,0 </w:t>
      </w:r>
      <w:r>
        <w:rPr>
          <w:rFonts w:ascii="Times New Roman" w:hAnsi="Times New Roman" w:cs="Times New Roman"/>
          <w:sz w:val="24"/>
          <w:szCs w:val="24"/>
        </w:rPr>
        <w:t xml:space="preserve">m.p., iar </w:t>
      </w:r>
      <w:r w:rsidRPr="003B329E">
        <w:rPr>
          <w:rFonts w:ascii="Times New Roman" w:hAnsi="Times New Roman" w:cs="Times New Roman"/>
          <w:sz w:val="24"/>
          <w:szCs w:val="24"/>
        </w:rPr>
        <w:t xml:space="preserve">la cadastru </w:t>
      </w:r>
      <w:r>
        <w:rPr>
          <w:rFonts w:ascii="Times New Roman" w:hAnsi="Times New Roman" w:cs="Times New Roman"/>
          <w:sz w:val="24"/>
          <w:szCs w:val="24"/>
        </w:rPr>
        <w:t xml:space="preserve">– </w:t>
      </w:r>
      <w:r w:rsidRPr="003B329E">
        <w:rPr>
          <w:rFonts w:ascii="Times New Roman" w:hAnsi="Times New Roman" w:cs="Times New Roman"/>
          <w:sz w:val="24"/>
          <w:szCs w:val="24"/>
        </w:rPr>
        <w:t>2</w:t>
      </w:r>
      <w:r>
        <w:rPr>
          <w:rFonts w:ascii="Times New Roman" w:hAnsi="Times New Roman" w:cs="Times New Roman"/>
          <w:sz w:val="24"/>
          <w:szCs w:val="24"/>
        </w:rPr>
        <w:t>.</w:t>
      </w:r>
      <w:r w:rsidRPr="003B329E">
        <w:rPr>
          <w:rFonts w:ascii="Times New Roman" w:hAnsi="Times New Roman" w:cs="Times New Roman"/>
          <w:sz w:val="24"/>
          <w:szCs w:val="24"/>
        </w:rPr>
        <w:t>815.7</w:t>
      </w:r>
      <w:r>
        <w:rPr>
          <w:rFonts w:ascii="Times New Roman" w:hAnsi="Times New Roman" w:cs="Times New Roman"/>
          <w:sz w:val="24"/>
          <w:szCs w:val="24"/>
        </w:rPr>
        <w:t xml:space="preserve"> </w:t>
      </w:r>
      <w:r w:rsidRPr="003B329E">
        <w:rPr>
          <w:rFonts w:ascii="Times New Roman" w:hAnsi="Times New Roman" w:cs="Times New Roman"/>
          <w:sz w:val="24"/>
          <w:szCs w:val="24"/>
        </w:rPr>
        <w:t>m.p</w:t>
      </w:r>
      <w:r>
        <w:rPr>
          <w:rFonts w:ascii="Times New Roman" w:hAnsi="Times New Roman" w:cs="Times New Roman"/>
          <w:sz w:val="24"/>
          <w:szCs w:val="24"/>
        </w:rPr>
        <w:t>.,</w:t>
      </w:r>
      <w:r w:rsidRPr="003B329E">
        <w:rPr>
          <w:rFonts w:ascii="Times New Roman" w:hAnsi="Times New Roman" w:cs="Times New Roman"/>
          <w:sz w:val="24"/>
          <w:szCs w:val="24"/>
        </w:rPr>
        <w:t xml:space="preserve"> sau mai puțin cu 199,3 m.p. Situații similare se atestă și la imobile</w:t>
      </w:r>
      <w:r>
        <w:rPr>
          <w:rFonts w:ascii="Times New Roman" w:hAnsi="Times New Roman" w:cs="Times New Roman"/>
          <w:sz w:val="24"/>
          <w:szCs w:val="24"/>
        </w:rPr>
        <w:t>le</w:t>
      </w:r>
      <w:r w:rsidRPr="003B329E">
        <w:rPr>
          <w:rFonts w:ascii="Times New Roman" w:hAnsi="Times New Roman" w:cs="Times New Roman"/>
          <w:sz w:val="24"/>
          <w:szCs w:val="24"/>
        </w:rPr>
        <w:t xml:space="preserve"> amplasate pe str. Alecu Russo nr. 1, str. Ismail nr. 44</w:t>
      </w:r>
      <w:r>
        <w:rPr>
          <w:rFonts w:ascii="Times New Roman" w:hAnsi="Times New Roman" w:cs="Times New Roman"/>
          <w:sz w:val="24"/>
          <w:szCs w:val="24"/>
        </w:rPr>
        <w:t xml:space="preserve"> și</w:t>
      </w:r>
      <w:r w:rsidRPr="003B329E">
        <w:rPr>
          <w:rFonts w:ascii="Times New Roman" w:hAnsi="Times New Roman" w:cs="Times New Roman"/>
          <w:sz w:val="24"/>
          <w:szCs w:val="24"/>
        </w:rPr>
        <w:t xml:space="preserve"> altele.</w:t>
      </w:r>
    </w:p>
    <w:p w14:paraId="3CC6C2CB" w14:textId="5A04A408" w:rsidR="00F41E55" w:rsidRPr="003B329E" w:rsidRDefault="00F41E55" w:rsidP="00F41E55">
      <w:pPr>
        <w:tabs>
          <w:tab w:val="left" w:pos="426"/>
        </w:tabs>
        <w:spacing w:after="120" w:line="276" w:lineRule="auto"/>
        <w:jc w:val="both"/>
        <w:rPr>
          <w:rFonts w:ascii="Times New Roman" w:hAnsi="Times New Roman" w:cs="Times New Roman"/>
          <w:sz w:val="24"/>
          <w:szCs w:val="24"/>
        </w:rPr>
      </w:pPr>
      <w:r w:rsidRPr="003B329E">
        <w:rPr>
          <w:rFonts w:ascii="Times New Roman" w:hAnsi="Times New Roman" w:cs="Times New Roman"/>
          <w:sz w:val="24"/>
          <w:szCs w:val="24"/>
        </w:rPr>
        <w:t xml:space="preserve">Auditul atestă cazuri de neînregistrare la RBI precum și necontabilizare a unei construcții (depozit) din metal situat pe teritoriul Casei Guvernului cu suprafața de 32 m.p. </w:t>
      </w:r>
    </w:p>
    <w:p w14:paraId="06C48D66" w14:textId="77777777" w:rsidR="003019F5" w:rsidRPr="003B329E" w:rsidRDefault="003019F5" w:rsidP="00F41E55">
      <w:pPr>
        <w:spacing w:after="120" w:line="276" w:lineRule="auto"/>
        <w:jc w:val="both"/>
        <w:rPr>
          <w:rFonts w:ascii="Times New Roman" w:hAnsi="Times New Roman" w:cs="Times New Roman"/>
          <w:sz w:val="24"/>
          <w:szCs w:val="24"/>
        </w:rPr>
      </w:pPr>
      <w:r w:rsidRPr="003B329E">
        <w:rPr>
          <w:rFonts w:ascii="Times New Roman" w:hAnsi="Times New Roman" w:cs="Times New Roman"/>
          <w:sz w:val="24"/>
          <w:szCs w:val="24"/>
        </w:rPr>
        <w:t xml:space="preserve">Nu </w:t>
      </w:r>
      <w:r>
        <w:rPr>
          <w:rFonts w:ascii="Times New Roman" w:hAnsi="Times New Roman" w:cs="Times New Roman"/>
          <w:sz w:val="24"/>
          <w:szCs w:val="24"/>
        </w:rPr>
        <w:t>sunt</w:t>
      </w:r>
      <w:r w:rsidRPr="003B329E">
        <w:rPr>
          <w:rFonts w:ascii="Times New Roman" w:hAnsi="Times New Roman" w:cs="Times New Roman"/>
          <w:sz w:val="24"/>
          <w:szCs w:val="24"/>
        </w:rPr>
        <w:t xml:space="preserve"> înregistrate în RBI nici încăperile izolate cu suprafața de 229,9 m.p. din subsolul construcției din bd</w:t>
      </w:r>
      <w:r>
        <w:rPr>
          <w:rFonts w:ascii="Times New Roman" w:hAnsi="Times New Roman" w:cs="Times New Roman"/>
          <w:sz w:val="24"/>
          <w:szCs w:val="24"/>
        </w:rPr>
        <w:t>.</w:t>
      </w:r>
      <w:r w:rsidRPr="003B329E">
        <w:rPr>
          <w:rFonts w:ascii="Times New Roman" w:hAnsi="Times New Roman" w:cs="Times New Roman"/>
          <w:sz w:val="24"/>
          <w:szCs w:val="24"/>
        </w:rPr>
        <w:t xml:space="preserve"> Ștefan cel Mare </w:t>
      </w:r>
      <w:r>
        <w:rPr>
          <w:rFonts w:ascii="Times New Roman" w:hAnsi="Times New Roman" w:cs="Times New Roman"/>
          <w:sz w:val="24"/>
          <w:szCs w:val="24"/>
        </w:rPr>
        <w:t>și Sfânt</w:t>
      </w:r>
      <w:r w:rsidRPr="003B329E">
        <w:rPr>
          <w:rFonts w:ascii="Times New Roman" w:hAnsi="Times New Roman" w:cs="Times New Roman"/>
          <w:sz w:val="24"/>
          <w:szCs w:val="24"/>
        </w:rPr>
        <w:t xml:space="preserve"> </w:t>
      </w:r>
      <w:r>
        <w:rPr>
          <w:rFonts w:ascii="Times New Roman" w:hAnsi="Times New Roman" w:cs="Times New Roman"/>
          <w:sz w:val="24"/>
          <w:szCs w:val="24"/>
        </w:rPr>
        <w:t>nr.</w:t>
      </w:r>
      <w:r w:rsidRPr="003B329E">
        <w:rPr>
          <w:rFonts w:ascii="Times New Roman" w:hAnsi="Times New Roman" w:cs="Times New Roman"/>
          <w:sz w:val="24"/>
          <w:szCs w:val="24"/>
        </w:rPr>
        <w:t>134</w:t>
      </w:r>
      <w:r>
        <w:rPr>
          <w:rFonts w:ascii="Times New Roman" w:hAnsi="Times New Roman" w:cs="Times New Roman"/>
          <w:sz w:val="24"/>
          <w:szCs w:val="24"/>
        </w:rPr>
        <w:t>,</w:t>
      </w:r>
      <w:r w:rsidRPr="003B329E">
        <w:rPr>
          <w:rFonts w:ascii="Times New Roman" w:hAnsi="Times New Roman" w:cs="Times New Roman"/>
          <w:sz w:val="24"/>
          <w:szCs w:val="24"/>
        </w:rPr>
        <w:t xml:space="preserve"> nr. cadastral (0100206.171.01), deși acestea sunt raportate la APP. </w:t>
      </w:r>
    </w:p>
    <w:p w14:paraId="0510921F" w14:textId="0B57118F" w:rsidR="00905775" w:rsidRPr="003B329E" w:rsidRDefault="003019F5" w:rsidP="00E93970">
      <w:pPr>
        <w:spacing w:line="276" w:lineRule="auto"/>
        <w:jc w:val="both"/>
        <w:rPr>
          <w:rFonts w:ascii="Times New Roman" w:hAnsi="Times New Roman" w:cs="Times New Roman"/>
          <w:sz w:val="24"/>
          <w:szCs w:val="24"/>
        </w:rPr>
      </w:pPr>
      <w:r w:rsidRPr="003B329E">
        <w:rPr>
          <w:rFonts w:ascii="Times New Roman" w:hAnsi="Times New Roman" w:cs="Times New Roman"/>
          <w:sz w:val="24"/>
          <w:szCs w:val="24"/>
        </w:rPr>
        <w:t xml:space="preserve">O altă problemă ține de existența unor </w:t>
      </w:r>
      <w:r w:rsidRPr="003B329E">
        <w:rPr>
          <w:rFonts w:ascii="Times New Roman" w:hAnsi="Times New Roman" w:cs="Times New Roman"/>
          <w:sz w:val="24"/>
          <w:szCs w:val="24"/>
          <w:shd w:val="clear" w:color="auto" w:fill="FFFFFF"/>
        </w:rPr>
        <w:t>cazuri c</w:t>
      </w:r>
      <w:r>
        <w:rPr>
          <w:rFonts w:ascii="Times New Roman" w:hAnsi="Times New Roman" w:cs="Times New Roman"/>
          <w:sz w:val="24"/>
          <w:szCs w:val="24"/>
          <w:shd w:val="clear" w:color="auto" w:fill="FFFFFF"/>
        </w:rPr>
        <w:t>â</w:t>
      </w:r>
      <w:r w:rsidRPr="003B329E">
        <w:rPr>
          <w:rFonts w:ascii="Times New Roman" w:hAnsi="Times New Roman" w:cs="Times New Roman"/>
          <w:sz w:val="24"/>
          <w:szCs w:val="24"/>
          <w:shd w:val="clear" w:color="auto" w:fill="FFFFFF"/>
        </w:rPr>
        <w:t>nd unul și același imobil este înregistrat la organul cadastral at</w:t>
      </w:r>
      <w:r>
        <w:rPr>
          <w:rFonts w:ascii="Times New Roman" w:hAnsi="Times New Roman" w:cs="Times New Roman"/>
          <w:sz w:val="24"/>
          <w:szCs w:val="24"/>
          <w:shd w:val="clear" w:color="auto" w:fill="FFFFFF"/>
        </w:rPr>
        <w:t>â</w:t>
      </w:r>
      <w:r w:rsidRPr="003B329E">
        <w:rPr>
          <w:rFonts w:ascii="Times New Roman" w:hAnsi="Times New Roman" w:cs="Times New Roman"/>
          <w:sz w:val="24"/>
          <w:szCs w:val="24"/>
          <w:shd w:val="clear" w:color="auto" w:fill="FFFFFF"/>
        </w:rPr>
        <w:t>t după DGACG</w:t>
      </w:r>
      <w:r>
        <w:rPr>
          <w:rFonts w:ascii="Times New Roman" w:hAnsi="Times New Roman" w:cs="Times New Roman"/>
          <w:sz w:val="24"/>
          <w:szCs w:val="24"/>
          <w:shd w:val="clear" w:color="auto" w:fill="FFFFFF"/>
        </w:rPr>
        <w:t>,</w:t>
      </w:r>
      <w:r w:rsidRPr="003B329E">
        <w:rPr>
          <w:rFonts w:ascii="Times New Roman" w:hAnsi="Times New Roman" w:cs="Times New Roman"/>
          <w:sz w:val="24"/>
          <w:szCs w:val="24"/>
          <w:shd w:val="clear" w:color="auto" w:fill="FFFFFF"/>
        </w:rPr>
        <w:t xml:space="preserve"> c</w:t>
      </w:r>
      <w:r>
        <w:rPr>
          <w:rFonts w:ascii="Times New Roman" w:hAnsi="Times New Roman" w:cs="Times New Roman"/>
          <w:sz w:val="24"/>
          <w:szCs w:val="24"/>
          <w:shd w:val="clear" w:color="auto" w:fill="FFFFFF"/>
        </w:rPr>
        <w:t>â</w:t>
      </w:r>
      <w:r w:rsidRPr="003B329E">
        <w:rPr>
          <w:rFonts w:ascii="Times New Roman" w:hAnsi="Times New Roman" w:cs="Times New Roman"/>
          <w:sz w:val="24"/>
          <w:szCs w:val="24"/>
          <w:shd w:val="clear" w:color="auto" w:fill="FFFFFF"/>
        </w:rPr>
        <w:t xml:space="preserve">t și </w:t>
      </w:r>
      <w:r>
        <w:rPr>
          <w:rFonts w:ascii="Times New Roman" w:hAnsi="Times New Roman" w:cs="Times New Roman"/>
          <w:sz w:val="24"/>
          <w:szCs w:val="24"/>
          <w:shd w:val="clear" w:color="auto" w:fill="FFFFFF"/>
        </w:rPr>
        <w:t>după</w:t>
      </w:r>
      <w:r w:rsidRPr="003B329E">
        <w:rPr>
          <w:rFonts w:ascii="Times New Roman" w:hAnsi="Times New Roman" w:cs="Times New Roman"/>
          <w:sz w:val="24"/>
          <w:szCs w:val="24"/>
          <w:shd w:val="clear" w:color="auto" w:fill="FFFFFF"/>
        </w:rPr>
        <w:t xml:space="preserve"> alți agenți economici. </w:t>
      </w:r>
      <w:r w:rsidRPr="003B329E">
        <w:rPr>
          <w:rFonts w:ascii="Times New Roman" w:hAnsi="Times New Roman" w:cs="Times New Roman"/>
          <w:sz w:val="24"/>
          <w:szCs w:val="24"/>
        </w:rPr>
        <w:t>Astfel de situații au fost constatate la încăperile din clădirea situată pe str. Gh. Tudor nr. 5</w:t>
      </w:r>
      <w:r w:rsidRPr="003B329E">
        <w:rPr>
          <w:rStyle w:val="a5"/>
          <w:rFonts w:ascii="Times New Roman" w:hAnsi="Times New Roman" w:cs="Times New Roman"/>
          <w:sz w:val="24"/>
          <w:szCs w:val="24"/>
        </w:rPr>
        <w:footnoteReference w:id="165"/>
      </w:r>
      <w:r w:rsidRPr="003B329E">
        <w:rPr>
          <w:rFonts w:ascii="Times New Roman" w:hAnsi="Times New Roman" w:cs="Times New Roman"/>
          <w:sz w:val="24"/>
          <w:szCs w:val="24"/>
        </w:rPr>
        <w:t xml:space="preserve">. În fapt, imobilul amplasat pe adresa respectivă, deși conform HG nr. 84/2004 a fost transmis DGACG, actualmente în RBI dreptul asupra acestuia se numără după Institutul de Proiectări de Stat „IPROCOM”. </w:t>
      </w:r>
    </w:p>
    <w:p w14:paraId="2938887A" w14:textId="77777777" w:rsidR="00613613" w:rsidRPr="003B329E" w:rsidRDefault="00EC050D" w:rsidP="00E93970">
      <w:pPr>
        <w:pStyle w:val="a7"/>
        <w:tabs>
          <w:tab w:val="left" w:pos="426"/>
        </w:tabs>
        <w:spacing w:after="80" w:line="276" w:lineRule="auto"/>
        <w:ind w:left="0"/>
        <w:contextualSpacing w:val="0"/>
        <w:jc w:val="both"/>
        <w:rPr>
          <w:rFonts w:ascii="Times New Roman" w:hAnsi="Times New Roman" w:cs="Times New Roman"/>
          <w:sz w:val="24"/>
          <w:szCs w:val="24"/>
        </w:rPr>
      </w:pPr>
      <w:r w:rsidRPr="003B329E">
        <w:rPr>
          <w:rFonts w:ascii="Times New Roman" w:hAnsi="Times New Roman" w:cs="Times New Roman"/>
          <w:i/>
          <w:sz w:val="24"/>
          <w:szCs w:val="24"/>
        </w:rPr>
        <w:t>Neconformități la alte I.P.</w:t>
      </w:r>
    </w:p>
    <w:p w14:paraId="5883599B" w14:textId="33F7E7DE" w:rsidR="003019F5" w:rsidRDefault="003019F5" w:rsidP="003019F5">
      <w:pPr>
        <w:pStyle w:val="a7"/>
        <w:numPr>
          <w:ilvl w:val="0"/>
          <w:numId w:val="14"/>
        </w:numPr>
        <w:tabs>
          <w:tab w:val="left" w:pos="426"/>
        </w:tabs>
        <w:spacing w:after="80" w:line="276" w:lineRule="auto"/>
        <w:ind w:left="0" w:firstLine="426"/>
        <w:contextualSpacing w:val="0"/>
        <w:jc w:val="both"/>
        <w:rPr>
          <w:rFonts w:ascii="Times New Roman" w:hAnsi="Times New Roman" w:cs="Times New Roman"/>
          <w:sz w:val="24"/>
          <w:szCs w:val="24"/>
        </w:rPr>
      </w:pPr>
      <w:r w:rsidRPr="003019F5">
        <w:rPr>
          <w:rFonts w:ascii="Times New Roman" w:hAnsi="Times New Roman" w:cs="Times New Roman"/>
          <w:sz w:val="24"/>
          <w:szCs w:val="24"/>
        </w:rPr>
        <w:t>Nici I.P. „Baza auto a Cancelariei de Stat” nu a asigurat înregistrarea la organul cadastral a dreptului de gestiune economică asupra </w:t>
      </w:r>
      <w:r w:rsidR="00B50AA4">
        <w:rPr>
          <w:rFonts w:ascii="Times New Roman" w:hAnsi="Times New Roman" w:cs="Times New Roman"/>
          <w:sz w:val="24"/>
          <w:szCs w:val="24"/>
        </w:rPr>
        <w:t>patru imobilele</w:t>
      </w:r>
      <w:r w:rsidRPr="003019F5">
        <w:rPr>
          <w:rStyle w:val="a5"/>
          <w:rFonts w:ascii="Times New Roman" w:hAnsi="Times New Roman" w:cs="Times New Roman"/>
          <w:sz w:val="24"/>
          <w:szCs w:val="24"/>
        </w:rPr>
        <w:footnoteReference w:id="166"/>
      </w:r>
      <w:r w:rsidRPr="003019F5">
        <w:rPr>
          <w:rFonts w:ascii="Times New Roman" w:hAnsi="Times New Roman" w:cs="Times New Roman"/>
          <w:sz w:val="24"/>
          <w:szCs w:val="24"/>
        </w:rPr>
        <w:t xml:space="preserve"> cu suprafața totală de 1.334,7 m.p., amplasate pe Drumul Viilor nr. 34, transmise acesteia ca urmare a reorganizării entității în anul 2018, inclusiv: clădirea administrativă și destinată reparației automobilelor, garajul, construcția aferentă punctului de trecere a transportului și boxele. </w:t>
      </w:r>
      <w:r w:rsidR="00A224EB">
        <w:rPr>
          <w:rFonts w:ascii="Times New Roman" w:hAnsi="Times New Roman" w:cs="Times New Roman"/>
          <w:sz w:val="24"/>
          <w:szCs w:val="24"/>
        </w:rPr>
        <w:t xml:space="preserve">Analizele de audit, denotă și faptul că potrivit datelor RBI, imobilele respective nu sânt evaluate în scopul impozitării. </w:t>
      </w:r>
      <w:r w:rsidRPr="003019F5">
        <w:rPr>
          <w:rFonts w:ascii="Times New Roman" w:hAnsi="Times New Roman" w:cs="Times New Roman"/>
          <w:sz w:val="24"/>
          <w:szCs w:val="24"/>
        </w:rPr>
        <w:t>Pe parcursul misiunii de audit, instituția a luat măsuri și a înregistrat dreptul de gestiune economică asupra primelo</w:t>
      </w:r>
      <w:r w:rsidR="00A224EB">
        <w:rPr>
          <w:rFonts w:ascii="Times New Roman" w:hAnsi="Times New Roman" w:cs="Times New Roman"/>
          <w:sz w:val="24"/>
          <w:szCs w:val="24"/>
        </w:rPr>
        <w:t>r trei imobile menționate supra.</w:t>
      </w:r>
      <w:r w:rsidRPr="003019F5">
        <w:rPr>
          <w:rFonts w:ascii="Times New Roman" w:hAnsi="Times New Roman" w:cs="Times New Roman"/>
          <w:sz w:val="24"/>
          <w:szCs w:val="24"/>
        </w:rPr>
        <w:t xml:space="preserve"> Cât privește boxele cu suprafața de 131,2 m.p., acestea nu au fost înregistrate din cauza lipsei documentației de proiect elaborate în mod regulamentar. Conform explicațiilor</w:t>
      </w:r>
      <w:r w:rsidR="00F94284">
        <w:rPr>
          <w:rFonts w:ascii="Times New Roman" w:hAnsi="Times New Roman" w:cs="Times New Roman"/>
          <w:sz w:val="24"/>
          <w:szCs w:val="24"/>
        </w:rPr>
        <w:t xml:space="preserve"> oferite</w:t>
      </w:r>
      <w:r w:rsidRPr="003019F5">
        <w:rPr>
          <w:rFonts w:ascii="Times New Roman" w:hAnsi="Times New Roman" w:cs="Times New Roman"/>
          <w:sz w:val="24"/>
          <w:szCs w:val="24"/>
        </w:rPr>
        <w:t xml:space="preserve">, I.P. „Baza auto a Cancelariei de Stat” s-a adresat </w:t>
      </w:r>
      <w:r w:rsidR="00385B89">
        <w:rPr>
          <w:rFonts w:ascii="Times New Roman" w:hAnsi="Times New Roman" w:cs="Times New Roman"/>
          <w:sz w:val="24"/>
          <w:szCs w:val="24"/>
        </w:rPr>
        <w:t>ASP</w:t>
      </w:r>
      <w:r w:rsidRPr="003019F5">
        <w:rPr>
          <w:rFonts w:ascii="Times New Roman" w:hAnsi="Times New Roman" w:cs="Times New Roman"/>
          <w:sz w:val="24"/>
          <w:szCs w:val="24"/>
        </w:rPr>
        <w:t xml:space="preserve"> pentru înregistrarea boxelor în Registrul bunurilor imobile, însă a primit răspuns că APP în calitate de proprietar al imobilelor statului urmează să soluționeze problema.</w:t>
      </w:r>
    </w:p>
    <w:p w14:paraId="2544C390" w14:textId="0E7D12F4" w:rsidR="00DB4FF9" w:rsidRPr="003019F5" w:rsidRDefault="003019F5" w:rsidP="008B54FE">
      <w:pPr>
        <w:pStyle w:val="a7"/>
        <w:numPr>
          <w:ilvl w:val="0"/>
          <w:numId w:val="14"/>
        </w:numPr>
        <w:tabs>
          <w:tab w:val="left" w:pos="426"/>
        </w:tabs>
        <w:spacing w:before="120" w:after="120" w:line="276" w:lineRule="auto"/>
        <w:ind w:left="0" w:firstLine="425"/>
        <w:contextualSpacing w:val="0"/>
        <w:jc w:val="both"/>
        <w:rPr>
          <w:rFonts w:ascii="Times New Roman" w:hAnsi="Times New Roman" w:cs="Times New Roman"/>
          <w:sz w:val="24"/>
          <w:szCs w:val="24"/>
        </w:rPr>
      </w:pPr>
      <w:r w:rsidRPr="003019F5">
        <w:rPr>
          <w:rFonts w:ascii="Times New Roman" w:hAnsi="Times New Roman" w:cs="Times New Roman"/>
          <w:sz w:val="24"/>
          <w:szCs w:val="24"/>
        </w:rPr>
        <w:t>Deși la reorganizarea din întreprindere de stat în instituție publică în anul 2020</w:t>
      </w:r>
      <w:r w:rsidRPr="003019F5">
        <w:rPr>
          <w:rStyle w:val="a5"/>
          <w:rFonts w:ascii="Times New Roman" w:hAnsi="Times New Roman" w:cs="Times New Roman"/>
          <w:sz w:val="24"/>
          <w:szCs w:val="24"/>
        </w:rPr>
        <w:footnoteReference w:id="167"/>
      </w:r>
      <w:r w:rsidRPr="003019F5">
        <w:rPr>
          <w:rFonts w:ascii="Times New Roman" w:hAnsi="Times New Roman" w:cs="Times New Roman"/>
          <w:sz w:val="24"/>
          <w:szCs w:val="24"/>
        </w:rPr>
        <w:t xml:space="preserve"> I</w:t>
      </w:r>
      <w:r w:rsidR="00F94284">
        <w:rPr>
          <w:rFonts w:ascii="Times New Roman" w:hAnsi="Times New Roman" w:cs="Times New Roman"/>
          <w:sz w:val="24"/>
          <w:szCs w:val="24"/>
        </w:rPr>
        <w:t>.</w:t>
      </w:r>
      <w:r w:rsidRPr="003019F5">
        <w:rPr>
          <w:rFonts w:ascii="Times New Roman" w:hAnsi="Times New Roman" w:cs="Times New Roman"/>
          <w:sz w:val="24"/>
          <w:szCs w:val="24"/>
        </w:rPr>
        <w:t>P</w:t>
      </w:r>
      <w:r w:rsidR="00F94284">
        <w:rPr>
          <w:rFonts w:ascii="Times New Roman" w:hAnsi="Times New Roman" w:cs="Times New Roman"/>
          <w:sz w:val="24"/>
          <w:szCs w:val="24"/>
        </w:rPr>
        <w:t>.</w:t>
      </w:r>
      <w:r w:rsidRPr="003019F5">
        <w:rPr>
          <w:rFonts w:ascii="Times New Roman" w:hAnsi="Times New Roman" w:cs="Times New Roman"/>
          <w:sz w:val="24"/>
          <w:szCs w:val="24"/>
        </w:rPr>
        <w:t xml:space="preserve"> „Pensiunea din Holercani” a primit în gestiune economică patrimoniul statului, entitatea nu a asigurat</w:t>
      </w:r>
      <w:r w:rsidRPr="003019F5">
        <w:rPr>
          <w:rStyle w:val="a5"/>
          <w:rFonts w:ascii="Times New Roman" w:hAnsi="Times New Roman" w:cs="Times New Roman"/>
          <w:sz w:val="24"/>
          <w:szCs w:val="24"/>
        </w:rPr>
        <w:footnoteReference w:id="168"/>
      </w:r>
      <w:r w:rsidRPr="003019F5">
        <w:rPr>
          <w:rFonts w:ascii="Times New Roman" w:hAnsi="Times New Roman" w:cs="Times New Roman"/>
          <w:sz w:val="24"/>
          <w:szCs w:val="24"/>
        </w:rPr>
        <w:t xml:space="preserve"> înaintarea modificărilor la organul cadastral pentru înregistrarea în RBI (capitolul III) a dreptului real pe care îl are asupra construcțiilor primite</w:t>
      </w:r>
      <w:r w:rsidRPr="003019F5">
        <w:rPr>
          <w:rStyle w:val="a5"/>
          <w:rFonts w:ascii="Times New Roman" w:hAnsi="Times New Roman" w:cs="Times New Roman"/>
          <w:sz w:val="24"/>
          <w:szCs w:val="24"/>
        </w:rPr>
        <w:footnoteReference w:id="169"/>
      </w:r>
      <w:r w:rsidRPr="003019F5">
        <w:rPr>
          <w:rFonts w:ascii="Times New Roman" w:hAnsi="Times New Roman" w:cs="Times New Roman"/>
          <w:sz w:val="24"/>
          <w:szCs w:val="24"/>
        </w:rPr>
        <w:t>.</w:t>
      </w:r>
      <w:r w:rsidR="00BA69A9">
        <w:rPr>
          <w:rFonts w:ascii="Times New Roman" w:hAnsi="Times New Roman" w:cs="Times New Roman"/>
          <w:sz w:val="24"/>
          <w:szCs w:val="24"/>
        </w:rPr>
        <w:t xml:space="preserve"> </w:t>
      </w:r>
      <w:r w:rsidRPr="003019F5">
        <w:rPr>
          <w:rFonts w:ascii="Times New Roman" w:hAnsi="Times New Roman" w:cs="Times New Roman"/>
          <w:sz w:val="24"/>
          <w:szCs w:val="24"/>
        </w:rPr>
        <w:t>În acest context se relevă că în banca de date a organului cadastral nu se regăsesc înscrieri asupra dreptului de gestiune economică a I</w:t>
      </w:r>
      <w:r w:rsidR="00F94284">
        <w:rPr>
          <w:rFonts w:ascii="Times New Roman" w:hAnsi="Times New Roman" w:cs="Times New Roman"/>
          <w:sz w:val="24"/>
          <w:szCs w:val="24"/>
        </w:rPr>
        <w:t>.</w:t>
      </w:r>
      <w:r w:rsidRPr="003019F5">
        <w:rPr>
          <w:rFonts w:ascii="Times New Roman" w:hAnsi="Times New Roman" w:cs="Times New Roman"/>
          <w:sz w:val="24"/>
          <w:szCs w:val="24"/>
        </w:rPr>
        <w:t>P</w:t>
      </w:r>
      <w:r w:rsidR="00F94284">
        <w:rPr>
          <w:rFonts w:ascii="Times New Roman" w:hAnsi="Times New Roman" w:cs="Times New Roman"/>
          <w:sz w:val="24"/>
          <w:szCs w:val="24"/>
        </w:rPr>
        <w:t>.</w:t>
      </w:r>
      <w:r w:rsidRPr="003019F5">
        <w:rPr>
          <w:rFonts w:ascii="Times New Roman" w:hAnsi="Times New Roman" w:cs="Times New Roman"/>
          <w:sz w:val="24"/>
          <w:szCs w:val="24"/>
        </w:rPr>
        <w:t xml:space="preserve"> „Pensiunea din Holercani” asupra vilelor, căsuțelor, hotelului și altor construcții administrate, acestea regăsindu-se în proprietatea Republicii Moldova doar la capitolul II al RBI.</w:t>
      </w:r>
    </w:p>
    <w:p w14:paraId="5A0F236F" w14:textId="77777777" w:rsidR="00C2770C" w:rsidRPr="001021A4" w:rsidRDefault="00C2770C" w:rsidP="003019F5">
      <w:pPr>
        <w:pStyle w:val="a7"/>
        <w:numPr>
          <w:ilvl w:val="0"/>
          <w:numId w:val="18"/>
        </w:numPr>
        <w:tabs>
          <w:tab w:val="left" w:pos="2694"/>
        </w:tabs>
        <w:spacing w:after="120" w:line="276" w:lineRule="auto"/>
        <w:ind w:left="714" w:hanging="357"/>
        <w:contextualSpacing w:val="0"/>
        <w:jc w:val="both"/>
        <w:rPr>
          <w:rFonts w:ascii="Times New Roman" w:eastAsia="Times New Roman" w:hAnsi="Times New Roman" w:cs="Times New Roman"/>
          <w:b/>
          <w:i/>
          <w:color w:val="0070C0"/>
          <w:sz w:val="24"/>
          <w:szCs w:val="24"/>
          <w:shd w:val="clear" w:color="auto" w:fill="FFFFFF"/>
        </w:rPr>
      </w:pPr>
      <w:r w:rsidRPr="001021A4">
        <w:rPr>
          <w:rFonts w:ascii="Times New Roman" w:eastAsia="Times New Roman" w:hAnsi="Times New Roman" w:cs="Times New Roman"/>
          <w:b/>
          <w:i/>
          <w:color w:val="0070C0"/>
          <w:sz w:val="24"/>
          <w:szCs w:val="24"/>
          <w:shd w:val="clear" w:color="auto" w:fill="FFFFFF"/>
        </w:rPr>
        <w:t xml:space="preserve">Neconformități privind înregistrarea în evidența contabilă a bunurilor imobile administrate de către </w:t>
      </w:r>
      <w:r w:rsidR="003E2245" w:rsidRPr="001021A4">
        <w:rPr>
          <w:rFonts w:ascii="Times New Roman" w:eastAsia="Times New Roman" w:hAnsi="Times New Roman" w:cs="Times New Roman"/>
          <w:b/>
          <w:i/>
          <w:color w:val="0070C0"/>
          <w:sz w:val="24"/>
          <w:szCs w:val="24"/>
          <w:shd w:val="clear" w:color="auto" w:fill="FFFFFF"/>
        </w:rPr>
        <w:t>unele IP</w:t>
      </w:r>
    </w:p>
    <w:p w14:paraId="13E5E543" w14:textId="5184A69B" w:rsidR="003019F5" w:rsidRPr="003B329E" w:rsidRDefault="003019F5" w:rsidP="000D4888">
      <w:pPr>
        <w:pStyle w:val="a7"/>
        <w:numPr>
          <w:ilvl w:val="0"/>
          <w:numId w:val="19"/>
        </w:numPr>
        <w:tabs>
          <w:tab w:val="left" w:pos="284"/>
        </w:tabs>
        <w:spacing w:after="80" w:line="276" w:lineRule="auto"/>
        <w:ind w:left="0" w:firstLine="0"/>
        <w:contextualSpacing w:val="0"/>
        <w:jc w:val="both"/>
        <w:rPr>
          <w:rFonts w:ascii="Times New Roman" w:hAnsi="Times New Roman" w:cs="Times New Roman"/>
          <w:sz w:val="24"/>
          <w:szCs w:val="24"/>
        </w:rPr>
      </w:pPr>
      <w:r w:rsidRPr="003B329E">
        <w:rPr>
          <w:rFonts w:ascii="Times New Roman" w:hAnsi="Times New Roman" w:cs="Times New Roman"/>
          <w:sz w:val="24"/>
          <w:szCs w:val="24"/>
        </w:rPr>
        <w:t>Nu se regăsește în evidența contabilă a DGACG clădirea cu suprafața de 12,1 m.p. (nr.</w:t>
      </w:r>
      <w:r>
        <w:rPr>
          <w:rFonts w:ascii="Times New Roman" w:hAnsi="Times New Roman" w:cs="Times New Roman"/>
          <w:sz w:val="24"/>
          <w:szCs w:val="24"/>
        </w:rPr>
        <w:t xml:space="preserve"> </w:t>
      </w:r>
      <w:r w:rsidRPr="003B329E">
        <w:rPr>
          <w:rFonts w:ascii="Times New Roman" w:hAnsi="Times New Roman" w:cs="Times New Roman"/>
          <w:sz w:val="24"/>
          <w:szCs w:val="24"/>
        </w:rPr>
        <w:t xml:space="preserve">0100110284.04) din str. Butucului </w:t>
      </w:r>
      <w:r>
        <w:rPr>
          <w:rFonts w:ascii="Times New Roman" w:hAnsi="Times New Roman" w:cs="Times New Roman"/>
          <w:sz w:val="24"/>
          <w:szCs w:val="24"/>
        </w:rPr>
        <w:t>nr.</w:t>
      </w:r>
      <w:r w:rsidRPr="003B329E">
        <w:rPr>
          <w:rFonts w:ascii="Times New Roman" w:hAnsi="Times New Roman" w:cs="Times New Roman"/>
          <w:sz w:val="24"/>
          <w:szCs w:val="24"/>
        </w:rPr>
        <w:t>10</w:t>
      </w:r>
      <w:r>
        <w:rPr>
          <w:rFonts w:ascii="Times New Roman" w:hAnsi="Times New Roman" w:cs="Times New Roman"/>
          <w:sz w:val="24"/>
          <w:szCs w:val="24"/>
        </w:rPr>
        <w:t>,</w:t>
      </w:r>
      <w:r w:rsidRPr="003B329E">
        <w:rPr>
          <w:rFonts w:ascii="Times New Roman" w:hAnsi="Times New Roman" w:cs="Times New Roman"/>
          <w:sz w:val="24"/>
          <w:szCs w:val="24"/>
        </w:rPr>
        <w:t xml:space="preserve"> mun. Chișinău,</w:t>
      </w:r>
      <w:r w:rsidR="00BA69A9">
        <w:rPr>
          <w:rFonts w:ascii="Times New Roman" w:hAnsi="Times New Roman" w:cs="Times New Roman"/>
          <w:sz w:val="24"/>
          <w:szCs w:val="24"/>
        </w:rPr>
        <w:t xml:space="preserve"> </w:t>
      </w:r>
      <w:r w:rsidRPr="003B329E">
        <w:rPr>
          <w:rFonts w:ascii="Times New Roman" w:hAnsi="Times New Roman" w:cs="Times New Roman"/>
          <w:sz w:val="24"/>
          <w:szCs w:val="24"/>
        </w:rPr>
        <w:t>transmisă</w:t>
      </w:r>
      <w:r w:rsidRPr="003B329E">
        <w:rPr>
          <w:rStyle w:val="a5"/>
          <w:rFonts w:ascii="Times New Roman" w:hAnsi="Times New Roman" w:cs="Times New Roman"/>
          <w:sz w:val="24"/>
          <w:szCs w:val="24"/>
        </w:rPr>
        <w:footnoteReference w:id="170"/>
      </w:r>
      <w:r w:rsidRPr="003B329E">
        <w:rPr>
          <w:rFonts w:ascii="Times New Roman" w:hAnsi="Times New Roman" w:cs="Times New Roman"/>
          <w:sz w:val="24"/>
          <w:szCs w:val="24"/>
        </w:rPr>
        <w:t xml:space="preserve"> instituției cu titlu gratuit de la balanța Departamentului administrativ-militar al Ministerului Apărării. Potrivit explicațiilor responsabililor</w:t>
      </w:r>
      <w:r>
        <w:rPr>
          <w:rFonts w:ascii="Times New Roman" w:hAnsi="Times New Roman" w:cs="Times New Roman"/>
          <w:sz w:val="24"/>
          <w:szCs w:val="24"/>
        </w:rPr>
        <w:t>,</w:t>
      </w:r>
      <w:r w:rsidRPr="003B329E">
        <w:rPr>
          <w:rFonts w:ascii="Times New Roman" w:hAnsi="Times New Roman" w:cs="Times New Roman"/>
          <w:sz w:val="24"/>
          <w:szCs w:val="24"/>
        </w:rPr>
        <w:t xml:space="preserve"> neconformitatea se </w:t>
      </w:r>
      <w:r>
        <w:rPr>
          <w:rFonts w:ascii="Times New Roman" w:hAnsi="Times New Roman" w:cs="Times New Roman"/>
          <w:sz w:val="24"/>
          <w:szCs w:val="24"/>
        </w:rPr>
        <w:t>explică prin</w:t>
      </w:r>
      <w:r w:rsidRPr="003B329E">
        <w:rPr>
          <w:rFonts w:ascii="Times New Roman" w:hAnsi="Times New Roman" w:cs="Times New Roman"/>
          <w:sz w:val="24"/>
          <w:szCs w:val="24"/>
        </w:rPr>
        <w:t xml:space="preserve"> neincluder</w:t>
      </w:r>
      <w:r>
        <w:rPr>
          <w:rFonts w:ascii="Times New Roman" w:hAnsi="Times New Roman" w:cs="Times New Roman"/>
          <w:sz w:val="24"/>
          <w:szCs w:val="24"/>
        </w:rPr>
        <w:t>ea</w:t>
      </w:r>
      <w:r w:rsidRPr="003B329E">
        <w:rPr>
          <w:rFonts w:ascii="Times New Roman" w:hAnsi="Times New Roman" w:cs="Times New Roman"/>
          <w:sz w:val="24"/>
          <w:szCs w:val="24"/>
        </w:rPr>
        <w:t xml:space="preserve"> aceste</w:t>
      </w:r>
      <w:r>
        <w:rPr>
          <w:rFonts w:ascii="Times New Roman" w:hAnsi="Times New Roman" w:cs="Times New Roman"/>
          <w:sz w:val="24"/>
          <w:szCs w:val="24"/>
        </w:rPr>
        <w:t>i</w:t>
      </w:r>
      <w:r w:rsidRPr="003B329E">
        <w:rPr>
          <w:rFonts w:ascii="Times New Roman" w:hAnsi="Times New Roman" w:cs="Times New Roman"/>
          <w:sz w:val="24"/>
          <w:szCs w:val="24"/>
        </w:rPr>
        <w:t>a în actul de primire-predare la etapa transmiterii bunurilor imobile aflate pe adresa respectivă. În acest context</w:t>
      </w:r>
      <w:r>
        <w:rPr>
          <w:rFonts w:ascii="Times New Roman" w:hAnsi="Times New Roman" w:cs="Times New Roman"/>
          <w:sz w:val="24"/>
          <w:szCs w:val="24"/>
        </w:rPr>
        <w:t>,</w:t>
      </w:r>
      <w:r w:rsidRPr="003B329E">
        <w:rPr>
          <w:rFonts w:ascii="Times New Roman" w:hAnsi="Times New Roman" w:cs="Times New Roman"/>
          <w:sz w:val="24"/>
          <w:szCs w:val="24"/>
        </w:rPr>
        <w:t xml:space="preserve"> se atestă că bun</w:t>
      </w:r>
      <w:r>
        <w:rPr>
          <w:rFonts w:ascii="Times New Roman" w:hAnsi="Times New Roman" w:cs="Times New Roman"/>
          <w:sz w:val="24"/>
          <w:szCs w:val="24"/>
        </w:rPr>
        <w:t>ul</w:t>
      </w:r>
      <w:r w:rsidRPr="003B329E">
        <w:rPr>
          <w:rFonts w:ascii="Times New Roman" w:hAnsi="Times New Roman" w:cs="Times New Roman"/>
          <w:sz w:val="24"/>
          <w:szCs w:val="24"/>
        </w:rPr>
        <w:t xml:space="preserve"> respectiv nu a fost înregistrat nici la organul cadastral. Astfel,</w:t>
      </w:r>
      <w:r w:rsidR="00BA69A9">
        <w:rPr>
          <w:rFonts w:ascii="Times New Roman" w:hAnsi="Times New Roman" w:cs="Times New Roman"/>
          <w:sz w:val="24"/>
          <w:szCs w:val="24"/>
        </w:rPr>
        <w:t xml:space="preserve"> </w:t>
      </w:r>
      <w:r w:rsidRPr="003B329E">
        <w:rPr>
          <w:rFonts w:ascii="Times New Roman" w:hAnsi="Times New Roman" w:cs="Times New Roman"/>
          <w:sz w:val="24"/>
          <w:szCs w:val="24"/>
        </w:rPr>
        <w:t>în cazul respectiv nu s-</w:t>
      </w:r>
      <w:r>
        <w:rPr>
          <w:rFonts w:ascii="Times New Roman" w:hAnsi="Times New Roman" w:cs="Times New Roman"/>
          <w:sz w:val="24"/>
          <w:szCs w:val="24"/>
        </w:rPr>
        <w:t>a</w:t>
      </w:r>
      <w:r w:rsidRPr="003B329E">
        <w:rPr>
          <w:rFonts w:ascii="Times New Roman" w:hAnsi="Times New Roman" w:cs="Times New Roman"/>
          <w:sz w:val="24"/>
          <w:szCs w:val="24"/>
        </w:rPr>
        <w:t>u respectat prevederile legale</w:t>
      </w:r>
      <w:r w:rsidRPr="003B329E">
        <w:rPr>
          <w:rFonts w:ascii="Times New Roman" w:hAnsi="Times New Roman" w:cs="Times New Roman"/>
          <w:vertAlign w:val="superscript"/>
        </w:rPr>
        <w:footnoteReference w:id="171"/>
      </w:r>
      <w:r w:rsidRPr="003B329E">
        <w:rPr>
          <w:rFonts w:ascii="Times New Roman" w:hAnsi="Times New Roman" w:cs="Times New Roman"/>
          <w:sz w:val="24"/>
          <w:szCs w:val="24"/>
        </w:rPr>
        <w:t xml:space="preserve"> </w:t>
      </w:r>
      <w:r>
        <w:rPr>
          <w:rFonts w:ascii="Times New Roman" w:hAnsi="Times New Roman" w:cs="Times New Roman"/>
          <w:sz w:val="24"/>
          <w:szCs w:val="24"/>
        </w:rPr>
        <w:t>conform cărora</w:t>
      </w:r>
      <w:r w:rsidRPr="003B329E">
        <w:rPr>
          <w:rFonts w:ascii="Times New Roman" w:hAnsi="Times New Roman" w:cs="Times New Roman"/>
          <w:sz w:val="24"/>
          <w:szCs w:val="24"/>
        </w:rPr>
        <w:t xml:space="preserve"> actul de transmitere a terenului, mijloacelor fixe și altor active proprietate publică se perfectează în baza datelor contabile şi, după caz, a raportului de evaluare, pașapoartelor tehnice și altor documente tehnice, precum şi documentelor privind înregistrarea precedentă a acestor bunuri, efectuată de organele autorizate, pe numele părții care transmite.</w:t>
      </w:r>
    </w:p>
    <w:p w14:paraId="7598F495" w14:textId="42DFDE21" w:rsidR="003019F5" w:rsidRPr="003B329E" w:rsidRDefault="00F94284" w:rsidP="000D4888">
      <w:pPr>
        <w:spacing w:after="80" w:line="276" w:lineRule="auto"/>
        <w:jc w:val="both"/>
        <w:rPr>
          <w:rFonts w:ascii="Times New Roman" w:hAnsi="Times New Roman" w:cs="Times New Roman"/>
          <w:sz w:val="24"/>
          <w:szCs w:val="24"/>
        </w:rPr>
      </w:pPr>
      <w:r w:rsidRPr="003B329E">
        <w:rPr>
          <w:rFonts w:ascii="Times New Roman" w:hAnsi="Times New Roman" w:cs="Times New Roman"/>
          <w:sz w:val="24"/>
          <w:szCs w:val="24"/>
        </w:rPr>
        <w:t>La situația d</w:t>
      </w:r>
      <w:r>
        <w:rPr>
          <w:rFonts w:ascii="Times New Roman" w:hAnsi="Times New Roman" w:cs="Times New Roman"/>
          <w:sz w:val="24"/>
          <w:szCs w:val="24"/>
        </w:rPr>
        <w:t>in</w:t>
      </w:r>
      <w:r w:rsidRPr="003B329E">
        <w:rPr>
          <w:rFonts w:ascii="Times New Roman" w:hAnsi="Times New Roman" w:cs="Times New Roman"/>
          <w:sz w:val="24"/>
          <w:szCs w:val="24"/>
        </w:rPr>
        <w:t xml:space="preserve"> 31.12</w:t>
      </w:r>
      <w:r>
        <w:rPr>
          <w:rFonts w:ascii="Times New Roman" w:hAnsi="Times New Roman" w:cs="Times New Roman"/>
          <w:sz w:val="24"/>
          <w:szCs w:val="24"/>
        </w:rPr>
        <w:t>.</w:t>
      </w:r>
      <w:r w:rsidRPr="003B329E">
        <w:rPr>
          <w:rFonts w:ascii="Times New Roman" w:hAnsi="Times New Roman" w:cs="Times New Roman"/>
          <w:sz w:val="24"/>
          <w:szCs w:val="24"/>
        </w:rPr>
        <w:t xml:space="preserve">2022, în evidența contabilă a DGACG erau înregistrate 41 </w:t>
      </w:r>
      <w:r>
        <w:rPr>
          <w:rFonts w:ascii="Times New Roman" w:hAnsi="Times New Roman" w:cs="Times New Roman"/>
          <w:sz w:val="24"/>
          <w:szCs w:val="24"/>
        </w:rPr>
        <w:t xml:space="preserve">de </w:t>
      </w:r>
      <w:r w:rsidRPr="003B329E">
        <w:rPr>
          <w:rFonts w:ascii="Times New Roman" w:hAnsi="Times New Roman" w:cs="Times New Roman"/>
          <w:sz w:val="24"/>
          <w:szCs w:val="24"/>
        </w:rPr>
        <w:t>terenuri cu suprafață totală de 174</w:t>
      </w:r>
      <w:r>
        <w:rPr>
          <w:rFonts w:ascii="Times New Roman" w:hAnsi="Times New Roman" w:cs="Times New Roman"/>
          <w:sz w:val="24"/>
          <w:szCs w:val="24"/>
        </w:rPr>
        <w:t>.</w:t>
      </w:r>
      <w:r w:rsidRPr="003B329E">
        <w:rPr>
          <w:rFonts w:ascii="Times New Roman" w:hAnsi="Times New Roman" w:cs="Times New Roman"/>
          <w:sz w:val="24"/>
          <w:szCs w:val="24"/>
        </w:rPr>
        <w:t>583 m.p.</w:t>
      </w:r>
      <w:r>
        <w:rPr>
          <w:rFonts w:ascii="Times New Roman" w:hAnsi="Times New Roman" w:cs="Times New Roman"/>
          <w:sz w:val="24"/>
          <w:szCs w:val="24"/>
        </w:rPr>
        <w:t xml:space="preserve"> </w:t>
      </w:r>
      <w:r w:rsidR="003019F5" w:rsidRPr="003B329E">
        <w:rPr>
          <w:rFonts w:ascii="Times New Roman" w:hAnsi="Times New Roman" w:cs="Times New Roman"/>
          <w:sz w:val="24"/>
          <w:szCs w:val="24"/>
        </w:rPr>
        <w:t xml:space="preserve">(175,6 ha) în sumă de 55,2 mil. lei, care conform </w:t>
      </w:r>
      <w:r w:rsidR="000F6AA1">
        <w:rPr>
          <w:rFonts w:ascii="Times New Roman" w:hAnsi="Times New Roman" w:cs="Times New Roman"/>
          <w:sz w:val="24"/>
          <w:szCs w:val="24"/>
        </w:rPr>
        <w:t>cadrului normativ</w:t>
      </w:r>
      <w:r w:rsidR="003019F5" w:rsidRPr="003B329E">
        <w:rPr>
          <w:rStyle w:val="a5"/>
          <w:rFonts w:ascii="Times New Roman" w:hAnsi="Times New Roman" w:cs="Times New Roman"/>
          <w:sz w:val="24"/>
          <w:szCs w:val="24"/>
        </w:rPr>
        <w:footnoteReference w:id="172"/>
      </w:r>
      <w:r w:rsidR="003019F5" w:rsidRPr="003B329E">
        <w:rPr>
          <w:rFonts w:ascii="Times New Roman" w:hAnsi="Times New Roman" w:cs="Times New Roman"/>
          <w:sz w:val="24"/>
          <w:szCs w:val="24"/>
        </w:rPr>
        <w:t xml:space="preserve"> urmau a fi transmise Agenți</w:t>
      </w:r>
      <w:r w:rsidR="003019F5">
        <w:rPr>
          <w:rFonts w:ascii="Times New Roman" w:hAnsi="Times New Roman" w:cs="Times New Roman"/>
          <w:sz w:val="24"/>
          <w:szCs w:val="24"/>
        </w:rPr>
        <w:t>ei</w:t>
      </w:r>
      <w:r w:rsidR="003019F5" w:rsidRPr="003B329E">
        <w:rPr>
          <w:rFonts w:ascii="Times New Roman" w:hAnsi="Times New Roman" w:cs="Times New Roman"/>
          <w:sz w:val="24"/>
          <w:szCs w:val="24"/>
        </w:rPr>
        <w:t xml:space="preserve"> Proprietății Publice. Până la finisarea auditului</w:t>
      </w:r>
      <w:r w:rsidR="003019F5">
        <w:rPr>
          <w:rFonts w:ascii="Times New Roman" w:hAnsi="Times New Roman" w:cs="Times New Roman"/>
          <w:sz w:val="24"/>
          <w:szCs w:val="24"/>
        </w:rPr>
        <w:t>,</w:t>
      </w:r>
      <w:r w:rsidR="003019F5" w:rsidRPr="003B329E">
        <w:rPr>
          <w:rFonts w:ascii="Times New Roman" w:hAnsi="Times New Roman" w:cs="Times New Roman"/>
          <w:sz w:val="24"/>
          <w:szCs w:val="24"/>
        </w:rPr>
        <w:t xml:space="preserve"> terenurile respective n</w:t>
      </w:r>
      <w:r w:rsidR="003019F5">
        <w:rPr>
          <w:rFonts w:ascii="Times New Roman" w:hAnsi="Times New Roman" w:cs="Times New Roman"/>
          <w:sz w:val="24"/>
          <w:szCs w:val="24"/>
        </w:rPr>
        <w:t xml:space="preserve">u </w:t>
      </w:r>
      <w:r w:rsidR="000F6AA1">
        <w:rPr>
          <w:rFonts w:ascii="Times New Roman" w:hAnsi="Times New Roman" w:cs="Times New Roman"/>
          <w:sz w:val="24"/>
          <w:szCs w:val="24"/>
        </w:rPr>
        <w:t>au fost transmise</w:t>
      </w:r>
      <w:r w:rsidR="003019F5" w:rsidRPr="003B329E">
        <w:rPr>
          <w:rFonts w:ascii="Times New Roman" w:hAnsi="Times New Roman" w:cs="Times New Roman"/>
          <w:sz w:val="24"/>
          <w:szCs w:val="24"/>
        </w:rPr>
        <w:t>. Deși procedura de transmitere a fost inițiată în anul 2019, aceasta nu a avut o finalitate, din cauza înțelegerii neunivoce a cadrului de reglementare de către instituțiile statului.</w:t>
      </w:r>
    </w:p>
    <w:p w14:paraId="07EBEFA5" w14:textId="77777777" w:rsidR="003019F5" w:rsidRPr="003B329E" w:rsidRDefault="003019F5" w:rsidP="000D4888">
      <w:pPr>
        <w:spacing w:after="80" w:line="276" w:lineRule="auto"/>
        <w:jc w:val="both"/>
        <w:rPr>
          <w:rFonts w:ascii="Times New Roman" w:hAnsi="Times New Roman" w:cs="Times New Roman"/>
          <w:sz w:val="24"/>
          <w:szCs w:val="24"/>
        </w:rPr>
      </w:pPr>
      <w:r w:rsidRPr="003B329E">
        <w:rPr>
          <w:rFonts w:ascii="Times New Roman" w:hAnsi="Times New Roman" w:cs="Times New Roman"/>
          <w:sz w:val="24"/>
          <w:szCs w:val="24"/>
        </w:rPr>
        <w:t>Concomitent se constată că atât în evidența contabilă a DGACG</w:t>
      </w:r>
      <w:r>
        <w:rPr>
          <w:rFonts w:ascii="Times New Roman" w:hAnsi="Times New Roman" w:cs="Times New Roman"/>
          <w:sz w:val="24"/>
          <w:szCs w:val="24"/>
        </w:rPr>
        <w:t>,</w:t>
      </w:r>
      <w:r w:rsidRPr="003B329E">
        <w:rPr>
          <w:rFonts w:ascii="Times New Roman" w:hAnsi="Times New Roman" w:cs="Times New Roman"/>
          <w:sz w:val="24"/>
          <w:szCs w:val="24"/>
        </w:rPr>
        <w:t xml:space="preserve"> cât și în datele raportate </w:t>
      </w:r>
      <w:r>
        <w:rPr>
          <w:rFonts w:ascii="Times New Roman" w:hAnsi="Times New Roman" w:cs="Times New Roman"/>
          <w:sz w:val="24"/>
          <w:szCs w:val="24"/>
        </w:rPr>
        <w:t xml:space="preserve">de </w:t>
      </w:r>
      <w:r w:rsidRPr="003B329E">
        <w:rPr>
          <w:rFonts w:ascii="Times New Roman" w:hAnsi="Times New Roman" w:cs="Times New Roman"/>
          <w:sz w:val="24"/>
          <w:szCs w:val="24"/>
        </w:rPr>
        <w:t>APP nu se regăsește terenul cu suprafața de 0,0773 ha din str. N.</w:t>
      </w:r>
      <w:r>
        <w:rPr>
          <w:rFonts w:ascii="Times New Roman" w:hAnsi="Times New Roman" w:cs="Times New Roman"/>
          <w:sz w:val="24"/>
          <w:szCs w:val="24"/>
        </w:rPr>
        <w:t xml:space="preserve"> </w:t>
      </w:r>
      <w:r w:rsidRPr="003B329E">
        <w:rPr>
          <w:rFonts w:ascii="Times New Roman" w:hAnsi="Times New Roman" w:cs="Times New Roman"/>
          <w:sz w:val="24"/>
          <w:szCs w:val="24"/>
        </w:rPr>
        <w:t xml:space="preserve">Iorga </w:t>
      </w:r>
      <w:r>
        <w:rPr>
          <w:rFonts w:ascii="Times New Roman" w:hAnsi="Times New Roman" w:cs="Times New Roman"/>
          <w:sz w:val="24"/>
          <w:szCs w:val="24"/>
        </w:rPr>
        <w:t>nr.</w:t>
      </w:r>
      <w:r w:rsidRPr="003B329E">
        <w:rPr>
          <w:rFonts w:ascii="Times New Roman" w:hAnsi="Times New Roman" w:cs="Times New Roman"/>
          <w:sz w:val="24"/>
          <w:szCs w:val="24"/>
        </w:rPr>
        <w:t>16</w:t>
      </w:r>
      <w:r w:rsidRPr="003B329E">
        <w:rPr>
          <w:rStyle w:val="a5"/>
          <w:rFonts w:ascii="Times New Roman" w:hAnsi="Times New Roman" w:cs="Times New Roman"/>
          <w:sz w:val="24"/>
          <w:szCs w:val="24"/>
        </w:rPr>
        <w:footnoteReference w:id="173"/>
      </w:r>
      <w:r w:rsidRPr="003B329E">
        <w:rPr>
          <w:rFonts w:ascii="Times New Roman" w:hAnsi="Times New Roman" w:cs="Times New Roman"/>
          <w:sz w:val="24"/>
          <w:szCs w:val="24"/>
        </w:rPr>
        <w:t>, deși în RBI acesta figurează în folosinț</w:t>
      </w:r>
      <w:r>
        <w:rPr>
          <w:rFonts w:ascii="Times New Roman" w:hAnsi="Times New Roman" w:cs="Times New Roman"/>
          <w:sz w:val="24"/>
          <w:szCs w:val="24"/>
        </w:rPr>
        <w:t>a</w:t>
      </w:r>
      <w:r w:rsidRPr="003B329E">
        <w:rPr>
          <w:rFonts w:ascii="Times New Roman" w:hAnsi="Times New Roman" w:cs="Times New Roman"/>
          <w:sz w:val="24"/>
          <w:szCs w:val="24"/>
        </w:rPr>
        <w:t xml:space="preserve"> DGACG</w:t>
      </w:r>
      <w:r w:rsidRPr="003B329E">
        <w:rPr>
          <w:rStyle w:val="a5"/>
          <w:rFonts w:ascii="Times New Roman" w:hAnsi="Times New Roman" w:cs="Times New Roman"/>
          <w:sz w:val="24"/>
          <w:szCs w:val="24"/>
        </w:rPr>
        <w:footnoteReference w:id="174"/>
      </w:r>
      <w:r w:rsidRPr="003B329E">
        <w:rPr>
          <w:rFonts w:ascii="Times New Roman" w:hAnsi="Times New Roman" w:cs="Times New Roman"/>
          <w:sz w:val="24"/>
          <w:szCs w:val="24"/>
        </w:rPr>
        <w:t xml:space="preserve"> din 08.12.1999. </w:t>
      </w:r>
    </w:p>
    <w:p w14:paraId="19EC7FA6" w14:textId="77777777" w:rsidR="00F94284" w:rsidRPr="003B329E" w:rsidRDefault="003019F5" w:rsidP="000D4888">
      <w:pPr>
        <w:spacing w:after="80" w:line="276" w:lineRule="auto"/>
        <w:jc w:val="both"/>
        <w:rPr>
          <w:rFonts w:ascii="Times New Roman" w:hAnsi="Times New Roman" w:cs="Times New Roman"/>
          <w:sz w:val="24"/>
          <w:szCs w:val="24"/>
        </w:rPr>
      </w:pPr>
      <w:r w:rsidRPr="003B329E">
        <w:rPr>
          <w:rFonts w:ascii="Times New Roman" w:hAnsi="Times New Roman" w:cs="Times New Roman"/>
          <w:sz w:val="24"/>
          <w:szCs w:val="24"/>
        </w:rPr>
        <w:t>O altă constatare de audit denotă că DGACG</w:t>
      </w:r>
      <w:r>
        <w:rPr>
          <w:rFonts w:ascii="Times New Roman" w:hAnsi="Times New Roman" w:cs="Times New Roman"/>
          <w:sz w:val="24"/>
          <w:szCs w:val="24"/>
        </w:rPr>
        <w:t>,</w:t>
      </w:r>
      <w:r w:rsidRPr="003B329E">
        <w:rPr>
          <w:rFonts w:ascii="Times New Roman" w:hAnsi="Times New Roman" w:cs="Times New Roman"/>
          <w:sz w:val="24"/>
          <w:szCs w:val="24"/>
        </w:rPr>
        <w:t xml:space="preserve"> contrar cadrului normativ</w:t>
      </w:r>
      <w:r>
        <w:rPr>
          <w:rFonts w:ascii="Times New Roman" w:hAnsi="Times New Roman" w:cs="Times New Roman"/>
          <w:sz w:val="24"/>
          <w:szCs w:val="24"/>
        </w:rPr>
        <w:t>,</w:t>
      </w:r>
      <w:r w:rsidRPr="003B329E">
        <w:rPr>
          <w:rFonts w:ascii="Times New Roman" w:hAnsi="Times New Roman" w:cs="Times New Roman"/>
          <w:sz w:val="24"/>
          <w:szCs w:val="24"/>
        </w:rPr>
        <w:t xml:space="preserve"> a reflectat în evidența contabilă imobile cu diferite numere cadastrale ca un singur bun. Or, conform prevederilor legale</w:t>
      </w:r>
      <w:r w:rsidRPr="003B329E">
        <w:rPr>
          <w:rStyle w:val="a5"/>
          <w:rFonts w:ascii="Times New Roman" w:hAnsi="Times New Roman" w:cs="Times New Roman"/>
          <w:sz w:val="24"/>
          <w:szCs w:val="24"/>
        </w:rPr>
        <w:footnoteReference w:id="175"/>
      </w:r>
      <w:r>
        <w:rPr>
          <w:rFonts w:ascii="Times New Roman" w:hAnsi="Times New Roman" w:cs="Times New Roman"/>
          <w:sz w:val="24"/>
          <w:szCs w:val="24"/>
        </w:rPr>
        <w:t>,</w:t>
      </w:r>
      <w:r w:rsidRPr="003B329E">
        <w:rPr>
          <w:rFonts w:ascii="Times New Roman" w:hAnsi="Times New Roman" w:cs="Times New Roman"/>
          <w:bCs/>
          <w:sz w:val="24"/>
          <w:szCs w:val="24"/>
        </w:rPr>
        <w:t xml:space="preserve"> </w:t>
      </w:r>
      <w:r w:rsidRPr="003B329E">
        <w:rPr>
          <w:rFonts w:ascii="Times New Roman" w:hAnsi="Times New Roman" w:cs="Times New Roman"/>
          <w:sz w:val="24"/>
          <w:szCs w:val="24"/>
        </w:rPr>
        <w:t>la grupa de conturi 311 „Clădiri” se ţine evidenţa separat</w:t>
      </w:r>
      <w:r>
        <w:rPr>
          <w:rFonts w:ascii="Times New Roman" w:hAnsi="Times New Roman" w:cs="Times New Roman"/>
          <w:sz w:val="24"/>
          <w:szCs w:val="24"/>
        </w:rPr>
        <w:t>ă</w:t>
      </w:r>
      <w:r w:rsidRPr="003B329E">
        <w:rPr>
          <w:rFonts w:ascii="Times New Roman" w:hAnsi="Times New Roman" w:cs="Times New Roman"/>
          <w:sz w:val="24"/>
          <w:szCs w:val="24"/>
        </w:rPr>
        <w:t xml:space="preserve"> a valorii încăperilor izolate proprietate publică, în calitate de bunuri imobile. Totodată, pentru organizarea evidenței și asigurarea controlului asupra integrităţii mijloacelor fixe, fiecărui obiect (bun), cu excepția fondurilor de bibliotecă, plantațiilor perene şi a mijloacelor pentru punerea în scenă, i se atribuie un număr de inventar. Se exemplifică situația constatată la clădirea administrativă și garajul din or. Basarabeasca</w:t>
      </w:r>
      <w:r>
        <w:rPr>
          <w:rFonts w:ascii="Times New Roman" w:hAnsi="Times New Roman" w:cs="Times New Roman"/>
          <w:sz w:val="24"/>
          <w:szCs w:val="24"/>
        </w:rPr>
        <w:t>,</w:t>
      </w:r>
      <w:r w:rsidRPr="003B329E">
        <w:rPr>
          <w:rFonts w:ascii="Times New Roman" w:hAnsi="Times New Roman" w:cs="Times New Roman"/>
          <w:sz w:val="24"/>
          <w:szCs w:val="24"/>
        </w:rPr>
        <w:t xml:space="preserve"> înregistrat</w:t>
      </w:r>
      <w:r>
        <w:rPr>
          <w:rFonts w:ascii="Times New Roman" w:hAnsi="Times New Roman" w:cs="Times New Roman"/>
          <w:sz w:val="24"/>
          <w:szCs w:val="24"/>
        </w:rPr>
        <w:t>e</w:t>
      </w:r>
      <w:r w:rsidRPr="003B329E">
        <w:rPr>
          <w:rFonts w:ascii="Times New Roman" w:hAnsi="Times New Roman" w:cs="Times New Roman"/>
          <w:sz w:val="24"/>
          <w:szCs w:val="24"/>
        </w:rPr>
        <w:t xml:space="preserve"> în RBI cu </w:t>
      </w:r>
      <w:r w:rsidR="00F94284" w:rsidRPr="003B329E">
        <w:rPr>
          <w:rFonts w:ascii="Times New Roman" w:hAnsi="Times New Roman" w:cs="Times New Roman"/>
          <w:sz w:val="24"/>
          <w:szCs w:val="24"/>
        </w:rPr>
        <w:t>diferite numere cadastrale</w:t>
      </w:r>
      <w:r w:rsidR="00F94284">
        <w:rPr>
          <w:rFonts w:ascii="Times New Roman" w:hAnsi="Times New Roman" w:cs="Times New Roman"/>
          <w:sz w:val="24"/>
          <w:szCs w:val="24"/>
        </w:rPr>
        <w:t>:</w:t>
      </w:r>
      <w:r w:rsidR="00F94284" w:rsidRPr="003B329E">
        <w:rPr>
          <w:rFonts w:ascii="Times New Roman" w:hAnsi="Times New Roman" w:cs="Times New Roman"/>
          <w:sz w:val="24"/>
          <w:szCs w:val="24"/>
        </w:rPr>
        <w:t xml:space="preserve"> </w:t>
      </w:r>
      <w:r w:rsidR="00F94284" w:rsidRPr="003019F5">
        <w:rPr>
          <w:rFonts w:ascii="Times New Roman" w:hAnsi="Times New Roman" w:cs="Times New Roman"/>
          <w:sz w:val="24"/>
          <w:szCs w:val="24"/>
        </w:rPr>
        <w:t>1201309011.01 și 1201309011</w:t>
      </w:r>
      <w:r w:rsidR="00F94284">
        <w:rPr>
          <w:rFonts w:ascii="Times New Roman" w:hAnsi="Times New Roman" w:cs="Times New Roman"/>
          <w:sz w:val="24"/>
          <w:szCs w:val="24"/>
        </w:rPr>
        <w:t>.</w:t>
      </w:r>
      <w:r w:rsidR="00F94284" w:rsidRPr="003019F5">
        <w:rPr>
          <w:rFonts w:ascii="Times New Roman" w:hAnsi="Times New Roman" w:cs="Times New Roman"/>
          <w:sz w:val="24"/>
          <w:szCs w:val="24"/>
        </w:rPr>
        <w:t>02 cu suprafața de 149,2 și</w:t>
      </w:r>
      <w:r w:rsidR="00F94284">
        <w:rPr>
          <w:rFonts w:ascii="Times New Roman" w:hAnsi="Times New Roman" w:cs="Times New Roman"/>
          <w:sz w:val="24"/>
          <w:szCs w:val="24"/>
        </w:rPr>
        <w:t>, respectiv, de</w:t>
      </w:r>
      <w:r w:rsidR="00F94284" w:rsidRPr="003019F5">
        <w:rPr>
          <w:rFonts w:ascii="Times New Roman" w:hAnsi="Times New Roman" w:cs="Times New Roman"/>
          <w:sz w:val="24"/>
          <w:szCs w:val="24"/>
        </w:rPr>
        <w:t xml:space="preserve"> 88,7 m.p., iar în evidența contabilă acest</w:t>
      </w:r>
      <w:r w:rsidR="00F94284">
        <w:rPr>
          <w:rFonts w:ascii="Times New Roman" w:hAnsi="Times New Roman" w:cs="Times New Roman"/>
          <w:sz w:val="24"/>
          <w:szCs w:val="24"/>
        </w:rPr>
        <w:t>e</w:t>
      </w:r>
      <w:r w:rsidR="00F94284" w:rsidRPr="003019F5">
        <w:rPr>
          <w:rFonts w:ascii="Times New Roman" w:hAnsi="Times New Roman" w:cs="Times New Roman"/>
          <w:sz w:val="24"/>
          <w:szCs w:val="24"/>
        </w:rPr>
        <w:t xml:space="preserve">a </w:t>
      </w:r>
      <w:r w:rsidR="00F94284">
        <w:rPr>
          <w:rFonts w:ascii="Times New Roman" w:hAnsi="Times New Roman" w:cs="Times New Roman"/>
          <w:sz w:val="24"/>
          <w:szCs w:val="24"/>
        </w:rPr>
        <w:t>sunt</w:t>
      </w:r>
      <w:r w:rsidR="00F94284" w:rsidRPr="003019F5">
        <w:rPr>
          <w:rFonts w:ascii="Times New Roman" w:hAnsi="Times New Roman" w:cs="Times New Roman"/>
          <w:sz w:val="24"/>
          <w:szCs w:val="24"/>
        </w:rPr>
        <w:t xml:space="preserve"> reflectat</w:t>
      </w:r>
      <w:r w:rsidR="00F94284">
        <w:rPr>
          <w:rFonts w:ascii="Times New Roman" w:hAnsi="Times New Roman" w:cs="Times New Roman"/>
          <w:sz w:val="24"/>
          <w:szCs w:val="24"/>
        </w:rPr>
        <w:t>e</w:t>
      </w:r>
      <w:r w:rsidR="00F94284" w:rsidRPr="003019F5">
        <w:rPr>
          <w:rFonts w:ascii="Times New Roman" w:hAnsi="Times New Roman" w:cs="Times New Roman"/>
          <w:sz w:val="24"/>
          <w:szCs w:val="24"/>
        </w:rPr>
        <w:t xml:space="preserve"> ca un singur bun în valoare de 1.378,5 mii lei. Situații</w:t>
      </w:r>
      <w:r w:rsidR="00F94284" w:rsidRPr="003B329E">
        <w:rPr>
          <w:rFonts w:ascii="Times New Roman" w:hAnsi="Times New Roman" w:cs="Times New Roman"/>
          <w:sz w:val="24"/>
          <w:szCs w:val="24"/>
        </w:rPr>
        <w:t xml:space="preserve"> analogice au fost constatate și în cazul altor 7 imobile, informați</w:t>
      </w:r>
      <w:r w:rsidR="00F94284">
        <w:rPr>
          <w:rFonts w:ascii="Times New Roman" w:hAnsi="Times New Roman" w:cs="Times New Roman"/>
          <w:sz w:val="24"/>
          <w:szCs w:val="24"/>
        </w:rPr>
        <w:t>ile</w:t>
      </w:r>
      <w:r w:rsidR="00F94284" w:rsidRPr="003B329E">
        <w:rPr>
          <w:rFonts w:ascii="Times New Roman" w:hAnsi="Times New Roman" w:cs="Times New Roman"/>
          <w:sz w:val="24"/>
          <w:szCs w:val="24"/>
        </w:rPr>
        <w:t xml:space="preserve"> </w:t>
      </w:r>
      <w:r w:rsidR="00F94284">
        <w:rPr>
          <w:rFonts w:ascii="Times New Roman" w:hAnsi="Times New Roman" w:cs="Times New Roman"/>
          <w:sz w:val="24"/>
          <w:szCs w:val="24"/>
        </w:rPr>
        <w:t xml:space="preserve">detaliate </w:t>
      </w:r>
      <w:r w:rsidR="00F94284" w:rsidRPr="003B329E">
        <w:rPr>
          <w:rFonts w:ascii="Times New Roman" w:hAnsi="Times New Roman" w:cs="Times New Roman"/>
          <w:sz w:val="24"/>
          <w:szCs w:val="24"/>
        </w:rPr>
        <w:t>regăs</w:t>
      </w:r>
      <w:r w:rsidR="00F94284">
        <w:rPr>
          <w:rFonts w:ascii="Times New Roman" w:hAnsi="Times New Roman" w:cs="Times New Roman"/>
          <w:sz w:val="24"/>
          <w:szCs w:val="24"/>
        </w:rPr>
        <w:t>i</w:t>
      </w:r>
      <w:r w:rsidR="00F94284" w:rsidRPr="003B329E">
        <w:rPr>
          <w:rFonts w:ascii="Times New Roman" w:hAnsi="Times New Roman" w:cs="Times New Roman"/>
          <w:sz w:val="24"/>
          <w:szCs w:val="24"/>
        </w:rPr>
        <w:t xml:space="preserve">ndu-se în </w:t>
      </w:r>
      <w:r w:rsidR="00F94284" w:rsidRPr="00E46D8A">
        <w:rPr>
          <w:rFonts w:ascii="Times New Roman" w:hAnsi="Times New Roman" w:cs="Times New Roman"/>
          <w:i/>
          <w:sz w:val="24"/>
          <w:szCs w:val="24"/>
        </w:rPr>
        <w:t xml:space="preserve">Anexa nr. </w:t>
      </w:r>
      <w:r w:rsidR="00F94284">
        <w:rPr>
          <w:rFonts w:ascii="Times New Roman" w:hAnsi="Times New Roman" w:cs="Times New Roman"/>
          <w:i/>
          <w:sz w:val="24"/>
          <w:szCs w:val="24"/>
        </w:rPr>
        <w:t>11</w:t>
      </w:r>
      <w:r w:rsidR="00F94284" w:rsidRPr="003B329E">
        <w:rPr>
          <w:rFonts w:ascii="Times New Roman" w:hAnsi="Times New Roman" w:cs="Times New Roman"/>
          <w:sz w:val="24"/>
          <w:szCs w:val="24"/>
        </w:rPr>
        <w:t xml:space="preserve"> </w:t>
      </w:r>
      <w:r w:rsidR="00F94284" w:rsidRPr="00394CEB">
        <w:rPr>
          <w:rFonts w:ascii="Times New Roman" w:hAnsi="Times New Roman" w:cs="Times New Roman"/>
          <w:i/>
          <w:sz w:val="24"/>
          <w:szCs w:val="24"/>
        </w:rPr>
        <w:t>la prezentul Raport de audit</w:t>
      </w:r>
      <w:r w:rsidR="00F94284" w:rsidRPr="003B329E">
        <w:rPr>
          <w:rFonts w:ascii="Times New Roman" w:hAnsi="Times New Roman" w:cs="Times New Roman"/>
          <w:sz w:val="24"/>
          <w:szCs w:val="24"/>
        </w:rPr>
        <w:t>.</w:t>
      </w:r>
    </w:p>
    <w:p w14:paraId="18080237" w14:textId="5F7F612C" w:rsidR="00A07E5F" w:rsidRPr="003019F5" w:rsidRDefault="003019F5" w:rsidP="00F94284">
      <w:pPr>
        <w:spacing w:after="80" w:line="276" w:lineRule="auto"/>
        <w:jc w:val="both"/>
        <w:rPr>
          <w:rFonts w:ascii="Times New Roman" w:hAnsi="Times New Roman" w:cs="Times New Roman"/>
          <w:sz w:val="24"/>
          <w:szCs w:val="24"/>
        </w:rPr>
      </w:pPr>
      <w:r w:rsidRPr="00C1371D">
        <w:rPr>
          <w:rFonts w:ascii="Times New Roman" w:hAnsi="Times New Roman" w:cs="Times New Roman"/>
          <w:sz w:val="24"/>
          <w:szCs w:val="24"/>
        </w:rPr>
        <w:t>Există neconformități și la aspectul înregistrării în evidența contabilă de către I</w:t>
      </w:r>
      <w:r w:rsidR="000F096B">
        <w:rPr>
          <w:rFonts w:ascii="Times New Roman" w:hAnsi="Times New Roman" w:cs="Times New Roman"/>
          <w:sz w:val="24"/>
          <w:szCs w:val="24"/>
        </w:rPr>
        <w:t>.</w:t>
      </w:r>
      <w:r w:rsidRPr="00C1371D">
        <w:rPr>
          <w:rFonts w:ascii="Times New Roman" w:hAnsi="Times New Roman" w:cs="Times New Roman"/>
          <w:sz w:val="24"/>
          <w:szCs w:val="24"/>
        </w:rPr>
        <w:t>P</w:t>
      </w:r>
      <w:r w:rsidR="000F096B">
        <w:rPr>
          <w:rFonts w:ascii="Times New Roman" w:hAnsi="Times New Roman" w:cs="Times New Roman"/>
          <w:sz w:val="24"/>
          <w:szCs w:val="24"/>
        </w:rPr>
        <w:t>.</w:t>
      </w:r>
      <w:r w:rsidRPr="00C1371D">
        <w:rPr>
          <w:rFonts w:ascii="Times New Roman" w:hAnsi="Times New Roman" w:cs="Times New Roman"/>
          <w:sz w:val="24"/>
          <w:szCs w:val="24"/>
        </w:rPr>
        <w:t xml:space="preserve"> „Pensiunea din Holercani” a tuturor construcțiilor cu destinație specială existente pe teritoriul pensiunii</w:t>
      </w:r>
      <w:r>
        <w:rPr>
          <w:rFonts w:ascii="Times New Roman" w:hAnsi="Times New Roman" w:cs="Times New Roman"/>
          <w:sz w:val="24"/>
          <w:szCs w:val="24"/>
        </w:rPr>
        <w:t>,</w:t>
      </w:r>
      <w:r w:rsidRPr="00C1371D">
        <w:rPr>
          <w:rFonts w:ascii="Times New Roman" w:hAnsi="Times New Roman" w:cs="Times New Roman"/>
          <w:sz w:val="24"/>
          <w:szCs w:val="24"/>
        </w:rPr>
        <w:t xml:space="preserve"> și anume a </w:t>
      </w:r>
      <w:r w:rsidRPr="00C1371D">
        <w:rPr>
          <w:rFonts w:ascii="Times New Roman" w:hAnsi="Times New Roman" w:cs="Times New Roman"/>
          <w:i/>
          <w:sz w:val="24"/>
          <w:szCs w:val="24"/>
        </w:rPr>
        <w:t>foișoarelor aferente vilelor</w:t>
      </w:r>
      <w:r w:rsidRPr="00C1371D">
        <w:rPr>
          <w:rFonts w:ascii="Times New Roman" w:hAnsi="Times New Roman" w:cs="Times New Roman"/>
          <w:sz w:val="24"/>
          <w:szCs w:val="24"/>
        </w:rPr>
        <w:t xml:space="preserve">. Astfel, observațiile directe de audit la fața locului relevă neînregistrarea în contabilitate la conturile bilanțiere de activ a </w:t>
      </w:r>
      <w:r w:rsidRPr="00482785">
        <w:rPr>
          <w:rFonts w:ascii="Times New Roman" w:hAnsi="Times New Roman" w:cs="Times New Roman"/>
          <w:sz w:val="24"/>
          <w:szCs w:val="24"/>
          <w:lang w:val="en-US"/>
        </w:rPr>
        <w:t>16 foișoare</w:t>
      </w:r>
      <w:r w:rsidRPr="00C1371D">
        <w:rPr>
          <w:rFonts w:ascii="Times New Roman" w:hAnsi="Times New Roman" w:cs="Times New Roman"/>
          <w:sz w:val="24"/>
          <w:szCs w:val="24"/>
        </w:rPr>
        <w:t xml:space="preserve"> din cele 21 constru</w:t>
      </w:r>
      <w:r w:rsidR="00F94284">
        <w:rPr>
          <w:rFonts w:ascii="Times New Roman" w:hAnsi="Times New Roman" w:cs="Times New Roman"/>
          <w:sz w:val="24"/>
          <w:szCs w:val="24"/>
        </w:rPr>
        <w:t>ite în preajma vilelor</w:t>
      </w:r>
      <w:r w:rsidRPr="00C1371D">
        <w:rPr>
          <w:rFonts w:ascii="Times New Roman" w:hAnsi="Times New Roman" w:cs="Times New Roman"/>
          <w:sz w:val="24"/>
          <w:szCs w:val="24"/>
        </w:rPr>
        <w:t>, deși potrivit Catalogului mijloacelor fixe</w:t>
      </w:r>
      <w:r w:rsidRPr="003B329E">
        <w:rPr>
          <w:rStyle w:val="a5"/>
          <w:rFonts w:ascii="Times New Roman" w:hAnsi="Times New Roman" w:cs="Times New Roman"/>
          <w:sz w:val="24"/>
          <w:szCs w:val="24"/>
        </w:rPr>
        <w:footnoteReference w:id="176"/>
      </w:r>
      <w:r w:rsidRPr="00C1371D">
        <w:rPr>
          <w:rFonts w:ascii="Times New Roman" w:hAnsi="Times New Roman" w:cs="Times New Roman"/>
          <w:sz w:val="24"/>
          <w:szCs w:val="24"/>
        </w:rPr>
        <w:t>, construcțiile din lemn/sticlă</w:t>
      </w:r>
      <w:r w:rsidRPr="00C1371D">
        <w:rPr>
          <w:rFonts w:ascii="Times New Roman" w:hAnsi="Times New Roman" w:cs="Times New Roman"/>
        </w:rPr>
        <w:t xml:space="preserve"> </w:t>
      </w:r>
      <w:r w:rsidRPr="00C1371D">
        <w:rPr>
          <w:rFonts w:ascii="Times New Roman" w:hAnsi="Times New Roman" w:cs="Times New Roman"/>
          <w:sz w:val="24"/>
          <w:szCs w:val="24"/>
        </w:rPr>
        <w:t>îmbrăcate pe schelet de lemn sau</w:t>
      </w:r>
      <w:r w:rsidR="008F3AB1">
        <w:rPr>
          <w:rFonts w:ascii="Times New Roman" w:hAnsi="Times New Roman" w:cs="Times New Roman"/>
          <w:sz w:val="24"/>
          <w:szCs w:val="24"/>
        </w:rPr>
        <w:t xml:space="preserve"> metal urmează a fi recunoscute și contabilizate. </w:t>
      </w:r>
      <w:r w:rsidRPr="00C1371D">
        <w:rPr>
          <w:rFonts w:ascii="Times New Roman" w:hAnsi="Times New Roman" w:cs="Times New Roman"/>
          <w:sz w:val="24"/>
          <w:szCs w:val="24"/>
        </w:rPr>
        <w:t xml:space="preserve">Potrivit explicațiilor responsabililor, situația creată se datorează faptului că autoritățile publice au construit foișoarele din contul bugetului propriu și nu au transmis costurile suportate pentru a fi recunoscute și luate </w:t>
      </w:r>
      <w:r>
        <w:rPr>
          <w:rFonts w:ascii="Times New Roman" w:hAnsi="Times New Roman" w:cs="Times New Roman"/>
          <w:sz w:val="24"/>
          <w:szCs w:val="24"/>
        </w:rPr>
        <w:t>în</w:t>
      </w:r>
      <w:r w:rsidRPr="00C1371D">
        <w:rPr>
          <w:rFonts w:ascii="Times New Roman" w:hAnsi="Times New Roman" w:cs="Times New Roman"/>
          <w:sz w:val="24"/>
          <w:szCs w:val="24"/>
        </w:rPr>
        <w:t xml:space="preserve"> evidență de către I</w:t>
      </w:r>
      <w:r w:rsidR="00F94284">
        <w:rPr>
          <w:rFonts w:ascii="Times New Roman" w:hAnsi="Times New Roman" w:cs="Times New Roman"/>
          <w:sz w:val="24"/>
          <w:szCs w:val="24"/>
        </w:rPr>
        <w:t>.</w:t>
      </w:r>
      <w:r w:rsidRPr="00C1371D">
        <w:rPr>
          <w:rFonts w:ascii="Times New Roman" w:hAnsi="Times New Roman" w:cs="Times New Roman"/>
          <w:sz w:val="24"/>
          <w:szCs w:val="24"/>
        </w:rPr>
        <w:t>P</w:t>
      </w:r>
      <w:r w:rsidR="00F94284">
        <w:rPr>
          <w:rFonts w:ascii="Times New Roman" w:hAnsi="Times New Roman" w:cs="Times New Roman"/>
          <w:sz w:val="24"/>
          <w:szCs w:val="24"/>
        </w:rPr>
        <w:t>.</w:t>
      </w:r>
      <w:r w:rsidRPr="00C1371D">
        <w:rPr>
          <w:rFonts w:ascii="Times New Roman" w:hAnsi="Times New Roman" w:cs="Times New Roman"/>
          <w:sz w:val="24"/>
          <w:szCs w:val="24"/>
        </w:rPr>
        <w:t xml:space="preserve"> „Pensiunea din Holercani”. Echipa de audit relevă că aspect</w:t>
      </w:r>
      <w:r>
        <w:rPr>
          <w:rFonts w:ascii="Times New Roman" w:hAnsi="Times New Roman" w:cs="Times New Roman"/>
          <w:sz w:val="24"/>
          <w:szCs w:val="24"/>
        </w:rPr>
        <w:t>e</w:t>
      </w:r>
      <w:r w:rsidRPr="00C1371D">
        <w:rPr>
          <w:rFonts w:ascii="Times New Roman" w:hAnsi="Times New Roman" w:cs="Times New Roman"/>
          <w:sz w:val="24"/>
          <w:szCs w:val="24"/>
        </w:rPr>
        <w:t>l</w:t>
      </w:r>
      <w:r>
        <w:rPr>
          <w:rFonts w:ascii="Times New Roman" w:hAnsi="Times New Roman" w:cs="Times New Roman"/>
          <w:sz w:val="24"/>
          <w:szCs w:val="24"/>
        </w:rPr>
        <w:t>e</w:t>
      </w:r>
      <w:r w:rsidRPr="00C1371D">
        <w:rPr>
          <w:rFonts w:ascii="Times New Roman" w:hAnsi="Times New Roman" w:cs="Times New Roman"/>
          <w:sz w:val="24"/>
          <w:szCs w:val="24"/>
        </w:rPr>
        <w:t xml:space="preserve"> privind posibilitatea efectuării unor lucrări de reparație curentă/capitală a vilelor</w:t>
      </w:r>
      <w:r>
        <w:rPr>
          <w:rFonts w:ascii="Times New Roman" w:hAnsi="Times New Roman" w:cs="Times New Roman"/>
          <w:sz w:val="24"/>
          <w:szCs w:val="24"/>
        </w:rPr>
        <w:t>,</w:t>
      </w:r>
      <w:r w:rsidRPr="00C1371D">
        <w:rPr>
          <w:rFonts w:ascii="Times New Roman" w:hAnsi="Times New Roman" w:cs="Times New Roman"/>
          <w:sz w:val="24"/>
          <w:szCs w:val="24"/>
        </w:rPr>
        <w:t xml:space="preserve"> precum și ridicarea altor construcții pe teritoriul adiacent vilelor date/luate în locațiune nu a</w:t>
      </w:r>
      <w:r>
        <w:rPr>
          <w:rFonts w:ascii="Times New Roman" w:hAnsi="Times New Roman" w:cs="Times New Roman"/>
          <w:sz w:val="24"/>
          <w:szCs w:val="24"/>
        </w:rPr>
        <w:t>u</w:t>
      </w:r>
      <w:r w:rsidRPr="00C1371D">
        <w:rPr>
          <w:rFonts w:ascii="Times New Roman" w:hAnsi="Times New Roman" w:cs="Times New Roman"/>
          <w:sz w:val="24"/>
          <w:szCs w:val="24"/>
        </w:rPr>
        <w:t xml:space="preserve"> fost </w:t>
      </w:r>
      <w:r>
        <w:rPr>
          <w:rFonts w:ascii="Times New Roman" w:hAnsi="Times New Roman" w:cs="Times New Roman"/>
          <w:sz w:val="24"/>
          <w:szCs w:val="24"/>
        </w:rPr>
        <w:t xml:space="preserve">stipulate </w:t>
      </w:r>
      <w:r w:rsidRPr="00C1371D">
        <w:rPr>
          <w:rFonts w:ascii="Times New Roman" w:hAnsi="Times New Roman" w:cs="Times New Roman"/>
          <w:sz w:val="24"/>
          <w:szCs w:val="24"/>
        </w:rPr>
        <w:t>în contractel</w:t>
      </w:r>
      <w:r>
        <w:rPr>
          <w:rFonts w:ascii="Times New Roman" w:hAnsi="Times New Roman" w:cs="Times New Roman"/>
          <w:sz w:val="24"/>
          <w:szCs w:val="24"/>
        </w:rPr>
        <w:t>e</w:t>
      </w:r>
      <w:r w:rsidRPr="00C1371D">
        <w:rPr>
          <w:rFonts w:ascii="Times New Roman" w:hAnsi="Times New Roman" w:cs="Times New Roman"/>
          <w:sz w:val="24"/>
          <w:szCs w:val="24"/>
        </w:rPr>
        <w:t xml:space="preserve"> încheiate între I</w:t>
      </w:r>
      <w:r w:rsidR="00DD43BD">
        <w:rPr>
          <w:rFonts w:ascii="Times New Roman" w:hAnsi="Times New Roman" w:cs="Times New Roman"/>
          <w:sz w:val="24"/>
          <w:szCs w:val="24"/>
        </w:rPr>
        <w:t>.</w:t>
      </w:r>
      <w:r w:rsidRPr="00C1371D">
        <w:rPr>
          <w:rFonts w:ascii="Times New Roman" w:hAnsi="Times New Roman" w:cs="Times New Roman"/>
          <w:sz w:val="24"/>
          <w:szCs w:val="24"/>
        </w:rPr>
        <w:t>P</w:t>
      </w:r>
      <w:r w:rsidR="00DD43BD">
        <w:rPr>
          <w:rFonts w:ascii="Times New Roman" w:hAnsi="Times New Roman" w:cs="Times New Roman"/>
          <w:sz w:val="24"/>
          <w:szCs w:val="24"/>
        </w:rPr>
        <w:t>.</w:t>
      </w:r>
      <w:r w:rsidRPr="00C1371D">
        <w:rPr>
          <w:rFonts w:ascii="Times New Roman" w:hAnsi="Times New Roman" w:cs="Times New Roman"/>
          <w:sz w:val="24"/>
          <w:szCs w:val="24"/>
        </w:rPr>
        <w:t xml:space="preserve"> „Pensiunea din Holercani” și autoritățile publice, ceea ce a și creat situații neconforme în administrarea acestor bunuri. Totuși, instituția</w:t>
      </w:r>
      <w:r>
        <w:rPr>
          <w:rFonts w:ascii="Times New Roman" w:hAnsi="Times New Roman" w:cs="Times New Roman"/>
          <w:sz w:val="24"/>
          <w:szCs w:val="24"/>
        </w:rPr>
        <w:t>,</w:t>
      </w:r>
      <w:r w:rsidRPr="00C1371D">
        <w:rPr>
          <w:rFonts w:ascii="Times New Roman" w:hAnsi="Times New Roman" w:cs="Times New Roman"/>
          <w:sz w:val="24"/>
          <w:szCs w:val="24"/>
        </w:rPr>
        <w:t xml:space="preserve"> în vederea deținerii unei imagini </w:t>
      </w:r>
      <w:r w:rsidR="00DD43BD" w:rsidRPr="00C1371D">
        <w:rPr>
          <w:rFonts w:ascii="Times New Roman" w:hAnsi="Times New Roman" w:cs="Times New Roman"/>
          <w:sz w:val="24"/>
          <w:szCs w:val="24"/>
        </w:rPr>
        <w:t>reale asupra situației patrimoniale din gestiune</w:t>
      </w:r>
      <w:r w:rsidR="00DD43BD">
        <w:rPr>
          <w:rFonts w:ascii="Times New Roman" w:hAnsi="Times New Roman" w:cs="Times New Roman"/>
          <w:sz w:val="24"/>
          <w:szCs w:val="24"/>
        </w:rPr>
        <w:t>,</w:t>
      </w:r>
      <w:r w:rsidR="00DD43BD" w:rsidRPr="00C1371D">
        <w:rPr>
          <w:rFonts w:ascii="Times New Roman" w:hAnsi="Times New Roman" w:cs="Times New Roman"/>
          <w:sz w:val="24"/>
          <w:szCs w:val="24"/>
        </w:rPr>
        <w:t xml:space="preserve"> a înregistrat unele foișoare la conturile extrabilanțiere </w:t>
      </w:r>
      <w:r w:rsidR="00DD43BD">
        <w:rPr>
          <w:rFonts w:ascii="Times New Roman" w:hAnsi="Times New Roman" w:cs="Times New Roman"/>
          <w:sz w:val="24"/>
          <w:szCs w:val="24"/>
        </w:rPr>
        <w:t>în valori cantitative</w:t>
      </w:r>
      <w:r w:rsidRPr="00C1371D">
        <w:rPr>
          <w:rFonts w:ascii="Times New Roman" w:hAnsi="Times New Roman" w:cs="Times New Roman"/>
          <w:sz w:val="24"/>
          <w:szCs w:val="24"/>
        </w:rPr>
        <w:t>.</w:t>
      </w:r>
    </w:p>
    <w:p w14:paraId="0649B38D" w14:textId="65FB305A" w:rsidR="00401691" w:rsidRPr="001021A4" w:rsidRDefault="00401691" w:rsidP="00BD2237">
      <w:pPr>
        <w:pStyle w:val="a7"/>
        <w:numPr>
          <w:ilvl w:val="0"/>
          <w:numId w:val="18"/>
        </w:numPr>
        <w:tabs>
          <w:tab w:val="left" w:pos="2694"/>
        </w:tabs>
        <w:spacing w:after="120" w:line="276" w:lineRule="auto"/>
        <w:ind w:left="714" w:hanging="357"/>
        <w:contextualSpacing w:val="0"/>
        <w:jc w:val="both"/>
        <w:rPr>
          <w:rFonts w:ascii="Times New Roman" w:eastAsia="Times New Roman" w:hAnsi="Times New Roman" w:cs="Times New Roman"/>
          <w:b/>
          <w:i/>
          <w:color w:val="0070C0"/>
          <w:sz w:val="24"/>
          <w:szCs w:val="24"/>
          <w:shd w:val="clear" w:color="auto" w:fill="FFFFFF"/>
        </w:rPr>
      </w:pPr>
      <w:r w:rsidRPr="001021A4">
        <w:rPr>
          <w:rFonts w:ascii="Times New Roman" w:eastAsia="Times New Roman" w:hAnsi="Times New Roman" w:cs="Times New Roman"/>
          <w:b/>
          <w:i/>
          <w:color w:val="0070C0"/>
          <w:sz w:val="24"/>
          <w:szCs w:val="24"/>
          <w:shd w:val="clear" w:color="auto" w:fill="FFFFFF"/>
        </w:rPr>
        <w:t>DGACG nu a asigurat ajustarea valorii unor bunuri imobile și terenuri conform datelor reevaluate de către organul cadastral</w:t>
      </w:r>
      <w:r w:rsidR="003019F5">
        <w:rPr>
          <w:rFonts w:ascii="Times New Roman" w:eastAsia="Times New Roman" w:hAnsi="Times New Roman" w:cs="Times New Roman"/>
          <w:b/>
          <w:i/>
          <w:color w:val="0070C0"/>
          <w:sz w:val="24"/>
          <w:szCs w:val="24"/>
          <w:shd w:val="clear" w:color="auto" w:fill="FFFFFF"/>
        </w:rPr>
        <w:t>.</w:t>
      </w:r>
    </w:p>
    <w:p w14:paraId="1244D739" w14:textId="29A1266A" w:rsidR="003019F5" w:rsidRPr="003B329E" w:rsidRDefault="003019F5" w:rsidP="00736629">
      <w:pPr>
        <w:spacing w:after="80" w:line="276" w:lineRule="auto"/>
        <w:jc w:val="both"/>
        <w:rPr>
          <w:rFonts w:ascii="Times New Roman" w:hAnsi="Times New Roman" w:cs="Times New Roman"/>
          <w:sz w:val="24"/>
          <w:szCs w:val="24"/>
        </w:rPr>
      </w:pPr>
      <w:r w:rsidRPr="003B329E">
        <w:rPr>
          <w:rFonts w:ascii="Times New Roman" w:hAnsi="Times New Roman" w:cs="Times New Roman"/>
          <w:sz w:val="24"/>
          <w:szCs w:val="24"/>
        </w:rPr>
        <w:t xml:space="preserve">Auditul a relevat problematica ce vizează prezentarea reală în rapoartele financiare a valorii unor clădiri din gestiune. Astfel, potrivit modificărilor și completărilor efectuate la Ordinul ministrului </w:t>
      </w:r>
      <w:r w:rsidR="00DD43BD">
        <w:rPr>
          <w:rFonts w:ascii="Times New Roman" w:hAnsi="Times New Roman" w:cs="Times New Roman"/>
          <w:sz w:val="24"/>
          <w:szCs w:val="24"/>
        </w:rPr>
        <w:t>F</w:t>
      </w:r>
      <w:r w:rsidRPr="003B329E">
        <w:rPr>
          <w:rFonts w:ascii="Times New Roman" w:hAnsi="Times New Roman" w:cs="Times New Roman"/>
          <w:sz w:val="24"/>
          <w:szCs w:val="24"/>
        </w:rPr>
        <w:t xml:space="preserve">inanțelor nr.216 din 28.12.2015, începând cu 22.01.2021, reevaluarea valorii mijloacelor fixe se efectuează prin recalcularea valorii de bilanț a acestora, cu scopul determinării valorii juste a lor, ţinându-se cont de utilitatea bunului, starea acestuia și de prețul de piață. Reevaluarea clădirilor se efectuează o dată la 5 ani. Clădirile sunt reevaluate la valoarea estimată a bunului imobil în baza extrasului din Registrul bunurilor imobile. Documentul primar pentru contabilizarea rezultatelor reevaluării clădirilor </w:t>
      </w:r>
      <w:r w:rsidR="008B54FE" w:rsidRPr="003B329E">
        <w:rPr>
          <w:rFonts w:ascii="Times New Roman" w:hAnsi="Times New Roman" w:cs="Times New Roman"/>
          <w:sz w:val="24"/>
          <w:szCs w:val="24"/>
        </w:rPr>
        <w:t>și</w:t>
      </w:r>
      <w:r w:rsidRPr="003B329E">
        <w:rPr>
          <w:rFonts w:ascii="Times New Roman" w:hAnsi="Times New Roman" w:cs="Times New Roman"/>
          <w:sz w:val="24"/>
          <w:szCs w:val="24"/>
        </w:rPr>
        <w:t xml:space="preserve"> construcțiilor speciale este extrasul din Registrul bunurilor imobile.</w:t>
      </w:r>
    </w:p>
    <w:p w14:paraId="760153A3" w14:textId="45FE5AD7" w:rsidR="003019F5" w:rsidRPr="003B329E" w:rsidRDefault="00DD43BD" w:rsidP="000D4888">
      <w:pPr>
        <w:spacing w:after="80" w:line="276" w:lineRule="auto"/>
        <w:jc w:val="both"/>
        <w:rPr>
          <w:rFonts w:ascii="Times New Roman" w:hAnsi="Times New Roman" w:cs="Times New Roman"/>
          <w:sz w:val="24"/>
          <w:szCs w:val="24"/>
        </w:rPr>
      </w:pPr>
      <w:r w:rsidRPr="003B329E">
        <w:rPr>
          <w:rFonts w:ascii="Times New Roman" w:hAnsi="Times New Roman" w:cs="Times New Roman"/>
          <w:sz w:val="24"/>
          <w:szCs w:val="24"/>
        </w:rPr>
        <w:t>Testele auditului au relevat că la 31.12.2022 în evidența contabilă a DGACG valoarea de bilanț a 17 bunuri imobile prez</w:t>
      </w:r>
      <w:r>
        <w:rPr>
          <w:rFonts w:ascii="Times New Roman" w:hAnsi="Times New Roman" w:cs="Times New Roman"/>
          <w:sz w:val="24"/>
          <w:szCs w:val="24"/>
        </w:rPr>
        <w:t>enta</w:t>
      </w:r>
      <w:r w:rsidRPr="003B329E">
        <w:rPr>
          <w:rFonts w:ascii="Times New Roman" w:hAnsi="Times New Roman" w:cs="Times New Roman"/>
          <w:sz w:val="24"/>
          <w:szCs w:val="24"/>
        </w:rPr>
        <w:t xml:space="preserve"> diferențe (la OCT mai mult) în raport cu valoarea cadastrală din RBI de  173</w:t>
      </w:r>
      <w:r>
        <w:rPr>
          <w:rFonts w:ascii="Times New Roman" w:hAnsi="Times New Roman" w:cs="Times New Roman"/>
          <w:sz w:val="24"/>
          <w:szCs w:val="24"/>
        </w:rPr>
        <w:t>.</w:t>
      </w:r>
      <w:r w:rsidRPr="003B329E">
        <w:rPr>
          <w:rFonts w:ascii="Times New Roman" w:hAnsi="Times New Roman" w:cs="Times New Roman"/>
          <w:sz w:val="24"/>
          <w:szCs w:val="24"/>
        </w:rPr>
        <w:t xml:space="preserve">361,8 mii lei, </w:t>
      </w:r>
      <w:r>
        <w:rPr>
          <w:rFonts w:ascii="Times New Roman" w:hAnsi="Times New Roman" w:cs="Times New Roman"/>
          <w:sz w:val="24"/>
          <w:szCs w:val="24"/>
        </w:rPr>
        <w:t>la fel și</w:t>
      </w:r>
      <w:r w:rsidRPr="003B329E">
        <w:rPr>
          <w:rFonts w:ascii="Times New Roman" w:hAnsi="Times New Roman" w:cs="Times New Roman"/>
          <w:sz w:val="24"/>
          <w:szCs w:val="24"/>
        </w:rPr>
        <w:t xml:space="preserve"> valoarea de bilanț a 18 </w:t>
      </w:r>
      <w:r>
        <w:rPr>
          <w:rFonts w:ascii="Times New Roman" w:hAnsi="Times New Roman" w:cs="Times New Roman"/>
          <w:sz w:val="24"/>
          <w:szCs w:val="24"/>
        </w:rPr>
        <w:t>terenuri prezenta diferențe (</w:t>
      </w:r>
      <w:r w:rsidRPr="003B329E">
        <w:rPr>
          <w:rFonts w:ascii="Times New Roman" w:hAnsi="Times New Roman" w:cs="Times New Roman"/>
          <w:sz w:val="24"/>
          <w:szCs w:val="24"/>
        </w:rPr>
        <w:t>la OCT mai mult) în raport cu valoarea cadastrală a acestora de 59</w:t>
      </w:r>
      <w:r>
        <w:rPr>
          <w:rFonts w:ascii="Times New Roman" w:hAnsi="Times New Roman" w:cs="Times New Roman"/>
          <w:sz w:val="24"/>
          <w:szCs w:val="24"/>
        </w:rPr>
        <w:t>.838,8 mii lei.</w:t>
      </w:r>
    </w:p>
    <w:p w14:paraId="2BF27B51" w14:textId="6CB96BE8" w:rsidR="003019F5" w:rsidRDefault="003019F5" w:rsidP="003019F5">
      <w:pPr>
        <w:spacing w:line="276" w:lineRule="auto"/>
        <w:jc w:val="both"/>
        <w:rPr>
          <w:rFonts w:ascii="Times New Roman" w:hAnsi="Times New Roman" w:cs="Times New Roman"/>
          <w:sz w:val="24"/>
          <w:szCs w:val="24"/>
        </w:rPr>
      </w:pPr>
      <w:r w:rsidRPr="003B329E">
        <w:rPr>
          <w:rFonts w:ascii="Times New Roman" w:hAnsi="Times New Roman" w:cs="Times New Roman"/>
          <w:sz w:val="24"/>
          <w:szCs w:val="24"/>
        </w:rPr>
        <w:t>Situațiile constatate au fost cauzate de neaplicarea ce</w:t>
      </w:r>
      <w:r w:rsidR="00DD43BD">
        <w:rPr>
          <w:rFonts w:ascii="Times New Roman" w:hAnsi="Times New Roman" w:cs="Times New Roman"/>
          <w:sz w:val="24"/>
          <w:szCs w:val="24"/>
        </w:rPr>
        <w:t>rințelor Ordinului ministrului F</w:t>
      </w:r>
      <w:r w:rsidRPr="003B329E">
        <w:rPr>
          <w:rFonts w:ascii="Times New Roman" w:hAnsi="Times New Roman" w:cs="Times New Roman"/>
          <w:sz w:val="24"/>
          <w:szCs w:val="24"/>
        </w:rPr>
        <w:t>inanțelor nr.216 din 28.12.2015, dar și d</w:t>
      </w:r>
      <w:r w:rsidR="003905ED">
        <w:rPr>
          <w:rFonts w:ascii="Times New Roman" w:hAnsi="Times New Roman" w:cs="Times New Roman"/>
          <w:sz w:val="24"/>
          <w:szCs w:val="24"/>
        </w:rPr>
        <w:t>e lipsa efectuării verificării</w:t>
      </w:r>
      <w:r w:rsidRPr="003B329E">
        <w:rPr>
          <w:rFonts w:ascii="Times New Roman" w:hAnsi="Times New Roman" w:cs="Times New Roman"/>
          <w:sz w:val="24"/>
          <w:szCs w:val="24"/>
        </w:rPr>
        <w:t xml:space="preserve"> valorii de bilanț a bunurilor gestionate în raport cu valoarea lor cadastrală, fapt </w:t>
      </w:r>
      <w:r w:rsidRPr="003019F5">
        <w:rPr>
          <w:rFonts w:ascii="Times New Roman" w:hAnsi="Times New Roman" w:cs="Times New Roman"/>
          <w:sz w:val="24"/>
          <w:szCs w:val="24"/>
        </w:rPr>
        <w:t>ce</w:t>
      </w:r>
      <w:r w:rsidR="00BA69A9">
        <w:rPr>
          <w:rFonts w:ascii="Times New Roman" w:hAnsi="Times New Roman" w:cs="Times New Roman"/>
          <w:sz w:val="24"/>
          <w:szCs w:val="24"/>
        </w:rPr>
        <w:t xml:space="preserve"> </w:t>
      </w:r>
      <w:r w:rsidRPr="003019F5">
        <w:rPr>
          <w:rFonts w:ascii="Times New Roman" w:hAnsi="Times New Roman" w:cs="Times New Roman"/>
          <w:sz w:val="24"/>
          <w:szCs w:val="24"/>
        </w:rPr>
        <w:t>creează riscul</w:t>
      </w:r>
      <w:r w:rsidRPr="003B329E">
        <w:rPr>
          <w:rFonts w:ascii="Times New Roman" w:hAnsi="Times New Roman" w:cs="Times New Roman"/>
          <w:sz w:val="24"/>
          <w:szCs w:val="24"/>
        </w:rPr>
        <w:t xml:space="preserve"> înstrăinării unor imobile și terenuri la prețuri simbolice.</w:t>
      </w:r>
    </w:p>
    <w:p w14:paraId="53703811" w14:textId="58FA8F04" w:rsidR="00D26007" w:rsidRPr="00D26007" w:rsidRDefault="00D26007" w:rsidP="00BD2237">
      <w:pPr>
        <w:pStyle w:val="a7"/>
        <w:numPr>
          <w:ilvl w:val="0"/>
          <w:numId w:val="18"/>
        </w:numPr>
        <w:tabs>
          <w:tab w:val="left" w:pos="2694"/>
        </w:tabs>
        <w:spacing w:after="120" w:line="276" w:lineRule="auto"/>
        <w:ind w:left="714" w:hanging="357"/>
        <w:contextualSpacing w:val="0"/>
        <w:jc w:val="both"/>
        <w:rPr>
          <w:rFonts w:ascii="Times New Roman" w:eastAsia="Times New Roman" w:hAnsi="Times New Roman" w:cs="Times New Roman"/>
          <w:b/>
          <w:i/>
          <w:color w:val="0070C0"/>
          <w:sz w:val="24"/>
          <w:szCs w:val="24"/>
          <w:shd w:val="clear" w:color="auto" w:fill="FFFFFF"/>
        </w:rPr>
      </w:pPr>
      <w:r w:rsidRPr="00D26007">
        <w:rPr>
          <w:rFonts w:ascii="Times New Roman" w:eastAsia="Times New Roman" w:hAnsi="Times New Roman" w:cs="Times New Roman"/>
          <w:b/>
          <w:i/>
          <w:color w:val="0070C0"/>
          <w:sz w:val="24"/>
          <w:szCs w:val="24"/>
          <w:shd w:val="clear" w:color="auto" w:fill="FFFFFF"/>
        </w:rPr>
        <w:t>Referitor la nedelimitarea terenurilor I</w:t>
      </w:r>
      <w:r w:rsidR="00DD43BD">
        <w:rPr>
          <w:rFonts w:ascii="Times New Roman" w:eastAsia="Times New Roman" w:hAnsi="Times New Roman" w:cs="Times New Roman"/>
          <w:b/>
          <w:i/>
          <w:color w:val="0070C0"/>
          <w:sz w:val="24"/>
          <w:szCs w:val="24"/>
          <w:shd w:val="clear" w:color="auto" w:fill="FFFFFF"/>
        </w:rPr>
        <w:t>.</w:t>
      </w:r>
      <w:r w:rsidRPr="00D26007">
        <w:rPr>
          <w:rFonts w:ascii="Times New Roman" w:eastAsia="Times New Roman" w:hAnsi="Times New Roman" w:cs="Times New Roman"/>
          <w:b/>
          <w:i/>
          <w:color w:val="0070C0"/>
          <w:sz w:val="24"/>
          <w:szCs w:val="24"/>
          <w:shd w:val="clear" w:color="auto" w:fill="FFFFFF"/>
        </w:rPr>
        <w:t>P</w:t>
      </w:r>
      <w:r w:rsidR="00DD43BD">
        <w:rPr>
          <w:rFonts w:ascii="Times New Roman" w:eastAsia="Times New Roman" w:hAnsi="Times New Roman" w:cs="Times New Roman"/>
          <w:b/>
          <w:i/>
          <w:color w:val="0070C0"/>
          <w:sz w:val="24"/>
          <w:szCs w:val="24"/>
          <w:shd w:val="clear" w:color="auto" w:fill="FFFFFF"/>
        </w:rPr>
        <w:t>.</w:t>
      </w:r>
      <w:r w:rsidRPr="00D26007">
        <w:rPr>
          <w:rFonts w:ascii="Times New Roman" w:eastAsia="Times New Roman" w:hAnsi="Times New Roman" w:cs="Times New Roman"/>
          <w:b/>
          <w:i/>
          <w:color w:val="0070C0"/>
          <w:sz w:val="24"/>
          <w:szCs w:val="24"/>
          <w:shd w:val="clear" w:color="auto" w:fill="FFFFFF"/>
        </w:rPr>
        <w:t xml:space="preserve"> „Pensiune</w:t>
      </w:r>
      <w:r w:rsidR="003019F5">
        <w:rPr>
          <w:rFonts w:ascii="Times New Roman" w:eastAsia="Times New Roman" w:hAnsi="Times New Roman" w:cs="Times New Roman"/>
          <w:b/>
          <w:i/>
          <w:color w:val="0070C0"/>
          <w:sz w:val="24"/>
          <w:szCs w:val="24"/>
          <w:shd w:val="clear" w:color="auto" w:fill="FFFFFF"/>
        </w:rPr>
        <w:t>a</w:t>
      </w:r>
      <w:r w:rsidRPr="00D26007">
        <w:rPr>
          <w:rFonts w:ascii="Times New Roman" w:eastAsia="Times New Roman" w:hAnsi="Times New Roman" w:cs="Times New Roman"/>
          <w:b/>
          <w:i/>
          <w:color w:val="0070C0"/>
          <w:sz w:val="24"/>
          <w:szCs w:val="24"/>
          <w:shd w:val="clear" w:color="auto" w:fill="FFFFFF"/>
        </w:rPr>
        <w:t xml:space="preserve"> </w:t>
      </w:r>
      <w:r w:rsidR="003019F5">
        <w:rPr>
          <w:rFonts w:ascii="Times New Roman" w:eastAsia="Times New Roman" w:hAnsi="Times New Roman" w:cs="Times New Roman"/>
          <w:b/>
          <w:i/>
          <w:color w:val="0070C0"/>
          <w:sz w:val="24"/>
          <w:szCs w:val="24"/>
          <w:shd w:val="clear" w:color="auto" w:fill="FFFFFF"/>
        </w:rPr>
        <w:t xml:space="preserve">din </w:t>
      </w:r>
      <w:r w:rsidRPr="00D26007">
        <w:rPr>
          <w:rFonts w:ascii="Times New Roman" w:eastAsia="Times New Roman" w:hAnsi="Times New Roman" w:cs="Times New Roman"/>
          <w:b/>
          <w:i/>
          <w:color w:val="0070C0"/>
          <w:sz w:val="24"/>
          <w:szCs w:val="24"/>
          <w:shd w:val="clear" w:color="auto" w:fill="FFFFFF"/>
        </w:rPr>
        <w:t>Holercani” după apartenență</w:t>
      </w:r>
    </w:p>
    <w:p w14:paraId="1323D638" w14:textId="65AD82F8" w:rsidR="00D26007" w:rsidRDefault="00DD43BD" w:rsidP="003019F5">
      <w:pPr>
        <w:spacing w:after="120" w:line="276" w:lineRule="auto"/>
        <w:jc w:val="both"/>
        <w:rPr>
          <w:rFonts w:asciiTheme="majorHAnsi" w:hAnsiTheme="majorHAnsi" w:cstheme="majorHAnsi"/>
          <w:sz w:val="24"/>
          <w:szCs w:val="24"/>
        </w:rPr>
      </w:pPr>
      <w:r w:rsidRPr="00D26007">
        <w:rPr>
          <w:rFonts w:ascii="Times New Roman" w:hAnsi="Times New Roman" w:cs="Times New Roman"/>
          <w:sz w:val="24"/>
          <w:szCs w:val="24"/>
        </w:rPr>
        <w:t>La situația din 31.12.2022, I</w:t>
      </w:r>
      <w:r>
        <w:rPr>
          <w:rFonts w:ascii="Times New Roman" w:hAnsi="Times New Roman" w:cs="Times New Roman"/>
          <w:sz w:val="24"/>
          <w:szCs w:val="24"/>
        </w:rPr>
        <w:t>.</w:t>
      </w:r>
      <w:r w:rsidRPr="00D26007">
        <w:rPr>
          <w:rFonts w:ascii="Times New Roman" w:hAnsi="Times New Roman" w:cs="Times New Roman"/>
          <w:sz w:val="24"/>
          <w:szCs w:val="24"/>
        </w:rPr>
        <w:t>P</w:t>
      </w:r>
      <w:r>
        <w:rPr>
          <w:rFonts w:ascii="Times New Roman" w:hAnsi="Times New Roman" w:cs="Times New Roman"/>
          <w:sz w:val="24"/>
          <w:szCs w:val="24"/>
        </w:rPr>
        <w:t>.</w:t>
      </w:r>
      <w:r w:rsidRPr="00D26007">
        <w:rPr>
          <w:rFonts w:ascii="Times New Roman" w:hAnsi="Times New Roman" w:cs="Times New Roman"/>
          <w:sz w:val="24"/>
          <w:szCs w:val="24"/>
        </w:rPr>
        <w:t xml:space="preserve"> avea în folosință șapte terenuri cu suprafața totală de 65,6 ha situate în</w:t>
      </w:r>
      <w:r>
        <w:rPr>
          <w:rFonts w:ascii="Times New Roman" w:hAnsi="Times New Roman" w:cs="Times New Roman"/>
          <w:sz w:val="24"/>
          <w:szCs w:val="24"/>
        </w:rPr>
        <w:t xml:space="preserve"> intravilanul</w:t>
      </w:r>
      <w:r w:rsidRPr="00D26007">
        <w:rPr>
          <w:rFonts w:ascii="Times New Roman" w:hAnsi="Times New Roman" w:cs="Times New Roman"/>
          <w:sz w:val="24"/>
          <w:szCs w:val="24"/>
        </w:rPr>
        <w:t xml:space="preserve"> sat. Ustia, r-nul Dubăsari. Potrivit informațiilor organului cadastral, din cele șapte terenuri</w:t>
      </w:r>
      <w:r>
        <w:rPr>
          <w:rFonts w:ascii="Times New Roman" w:hAnsi="Times New Roman" w:cs="Times New Roman"/>
          <w:sz w:val="24"/>
          <w:szCs w:val="24"/>
        </w:rPr>
        <w:t>,</w:t>
      </w:r>
      <w:r w:rsidRPr="00D26007">
        <w:rPr>
          <w:rFonts w:ascii="Times New Roman" w:hAnsi="Times New Roman" w:cs="Times New Roman"/>
          <w:sz w:val="24"/>
          <w:szCs w:val="24"/>
        </w:rPr>
        <w:t xml:space="preserve"> în cinci cazuri (9,84 ha) ca proprietar figurează autoritatea publică locală</w:t>
      </w:r>
      <w:r>
        <w:rPr>
          <w:rFonts w:ascii="Times New Roman" w:hAnsi="Times New Roman" w:cs="Times New Roman"/>
          <w:sz w:val="24"/>
          <w:szCs w:val="24"/>
        </w:rPr>
        <w:t>,</w:t>
      </w:r>
      <w:r w:rsidRPr="00D26007">
        <w:rPr>
          <w:rFonts w:ascii="Times New Roman" w:hAnsi="Times New Roman" w:cs="Times New Roman"/>
          <w:sz w:val="24"/>
          <w:szCs w:val="24"/>
        </w:rPr>
        <w:t xml:space="preserve"> deși pe aceste loturi</w:t>
      </w:r>
      <w:r w:rsidRPr="00D26007">
        <w:rPr>
          <w:rStyle w:val="a5"/>
          <w:rFonts w:ascii="Times New Roman" w:hAnsi="Times New Roman" w:cs="Times New Roman"/>
          <w:sz w:val="24"/>
          <w:szCs w:val="24"/>
        </w:rPr>
        <w:footnoteReference w:id="177"/>
      </w:r>
      <w:r w:rsidRPr="00D26007">
        <w:rPr>
          <w:rFonts w:ascii="Times New Roman" w:hAnsi="Times New Roman" w:cs="Times New Roman"/>
          <w:sz w:val="24"/>
          <w:szCs w:val="24"/>
        </w:rPr>
        <w:t xml:space="preserve"> este amplasat complexul de bunuri imobile al I</w:t>
      </w:r>
      <w:r>
        <w:rPr>
          <w:rFonts w:ascii="Times New Roman" w:hAnsi="Times New Roman" w:cs="Times New Roman"/>
          <w:sz w:val="24"/>
          <w:szCs w:val="24"/>
        </w:rPr>
        <w:t>.</w:t>
      </w:r>
      <w:r w:rsidRPr="00D26007">
        <w:rPr>
          <w:rFonts w:ascii="Times New Roman" w:hAnsi="Times New Roman" w:cs="Times New Roman"/>
          <w:sz w:val="24"/>
          <w:szCs w:val="24"/>
        </w:rPr>
        <w:t>P</w:t>
      </w:r>
      <w:r>
        <w:rPr>
          <w:rFonts w:ascii="Times New Roman" w:hAnsi="Times New Roman" w:cs="Times New Roman"/>
          <w:sz w:val="24"/>
          <w:szCs w:val="24"/>
        </w:rPr>
        <w:t>.</w:t>
      </w:r>
      <w:r w:rsidRPr="00D26007">
        <w:rPr>
          <w:rFonts w:ascii="Times New Roman" w:hAnsi="Times New Roman" w:cs="Times New Roman"/>
          <w:sz w:val="24"/>
          <w:szCs w:val="24"/>
        </w:rPr>
        <w:t xml:space="preserve"> „Pensiunea </w:t>
      </w:r>
      <w:r>
        <w:rPr>
          <w:rFonts w:ascii="Times New Roman" w:hAnsi="Times New Roman" w:cs="Times New Roman"/>
          <w:sz w:val="24"/>
          <w:szCs w:val="24"/>
        </w:rPr>
        <w:t xml:space="preserve">din </w:t>
      </w:r>
      <w:r w:rsidRPr="00D26007">
        <w:rPr>
          <w:rFonts w:ascii="Times New Roman" w:hAnsi="Times New Roman" w:cs="Times New Roman"/>
          <w:sz w:val="24"/>
          <w:szCs w:val="24"/>
        </w:rPr>
        <w:t xml:space="preserve">Holercani”. Or, în conformitate cu art. 10 alin. (2) din Legea </w:t>
      </w:r>
      <w:r>
        <w:rPr>
          <w:rFonts w:ascii="Times New Roman" w:hAnsi="Times New Roman" w:cs="Times New Roman"/>
          <w:sz w:val="24"/>
          <w:szCs w:val="24"/>
        </w:rPr>
        <w:t>nr.</w:t>
      </w:r>
      <w:r w:rsidRPr="00D26007">
        <w:rPr>
          <w:rFonts w:ascii="Times New Roman" w:hAnsi="Times New Roman" w:cs="Times New Roman"/>
          <w:sz w:val="24"/>
          <w:szCs w:val="24"/>
        </w:rPr>
        <w:t>29/2018</w:t>
      </w:r>
      <w:r w:rsidRPr="00D26007">
        <w:rPr>
          <w:rStyle w:val="a5"/>
          <w:rFonts w:ascii="Times New Roman" w:hAnsi="Times New Roman" w:cs="Times New Roman"/>
          <w:sz w:val="24"/>
          <w:szCs w:val="24"/>
        </w:rPr>
        <w:footnoteReference w:id="178"/>
      </w:r>
      <w:r>
        <w:rPr>
          <w:rFonts w:ascii="Times New Roman" w:hAnsi="Times New Roman" w:cs="Times New Roman"/>
          <w:sz w:val="24"/>
          <w:szCs w:val="24"/>
        </w:rPr>
        <w:t>,</w:t>
      </w:r>
      <w:r w:rsidRPr="00D26007">
        <w:rPr>
          <w:rFonts w:ascii="Times New Roman" w:hAnsi="Times New Roman" w:cs="Times New Roman"/>
          <w:sz w:val="24"/>
          <w:szCs w:val="24"/>
        </w:rPr>
        <w:t xml:space="preserve"> „</w:t>
      </w:r>
      <w:r w:rsidRPr="00D26007">
        <w:rPr>
          <w:rFonts w:ascii="Times New Roman" w:hAnsi="Times New Roman" w:cs="Times New Roman"/>
          <w:i/>
          <w:sz w:val="24"/>
          <w:szCs w:val="24"/>
        </w:rPr>
        <w:t>terenurile aferente clădirilor și altor construcții ce aparțin întreprinderilor de stat sau societăților comerciale cu capital integral de stat, alte terenuri proprietate publică de stat, precum și terenurile dob</w:t>
      </w:r>
      <w:r>
        <w:rPr>
          <w:rFonts w:ascii="Times New Roman" w:hAnsi="Times New Roman" w:cs="Times New Roman"/>
          <w:i/>
          <w:sz w:val="24"/>
          <w:szCs w:val="24"/>
        </w:rPr>
        <w:t>â</w:t>
      </w:r>
      <w:r w:rsidRPr="00D26007">
        <w:rPr>
          <w:rFonts w:ascii="Times New Roman" w:hAnsi="Times New Roman" w:cs="Times New Roman"/>
          <w:i/>
          <w:sz w:val="24"/>
          <w:szCs w:val="24"/>
        </w:rPr>
        <w:t>ndite de stat prin acte translative de proprietate”</w:t>
      </w:r>
      <w:r w:rsidRPr="00D26007">
        <w:rPr>
          <w:rFonts w:ascii="Times New Roman" w:hAnsi="Times New Roman" w:cs="Times New Roman"/>
          <w:sz w:val="24"/>
          <w:szCs w:val="24"/>
        </w:rPr>
        <w:t xml:space="preserve"> reprezintă bunuri de domeniu privat al statului. Astfel, țin</w:t>
      </w:r>
      <w:r>
        <w:rPr>
          <w:rFonts w:ascii="Times New Roman" w:hAnsi="Times New Roman" w:cs="Times New Roman"/>
          <w:sz w:val="24"/>
          <w:szCs w:val="24"/>
        </w:rPr>
        <w:t>â</w:t>
      </w:r>
      <w:r w:rsidRPr="00D26007">
        <w:rPr>
          <w:rFonts w:ascii="Times New Roman" w:hAnsi="Times New Roman" w:cs="Times New Roman"/>
          <w:sz w:val="24"/>
          <w:szCs w:val="24"/>
        </w:rPr>
        <w:t>nd cont de cele expuse supra</w:t>
      </w:r>
      <w:r>
        <w:rPr>
          <w:rFonts w:ascii="Times New Roman" w:hAnsi="Times New Roman" w:cs="Times New Roman"/>
          <w:sz w:val="24"/>
          <w:szCs w:val="24"/>
        </w:rPr>
        <w:t>,</w:t>
      </w:r>
      <w:r w:rsidRPr="00D26007">
        <w:rPr>
          <w:rFonts w:ascii="Times New Roman" w:hAnsi="Times New Roman" w:cs="Times New Roman"/>
          <w:sz w:val="24"/>
          <w:szCs w:val="24"/>
        </w:rPr>
        <w:t xml:space="preserve"> terenurile menționate necesită a fi delimitate în funcție de apartenență și de domeniu și trecute în posesia statului</w:t>
      </w:r>
      <w:r>
        <w:rPr>
          <w:rFonts w:asciiTheme="majorHAnsi" w:hAnsiTheme="majorHAnsi" w:cstheme="majorHAnsi"/>
          <w:sz w:val="24"/>
          <w:szCs w:val="24"/>
        </w:rPr>
        <w:t>.</w:t>
      </w:r>
    </w:p>
    <w:p w14:paraId="60DDE75A" w14:textId="00B9CE05" w:rsidR="00625708" w:rsidRPr="00C013B0" w:rsidRDefault="003019F5" w:rsidP="00C013B0">
      <w:pPr>
        <w:pStyle w:val="a7"/>
        <w:numPr>
          <w:ilvl w:val="2"/>
          <w:numId w:val="4"/>
        </w:numPr>
        <w:tabs>
          <w:tab w:val="left" w:pos="567"/>
        </w:tabs>
        <w:spacing w:before="120" w:after="120" w:line="276" w:lineRule="auto"/>
        <w:ind w:left="0" w:firstLine="0"/>
        <w:contextualSpacing w:val="0"/>
        <w:jc w:val="both"/>
        <w:rPr>
          <w:rFonts w:ascii="Times New Roman" w:hAnsi="Times New Roman" w:cs="Times New Roman"/>
          <w:b/>
          <w:color w:val="0070C0"/>
          <w:sz w:val="24"/>
          <w:szCs w:val="24"/>
        </w:rPr>
      </w:pPr>
      <w:r w:rsidRPr="00C013B0">
        <w:rPr>
          <w:rFonts w:ascii="Times New Roman" w:hAnsi="Times New Roman" w:cs="Times New Roman"/>
          <w:b/>
          <w:color w:val="0070C0"/>
          <w:sz w:val="24"/>
          <w:szCs w:val="24"/>
        </w:rPr>
        <w:t xml:space="preserve"> </w:t>
      </w:r>
      <w:r w:rsidR="00AC38BE" w:rsidRPr="00C013B0">
        <w:rPr>
          <w:rFonts w:ascii="Times New Roman" w:hAnsi="Times New Roman" w:cs="Times New Roman"/>
          <w:b/>
          <w:color w:val="0070C0"/>
          <w:sz w:val="24"/>
          <w:szCs w:val="24"/>
        </w:rPr>
        <w:t>Există neconformități în p</w:t>
      </w:r>
      <w:r w:rsidR="00625708" w:rsidRPr="00C013B0">
        <w:rPr>
          <w:rFonts w:ascii="Times New Roman" w:hAnsi="Times New Roman" w:cs="Times New Roman"/>
          <w:b/>
          <w:color w:val="0070C0"/>
          <w:sz w:val="24"/>
          <w:szCs w:val="24"/>
        </w:rPr>
        <w:t xml:space="preserve">rocesul de valorificare/dare în locațiune a </w:t>
      </w:r>
      <w:r w:rsidR="00AC38BE" w:rsidRPr="00C013B0">
        <w:rPr>
          <w:rFonts w:ascii="Times New Roman" w:hAnsi="Times New Roman" w:cs="Times New Roman"/>
          <w:b/>
          <w:color w:val="0070C0"/>
          <w:sz w:val="24"/>
          <w:szCs w:val="24"/>
        </w:rPr>
        <w:t>bunurilor imobile</w:t>
      </w:r>
      <w:r w:rsidR="00625708" w:rsidRPr="00C013B0">
        <w:rPr>
          <w:rFonts w:ascii="Times New Roman" w:hAnsi="Times New Roman" w:cs="Times New Roman"/>
          <w:b/>
          <w:color w:val="0070C0"/>
          <w:sz w:val="24"/>
          <w:szCs w:val="24"/>
        </w:rPr>
        <w:t xml:space="preserve"> de către </w:t>
      </w:r>
      <w:r w:rsidR="00AC38BE" w:rsidRPr="00C013B0">
        <w:rPr>
          <w:rFonts w:ascii="Times New Roman" w:hAnsi="Times New Roman" w:cs="Times New Roman"/>
          <w:b/>
          <w:color w:val="0070C0"/>
          <w:sz w:val="24"/>
          <w:szCs w:val="24"/>
        </w:rPr>
        <w:t>unele instituții publice</w:t>
      </w:r>
      <w:r w:rsidR="00440347" w:rsidRPr="00C013B0">
        <w:rPr>
          <w:rFonts w:ascii="Times New Roman" w:hAnsi="Times New Roman" w:cs="Times New Roman"/>
          <w:b/>
          <w:color w:val="0070C0"/>
          <w:sz w:val="24"/>
          <w:szCs w:val="24"/>
        </w:rPr>
        <w:t>, inclusiv generate de neîncasarea deplină a plăților pentru serviciile comunale</w:t>
      </w:r>
      <w:r w:rsidRPr="00C013B0">
        <w:rPr>
          <w:rFonts w:ascii="Times New Roman" w:hAnsi="Times New Roman" w:cs="Times New Roman"/>
          <w:b/>
          <w:color w:val="0070C0"/>
          <w:sz w:val="24"/>
          <w:szCs w:val="24"/>
        </w:rPr>
        <w:t>.</w:t>
      </w:r>
    </w:p>
    <w:p w14:paraId="58F9A860" w14:textId="10893AC9" w:rsidR="003019F5" w:rsidRPr="003B329E" w:rsidRDefault="003019F5" w:rsidP="003019F5">
      <w:pPr>
        <w:spacing w:line="276" w:lineRule="auto"/>
        <w:jc w:val="both"/>
        <w:rPr>
          <w:rFonts w:ascii="Times New Roman" w:hAnsi="Times New Roman" w:cs="Times New Roman"/>
          <w:sz w:val="24"/>
          <w:szCs w:val="24"/>
        </w:rPr>
      </w:pPr>
      <w:r w:rsidRPr="003B329E">
        <w:rPr>
          <w:rFonts w:ascii="Times New Roman" w:hAnsi="Times New Roman" w:cs="Times New Roman"/>
          <w:sz w:val="24"/>
          <w:szCs w:val="24"/>
        </w:rPr>
        <w:t>Misiunea de audit a constatat existența unor aspecte problematice și neconformități privind</w:t>
      </w:r>
      <w:r w:rsidR="00BA69A9">
        <w:rPr>
          <w:rFonts w:ascii="Times New Roman" w:hAnsi="Times New Roman" w:cs="Times New Roman"/>
          <w:sz w:val="24"/>
          <w:szCs w:val="24"/>
        </w:rPr>
        <w:t xml:space="preserve"> </w:t>
      </w:r>
      <w:r w:rsidRPr="003B329E">
        <w:rPr>
          <w:rFonts w:ascii="Times New Roman" w:hAnsi="Times New Roman" w:cs="Times New Roman"/>
          <w:sz w:val="24"/>
          <w:szCs w:val="24"/>
        </w:rPr>
        <w:t>administrarea patrimoniului de către instituțiile publice monitorizate de CS și suplinirea bugetului de stat, cauzate de nevalorificarea clădirilor și terenurilor pe care le dețin în folosință și gestiune economică. La fel</w:t>
      </w:r>
      <w:r>
        <w:rPr>
          <w:rFonts w:ascii="Times New Roman" w:hAnsi="Times New Roman" w:cs="Times New Roman"/>
          <w:sz w:val="24"/>
          <w:szCs w:val="24"/>
        </w:rPr>
        <w:t>,</w:t>
      </w:r>
      <w:r w:rsidRPr="003B329E">
        <w:rPr>
          <w:rFonts w:ascii="Times New Roman" w:hAnsi="Times New Roman" w:cs="Times New Roman"/>
          <w:sz w:val="24"/>
          <w:szCs w:val="24"/>
        </w:rPr>
        <w:t xml:space="preserve"> se constată că factorii responsabili din cadrul instituțiilor publice monitorizate de CS nu întreprind acțiunile de rigoare în vederea încasării integrale a plăților din serviciile comunale de la diferiți utilizatori. În contextul expus, se remarcă următoarele constatări.</w:t>
      </w:r>
    </w:p>
    <w:p w14:paraId="7CBD5C63" w14:textId="77777777" w:rsidR="003019F5" w:rsidRPr="003B329E" w:rsidRDefault="003019F5" w:rsidP="00042137">
      <w:pPr>
        <w:pStyle w:val="a7"/>
        <w:numPr>
          <w:ilvl w:val="0"/>
          <w:numId w:val="20"/>
        </w:numPr>
        <w:spacing w:after="80" w:line="276" w:lineRule="auto"/>
        <w:ind w:left="284" w:hanging="284"/>
        <w:contextualSpacing w:val="0"/>
        <w:jc w:val="both"/>
        <w:rPr>
          <w:rFonts w:ascii="Times New Roman" w:eastAsia="Times New Roman" w:hAnsi="Times New Roman" w:cs="Times New Roman"/>
          <w:i/>
          <w:color w:val="000000"/>
          <w:sz w:val="24"/>
          <w:szCs w:val="24"/>
        </w:rPr>
      </w:pPr>
      <w:r w:rsidRPr="003B329E">
        <w:rPr>
          <w:rFonts w:ascii="Times New Roman" w:hAnsi="Times New Roman" w:cs="Times New Roman"/>
          <w:sz w:val="24"/>
          <w:szCs w:val="24"/>
        </w:rPr>
        <w:t xml:space="preserve"> </w:t>
      </w:r>
      <w:r w:rsidRPr="003B329E">
        <w:rPr>
          <w:rFonts w:ascii="Times New Roman" w:hAnsi="Times New Roman" w:cs="Times New Roman"/>
          <w:i/>
          <w:color w:val="2F5496" w:themeColor="accent5" w:themeShade="BF"/>
          <w:sz w:val="24"/>
          <w:szCs w:val="24"/>
        </w:rPr>
        <w:t>Neconformități și problematici constatate la DGACG</w:t>
      </w:r>
    </w:p>
    <w:p w14:paraId="078E494A" w14:textId="77777777" w:rsidR="003019F5" w:rsidRPr="003B329E" w:rsidRDefault="003019F5" w:rsidP="00042137">
      <w:pPr>
        <w:spacing w:after="80" w:line="276" w:lineRule="auto"/>
        <w:jc w:val="both"/>
        <w:rPr>
          <w:rFonts w:ascii="Times New Roman" w:eastAsia="Times New Roman" w:hAnsi="Times New Roman" w:cs="Times New Roman"/>
          <w:color w:val="000000"/>
          <w:sz w:val="24"/>
          <w:szCs w:val="24"/>
        </w:rPr>
      </w:pPr>
      <w:r w:rsidRPr="003B329E">
        <w:rPr>
          <w:rFonts w:ascii="Times New Roman" w:hAnsi="Times New Roman" w:cs="Times New Roman"/>
          <w:sz w:val="24"/>
          <w:szCs w:val="24"/>
        </w:rPr>
        <w:t>În cadrul analizei informații</w:t>
      </w:r>
      <w:r>
        <w:rPr>
          <w:rFonts w:ascii="Times New Roman" w:hAnsi="Times New Roman" w:cs="Times New Roman"/>
          <w:sz w:val="24"/>
          <w:szCs w:val="24"/>
        </w:rPr>
        <w:t>lor</w:t>
      </w:r>
      <w:r w:rsidRPr="003B329E">
        <w:rPr>
          <w:rFonts w:ascii="Times New Roman" w:hAnsi="Times New Roman" w:cs="Times New Roman"/>
          <w:sz w:val="24"/>
          <w:szCs w:val="24"/>
        </w:rPr>
        <w:t xml:space="preserve"> prezentate de DGACG privind darea în locațiune a unor încăperi</w:t>
      </w:r>
      <w:r>
        <w:rPr>
          <w:rFonts w:ascii="Times New Roman" w:hAnsi="Times New Roman" w:cs="Times New Roman"/>
          <w:sz w:val="24"/>
          <w:szCs w:val="24"/>
        </w:rPr>
        <w:t>,</w:t>
      </w:r>
      <w:r w:rsidRPr="003B329E">
        <w:rPr>
          <w:rFonts w:ascii="Times New Roman" w:hAnsi="Times New Roman" w:cs="Times New Roman"/>
          <w:sz w:val="24"/>
          <w:szCs w:val="24"/>
        </w:rPr>
        <w:t xml:space="preserve"> s-a constatat că</w:t>
      </w:r>
      <w:r>
        <w:rPr>
          <w:rFonts w:ascii="Times New Roman" w:hAnsi="Times New Roman" w:cs="Times New Roman"/>
          <w:sz w:val="24"/>
          <w:szCs w:val="24"/>
        </w:rPr>
        <w:t>,</w:t>
      </w:r>
      <w:r w:rsidRPr="003B329E">
        <w:rPr>
          <w:rFonts w:ascii="Times New Roman" w:hAnsi="Times New Roman" w:cs="Times New Roman"/>
          <w:sz w:val="24"/>
          <w:szCs w:val="24"/>
        </w:rPr>
        <w:t xml:space="preserve"> la situația d</w:t>
      </w:r>
      <w:r>
        <w:rPr>
          <w:rFonts w:ascii="Times New Roman" w:hAnsi="Times New Roman" w:cs="Times New Roman"/>
          <w:sz w:val="24"/>
          <w:szCs w:val="24"/>
        </w:rPr>
        <w:t>in</w:t>
      </w:r>
      <w:r w:rsidRPr="003B329E">
        <w:rPr>
          <w:rFonts w:ascii="Times New Roman" w:hAnsi="Times New Roman" w:cs="Times New Roman"/>
          <w:sz w:val="24"/>
          <w:szCs w:val="24"/>
        </w:rPr>
        <w:t xml:space="preserve"> 31.12.2022</w:t>
      </w:r>
      <w:r>
        <w:rPr>
          <w:rFonts w:ascii="Times New Roman" w:hAnsi="Times New Roman" w:cs="Times New Roman"/>
          <w:sz w:val="24"/>
          <w:szCs w:val="24"/>
        </w:rPr>
        <w:t>,</w:t>
      </w:r>
      <w:r w:rsidRPr="003B329E">
        <w:rPr>
          <w:rFonts w:ascii="Times New Roman" w:hAnsi="Times New Roman" w:cs="Times New Roman"/>
          <w:sz w:val="24"/>
          <w:szCs w:val="24"/>
        </w:rPr>
        <w:t xml:space="preserve"> </w:t>
      </w:r>
      <w:r>
        <w:rPr>
          <w:rFonts w:ascii="Times New Roman" w:hAnsi="Times New Roman" w:cs="Times New Roman"/>
          <w:sz w:val="24"/>
          <w:szCs w:val="24"/>
        </w:rPr>
        <w:t xml:space="preserve">Direcția </w:t>
      </w:r>
      <w:r w:rsidRPr="003B329E">
        <w:rPr>
          <w:rFonts w:ascii="Times New Roman" w:hAnsi="Times New Roman" w:cs="Times New Roman"/>
          <w:sz w:val="24"/>
          <w:szCs w:val="24"/>
        </w:rPr>
        <w:t xml:space="preserve">dispunea de 26 </w:t>
      </w:r>
      <w:r>
        <w:rPr>
          <w:rFonts w:ascii="Times New Roman" w:hAnsi="Times New Roman" w:cs="Times New Roman"/>
          <w:sz w:val="24"/>
          <w:szCs w:val="24"/>
        </w:rPr>
        <w:t xml:space="preserve">de </w:t>
      </w:r>
      <w:r w:rsidRPr="003B329E">
        <w:rPr>
          <w:rFonts w:ascii="Times New Roman" w:hAnsi="Times New Roman" w:cs="Times New Roman"/>
          <w:sz w:val="24"/>
          <w:szCs w:val="24"/>
        </w:rPr>
        <w:t>edificii utilizate pentru darea în locațiune. În total</w:t>
      </w:r>
      <w:r>
        <w:rPr>
          <w:rFonts w:ascii="Times New Roman" w:hAnsi="Times New Roman" w:cs="Times New Roman"/>
          <w:sz w:val="24"/>
          <w:szCs w:val="24"/>
        </w:rPr>
        <w:t>,</w:t>
      </w:r>
      <w:r w:rsidRPr="003B329E">
        <w:rPr>
          <w:rFonts w:ascii="Times New Roman" w:hAnsi="Times New Roman" w:cs="Times New Roman"/>
          <w:sz w:val="24"/>
          <w:szCs w:val="24"/>
        </w:rPr>
        <w:t xml:space="preserve"> </w:t>
      </w:r>
      <w:r w:rsidRPr="003B329E">
        <w:rPr>
          <w:rFonts w:ascii="Times New Roman" w:eastAsia="Times New Roman" w:hAnsi="Times New Roman" w:cs="Times New Roman"/>
          <w:color w:val="000000"/>
          <w:sz w:val="24"/>
          <w:szCs w:val="24"/>
        </w:rPr>
        <w:t>75,5 mii m.p</w:t>
      </w:r>
      <w:r>
        <w:rPr>
          <w:rFonts w:ascii="Times New Roman" w:eastAsia="Times New Roman" w:hAnsi="Times New Roman" w:cs="Times New Roman"/>
          <w:color w:val="000000"/>
          <w:sz w:val="24"/>
          <w:szCs w:val="24"/>
        </w:rPr>
        <w:t>.</w:t>
      </w:r>
      <w:r w:rsidRPr="003B329E">
        <w:rPr>
          <w:rFonts w:ascii="Times New Roman" w:eastAsia="Times New Roman" w:hAnsi="Times New Roman" w:cs="Times New Roman"/>
          <w:color w:val="000000"/>
          <w:sz w:val="24"/>
          <w:szCs w:val="24"/>
        </w:rPr>
        <w:t xml:space="preserve"> </w:t>
      </w:r>
      <w:r w:rsidRPr="003B329E">
        <w:rPr>
          <w:rFonts w:ascii="Times New Roman" w:hAnsi="Times New Roman" w:cs="Times New Roman"/>
          <w:sz w:val="24"/>
          <w:szCs w:val="24"/>
        </w:rPr>
        <w:t xml:space="preserve">de spații au fost utilizate de către 331 </w:t>
      </w:r>
      <w:r>
        <w:rPr>
          <w:rFonts w:ascii="Times New Roman" w:hAnsi="Times New Roman" w:cs="Times New Roman"/>
          <w:sz w:val="24"/>
          <w:szCs w:val="24"/>
        </w:rPr>
        <w:t xml:space="preserve">de </w:t>
      </w:r>
      <w:r w:rsidRPr="003B329E">
        <w:rPr>
          <w:rFonts w:ascii="Times New Roman" w:hAnsi="Times New Roman" w:cs="Times New Roman"/>
          <w:sz w:val="24"/>
          <w:szCs w:val="24"/>
        </w:rPr>
        <w:t xml:space="preserve">locatari, inclusiv 86 în baza contractelor de comodat pe o suprafață de </w:t>
      </w:r>
      <w:r w:rsidRPr="003B329E">
        <w:rPr>
          <w:rFonts w:ascii="Times New Roman" w:eastAsia="Times New Roman" w:hAnsi="Times New Roman" w:cs="Times New Roman"/>
          <w:color w:val="000000"/>
          <w:sz w:val="24"/>
          <w:szCs w:val="24"/>
        </w:rPr>
        <w:t>61,5 mii m.p</w:t>
      </w:r>
      <w:r>
        <w:rPr>
          <w:rFonts w:ascii="Times New Roman" w:eastAsia="Times New Roman" w:hAnsi="Times New Roman" w:cs="Times New Roman"/>
          <w:color w:val="000000"/>
          <w:sz w:val="24"/>
          <w:szCs w:val="24"/>
        </w:rPr>
        <w:t>.</w:t>
      </w:r>
      <w:r w:rsidRPr="003B329E">
        <w:rPr>
          <w:rFonts w:ascii="Times New Roman" w:eastAsia="Times New Roman" w:hAnsi="Times New Roman" w:cs="Times New Roman"/>
          <w:color w:val="000000"/>
          <w:sz w:val="24"/>
          <w:szCs w:val="24"/>
        </w:rPr>
        <w:t xml:space="preserve"> și 245 în baza contractelor de locațiune pe suprafața de 14,0 mii m.p.</w:t>
      </w:r>
    </w:p>
    <w:p w14:paraId="789E5127" w14:textId="661191D1" w:rsidR="003019F5" w:rsidRPr="00616428" w:rsidRDefault="003019F5" w:rsidP="003019F5">
      <w:pPr>
        <w:pStyle w:val="a7"/>
        <w:numPr>
          <w:ilvl w:val="0"/>
          <w:numId w:val="12"/>
        </w:numPr>
        <w:tabs>
          <w:tab w:val="left" w:pos="426"/>
        </w:tabs>
        <w:spacing w:after="0" w:line="276" w:lineRule="auto"/>
        <w:ind w:left="0" w:firstLine="0"/>
        <w:contextualSpacing w:val="0"/>
        <w:jc w:val="both"/>
        <w:rPr>
          <w:rFonts w:ascii="Times New Roman" w:hAnsi="Times New Roman" w:cs="Times New Roman"/>
          <w:sz w:val="24"/>
          <w:szCs w:val="24"/>
        </w:rPr>
      </w:pPr>
      <w:r w:rsidRPr="00363B6B">
        <w:rPr>
          <w:rFonts w:ascii="Times New Roman" w:hAnsi="Times New Roman" w:cs="Times New Roman"/>
          <w:sz w:val="24"/>
          <w:szCs w:val="24"/>
        </w:rPr>
        <w:t>Testele auditului</w:t>
      </w:r>
      <w:r w:rsidRPr="00616428">
        <w:rPr>
          <w:rFonts w:ascii="Times New Roman" w:hAnsi="Times New Roman" w:cs="Times New Roman"/>
          <w:sz w:val="24"/>
          <w:szCs w:val="24"/>
        </w:rPr>
        <w:t xml:space="preserve"> denotă că</w:t>
      </w:r>
      <w:r>
        <w:rPr>
          <w:rFonts w:ascii="Times New Roman" w:hAnsi="Times New Roman" w:cs="Times New Roman"/>
          <w:sz w:val="24"/>
          <w:szCs w:val="24"/>
        </w:rPr>
        <w:t>,</w:t>
      </w:r>
      <w:r w:rsidRPr="00616428">
        <w:rPr>
          <w:rFonts w:ascii="Times New Roman" w:hAnsi="Times New Roman" w:cs="Times New Roman"/>
          <w:sz w:val="24"/>
          <w:szCs w:val="24"/>
        </w:rPr>
        <w:t xml:space="preserve"> pe parcursul anilor 2018-2022</w:t>
      </w:r>
      <w:r>
        <w:rPr>
          <w:rFonts w:ascii="Times New Roman" w:hAnsi="Times New Roman" w:cs="Times New Roman"/>
          <w:sz w:val="24"/>
          <w:szCs w:val="24"/>
        </w:rPr>
        <w:t>,</w:t>
      </w:r>
      <w:r w:rsidRPr="00616428">
        <w:rPr>
          <w:rFonts w:ascii="Times New Roman" w:hAnsi="Times New Roman" w:cs="Times New Roman"/>
          <w:sz w:val="24"/>
          <w:szCs w:val="24"/>
        </w:rPr>
        <w:t xml:space="preserve"> selectarea</w:t>
      </w:r>
      <w:r w:rsidRPr="00616428">
        <w:rPr>
          <w:rFonts w:ascii="Times New Roman" w:hAnsi="Times New Roman" w:cs="Times New Roman"/>
          <w:i/>
          <w:iCs/>
          <w:sz w:val="24"/>
          <w:szCs w:val="24"/>
        </w:rPr>
        <w:t xml:space="preserve"> </w:t>
      </w:r>
      <w:r w:rsidRPr="00616428">
        <w:rPr>
          <w:rFonts w:ascii="Times New Roman" w:hAnsi="Times New Roman" w:cs="Times New Roman"/>
          <w:iCs/>
          <w:sz w:val="24"/>
          <w:szCs w:val="24"/>
        </w:rPr>
        <w:t>potențialilor locatari</w:t>
      </w:r>
      <w:r w:rsidRPr="00616428">
        <w:rPr>
          <w:rFonts w:ascii="Times New Roman" w:hAnsi="Times New Roman" w:cs="Times New Roman"/>
          <w:i/>
          <w:iCs/>
          <w:sz w:val="24"/>
          <w:szCs w:val="24"/>
        </w:rPr>
        <w:t xml:space="preserve"> </w:t>
      </w:r>
      <w:r w:rsidRPr="00616428">
        <w:rPr>
          <w:rFonts w:ascii="Times New Roman" w:hAnsi="Times New Roman" w:cs="Times New Roman"/>
          <w:sz w:val="24"/>
          <w:szCs w:val="24"/>
        </w:rPr>
        <w:t>a</w:t>
      </w:r>
      <w:r>
        <w:rPr>
          <w:rFonts w:ascii="Times New Roman" w:hAnsi="Times New Roman" w:cs="Times New Roman"/>
          <w:sz w:val="24"/>
          <w:szCs w:val="24"/>
        </w:rPr>
        <w:t>i</w:t>
      </w:r>
      <w:r w:rsidRPr="00616428">
        <w:rPr>
          <w:rFonts w:ascii="Times New Roman" w:hAnsi="Times New Roman" w:cs="Times New Roman"/>
          <w:sz w:val="24"/>
          <w:szCs w:val="24"/>
        </w:rPr>
        <w:t xml:space="preserve"> bunurilor </w:t>
      </w:r>
      <w:r w:rsidRPr="00616428">
        <w:rPr>
          <w:rFonts w:ascii="Times New Roman" w:hAnsi="Times New Roman" w:cs="Times New Roman"/>
          <w:sz w:val="24"/>
          <w:szCs w:val="24"/>
          <w:shd w:val="clear" w:color="auto" w:fill="FFFFFF"/>
        </w:rPr>
        <w:t>neutilizate nu a fost organizată conform cerințelor regulamentare. Astfel, selectarea acestora a fost efectuată prin negocieri directe, de</w:t>
      </w:r>
      <w:r>
        <w:rPr>
          <w:rFonts w:ascii="Times New Roman" w:hAnsi="Times New Roman" w:cs="Times New Roman"/>
          <w:sz w:val="24"/>
          <w:szCs w:val="24"/>
          <w:shd w:val="clear" w:color="auto" w:fill="FFFFFF"/>
        </w:rPr>
        <w:t>ș</w:t>
      </w:r>
      <w:r w:rsidRPr="00616428">
        <w:rPr>
          <w:rFonts w:ascii="Times New Roman" w:hAnsi="Times New Roman" w:cs="Times New Roman"/>
          <w:sz w:val="24"/>
          <w:szCs w:val="24"/>
          <w:shd w:val="clear" w:color="auto" w:fill="FFFFFF"/>
        </w:rPr>
        <w:t>i conform Regulamentul</w:t>
      </w:r>
      <w:r>
        <w:rPr>
          <w:rFonts w:ascii="Times New Roman" w:hAnsi="Times New Roman" w:cs="Times New Roman"/>
          <w:sz w:val="24"/>
          <w:szCs w:val="24"/>
          <w:shd w:val="clear" w:color="auto" w:fill="FFFFFF"/>
        </w:rPr>
        <w:t>ui</w:t>
      </w:r>
      <w:r w:rsidRPr="00616428">
        <w:rPr>
          <w:rFonts w:ascii="Times New Roman" w:hAnsi="Times New Roman" w:cs="Times New Roman"/>
          <w:sz w:val="24"/>
          <w:szCs w:val="24"/>
          <w:shd w:val="clear" w:color="auto" w:fill="FFFFFF"/>
        </w:rPr>
        <w:t xml:space="preserve"> cu privire la modul de dare în locațiune a activelor neutilizate</w:t>
      </w:r>
      <w:r w:rsidRPr="00616428">
        <w:rPr>
          <w:rStyle w:val="a5"/>
          <w:rFonts w:ascii="Times New Roman" w:hAnsi="Times New Roman" w:cs="Times New Roman"/>
          <w:sz w:val="24"/>
          <w:szCs w:val="24"/>
          <w:shd w:val="clear" w:color="auto" w:fill="FFFFFF"/>
        </w:rPr>
        <w:footnoteReference w:id="179"/>
      </w:r>
      <w:r>
        <w:rPr>
          <w:rFonts w:ascii="Times New Roman" w:hAnsi="Times New Roman" w:cs="Times New Roman"/>
          <w:sz w:val="24"/>
          <w:szCs w:val="24"/>
          <w:shd w:val="clear" w:color="auto" w:fill="FFFFFF"/>
        </w:rPr>
        <w:t>,</w:t>
      </w:r>
      <w:r w:rsidRPr="00616428">
        <w:rPr>
          <w:rFonts w:ascii="Times New Roman" w:hAnsi="Times New Roman" w:cs="Times New Roman"/>
          <w:sz w:val="24"/>
          <w:szCs w:val="24"/>
          <w:shd w:val="clear" w:color="auto" w:fill="FFFFFF"/>
        </w:rPr>
        <w:t xml:space="preserve"> autoritatea abilitată poate accepta darea bunurilor neutilizate în locațiune prin negocieri directe, în lipsa desfășurării licitațiilor publice. Mai mult dec</w:t>
      </w:r>
      <w:r>
        <w:rPr>
          <w:rFonts w:ascii="Times New Roman" w:hAnsi="Times New Roman" w:cs="Times New Roman"/>
          <w:sz w:val="24"/>
          <w:szCs w:val="24"/>
          <w:shd w:val="clear" w:color="auto" w:fill="FFFFFF"/>
        </w:rPr>
        <w:t>â</w:t>
      </w:r>
      <w:r w:rsidRPr="00616428">
        <w:rPr>
          <w:rFonts w:ascii="Times New Roman" w:hAnsi="Times New Roman" w:cs="Times New Roman"/>
          <w:sz w:val="24"/>
          <w:szCs w:val="24"/>
          <w:shd w:val="clear" w:color="auto" w:fill="FFFFFF"/>
        </w:rPr>
        <w:t>t at</w:t>
      </w:r>
      <w:r>
        <w:rPr>
          <w:rFonts w:ascii="Times New Roman" w:hAnsi="Times New Roman" w:cs="Times New Roman"/>
          <w:sz w:val="24"/>
          <w:szCs w:val="24"/>
          <w:shd w:val="clear" w:color="auto" w:fill="FFFFFF"/>
        </w:rPr>
        <w:t>â</w:t>
      </w:r>
      <w:r w:rsidRPr="00616428">
        <w:rPr>
          <w:rFonts w:ascii="Times New Roman" w:hAnsi="Times New Roman" w:cs="Times New Roman"/>
          <w:sz w:val="24"/>
          <w:szCs w:val="24"/>
          <w:shd w:val="clear" w:color="auto" w:fill="FFFFFF"/>
        </w:rPr>
        <w:t>t</w:t>
      </w:r>
      <w:r>
        <w:rPr>
          <w:rFonts w:ascii="Times New Roman" w:hAnsi="Times New Roman" w:cs="Times New Roman"/>
          <w:sz w:val="24"/>
          <w:szCs w:val="24"/>
          <w:shd w:val="clear" w:color="auto" w:fill="FFFFFF"/>
        </w:rPr>
        <w:t>,</w:t>
      </w:r>
      <w:r w:rsidRPr="00616428">
        <w:rPr>
          <w:rFonts w:ascii="Times New Roman" w:hAnsi="Times New Roman" w:cs="Times New Roman"/>
          <w:sz w:val="24"/>
          <w:szCs w:val="24"/>
          <w:shd w:val="clear" w:color="auto" w:fill="FFFFFF"/>
        </w:rPr>
        <w:t xml:space="preserve"> DGACG în perioada verificată a aplicat plata minimă a chiriei stabilit</w:t>
      </w:r>
      <w:r>
        <w:rPr>
          <w:rFonts w:ascii="Times New Roman" w:hAnsi="Times New Roman" w:cs="Times New Roman"/>
          <w:sz w:val="24"/>
          <w:szCs w:val="24"/>
          <w:shd w:val="clear" w:color="auto" w:fill="FFFFFF"/>
        </w:rPr>
        <w:t>e</w:t>
      </w:r>
      <w:r w:rsidRPr="00616428">
        <w:rPr>
          <w:rFonts w:ascii="Times New Roman" w:hAnsi="Times New Roman" w:cs="Times New Roman"/>
          <w:sz w:val="24"/>
          <w:szCs w:val="24"/>
          <w:shd w:val="clear" w:color="auto" w:fill="FFFFFF"/>
        </w:rPr>
        <w:t xml:space="preserve"> conform Legii bugetului de stat pe anul resp</w:t>
      </w:r>
      <w:r w:rsidR="00A7085F">
        <w:rPr>
          <w:rFonts w:ascii="Times New Roman" w:hAnsi="Times New Roman" w:cs="Times New Roman"/>
          <w:sz w:val="24"/>
          <w:szCs w:val="24"/>
          <w:shd w:val="clear" w:color="auto" w:fill="FFFFFF"/>
        </w:rPr>
        <w:t>ectiv, deși potrivit cadrului normativ</w:t>
      </w:r>
      <w:r w:rsidRPr="00616428">
        <w:rPr>
          <w:rStyle w:val="a5"/>
          <w:rFonts w:ascii="Times New Roman" w:hAnsi="Times New Roman" w:cs="Times New Roman"/>
          <w:sz w:val="24"/>
          <w:szCs w:val="24"/>
          <w:shd w:val="clear" w:color="auto" w:fill="FFFFFF"/>
        </w:rPr>
        <w:footnoteReference w:id="180"/>
      </w:r>
      <w:r w:rsidRPr="00616428">
        <w:rPr>
          <w:rFonts w:ascii="Times New Roman" w:hAnsi="Times New Roman" w:cs="Times New Roman"/>
          <w:sz w:val="24"/>
          <w:szCs w:val="24"/>
          <w:shd w:val="clear" w:color="auto" w:fill="FFFFFF"/>
        </w:rPr>
        <w:t xml:space="preserve"> în procesul negocierilor directe comisia urmează să negocieze în mod convenabil entității cuantumul chiriei activelor neutilizate, ținând cont și de preţurile existente pe piaţă, de oferta solicitantului chiriei şi de alte condiții. </w:t>
      </w:r>
      <w:r w:rsidRPr="00616428">
        <w:rPr>
          <w:rFonts w:ascii="Times New Roman" w:hAnsi="Times New Roman" w:cs="Times New Roman"/>
          <w:sz w:val="24"/>
          <w:szCs w:val="24"/>
        </w:rPr>
        <w:t xml:space="preserve">Darea în locațiune a spațiilor fără organizarea licitațiilor publice este un proces neregulamentar, care </w:t>
      </w:r>
      <w:r w:rsidRPr="00616428">
        <w:rPr>
          <w:rFonts w:ascii="Times New Roman" w:hAnsi="Times New Roman" w:cs="Times New Roman"/>
          <w:sz w:val="24"/>
          <w:szCs w:val="24"/>
          <w:shd w:val="clear" w:color="auto" w:fill="FFFFFF"/>
        </w:rPr>
        <w:t xml:space="preserve">conduce la nerespectarea condițiilor de transparență în procesul decizional și </w:t>
      </w:r>
      <w:r w:rsidRPr="00616428">
        <w:rPr>
          <w:rFonts w:ascii="Times New Roman" w:hAnsi="Times New Roman" w:cs="Times New Roman"/>
          <w:sz w:val="24"/>
          <w:szCs w:val="24"/>
        </w:rPr>
        <w:t>nu asigură egalitatea tuturor doritorilor de a obține dreptul la locațiune, ca rezultat nu se obține un preț maxim pentru locațiunea bunurilor imobile, fiind</w:t>
      </w:r>
      <w:r w:rsidR="00BA69A9">
        <w:rPr>
          <w:rFonts w:ascii="Times New Roman" w:hAnsi="Times New Roman" w:cs="Times New Roman"/>
          <w:sz w:val="24"/>
          <w:szCs w:val="24"/>
        </w:rPr>
        <w:t xml:space="preserve"> </w:t>
      </w:r>
      <w:r w:rsidRPr="00616428">
        <w:rPr>
          <w:rFonts w:ascii="Times New Roman" w:hAnsi="Times New Roman" w:cs="Times New Roman"/>
          <w:sz w:val="24"/>
          <w:szCs w:val="24"/>
        </w:rPr>
        <w:t>ratate venituri.</w:t>
      </w:r>
    </w:p>
    <w:p w14:paraId="6C9C4AFD" w14:textId="42A77B22" w:rsidR="003019F5" w:rsidRPr="003B329E" w:rsidRDefault="003019F5" w:rsidP="006D62A5">
      <w:pPr>
        <w:pStyle w:val="af0"/>
        <w:spacing w:after="80" w:line="276" w:lineRule="auto"/>
        <w:jc w:val="both"/>
      </w:pPr>
      <w:r w:rsidRPr="003B329E">
        <w:t>Con</w:t>
      </w:r>
      <w:r w:rsidR="00A7085F">
        <w:t>comitent, contrar cadrului normativ</w:t>
      </w:r>
      <w:r w:rsidRPr="003B329E">
        <w:rPr>
          <w:rStyle w:val="a5"/>
        </w:rPr>
        <w:footnoteReference w:id="181"/>
      </w:r>
      <w:r>
        <w:t>,</w:t>
      </w:r>
      <w:r w:rsidRPr="003B329E">
        <w:t xml:space="preserve"> DGACG nu asigură </w:t>
      </w:r>
      <w:r w:rsidRPr="003B329E">
        <w:rPr>
          <w:shd w:val="clear" w:color="auto" w:fill="FFFFFF"/>
        </w:rPr>
        <w:t xml:space="preserve">sistematizarea şi înregistrarea corespunzătoare a contractelor de locațiune, </w:t>
      </w:r>
      <w:r w:rsidRPr="003B329E">
        <w:t>cauza fiind neelaborarea unor reguli interne privind implementarea mecanismului de transmitere în locațiune, respectiv</w:t>
      </w:r>
      <w:r>
        <w:t>,</w:t>
      </w:r>
      <w:r w:rsidRPr="003B329E">
        <w:t xml:space="preserve"> </w:t>
      </w:r>
      <w:r w:rsidRPr="003B329E">
        <w:rPr>
          <w:i/>
          <w:iCs/>
        </w:rPr>
        <w:t>de lipsa supravegherii responsabilităţilor delegate, de managementul necorespunzător din partea preşedinţilor comisiilor, precum şi de faptul că membrii acestora nu au definite responsabilităţi şi obligaţii clare în activitatea de coordonare, examinare şi avizare a contractelor de locaţiune</w:t>
      </w:r>
      <w:r w:rsidRPr="003B329E">
        <w:t xml:space="preserve">. </w:t>
      </w:r>
    </w:p>
    <w:p w14:paraId="42F5B5A2" w14:textId="65592814" w:rsidR="003019F5" w:rsidRPr="003B329E" w:rsidRDefault="003019F5" w:rsidP="00D17847">
      <w:pPr>
        <w:pStyle w:val="a7"/>
        <w:numPr>
          <w:ilvl w:val="0"/>
          <w:numId w:val="12"/>
        </w:numPr>
        <w:tabs>
          <w:tab w:val="left" w:pos="426"/>
        </w:tabs>
        <w:spacing w:after="80" w:line="276" w:lineRule="auto"/>
        <w:ind w:left="0" w:firstLine="0"/>
        <w:contextualSpacing w:val="0"/>
        <w:jc w:val="both"/>
        <w:rPr>
          <w:rFonts w:ascii="Times New Roman" w:hAnsi="Times New Roman" w:cs="Times New Roman"/>
          <w:sz w:val="24"/>
          <w:szCs w:val="24"/>
        </w:rPr>
      </w:pPr>
      <w:r w:rsidRPr="003B329E">
        <w:rPr>
          <w:rFonts w:ascii="Times New Roman" w:hAnsi="Times New Roman" w:cs="Times New Roman"/>
          <w:sz w:val="24"/>
          <w:szCs w:val="24"/>
        </w:rPr>
        <w:t>Există problem</w:t>
      </w:r>
      <w:r>
        <w:rPr>
          <w:rFonts w:ascii="Times New Roman" w:hAnsi="Times New Roman" w:cs="Times New Roman"/>
          <w:sz w:val="24"/>
          <w:szCs w:val="24"/>
        </w:rPr>
        <w:t>e</w:t>
      </w:r>
      <w:r w:rsidRPr="003B329E">
        <w:rPr>
          <w:rFonts w:ascii="Times New Roman" w:hAnsi="Times New Roman" w:cs="Times New Roman"/>
          <w:sz w:val="24"/>
          <w:szCs w:val="24"/>
        </w:rPr>
        <w:t xml:space="preserve"> legate de valorificarea de către DGACG a </w:t>
      </w:r>
      <w:r w:rsidR="009C5F65">
        <w:rPr>
          <w:rFonts w:ascii="Times New Roman" w:hAnsi="Times New Roman" w:cs="Times New Roman"/>
          <w:sz w:val="24"/>
          <w:szCs w:val="24"/>
        </w:rPr>
        <w:t>unei suprafețe din clădirea</w:t>
      </w:r>
      <w:r w:rsidRPr="003B329E">
        <w:rPr>
          <w:rStyle w:val="a5"/>
          <w:rFonts w:ascii="Times New Roman" w:hAnsi="Times New Roman" w:cs="Times New Roman"/>
          <w:sz w:val="24"/>
          <w:szCs w:val="24"/>
        </w:rPr>
        <w:footnoteReference w:id="182"/>
      </w:r>
      <w:r w:rsidRPr="003B329E">
        <w:rPr>
          <w:rFonts w:ascii="Times New Roman" w:hAnsi="Times New Roman" w:cs="Times New Roman"/>
          <w:sz w:val="24"/>
          <w:szCs w:val="24"/>
        </w:rPr>
        <w:t xml:space="preserve"> amplasat</w:t>
      </w:r>
      <w:r w:rsidR="00DD43BD">
        <w:rPr>
          <w:rFonts w:ascii="Times New Roman" w:hAnsi="Times New Roman" w:cs="Times New Roman"/>
          <w:sz w:val="24"/>
          <w:szCs w:val="24"/>
        </w:rPr>
        <w:t>ă</w:t>
      </w:r>
      <w:r w:rsidRPr="003B329E">
        <w:rPr>
          <w:rFonts w:ascii="Times New Roman" w:hAnsi="Times New Roman" w:cs="Times New Roman"/>
          <w:sz w:val="24"/>
          <w:szCs w:val="24"/>
        </w:rPr>
        <w:t xml:space="preserve"> pe str. Vlaicu Pârcălab nr. 45, transmisă prin HG nr. 331 din 18.05.22</w:t>
      </w:r>
      <w:r w:rsidRPr="003B329E">
        <w:rPr>
          <w:rStyle w:val="a5"/>
          <w:rFonts w:ascii="Times New Roman" w:hAnsi="Times New Roman" w:cs="Times New Roman"/>
          <w:sz w:val="24"/>
          <w:szCs w:val="24"/>
        </w:rPr>
        <w:footnoteReference w:id="183"/>
      </w:r>
      <w:r w:rsidRPr="003B329E">
        <w:rPr>
          <w:rFonts w:ascii="Times New Roman" w:hAnsi="Times New Roman" w:cs="Times New Roman"/>
          <w:sz w:val="24"/>
          <w:szCs w:val="24"/>
        </w:rPr>
        <w:t xml:space="preserve"> </w:t>
      </w:r>
      <w:r w:rsidRPr="009C5F65">
        <w:rPr>
          <w:rFonts w:ascii="Times New Roman" w:hAnsi="Times New Roman" w:cs="Times New Roman"/>
          <w:sz w:val="24"/>
          <w:szCs w:val="24"/>
          <w:shd w:val="clear" w:color="auto" w:fill="FFFFFF"/>
        </w:rPr>
        <w:t xml:space="preserve">din gestiunea APP în administrarea Cancelariei de Stat, în gestiunea DGACG. Transmiterea bunului respectiv s-a efectuat prin actul din 16.05.2022. Observațiile auditului denotă că, până la data transmiterii, o </w:t>
      </w:r>
      <w:r w:rsidRPr="009C5F65">
        <w:rPr>
          <w:rFonts w:ascii="Times New Roman" w:hAnsi="Times New Roman" w:cs="Times New Roman"/>
          <w:bCs/>
          <w:sz w:val="24"/>
          <w:szCs w:val="24"/>
          <w:shd w:val="clear" w:color="auto" w:fill="FFFFFF"/>
        </w:rPr>
        <w:t>porțiune din construcție cu suprafața de 852,90 m.p.</w:t>
      </w:r>
      <w:r w:rsidRPr="009C5F65">
        <w:rPr>
          <w:rFonts w:ascii="Times New Roman" w:hAnsi="Times New Roman" w:cs="Times New Roman"/>
          <w:sz w:val="24"/>
          <w:szCs w:val="24"/>
          <w:shd w:val="clear" w:color="auto" w:fill="FFFFFF"/>
        </w:rPr>
        <w:t xml:space="preserve"> a fost dată în locațiune de către</w:t>
      </w:r>
      <w:r w:rsidR="00BA69A9">
        <w:rPr>
          <w:rFonts w:ascii="Times New Roman" w:hAnsi="Times New Roman" w:cs="Times New Roman"/>
          <w:sz w:val="24"/>
          <w:szCs w:val="24"/>
          <w:shd w:val="clear" w:color="auto" w:fill="FFFFFF"/>
        </w:rPr>
        <w:t xml:space="preserve"> </w:t>
      </w:r>
      <w:r w:rsidRPr="009C5F65">
        <w:rPr>
          <w:rFonts w:ascii="Times New Roman" w:hAnsi="Times New Roman" w:cs="Times New Roman"/>
          <w:sz w:val="24"/>
          <w:szCs w:val="24"/>
        </w:rPr>
        <w:t xml:space="preserve">Î.S „Universul” (fostul </w:t>
      </w:r>
      <w:r w:rsidRPr="003B329E">
        <w:rPr>
          <w:rFonts w:ascii="Times New Roman" w:hAnsi="Times New Roman" w:cs="Times New Roman"/>
          <w:sz w:val="24"/>
          <w:szCs w:val="24"/>
        </w:rPr>
        <w:t xml:space="preserve">proprietar) </w:t>
      </w:r>
      <w:r w:rsidRPr="003B329E">
        <w:rPr>
          <w:rFonts w:ascii="Times New Roman" w:hAnsi="Times New Roman" w:cs="Times New Roman"/>
          <w:bCs/>
          <w:color w:val="000000"/>
          <w:sz w:val="24"/>
          <w:szCs w:val="24"/>
          <w:shd w:val="clear" w:color="auto" w:fill="FFFFFF"/>
        </w:rPr>
        <w:t xml:space="preserve">unui agent economic pe o perioadă de 10 ani, și anume de la 09.02.2015 până </w:t>
      </w:r>
      <w:r>
        <w:rPr>
          <w:rFonts w:ascii="Times New Roman" w:hAnsi="Times New Roman" w:cs="Times New Roman"/>
          <w:bCs/>
          <w:color w:val="000000"/>
          <w:sz w:val="24"/>
          <w:szCs w:val="24"/>
          <w:shd w:val="clear" w:color="auto" w:fill="FFFFFF"/>
        </w:rPr>
        <w:t xml:space="preserve">la </w:t>
      </w:r>
      <w:r w:rsidRPr="003B329E">
        <w:rPr>
          <w:rFonts w:ascii="Times New Roman" w:hAnsi="Times New Roman" w:cs="Times New Roman"/>
          <w:bCs/>
          <w:color w:val="000000"/>
          <w:sz w:val="24"/>
          <w:szCs w:val="24"/>
          <w:shd w:val="clear" w:color="auto" w:fill="FFFFFF"/>
        </w:rPr>
        <w:t>31.12.</w:t>
      </w:r>
      <w:r w:rsidRPr="00D17847">
        <w:rPr>
          <w:rFonts w:ascii="Times New Roman" w:hAnsi="Times New Roman" w:cs="Times New Roman"/>
          <w:bCs/>
          <w:color w:val="000000"/>
          <w:sz w:val="24"/>
          <w:szCs w:val="24"/>
          <w:shd w:val="clear" w:color="auto" w:fill="FFFFFF"/>
        </w:rPr>
        <w:t>2025. Însă,</w:t>
      </w:r>
      <w:r w:rsidR="00D17847" w:rsidRPr="00D17847">
        <w:rPr>
          <w:rFonts w:ascii="Times New Roman" w:hAnsi="Times New Roman" w:cs="Times New Roman"/>
          <w:bCs/>
          <w:color w:val="000000"/>
          <w:sz w:val="24"/>
          <w:szCs w:val="24"/>
          <w:shd w:val="clear" w:color="auto" w:fill="FFFFFF"/>
        </w:rPr>
        <w:t xml:space="preserve"> CS și DGACG nu au întreprins toate măsurile legale ce țin de raporturile de locațiune și încasare a plăților de la locatar pentru suprafața de 852,90 m.p. </w:t>
      </w:r>
      <w:r w:rsidRPr="003B329E">
        <w:rPr>
          <w:rFonts w:ascii="Times New Roman" w:hAnsi="Times New Roman" w:cs="Times New Roman"/>
          <w:bCs/>
          <w:color w:val="000000"/>
          <w:sz w:val="24"/>
          <w:szCs w:val="24"/>
          <w:shd w:val="clear" w:color="auto" w:fill="FFFFFF"/>
        </w:rPr>
        <w:t>Ace</w:t>
      </w:r>
      <w:r>
        <w:rPr>
          <w:rFonts w:ascii="Times New Roman" w:hAnsi="Times New Roman" w:cs="Times New Roman"/>
          <w:bCs/>
          <w:color w:val="000000"/>
          <w:sz w:val="24"/>
          <w:szCs w:val="24"/>
          <w:shd w:val="clear" w:color="auto" w:fill="FFFFFF"/>
        </w:rPr>
        <w:t>a</w:t>
      </w:r>
      <w:r w:rsidRPr="003B329E">
        <w:rPr>
          <w:rFonts w:ascii="Times New Roman" w:hAnsi="Times New Roman" w:cs="Times New Roman"/>
          <w:bCs/>
          <w:color w:val="000000"/>
          <w:sz w:val="24"/>
          <w:szCs w:val="24"/>
          <w:shd w:val="clear" w:color="auto" w:fill="FFFFFF"/>
        </w:rPr>
        <w:t>st</w:t>
      </w:r>
      <w:r>
        <w:rPr>
          <w:rFonts w:ascii="Times New Roman" w:hAnsi="Times New Roman" w:cs="Times New Roman"/>
          <w:bCs/>
          <w:color w:val="000000"/>
          <w:sz w:val="24"/>
          <w:szCs w:val="24"/>
          <w:shd w:val="clear" w:color="auto" w:fill="FFFFFF"/>
        </w:rPr>
        <w:t>ă</w:t>
      </w:r>
      <w:r w:rsidRPr="003B329E">
        <w:rPr>
          <w:rFonts w:ascii="Times New Roman" w:hAnsi="Times New Roman" w:cs="Times New Roman"/>
          <w:bCs/>
          <w:color w:val="000000"/>
          <w:sz w:val="24"/>
          <w:szCs w:val="24"/>
          <w:shd w:val="clear" w:color="auto" w:fill="FFFFFF"/>
        </w:rPr>
        <w:t xml:space="preserve"> situație a condus la faptul că plata pentru locațiunea imobilului</w:t>
      </w:r>
      <w:r w:rsidR="00D17847">
        <w:rPr>
          <w:rFonts w:ascii="Times New Roman" w:hAnsi="Times New Roman" w:cs="Times New Roman"/>
          <w:sz w:val="24"/>
          <w:szCs w:val="24"/>
        </w:rPr>
        <w:t xml:space="preserve"> în valoare totală de cca 1</w:t>
      </w:r>
      <w:r w:rsidRPr="003B329E">
        <w:rPr>
          <w:rFonts w:ascii="Times New Roman" w:hAnsi="Times New Roman" w:cs="Times New Roman"/>
          <w:sz w:val="24"/>
          <w:szCs w:val="24"/>
        </w:rPr>
        <w:t>500, 0 mii lei</w:t>
      </w:r>
      <w:r w:rsidRPr="003B329E">
        <w:rPr>
          <w:rFonts w:ascii="Times New Roman" w:hAnsi="Times New Roman" w:cs="Times New Roman"/>
          <w:bCs/>
          <w:color w:val="000000"/>
          <w:sz w:val="24"/>
          <w:szCs w:val="24"/>
          <w:shd w:val="clear" w:color="auto" w:fill="FFFFFF"/>
        </w:rPr>
        <w:t xml:space="preserve">, din data transmiterii până la sfârșitul anului 2023, a fost încasată de către </w:t>
      </w:r>
      <w:r w:rsidRPr="003B329E">
        <w:rPr>
          <w:rFonts w:ascii="Times New Roman" w:hAnsi="Times New Roman" w:cs="Times New Roman"/>
          <w:sz w:val="24"/>
          <w:szCs w:val="24"/>
        </w:rPr>
        <w:t>Î.S</w:t>
      </w:r>
      <w:r w:rsidR="0014037F">
        <w:rPr>
          <w:rFonts w:ascii="Times New Roman" w:hAnsi="Times New Roman" w:cs="Times New Roman"/>
          <w:sz w:val="24"/>
          <w:szCs w:val="24"/>
        </w:rPr>
        <w:t>.</w:t>
      </w:r>
      <w:r w:rsidRPr="003B329E">
        <w:rPr>
          <w:rFonts w:ascii="Times New Roman" w:hAnsi="Times New Roman" w:cs="Times New Roman"/>
          <w:sz w:val="24"/>
          <w:szCs w:val="24"/>
        </w:rPr>
        <w:t xml:space="preserve"> </w:t>
      </w:r>
      <w:r>
        <w:rPr>
          <w:rFonts w:ascii="Times New Roman" w:hAnsi="Times New Roman" w:cs="Times New Roman"/>
          <w:sz w:val="24"/>
          <w:szCs w:val="24"/>
        </w:rPr>
        <w:t>„</w:t>
      </w:r>
      <w:r w:rsidRPr="003B329E">
        <w:rPr>
          <w:rFonts w:ascii="Times New Roman" w:hAnsi="Times New Roman" w:cs="Times New Roman"/>
          <w:sz w:val="24"/>
          <w:szCs w:val="24"/>
        </w:rPr>
        <w:t>Universul</w:t>
      </w:r>
      <w:r>
        <w:rPr>
          <w:rFonts w:ascii="Times New Roman" w:hAnsi="Times New Roman" w:cs="Times New Roman"/>
          <w:sz w:val="24"/>
          <w:szCs w:val="24"/>
        </w:rPr>
        <w:t>”</w:t>
      </w:r>
      <w:r w:rsidR="00DD43BD">
        <w:rPr>
          <w:rFonts w:ascii="Times New Roman" w:hAnsi="Times New Roman" w:cs="Times New Roman"/>
          <w:sz w:val="24"/>
          <w:szCs w:val="24"/>
        </w:rPr>
        <w:t>,</w:t>
      </w:r>
      <w:r w:rsidRPr="003B329E">
        <w:rPr>
          <w:rFonts w:ascii="Times New Roman" w:hAnsi="Times New Roman" w:cs="Times New Roman"/>
          <w:sz w:val="24"/>
          <w:szCs w:val="24"/>
        </w:rPr>
        <w:t xml:space="preserve"> deși aceste venituri erau pasibile încasării la bugetul de stat de către DGACG. </w:t>
      </w:r>
    </w:p>
    <w:p w14:paraId="6745ED14" w14:textId="5932DF65" w:rsidR="003019F5" w:rsidRPr="003B329E" w:rsidRDefault="003019F5" w:rsidP="003019F5">
      <w:pPr>
        <w:pStyle w:val="a7"/>
        <w:numPr>
          <w:ilvl w:val="0"/>
          <w:numId w:val="12"/>
        </w:numPr>
        <w:tabs>
          <w:tab w:val="left" w:pos="426"/>
        </w:tabs>
        <w:spacing w:after="80" w:line="276" w:lineRule="auto"/>
        <w:ind w:left="0" w:firstLine="0"/>
        <w:contextualSpacing w:val="0"/>
        <w:jc w:val="both"/>
        <w:rPr>
          <w:rFonts w:ascii="Times New Roman" w:hAnsi="Times New Roman" w:cs="Times New Roman"/>
          <w:b/>
          <w:i/>
          <w:iCs/>
          <w:color w:val="2E74B5" w:themeColor="accent1" w:themeShade="BF"/>
        </w:rPr>
      </w:pPr>
      <w:r w:rsidRPr="003B329E">
        <w:rPr>
          <w:rFonts w:ascii="Times New Roman" w:hAnsi="Times New Roman" w:cs="Times New Roman"/>
          <w:bCs/>
          <w:sz w:val="24"/>
          <w:szCs w:val="24"/>
          <w:shd w:val="clear" w:color="auto" w:fill="FFFFFF"/>
        </w:rPr>
        <w:t xml:space="preserve">Nici încăperea din str. </w:t>
      </w:r>
      <w:r>
        <w:rPr>
          <w:rFonts w:ascii="Times New Roman" w:hAnsi="Times New Roman" w:cs="Times New Roman"/>
          <w:bCs/>
          <w:sz w:val="24"/>
          <w:szCs w:val="24"/>
          <w:shd w:val="clear" w:color="auto" w:fill="FFFFFF"/>
        </w:rPr>
        <w:t xml:space="preserve">A. </w:t>
      </w:r>
      <w:r w:rsidRPr="003B329E">
        <w:rPr>
          <w:rFonts w:ascii="Times New Roman" w:hAnsi="Times New Roman" w:cs="Times New Roman"/>
          <w:bCs/>
          <w:sz w:val="24"/>
          <w:szCs w:val="24"/>
          <w:shd w:val="clear" w:color="auto" w:fill="FFFFFF"/>
        </w:rPr>
        <w:t>Pușkin nr. 26 cu suprafața de 21,8 m.p</w:t>
      </w:r>
      <w:r>
        <w:rPr>
          <w:rFonts w:ascii="Times New Roman" w:hAnsi="Times New Roman" w:cs="Times New Roman"/>
          <w:bCs/>
          <w:sz w:val="24"/>
          <w:szCs w:val="24"/>
          <w:shd w:val="clear" w:color="auto" w:fill="FFFFFF"/>
        </w:rPr>
        <w:t>.,</w:t>
      </w:r>
      <w:r w:rsidRPr="003B329E">
        <w:rPr>
          <w:rFonts w:ascii="Times New Roman" w:hAnsi="Times New Roman" w:cs="Times New Roman"/>
          <w:bCs/>
          <w:sz w:val="24"/>
          <w:szCs w:val="24"/>
          <w:shd w:val="clear" w:color="auto" w:fill="FFFFFF"/>
        </w:rPr>
        <w:t xml:space="preserve"> în valoare de 147,7 mii lei</w:t>
      </w:r>
      <w:r>
        <w:rPr>
          <w:rFonts w:ascii="Times New Roman" w:hAnsi="Times New Roman" w:cs="Times New Roman"/>
          <w:bCs/>
          <w:sz w:val="24"/>
          <w:szCs w:val="24"/>
          <w:shd w:val="clear" w:color="auto" w:fill="FFFFFF"/>
        </w:rPr>
        <w:t>,</w:t>
      </w:r>
      <w:r w:rsidRPr="003B329E">
        <w:rPr>
          <w:rFonts w:ascii="Times New Roman" w:hAnsi="Times New Roman" w:cs="Times New Roman"/>
          <w:bCs/>
          <w:sz w:val="24"/>
          <w:szCs w:val="24"/>
          <w:shd w:val="clear" w:color="auto" w:fill="FFFFFF"/>
        </w:rPr>
        <w:t xml:space="preserve"> gestionar al căreia este DGACG nu a fost transmisă regulamentar în folosință Băncii de </w:t>
      </w:r>
      <w:r>
        <w:rPr>
          <w:rFonts w:ascii="Times New Roman" w:hAnsi="Times New Roman" w:cs="Times New Roman"/>
          <w:bCs/>
          <w:sz w:val="24"/>
          <w:szCs w:val="24"/>
          <w:shd w:val="clear" w:color="auto" w:fill="FFFFFF"/>
        </w:rPr>
        <w:t>F</w:t>
      </w:r>
      <w:r w:rsidRPr="003B329E">
        <w:rPr>
          <w:rFonts w:ascii="Times New Roman" w:hAnsi="Times New Roman" w:cs="Times New Roman"/>
          <w:bCs/>
          <w:sz w:val="24"/>
          <w:szCs w:val="24"/>
          <w:shd w:val="clear" w:color="auto" w:fill="FFFFFF"/>
        </w:rPr>
        <w:t xml:space="preserve">inanțe și </w:t>
      </w:r>
      <w:r>
        <w:rPr>
          <w:rFonts w:ascii="Times New Roman" w:hAnsi="Times New Roman" w:cs="Times New Roman"/>
          <w:bCs/>
          <w:sz w:val="24"/>
          <w:szCs w:val="24"/>
          <w:shd w:val="clear" w:color="auto" w:fill="FFFFFF"/>
        </w:rPr>
        <w:t>C</w:t>
      </w:r>
      <w:r w:rsidRPr="003B329E">
        <w:rPr>
          <w:rFonts w:ascii="Times New Roman" w:hAnsi="Times New Roman" w:cs="Times New Roman"/>
          <w:bCs/>
          <w:sz w:val="24"/>
          <w:szCs w:val="24"/>
          <w:shd w:val="clear" w:color="auto" w:fill="FFFFFF"/>
        </w:rPr>
        <w:t>omerț, deși instituția financiară utilizează spațiu</w:t>
      </w:r>
      <w:r>
        <w:rPr>
          <w:rFonts w:ascii="Times New Roman" w:hAnsi="Times New Roman" w:cs="Times New Roman"/>
          <w:bCs/>
          <w:sz w:val="24"/>
          <w:szCs w:val="24"/>
          <w:shd w:val="clear" w:color="auto" w:fill="FFFFFF"/>
        </w:rPr>
        <w:t>l</w:t>
      </w:r>
      <w:r w:rsidRPr="003B329E">
        <w:rPr>
          <w:rFonts w:ascii="Times New Roman" w:hAnsi="Times New Roman" w:cs="Times New Roman"/>
          <w:bCs/>
          <w:sz w:val="24"/>
          <w:szCs w:val="24"/>
          <w:shd w:val="clear" w:color="auto" w:fill="FFFFFF"/>
        </w:rPr>
        <w:t xml:space="preserve"> timp de 17 ani. Lu</w:t>
      </w:r>
      <w:r>
        <w:rPr>
          <w:rFonts w:ascii="Times New Roman" w:hAnsi="Times New Roman" w:cs="Times New Roman"/>
          <w:bCs/>
          <w:sz w:val="24"/>
          <w:szCs w:val="24"/>
          <w:shd w:val="clear" w:color="auto" w:fill="FFFFFF"/>
        </w:rPr>
        <w:t>â</w:t>
      </w:r>
      <w:r w:rsidRPr="003B329E">
        <w:rPr>
          <w:rFonts w:ascii="Times New Roman" w:hAnsi="Times New Roman" w:cs="Times New Roman"/>
          <w:bCs/>
          <w:sz w:val="24"/>
          <w:szCs w:val="24"/>
          <w:shd w:val="clear" w:color="auto" w:fill="FFFFFF"/>
        </w:rPr>
        <w:t>nd în calcul</w:t>
      </w:r>
      <w:r w:rsidR="00BA69A9">
        <w:rPr>
          <w:rFonts w:ascii="Times New Roman" w:hAnsi="Times New Roman" w:cs="Times New Roman"/>
          <w:bCs/>
          <w:sz w:val="24"/>
          <w:szCs w:val="24"/>
          <w:shd w:val="clear" w:color="auto" w:fill="FFFFFF"/>
        </w:rPr>
        <w:t xml:space="preserve"> </w:t>
      </w:r>
      <w:r w:rsidRPr="003B329E">
        <w:rPr>
          <w:rFonts w:ascii="Times New Roman" w:hAnsi="Times New Roman" w:cs="Times New Roman"/>
          <w:bCs/>
          <w:sz w:val="24"/>
          <w:szCs w:val="24"/>
          <w:shd w:val="clear" w:color="auto" w:fill="FFFFFF"/>
        </w:rPr>
        <w:t>costul 1 m.</w:t>
      </w:r>
      <w:r w:rsidR="00DD43BD">
        <w:rPr>
          <w:rFonts w:ascii="Times New Roman" w:hAnsi="Times New Roman" w:cs="Times New Roman"/>
          <w:bCs/>
          <w:sz w:val="24"/>
          <w:szCs w:val="24"/>
          <w:shd w:val="clear" w:color="auto" w:fill="FFFFFF"/>
        </w:rPr>
        <w:t>p. din darea în arendă a imobile</w:t>
      </w:r>
      <w:r w:rsidRPr="003B329E">
        <w:rPr>
          <w:rFonts w:ascii="Times New Roman" w:hAnsi="Times New Roman" w:cs="Times New Roman"/>
          <w:bCs/>
          <w:sz w:val="24"/>
          <w:szCs w:val="24"/>
          <w:shd w:val="clear" w:color="auto" w:fill="FFFFFF"/>
        </w:rPr>
        <w:t xml:space="preserve">lor amplasate similar, urma să fie calculat și încasat </w:t>
      </w:r>
      <w:r>
        <w:rPr>
          <w:rFonts w:ascii="Times New Roman" w:hAnsi="Times New Roman" w:cs="Times New Roman"/>
          <w:bCs/>
          <w:sz w:val="24"/>
          <w:szCs w:val="24"/>
          <w:shd w:val="clear" w:color="auto" w:fill="FFFFFF"/>
        </w:rPr>
        <w:t xml:space="preserve">un </w:t>
      </w:r>
      <w:r w:rsidRPr="003B329E">
        <w:rPr>
          <w:rFonts w:ascii="Times New Roman" w:hAnsi="Times New Roman" w:cs="Times New Roman"/>
          <w:bCs/>
          <w:sz w:val="24"/>
          <w:szCs w:val="24"/>
          <w:shd w:val="clear" w:color="auto" w:fill="FFFFFF"/>
        </w:rPr>
        <w:t xml:space="preserve">venit anual în sumă de circa 68,0 mii lei, iar pentru perioada auditată suma totală a veniturilor ratate se estimează la 340,0 mii lei. </w:t>
      </w:r>
    </w:p>
    <w:tbl>
      <w:tblPr>
        <w:tblStyle w:val="a6"/>
        <w:tblW w:w="0" w:type="auto"/>
        <w:tblLook w:val="04A0" w:firstRow="1" w:lastRow="0" w:firstColumn="1" w:lastColumn="0" w:noHBand="0" w:noVBand="1"/>
      </w:tblPr>
      <w:tblGrid>
        <w:gridCol w:w="9344"/>
      </w:tblGrid>
      <w:tr w:rsidR="003019F5" w:rsidRPr="003B329E" w14:paraId="55304D3A" w14:textId="77777777" w:rsidTr="008B54FE">
        <w:tc>
          <w:tcPr>
            <w:tcW w:w="9678" w:type="dxa"/>
          </w:tcPr>
          <w:p w14:paraId="00A50152" w14:textId="1B7239CE" w:rsidR="003019F5" w:rsidRPr="003B329E" w:rsidRDefault="003019F5" w:rsidP="007C3D72">
            <w:pPr>
              <w:pStyle w:val="a7"/>
              <w:tabs>
                <w:tab w:val="left" w:pos="426"/>
              </w:tabs>
              <w:spacing w:after="80" w:line="276" w:lineRule="auto"/>
              <w:ind w:left="0"/>
              <w:contextualSpacing w:val="0"/>
              <w:jc w:val="both"/>
              <w:rPr>
                <w:rFonts w:ascii="Times New Roman" w:hAnsi="Times New Roman" w:cs="Times New Roman"/>
                <w:iCs/>
                <w:sz w:val="24"/>
                <w:szCs w:val="24"/>
              </w:rPr>
            </w:pPr>
            <w:r w:rsidRPr="003B329E">
              <w:rPr>
                <w:rFonts w:ascii="Times New Roman" w:hAnsi="Times New Roman" w:cs="Times New Roman"/>
                <w:iCs/>
                <w:sz w:val="24"/>
                <w:szCs w:val="24"/>
              </w:rPr>
              <w:t>Se ia act că</w:t>
            </w:r>
            <w:r>
              <w:rPr>
                <w:rFonts w:ascii="Times New Roman" w:hAnsi="Times New Roman" w:cs="Times New Roman"/>
                <w:iCs/>
                <w:sz w:val="24"/>
                <w:szCs w:val="24"/>
              </w:rPr>
              <w:t>,</w:t>
            </w:r>
            <w:r w:rsidRPr="003B329E">
              <w:rPr>
                <w:rFonts w:ascii="Times New Roman" w:hAnsi="Times New Roman" w:cs="Times New Roman"/>
                <w:iCs/>
                <w:sz w:val="24"/>
                <w:szCs w:val="24"/>
              </w:rPr>
              <w:t xml:space="preserve"> </w:t>
            </w:r>
            <w:r w:rsidR="007C3D72">
              <w:rPr>
                <w:rFonts w:ascii="Times New Roman" w:hAnsi="Times New Roman" w:cs="Times New Roman"/>
                <w:iCs/>
                <w:sz w:val="24"/>
                <w:szCs w:val="24"/>
              </w:rPr>
              <w:t>pe parcursul desfășurării misiunii de audit</w:t>
            </w:r>
            <w:r>
              <w:rPr>
                <w:rFonts w:ascii="Times New Roman" w:hAnsi="Times New Roman" w:cs="Times New Roman"/>
                <w:iCs/>
                <w:sz w:val="24"/>
                <w:szCs w:val="24"/>
              </w:rPr>
              <w:t>,</w:t>
            </w:r>
            <w:r w:rsidRPr="003B329E">
              <w:rPr>
                <w:rFonts w:ascii="Times New Roman" w:hAnsi="Times New Roman" w:cs="Times New Roman"/>
                <w:iCs/>
                <w:sz w:val="24"/>
                <w:szCs w:val="24"/>
              </w:rPr>
              <w:t xml:space="preserve"> DGACG a încheiat contract cu agentul economic privind valorificarea suprafeței de 21,8 m.p. din str. </w:t>
            </w:r>
            <w:r>
              <w:rPr>
                <w:rFonts w:ascii="Times New Roman" w:hAnsi="Times New Roman" w:cs="Times New Roman"/>
                <w:iCs/>
                <w:sz w:val="24"/>
                <w:szCs w:val="24"/>
              </w:rPr>
              <w:t xml:space="preserve">A. </w:t>
            </w:r>
            <w:r w:rsidRPr="003B329E">
              <w:rPr>
                <w:rFonts w:ascii="Times New Roman" w:hAnsi="Times New Roman" w:cs="Times New Roman"/>
                <w:iCs/>
                <w:sz w:val="24"/>
                <w:szCs w:val="24"/>
              </w:rPr>
              <w:t>Pușkin nr.26.</w:t>
            </w:r>
          </w:p>
        </w:tc>
      </w:tr>
    </w:tbl>
    <w:p w14:paraId="390F8AE1" w14:textId="53E4056F" w:rsidR="003019F5" w:rsidRPr="003B329E" w:rsidRDefault="00DD43BD" w:rsidP="003019F5">
      <w:pPr>
        <w:pStyle w:val="a7"/>
        <w:numPr>
          <w:ilvl w:val="0"/>
          <w:numId w:val="12"/>
        </w:numPr>
        <w:tabs>
          <w:tab w:val="left" w:pos="426"/>
        </w:tabs>
        <w:spacing w:before="80" w:after="80" w:line="276" w:lineRule="auto"/>
        <w:ind w:left="0" w:firstLine="0"/>
        <w:contextualSpacing w:val="0"/>
        <w:jc w:val="both"/>
        <w:rPr>
          <w:rFonts w:ascii="Times New Roman" w:hAnsi="Times New Roman" w:cs="Times New Roman"/>
          <w:sz w:val="24"/>
          <w:szCs w:val="24"/>
        </w:rPr>
      </w:pPr>
      <w:r w:rsidRPr="003B329E">
        <w:rPr>
          <w:rFonts w:ascii="Times New Roman" w:hAnsi="Times New Roman" w:cs="Times New Roman"/>
          <w:bCs/>
          <w:sz w:val="24"/>
          <w:szCs w:val="24"/>
          <w:shd w:val="clear" w:color="auto" w:fill="FFFFFF"/>
        </w:rPr>
        <w:t xml:space="preserve">DGACG nu a asigurat plenitudinea încasării plăților cuvenite la buget din prestarea serviciilor comunale, și anume unui agent economic fiindu-i diminuată plata pentru serviciile respective </w:t>
      </w:r>
      <w:r>
        <w:rPr>
          <w:rFonts w:ascii="Times New Roman" w:hAnsi="Times New Roman" w:cs="Times New Roman"/>
          <w:bCs/>
          <w:sz w:val="24"/>
          <w:szCs w:val="24"/>
          <w:shd w:val="clear" w:color="auto" w:fill="FFFFFF"/>
        </w:rPr>
        <w:t xml:space="preserve">ca </w:t>
      </w:r>
      <w:r w:rsidRPr="003B329E">
        <w:rPr>
          <w:rFonts w:ascii="Times New Roman" w:hAnsi="Times New Roman" w:cs="Times New Roman"/>
          <w:bCs/>
          <w:sz w:val="24"/>
          <w:szCs w:val="24"/>
          <w:shd w:val="clear" w:color="auto" w:fill="FFFFFF"/>
        </w:rPr>
        <w:t xml:space="preserve">urmare </w:t>
      </w:r>
      <w:r>
        <w:rPr>
          <w:rFonts w:ascii="Times New Roman" w:hAnsi="Times New Roman" w:cs="Times New Roman"/>
          <w:bCs/>
          <w:sz w:val="24"/>
          <w:szCs w:val="24"/>
          <w:shd w:val="clear" w:color="auto" w:fill="FFFFFF"/>
        </w:rPr>
        <w:t xml:space="preserve">a </w:t>
      </w:r>
      <w:r w:rsidRPr="003B329E">
        <w:rPr>
          <w:rFonts w:ascii="Times New Roman" w:hAnsi="Times New Roman" w:cs="Times New Roman"/>
          <w:bCs/>
          <w:sz w:val="24"/>
          <w:szCs w:val="24"/>
          <w:shd w:val="clear" w:color="auto" w:fill="FFFFFF"/>
        </w:rPr>
        <w:t>calculării acestora de la o suprafață mai mică decât spațiu</w:t>
      </w:r>
      <w:r>
        <w:rPr>
          <w:rFonts w:ascii="Times New Roman" w:hAnsi="Times New Roman" w:cs="Times New Roman"/>
          <w:bCs/>
          <w:sz w:val="24"/>
          <w:szCs w:val="24"/>
          <w:shd w:val="clear" w:color="auto" w:fill="FFFFFF"/>
        </w:rPr>
        <w:t>l</w:t>
      </w:r>
      <w:r w:rsidRPr="003B329E">
        <w:rPr>
          <w:rFonts w:ascii="Times New Roman" w:hAnsi="Times New Roman" w:cs="Times New Roman"/>
          <w:bCs/>
          <w:sz w:val="24"/>
          <w:szCs w:val="24"/>
          <w:shd w:val="clear" w:color="auto" w:fill="FFFFFF"/>
        </w:rPr>
        <w:t xml:space="preserve"> privatizat și utilizat de către persoana juridică. </w:t>
      </w:r>
      <w:r w:rsidRPr="003B329E">
        <w:rPr>
          <w:rFonts w:ascii="Times New Roman" w:hAnsi="Times New Roman" w:cs="Times New Roman"/>
          <w:bCs/>
          <w:color w:val="000000"/>
          <w:sz w:val="24"/>
          <w:szCs w:val="24"/>
          <w:shd w:val="clear" w:color="auto" w:fill="FFFFFF"/>
        </w:rPr>
        <w:t>Astfel, potrivit contractul</w:t>
      </w:r>
      <w:r>
        <w:rPr>
          <w:rFonts w:ascii="Times New Roman" w:hAnsi="Times New Roman" w:cs="Times New Roman"/>
          <w:bCs/>
          <w:color w:val="000000"/>
          <w:sz w:val="24"/>
          <w:szCs w:val="24"/>
          <w:shd w:val="clear" w:color="auto" w:fill="FFFFFF"/>
        </w:rPr>
        <w:t>ui</w:t>
      </w:r>
      <w:r w:rsidRPr="003B329E">
        <w:rPr>
          <w:rFonts w:ascii="Times New Roman" w:hAnsi="Times New Roman" w:cs="Times New Roman"/>
          <w:bCs/>
          <w:color w:val="000000"/>
          <w:sz w:val="24"/>
          <w:szCs w:val="24"/>
          <w:shd w:val="clear" w:color="auto" w:fill="FFFFFF"/>
        </w:rPr>
        <w:t xml:space="preserve"> pentru consumul energiei termice și pentru deservirea rețelelor (în clădirea </w:t>
      </w:r>
      <w:r>
        <w:rPr>
          <w:rFonts w:ascii="Times New Roman" w:hAnsi="Times New Roman" w:cs="Times New Roman"/>
          <w:bCs/>
          <w:color w:val="000000"/>
          <w:sz w:val="24"/>
          <w:szCs w:val="24"/>
          <w:shd w:val="clear" w:color="auto" w:fill="FFFFFF"/>
        </w:rPr>
        <w:t xml:space="preserve">din bd. </w:t>
      </w:r>
      <w:r w:rsidRPr="003B329E">
        <w:rPr>
          <w:rFonts w:ascii="Times New Roman" w:hAnsi="Times New Roman" w:cs="Times New Roman"/>
          <w:bCs/>
          <w:color w:val="000000"/>
          <w:sz w:val="24"/>
          <w:szCs w:val="24"/>
          <w:shd w:val="clear" w:color="auto" w:fill="FFFFFF"/>
        </w:rPr>
        <w:t>Ștefan cel Mare</w:t>
      </w:r>
      <w:r>
        <w:rPr>
          <w:rFonts w:ascii="Times New Roman" w:hAnsi="Times New Roman" w:cs="Times New Roman"/>
          <w:bCs/>
          <w:color w:val="000000"/>
          <w:sz w:val="24"/>
          <w:szCs w:val="24"/>
          <w:shd w:val="clear" w:color="auto" w:fill="FFFFFF"/>
        </w:rPr>
        <w:t xml:space="preserve"> și Sfânt nr.</w:t>
      </w:r>
      <w:r w:rsidRPr="003B329E">
        <w:rPr>
          <w:rFonts w:ascii="Times New Roman" w:hAnsi="Times New Roman" w:cs="Times New Roman"/>
          <w:bCs/>
          <w:color w:val="000000"/>
          <w:sz w:val="24"/>
          <w:szCs w:val="24"/>
          <w:shd w:val="clear" w:color="auto" w:fill="FFFFFF"/>
        </w:rPr>
        <w:t xml:space="preserve"> 124)</w:t>
      </w:r>
      <w:r>
        <w:rPr>
          <w:rFonts w:ascii="Times New Roman" w:hAnsi="Times New Roman" w:cs="Times New Roman"/>
          <w:bCs/>
          <w:color w:val="000000"/>
          <w:sz w:val="24"/>
          <w:szCs w:val="24"/>
          <w:shd w:val="clear" w:color="auto" w:fill="FFFFFF"/>
        </w:rPr>
        <w:t>,</w:t>
      </w:r>
      <w:r w:rsidRPr="003B329E">
        <w:rPr>
          <w:rFonts w:ascii="Times New Roman" w:hAnsi="Times New Roman" w:cs="Times New Roman"/>
          <w:bCs/>
          <w:color w:val="000000"/>
          <w:sz w:val="24"/>
          <w:szCs w:val="24"/>
          <w:shd w:val="clear" w:color="auto" w:fill="FFFFFF"/>
        </w:rPr>
        <w:t xml:space="preserve"> s-a indicat suprafața de 18,5 m.p</w:t>
      </w:r>
      <w:r>
        <w:rPr>
          <w:rFonts w:ascii="Times New Roman" w:hAnsi="Times New Roman" w:cs="Times New Roman"/>
          <w:bCs/>
          <w:color w:val="000000"/>
          <w:sz w:val="24"/>
          <w:szCs w:val="24"/>
          <w:shd w:val="clear" w:color="auto" w:fill="FFFFFF"/>
        </w:rPr>
        <w:t>.</w:t>
      </w:r>
      <w:r w:rsidRPr="003B329E">
        <w:rPr>
          <w:rFonts w:ascii="Times New Roman" w:hAnsi="Times New Roman" w:cs="Times New Roman"/>
          <w:bCs/>
          <w:color w:val="000000"/>
          <w:sz w:val="24"/>
          <w:szCs w:val="24"/>
          <w:shd w:val="clear" w:color="auto" w:fill="FFFFFF"/>
        </w:rPr>
        <w:t>, în fapt spațiu</w:t>
      </w:r>
      <w:r>
        <w:rPr>
          <w:rFonts w:ascii="Times New Roman" w:hAnsi="Times New Roman" w:cs="Times New Roman"/>
          <w:bCs/>
          <w:color w:val="000000"/>
          <w:sz w:val="24"/>
          <w:szCs w:val="24"/>
          <w:shd w:val="clear" w:color="auto" w:fill="FFFFFF"/>
        </w:rPr>
        <w:t>l</w:t>
      </w:r>
      <w:r w:rsidRPr="003B329E">
        <w:rPr>
          <w:rFonts w:ascii="Times New Roman" w:hAnsi="Times New Roman" w:cs="Times New Roman"/>
          <w:bCs/>
          <w:color w:val="000000"/>
          <w:sz w:val="24"/>
          <w:szCs w:val="24"/>
          <w:shd w:val="clear" w:color="auto" w:fill="FFFFFF"/>
        </w:rPr>
        <w:t xml:space="preserve"> privatizat conform datelor cadastrale constituie 94,7 m.p. Drept rezultat</w:t>
      </w:r>
      <w:r>
        <w:rPr>
          <w:rFonts w:ascii="Times New Roman" w:hAnsi="Times New Roman" w:cs="Times New Roman"/>
          <w:bCs/>
          <w:color w:val="000000"/>
          <w:sz w:val="24"/>
          <w:szCs w:val="24"/>
          <w:shd w:val="clear" w:color="auto" w:fill="FFFFFF"/>
        </w:rPr>
        <w:t>,</w:t>
      </w:r>
      <w:r w:rsidRPr="003B329E">
        <w:rPr>
          <w:rFonts w:ascii="Times New Roman" w:hAnsi="Times New Roman" w:cs="Times New Roman"/>
          <w:bCs/>
          <w:color w:val="000000"/>
          <w:sz w:val="24"/>
          <w:szCs w:val="24"/>
          <w:shd w:val="clear" w:color="auto" w:fill="FFFFFF"/>
        </w:rPr>
        <w:t xml:space="preserve"> în anul 2022 nu s-a calculat și încasat integral valoarea serviciilor comunale, aceasta fiind diminuată </w:t>
      </w:r>
      <w:r>
        <w:rPr>
          <w:rFonts w:ascii="Times New Roman" w:hAnsi="Times New Roman" w:cs="Times New Roman"/>
          <w:bCs/>
          <w:color w:val="000000"/>
          <w:sz w:val="24"/>
          <w:szCs w:val="24"/>
          <w:shd w:val="clear" w:color="auto" w:fill="FFFFFF"/>
        </w:rPr>
        <w:t>cu</w:t>
      </w:r>
      <w:r w:rsidRPr="003B329E">
        <w:rPr>
          <w:rFonts w:ascii="Times New Roman" w:hAnsi="Times New Roman" w:cs="Times New Roman"/>
          <w:bCs/>
          <w:color w:val="000000"/>
          <w:sz w:val="24"/>
          <w:szCs w:val="24"/>
          <w:shd w:val="clear" w:color="auto" w:fill="FFFFFF"/>
        </w:rPr>
        <w:t xml:space="preserve"> 21,2 mii lei, prin ce </w:t>
      </w:r>
      <w:r w:rsidR="00FA6463">
        <w:rPr>
          <w:rFonts w:ascii="Times New Roman" w:hAnsi="Times New Roman" w:cs="Times New Roman"/>
          <w:bCs/>
          <w:color w:val="000000"/>
          <w:sz w:val="24"/>
          <w:szCs w:val="24"/>
          <w:shd w:val="clear" w:color="auto" w:fill="FFFFFF"/>
        </w:rPr>
        <w:t>aunfost</w:t>
      </w:r>
      <w:r w:rsidRPr="003B329E">
        <w:rPr>
          <w:rFonts w:ascii="Times New Roman" w:hAnsi="Times New Roman" w:cs="Times New Roman"/>
          <w:bCs/>
          <w:color w:val="000000"/>
          <w:sz w:val="24"/>
          <w:szCs w:val="24"/>
          <w:shd w:val="clear" w:color="auto" w:fill="FFFFFF"/>
        </w:rPr>
        <w:t xml:space="preserve"> ratat</w:t>
      </w:r>
      <w:r>
        <w:rPr>
          <w:rFonts w:ascii="Times New Roman" w:hAnsi="Times New Roman" w:cs="Times New Roman"/>
          <w:bCs/>
          <w:color w:val="000000"/>
          <w:sz w:val="24"/>
          <w:szCs w:val="24"/>
          <w:shd w:val="clear" w:color="auto" w:fill="FFFFFF"/>
        </w:rPr>
        <w:t>e</w:t>
      </w:r>
      <w:r w:rsidRPr="003B329E">
        <w:rPr>
          <w:rFonts w:ascii="Times New Roman" w:hAnsi="Times New Roman" w:cs="Times New Roman"/>
          <w:bCs/>
          <w:color w:val="000000"/>
          <w:sz w:val="24"/>
          <w:szCs w:val="24"/>
          <w:shd w:val="clear" w:color="auto" w:fill="FFFFFF"/>
        </w:rPr>
        <w:t xml:space="preserve"> venituri în suma respectivă.</w:t>
      </w:r>
    </w:p>
    <w:p w14:paraId="244FB2C1" w14:textId="66C7DED5" w:rsidR="003019F5" w:rsidRPr="003B329E" w:rsidRDefault="003019F5" w:rsidP="003019F5">
      <w:pPr>
        <w:pStyle w:val="a7"/>
        <w:numPr>
          <w:ilvl w:val="0"/>
          <w:numId w:val="12"/>
        </w:numPr>
        <w:tabs>
          <w:tab w:val="left" w:pos="426"/>
        </w:tabs>
        <w:spacing w:line="276" w:lineRule="auto"/>
        <w:ind w:left="0" w:firstLine="0"/>
        <w:contextualSpacing w:val="0"/>
        <w:jc w:val="both"/>
        <w:rPr>
          <w:rFonts w:ascii="Times New Roman" w:eastAsia="Times New Roman" w:hAnsi="Times New Roman" w:cs="Times New Roman"/>
          <w:sz w:val="24"/>
          <w:szCs w:val="24"/>
        </w:rPr>
      </w:pPr>
      <w:r w:rsidRPr="003B329E">
        <w:rPr>
          <w:rFonts w:ascii="Times New Roman" w:hAnsi="Times New Roman" w:cs="Times New Roman"/>
          <w:color w:val="333333"/>
          <w:sz w:val="24"/>
          <w:szCs w:val="24"/>
        </w:rPr>
        <w:t xml:space="preserve">Un alt aspect problematic ce ține de plenitudinea calculării și încasării plăților pentru serviciile comunale se referă la aplicarea diferențiată și neuniformă de către DGACG a </w:t>
      </w:r>
      <w:r w:rsidRPr="003B329E">
        <w:rPr>
          <w:rFonts w:ascii="Times New Roman" w:eastAsia="Times New Roman" w:hAnsi="Times New Roman" w:cs="Times New Roman"/>
          <w:sz w:val="24"/>
          <w:szCs w:val="24"/>
        </w:rPr>
        <w:t>tarifelor pentru serviciile comunale a</w:t>
      </w:r>
      <w:r>
        <w:rPr>
          <w:rFonts w:ascii="Times New Roman" w:eastAsia="Times New Roman" w:hAnsi="Times New Roman" w:cs="Times New Roman"/>
          <w:sz w:val="24"/>
          <w:szCs w:val="24"/>
        </w:rPr>
        <w:t>le</w:t>
      </w:r>
      <w:r w:rsidRPr="003B329E">
        <w:rPr>
          <w:rFonts w:ascii="Times New Roman" w:eastAsia="Times New Roman" w:hAnsi="Times New Roman" w:cs="Times New Roman"/>
          <w:sz w:val="24"/>
          <w:szCs w:val="24"/>
        </w:rPr>
        <w:t xml:space="preserve"> locatarilor și comodatarilor care dețin spații privatizate în clădirile gestionate de instituție</w:t>
      </w:r>
      <w:r>
        <w:rPr>
          <w:rFonts w:ascii="Times New Roman" w:eastAsia="Times New Roman" w:hAnsi="Times New Roman" w:cs="Times New Roman"/>
          <w:sz w:val="24"/>
          <w:szCs w:val="24"/>
        </w:rPr>
        <w:t>,</w:t>
      </w:r>
      <w:r w:rsidRPr="003B329E">
        <w:rPr>
          <w:rFonts w:ascii="Times New Roman" w:eastAsia="Times New Roman" w:hAnsi="Times New Roman" w:cs="Times New Roman"/>
          <w:sz w:val="24"/>
          <w:szCs w:val="24"/>
        </w:rPr>
        <w:t xml:space="preserve"> precum și debranșați de la sistemul de încălzire centralizată. Astfel, în lipsa unei justificări</w:t>
      </w:r>
      <w:r w:rsidR="00EA2001">
        <w:rPr>
          <w:rFonts w:ascii="Times New Roman" w:eastAsia="Times New Roman" w:hAnsi="Times New Roman" w:cs="Times New Roman"/>
          <w:sz w:val="24"/>
          <w:szCs w:val="24"/>
        </w:rPr>
        <w:t>,</w:t>
      </w:r>
      <w:r w:rsidRPr="003B329E">
        <w:rPr>
          <w:rFonts w:ascii="Times New Roman" w:eastAsia="Times New Roman" w:hAnsi="Times New Roman" w:cs="Times New Roman"/>
          <w:sz w:val="24"/>
          <w:szCs w:val="24"/>
        </w:rPr>
        <w:t xml:space="preserve"> de la unii</w:t>
      </w:r>
      <w:r w:rsidRPr="003B329E">
        <w:rPr>
          <w:rStyle w:val="a5"/>
          <w:rFonts w:ascii="Times New Roman" w:eastAsia="Times New Roman" w:hAnsi="Times New Roman" w:cs="Times New Roman"/>
          <w:sz w:val="24"/>
          <w:szCs w:val="24"/>
        </w:rPr>
        <w:footnoteReference w:id="184"/>
      </w:r>
      <w:r w:rsidRPr="003B329E">
        <w:rPr>
          <w:rFonts w:ascii="Times New Roman" w:eastAsia="Times New Roman" w:hAnsi="Times New Roman" w:cs="Times New Roman"/>
          <w:sz w:val="24"/>
          <w:szCs w:val="24"/>
        </w:rPr>
        <w:t xml:space="preserve"> locatari și agenți privatizați debranșați de la sistemul de încălzire centralizată se încasează o taxă de 10%</w:t>
      </w:r>
      <w:r>
        <w:rPr>
          <w:rFonts w:ascii="Times New Roman" w:eastAsia="Times New Roman" w:hAnsi="Times New Roman" w:cs="Times New Roman"/>
          <w:sz w:val="24"/>
          <w:szCs w:val="24"/>
        </w:rPr>
        <w:t>,</w:t>
      </w:r>
      <w:r w:rsidRPr="003B329E">
        <w:rPr>
          <w:rFonts w:ascii="Times New Roman" w:eastAsia="Times New Roman" w:hAnsi="Times New Roman" w:cs="Times New Roman"/>
          <w:sz w:val="24"/>
          <w:szCs w:val="24"/>
        </w:rPr>
        <w:t xml:space="preserve"> iar la alții </w:t>
      </w:r>
      <w:r>
        <w:rPr>
          <w:rFonts w:ascii="Times New Roman" w:eastAsia="Times New Roman" w:hAnsi="Times New Roman" w:cs="Times New Roman"/>
          <w:sz w:val="24"/>
          <w:szCs w:val="24"/>
        </w:rPr>
        <w:t xml:space="preserve">de </w:t>
      </w:r>
      <w:r w:rsidRPr="003B329E">
        <w:rPr>
          <w:rFonts w:ascii="Times New Roman" w:eastAsia="Times New Roman" w:hAnsi="Times New Roman" w:cs="Times New Roman"/>
          <w:sz w:val="24"/>
          <w:szCs w:val="24"/>
        </w:rPr>
        <w:t xml:space="preserve">20% din volumul consumat. Deși din luna noiembrie 2022 prin </w:t>
      </w:r>
      <w:r w:rsidRPr="003B329E">
        <w:rPr>
          <w:rFonts w:ascii="Times New Roman" w:hAnsi="Times New Roman" w:cs="Times New Roman"/>
          <w:sz w:val="24"/>
          <w:szCs w:val="24"/>
        </w:rPr>
        <w:t>Ordinul M</w:t>
      </w:r>
      <w:r w:rsidRPr="003905ED">
        <w:rPr>
          <w:rFonts w:ascii="Times New Roman" w:hAnsi="Times New Roman" w:cs="Times New Roman"/>
          <w:sz w:val="24"/>
          <w:szCs w:val="24"/>
        </w:rPr>
        <w:t xml:space="preserve">IDR nr. 184 din 31 octombrie 2022 s-a elaborat o nouă metodologie care prevede aplicarea cotei de </w:t>
      </w:r>
      <w:r w:rsidR="003905ED" w:rsidRPr="003905ED">
        <w:rPr>
          <w:rFonts w:ascii="Times New Roman" w:hAnsi="Times New Roman" w:cs="Times New Roman"/>
          <w:sz w:val="24"/>
          <w:szCs w:val="24"/>
        </w:rPr>
        <w:t>peste 30%</w:t>
      </w:r>
      <w:r w:rsidRPr="003905ED">
        <w:rPr>
          <w:rFonts w:ascii="Times New Roman" w:hAnsi="Times New Roman" w:cs="Times New Roman"/>
          <w:sz w:val="24"/>
          <w:szCs w:val="24"/>
        </w:rPr>
        <w:t>, DGACG</w:t>
      </w:r>
      <w:r w:rsidRPr="003B329E">
        <w:rPr>
          <w:rFonts w:ascii="Times New Roman" w:hAnsi="Times New Roman" w:cs="Times New Roman"/>
          <w:sz w:val="24"/>
          <w:szCs w:val="24"/>
        </w:rPr>
        <w:t xml:space="preserve"> nu </w:t>
      </w:r>
      <w:r>
        <w:rPr>
          <w:rFonts w:ascii="Times New Roman" w:hAnsi="Times New Roman" w:cs="Times New Roman"/>
          <w:sz w:val="24"/>
          <w:szCs w:val="24"/>
        </w:rPr>
        <w:t xml:space="preserve">a </w:t>
      </w:r>
      <w:r w:rsidRPr="003B329E">
        <w:rPr>
          <w:rFonts w:ascii="Times New Roman" w:hAnsi="Times New Roman" w:cs="Times New Roman"/>
          <w:sz w:val="24"/>
          <w:szCs w:val="24"/>
        </w:rPr>
        <w:t xml:space="preserve">ajustat prevederile contractuale, fiind </w:t>
      </w:r>
      <w:r>
        <w:rPr>
          <w:rFonts w:ascii="Times New Roman" w:hAnsi="Times New Roman" w:cs="Times New Roman"/>
          <w:sz w:val="24"/>
          <w:szCs w:val="24"/>
        </w:rPr>
        <w:t>aplicată</w:t>
      </w:r>
      <w:r w:rsidRPr="003B329E">
        <w:rPr>
          <w:rFonts w:ascii="Times New Roman" w:hAnsi="Times New Roman" w:cs="Times New Roman"/>
          <w:sz w:val="24"/>
          <w:szCs w:val="24"/>
        </w:rPr>
        <w:t xml:space="preserve"> în continuare cota de 10% pentru aportul de căldură indirect pentru spațiile debranșate, ceea ce condiționează incorectitudini și neîncasarea tuturor plăților cuvenite din această sursă.</w:t>
      </w:r>
    </w:p>
    <w:p w14:paraId="208967DD" w14:textId="6A722009" w:rsidR="003019F5" w:rsidRPr="003B329E" w:rsidRDefault="003019F5" w:rsidP="003019F5">
      <w:pPr>
        <w:pStyle w:val="a7"/>
        <w:numPr>
          <w:ilvl w:val="0"/>
          <w:numId w:val="20"/>
        </w:numPr>
        <w:spacing w:line="276" w:lineRule="auto"/>
        <w:ind w:left="284" w:hanging="284"/>
        <w:jc w:val="both"/>
        <w:rPr>
          <w:rFonts w:ascii="Times New Roman" w:hAnsi="Times New Roman" w:cs="Times New Roman"/>
          <w:i/>
          <w:color w:val="2F5496" w:themeColor="accent5" w:themeShade="BF"/>
          <w:sz w:val="24"/>
          <w:szCs w:val="24"/>
        </w:rPr>
      </w:pPr>
      <w:r w:rsidRPr="003B329E">
        <w:rPr>
          <w:rFonts w:ascii="Times New Roman" w:hAnsi="Times New Roman" w:cs="Times New Roman"/>
          <w:i/>
          <w:color w:val="2F5496" w:themeColor="accent5" w:themeShade="BF"/>
          <w:sz w:val="24"/>
          <w:szCs w:val="24"/>
        </w:rPr>
        <w:t>Neconformități atestate la alte I</w:t>
      </w:r>
      <w:r w:rsidR="00EA2001">
        <w:rPr>
          <w:rFonts w:ascii="Times New Roman" w:hAnsi="Times New Roman" w:cs="Times New Roman"/>
          <w:i/>
          <w:color w:val="2F5496" w:themeColor="accent5" w:themeShade="BF"/>
          <w:sz w:val="24"/>
          <w:szCs w:val="24"/>
        </w:rPr>
        <w:t>.</w:t>
      </w:r>
      <w:r w:rsidRPr="003B329E">
        <w:rPr>
          <w:rFonts w:ascii="Times New Roman" w:hAnsi="Times New Roman" w:cs="Times New Roman"/>
          <w:i/>
          <w:color w:val="2F5496" w:themeColor="accent5" w:themeShade="BF"/>
          <w:sz w:val="24"/>
          <w:szCs w:val="24"/>
        </w:rPr>
        <w:t>P</w:t>
      </w:r>
      <w:r w:rsidR="00EA2001">
        <w:rPr>
          <w:rFonts w:ascii="Times New Roman" w:hAnsi="Times New Roman" w:cs="Times New Roman"/>
          <w:i/>
          <w:color w:val="2F5496" w:themeColor="accent5" w:themeShade="BF"/>
          <w:sz w:val="24"/>
          <w:szCs w:val="24"/>
        </w:rPr>
        <w:t>.</w:t>
      </w:r>
      <w:r w:rsidRPr="003B329E">
        <w:rPr>
          <w:rFonts w:ascii="Times New Roman" w:hAnsi="Times New Roman" w:cs="Times New Roman"/>
          <w:i/>
          <w:color w:val="2F5496" w:themeColor="accent5" w:themeShade="BF"/>
          <w:sz w:val="24"/>
          <w:szCs w:val="24"/>
        </w:rPr>
        <w:t xml:space="preserve"> monitorizate de CS</w:t>
      </w:r>
    </w:p>
    <w:p w14:paraId="23FDC794" w14:textId="77777777" w:rsidR="00EA2001" w:rsidRPr="003B329E" w:rsidRDefault="00EA2001" w:rsidP="00EA2001">
      <w:pPr>
        <w:pStyle w:val="a7"/>
        <w:numPr>
          <w:ilvl w:val="0"/>
          <w:numId w:val="12"/>
        </w:numPr>
        <w:tabs>
          <w:tab w:val="left" w:pos="426"/>
        </w:tabs>
        <w:spacing w:after="120" w:line="276" w:lineRule="auto"/>
        <w:ind w:left="0" w:firstLine="0"/>
        <w:jc w:val="both"/>
        <w:rPr>
          <w:rFonts w:ascii="Times New Roman" w:hAnsi="Times New Roman" w:cs="Times New Roman"/>
          <w:sz w:val="24"/>
          <w:szCs w:val="24"/>
        </w:rPr>
      </w:pPr>
      <w:r w:rsidRPr="003B329E">
        <w:rPr>
          <w:rFonts w:ascii="Times New Roman" w:hAnsi="Times New Roman" w:cs="Times New Roman"/>
          <w:sz w:val="24"/>
          <w:szCs w:val="24"/>
        </w:rPr>
        <w:t>Potrivit datelor evidenței contabile, la situația din 31.12.22, I.P. „Palatul Republicii” gestionează o clădire cu suprafața totală de circa 15,46 mii m</w:t>
      </w:r>
      <w:r>
        <w:rPr>
          <w:rFonts w:ascii="Times New Roman" w:hAnsi="Times New Roman" w:cs="Times New Roman"/>
          <w:sz w:val="24"/>
          <w:szCs w:val="24"/>
        </w:rPr>
        <w:t>.p., a cărei</w:t>
      </w:r>
      <w:r w:rsidRPr="003B329E">
        <w:rPr>
          <w:rFonts w:ascii="Times New Roman" w:hAnsi="Times New Roman" w:cs="Times New Roman"/>
          <w:sz w:val="24"/>
          <w:szCs w:val="24"/>
        </w:rPr>
        <w:t xml:space="preserve"> valoare de bilanț constituie circa 126,22 mil.lei. Din suprafața totală a clădirii, circa 13,38 mii m</w:t>
      </w:r>
      <w:r>
        <w:rPr>
          <w:rFonts w:ascii="Times New Roman" w:hAnsi="Times New Roman" w:cs="Times New Roman"/>
          <w:sz w:val="24"/>
          <w:szCs w:val="24"/>
        </w:rPr>
        <w:t>.p.</w:t>
      </w:r>
      <w:r w:rsidRPr="003B329E">
        <w:rPr>
          <w:rFonts w:ascii="Times New Roman" w:hAnsi="Times New Roman" w:cs="Times New Roman"/>
          <w:sz w:val="24"/>
          <w:szCs w:val="24"/>
        </w:rPr>
        <w:t xml:space="preserve"> sunt utilizați de către I.P. „Palatul Republicii”, iar restul suprafeței de circa 2,07 mii m</w:t>
      </w:r>
      <w:r>
        <w:rPr>
          <w:rFonts w:ascii="Times New Roman" w:hAnsi="Times New Roman" w:cs="Times New Roman"/>
          <w:sz w:val="24"/>
          <w:szCs w:val="24"/>
        </w:rPr>
        <w:t>.p.</w:t>
      </w:r>
      <w:r w:rsidRPr="003B329E">
        <w:rPr>
          <w:rFonts w:ascii="Times New Roman" w:hAnsi="Times New Roman" w:cs="Times New Roman"/>
          <w:sz w:val="24"/>
          <w:szCs w:val="24"/>
        </w:rPr>
        <w:t xml:space="preserve"> sunt încăperi care sunt transmise în folosință și posesiune temporară, cu plată, altor instituții, sub formă de oficii sau depozite. Verificările de audit, prin contrapunerea documentelor primare aferente serviciilor de locațiune respective, precum și urmare </w:t>
      </w:r>
      <w:r>
        <w:rPr>
          <w:rFonts w:ascii="Times New Roman" w:hAnsi="Times New Roman" w:cs="Times New Roman"/>
          <w:sz w:val="24"/>
          <w:szCs w:val="24"/>
        </w:rPr>
        <w:t xml:space="preserve">a </w:t>
      </w:r>
      <w:r w:rsidRPr="003B329E">
        <w:rPr>
          <w:rFonts w:ascii="Times New Roman" w:hAnsi="Times New Roman" w:cs="Times New Roman"/>
          <w:sz w:val="24"/>
          <w:szCs w:val="24"/>
        </w:rPr>
        <w:t xml:space="preserve">verificărilor la fața locului, au relevat divergențe la spațiul de facto transmis în folosință și posesiune temporară în cazul a doi agenți economici (S.A. „Bursa de Valori a Moldovei” și S.A. „Depozitarul Național de Valori Mobiliare al Moldovei”) din cei 13 contractați. </w:t>
      </w:r>
    </w:p>
    <w:p w14:paraId="59DE37DB" w14:textId="3F3EFBF2" w:rsidR="00EA2001" w:rsidRPr="003B329E" w:rsidRDefault="00EA2001" w:rsidP="00EA2001">
      <w:pPr>
        <w:spacing w:after="120" w:line="276" w:lineRule="auto"/>
        <w:jc w:val="both"/>
        <w:rPr>
          <w:rFonts w:ascii="Times New Roman" w:hAnsi="Times New Roman" w:cs="Times New Roman"/>
          <w:sz w:val="24"/>
          <w:szCs w:val="24"/>
        </w:rPr>
      </w:pPr>
      <w:r w:rsidRPr="003B329E">
        <w:rPr>
          <w:rFonts w:ascii="Times New Roman" w:hAnsi="Times New Roman" w:cs="Times New Roman"/>
          <w:sz w:val="24"/>
          <w:szCs w:val="24"/>
        </w:rPr>
        <w:t>În acest context menționăm că, potrivit datelor din contractul încheiat de către I</w:t>
      </w:r>
      <w:r>
        <w:rPr>
          <w:rFonts w:ascii="Times New Roman" w:hAnsi="Times New Roman" w:cs="Times New Roman"/>
          <w:sz w:val="24"/>
          <w:szCs w:val="24"/>
        </w:rPr>
        <w:t>.</w:t>
      </w:r>
      <w:r w:rsidRPr="003B329E">
        <w:rPr>
          <w:rFonts w:ascii="Times New Roman" w:hAnsi="Times New Roman" w:cs="Times New Roman"/>
          <w:sz w:val="24"/>
          <w:szCs w:val="24"/>
        </w:rPr>
        <w:t>P</w:t>
      </w:r>
      <w:r>
        <w:rPr>
          <w:rFonts w:ascii="Times New Roman" w:hAnsi="Times New Roman" w:cs="Times New Roman"/>
          <w:sz w:val="24"/>
          <w:szCs w:val="24"/>
        </w:rPr>
        <w:t>.</w:t>
      </w:r>
      <w:r w:rsidRPr="003B329E">
        <w:rPr>
          <w:rFonts w:ascii="Times New Roman" w:hAnsi="Times New Roman" w:cs="Times New Roman"/>
          <w:sz w:val="24"/>
          <w:szCs w:val="24"/>
        </w:rPr>
        <w:t xml:space="preserve"> „Palatul Republicii” cu agentul economic S.A. „Bursa de Valori a Moldovei”, suprafața transmisă în folosință și posesiune temporară constituie 157,8 m</w:t>
      </w:r>
      <w:r>
        <w:rPr>
          <w:rFonts w:ascii="Times New Roman" w:hAnsi="Times New Roman" w:cs="Times New Roman"/>
          <w:sz w:val="24"/>
          <w:szCs w:val="24"/>
        </w:rPr>
        <w:t>.p.</w:t>
      </w:r>
      <w:r w:rsidR="00FA6463">
        <w:rPr>
          <w:rFonts w:ascii="Times New Roman" w:hAnsi="Times New Roman" w:cs="Times New Roman"/>
          <w:sz w:val="24"/>
          <w:szCs w:val="24"/>
        </w:rPr>
        <w:t xml:space="preserve">, costul locațiunii </w:t>
      </w:r>
      <w:r w:rsidRPr="003B329E">
        <w:rPr>
          <w:rFonts w:ascii="Times New Roman" w:hAnsi="Times New Roman" w:cs="Times New Roman"/>
          <w:sz w:val="24"/>
          <w:szCs w:val="24"/>
        </w:rPr>
        <w:t xml:space="preserve">anuale variind de la an la an, în </w:t>
      </w:r>
      <w:r>
        <w:rPr>
          <w:rFonts w:ascii="Times New Roman" w:hAnsi="Times New Roman" w:cs="Times New Roman"/>
          <w:sz w:val="24"/>
          <w:szCs w:val="24"/>
        </w:rPr>
        <w:t>funcție</w:t>
      </w:r>
      <w:r w:rsidRPr="003B329E">
        <w:rPr>
          <w:rFonts w:ascii="Times New Roman" w:hAnsi="Times New Roman" w:cs="Times New Roman"/>
          <w:sz w:val="24"/>
          <w:szCs w:val="24"/>
        </w:rPr>
        <w:t xml:space="preserve"> de coeficienții aprobați prin Legea bugetară anuală. Însă, conform Planului cadastral, suprafața totală a spațiului utilizat de facto constituie 222,5 m</w:t>
      </w:r>
      <w:r>
        <w:rPr>
          <w:rFonts w:ascii="Times New Roman" w:hAnsi="Times New Roman" w:cs="Times New Roman"/>
          <w:sz w:val="24"/>
          <w:szCs w:val="24"/>
        </w:rPr>
        <w:t>.p.</w:t>
      </w:r>
      <w:r w:rsidRPr="003B329E">
        <w:rPr>
          <w:rFonts w:ascii="Times New Roman" w:hAnsi="Times New Roman" w:cs="Times New Roman"/>
          <w:sz w:val="24"/>
          <w:szCs w:val="24"/>
        </w:rPr>
        <w:t>, sau cu 64,7 m</w:t>
      </w:r>
      <w:r>
        <w:rPr>
          <w:rFonts w:ascii="Times New Roman" w:hAnsi="Times New Roman" w:cs="Times New Roman"/>
          <w:sz w:val="24"/>
          <w:szCs w:val="24"/>
        </w:rPr>
        <w:t>.p.</w:t>
      </w:r>
      <w:r w:rsidRPr="003B329E">
        <w:rPr>
          <w:rFonts w:ascii="Times New Roman" w:hAnsi="Times New Roman" w:cs="Times New Roman"/>
          <w:sz w:val="24"/>
          <w:szCs w:val="24"/>
        </w:rPr>
        <w:t xml:space="preserve"> mai mult. Totodată, specificăm că, din suprafața totală de 222,5 m</w:t>
      </w:r>
      <w:r>
        <w:rPr>
          <w:rFonts w:ascii="Times New Roman" w:hAnsi="Times New Roman" w:cs="Times New Roman"/>
          <w:sz w:val="24"/>
          <w:szCs w:val="24"/>
        </w:rPr>
        <w:t>.p.</w:t>
      </w:r>
      <w:r w:rsidRPr="003B329E">
        <w:rPr>
          <w:rFonts w:ascii="Times New Roman" w:hAnsi="Times New Roman" w:cs="Times New Roman"/>
          <w:sz w:val="24"/>
          <w:szCs w:val="24"/>
        </w:rPr>
        <w:t>, 49,3 m</w:t>
      </w:r>
      <w:r>
        <w:rPr>
          <w:rFonts w:ascii="Times New Roman" w:hAnsi="Times New Roman" w:cs="Times New Roman"/>
          <w:sz w:val="24"/>
          <w:szCs w:val="24"/>
        </w:rPr>
        <w:t>.p.</w:t>
      </w:r>
      <w:r w:rsidRPr="003B329E">
        <w:rPr>
          <w:rFonts w:ascii="Times New Roman" w:hAnsi="Times New Roman" w:cs="Times New Roman"/>
          <w:sz w:val="24"/>
          <w:szCs w:val="24"/>
        </w:rPr>
        <w:t xml:space="preserve"> sunt utilizați de către S.A. „Bursa de Valori a Moldovei” începând cu luna octombrie 2019, anterior fiind transmise în folosință Depozitarului Național de Valori Mobiliare al Moldovei. Astfel, potrivit calculelor de audit estimative, pentru suprafața de 64,7 m</w:t>
      </w:r>
      <w:r>
        <w:rPr>
          <w:rFonts w:ascii="Times New Roman" w:hAnsi="Times New Roman" w:cs="Times New Roman"/>
          <w:sz w:val="24"/>
          <w:szCs w:val="24"/>
        </w:rPr>
        <w:t>.p.</w:t>
      </w:r>
      <w:r w:rsidRPr="003B329E">
        <w:rPr>
          <w:rFonts w:ascii="Times New Roman" w:hAnsi="Times New Roman" w:cs="Times New Roman"/>
          <w:sz w:val="24"/>
          <w:szCs w:val="24"/>
        </w:rPr>
        <w:t xml:space="preserve">, I.P. „Palatul Republicii”, pentru perioada auditată 2018-2022, urma să încaseze venituri suplimentare </w:t>
      </w:r>
      <w:r>
        <w:rPr>
          <w:rFonts w:ascii="Times New Roman" w:hAnsi="Times New Roman" w:cs="Times New Roman"/>
          <w:sz w:val="24"/>
          <w:szCs w:val="24"/>
        </w:rPr>
        <w:t>în sumă de circa 664,78 mii lei</w:t>
      </w:r>
      <w:r w:rsidRPr="003B329E">
        <w:rPr>
          <w:rFonts w:ascii="Times New Roman" w:hAnsi="Times New Roman" w:cs="Times New Roman"/>
          <w:sz w:val="24"/>
          <w:szCs w:val="24"/>
        </w:rPr>
        <w:t xml:space="preserve">. </w:t>
      </w:r>
    </w:p>
    <w:p w14:paraId="3F0B6AB9" w14:textId="7E80447C" w:rsidR="000F6AA1" w:rsidRPr="003B329E" w:rsidRDefault="000F6AA1" w:rsidP="000F6AA1">
      <w:pPr>
        <w:pBdr>
          <w:top w:val="single" w:sz="4" w:space="1" w:color="auto"/>
          <w:left w:val="single" w:sz="4" w:space="4" w:color="auto"/>
          <w:bottom w:val="single" w:sz="4" w:space="1" w:color="auto"/>
          <w:right w:val="single" w:sz="4" w:space="4" w:color="auto"/>
        </w:pBdr>
        <w:spacing w:after="120" w:line="276" w:lineRule="auto"/>
        <w:jc w:val="both"/>
        <w:rPr>
          <w:rFonts w:ascii="Times New Roman" w:hAnsi="Times New Roman" w:cs="Times New Roman"/>
          <w:sz w:val="24"/>
          <w:szCs w:val="24"/>
        </w:rPr>
      </w:pPr>
      <w:r>
        <w:rPr>
          <w:rFonts w:ascii="Times New Roman" w:hAnsi="Times New Roman" w:cs="Times New Roman"/>
          <w:sz w:val="24"/>
          <w:szCs w:val="24"/>
        </w:rPr>
        <w:t xml:space="preserve">Se ia act că pe parcursul desfășurării misiunii, </w:t>
      </w:r>
      <w:r w:rsidRPr="000F6AA1">
        <w:rPr>
          <w:rFonts w:ascii="Times New Roman" w:hAnsi="Times New Roman" w:cs="Times New Roman"/>
          <w:sz w:val="24"/>
          <w:szCs w:val="24"/>
        </w:rPr>
        <w:t xml:space="preserve">Palatul Republicii </w:t>
      </w:r>
      <w:r>
        <w:rPr>
          <w:rFonts w:ascii="Times New Roman" w:hAnsi="Times New Roman" w:cs="Times New Roman"/>
          <w:sz w:val="24"/>
          <w:szCs w:val="24"/>
        </w:rPr>
        <w:t xml:space="preserve">a </w:t>
      </w:r>
      <w:r w:rsidRPr="000F6AA1">
        <w:rPr>
          <w:rFonts w:ascii="Times New Roman" w:hAnsi="Times New Roman" w:cs="Times New Roman"/>
          <w:sz w:val="24"/>
          <w:szCs w:val="24"/>
        </w:rPr>
        <w:t>ajusta</w:t>
      </w:r>
      <w:r>
        <w:rPr>
          <w:rFonts w:ascii="Times New Roman" w:hAnsi="Times New Roman" w:cs="Times New Roman"/>
          <w:sz w:val="24"/>
          <w:szCs w:val="24"/>
        </w:rPr>
        <w:t>t</w:t>
      </w:r>
      <w:r w:rsidRPr="000F6AA1">
        <w:rPr>
          <w:rFonts w:ascii="Times New Roman" w:hAnsi="Times New Roman" w:cs="Times New Roman"/>
          <w:sz w:val="24"/>
          <w:szCs w:val="24"/>
        </w:rPr>
        <w:t xml:space="preserve"> suprafețelor transmise în </w:t>
      </w:r>
      <w:r w:rsidRPr="00015EAC">
        <w:rPr>
          <w:rFonts w:ascii="Times New Roman" w:hAnsi="Times New Roman" w:cs="Times New Roman"/>
          <w:sz w:val="24"/>
          <w:szCs w:val="24"/>
        </w:rPr>
        <w:t xml:space="preserve">locațiune, și încheierea unui nou contract cu agentul economic, valoarea </w:t>
      </w:r>
      <w:r w:rsidR="00786FBA" w:rsidRPr="00015EAC">
        <w:rPr>
          <w:rFonts w:ascii="Times New Roman" w:hAnsi="Times New Roman" w:cs="Times New Roman"/>
          <w:sz w:val="24"/>
          <w:szCs w:val="24"/>
        </w:rPr>
        <w:t xml:space="preserve">locațiunii anuale fiind de </w:t>
      </w:r>
      <w:r w:rsidR="00015EAC">
        <w:rPr>
          <w:rFonts w:ascii="Times New Roman" w:hAnsi="Times New Roman" w:cs="Times New Roman"/>
          <w:sz w:val="24"/>
          <w:szCs w:val="24"/>
        </w:rPr>
        <w:t>529,9</w:t>
      </w:r>
      <w:r w:rsidR="00786FBA" w:rsidRPr="00015EAC">
        <w:rPr>
          <w:rFonts w:ascii="Times New Roman" w:hAnsi="Times New Roman" w:cs="Times New Roman"/>
          <w:sz w:val="24"/>
          <w:szCs w:val="24"/>
        </w:rPr>
        <w:t xml:space="preserve"> mii lei</w:t>
      </w:r>
      <w:r w:rsidRPr="00015EAC">
        <w:rPr>
          <w:rFonts w:ascii="Times New Roman" w:hAnsi="Times New Roman" w:cs="Times New Roman"/>
          <w:sz w:val="24"/>
          <w:szCs w:val="24"/>
        </w:rPr>
        <w:t>.</w:t>
      </w:r>
      <w:r w:rsidR="00BA69A9">
        <w:rPr>
          <w:rFonts w:ascii="Times New Roman" w:hAnsi="Times New Roman" w:cs="Times New Roman"/>
          <w:sz w:val="24"/>
          <w:szCs w:val="24"/>
        </w:rPr>
        <w:t xml:space="preserve">  </w:t>
      </w:r>
    </w:p>
    <w:p w14:paraId="2A3D3578" w14:textId="135248DB" w:rsidR="003019F5" w:rsidRPr="009547A2" w:rsidRDefault="009547A2" w:rsidP="009547A2">
      <w:pPr>
        <w:pStyle w:val="a7"/>
        <w:numPr>
          <w:ilvl w:val="0"/>
          <w:numId w:val="12"/>
        </w:numPr>
        <w:tabs>
          <w:tab w:val="left" w:pos="426"/>
        </w:tabs>
        <w:spacing w:after="120" w:line="276" w:lineRule="auto"/>
        <w:ind w:left="0" w:firstLine="0"/>
        <w:jc w:val="both"/>
        <w:rPr>
          <w:rFonts w:ascii="Times New Roman" w:hAnsi="Times New Roman" w:cs="Times New Roman"/>
          <w:sz w:val="24"/>
          <w:szCs w:val="24"/>
        </w:rPr>
      </w:pPr>
      <w:r w:rsidRPr="003B329E">
        <w:rPr>
          <w:rFonts w:ascii="Times New Roman" w:hAnsi="Times New Roman" w:cs="Times New Roman"/>
          <w:sz w:val="24"/>
          <w:szCs w:val="24"/>
        </w:rPr>
        <w:t>Potrivit datelor RBI, în anul 2008 a fost supus</w:t>
      </w:r>
      <w:r>
        <w:rPr>
          <w:rFonts w:ascii="Times New Roman" w:hAnsi="Times New Roman" w:cs="Times New Roman"/>
          <w:sz w:val="24"/>
          <w:szCs w:val="24"/>
        </w:rPr>
        <w:t>ă</w:t>
      </w:r>
      <w:r w:rsidRPr="003B329E">
        <w:rPr>
          <w:rFonts w:ascii="Times New Roman" w:hAnsi="Times New Roman" w:cs="Times New Roman"/>
          <w:sz w:val="24"/>
          <w:szCs w:val="24"/>
        </w:rPr>
        <w:t xml:space="preserve"> privatizării construcția </w:t>
      </w:r>
      <w:r>
        <w:rPr>
          <w:rFonts w:ascii="Times New Roman" w:hAnsi="Times New Roman" w:cs="Times New Roman"/>
          <w:sz w:val="24"/>
          <w:szCs w:val="24"/>
        </w:rPr>
        <w:t xml:space="preserve">cu destinația obiectiv </w:t>
      </w:r>
      <w:r w:rsidRPr="003B329E">
        <w:rPr>
          <w:rFonts w:ascii="Times New Roman" w:hAnsi="Times New Roman" w:cs="Times New Roman"/>
          <w:sz w:val="24"/>
          <w:szCs w:val="24"/>
        </w:rPr>
        <w:t>de cultură și agrement</w:t>
      </w:r>
      <w:r w:rsidRPr="003B329E">
        <w:rPr>
          <w:rStyle w:val="a5"/>
          <w:rFonts w:ascii="Times New Roman" w:hAnsi="Times New Roman" w:cs="Times New Roman"/>
          <w:sz w:val="24"/>
          <w:szCs w:val="24"/>
        </w:rPr>
        <w:footnoteReference w:id="185"/>
      </w:r>
      <w:r w:rsidRPr="003B329E">
        <w:rPr>
          <w:rFonts w:ascii="Times New Roman" w:hAnsi="Times New Roman" w:cs="Times New Roman"/>
          <w:sz w:val="24"/>
          <w:szCs w:val="24"/>
        </w:rPr>
        <w:t xml:space="preserve"> (hotel) cu suprafața de 1</w:t>
      </w:r>
      <w:r>
        <w:rPr>
          <w:rFonts w:ascii="Times New Roman" w:hAnsi="Times New Roman" w:cs="Times New Roman"/>
          <w:sz w:val="24"/>
          <w:szCs w:val="24"/>
        </w:rPr>
        <w:t>.</w:t>
      </w:r>
      <w:r w:rsidRPr="003B329E">
        <w:rPr>
          <w:rFonts w:ascii="Times New Roman" w:hAnsi="Times New Roman" w:cs="Times New Roman"/>
          <w:sz w:val="24"/>
          <w:szCs w:val="24"/>
        </w:rPr>
        <w:t>272,4 m.p. și terenul aferent de 1,2099 ha ale I</w:t>
      </w:r>
      <w:r>
        <w:rPr>
          <w:rFonts w:ascii="Times New Roman" w:hAnsi="Times New Roman" w:cs="Times New Roman"/>
          <w:sz w:val="24"/>
          <w:szCs w:val="24"/>
        </w:rPr>
        <w:t>.</w:t>
      </w:r>
      <w:r w:rsidRPr="003B329E">
        <w:rPr>
          <w:rFonts w:ascii="Times New Roman" w:hAnsi="Times New Roman" w:cs="Times New Roman"/>
          <w:sz w:val="24"/>
          <w:szCs w:val="24"/>
        </w:rPr>
        <w:t>P</w:t>
      </w:r>
      <w:r>
        <w:rPr>
          <w:rFonts w:ascii="Times New Roman" w:hAnsi="Times New Roman" w:cs="Times New Roman"/>
          <w:sz w:val="24"/>
          <w:szCs w:val="24"/>
        </w:rPr>
        <w:t>.</w:t>
      </w:r>
      <w:r w:rsidRPr="003B329E">
        <w:rPr>
          <w:rFonts w:ascii="Times New Roman" w:hAnsi="Times New Roman" w:cs="Times New Roman"/>
          <w:sz w:val="24"/>
          <w:szCs w:val="24"/>
        </w:rPr>
        <w:t xml:space="preserve"> „Pensiunea din Holercani”. Ulterior</w:t>
      </w:r>
      <w:r>
        <w:rPr>
          <w:rFonts w:ascii="Times New Roman" w:hAnsi="Times New Roman" w:cs="Times New Roman"/>
          <w:sz w:val="24"/>
          <w:szCs w:val="24"/>
        </w:rPr>
        <w:t>,</w:t>
      </w:r>
      <w:r w:rsidRPr="003B329E">
        <w:rPr>
          <w:rFonts w:ascii="Times New Roman" w:hAnsi="Times New Roman" w:cs="Times New Roman"/>
          <w:sz w:val="24"/>
          <w:szCs w:val="24"/>
        </w:rPr>
        <w:t xml:space="preserve"> în anul 2020 acest bun imobil a fost revândut</w:t>
      </w:r>
      <w:r w:rsidRPr="003B329E">
        <w:rPr>
          <w:rStyle w:val="a5"/>
          <w:rFonts w:ascii="Times New Roman" w:hAnsi="Times New Roman" w:cs="Times New Roman"/>
          <w:sz w:val="24"/>
          <w:szCs w:val="24"/>
        </w:rPr>
        <w:footnoteReference w:id="186"/>
      </w:r>
      <w:r w:rsidRPr="003B329E">
        <w:rPr>
          <w:rFonts w:ascii="Times New Roman" w:hAnsi="Times New Roman" w:cs="Times New Roman"/>
          <w:sz w:val="24"/>
          <w:szCs w:val="24"/>
        </w:rPr>
        <w:t xml:space="preserve"> SRL „Aquaterra Resort”, care la r</w:t>
      </w:r>
      <w:r>
        <w:rPr>
          <w:rFonts w:ascii="Times New Roman" w:hAnsi="Times New Roman" w:cs="Times New Roman"/>
          <w:sz w:val="24"/>
          <w:szCs w:val="24"/>
        </w:rPr>
        <w:t>â</w:t>
      </w:r>
      <w:r w:rsidRPr="003B329E">
        <w:rPr>
          <w:rFonts w:ascii="Times New Roman" w:hAnsi="Times New Roman" w:cs="Times New Roman"/>
          <w:sz w:val="24"/>
          <w:szCs w:val="24"/>
        </w:rPr>
        <w:t>ndul său l-a supus unei reparații capitale și</w:t>
      </w:r>
      <w:r>
        <w:rPr>
          <w:rFonts w:ascii="Times New Roman" w:hAnsi="Times New Roman" w:cs="Times New Roman"/>
          <w:sz w:val="24"/>
          <w:szCs w:val="24"/>
        </w:rPr>
        <w:t>,</w:t>
      </w:r>
      <w:r w:rsidRPr="003B329E">
        <w:rPr>
          <w:rFonts w:ascii="Times New Roman" w:hAnsi="Times New Roman" w:cs="Times New Roman"/>
          <w:sz w:val="24"/>
          <w:szCs w:val="24"/>
        </w:rPr>
        <w:t xml:space="preserve"> potrivit datelor cadastrale, la data de 19.07.2021 a avut loc recepția finală și darea în exploatare a acestuia. Pentru a asigura amenajarea teritoriului și crearea unei infrastructuri confortabile, agentul economic a utilizat atât </w:t>
      </w:r>
      <w:r>
        <w:rPr>
          <w:rFonts w:ascii="Times New Roman" w:hAnsi="Times New Roman" w:cs="Times New Roman"/>
          <w:sz w:val="24"/>
          <w:szCs w:val="24"/>
        </w:rPr>
        <w:t>debarcaderul,</w:t>
      </w:r>
      <w:r w:rsidRPr="003B329E">
        <w:rPr>
          <w:rFonts w:ascii="Times New Roman" w:hAnsi="Times New Roman" w:cs="Times New Roman"/>
          <w:sz w:val="24"/>
          <w:szCs w:val="24"/>
        </w:rPr>
        <w:t xml:space="preserve"> c</w:t>
      </w:r>
      <w:r>
        <w:rPr>
          <w:rFonts w:ascii="Times New Roman" w:hAnsi="Times New Roman" w:cs="Times New Roman"/>
          <w:sz w:val="24"/>
          <w:szCs w:val="24"/>
        </w:rPr>
        <w:t>â</w:t>
      </w:r>
      <w:r w:rsidRPr="003B329E">
        <w:rPr>
          <w:rFonts w:ascii="Times New Roman" w:hAnsi="Times New Roman" w:cs="Times New Roman"/>
          <w:sz w:val="24"/>
          <w:szCs w:val="24"/>
        </w:rPr>
        <w:t>t și o porțiune din terenul (2</w:t>
      </w:r>
      <w:r>
        <w:rPr>
          <w:rFonts w:ascii="Times New Roman" w:hAnsi="Times New Roman" w:cs="Times New Roman"/>
          <w:sz w:val="24"/>
          <w:szCs w:val="24"/>
        </w:rPr>
        <w:t>.</w:t>
      </w:r>
      <w:r w:rsidRPr="003B329E">
        <w:rPr>
          <w:rFonts w:ascii="Times New Roman" w:hAnsi="Times New Roman" w:cs="Times New Roman"/>
          <w:sz w:val="24"/>
          <w:szCs w:val="24"/>
        </w:rPr>
        <w:t xml:space="preserve">233,0 m.p. la sol) instituției publice, însă fără a achita plata de locațiune pentru folosință și posesiune temporară a bunurilor statului. Astfel, </w:t>
      </w:r>
      <w:r>
        <w:rPr>
          <w:rFonts w:ascii="Times New Roman" w:hAnsi="Times New Roman" w:cs="Times New Roman"/>
          <w:sz w:val="24"/>
          <w:szCs w:val="24"/>
        </w:rPr>
        <w:t xml:space="preserve">ca </w:t>
      </w:r>
      <w:r w:rsidRPr="003B329E">
        <w:rPr>
          <w:rFonts w:ascii="Times New Roman" w:hAnsi="Times New Roman" w:cs="Times New Roman"/>
          <w:sz w:val="24"/>
          <w:szCs w:val="24"/>
        </w:rPr>
        <w:t xml:space="preserve">urmare </w:t>
      </w:r>
      <w:r>
        <w:rPr>
          <w:rFonts w:ascii="Times New Roman" w:hAnsi="Times New Roman" w:cs="Times New Roman"/>
          <w:sz w:val="24"/>
          <w:szCs w:val="24"/>
        </w:rPr>
        <w:t xml:space="preserve">a </w:t>
      </w:r>
      <w:r w:rsidRPr="003B329E">
        <w:rPr>
          <w:rFonts w:ascii="Times New Roman" w:hAnsi="Times New Roman" w:cs="Times New Roman"/>
          <w:sz w:val="24"/>
          <w:szCs w:val="24"/>
        </w:rPr>
        <w:t>neîncheierii contractelor de locațiune de către I</w:t>
      </w:r>
      <w:r>
        <w:rPr>
          <w:rFonts w:ascii="Times New Roman" w:hAnsi="Times New Roman" w:cs="Times New Roman"/>
          <w:sz w:val="24"/>
          <w:szCs w:val="24"/>
        </w:rPr>
        <w:t>.</w:t>
      </w:r>
      <w:r w:rsidRPr="003B329E">
        <w:rPr>
          <w:rFonts w:ascii="Times New Roman" w:hAnsi="Times New Roman" w:cs="Times New Roman"/>
          <w:sz w:val="24"/>
          <w:szCs w:val="24"/>
        </w:rPr>
        <w:t>P</w:t>
      </w:r>
      <w:r>
        <w:rPr>
          <w:rFonts w:ascii="Times New Roman" w:hAnsi="Times New Roman" w:cs="Times New Roman"/>
          <w:sz w:val="24"/>
          <w:szCs w:val="24"/>
        </w:rPr>
        <w:t>.</w:t>
      </w:r>
      <w:r w:rsidRPr="003B329E">
        <w:rPr>
          <w:rFonts w:ascii="Times New Roman" w:hAnsi="Times New Roman" w:cs="Times New Roman"/>
          <w:sz w:val="24"/>
          <w:szCs w:val="24"/>
        </w:rPr>
        <w:t xml:space="preserve"> „Pensiunea din Holercani” cu SRL „Aquaterra Resort” pentru folosirea patrimoniului statului, doar în anul 2022 nu a fost asigurată încasarea regulamentară a unor venituri la bugetul instituției în sumă de 201,1 mii lei. Menționăm că deficiența respectivă a fost remediată abia în anul 2023</w:t>
      </w:r>
      <w:r>
        <w:rPr>
          <w:rFonts w:ascii="Times New Roman" w:hAnsi="Times New Roman" w:cs="Times New Roman"/>
          <w:sz w:val="24"/>
          <w:szCs w:val="24"/>
        </w:rPr>
        <w:t>,</w:t>
      </w:r>
      <w:r w:rsidRPr="003B329E">
        <w:rPr>
          <w:rFonts w:ascii="Times New Roman" w:hAnsi="Times New Roman" w:cs="Times New Roman"/>
          <w:sz w:val="24"/>
          <w:szCs w:val="24"/>
        </w:rPr>
        <w:t xml:space="preserve"> fiind încheia</w:t>
      </w:r>
      <w:r>
        <w:rPr>
          <w:rFonts w:ascii="Times New Roman" w:hAnsi="Times New Roman" w:cs="Times New Roman"/>
          <w:sz w:val="24"/>
          <w:szCs w:val="24"/>
        </w:rPr>
        <w:t>t</w:t>
      </w:r>
      <w:r w:rsidRPr="003B329E">
        <w:rPr>
          <w:rFonts w:ascii="Times New Roman" w:hAnsi="Times New Roman" w:cs="Times New Roman"/>
          <w:sz w:val="24"/>
          <w:szCs w:val="24"/>
        </w:rPr>
        <w:t xml:space="preserve"> contractul de locațiune nr. 7 din 18.04.2023 între I</w:t>
      </w:r>
      <w:r>
        <w:rPr>
          <w:rFonts w:ascii="Times New Roman" w:hAnsi="Times New Roman" w:cs="Times New Roman"/>
          <w:sz w:val="24"/>
          <w:szCs w:val="24"/>
        </w:rPr>
        <w:t>.</w:t>
      </w:r>
      <w:r w:rsidRPr="003B329E">
        <w:rPr>
          <w:rFonts w:ascii="Times New Roman" w:hAnsi="Times New Roman" w:cs="Times New Roman"/>
          <w:sz w:val="24"/>
          <w:szCs w:val="24"/>
        </w:rPr>
        <w:t>P</w:t>
      </w:r>
      <w:r>
        <w:rPr>
          <w:rFonts w:ascii="Times New Roman" w:hAnsi="Times New Roman" w:cs="Times New Roman"/>
          <w:sz w:val="24"/>
          <w:szCs w:val="24"/>
        </w:rPr>
        <w:t>.</w:t>
      </w:r>
      <w:r w:rsidRPr="003B329E">
        <w:rPr>
          <w:rFonts w:ascii="Times New Roman" w:hAnsi="Times New Roman" w:cs="Times New Roman"/>
          <w:sz w:val="24"/>
          <w:szCs w:val="24"/>
        </w:rPr>
        <w:t xml:space="preserve"> </w:t>
      </w:r>
      <w:r>
        <w:rPr>
          <w:rFonts w:ascii="Times New Roman" w:hAnsi="Times New Roman" w:cs="Times New Roman"/>
          <w:sz w:val="24"/>
          <w:szCs w:val="24"/>
        </w:rPr>
        <w:t>și</w:t>
      </w:r>
      <w:r w:rsidRPr="003B329E">
        <w:rPr>
          <w:rFonts w:ascii="Times New Roman" w:hAnsi="Times New Roman" w:cs="Times New Roman"/>
          <w:sz w:val="24"/>
          <w:szCs w:val="24"/>
        </w:rPr>
        <w:t xml:space="preserve"> agentul economic.</w:t>
      </w:r>
    </w:p>
    <w:p w14:paraId="0939050E" w14:textId="7D9F6A3C" w:rsidR="003019F5" w:rsidRDefault="003019F5" w:rsidP="006D62A5">
      <w:pPr>
        <w:spacing w:after="80" w:line="276" w:lineRule="auto"/>
        <w:jc w:val="both"/>
        <w:rPr>
          <w:rFonts w:ascii="Times New Roman" w:hAnsi="Times New Roman" w:cs="Times New Roman"/>
          <w:sz w:val="24"/>
          <w:szCs w:val="24"/>
        </w:rPr>
      </w:pPr>
      <w:r>
        <w:rPr>
          <w:rFonts w:ascii="Times New Roman" w:hAnsi="Times New Roman" w:cs="Times New Roman"/>
          <w:sz w:val="24"/>
          <w:szCs w:val="24"/>
        </w:rPr>
        <w:t>Un c</w:t>
      </w:r>
      <w:r w:rsidRPr="003B329E">
        <w:rPr>
          <w:rFonts w:ascii="Times New Roman" w:hAnsi="Times New Roman" w:cs="Times New Roman"/>
          <w:sz w:val="24"/>
          <w:szCs w:val="24"/>
        </w:rPr>
        <w:t xml:space="preserve">az de nevalorificare a patrimoniului statului reprezintă și situația privind utilizarea fără plată de către BNM a </w:t>
      </w:r>
      <w:r>
        <w:rPr>
          <w:rFonts w:ascii="Times New Roman" w:hAnsi="Times New Roman" w:cs="Times New Roman"/>
          <w:sz w:val="24"/>
          <w:szCs w:val="24"/>
        </w:rPr>
        <w:t>debarcaderului</w:t>
      </w:r>
      <w:r w:rsidRPr="003B329E">
        <w:rPr>
          <w:rFonts w:ascii="Times New Roman" w:hAnsi="Times New Roman" w:cs="Times New Roman"/>
          <w:sz w:val="24"/>
          <w:szCs w:val="24"/>
        </w:rPr>
        <w:t xml:space="preserve"> și terenului adiacent Oficiului de </w:t>
      </w:r>
      <w:r w:rsidR="008C1884">
        <w:rPr>
          <w:rFonts w:ascii="Times New Roman" w:hAnsi="Times New Roman" w:cs="Times New Roman"/>
          <w:sz w:val="24"/>
          <w:szCs w:val="24"/>
        </w:rPr>
        <w:t>p</w:t>
      </w:r>
      <w:r w:rsidRPr="003B329E">
        <w:rPr>
          <w:rFonts w:ascii="Times New Roman" w:hAnsi="Times New Roman" w:cs="Times New Roman"/>
          <w:sz w:val="24"/>
          <w:szCs w:val="24"/>
        </w:rPr>
        <w:t>rotocol (</w:t>
      </w:r>
      <w:r>
        <w:rPr>
          <w:rFonts w:ascii="Times New Roman" w:hAnsi="Times New Roman" w:cs="Times New Roman"/>
          <w:sz w:val="24"/>
          <w:szCs w:val="24"/>
        </w:rPr>
        <w:t>v</w:t>
      </w:r>
      <w:r w:rsidRPr="003B329E">
        <w:rPr>
          <w:rFonts w:ascii="Times New Roman" w:hAnsi="Times New Roman" w:cs="Times New Roman"/>
          <w:sz w:val="24"/>
          <w:szCs w:val="24"/>
        </w:rPr>
        <w:t>ila nr. 9</w:t>
      </w:r>
      <w:r>
        <w:rPr>
          <w:rFonts w:ascii="Times New Roman" w:hAnsi="Times New Roman" w:cs="Times New Roman"/>
          <w:sz w:val="24"/>
          <w:szCs w:val="24"/>
        </w:rPr>
        <w:t>)</w:t>
      </w:r>
      <w:r w:rsidRPr="003B329E">
        <w:rPr>
          <w:rFonts w:ascii="Times New Roman" w:hAnsi="Times New Roman" w:cs="Times New Roman"/>
          <w:sz w:val="24"/>
          <w:szCs w:val="24"/>
        </w:rPr>
        <w:t xml:space="preserve"> din Holercani, proprietar/gestionar</w:t>
      </w:r>
      <w:r w:rsidRPr="003B329E">
        <w:rPr>
          <w:rStyle w:val="a5"/>
          <w:rFonts w:ascii="Times New Roman" w:hAnsi="Times New Roman" w:cs="Times New Roman"/>
          <w:sz w:val="24"/>
          <w:szCs w:val="24"/>
        </w:rPr>
        <w:footnoteReference w:id="187"/>
      </w:r>
      <w:r w:rsidR="00A7085F">
        <w:rPr>
          <w:rFonts w:ascii="Times New Roman" w:hAnsi="Times New Roman" w:cs="Times New Roman"/>
          <w:sz w:val="24"/>
          <w:szCs w:val="24"/>
        </w:rPr>
        <w:t xml:space="preserve"> al construcției </w:t>
      </w:r>
      <w:r w:rsidRPr="003B329E">
        <w:rPr>
          <w:rFonts w:ascii="Times New Roman" w:hAnsi="Times New Roman" w:cs="Times New Roman"/>
          <w:sz w:val="24"/>
          <w:szCs w:val="24"/>
        </w:rPr>
        <w:t xml:space="preserve">fiind </w:t>
      </w:r>
      <w:r w:rsidR="00A7085F">
        <w:rPr>
          <w:rFonts w:ascii="Times New Roman" w:hAnsi="Times New Roman" w:cs="Times New Roman"/>
          <w:sz w:val="24"/>
          <w:szCs w:val="24"/>
        </w:rPr>
        <w:t xml:space="preserve">BNM </w:t>
      </w:r>
      <w:r w:rsidRPr="003B329E">
        <w:rPr>
          <w:rFonts w:ascii="Times New Roman" w:hAnsi="Times New Roman" w:cs="Times New Roman"/>
          <w:sz w:val="24"/>
          <w:szCs w:val="24"/>
        </w:rPr>
        <w:t xml:space="preserve">din anul 1998. Astfel, </w:t>
      </w:r>
      <w:r>
        <w:rPr>
          <w:rFonts w:ascii="Times New Roman" w:hAnsi="Times New Roman" w:cs="Times New Roman"/>
          <w:sz w:val="24"/>
          <w:szCs w:val="24"/>
        </w:rPr>
        <w:t xml:space="preserve">ca </w:t>
      </w:r>
      <w:r w:rsidRPr="003B329E">
        <w:rPr>
          <w:rFonts w:ascii="Times New Roman" w:hAnsi="Times New Roman" w:cs="Times New Roman"/>
          <w:sz w:val="24"/>
          <w:szCs w:val="24"/>
        </w:rPr>
        <w:t>urmare</w:t>
      </w:r>
      <w:r>
        <w:rPr>
          <w:rFonts w:ascii="Times New Roman" w:hAnsi="Times New Roman" w:cs="Times New Roman"/>
          <w:sz w:val="24"/>
          <w:szCs w:val="24"/>
        </w:rPr>
        <w:t xml:space="preserve"> a</w:t>
      </w:r>
      <w:r w:rsidRPr="003B329E">
        <w:rPr>
          <w:rFonts w:ascii="Times New Roman" w:hAnsi="Times New Roman" w:cs="Times New Roman"/>
          <w:sz w:val="24"/>
          <w:szCs w:val="24"/>
        </w:rPr>
        <w:t xml:space="preserve"> analizelor și calculelor de audit, se relevă că în perioada 2018-2022, în conturile instituției din această sursă au fost ratate venituri în sumă de cca 200,0 mii lei.</w:t>
      </w:r>
    </w:p>
    <w:p w14:paraId="522E7225" w14:textId="218DEDB4" w:rsidR="003019F5" w:rsidRPr="003B329E" w:rsidRDefault="003019F5" w:rsidP="003019F5">
      <w:pPr>
        <w:spacing w:after="120" w:line="276" w:lineRule="auto"/>
        <w:jc w:val="both"/>
        <w:rPr>
          <w:rFonts w:ascii="Times New Roman" w:hAnsi="Times New Roman" w:cs="Times New Roman"/>
          <w:sz w:val="24"/>
          <w:szCs w:val="24"/>
        </w:rPr>
      </w:pPr>
      <w:r w:rsidRPr="003B329E">
        <w:rPr>
          <w:rFonts w:ascii="Times New Roman" w:hAnsi="Times New Roman" w:cs="Times New Roman"/>
          <w:sz w:val="24"/>
          <w:szCs w:val="24"/>
        </w:rPr>
        <w:t>În concluzie</w:t>
      </w:r>
      <w:r>
        <w:rPr>
          <w:rFonts w:ascii="Times New Roman" w:hAnsi="Times New Roman" w:cs="Times New Roman"/>
          <w:sz w:val="24"/>
          <w:szCs w:val="24"/>
        </w:rPr>
        <w:t>,</w:t>
      </w:r>
      <w:r w:rsidRPr="003B329E">
        <w:rPr>
          <w:rFonts w:ascii="Times New Roman" w:hAnsi="Times New Roman" w:cs="Times New Roman"/>
          <w:sz w:val="24"/>
          <w:szCs w:val="24"/>
        </w:rPr>
        <w:t xml:space="preserve"> se denotă că</w:t>
      </w:r>
      <w:r>
        <w:rPr>
          <w:rFonts w:ascii="Times New Roman" w:hAnsi="Times New Roman" w:cs="Times New Roman"/>
          <w:sz w:val="24"/>
          <w:szCs w:val="24"/>
        </w:rPr>
        <w:t>,</w:t>
      </w:r>
      <w:r w:rsidRPr="003B329E">
        <w:rPr>
          <w:rFonts w:ascii="Times New Roman" w:hAnsi="Times New Roman" w:cs="Times New Roman"/>
          <w:sz w:val="24"/>
          <w:szCs w:val="24"/>
        </w:rPr>
        <w:t xml:space="preserve"> prin acțiunile sale at</w:t>
      </w:r>
      <w:r>
        <w:rPr>
          <w:rFonts w:ascii="Times New Roman" w:hAnsi="Times New Roman" w:cs="Times New Roman"/>
          <w:sz w:val="24"/>
          <w:szCs w:val="24"/>
        </w:rPr>
        <w:t>â</w:t>
      </w:r>
      <w:r w:rsidRPr="003B329E">
        <w:rPr>
          <w:rFonts w:ascii="Times New Roman" w:hAnsi="Times New Roman" w:cs="Times New Roman"/>
          <w:sz w:val="24"/>
          <w:szCs w:val="24"/>
        </w:rPr>
        <w:t>t Cancelaria de Stat</w:t>
      </w:r>
      <w:r>
        <w:rPr>
          <w:rFonts w:ascii="Times New Roman" w:hAnsi="Times New Roman" w:cs="Times New Roman"/>
          <w:sz w:val="24"/>
          <w:szCs w:val="24"/>
        </w:rPr>
        <w:t>,</w:t>
      </w:r>
      <w:r w:rsidRPr="003B329E">
        <w:rPr>
          <w:rFonts w:ascii="Times New Roman" w:hAnsi="Times New Roman" w:cs="Times New Roman"/>
          <w:sz w:val="24"/>
          <w:szCs w:val="24"/>
        </w:rPr>
        <w:t xml:space="preserve"> c</w:t>
      </w:r>
      <w:r>
        <w:rPr>
          <w:rFonts w:ascii="Times New Roman" w:hAnsi="Times New Roman" w:cs="Times New Roman"/>
          <w:sz w:val="24"/>
          <w:szCs w:val="24"/>
        </w:rPr>
        <w:t>â</w:t>
      </w:r>
      <w:r w:rsidRPr="003B329E">
        <w:rPr>
          <w:rFonts w:ascii="Times New Roman" w:hAnsi="Times New Roman" w:cs="Times New Roman"/>
          <w:sz w:val="24"/>
          <w:szCs w:val="24"/>
        </w:rPr>
        <w:t>t și I.P</w:t>
      </w:r>
      <w:r>
        <w:rPr>
          <w:rFonts w:ascii="Times New Roman" w:hAnsi="Times New Roman" w:cs="Times New Roman"/>
          <w:sz w:val="24"/>
          <w:szCs w:val="24"/>
        </w:rPr>
        <w:t>.</w:t>
      </w:r>
      <w:r w:rsidRPr="003B329E">
        <w:rPr>
          <w:rFonts w:ascii="Times New Roman" w:hAnsi="Times New Roman" w:cs="Times New Roman"/>
          <w:sz w:val="24"/>
          <w:szCs w:val="24"/>
        </w:rPr>
        <w:t xml:space="preserve"> </w:t>
      </w:r>
      <w:r>
        <w:rPr>
          <w:rFonts w:ascii="Times New Roman" w:hAnsi="Times New Roman" w:cs="Times New Roman"/>
          <w:sz w:val="24"/>
          <w:szCs w:val="24"/>
        </w:rPr>
        <w:t>„</w:t>
      </w:r>
      <w:r w:rsidRPr="003B329E">
        <w:rPr>
          <w:rFonts w:ascii="Times New Roman" w:hAnsi="Times New Roman" w:cs="Times New Roman"/>
          <w:sz w:val="24"/>
          <w:szCs w:val="24"/>
        </w:rPr>
        <w:t>Pensiunea din Holercani</w:t>
      </w:r>
      <w:r>
        <w:rPr>
          <w:rFonts w:ascii="Times New Roman" w:hAnsi="Times New Roman" w:cs="Times New Roman"/>
          <w:sz w:val="24"/>
          <w:szCs w:val="24"/>
        </w:rPr>
        <w:t>”</w:t>
      </w:r>
      <w:r w:rsidRPr="003B329E">
        <w:rPr>
          <w:rFonts w:ascii="Times New Roman" w:hAnsi="Times New Roman" w:cs="Times New Roman"/>
          <w:sz w:val="24"/>
          <w:szCs w:val="24"/>
        </w:rPr>
        <w:t xml:space="preserve"> nu au asigurat încasarea unor venituri pasibile </w:t>
      </w:r>
      <w:r>
        <w:rPr>
          <w:rFonts w:ascii="Times New Roman" w:hAnsi="Times New Roman" w:cs="Times New Roman"/>
          <w:sz w:val="24"/>
          <w:szCs w:val="24"/>
        </w:rPr>
        <w:t>din</w:t>
      </w:r>
      <w:r w:rsidRPr="003B329E">
        <w:rPr>
          <w:rFonts w:ascii="Times New Roman" w:hAnsi="Times New Roman" w:cs="Times New Roman"/>
          <w:sz w:val="24"/>
          <w:szCs w:val="24"/>
        </w:rPr>
        <w:t xml:space="preserve"> </w:t>
      </w:r>
      <w:r>
        <w:rPr>
          <w:rFonts w:ascii="Times New Roman" w:hAnsi="Times New Roman" w:cs="Times New Roman"/>
          <w:sz w:val="24"/>
          <w:szCs w:val="24"/>
        </w:rPr>
        <w:t>darea</w:t>
      </w:r>
      <w:r w:rsidR="00A7085F">
        <w:rPr>
          <w:rFonts w:ascii="Times New Roman" w:hAnsi="Times New Roman" w:cs="Times New Roman"/>
          <w:sz w:val="24"/>
          <w:szCs w:val="24"/>
        </w:rPr>
        <w:t xml:space="preserve"> în arendă</w:t>
      </w:r>
      <w:r w:rsidRPr="003B329E">
        <w:rPr>
          <w:rFonts w:ascii="Times New Roman" w:hAnsi="Times New Roman" w:cs="Times New Roman"/>
          <w:sz w:val="24"/>
          <w:szCs w:val="24"/>
        </w:rPr>
        <w:t xml:space="preserve"> a terenurilor private ale statului</w:t>
      </w:r>
      <w:r>
        <w:rPr>
          <w:rFonts w:ascii="Times New Roman" w:hAnsi="Times New Roman" w:cs="Times New Roman"/>
          <w:sz w:val="24"/>
          <w:szCs w:val="24"/>
        </w:rPr>
        <w:t>,</w:t>
      </w:r>
      <w:r w:rsidRPr="003B329E">
        <w:rPr>
          <w:rFonts w:ascii="Times New Roman" w:hAnsi="Times New Roman" w:cs="Times New Roman"/>
          <w:sz w:val="24"/>
          <w:szCs w:val="24"/>
        </w:rPr>
        <w:t xml:space="preserve"> în sum</w:t>
      </w:r>
      <w:r>
        <w:rPr>
          <w:rFonts w:ascii="Times New Roman" w:hAnsi="Times New Roman" w:cs="Times New Roman"/>
          <w:sz w:val="24"/>
          <w:szCs w:val="24"/>
        </w:rPr>
        <w:t>ă</w:t>
      </w:r>
      <w:r w:rsidRPr="003B329E">
        <w:rPr>
          <w:rFonts w:ascii="Times New Roman" w:hAnsi="Times New Roman" w:cs="Times New Roman"/>
          <w:sz w:val="24"/>
          <w:szCs w:val="24"/>
        </w:rPr>
        <w:t xml:space="preserve"> totală de cca 2</w:t>
      </w:r>
      <w:r>
        <w:rPr>
          <w:rFonts w:ascii="Times New Roman" w:hAnsi="Times New Roman" w:cs="Times New Roman"/>
          <w:sz w:val="24"/>
          <w:szCs w:val="24"/>
        </w:rPr>
        <w:t>.</w:t>
      </w:r>
      <w:r w:rsidRPr="003B329E">
        <w:rPr>
          <w:rFonts w:ascii="Times New Roman" w:hAnsi="Times New Roman" w:cs="Times New Roman"/>
          <w:sz w:val="24"/>
          <w:szCs w:val="24"/>
        </w:rPr>
        <w:t xml:space="preserve">565,0 mii lei. </w:t>
      </w:r>
    </w:p>
    <w:p w14:paraId="091819B8" w14:textId="6460A78C" w:rsidR="00B40FD9" w:rsidRPr="003B329E" w:rsidRDefault="00436800" w:rsidP="00E93970">
      <w:pPr>
        <w:pStyle w:val="2"/>
        <w:numPr>
          <w:ilvl w:val="1"/>
          <w:numId w:val="4"/>
        </w:numPr>
        <w:tabs>
          <w:tab w:val="left" w:pos="567"/>
        </w:tabs>
        <w:spacing w:after="120" w:line="276" w:lineRule="auto"/>
        <w:ind w:left="0" w:hanging="27"/>
        <w:jc w:val="both"/>
        <w:rPr>
          <w:rFonts w:ascii="Times New Roman" w:hAnsi="Times New Roman" w:cs="Times New Roman"/>
          <w:b/>
          <w:color w:val="2F5496" w:themeColor="accent5" w:themeShade="BF"/>
          <w:sz w:val="28"/>
          <w:szCs w:val="28"/>
          <w:lang w:eastAsia="ro-RO" w:bidi="ro-RO"/>
        </w:rPr>
      </w:pPr>
      <w:bookmarkStart w:id="38" w:name="_Toc158015926"/>
      <w:r>
        <w:rPr>
          <w:rFonts w:ascii="Times New Roman" w:hAnsi="Times New Roman" w:cs="Times New Roman"/>
          <w:b/>
          <w:color w:val="2F5496" w:themeColor="accent5" w:themeShade="BF"/>
          <w:sz w:val="28"/>
          <w:szCs w:val="28"/>
          <w:lang w:eastAsia="ro-RO" w:bidi="ro-RO"/>
        </w:rPr>
        <w:t>OBIECTIVUL nr.4</w:t>
      </w:r>
      <w:r w:rsidR="00484422" w:rsidRPr="003B329E">
        <w:rPr>
          <w:rFonts w:ascii="Times New Roman" w:hAnsi="Times New Roman" w:cs="Times New Roman"/>
          <w:b/>
          <w:color w:val="2F5496" w:themeColor="accent5" w:themeShade="BF"/>
          <w:sz w:val="28"/>
          <w:szCs w:val="28"/>
          <w:lang w:eastAsia="ro-RO" w:bidi="ro-RO"/>
        </w:rPr>
        <w:t>: CS în calitate de autoritate publică centrală, are implementat un sistem de control intern managerial</w:t>
      </w:r>
      <w:r w:rsidR="00BA69A9">
        <w:rPr>
          <w:rFonts w:ascii="Times New Roman" w:hAnsi="Times New Roman" w:cs="Times New Roman"/>
          <w:b/>
          <w:color w:val="2F5496" w:themeColor="accent5" w:themeShade="BF"/>
          <w:sz w:val="28"/>
          <w:szCs w:val="28"/>
          <w:lang w:eastAsia="ro-RO" w:bidi="ro-RO"/>
        </w:rPr>
        <w:t xml:space="preserve"> </w:t>
      </w:r>
      <w:r w:rsidR="00484422" w:rsidRPr="003B329E">
        <w:rPr>
          <w:rFonts w:ascii="Times New Roman" w:hAnsi="Times New Roman" w:cs="Times New Roman"/>
          <w:b/>
          <w:color w:val="2F5496" w:themeColor="accent5" w:themeShade="BF"/>
          <w:sz w:val="28"/>
          <w:szCs w:val="28"/>
          <w:lang w:eastAsia="ro-RO" w:bidi="ro-RO"/>
        </w:rPr>
        <w:t>funcțional?</w:t>
      </w:r>
      <w:bookmarkEnd w:id="38"/>
    </w:p>
    <w:p w14:paraId="22B615E4" w14:textId="77777777" w:rsidR="009547A2" w:rsidRPr="00345DE3" w:rsidRDefault="009547A2" w:rsidP="00345DE3">
      <w:pPr>
        <w:pStyle w:val="a7"/>
        <w:numPr>
          <w:ilvl w:val="2"/>
          <w:numId w:val="4"/>
        </w:numPr>
        <w:tabs>
          <w:tab w:val="left" w:pos="567"/>
        </w:tabs>
        <w:spacing w:before="120" w:after="120" w:line="276" w:lineRule="auto"/>
        <w:ind w:left="0" w:firstLine="0"/>
        <w:contextualSpacing w:val="0"/>
        <w:jc w:val="both"/>
        <w:rPr>
          <w:rFonts w:ascii="Times New Roman" w:hAnsi="Times New Roman" w:cs="Times New Roman"/>
          <w:b/>
          <w:sz w:val="24"/>
          <w:szCs w:val="24"/>
        </w:rPr>
      </w:pPr>
      <w:bookmarkStart w:id="39" w:name="_Toc156220550"/>
      <w:bookmarkStart w:id="40" w:name="_Toc156400795"/>
      <w:r w:rsidRPr="00345DE3">
        <w:rPr>
          <w:rFonts w:ascii="Times New Roman" w:eastAsia="Times New Roman" w:hAnsi="Times New Roman" w:cs="Times New Roman"/>
          <w:b/>
          <w:color w:val="0070C0"/>
          <w:sz w:val="24"/>
          <w:szCs w:val="24"/>
          <w:shd w:val="clear" w:color="auto" w:fill="FFFFFF"/>
        </w:rPr>
        <w:t>Componentele controlului intern managerial implementate de către CS</w:t>
      </w:r>
      <w:r w:rsidRPr="00345DE3">
        <w:rPr>
          <w:sz w:val="24"/>
          <w:szCs w:val="24"/>
        </w:rPr>
        <w:t xml:space="preserve"> </w:t>
      </w:r>
      <w:r w:rsidRPr="00345DE3">
        <w:rPr>
          <w:rFonts w:ascii="Times New Roman" w:eastAsia="Times New Roman" w:hAnsi="Times New Roman" w:cs="Times New Roman"/>
          <w:b/>
          <w:color w:val="0070C0"/>
          <w:sz w:val="24"/>
          <w:szCs w:val="24"/>
          <w:shd w:val="clear" w:color="auto" w:fill="FFFFFF"/>
        </w:rPr>
        <w:t>și de unele instituții monitorizate necesită a fi fortificate.</w:t>
      </w:r>
      <w:bookmarkEnd w:id="39"/>
      <w:bookmarkEnd w:id="40"/>
    </w:p>
    <w:p w14:paraId="3E728C31" w14:textId="77777777" w:rsidR="009547A2" w:rsidRDefault="009547A2" w:rsidP="009547A2">
      <w:pPr>
        <w:spacing w:after="0" w:line="276" w:lineRule="auto"/>
        <w:jc w:val="both"/>
        <w:rPr>
          <w:rFonts w:ascii="Times New Roman" w:hAnsi="Times New Roman" w:cs="Times New Roman"/>
          <w:sz w:val="24"/>
          <w:szCs w:val="24"/>
        </w:rPr>
      </w:pPr>
      <w:r w:rsidRPr="00250E50">
        <w:rPr>
          <w:rFonts w:ascii="Times New Roman" w:hAnsi="Times New Roman" w:cs="Times New Roman"/>
          <w:sz w:val="24"/>
          <w:szCs w:val="24"/>
        </w:rPr>
        <w:t xml:space="preserve">Pornind de la faptul că </w:t>
      </w:r>
      <w:r>
        <w:rPr>
          <w:rFonts w:ascii="Times New Roman" w:hAnsi="Times New Roman" w:cs="Times New Roman"/>
          <w:sz w:val="24"/>
          <w:szCs w:val="24"/>
        </w:rPr>
        <w:t>entitățile verificate</w:t>
      </w:r>
      <w:r w:rsidRPr="00250E50">
        <w:rPr>
          <w:rFonts w:ascii="Times New Roman" w:hAnsi="Times New Roman" w:cs="Times New Roman"/>
          <w:sz w:val="24"/>
          <w:szCs w:val="24"/>
        </w:rPr>
        <w:t xml:space="preserve"> </w:t>
      </w:r>
      <w:r>
        <w:rPr>
          <w:rFonts w:ascii="Times New Roman" w:hAnsi="Times New Roman" w:cs="Times New Roman"/>
          <w:sz w:val="24"/>
          <w:szCs w:val="24"/>
        </w:rPr>
        <w:t xml:space="preserve">în cadrul auditului </w:t>
      </w:r>
      <w:r w:rsidRPr="00250E50">
        <w:rPr>
          <w:rFonts w:ascii="Times New Roman" w:hAnsi="Times New Roman" w:cs="Times New Roman"/>
          <w:sz w:val="24"/>
          <w:szCs w:val="24"/>
        </w:rPr>
        <w:t>sunt persoane juridice distincte, acestea își organizează și raportează independent funcționalitatea sistemului</w:t>
      </w:r>
      <w:r w:rsidRPr="00250E50">
        <w:rPr>
          <w:rFonts w:ascii="Times New Roman" w:eastAsia="Calibri" w:hAnsi="Times New Roman" w:cs="Times New Roman"/>
          <w:sz w:val="24"/>
          <w:szCs w:val="24"/>
        </w:rPr>
        <w:t xml:space="preserve"> de control intern managerial instituit</w:t>
      </w:r>
      <w:r w:rsidRPr="00250E50">
        <w:rPr>
          <w:rFonts w:ascii="Times New Roman" w:hAnsi="Times New Roman" w:cs="Times New Roman"/>
          <w:sz w:val="24"/>
          <w:szCs w:val="24"/>
          <w:vertAlign w:val="superscript"/>
        </w:rPr>
        <w:footnoteReference w:id="188"/>
      </w:r>
      <w:r w:rsidRPr="00250E50">
        <w:rPr>
          <w:rFonts w:ascii="Times New Roman" w:eastAsia="Calibri" w:hAnsi="Times New Roman" w:cs="Times New Roman"/>
          <w:sz w:val="24"/>
          <w:szCs w:val="24"/>
        </w:rPr>
        <w:t>.</w:t>
      </w:r>
      <w:r>
        <w:rPr>
          <w:rFonts w:ascii="Times New Roman" w:eastAsia="Calibri" w:hAnsi="Times New Roman" w:cs="Times New Roman"/>
          <w:sz w:val="24"/>
          <w:szCs w:val="24"/>
        </w:rPr>
        <w:t xml:space="preserve"> V</w:t>
      </w:r>
      <w:r w:rsidRPr="001943A1">
        <w:rPr>
          <w:rFonts w:ascii="Times New Roman" w:hAnsi="Times New Roman" w:cs="Times New Roman"/>
          <w:sz w:val="24"/>
          <w:szCs w:val="24"/>
        </w:rPr>
        <w:t>erificările de audit în acest sens au relevat că Cancelaria de Stat și I</w:t>
      </w:r>
      <w:r>
        <w:rPr>
          <w:rFonts w:ascii="Times New Roman" w:hAnsi="Times New Roman" w:cs="Times New Roman"/>
          <w:sz w:val="24"/>
          <w:szCs w:val="24"/>
        </w:rPr>
        <w:t>.</w:t>
      </w:r>
      <w:r w:rsidRPr="001943A1">
        <w:rPr>
          <w:rFonts w:ascii="Times New Roman" w:hAnsi="Times New Roman" w:cs="Times New Roman"/>
          <w:sz w:val="24"/>
          <w:szCs w:val="24"/>
        </w:rPr>
        <w:t>P</w:t>
      </w:r>
      <w:r>
        <w:rPr>
          <w:rFonts w:ascii="Times New Roman" w:hAnsi="Times New Roman" w:cs="Times New Roman"/>
          <w:sz w:val="24"/>
          <w:szCs w:val="24"/>
        </w:rPr>
        <w:t>.</w:t>
      </w:r>
      <w:r w:rsidRPr="001943A1">
        <w:rPr>
          <w:rFonts w:ascii="Times New Roman" w:hAnsi="Times New Roman" w:cs="Times New Roman"/>
          <w:sz w:val="24"/>
          <w:szCs w:val="24"/>
        </w:rPr>
        <w:t xml:space="preserve"> monitorizate au asigurat autoevaluarea și aprecierea organizării sistemului de control intern. Astfel, potrivit Declarațiilor de răspundere managerială, în perioada auditată 2018-2022, Cancelaria de Stat și instituțiile monitorizate</w:t>
      </w:r>
      <w:r>
        <w:rPr>
          <w:rFonts w:ascii="Times New Roman" w:hAnsi="Times New Roman" w:cs="Times New Roman"/>
          <w:sz w:val="24"/>
          <w:szCs w:val="24"/>
        </w:rPr>
        <w:t xml:space="preserve"> au</w:t>
      </w:r>
      <w:r w:rsidRPr="001943A1">
        <w:rPr>
          <w:rFonts w:ascii="Times New Roman" w:hAnsi="Times New Roman" w:cs="Times New Roman"/>
          <w:sz w:val="24"/>
          <w:szCs w:val="24"/>
        </w:rPr>
        <w:t xml:space="preserve"> dispu</w:t>
      </w:r>
      <w:r>
        <w:rPr>
          <w:rFonts w:ascii="Times New Roman" w:hAnsi="Times New Roman" w:cs="Times New Roman"/>
          <w:sz w:val="24"/>
          <w:szCs w:val="24"/>
        </w:rPr>
        <w:t>s</w:t>
      </w:r>
      <w:r w:rsidRPr="001943A1">
        <w:rPr>
          <w:rFonts w:ascii="Times New Roman" w:hAnsi="Times New Roman" w:cs="Times New Roman"/>
          <w:sz w:val="24"/>
          <w:szCs w:val="24"/>
        </w:rPr>
        <w:t xml:space="preserve"> de un sistem de control intern managerial a</w:t>
      </w:r>
      <w:r>
        <w:rPr>
          <w:rFonts w:ascii="Times New Roman" w:hAnsi="Times New Roman" w:cs="Times New Roman"/>
          <w:sz w:val="24"/>
          <w:szCs w:val="24"/>
        </w:rPr>
        <w:t>le</w:t>
      </w:r>
      <w:r w:rsidRPr="001943A1">
        <w:rPr>
          <w:rFonts w:ascii="Times New Roman" w:hAnsi="Times New Roman" w:cs="Times New Roman"/>
          <w:sz w:val="24"/>
          <w:szCs w:val="24"/>
        </w:rPr>
        <w:t xml:space="preserve"> cărui organizare și </w:t>
      </w:r>
      <w:r w:rsidRPr="00C40D7A">
        <w:rPr>
          <w:rFonts w:ascii="Times New Roman" w:hAnsi="Times New Roman" w:cs="Times New Roman"/>
          <w:sz w:val="24"/>
          <w:szCs w:val="24"/>
        </w:rPr>
        <w:t xml:space="preserve">funcționare </w:t>
      </w:r>
      <w:r>
        <w:rPr>
          <w:rFonts w:ascii="Times New Roman" w:hAnsi="Times New Roman" w:cs="Times New Roman"/>
          <w:sz w:val="24"/>
          <w:szCs w:val="24"/>
        </w:rPr>
        <w:t>permit</w:t>
      </w:r>
      <w:r w:rsidRPr="00C40D7A">
        <w:rPr>
          <w:rFonts w:ascii="Times New Roman" w:hAnsi="Times New Roman" w:cs="Times New Roman"/>
          <w:sz w:val="24"/>
          <w:szCs w:val="24"/>
        </w:rPr>
        <w:t xml:space="preserve"> parțial</w:t>
      </w:r>
      <w:r w:rsidRPr="00C40D7A">
        <w:rPr>
          <w:rStyle w:val="a5"/>
          <w:rFonts w:ascii="Times New Roman" w:hAnsi="Times New Roman" w:cs="Times New Roman"/>
          <w:sz w:val="24"/>
          <w:szCs w:val="24"/>
        </w:rPr>
        <w:footnoteReference w:id="189"/>
      </w:r>
      <w:r w:rsidRPr="001943A1">
        <w:rPr>
          <w:rFonts w:ascii="Times New Roman" w:hAnsi="Times New Roman" w:cs="Times New Roman"/>
          <w:sz w:val="24"/>
          <w:szCs w:val="24"/>
        </w:rPr>
        <w:t xml:space="preserve"> furnizarea unei asigurări rezonabile precum că fondurile publice alocate în scopul atingerii obiectivelor strategice și operaționale au fost utilizate în condiții de transparență, economicitate, eficiență, eficacitate, legalitate, etică și integritate. </w:t>
      </w:r>
    </w:p>
    <w:p w14:paraId="4B790EC3" w14:textId="77777777" w:rsidR="009547A2" w:rsidRPr="001943A1" w:rsidRDefault="009547A2" w:rsidP="009547A2">
      <w:pPr>
        <w:spacing w:after="0" w:line="276" w:lineRule="auto"/>
        <w:jc w:val="both"/>
        <w:rPr>
          <w:rFonts w:ascii="Times New Roman" w:hAnsi="Times New Roman" w:cs="Times New Roman"/>
          <w:sz w:val="24"/>
          <w:szCs w:val="24"/>
        </w:rPr>
      </w:pPr>
      <w:r w:rsidRPr="00250E50">
        <w:rPr>
          <w:rFonts w:ascii="Times New Roman" w:hAnsi="Times New Roman" w:cs="Times New Roman"/>
          <w:sz w:val="24"/>
          <w:szCs w:val="24"/>
        </w:rPr>
        <w:t xml:space="preserve">Implementarea parțială a sistemului de control intern în cadrul </w:t>
      </w:r>
      <w:r>
        <w:rPr>
          <w:rFonts w:ascii="Times New Roman" w:hAnsi="Times New Roman" w:cs="Times New Roman"/>
          <w:sz w:val="24"/>
          <w:szCs w:val="24"/>
        </w:rPr>
        <w:t>entităților verificate</w:t>
      </w:r>
      <w:r w:rsidRPr="00250E50">
        <w:rPr>
          <w:rFonts w:ascii="Times New Roman" w:hAnsi="Times New Roman" w:cs="Times New Roman"/>
          <w:sz w:val="24"/>
          <w:szCs w:val="24"/>
        </w:rPr>
        <w:t xml:space="preserve"> este constatată</w:t>
      </w:r>
      <w:r>
        <w:rPr>
          <w:rFonts w:ascii="Times New Roman" w:hAnsi="Times New Roman" w:cs="Times New Roman"/>
          <w:sz w:val="24"/>
          <w:szCs w:val="24"/>
        </w:rPr>
        <w:t xml:space="preserve"> </w:t>
      </w:r>
      <w:r w:rsidRPr="00250E50">
        <w:rPr>
          <w:rFonts w:ascii="Times New Roman" w:hAnsi="Times New Roman" w:cs="Times New Roman"/>
          <w:sz w:val="24"/>
          <w:szCs w:val="24"/>
        </w:rPr>
        <w:t>și de audit</w:t>
      </w:r>
      <w:r>
        <w:rPr>
          <w:rFonts w:ascii="Times New Roman" w:hAnsi="Times New Roman" w:cs="Times New Roman"/>
          <w:sz w:val="24"/>
          <w:szCs w:val="24"/>
        </w:rPr>
        <w:t>, având în vedere observațiile raportului de audit</w:t>
      </w:r>
      <w:r w:rsidRPr="00250E50">
        <w:rPr>
          <w:rFonts w:ascii="Times New Roman" w:hAnsi="Times New Roman" w:cs="Times New Roman"/>
          <w:sz w:val="24"/>
          <w:szCs w:val="24"/>
        </w:rPr>
        <w:t xml:space="preserve">, atestându-se că acesta se află în etapa de implementare, </w:t>
      </w:r>
      <w:r>
        <w:rPr>
          <w:rFonts w:ascii="Times New Roman" w:hAnsi="Times New Roman" w:cs="Times New Roman"/>
          <w:sz w:val="24"/>
          <w:szCs w:val="24"/>
        </w:rPr>
        <w:t>întrucât</w:t>
      </w:r>
      <w:r w:rsidRPr="00250E50">
        <w:rPr>
          <w:rFonts w:ascii="Times New Roman" w:hAnsi="Times New Roman" w:cs="Times New Roman"/>
          <w:sz w:val="24"/>
          <w:szCs w:val="24"/>
        </w:rPr>
        <w:t xml:space="preserve"> </w:t>
      </w:r>
      <w:r>
        <w:rPr>
          <w:rFonts w:ascii="Times New Roman" w:hAnsi="Times New Roman" w:cs="Times New Roman"/>
          <w:sz w:val="24"/>
          <w:szCs w:val="24"/>
        </w:rPr>
        <w:t>unele entități</w:t>
      </w:r>
      <w:r w:rsidRPr="00250E50">
        <w:rPr>
          <w:rFonts w:ascii="Times New Roman" w:hAnsi="Times New Roman" w:cs="Times New Roman"/>
          <w:sz w:val="24"/>
          <w:szCs w:val="24"/>
        </w:rPr>
        <w:t xml:space="preserve"> nu dispun</w:t>
      </w:r>
      <w:r w:rsidRPr="001943A1">
        <w:rPr>
          <w:rFonts w:ascii="Times New Roman" w:hAnsi="Times New Roman" w:cs="Times New Roman"/>
          <w:sz w:val="24"/>
          <w:szCs w:val="24"/>
        </w:rPr>
        <w:t>:</w:t>
      </w:r>
    </w:p>
    <w:p w14:paraId="7E383C4E" w14:textId="77777777" w:rsidR="009547A2" w:rsidRPr="004C3E12" w:rsidRDefault="009547A2" w:rsidP="009547A2">
      <w:pPr>
        <w:numPr>
          <w:ilvl w:val="0"/>
          <w:numId w:val="30"/>
        </w:numPr>
        <w:tabs>
          <w:tab w:val="left" w:pos="426"/>
        </w:tabs>
        <w:spacing w:after="0" w:line="276" w:lineRule="auto"/>
        <w:contextualSpacing/>
        <w:jc w:val="both"/>
        <w:rPr>
          <w:rFonts w:ascii="Times New Roman" w:hAnsi="Times New Roman" w:cs="Times New Roman"/>
          <w:color w:val="000000" w:themeColor="text1"/>
          <w:sz w:val="24"/>
          <w:szCs w:val="24"/>
        </w:rPr>
      </w:pPr>
      <w:r w:rsidRPr="003C7EC0">
        <w:rPr>
          <w:rFonts w:ascii="Times New Roman" w:hAnsi="Times New Roman" w:cs="Times New Roman"/>
          <w:color w:val="000000" w:themeColor="text1"/>
          <w:sz w:val="24"/>
          <w:szCs w:val="24"/>
        </w:rPr>
        <w:t>de procese operaționale descrise aferente: a)</w:t>
      </w:r>
      <w:r>
        <w:rPr>
          <w:rFonts w:ascii="Times New Roman" w:hAnsi="Times New Roman" w:cs="Times New Roman"/>
          <w:color w:val="000000" w:themeColor="text1"/>
          <w:sz w:val="24"/>
          <w:szCs w:val="24"/>
        </w:rPr>
        <w:t xml:space="preserve"> </w:t>
      </w:r>
      <w:r w:rsidRPr="003C7EC0">
        <w:rPr>
          <w:rFonts w:ascii="Times New Roman" w:hAnsi="Times New Roman" w:cs="Times New Roman"/>
          <w:color w:val="000000" w:themeColor="text1"/>
          <w:sz w:val="24"/>
          <w:szCs w:val="24"/>
        </w:rPr>
        <w:t xml:space="preserve">elaborării proiectului de buget anual; b) gestionarii patrimoniului public; c) dării în arendă a patrimoniului gestionat; d) desfășurării achizițiilor publice; e) </w:t>
      </w:r>
      <w:r>
        <w:rPr>
          <w:rFonts w:ascii="Times New Roman" w:hAnsi="Times New Roman" w:cs="Times New Roman"/>
          <w:color w:val="000000" w:themeColor="text1"/>
          <w:sz w:val="24"/>
          <w:szCs w:val="24"/>
        </w:rPr>
        <w:t xml:space="preserve">reparațiilor curente și capitale ale bunurilor imobile; d) reparațiilor și </w:t>
      </w:r>
      <w:r w:rsidRPr="003C7EC0">
        <w:rPr>
          <w:rFonts w:ascii="Times New Roman" w:hAnsi="Times New Roman" w:cs="Times New Roman"/>
          <w:color w:val="000000" w:themeColor="text1"/>
          <w:sz w:val="24"/>
          <w:szCs w:val="24"/>
        </w:rPr>
        <w:t>exploatării mijloacelor de transport ș</w:t>
      </w:r>
      <w:r>
        <w:rPr>
          <w:rFonts w:ascii="Times New Roman" w:hAnsi="Times New Roman" w:cs="Times New Roman"/>
          <w:color w:val="000000" w:themeColor="text1"/>
          <w:sz w:val="24"/>
          <w:szCs w:val="24"/>
        </w:rPr>
        <w:t>i consumul de combustibil etc</w:t>
      </w:r>
      <w:r w:rsidRPr="004C3E1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14:paraId="4E6E8B00" w14:textId="77777777" w:rsidR="009547A2" w:rsidRDefault="009547A2" w:rsidP="009547A2">
      <w:pPr>
        <w:pStyle w:val="a7"/>
        <w:numPr>
          <w:ilvl w:val="0"/>
          <w:numId w:val="30"/>
        </w:numPr>
        <w:spacing w:after="120"/>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 xml:space="preserve">de procese de </w:t>
      </w:r>
      <w:r w:rsidRPr="003C7EC0">
        <w:rPr>
          <w:rFonts w:ascii="Times New Roman" w:hAnsi="Times New Roman" w:cs="Times New Roman"/>
          <w:sz w:val="24"/>
          <w:szCs w:val="24"/>
        </w:rPr>
        <w:t>implementare</w:t>
      </w:r>
      <w:r>
        <w:rPr>
          <w:rFonts w:ascii="Times New Roman" w:hAnsi="Times New Roman" w:cs="Times New Roman"/>
          <w:sz w:val="24"/>
          <w:szCs w:val="24"/>
        </w:rPr>
        <w:t xml:space="preserve"> </w:t>
      </w:r>
      <w:r w:rsidRPr="003C7EC0">
        <w:rPr>
          <w:rFonts w:ascii="Times New Roman" w:hAnsi="Times New Roman" w:cs="Times New Roman"/>
          <w:sz w:val="24"/>
          <w:szCs w:val="24"/>
        </w:rPr>
        <w:t>a componentei legate de managementul riscurilor privind gestionarea mijloacelor bugetare, inclusiv: evaluarea riscurilor, stabilirea reacției la riscuri, determinarea activităților de control, precum și a persoanelor responsabile de implementarea, monit</w:t>
      </w:r>
      <w:r>
        <w:rPr>
          <w:rFonts w:ascii="Times New Roman" w:hAnsi="Times New Roman" w:cs="Times New Roman"/>
          <w:sz w:val="24"/>
          <w:szCs w:val="24"/>
        </w:rPr>
        <w:t>orizarea și raportarea acestora.</w:t>
      </w:r>
    </w:p>
    <w:p w14:paraId="01D752D9" w14:textId="77777777" w:rsidR="009547A2" w:rsidRPr="003B329E" w:rsidRDefault="009547A2" w:rsidP="009547A2">
      <w:pPr>
        <w:spacing w:before="120" w:after="120" w:line="276" w:lineRule="auto"/>
        <w:jc w:val="both"/>
        <w:rPr>
          <w:rFonts w:ascii="Times New Roman" w:hAnsi="Times New Roman" w:cs="Times New Roman"/>
          <w:bCs/>
          <w:sz w:val="24"/>
          <w:szCs w:val="24"/>
          <w:lang w:eastAsia="ro-RO"/>
        </w:rPr>
      </w:pPr>
      <w:r>
        <w:rPr>
          <w:rFonts w:ascii="Times New Roman" w:hAnsi="Times New Roman" w:cs="Times New Roman"/>
          <w:bCs/>
          <w:sz w:val="24"/>
          <w:szCs w:val="24"/>
          <w:lang w:eastAsia="ro-RO"/>
        </w:rPr>
        <w:t>R</w:t>
      </w:r>
      <w:r w:rsidRPr="00363A95">
        <w:rPr>
          <w:rFonts w:ascii="Times New Roman" w:hAnsi="Times New Roman" w:cs="Times New Roman"/>
          <w:bCs/>
          <w:sz w:val="24"/>
          <w:szCs w:val="24"/>
          <w:lang w:eastAsia="ro-RO"/>
        </w:rPr>
        <w:t xml:space="preserve">ezerve semnificative </w:t>
      </w:r>
      <w:r>
        <w:rPr>
          <w:rFonts w:ascii="Times New Roman" w:hAnsi="Times New Roman" w:cs="Times New Roman"/>
          <w:bCs/>
          <w:sz w:val="24"/>
          <w:szCs w:val="24"/>
          <w:lang w:eastAsia="ro-RO"/>
        </w:rPr>
        <w:t xml:space="preserve">se atestă și </w:t>
      </w:r>
      <w:r w:rsidRPr="00363A95">
        <w:rPr>
          <w:rFonts w:ascii="Times New Roman" w:hAnsi="Times New Roman" w:cs="Times New Roman"/>
          <w:bCs/>
          <w:sz w:val="24"/>
          <w:szCs w:val="24"/>
          <w:lang w:eastAsia="ro-RO"/>
        </w:rPr>
        <w:t xml:space="preserve">la aspectul conformării </w:t>
      </w:r>
      <w:r>
        <w:rPr>
          <w:rFonts w:ascii="Times New Roman" w:hAnsi="Times New Roman" w:cs="Times New Roman"/>
          <w:bCs/>
          <w:sz w:val="24"/>
          <w:szCs w:val="24"/>
          <w:lang w:eastAsia="ro-RO"/>
        </w:rPr>
        <w:t xml:space="preserve">unor </w:t>
      </w:r>
      <w:r w:rsidRPr="00363A95">
        <w:rPr>
          <w:rFonts w:ascii="Times New Roman" w:hAnsi="Times New Roman" w:cs="Times New Roman"/>
          <w:bCs/>
          <w:sz w:val="24"/>
          <w:szCs w:val="24"/>
          <w:lang w:eastAsia="ro-RO"/>
        </w:rPr>
        <w:t xml:space="preserve">instituții publice privind </w:t>
      </w:r>
      <w:r>
        <w:rPr>
          <w:rFonts w:ascii="Times New Roman" w:hAnsi="Times New Roman" w:cs="Times New Roman"/>
          <w:bCs/>
          <w:sz w:val="24"/>
          <w:szCs w:val="24"/>
          <w:lang w:eastAsia="ro-RO"/>
        </w:rPr>
        <w:t>respectarea principiului bunei guvernări, și anume asigurarea</w:t>
      </w:r>
      <w:r w:rsidRPr="00363A95">
        <w:rPr>
          <w:rFonts w:ascii="Times New Roman" w:hAnsi="Times New Roman" w:cs="Times New Roman"/>
          <w:bCs/>
          <w:sz w:val="24"/>
          <w:szCs w:val="24"/>
          <w:lang w:eastAsia="ro-RO"/>
        </w:rPr>
        <w:t xml:space="preserve"> transparenței asupra informațiilor obținute.</w:t>
      </w:r>
      <w:r>
        <w:rPr>
          <w:rFonts w:ascii="Times New Roman" w:hAnsi="Times New Roman" w:cs="Times New Roman"/>
          <w:bCs/>
          <w:sz w:val="24"/>
          <w:szCs w:val="24"/>
          <w:lang w:eastAsia="ro-RO"/>
        </w:rPr>
        <w:t xml:space="preserve"> </w:t>
      </w:r>
      <w:r w:rsidRPr="003B329E">
        <w:rPr>
          <w:rFonts w:ascii="Times New Roman" w:hAnsi="Times New Roman" w:cs="Times New Roman"/>
          <w:bCs/>
          <w:sz w:val="24"/>
          <w:szCs w:val="24"/>
          <w:lang w:eastAsia="ro-RO"/>
        </w:rPr>
        <w:t>În conformitate cu prevederile</w:t>
      </w:r>
      <w:r w:rsidRPr="003B329E">
        <w:rPr>
          <w:rFonts w:ascii="Times New Roman" w:hAnsi="Times New Roman" w:cs="Times New Roman"/>
          <w:vertAlign w:val="superscript"/>
        </w:rPr>
        <w:footnoteReference w:id="190"/>
      </w:r>
      <w:r w:rsidRPr="003B329E">
        <w:rPr>
          <w:rFonts w:ascii="Times New Roman" w:hAnsi="Times New Roman" w:cs="Times New Roman"/>
          <w:bCs/>
          <w:sz w:val="24"/>
          <w:szCs w:val="24"/>
          <w:vertAlign w:val="superscript"/>
          <w:lang w:eastAsia="ro-RO"/>
        </w:rPr>
        <w:t xml:space="preserve"> </w:t>
      </w:r>
      <w:r w:rsidRPr="003B329E">
        <w:rPr>
          <w:rFonts w:ascii="Times New Roman" w:hAnsi="Times New Roman" w:cs="Times New Roman"/>
          <w:bCs/>
          <w:sz w:val="24"/>
          <w:szCs w:val="24"/>
          <w:lang w:eastAsia="ro-RO"/>
        </w:rPr>
        <w:t>statutelor I.P. „Pensiunea din Holercani” și I.P. „Palatul Republicii”, directorul are obligativitatea privind plasarea pe pagina web oficială a Instituției, în termen de 120 de zile de la finele fiecărui an de gestiune, a informații</w:t>
      </w:r>
      <w:r>
        <w:rPr>
          <w:rFonts w:ascii="Times New Roman" w:hAnsi="Times New Roman" w:cs="Times New Roman"/>
          <w:bCs/>
          <w:sz w:val="24"/>
          <w:szCs w:val="24"/>
          <w:lang w:eastAsia="ro-RO"/>
        </w:rPr>
        <w:t>lor</w:t>
      </w:r>
      <w:r w:rsidRPr="003B329E">
        <w:rPr>
          <w:rFonts w:ascii="Times New Roman" w:hAnsi="Times New Roman" w:cs="Times New Roman"/>
          <w:bCs/>
          <w:sz w:val="24"/>
          <w:szCs w:val="24"/>
          <w:lang w:eastAsia="ro-RO"/>
        </w:rPr>
        <w:t xml:space="preserve"> privind activitatea entității,</w:t>
      </w:r>
      <w:r>
        <w:rPr>
          <w:rFonts w:ascii="Times New Roman" w:hAnsi="Times New Roman" w:cs="Times New Roman"/>
          <w:bCs/>
          <w:sz w:val="24"/>
          <w:szCs w:val="24"/>
          <w:lang w:eastAsia="ro-RO"/>
        </w:rPr>
        <w:t xml:space="preserve"> regulă nerespectată de către entități. </w:t>
      </w:r>
      <w:r w:rsidRPr="003B329E">
        <w:rPr>
          <w:rFonts w:ascii="Times New Roman" w:hAnsi="Times New Roman" w:cs="Times New Roman"/>
          <w:bCs/>
          <w:sz w:val="24"/>
          <w:szCs w:val="24"/>
          <w:lang w:eastAsia="ro-RO"/>
        </w:rPr>
        <w:t>Astfel, dacă I.P. „Palatul Republicii” asigură publicarea selectivă și minimă a unor informații despre activitatea entității</w:t>
      </w:r>
      <w:r>
        <w:rPr>
          <w:rFonts w:ascii="Times New Roman" w:hAnsi="Times New Roman" w:cs="Times New Roman"/>
          <w:bCs/>
          <w:sz w:val="24"/>
          <w:szCs w:val="24"/>
          <w:lang w:eastAsia="ro-RO"/>
        </w:rPr>
        <w:t>,</w:t>
      </w:r>
      <w:r w:rsidRPr="003B329E">
        <w:rPr>
          <w:rFonts w:ascii="Times New Roman" w:hAnsi="Times New Roman" w:cs="Times New Roman"/>
          <w:bCs/>
          <w:sz w:val="24"/>
          <w:szCs w:val="24"/>
          <w:lang w:eastAsia="ro-RO"/>
        </w:rPr>
        <w:t xml:space="preserve"> atunci la I.P. „Pensiunea din Holercani” pe pagina oficială nu este plasat niciun document care ar denota respectarea principiului transparenței de către instituție. La fel, instituțiile vizate supra nu asigură plasarea tarifelor și nomenclatorul</w:t>
      </w:r>
      <w:r>
        <w:rPr>
          <w:rFonts w:ascii="Times New Roman" w:hAnsi="Times New Roman" w:cs="Times New Roman"/>
          <w:bCs/>
          <w:sz w:val="24"/>
          <w:szCs w:val="24"/>
          <w:lang w:eastAsia="ro-RO"/>
        </w:rPr>
        <w:t>ui</w:t>
      </w:r>
      <w:r w:rsidRPr="003B329E">
        <w:rPr>
          <w:rFonts w:ascii="Times New Roman" w:hAnsi="Times New Roman" w:cs="Times New Roman"/>
          <w:bCs/>
          <w:sz w:val="24"/>
          <w:szCs w:val="24"/>
          <w:lang w:eastAsia="ro-RO"/>
        </w:rPr>
        <w:t xml:space="preserve"> serviciilor prestate</w:t>
      </w:r>
      <w:r>
        <w:rPr>
          <w:rFonts w:ascii="Times New Roman" w:hAnsi="Times New Roman" w:cs="Times New Roman"/>
          <w:bCs/>
          <w:sz w:val="24"/>
          <w:szCs w:val="24"/>
          <w:lang w:eastAsia="ro-RO"/>
        </w:rPr>
        <w:t>,</w:t>
      </w:r>
      <w:r w:rsidRPr="003B329E">
        <w:rPr>
          <w:rFonts w:ascii="Times New Roman" w:hAnsi="Times New Roman" w:cs="Times New Roman"/>
          <w:bCs/>
          <w:sz w:val="24"/>
          <w:szCs w:val="24"/>
          <w:lang w:eastAsia="ro-RO"/>
        </w:rPr>
        <w:t xml:space="preserve"> ceea ce reduce din valorificarea întregului potențial al serviciilor prestate de entități, </w:t>
      </w:r>
      <w:r>
        <w:rPr>
          <w:rFonts w:ascii="Times New Roman" w:hAnsi="Times New Roman" w:cs="Times New Roman"/>
          <w:bCs/>
          <w:sz w:val="24"/>
          <w:szCs w:val="24"/>
          <w:lang w:eastAsia="ro-RO"/>
        </w:rPr>
        <w:t xml:space="preserve">cu impact  negativ și asupra </w:t>
      </w:r>
      <w:r w:rsidRPr="003B329E">
        <w:rPr>
          <w:rFonts w:ascii="Times New Roman" w:hAnsi="Times New Roman" w:cs="Times New Roman"/>
          <w:bCs/>
          <w:sz w:val="24"/>
          <w:szCs w:val="24"/>
          <w:lang w:eastAsia="ro-RO"/>
        </w:rPr>
        <w:t>venituril</w:t>
      </w:r>
      <w:r>
        <w:rPr>
          <w:rFonts w:ascii="Times New Roman" w:hAnsi="Times New Roman" w:cs="Times New Roman"/>
          <w:bCs/>
          <w:sz w:val="24"/>
          <w:szCs w:val="24"/>
          <w:lang w:eastAsia="ro-RO"/>
        </w:rPr>
        <w:t>or</w:t>
      </w:r>
      <w:r w:rsidRPr="003B329E">
        <w:rPr>
          <w:rFonts w:ascii="Times New Roman" w:hAnsi="Times New Roman" w:cs="Times New Roman"/>
          <w:bCs/>
          <w:sz w:val="24"/>
          <w:szCs w:val="24"/>
          <w:lang w:eastAsia="ro-RO"/>
        </w:rPr>
        <w:t xml:space="preserve"> acumulate.</w:t>
      </w:r>
    </w:p>
    <w:p w14:paraId="33766DDC" w14:textId="47041FD2" w:rsidR="003F222E" w:rsidRPr="00C013B0" w:rsidRDefault="00E81E25" w:rsidP="00E81E25">
      <w:pPr>
        <w:pStyle w:val="a7"/>
        <w:numPr>
          <w:ilvl w:val="2"/>
          <w:numId w:val="4"/>
        </w:numPr>
        <w:tabs>
          <w:tab w:val="left" w:pos="567"/>
        </w:tabs>
        <w:spacing w:before="120" w:after="120" w:line="276" w:lineRule="auto"/>
        <w:ind w:left="0" w:firstLine="0"/>
        <w:contextualSpacing w:val="0"/>
        <w:jc w:val="both"/>
        <w:rPr>
          <w:rFonts w:ascii="Times New Roman" w:hAnsi="Times New Roman" w:cs="Times New Roman"/>
          <w:b/>
          <w:sz w:val="24"/>
          <w:szCs w:val="24"/>
        </w:rPr>
      </w:pPr>
      <w:r>
        <w:rPr>
          <w:rFonts w:ascii="Times New Roman" w:eastAsia="Times New Roman" w:hAnsi="Times New Roman" w:cs="Times New Roman"/>
          <w:b/>
          <w:color w:val="0070C0"/>
          <w:sz w:val="24"/>
          <w:szCs w:val="24"/>
          <w:shd w:val="clear" w:color="auto" w:fill="FFFFFF"/>
        </w:rPr>
        <w:t>R</w:t>
      </w:r>
      <w:r w:rsidR="00605F34" w:rsidRPr="00C013B0">
        <w:rPr>
          <w:rFonts w:ascii="Times New Roman" w:eastAsia="Times New Roman" w:hAnsi="Times New Roman" w:cs="Times New Roman"/>
          <w:b/>
          <w:color w:val="0070C0"/>
          <w:sz w:val="24"/>
          <w:szCs w:val="24"/>
          <w:shd w:val="clear" w:color="auto" w:fill="FFFFFF"/>
        </w:rPr>
        <w:t>ecomandările</w:t>
      </w:r>
      <w:r w:rsidR="00605F34" w:rsidRPr="00C013B0">
        <w:rPr>
          <w:rFonts w:ascii="Times New Roman" w:hAnsi="Times New Roman" w:cs="Times New Roman"/>
          <w:b/>
          <w:sz w:val="24"/>
          <w:szCs w:val="24"/>
        </w:rPr>
        <w:t xml:space="preserve"> </w:t>
      </w:r>
      <w:r w:rsidR="00605F34" w:rsidRPr="00C013B0">
        <w:rPr>
          <w:rFonts w:ascii="Times New Roman" w:eastAsia="Times New Roman" w:hAnsi="Times New Roman" w:cs="Times New Roman"/>
          <w:b/>
          <w:color w:val="0070C0"/>
          <w:sz w:val="24"/>
          <w:szCs w:val="24"/>
          <w:shd w:val="clear" w:color="auto" w:fill="FFFFFF"/>
        </w:rPr>
        <w:t xml:space="preserve">înaintate prin hotărârile anterioare ale Curții de Conturi au fost </w:t>
      </w:r>
      <w:r w:rsidR="00E12BCC">
        <w:rPr>
          <w:rFonts w:ascii="Times New Roman" w:eastAsia="Times New Roman" w:hAnsi="Times New Roman" w:cs="Times New Roman"/>
          <w:b/>
          <w:color w:val="0070C0"/>
          <w:sz w:val="24"/>
          <w:szCs w:val="24"/>
          <w:shd w:val="clear" w:color="auto" w:fill="FFFFFF"/>
        </w:rPr>
        <w:t>par</w:t>
      </w:r>
      <w:r w:rsidR="00D347E2">
        <w:rPr>
          <w:rFonts w:ascii="Times New Roman" w:eastAsia="Times New Roman" w:hAnsi="Times New Roman" w:cs="Times New Roman"/>
          <w:b/>
          <w:color w:val="0070C0"/>
          <w:sz w:val="24"/>
          <w:szCs w:val="24"/>
          <w:shd w:val="clear" w:color="auto" w:fill="FFFFFF"/>
        </w:rPr>
        <w:t>ț</w:t>
      </w:r>
      <w:r w:rsidR="00E12BCC">
        <w:rPr>
          <w:rFonts w:ascii="Times New Roman" w:eastAsia="Times New Roman" w:hAnsi="Times New Roman" w:cs="Times New Roman"/>
          <w:b/>
          <w:color w:val="0070C0"/>
          <w:sz w:val="24"/>
          <w:szCs w:val="24"/>
          <w:shd w:val="clear" w:color="auto" w:fill="FFFFFF"/>
        </w:rPr>
        <w:t xml:space="preserve">ial </w:t>
      </w:r>
      <w:r w:rsidR="00605F34" w:rsidRPr="00C013B0">
        <w:rPr>
          <w:rFonts w:ascii="Times New Roman" w:eastAsia="Times New Roman" w:hAnsi="Times New Roman" w:cs="Times New Roman"/>
          <w:b/>
          <w:color w:val="0070C0"/>
          <w:sz w:val="24"/>
          <w:szCs w:val="24"/>
          <w:shd w:val="clear" w:color="auto" w:fill="FFFFFF"/>
        </w:rPr>
        <w:t>i</w:t>
      </w:r>
      <w:r w:rsidR="000E7FC0" w:rsidRPr="00C013B0">
        <w:rPr>
          <w:rFonts w:ascii="Times New Roman" w:eastAsia="Times New Roman" w:hAnsi="Times New Roman" w:cs="Times New Roman"/>
          <w:b/>
          <w:color w:val="0070C0"/>
          <w:sz w:val="24"/>
          <w:szCs w:val="24"/>
          <w:shd w:val="clear" w:color="auto" w:fill="FFFFFF"/>
        </w:rPr>
        <w:t>mplementate</w:t>
      </w:r>
      <w:r w:rsidR="00605F34" w:rsidRPr="00C013B0">
        <w:rPr>
          <w:rFonts w:ascii="Times New Roman" w:hAnsi="Times New Roman" w:cs="Times New Roman"/>
          <w:b/>
          <w:sz w:val="24"/>
          <w:szCs w:val="24"/>
        </w:rPr>
        <w:t xml:space="preserve"> </w:t>
      </w:r>
    </w:p>
    <w:p w14:paraId="792CFBC8" w14:textId="77777777" w:rsidR="00B73D05" w:rsidRPr="00080136" w:rsidRDefault="00B73D05" w:rsidP="00B73D05">
      <w:pPr>
        <w:spacing w:after="0"/>
        <w:jc w:val="both"/>
        <w:rPr>
          <w:rFonts w:ascii="Times New Roman" w:hAnsi="Times New Roman" w:cs="Times New Roman"/>
          <w:sz w:val="24"/>
          <w:szCs w:val="24"/>
        </w:rPr>
      </w:pPr>
      <w:r w:rsidRPr="00080136">
        <w:rPr>
          <w:rFonts w:ascii="Times New Roman" w:hAnsi="Times New Roman" w:cs="Times New Roman"/>
          <w:sz w:val="24"/>
          <w:szCs w:val="24"/>
        </w:rPr>
        <w:t>Cancelariei de Stat și instituțiilor monitorizate de către aceasta, vizate în raportul de audit, le-au fost înaintate</w:t>
      </w:r>
      <w:r>
        <w:rPr>
          <w:rFonts w:ascii="Times New Roman" w:hAnsi="Times New Roman" w:cs="Times New Roman"/>
          <w:sz w:val="24"/>
          <w:szCs w:val="24"/>
        </w:rPr>
        <w:t>,</w:t>
      </w:r>
      <w:r w:rsidRPr="00080136">
        <w:rPr>
          <w:rFonts w:ascii="Times New Roman" w:hAnsi="Times New Roman" w:cs="Times New Roman"/>
          <w:sz w:val="24"/>
          <w:szCs w:val="24"/>
        </w:rPr>
        <w:t xml:space="preserve"> în vederea remedierii erorilor constatate în misiunile de audit precedente, recomandări care au fost implementate</w:t>
      </w:r>
      <w:r>
        <w:rPr>
          <w:rFonts w:ascii="Times New Roman" w:hAnsi="Times New Roman" w:cs="Times New Roman"/>
          <w:sz w:val="24"/>
          <w:szCs w:val="24"/>
        </w:rPr>
        <w:t>,</w:t>
      </w:r>
      <w:r w:rsidRPr="00080136">
        <w:rPr>
          <w:rFonts w:ascii="Times New Roman" w:hAnsi="Times New Roman" w:cs="Times New Roman"/>
          <w:sz w:val="24"/>
          <w:szCs w:val="24"/>
        </w:rPr>
        <w:t xml:space="preserve"> după cum urmează:</w:t>
      </w:r>
    </w:p>
    <w:p w14:paraId="4DC4107B" w14:textId="77777777" w:rsidR="00B73D05" w:rsidRPr="00131033" w:rsidRDefault="00B73D05" w:rsidP="00B73D05">
      <w:pPr>
        <w:pStyle w:val="a7"/>
        <w:numPr>
          <w:ilvl w:val="0"/>
          <w:numId w:val="47"/>
        </w:numPr>
        <w:tabs>
          <w:tab w:val="left" w:pos="284"/>
        </w:tabs>
        <w:ind w:left="0" w:firstLine="0"/>
        <w:jc w:val="both"/>
        <w:rPr>
          <w:rFonts w:ascii="Times New Roman" w:hAnsi="Times New Roman" w:cs="Times New Roman"/>
          <w:b/>
          <w:i/>
          <w:sz w:val="24"/>
          <w:szCs w:val="24"/>
        </w:rPr>
      </w:pPr>
      <w:r>
        <w:rPr>
          <w:rFonts w:ascii="Times New Roman" w:hAnsi="Times New Roman" w:cs="Times New Roman"/>
          <w:i/>
          <w:sz w:val="24"/>
          <w:szCs w:val="24"/>
        </w:rPr>
        <w:t>c</w:t>
      </w:r>
      <w:r w:rsidRPr="00131033">
        <w:rPr>
          <w:rFonts w:ascii="Times New Roman" w:hAnsi="Times New Roman" w:cs="Times New Roman"/>
          <w:i/>
          <w:sz w:val="24"/>
          <w:szCs w:val="24"/>
        </w:rPr>
        <w:t xml:space="preserve">u referire la Hotărârea CCRM nr.90 din 12 decembrie 2018 „Cu privire la Raportul auditului situațiilor financiare consolidate ale Cancelariei de Stat încheiate la 31 decembrie 2017”, </w:t>
      </w:r>
      <w:r w:rsidRPr="00131033">
        <w:rPr>
          <w:rFonts w:ascii="Times New Roman" w:hAnsi="Times New Roman" w:cs="Times New Roman"/>
          <w:sz w:val="24"/>
          <w:szCs w:val="24"/>
        </w:rPr>
        <w:t>menționăm că recomandările înaintate au fost executate la nivel de 83,3</w:t>
      </w:r>
      <w:r w:rsidRPr="00BC3A32">
        <w:rPr>
          <w:rFonts w:ascii="Times New Roman" w:hAnsi="Times New Roman" w:cs="Times New Roman"/>
          <w:sz w:val="24"/>
          <w:szCs w:val="24"/>
        </w:rPr>
        <w:t>%</w:t>
      </w:r>
      <w:r>
        <w:rPr>
          <w:rFonts w:ascii="Times New Roman" w:hAnsi="Times New Roman" w:cs="Times New Roman"/>
          <w:sz w:val="24"/>
          <w:szCs w:val="24"/>
        </w:rPr>
        <w:t>:</w:t>
      </w:r>
      <w:r w:rsidRPr="00131033">
        <w:rPr>
          <w:rFonts w:ascii="Times New Roman" w:hAnsi="Times New Roman" w:cs="Times New Roman"/>
          <w:sz w:val="24"/>
          <w:szCs w:val="24"/>
        </w:rPr>
        <w:t xml:space="preserve"> din 3 recomandări de audit înaintate, 2 recomandări fiind executate și 1 recomandare </w:t>
      </w:r>
      <w:r w:rsidRPr="00BC3A32">
        <w:rPr>
          <w:rFonts w:ascii="Times New Roman" w:hAnsi="Times New Roman" w:cs="Times New Roman"/>
          <w:sz w:val="24"/>
          <w:szCs w:val="24"/>
        </w:rPr>
        <w:t>– parțial executată</w:t>
      </w:r>
      <w:r>
        <w:rPr>
          <w:rFonts w:ascii="Times New Roman" w:hAnsi="Times New Roman" w:cs="Times New Roman"/>
          <w:sz w:val="24"/>
          <w:szCs w:val="24"/>
        </w:rPr>
        <w:t>;</w:t>
      </w:r>
    </w:p>
    <w:p w14:paraId="75B91D04" w14:textId="77777777" w:rsidR="00B73D05" w:rsidRPr="00080136" w:rsidRDefault="00B73D05" w:rsidP="00B73D05">
      <w:pPr>
        <w:pStyle w:val="a7"/>
        <w:numPr>
          <w:ilvl w:val="0"/>
          <w:numId w:val="47"/>
        </w:numPr>
        <w:tabs>
          <w:tab w:val="left" w:pos="284"/>
        </w:tabs>
        <w:ind w:left="0" w:firstLine="0"/>
        <w:jc w:val="both"/>
        <w:rPr>
          <w:rFonts w:ascii="Times New Roman" w:hAnsi="Times New Roman" w:cs="Times New Roman"/>
          <w:b/>
          <w:i/>
          <w:sz w:val="24"/>
          <w:szCs w:val="24"/>
        </w:rPr>
      </w:pPr>
      <w:r>
        <w:rPr>
          <w:rFonts w:ascii="Times New Roman" w:hAnsi="Times New Roman" w:cs="Times New Roman"/>
          <w:i/>
          <w:sz w:val="24"/>
          <w:szCs w:val="24"/>
        </w:rPr>
        <w:t>c</w:t>
      </w:r>
      <w:r w:rsidRPr="00080136">
        <w:rPr>
          <w:rFonts w:ascii="Times New Roman" w:hAnsi="Times New Roman" w:cs="Times New Roman"/>
          <w:i/>
          <w:sz w:val="24"/>
          <w:szCs w:val="24"/>
        </w:rPr>
        <w:t xml:space="preserve">u referire la Hotărârea CCRM nr.24 din 18 mai 2013 </w:t>
      </w:r>
      <w:r>
        <w:rPr>
          <w:rFonts w:ascii="Times New Roman" w:hAnsi="Times New Roman" w:cs="Times New Roman"/>
          <w:i/>
          <w:sz w:val="24"/>
          <w:szCs w:val="24"/>
        </w:rPr>
        <w:t>„P</w:t>
      </w:r>
      <w:r w:rsidRPr="00080136">
        <w:rPr>
          <w:rFonts w:ascii="Times New Roman" w:hAnsi="Times New Roman" w:cs="Times New Roman"/>
          <w:i/>
          <w:sz w:val="24"/>
          <w:szCs w:val="24"/>
        </w:rPr>
        <w:t>rivind auditul regularității exercițiului bugetar pe anul 2012 și gestionării patrimoniului public la Cancelaria de Stat, unele instituții din subordine și întreprinderile de stat monitorizate</w:t>
      </w:r>
      <w:r>
        <w:rPr>
          <w:rFonts w:ascii="Times New Roman" w:hAnsi="Times New Roman" w:cs="Times New Roman"/>
          <w:i/>
          <w:sz w:val="24"/>
          <w:szCs w:val="24"/>
        </w:rPr>
        <w:t>”</w:t>
      </w:r>
      <w:r w:rsidRPr="00080136">
        <w:rPr>
          <w:rFonts w:ascii="Times New Roman" w:hAnsi="Times New Roman" w:cs="Times New Roman"/>
          <w:i/>
          <w:sz w:val="24"/>
          <w:szCs w:val="24"/>
        </w:rPr>
        <w:t>,</w:t>
      </w:r>
      <w:r w:rsidRPr="00080136">
        <w:rPr>
          <w:rFonts w:ascii="Times New Roman" w:hAnsi="Times New Roman" w:cs="Times New Roman"/>
          <w:b/>
          <w:i/>
          <w:sz w:val="24"/>
          <w:szCs w:val="24"/>
        </w:rPr>
        <w:t xml:space="preserve"> </w:t>
      </w:r>
      <w:r w:rsidRPr="00080136">
        <w:rPr>
          <w:rFonts w:ascii="Times New Roman" w:hAnsi="Times New Roman" w:cs="Times New Roman"/>
          <w:sz w:val="24"/>
          <w:szCs w:val="24"/>
        </w:rPr>
        <w:t>menționăm că</w:t>
      </w:r>
      <w:r w:rsidRPr="00080136">
        <w:rPr>
          <w:rFonts w:ascii="Times New Roman" w:hAnsi="Times New Roman" w:cs="Times New Roman"/>
          <w:b/>
          <w:sz w:val="24"/>
          <w:szCs w:val="24"/>
        </w:rPr>
        <w:t xml:space="preserve"> </w:t>
      </w:r>
      <w:r w:rsidRPr="00080136">
        <w:rPr>
          <w:rFonts w:ascii="Times New Roman" w:hAnsi="Times New Roman" w:cs="Times New Roman"/>
          <w:sz w:val="24"/>
          <w:szCs w:val="24"/>
        </w:rPr>
        <w:t>recomandările înaintate au fost executate la nivel de 73,7%</w:t>
      </w:r>
      <w:r>
        <w:rPr>
          <w:rFonts w:ascii="Times New Roman" w:hAnsi="Times New Roman" w:cs="Times New Roman"/>
          <w:sz w:val="24"/>
          <w:szCs w:val="24"/>
        </w:rPr>
        <w:t>:</w:t>
      </w:r>
      <w:r w:rsidRPr="00080136">
        <w:rPr>
          <w:rFonts w:ascii="Times New Roman" w:hAnsi="Times New Roman" w:cs="Times New Roman"/>
          <w:b/>
          <w:i/>
          <w:sz w:val="24"/>
          <w:szCs w:val="24"/>
        </w:rPr>
        <w:t xml:space="preserve"> </w:t>
      </w:r>
      <w:r w:rsidRPr="00080136">
        <w:rPr>
          <w:rFonts w:ascii="Times New Roman" w:hAnsi="Times New Roman" w:cs="Times New Roman"/>
          <w:sz w:val="24"/>
          <w:szCs w:val="24"/>
        </w:rPr>
        <w:t xml:space="preserve">din 26 </w:t>
      </w:r>
      <w:r>
        <w:rPr>
          <w:rFonts w:ascii="Times New Roman" w:hAnsi="Times New Roman" w:cs="Times New Roman"/>
          <w:sz w:val="24"/>
          <w:szCs w:val="24"/>
        </w:rPr>
        <w:t xml:space="preserve">de </w:t>
      </w:r>
      <w:r w:rsidRPr="00080136">
        <w:rPr>
          <w:rFonts w:ascii="Times New Roman" w:hAnsi="Times New Roman" w:cs="Times New Roman"/>
          <w:sz w:val="24"/>
          <w:szCs w:val="24"/>
        </w:rPr>
        <w:t xml:space="preserve">recomandări înaintate, </w:t>
      </w:r>
      <w:r>
        <w:rPr>
          <w:rFonts w:ascii="Times New Roman" w:hAnsi="Times New Roman" w:cs="Times New Roman"/>
          <w:sz w:val="24"/>
          <w:szCs w:val="24"/>
        </w:rPr>
        <w:t xml:space="preserve">au fost </w:t>
      </w:r>
      <w:r w:rsidRPr="00080136">
        <w:rPr>
          <w:rFonts w:ascii="Times New Roman" w:hAnsi="Times New Roman" w:cs="Times New Roman"/>
          <w:sz w:val="24"/>
          <w:szCs w:val="24"/>
        </w:rPr>
        <w:t>implementate 9 recomandări, 10 recomandări au fost parțial implementate, iar 7 recomandări și-au pierdut actualitatea dat fiind faptul că unele instituții vizate în raportul de audit s-au reorganizat,</w:t>
      </w:r>
      <w:r w:rsidRPr="00080136">
        <w:rPr>
          <w:rStyle w:val="a5"/>
          <w:rFonts w:ascii="Times New Roman" w:hAnsi="Times New Roman" w:cs="Times New Roman"/>
          <w:sz w:val="24"/>
          <w:szCs w:val="24"/>
        </w:rPr>
        <w:footnoteReference w:id="191"/>
      </w:r>
      <w:r w:rsidRPr="00080136">
        <w:rPr>
          <w:rFonts w:ascii="Times New Roman" w:hAnsi="Times New Roman" w:cs="Times New Roman"/>
          <w:sz w:val="24"/>
          <w:szCs w:val="24"/>
        </w:rPr>
        <w:t xml:space="preserve"> s-au dizolvat</w:t>
      </w:r>
      <w:r w:rsidRPr="00080136">
        <w:rPr>
          <w:rStyle w:val="a5"/>
          <w:rFonts w:ascii="Times New Roman" w:hAnsi="Times New Roman" w:cs="Times New Roman"/>
          <w:sz w:val="24"/>
          <w:szCs w:val="24"/>
        </w:rPr>
        <w:footnoteReference w:id="192"/>
      </w:r>
      <w:r w:rsidRPr="00080136">
        <w:rPr>
          <w:rFonts w:ascii="Times New Roman" w:hAnsi="Times New Roman" w:cs="Times New Roman"/>
          <w:sz w:val="24"/>
          <w:szCs w:val="24"/>
        </w:rPr>
        <w:t xml:space="preserve"> sau au trecut în subordinea altor autorități publice</w:t>
      </w:r>
      <w:r w:rsidRPr="00080136">
        <w:rPr>
          <w:rStyle w:val="a5"/>
          <w:rFonts w:ascii="Times New Roman" w:hAnsi="Times New Roman" w:cs="Times New Roman"/>
          <w:sz w:val="24"/>
          <w:szCs w:val="24"/>
        </w:rPr>
        <w:footnoteReference w:id="193"/>
      </w:r>
      <w:r>
        <w:rPr>
          <w:rFonts w:ascii="Times New Roman" w:hAnsi="Times New Roman" w:cs="Times New Roman"/>
          <w:sz w:val="24"/>
          <w:szCs w:val="24"/>
        </w:rPr>
        <w:t>;</w:t>
      </w:r>
      <w:r w:rsidRPr="00080136">
        <w:rPr>
          <w:rFonts w:ascii="Times New Roman" w:hAnsi="Times New Roman" w:cs="Times New Roman"/>
          <w:sz w:val="24"/>
          <w:szCs w:val="24"/>
        </w:rPr>
        <w:t xml:space="preserve"> </w:t>
      </w:r>
    </w:p>
    <w:p w14:paraId="599B1697" w14:textId="77777777" w:rsidR="00B73D05" w:rsidRPr="00080136" w:rsidRDefault="00B73D05" w:rsidP="00C12734">
      <w:pPr>
        <w:pStyle w:val="a7"/>
        <w:numPr>
          <w:ilvl w:val="0"/>
          <w:numId w:val="47"/>
        </w:numPr>
        <w:tabs>
          <w:tab w:val="left" w:pos="284"/>
        </w:tabs>
        <w:spacing w:after="80"/>
        <w:ind w:left="0" w:firstLine="0"/>
        <w:contextualSpacing w:val="0"/>
        <w:jc w:val="both"/>
        <w:rPr>
          <w:rFonts w:ascii="Times New Roman" w:hAnsi="Times New Roman" w:cs="Times New Roman"/>
          <w:b/>
          <w:i/>
          <w:sz w:val="24"/>
          <w:szCs w:val="24"/>
        </w:rPr>
      </w:pPr>
      <w:r>
        <w:rPr>
          <w:rFonts w:ascii="Times New Roman" w:hAnsi="Times New Roman" w:cs="Times New Roman"/>
          <w:i/>
          <w:sz w:val="24"/>
          <w:szCs w:val="24"/>
        </w:rPr>
        <w:t>c</w:t>
      </w:r>
      <w:r w:rsidRPr="00080136">
        <w:rPr>
          <w:rFonts w:ascii="Times New Roman" w:hAnsi="Times New Roman" w:cs="Times New Roman"/>
          <w:i/>
          <w:sz w:val="24"/>
          <w:szCs w:val="24"/>
        </w:rPr>
        <w:t xml:space="preserve">u referire la Hotărârea CCRM nr.42 din 18 august 2011 </w:t>
      </w:r>
      <w:r>
        <w:rPr>
          <w:rFonts w:ascii="Times New Roman" w:hAnsi="Times New Roman" w:cs="Times New Roman"/>
          <w:i/>
          <w:sz w:val="24"/>
          <w:szCs w:val="24"/>
        </w:rPr>
        <w:t>„P</w:t>
      </w:r>
      <w:r w:rsidRPr="00080136">
        <w:rPr>
          <w:rFonts w:ascii="Times New Roman" w:hAnsi="Times New Roman" w:cs="Times New Roman"/>
          <w:i/>
          <w:sz w:val="24"/>
          <w:szCs w:val="24"/>
        </w:rPr>
        <w:t>rivind Raportul auditului regularității utilizării mijloacelor publice alocate pentru investiții și reparații capitale pe anul 2010 la Cancelaria de Stat</w:t>
      </w:r>
      <w:r>
        <w:rPr>
          <w:rFonts w:ascii="Times New Roman" w:hAnsi="Times New Roman" w:cs="Times New Roman"/>
          <w:i/>
          <w:sz w:val="24"/>
          <w:szCs w:val="24"/>
        </w:rPr>
        <w:t>”,</w:t>
      </w:r>
      <w:r w:rsidRPr="00080136">
        <w:rPr>
          <w:rFonts w:ascii="Times New Roman" w:hAnsi="Times New Roman" w:cs="Times New Roman"/>
          <w:b/>
          <w:i/>
          <w:sz w:val="24"/>
          <w:szCs w:val="24"/>
        </w:rPr>
        <w:t xml:space="preserve"> </w:t>
      </w:r>
      <w:r w:rsidRPr="00080136">
        <w:rPr>
          <w:rFonts w:ascii="Times New Roman" w:hAnsi="Times New Roman" w:cs="Times New Roman"/>
          <w:sz w:val="24"/>
          <w:szCs w:val="24"/>
        </w:rPr>
        <w:t>menționăm că recomandările înaintate au fost executate la nivel de 92,0%.</w:t>
      </w:r>
    </w:p>
    <w:p w14:paraId="2DBE8DAD" w14:textId="77777777" w:rsidR="00B73D05" w:rsidRPr="00080136" w:rsidRDefault="00B73D05" w:rsidP="00B73D05">
      <w:pPr>
        <w:pStyle w:val="a7"/>
        <w:tabs>
          <w:tab w:val="left" w:pos="284"/>
        </w:tabs>
        <w:spacing w:after="240"/>
        <w:ind w:left="0"/>
        <w:contextualSpacing w:val="0"/>
        <w:jc w:val="both"/>
        <w:rPr>
          <w:rFonts w:ascii="Times New Roman" w:hAnsi="Times New Roman" w:cs="Times New Roman"/>
          <w:sz w:val="24"/>
          <w:szCs w:val="24"/>
        </w:rPr>
      </w:pPr>
      <w:r w:rsidRPr="00080136">
        <w:rPr>
          <w:rFonts w:ascii="Times New Roman" w:hAnsi="Times New Roman" w:cs="Times New Roman"/>
          <w:sz w:val="24"/>
          <w:szCs w:val="24"/>
        </w:rPr>
        <w:t xml:space="preserve">În această ordine de idei, se propune excluderea din regim de monitorizare a hotărârilor respective, recomandările care și-au pierdut din actualitate să fie excluse din regim de monitorizare, iar unele problematici aferente recomandărilor parțial executate să fie reiterate în prezentul </w:t>
      </w:r>
      <w:r>
        <w:rPr>
          <w:rFonts w:ascii="Times New Roman" w:hAnsi="Times New Roman" w:cs="Times New Roman"/>
          <w:sz w:val="24"/>
          <w:szCs w:val="24"/>
        </w:rPr>
        <w:t>R</w:t>
      </w:r>
      <w:r w:rsidRPr="00080136">
        <w:rPr>
          <w:rFonts w:ascii="Times New Roman" w:hAnsi="Times New Roman" w:cs="Times New Roman"/>
          <w:sz w:val="24"/>
          <w:szCs w:val="24"/>
        </w:rPr>
        <w:t xml:space="preserve">aport de audit. Rezultatele verificărilor efectuate, precum și informațiile prezentate de Cancelaria de Stat și instituțiile monitorizate, în vederea executării recomandărilor din Hotărârile nominalizate, se prezintă în detaliu în </w:t>
      </w:r>
      <w:r w:rsidRPr="00080136">
        <w:rPr>
          <w:rFonts w:ascii="Times New Roman" w:hAnsi="Times New Roman" w:cs="Times New Roman"/>
          <w:i/>
          <w:sz w:val="24"/>
          <w:szCs w:val="24"/>
        </w:rPr>
        <w:t>Anexa nr</w:t>
      </w:r>
      <w:r w:rsidRPr="00890E5F">
        <w:rPr>
          <w:rFonts w:ascii="Times New Roman" w:hAnsi="Times New Roman" w:cs="Times New Roman"/>
          <w:i/>
          <w:sz w:val="24"/>
          <w:szCs w:val="24"/>
        </w:rPr>
        <w:t>. 12 la prezentul Raport de audit.</w:t>
      </w:r>
    </w:p>
    <w:p w14:paraId="5FC1827F" w14:textId="301FC19E" w:rsidR="006049D5" w:rsidRPr="003B329E" w:rsidRDefault="00BE6A29" w:rsidP="00257612">
      <w:pPr>
        <w:pStyle w:val="1"/>
        <w:numPr>
          <w:ilvl w:val="0"/>
          <w:numId w:val="6"/>
        </w:numPr>
        <w:tabs>
          <w:tab w:val="left" w:pos="3600"/>
          <w:tab w:val="left" w:pos="3780"/>
        </w:tabs>
        <w:spacing w:before="0" w:after="120" w:line="276" w:lineRule="auto"/>
        <w:ind w:left="284" w:firstLine="0"/>
        <w:rPr>
          <w:rFonts w:ascii="Times New Roman" w:hAnsi="Times New Roman" w:cs="Times New Roman"/>
          <w:b/>
          <w:color w:val="2F5496" w:themeColor="accent5" w:themeShade="BF"/>
          <w:sz w:val="28"/>
          <w:szCs w:val="28"/>
        </w:rPr>
      </w:pPr>
      <w:r>
        <w:rPr>
          <w:rFonts w:ascii="Times New Roman" w:hAnsi="Times New Roman" w:cs="Times New Roman"/>
          <w:b/>
          <w:color w:val="2F5496" w:themeColor="accent5" w:themeShade="BF"/>
          <w:sz w:val="28"/>
          <w:szCs w:val="28"/>
        </w:rPr>
        <w:t xml:space="preserve"> </w:t>
      </w:r>
      <w:bookmarkStart w:id="41" w:name="_Toc158015927"/>
      <w:r w:rsidR="006049D5" w:rsidRPr="003B329E">
        <w:rPr>
          <w:rFonts w:ascii="Times New Roman" w:hAnsi="Times New Roman" w:cs="Times New Roman"/>
          <w:b/>
          <w:color w:val="2F5496" w:themeColor="accent5" w:themeShade="BF"/>
          <w:sz w:val="28"/>
          <w:szCs w:val="28"/>
        </w:rPr>
        <w:t>CONCLUZIA GENERALĂ</w:t>
      </w:r>
      <w:bookmarkEnd w:id="41"/>
    </w:p>
    <w:p w14:paraId="6A71AB21" w14:textId="6757BB0F" w:rsidR="00B73D05" w:rsidRPr="00F96FF5" w:rsidRDefault="00B73D05" w:rsidP="00B73D05">
      <w:pPr>
        <w:widowControl w:val="0"/>
        <w:tabs>
          <w:tab w:val="left" w:pos="747"/>
        </w:tabs>
        <w:spacing w:after="0" w:line="276" w:lineRule="auto"/>
        <w:jc w:val="both"/>
        <w:rPr>
          <w:rFonts w:ascii="Times New Roman" w:hAnsi="Times New Roman" w:cs="Times New Roman"/>
          <w:sz w:val="24"/>
          <w:szCs w:val="24"/>
        </w:rPr>
      </w:pPr>
      <w:r w:rsidRPr="005D6DCA">
        <w:rPr>
          <w:rFonts w:ascii="Times New Roman" w:hAnsi="Times New Roman" w:cs="Times New Roman"/>
          <w:sz w:val="24"/>
          <w:szCs w:val="24"/>
        </w:rPr>
        <w:t>Având la bază procedurile de audit efectuate, pr</w:t>
      </w:r>
      <w:r>
        <w:rPr>
          <w:rFonts w:ascii="Times New Roman" w:hAnsi="Times New Roman" w:cs="Times New Roman"/>
          <w:sz w:val="24"/>
          <w:szCs w:val="24"/>
        </w:rPr>
        <w:t xml:space="preserve">obele și informațiile obținute, </w:t>
      </w:r>
      <w:r w:rsidRPr="005D6DCA">
        <w:rPr>
          <w:rFonts w:ascii="Times New Roman" w:hAnsi="Times New Roman" w:cs="Times New Roman"/>
          <w:sz w:val="24"/>
          <w:szCs w:val="24"/>
        </w:rPr>
        <w:t>auditul public extern</w:t>
      </w:r>
      <w:r>
        <w:rPr>
          <w:rFonts w:ascii="Times New Roman" w:hAnsi="Times New Roman" w:cs="Times New Roman"/>
          <w:sz w:val="24"/>
          <w:szCs w:val="24"/>
        </w:rPr>
        <w:t xml:space="preserve"> </w:t>
      </w:r>
      <w:r w:rsidRPr="005D6DCA">
        <w:rPr>
          <w:rFonts w:ascii="Times New Roman" w:hAnsi="Times New Roman" w:cs="Times New Roman"/>
          <w:sz w:val="24"/>
          <w:szCs w:val="24"/>
        </w:rPr>
        <w:t xml:space="preserve">conchide că </w:t>
      </w:r>
      <w:r>
        <w:rPr>
          <w:rFonts w:ascii="Times New Roman" w:hAnsi="Times New Roman" w:cs="Times New Roman"/>
          <w:sz w:val="24"/>
          <w:szCs w:val="24"/>
        </w:rPr>
        <w:t>procesele aferente formării, administrării și întrebuințării</w:t>
      </w:r>
      <w:r w:rsidRPr="005D6DCA">
        <w:rPr>
          <w:rFonts w:ascii="Times New Roman" w:hAnsi="Times New Roman" w:cs="Times New Roman"/>
          <w:sz w:val="24"/>
          <w:szCs w:val="24"/>
        </w:rPr>
        <w:t xml:space="preserve"> resurselor financiare publice și a patrimoniului public de către </w:t>
      </w:r>
      <w:r>
        <w:rPr>
          <w:rFonts w:ascii="Times New Roman" w:hAnsi="Times New Roman" w:cs="Times New Roman"/>
          <w:sz w:val="24"/>
          <w:szCs w:val="24"/>
        </w:rPr>
        <w:t>CS</w:t>
      </w:r>
      <w:r w:rsidRPr="005D6DCA">
        <w:rPr>
          <w:rFonts w:ascii="Times New Roman" w:hAnsi="Times New Roman" w:cs="Times New Roman"/>
          <w:sz w:val="24"/>
          <w:szCs w:val="24"/>
        </w:rPr>
        <w:t xml:space="preserve"> </w:t>
      </w:r>
      <w:r>
        <w:rPr>
          <w:rFonts w:ascii="Times New Roman" w:hAnsi="Times New Roman" w:cs="Times New Roman"/>
          <w:sz w:val="24"/>
          <w:szCs w:val="24"/>
        </w:rPr>
        <w:t>și unele I</w:t>
      </w:r>
      <w:r w:rsidR="000F096B">
        <w:rPr>
          <w:rFonts w:ascii="Times New Roman" w:hAnsi="Times New Roman" w:cs="Times New Roman"/>
          <w:sz w:val="24"/>
          <w:szCs w:val="24"/>
        </w:rPr>
        <w:t>.</w:t>
      </w:r>
      <w:r>
        <w:rPr>
          <w:rFonts w:ascii="Times New Roman" w:hAnsi="Times New Roman" w:cs="Times New Roman"/>
          <w:sz w:val="24"/>
          <w:szCs w:val="24"/>
        </w:rPr>
        <w:t>P</w:t>
      </w:r>
      <w:r w:rsidR="000F096B">
        <w:rPr>
          <w:rFonts w:ascii="Times New Roman" w:hAnsi="Times New Roman" w:cs="Times New Roman"/>
          <w:sz w:val="24"/>
          <w:szCs w:val="24"/>
        </w:rPr>
        <w:t>.</w:t>
      </w:r>
      <w:r>
        <w:rPr>
          <w:rFonts w:ascii="Times New Roman" w:hAnsi="Times New Roman" w:cs="Times New Roman"/>
          <w:sz w:val="24"/>
          <w:szCs w:val="24"/>
        </w:rPr>
        <w:t xml:space="preserve"> fondate, </w:t>
      </w:r>
      <w:r w:rsidRPr="005D6DCA">
        <w:rPr>
          <w:rFonts w:ascii="Times New Roman" w:hAnsi="Times New Roman" w:cs="Times New Roman"/>
          <w:sz w:val="24"/>
          <w:szCs w:val="24"/>
        </w:rPr>
        <w:t xml:space="preserve">în perioada 2018-2022, </w:t>
      </w:r>
      <w:r>
        <w:rPr>
          <w:rFonts w:ascii="Times New Roman" w:hAnsi="Times New Roman" w:cs="Times New Roman"/>
          <w:sz w:val="24"/>
          <w:szCs w:val="24"/>
        </w:rPr>
        <w:t>nu au fost conformate în totalitate prevederilor cadrului normativ aplicabil, fiind afectate de neconformități și carențe, ca urmare a neimplementării unui management financiar aliniat principiilor bunei guvernări, printre c</w:t>
      </w:r>
      <w:r w:rsidRPr="00F96FF5">
        <w:rPr>
          <w:rFonts w:ascii="Times New Roman" w:hAnsi="Times New Roman" w:cs="Times New Roman"/>
          <w:sz w:val="24"/>
          <w:szCs w:val="24"/>
        </w:rPr>
        <w:t xml:space="preserve">ele mai semnificative </w:t>
      </w:r>
      <w:r>
        <w:rPr>
          <w:rFonts w:ascii="Times New Roman" w:hAnsi="Times New Roman" w:cs="Times New Roman"/>
          <w:sz w:val="24"/>
          <w:szCs w:val="24"/>
        </w:rPr>
        <w:t xml:space="preserve">aspecte </w:t>
      </w:r>
      <w:r w:rsidRPr="003376FB">
        <w:rPr>
          <w:rFonts w:ascii="Times New Roman" w:hAnsi="Times New Roman" w:cs="Times New Roman"/>
          <w:sz w:val="24"/>
          <w:szCs w:val="24"/>
        </w:rPr>
        <w:t>enumerându-se</w:t>
      </w:r>
      <w:r w:rsidRPr="00F96FF5">
        <w:rPr>
          <w:rFonts w:ascii="Times New Roman" w:hAnsi="Times New Roman" w:cs="Times New Roman"/>
          <w:sz w:val="24"/>
          <w:szCs w:val="24"/>
        </w:rPr>
        <w:t>:</w:t>
      </w:r>
    </w:p>
    <w:p w14:paraId="25BEFF5C" w14:textId="77777777" w:rsidR="00B73D05" w:rsidRPr="00D2257A" w:rsidRDefault="00B73D05" w:rsidP="00B73D05">
      <w:pPr>
        <w:pStyle w:val="a7"/>
        <w:widowControl w:val="0"/>
        <w:numPr>
          <w:ilvl w:val="0"/>
          <w:numId w:val="46"/>
        </w:numPr>
        <w:tabs>
          <w:tab w:val="left" w:pos="360"/>
        </w:tabs>
        <w:spacing w:after="120" w:line="276" w:lineRule="auto"/>
        <w:ind w:left="0" w:firstLine="360"/>
        <w:jc w:val="both"/>
        <w:rPr>
          <w:rFonts w:ascii="Times New Roman" w:hAnsi="Times New Roman" w:cs="Times New Roman"/>
          <w:sz w:val="24"/>
          <w:szCs w:val="24"/>
        </w:rPr>
      </w:pPr>
      <w:r w:rsidRPr="003376FB">
        <w:rPr>
          <w:rFonts w:ascii="Times New Roman" w:hAnsi="Times New Roman" w:cs="Times New Roman"/>
          <w:sz w:val="24"/>
          <w:szCs w:val="24"/>
        </w:rPr>
        <w:t xml:space="preserve">neconformități în procesul de acordare și valorificare a </w:t>
      </w:r>
      <w:r>
        <w:rPr>
          <w:rFonts w:ascii="Times New Roman" w:hAnsi="Times New Roman" w:cs="Times New Roman"/>
          <w:sz w:val="24"/>
          <w:szCs w:val="24"/>
        </w:rPr>
        <w:t>resurselor financiare publice admise de către CS și unele instituții publice, inclusiv provenite din</w:t>
      </w:r>
      <w:r w:rsidRPr="00D2257A">
        <w:rPr>
          <w:rFonts w:ascii="Times New Roman" w:hAnsi="Times New Roman" w:cs="Times New Roman"/>
          <w:sz w:val="24"/>
          <w:szCs w:val="24"/>
        </w:rPr>
        <w:t xml:space="preserve"> gestionarea patrimoniului de stat;</w:t>
      </w:r>
    </w:p>
    <w:p w14:paraId="2B573541" w14:textId="5E32CA46" w:rsidR="00B73D05" w:rsidRPr="003376FB" w:rsidRDefault="00B73D05" w:rsidP="00B73D05">
      <w:pPr>
        <w:pStyle w:val="a7"/>
        <w:widowControl w:val="0"/>
        <w:numPr>
          <w:ilvl w:val="0"/>
          <w:numId w:val="46"/>
        </w:numPr>
        <w:tabs>
          <w:tab w:val="left" w:pos="360"/>
        </w:tabs>
        <w:spacing w:after="120" w:line="276" w:lineRule="auto"/>
        <w:ind w:left="0" w:firstLine="360"/>
        <w:jc w:val="both"/>
        <w:rPr>
          <w:rFonts w:ascii="Times New Roman" w:hAnsi="Times New Roman" w:cs="Times New Roman"/>
          <w:sz w:val="24"/>
          <w:szCs w:val="24"/>
        </w:rPr>
      </w:pPr>
      <w:r w:rsidRPr="003376FB">
        <w:rPr>
          <w:rFonts w:ascii="Times New Roman" w:hAnsi="Times New Roman" w:cs="Times New Roman"/>
          <w:sz w:val="24"/>
          <w:szCs w:val="24"/>
        </w:rPr>
        <w:t xml:space="preserve">erori contabile constatate atât la înregistrarea valorii patrimoniului public </w:t>
      </w:r>
      <w:r w:rsidR="00612B40">
        <w:rPr>
          <w:rFonts w:ascii="Times New Roman" w:hAnsi="Times New Roman" w:cs="Times New Roman"/>
          <w:sz w:val="24"/>
          <w:szCs w:val="24"/>
        </w:rPr>
        <w:t>gestiont</w:t>
      </w:r>
      <w:r>
        <w:rPr>
          <w:rFonts w:ascii="Times New Roman" w:hAnsi="Times New Roman" w:cs="Times New Roman"/>
          <w:sz w:val="24"/>
          <w:szCs w:val="24"/>
        </w:rPr>
        <w:t xml:space="preserve"> de entități,</w:t>
      </w:r>
      <w:r w:rsidRPr="003376FB">
        <w:rPr>
          <w:rFonts w:ascii="Times New Roman" w:hAnsi="Times New Roman" w:cs="Times New Roman"/>
          <w:sz w:val="24"/>
          <w:szCs w:val="24"/>
        </w:rPr>
        <w:t xml:space="preserve"> cât și </w:t>
      </w:r>
      <w:r>
        <w:rPr>
          <w:rFonts w:ascii="Times New Roman" w:hAnsi="Times New Roman" w:cs="Times New Roman"/>
          <w:sz w:val="24"/>
          <w:szCs w:val="24"/>
        </w:rPr>
        <w:t>a resurselor</w:t>
      </w:r>
      <w:r w:rsidRPr="003376FB">
        <w:rPr>
          <w:rFonts w:ascii="Times New Roman" w:hAnsi="Times New Roman" w:cs="Times New Roman"/>
          <w:sz w:val="24"/>
          <w:szCs w:val="24"/>
        </w:rPr>
        <w:t xml:space="preserve"> financiare alocate</w:t>
      </w:r>
      <w:r>
        <w:rPr>
          <w:rFonts w:ascii="Times New Roman" w:hAnsi="Times New Roman" w:cs="Times New Roman"/>
          <w:sz w:val="24"/>
          <w:szCs w:val="24"/>
        </w:rPr>
        <w:t xml:space="preserve"> sub formă de granturi capitale, ceea ce a condiționat denaturarea rapoartelor financiare ale autorității publice și ale unor I</w:t>
      </w:r>
      <w:r w:rsidR="000F096B">
        <w:rPr>
          <w:rFonts w:ascii="Times New Roman" w:hAnsi="Times New Roman" w:cs="Times New Roman"/>
          <w:sz w:val="24"/>
          <w:szCs w:val="24"/>
        </w:rPr>
        <w:t>.</w:t>
      </w:r>
      <w:r>
        <w:rPr>
          <w:rFonts w:ascii="Times New Roman" w:hAnsi="Times New Roman" w:cs="Times New Roman"/>
          <w:sz w:val="24"/>
          <w:szCs w:val="24"/>
        </w:rPr>
        <w:t>P</w:t>
      </w:r>
      <w:r w:rsidR="000F096B">
        <w:rPr>
          <w:rFonts w:ascii="Times New Roman" w:hAnsi="Times New Roman" w:cs="Times New Roman"/>
          <w:sz w:val="24"/>
          <w:szCs w:val="24"/>
        </w:rPr>
        <w:t>.</w:t>
      </w:r>
      <w:r>
        <w:rPr>
          <w:rFonts w:ascii="Times New Roman" w:hAnsi="Times New Roman" w:cs="Times New Roman"/>
          <w:sz w:val="24"/>
          <w:szCs w:val="24"/>
        </w:rPr>
        <w:t xml:space="preserve"> verificate;</w:t>
      </w:r>
    </w:p>
    <w:p w14:paraId="4BA2C75E" w14:textId="77777777" w:rsidR="00B73D05" w:rsidRDefault="00B73D05" w:rsidP="00B73D05">
      <w:pPr>
        <w:pStyle w:val="a7"/>
        <w:widowControl w:val="0"/>
        <w:numPr>
          <w:ilvl w:val="0"/>
          <w:numId w:val="46"/>
        </w:numPr>
        <w:tabs>
          <w:tab w:val="left" w:pos="360"/>
        </w:tabs>
        <w:spacing w:after="120" w:line="276" w:lineRule="auto"/>
        <w:ind w:left="0" w:firstLine="360"/>
        <w:jc w:val="both"/>
        <w:rPr>
          <w:rFonts w:ascii="Times New Roman" w:hAnsi="Times New Roman" w:cs="Times New Roman"/>
          <w:sz w:val="24"/>
          <w:szCs w:val="24"/>
        </w:rPr>
      </w:pPr>
      <w:r w:rsidRPr="003376FB">
        <w:rPr>
          <w:rFonts w:ascii="Times New Roman" w:hAnsi="Times New Roman" w:cs="Times New Roman"/>
          <w:sz w:val="24"/>
          <w:szCs w:val="24"/>
        </w:rPr>
        <w:t>neconformități în procesul de planificare și achiziționare a bunurilor și serviciilor, cu divizarea achiziției prin încheierea de contracte de mică valoare separate, în scopul aplicării unei alte proceduri de achiziție p</w:t>
      </w:r>
      <w:r>
        <w:rPr>
          <w:rFonts w:ascii="Times New Roman" w:hAnsi="Times New Roman" w:cs="Times New Roman"/>
          <w:sz w:val="24"/>
          <w:szCs w:val="24"/>
        </w:rPr>
        <w:t>ublică decât procedura legală;</w:t>
      </w:r>
    </w:p>
    <w:p w14:paraId="3EC7494D" w14:textId="77777777" w:rsidR="00B73D05" w:rsidRPr="00EF665B" w:rsidRDefault="00B73D05" w:rsidP="00B73D05">
      <w:pPr>
        <w:pStyle w:val="a7"/>
        <w:widowControl w:val="0"/>
        <w:numPr>
          <w:ilvl w:val="0"/>
          <w:numId w:val="46"/>
        </w:numPr>
        <w:tabs>
          <w:tab w:val="left" w:pos="360"/>
        </w:tabs>
        <w:spacing w:after="120" w:line="276" w:lineRule="auto"/>
        <w:ind w:left="0" w:firstLine="360"/>
        <w:jc w:val="both"/>
        <w:rPr>
          <w:rFonts w:ascii="Times New Roman" w:hAnsi="Times New Roman" w:cs="Times New Roman"/>
          <w:sz w:val="24"/>
          <w:szCs w:val="24"/>
        </w:rPr>
      </w:pPr>
      <w:r w:rsidRPr="00EF665B">
        <w:rPr>
          <w:rFonts w:ascii="Times New Roman" w:hAnsi="Times New Roman" w:cs="Times New Roman"/>
          <w:sz w:val="24"/>
          <w:szCs w:val="24"/>
        </w:rPr>
        <w:t>multiple încălcări și deficiențe în gestionarea patrimoniului de stat, inclusiv: i) transmiterea neconformă și în condiții dezavantajoase statului, de către CS, în administrare fiduciară unui agent economic a terenului cu suprafața de 24,8 ha din fondul forestier al statului</w:t>
      </w:r>
      <w:r>
        <w:rPr>
          <w:rFonts w:ascii="Times New Roman" w:hAnsi="Times New Roman" w:cs="Times New Roman"/>
          <w:sz w:val="24"/>
          <w:szCs w:val="24"/>
        </w:rPr>
        <w:t>;</w:t>
      </w:r>
      <w:r w:rsidRPr="00EF665B">
        <w:rPr>
          <w:rFonts w:ascii="Times New Roman" w:hAnsi="Times New Roman" w:cs="Times New Roman"/>
          <w:sz w:val="24"/>
          <w:szCs w:val="24"/>
        </w:rPr>
        <w:t xml:space="preserve"> ii) tergiversarea adoptării unor decizii manageriale în termene oportune care ar asigura buna gestiune a activității celor trei baze de odihnă administrate de DGACG</w:t>
      </w:r>
      <w:r>
        <w:rPr>
          <w:rFonts w:ascii="Times New Roman" w:hAnsi="Times New Roman" w:cs="Times New Roman"/>
          <w:sz w:val="24"/>
          <w:szCs w:val="24"/>
        </w:rPr>
        <w:t xml:space="preserve">; precum și iii) </w:t>
      </w:r>
      <w:r w:rsidRPr="00EF665B">
        <w:rPr>
          <w:rFonts w:ascii="Times New Roman" w:hAnsi="Times New Roman" w:cs="Times New Roman"/>
          <w:sz w:val="24"/>
          <w:szCs w:val="24"/>
        </w:rPr>
        <w:t>transmitere</w:t>
      </w:r>
      <w:r>
        <w:rPr>
          <w:rFonts w:ascii="Times New Roman" w:hAnsi="Times New Roman" w:cs="Times New Roman"/>
          <w:sz w:val="24"/>
          <w:szCs w:val="24"/>
        </w:rPr>
        <w:t>a</w:t>
      </w:r>
      <w:r w:rsidRPr="00EF665B">
        <w:rPr>
          <w:rFonts w:ascii="Times New Roman" w:hAnsi="Times New Roman" w:cs="Times New Roman"/>
          <w:sz w:val="24"/>
          <w:szCs w:val="24"/>
        </w:rPr>
        <w:t xml:space="preserve"> neregulamentară în locațiune a unor imobile, fapt ce a condiționat ratarea unor venituri pasibile de încasat;</w:t>
      </w:r>
    </w:p>
    <w:p w14:paraId="7E53D4E1" w14:textId="77777777" w:rsidR="00B73D05" w:rsidRPr="003376FB" w:rsidRDefault="00B73D05" w:rsidP="00B73D05">
      <w:pPr>
        <w:pStyle w:val="a7"/>
        <w:widowControl w:val="0"/>
        <w:numPr>
          <w:ilvl w:val="0"/>
          <w:numId w:val="46"/>
        </w:numPr>
        <w:tabs>
          <w:tab w:val="left" w:pos="360"/>
        </w:tabs>
        <w:spacing w:after="120" w:line="276" w:lineRule="auto"/>
        <w:ind w:left="0" w:firstLine="360"/>
        <w:jc w:val="both"/>
        <w:rPr>
          <w:rFonts w:ascii="Times New Roman" w:hAnsi="Times New Roman" w:cs="Times New Roman"/>
          <w:sz w:val="24"/>
          <w:szCs w:val="24"/>
        </w:rPr>
      </w:pPr>
      <w:r w:rsidRPr="003376FB">
        <w:rPr>
          <w:rFonts w:ascii="Times New Roman" w:hAnsi="Times New Roman" w:cs="Times New Roman"/>
          <w:sz w:val="24"/>
          <w:szCs w:val="24"/>
        </w:rPr>
        <w:t xml:space="preserve">abateri și nereguli </w:t>
      </w:r>
      <w:r>
        <w:rPr>
          <w:rFonts w:ascii="Times New Roman" w:hAnsi="Times New Roman" w:cs="Times New Roman"/>
          <w:sz w:val="24"/>
          <w:szCs w:val="24"/>
        </w:rPr>
        <w:t>constatate aferente înregistrării</w:t>
      </w:r>
      <w:r w:rsidRPr="003376FB">
        <w:rPr>
          <w:rFonts w:ascii="Times New Roman" w:hAnsi="Times New Roman" w:cs="Times New Roman"/>
          <w:sz w:val="24"/>
          <w:szCs w:val="24"/>
        </w:rPr>
        <w:t xml:space="preserve"> la organul cadastral</w:t>
      </w:r>
      <w:r>
        <w:rPr>
          <w:rFonts w:ascii="Times New Roman" w:hAnsi="Times New Roman" w:cs="Times New Roman"/>
          <w:sz w:val="24"/>
          <w:szCs w:val="24"/>
        </w:rPr>
        <w:t>,</w:t>
      </w:r>
      <w:r w:rsidRPr="003376FB">
        <w:rPr>
          <w:rFonts w:ascii="Times New Roman" w:hAnsi="Times New Roman" w:cs="Times New Roman"/>
          <w:sz w:val="24"/>
          <w:szCs w:val="24"/>
        </w:rPr>
        <w:t xml:space="preserve"> precum și în evidența contabilă a patrimoniului public gestionat de către instituțiile publice fondate de CS, ceea ce afectează plenitudinea și realitatea valorii de bilanț a elementelor patrimoniale administrate și raportate de către entități.</w:t>
      </w:r>
    </w:p>
    <w:p w14:paraId="711AA7A2" w14:textId="4765C131" w:rsidR="00B73D05" w:rsidRPr="003B329E" w:rsidRDefault="00B73D05" w:rsidP="008377AC">
      <w:pPr>
        <w:widowControl w:val="0"/>
        <w:tabs>
          <w:tab w:val="left" w:pos="747"/>
        </w:tabs>
        <w:spacing w:after="360" w:line="276" w:lineRule="auto"/>
        <w:jc w:val="both"/>
        <w:rPr>
          <w:rFonts w:ascii="Times New Roman" w:eastAsia="Times New Roman" w:hAnsi="Times New Roman" w:cs="Times New Roman"/>
          <w:bCs/>
          <w:sz w:val="24"/>
          <w:szCs w:val="24"/>
        </w:rPr>
      </w:pPr>
      <w:r>
        <w:rPr>
          <w:rFonts w:ascii="Times New Roman" w:hAnsi="Times New Roman" w:cs="Times New Roman"/>
          <w:sz w:val="24"/>
          <w:szCs w:val="24"/>
        </w:rPr>
        <w:t xml:space="preserve">Cu titlu de rezumat, se evidențiază necesitatea acordării unei atenții sporite din partea factorilor decizionali ai CS asupra aspectelor deficitare și neconforme identificate și comunicate de către </w:t>
      </w:r>
      <w:r w:rsidRPr="003B329E">
        <w:rPr>
          <w:rFonts w:ascii="Times New Roman" w:hAnsi="Times New Roman" w:cs="Times New Roman"/>
          <w:sz w:val="24"/>
          <w:szCs w:val="24"/>
        </w:rPr>
        <w:t>auditul public extern</w:t>
      </w:r>
      <w:r>
        <w:rPr>
          <w:rFonts w:ascii="Times New Roman" w:hAnsi="Times New Roman" w:cs="Times New Roman"/>
          <w:sz w:val="24"/>
          <w:szCs w:val="24"/>
        </w:rPr>
        <w:t xml:space="preserve">, inclusiv prin implementarea </w:t>
      </w:r>
      <w:r w:rsidRPr="003B329E">
        <w:rPr>
          <w:rFonts w:ascii="Times New Roman" w:hAnsi="Times New Roman" w:cs="Times New Roman"/>
          <w:sz w:val="24"/>
          <w:szCs w:val="24"/>
        </w:rPr>
        <w:t>recomandări</w:t>
      </w:r>
      <w:r>
        <w:rPr>
          <w:rFonts w:ascii="Times New Roman" w:hAnsi="Times New Roman" w:cs="Times New Roman"/>
          <w:sz w:val="24"/>
          <w:szCs w:val="24"/>
        </w:rPr>
        <w:t xml:space="preserve">lor înaintate entităților verificate, care au fost comunicate și </w:t>
      </w:r>
      <w:r w:rsidRPr="003B329E">
        <w:rPr>
          <w:rFonts w:ascii="Times New Roman" w:hAnsi="Times New Roman" w:cs="Times New Roman"/>
          <w:sz w:val="24"/>
          <w:szCs w:val="24"/>
        </w:rPr>
        <w:t xml:space="preserve">acceptate de către CS </w:t>
      </w:r>
      <w:r>
        <w:rPr>
          <w:rFonts w:ascii="Times New Roman" w:hAnsi="Times New Roman" w:cs="Times New Roman"/>
          <w:sz w:val="24"/>
          <w:szCs w:val="24"/>
        </w:rPr>
        <w:t>și I</w:t>
      </w:r>
      <w:r w:rsidR="003C5DF4">
        <w:rPr>
          <w:rFonts w:ascii="Times New Roman" w:hAnsi="Times New Roman" w:cs="Times New Roman"/>
          <w:sz w:val="24"/>
          <w:szCs w:val="24"/>
        </w:rPr>
        <w:t>.</w:t>
      </w:r>
      <w:r>
        <w:rPr>
          <w:rFonts w:ascii="Times New Roman" w:hAnsi="Times New Roman" w:cs="Times New Roman"/>
          <w:sz w:val="24"/>
          <w:szCs w:val="24"/>
        </w:rPr>
        <w:t>P</w:t>
      </w:r>
      <w:r w:rsidR="003C5DF4">
        <w:rPr>
          <w:rFonts w:ascii="Times New Roman" w:hAnsi="Times New Roman" w:cs="Times New Roman"/>
          <w:sz w:val="24"/>
          <w:szCs w:val="24"/>
        </w:rPr>
        <w:t>.</w:t>
      </w:r>
      <w:r>
        <w:rPr>
          <w:rFonts w:ascii="Times New Roman" w:hAnsi="Times New Roman" w:cs="Times New Roman"/>
          <w:sz w:val="24"/>
          <w:szCs w:val="24"/>
        </w:rPr>
        <w:t xml:space="preserve"> monitorizate</w:t>
      </w:r>
      <w:r w:rsidRPr="003B329E">
        <w:rPr>
          <w:rFonts w:ascii="Times New Roman" w:hAnsi="Times New Roman" w:cs="Times New Roman"/>
          <w:sz w:val="24"/>
          <w:szCs w:val="24"/>
        </w:rPr>
        <w:t xml:space="preserve">, cu implementarea lor în termen de 12 luni. </w:t>
      </w:r>
    </w:p>
    <w:p w14:paraId="110245F9" w14:textId="23378CF2" w:rsidR="006049D5" w:rsidRPr="003B329E" w:rsidRDefault="00BE6A29" w:rsidP="00B73D05">
      <w:pPr>
        <w:pStyle w:val="1"/>
        <w:numPr>
          <w:ilvl w:val="0"/>
          <w:numId w:val="6"/>
        </w:numPr>
        <w:tabs>
          <w:tab w:val="left" w:pos="3600"/>
          <w:tab w:val="left" w:pos="3780"/>
        </w:tabs>
        <w:spacing w:before="0" w:after="120" w:line="276" w:lineRule="auto"/>
        <w:ind w:left="426" w:firstLine="0"/>
        <w:rPr>
          <w:rFonts w:ascii="Times New Roman" w:hAnsi="Times New Roman" w:cs="Times New Roman"/>
          <w:sz w:val="24"/>
          <w:szCs w:val="24"/>
        </w:rPr>
      </w:pPr>
      <w:r>
        <w:rPr>
          <w:rFonts w:ascii="Times New Roman" w:hAnsi="Times New Roman" w:cs="Times New Roman"/>
          <w:b/>
          <w:color w:val="2F5496" w:themeColor="accent5" w:themeShade="BF"/>
          <w:sz w:val="28"/>
          <w:szCs w:val="28"/>
        </w:rPr>
        <w:t xml:space="preserve"> </w:t>
      </w:r>
      <w:bookmarkStart w:id="42" w:name="_Toc158015928"/>
      <w:r w:rsidR="006049D5" w:rsidRPr="003B329E">
        <w:rPr>
          <w:rFonts w:ascii="Times New Roman" w:hAnsi="Times New Roman" w:cs="Times New Roman"/>
          <w:b/>
          <w:color w:val="2F5496" w:themeColor="accent5" w:themeShade="BF"/>
          <w:sz w:val="28"/>
          <w:szCs w:val="28"/>
        </w:rPr>
        <w:t>RECOMANDĂRI</w:t>
      </w:r>
      <w:bookmarkEnd w:id="42"/>
    </w:p>
    <w:p w14:paraId="6D361318" w14:textId="77777777" w:rsidR="003B529A" w:rsidRPr="003B329E" w:rsidRDefault="00AA2674" w:rsidP="00E93970">
      <w:pPr>
        <w:spacing w:line="276" w:lineRule="auto"/>
        <w:jc w:val="both"/>
        <w:rPr>
          <w:rFonts w:ascii="Times New Roman" w:eastAsia="Calibri" w:hAnsi="Times New Roman" w:cs="Times New Roman"/>
          <w:b/>
          <w:color w:val="0070C0"/>
          <w:sz w:val="24"/>
          <w:szCs w:val="24"/>
        </w:rPr>
      </w:pPr>
      <w:r w:rsidRPr="003B329E">
        <w:rPr>
          <w:rFonts w:ascii="Times New Roman" w:eastAsia="Calibri" w:hAnsi="Times New Roman" w:cs="Times New Roman"/>
          <w:b/>
          <w:color w:val="0070C0"/>
          <w:sz w:val="24"/>
          <w:szCs w:val="24"/>
        </w:rPr>
        <w:t>C</w:t>
      </w:r>
      <w:r w:rsidR="003B529A" w:rsidRPr="003B329E">
        <w:rPr>
          <w:rFonts w:ascii="Times New Roman" w:eastAsia="Calibri" w:hAnsi="Times New Roman" w:cs="Times New Roman"/>
          <w:b/>
          <w:color w:val="0070C0"/>
          <w:sz w:val="24"/>
          <w:szCs w:val="24"/>
        </w:rPr>
        <w:t>ancelariei de Stat și instituțiilor monitorizate:</w:t>
      </w:r>
    </w:p>
    <w:p w14:paraId="3E8B5AC2" w14:textId="5130D219" w:rsidR="00D547D9" w:rsidRPr="004031D2" w:rsidRDefault="00D547D9" w:rsidP="00231A57">
      <w:pPr>
        <w:pStyle w:val="a7"/>
        <w:numPr>
          <w:ilvl w:val="0"/>
          <w:numId w:val="23"/>
        </w:numPr>
        <w:shd w:val="clear" w:color="auto" w:fill="FFFFFF"/>
        <w:tabs>
          <w:tab w:val="left" w:pos="284"/>
          <w:tab w:val="left" w:pos="426"/>
        </w:tabs>
        <w:spacing w:after="40" w:line="276" w:lineRule="auto"/>
        <w:ind w:left="0" w:firstLine="0"/>
        <w:contextualSpacing w:val="0"/>
        <w:jc w:val="both"/>
        <w:rPr>
          <w:rFonts w:ascii="Times New Roman" w:hAnsi="Times New Roman" w:cs="Times New Roman"/>
          <w:bCs/>
          <w:sz w:val="24"/>
          <w:szCs w:val="24"/>
          <w:lang w:eastAsia="ro-RO"/>
        </w:rPr>
      </w:pPr>
      <w:r w:rsidRPr="006C3338">
        <w:rPr>
          <w:rFonts w:ascii="Times New Roman" w:hAnsi="Times New Roman" w:cs="Times New Roman"/>
          <w:sz w:val="24"/>
          <w:szCs w:val="24"/>
          <w:lang w:eastAsia="x-none"/>
        </w:rPr>
        <w:t xml:space="preserve">CS și </w:t>
      </w:r>
      <w:r w:rsidR="007C6BAE" w:rsidRPr="006C3338">
        <w:rPr>
          <w:rFonts w:ascii="Times New Roman" w:hAnsi="Times New Roman" w:cs="Times New Roman"/>
          <w:sz w:val="24"/>
          <w:szCs w:val="24"/>
          <w:lang w:eastAsia="x-none"/>
        </w:rPr>
        <w:t xml:space="preserve">unele </w:t>
      </w:r>
      <w:r w:rsidRPr="006C3338">
        <w:rPr>
          <w:rFonts w:ascii="Times New Roman" w:hAnsi="Times New Roman" w:cs="Times New Roman"/>
          <w:sz w:val="24"/>
          <w:szCs w:val="24"/>
          <w:lang w:eastAsia="x-none"/>
        </w:rPr>
        <w:t>I</w:t>
      </w:r>
      <w:r w:rsidR="00BE6A29">
        <w:rPr>
          <w:rFonts w:ascii="Times New Roman" w:hAnsi="Times New Roman" w:cs="Times New Roman"/>
          <w:sz w:val="24"/>
          <w:szCs w:val="24"/>
          <w:lang w:eastAsia="x-none"/>
        </w:rPr>
        <w:t>.</w:t>
      </w:r>
      <w:r w:rsidRPr="006C3338">
        <w:rPr>
          <w:rFonts w:ascii="Times New Roman" w:hAnsi="Times New Roman" w:cs="Times New Roman"/>
          <w:sz w:val="24"/>
          <w:szCs w:val="24"/>
          <w:lang w:eastAsia="x-none"/>
        </w:rPr>
        <w:t>P</w:t>
      </w:r>
      <w:r w:rsidR="00BE6A29">
        <w:rPr>
          <w:rFonts w:ascii="Times New Roman" w:hAnsi="Times New Roman" w:cs="Times New Roman"/>
          <w:sz w:val="24"/>
          <w:szCs w:val="24"/>
          <w:lang w:eastAsia="x-none"/>
        </w:rPr>
        <w:t>.</w:t>
      </w:r>
      <w:r w:rsidR="00A7085F">
        <w:rPr>
          <w:rStyle w:val="a5"/>
          <w:rFonts w:ascii="Times New Roman" w:hAnsi="Times New Roman" w:cs="Times New Roman"/>
          <w:sz w:val="24"/>
          <w:szCs w:val="24"/>
          <w:lang w:eastAsia="x-none"/>
        </w:rPr>
        <w:footnoteReference w:id="194"/>
      </w:r>
      <w:r w:rsidRPr="006C3338">
        <w:rPr>
          <w:rFonts w:ascii="Times New Roman" w:hAnsi="Times New Roman" w:cs="Times New Roman"/>
          <w:sz w:val="24"/>
          <w:szCs w:val="24"/>
          <w:lang w:eastAsia="x-none"/>
        </w:rPr>
        <w:t xml:space="preserve"> monitorizate să</w:t>
      </w:r>
      <w:r w:rsidRPr="006C3338">
        <w:rPr>
          <w:rFonts w:ascii="Times New Roman" w:eastAsia="Times New Roman" w:hAnsi="Times New Roman" w:cs="Times New Roman"/>
          <w:sz w:val="24"/>
          <w:szCs w:val="24"/>
          <w:lang w:eastAsia="ru-RU"/>
        </w:rPr>
        <w:t xml:space="preserve"> asigure dezvoltarea sistemului CIM în conformitate cu Standardele naționale de control int</w:t>
      </w:r>
      <w:r w:rsidR="004031D2">
        <w:rPr>
          <w:rFonts w:ascii="Times New Roman" w:eastAsia="Times New Roman" w:hAnsi="Times New Roman" w:cs="Times New Roman"/>
          <w:sz w:val="24"/>
          <w:szCs w:val="24"/>
          <w:lang w:eastAsia="ru-RU"/>
        </w:rPr>
        <w:t xml:space="preserve">ern în sectorul public, </w:t>
      </w:r>
      <w:r w:rsidR="00421F36">
        <w:rPr>
          <w:rFonts w:ascii="Times New Roman" w:eastAsia="Times New Roman" w:hAnsi="Times New Roman" w:cs="Times New Roman"/>
          <w:sz w:val="24"/>
          <w:szCs w:val="24"/>
          <w:lang w:eastAsia="ru-RU"/>
        </w:rPr>
        <w:t>să reglementeze și să descrie</w:t>
      </w:r>
      <w:r w:rsidR="007C6BAE" w:rsidRPr="006C3338">
        <w:rPr>
          <w:rFonts w:ascii="Times New Roman" w:eastAsia="Times New Roman" w:hAnsi="Times New Roman" w:cs="Times New Roman"/>
          <w:sz w:val="24"/>
          <w:szCs w:val="24"/>
          <w:lang w:eastAsia="ru-RU"/>
        </w:rPr>
        <w:t xml:space="preserve"> procesele operaționale semnificative</w:t>
      </w:r>
      <w:r w:rsidR="004031D2">
        <w:rPr>
          <w:rFonts w:ascii="Times New Roman" w:eastAsia="Times New Roman" w:hAnsi="Times New Roman" w:cs="Times New Roman"/>
          <w:sz w:val="24"/>
          <w:szCs w:val="24"/>
          <w:lang w:eastAsia="ru-RU"/>
        </w:rPr>
        <w:t xml:space="preserve">, precum și </w:t>
      </w:r>
      <w:r w:rsidR="00A7085F">
        <w:rPr>
          <w:rFonts w:ascii="Times New Roman" w:eastAsia="Times New Roman" w:hAnsi="Times New Roman" w:cs="Times New Roman"/>
          <w:sz w:val="24"/>
          <w:szCs w:val="24"/>
          <w:lang w:eastAsia="ru-RU"/>
        </w:rPr>
        <w:t xml:space="preserve">să </w:t>
      </w:r>
      <w:r w:rsidR="004031D2">
        <w:rPr>
          <w:rFonts w:ascii="Times New Roman" w:eastAsia="Times New Roman" w:hAnsi="Times New Roman" w:cs="Times New Roman"/>
          <w:sz w:val="24"/>
          <w:szCs w:val="24"/>
          <w:lang w:eastAsia="ru-RU"/>
        </w:rPr>
        <w:t>instituțio</w:t>
      </w:r>
      <w:r w:rsidR="00A7085F">
        <w:rPr>
          <w:rFonts w:ascii="Times New Roman" w:eastAsia="Times New Roman" w:hAnsi="Times New Roman" w:cs="Times New Roman"/>
          <w:sz w:val="24"/>
          <w:szCs w:val="24"/>
          <w:lang w:eastAsia="ru-RU"/>
        </w:rPr>
        <w:t>nalizeze procesul de realizare</w:t>
      </w:r>
      <w:r w:rsidR="004031D2">
        <w:rPr>
          <w:rFonts w:ascii="Times New Roman" w:eastAsia="Times New Roman" w:hAnsi="Times New Roman" w:cs="Times New Roman"/>
          <w:sz w:val="24"/>
          <w:szCs w:val="24"/>
          <w:lang w:eastAsia="ru-RU"/>
        </w:rPr>
        <w:t xml:space="preserve"> de către </w:t>
      </w:r>
      <w:r w:rsidR="004031D2" w:rsidRPr="004031D2">
        <w:rPr>
          <w:rFonts w:ascii="Times New Roman" w:eastAsia="Times New Roman" w:hAnsi="Times New Roman" w:cs="Times New Roman"/>
          <w:sz w:val="24"/>
          <w:szCs w:val="24"/>
          <w:lang w:eastAsia="ru-RU"/>
        </w:rPr>
        <w:t xml:space="preserve">autoritatea centrală </w:t>
      </w:r>
      <w:r w:rsidR="004031D2" w:rsidRPr="004031D2">
        <w:rPr>
          <w:rFonts w:ascii="Times New Roman" w:hAnsi="Times New Roman" w:cs="Times New Roman"/>
          <w:bCs/>
          <w:sz w:val="24"/>
          <w:szCs w:val="24"/>
          <w:lang w:eastAsia="ro-RO"/>
        </w:rPr>
        <w:t>a monitoring</w:t>
      </w:r>
      <w:r w:rsidR="005D6DCA">
        <w:rPr>
          <w:rFonts w:ascii="Times New Roman" w:hAnsi="Times New Roman" w:cs="Times New Roman"/>
          <w:bCs/>
          <w:sz w:val="24"/>
          <w:szCs w:val="24"/>
          <w:lang w:eastAsia="ro-RO"/>
        </w:rPr>
        <w:t>-</w:t>
      </w:r>
      <w:r w:rsidR="004031D2" w:rsidRPr="004031D2">
        <w:rPr>
          <w:rFonts w:ascii="Times New Roman" w:hAnsi="Times New Roman" w:cs="Times New Roman"/>
          <w:bCs/>
          <w:sz w:val="24"/>
          <w:szCs w:val="24"/>
          <w:lang w:eastAsia="ro-RO"/>
        </w:rPr>
        <w:t>ului activităților I</w:t>
      </w:r>
      <w:r w:rsidR="003C5DF4">
        <w:rPr>
          <w:rFonts w:ascii="Times New Roman" w:hAnsi="Times New Roman" w:cs="Times New Roman"/>
          <w:bCs/>
          <w:sz w:val="24"/>
          <w:szCs w:val="24"/>
          <w:lang w:eastAsia="ro-RO"/>
        </w:rPr>
        <w:t>.</w:t>
      </w:r>
      <w:r w:rsidR="004031D2" w:rsidRPr="004031D2">
        <w:rPr>
          <w:rFonts w:ascii="Times New Roman" w:hAnsi="Times New Roman" w:cs="Times New Roman"/>
          <w:bCs/>
          <w:sz w:val="24"/>
          <w:szCs w:val="24"/>
          <w:lang w:eastAsia="ro-RO"/>
        </w:rPr>
        <w:t>P</w:t>
      </w:r>
      <w:r w:rsidR="003C5DF4">
        <w:rPr>
          <w:rFonts w:ascii="Times New Roman" w:hAnsi="Times New Roman" w:cs="Times New Roman"/>
          <w:bCs/>
          <w:sz w:val="24"/>
          <w:szCs w:val="24"/>
          <w:lang w:eastAsia="ro-RO"/>
        </w:rPr>
        <w:t>.</w:t>
      </w:r>
      <w:r w:rsidR="004031D2" w:rsidRPr="004031D2">
        <w:rPr>
          <w:rFonts w:ascii="Times New Roman" w:hAnsi="Times New Roman" w:cs="Times New Roman"/>
          <w:bCs/>
          <w:sz w:val="24"/>
          <w:szCs w:val="24"/>
          <w:lang w:eastAsia="ro-RO"/>
        </w:rPr>
        <w:t xml:space="preserve"> din sfera sa de competență</w:t>
      </w:r>
      <w:r w:rsidR="007C6BAE" w:rsidRPr="004031D2">
        <w:rPr>
          <w:rFonts w:ascii="Times New Roman" w:eastAsia="Times New Roman" w:hAnsi="Times New Roman" w:cs="Times New Roman"/>
          <w:sz w:val="24"/>
          <w:szCs w:val="24"/>
          <w:lang w:eastAsia="ru-RU"/>
        </w:rPr>
        <w:t>(</w:t>
      </w:r>
      <w:r w:rsidR="004031D2" w:rsidRPr="004031D2">
        <w:rPr>
          <w:rFonts w:ascii="Times New Roman" w:hAnsi="Times New Roman" w:cs="Times New Roman"/>
          <w:sz w:val="24"/>
          <w:szCs w:val="24"/>
          <w:lang w:val="pt-BR"/>
        </w:rPr>
        <w:t xml:space="preserve">pct. 4.1.2-4.1.3. și </w:t>
      </w:r>
      <w:r w:rsidR="007C6BAE" w:rsidRPr="004031D2">
        <w:rPr>
          <w:rFonts w:ascii="Times New Roman" w:hAnsi="Times New Roman" w:cs="Times New Roman"/>
          <w:bCs/>
          <w:sz w:val="24"/>
          <w:szCs w:val="24"/>
          <w:lang w:eastAsia="ro-RO"/>
        </w:rPr>
        <w:t>pct. 4.4.1.)</w:t>
      </w:r>
      <w:r w:rsidR="007C6BAE" w:rsidRPr="004031D2">
        <w:rPr>
          <w:rFonts w:ascii="Times New Roman" w:eastAsia="Times New Roman" w:hAnsi="Times New Roman" w:cs="Times New Roman"/>
          <w:sz w:val="24"/>
          <w:szCs w:val="24"/>
          <w:lang w:eastAsia="ru-RU"/>
        </w:rPr>
        <w:t>;</w:t>
      </w:r>
    </w:p>
    <w:p w14:paraId="0325A00B" w14:textId="15E5758B" w:rsidR="00D215F6" w:rsidRPr="006C3338" w:rsidRDefault="00BE6A29" w:rsidP="00231A57">
      <w:pPr>
        <w:pStyle w:val="a7"/>
        <w:numPr>
          <w:ilvl w:val="0"/>
          <w:numId w:val="23"/>
        </w:numPr>
        <w:shd w:val="clear" w:color="auto" w:fill="FFFFFF"/>
        <w:tabs>
          <w:tab w:val="left" w:pos="284"/>
          <w:tab w:val="left" w:pos="426"/>
        </w:tabs>
        <w:spacing w:after="40" w:line="276" w:lineRule="auto"/>
        <w:ind w:left="0" w:firstLine="0"/>
        <w:contextualSpacing w:val="0"/>
        <w:jc w:val="both"/>
        <w:rPr>
          <w:rFonts w:ascii="Times New Roman" w:hAnsi="Times New Roman" w:cs="Times New Roman"/>
          <w:bCs/>
          <w:sz w:val="24"/>
          <w:szCs w:val="24"/>
          <w:lang w:eastAsia="ro-RO"/>
        </w:rPr>
      </w:pPr>
      <w:r>
        <w:rPr>
          <w:rFonts w:ascii="Times New Roman" w:hAnsi="Times New Roman" w:cs="Times New Roman"/>
          <w:bCs/>
          <w:sz w:val="24"/>
          <w:szCs w:val="24"/>
          <w:lang w:eastAsia="ro-RO"/>
        </w:rPr>
        <w:t xml:space="preserve">I.P. </w:t>
      </w:r>
      <w:r w:rsidR="00B10CF8">
        <w:rPr>
          <w:rFonts w:ascii="Times New Roman" w:hAnsi="Times New Roman" w:cs="Times New Roman"/>
          <w:bCs/>
          <w:sz w:val="24"/>
          <w:szCs w:val="24"/>
          <w:lang w:eastAsia="ro-RO"/>
        </w:rPr>
        <w:t>„</w:t>
      </w:r>
      <w:r w:rsidR="00D215F6" w:rsidRPr="006C3338">
        <w:rPr>
          <w:rFonts w:ascii="Times New Roman" w:hAnsi="Times New Roman" w:cs="Times New Roman"/>
          <w:bCs/>
          <w:sz w:val="24"/>
          <w:szCs w:val="24"/>
          <w:lang w:eastAsia="ro-RO"/>
        </w:rPr>
        <w:t>STISC</w:t>
      </w:r>
      <w:r w:rsidR="00B10CF8">
        <w:rPr>
          <w:rFonts w:ascii="Times New Roman" w:hAnsi="Times New Roman" w:cs="Times New Roman"/>
          <w:bCs/>
          <w:sz w:val="24"/>
          <w:szCs w:val="24"/>
          <w:lang w:eastAsia="ro-RO"/>
        </w:rPr>
        <w:t>”</w:t>
      </w:r>
      <w:r w:rsidR="00991051" w:rsidRPr="006C3338">
        <w:rPr>
          <w:rFonts w:ascii="Times New Roman" w:hAnsi="Times New Roman" w:cs="Times New Roman"/>
          <w:bCs/>
          <w:sz w:val="24"/>
          <w:szCs w:val="24"/>
          <w:lang w:eastAsia="ro-RO"/>
        </w:rPr>
        <w:t xml:space="preserve"> să reexamineze cheltuielile incluse în tarife și </w:t>
      </w:r>
      <w:r w:rsidR="000E2016">
        <w:rPr>
          <w:rFonts w:ascii="Times New Roman" w:hAnsi="Times New Roman" w:cs="Times New Roman"/>
          <w:bCs/>
          <w:sz w:val="24"/>
          <w:szCs w:val="24"/>
          <w:lang w:eastAsia="ro-RO"/>
        </w:rPr>
        <w:t>aspectele privind actualizarea</w:t>
      </w:r>
      <w:r w:rsidR="00991051" w:rsidRPr="006C3338">
        <w:rPr>
          <w:rFonts w:ascii="Times New Roman" w:hAnsi="Times New Roman" w:cs="Times New Roman"/>
          <w:bCs/>
          <w:sz w:val="24"/>
          <w:szCs w:val="24"/>
          <w:lang w:eastAsia="ro-RO"/>
        </w:rPr>
        <w:t xml:space="preserve"> tarifelor conform metodologiei aprobate, precum și să ra</w:t>
      </w:r>
      <w:r w:rsidR="000E2016">
        <w:rPr>
          <w:rFonts w:ascii="Times New Roman" w:hAnsi="Times New Roman" w:cs="Times New Roman"/>
          <w:bCs/>
          <w:sz w:val="24"/>
          <w:szCs w:val="24"/>
          <w:lang w:eastAsia="ro-RO"/>
        </w:rPr>
        <w:t>porteze situația vizavi de problematicile menționate</w:t>
      </w:r>
      <w:r w:rsidR="00991051" w:rsidRPr="006C3338">
        <w:rPr>
          <w:rFonts w:ascii="Times New Roman" w:hAnsi="Times New Roman" w:cs="Times New Roman"/>
          <w:bCs/>
          <w:sz w:val="24"/>
          <w:szCs w:val="24"/>
          <w:lang w:eastAsia="ro-RO"/>
        </w:rPr>
        <w:t xml:space="preserve"> atât Consiliului cât și fondatorului (</w:t>
      </w:r>
      <w:r w:rsidR="00703E40" w:rsidRPr="006C3338">
        <w:rPr>
          <w:rFonts w:ascii="Times New Roman" w:hAnsi="Times New Roman" w:cs="Times New Roman"/>
          <w:bCs/>
          <w:sz w:val="24"/>
          <w:szCs w:val="24"/>
          <w:lang w:eastAsia="ro-RO"/>
        </w:rPr>
        <w:t>pct. 4.2.3</w:t>
      </w:r>
      <w:r w:rsidR="00991051" w:rsidRPr="006C3338">
        <w:rPr>
          <w:rFonts w:ascii="Times New Roman" w:hAnsi="Times New Roman" w:cs="Times New Roman"/>
          <w:bCs/>
          <w:sz w:val="24"/>
          <w:szCs w:val="24"/>
          <w:lang w:eastAsia="ro-RO"/>
        </w:rPr>
        <w:t xml:space="preserve">, subpct. (ii)); </w:t>
      </w:r>
    </w:p>
    <w:p w14:paraId="5579781F" w14:textId="0739735F" w:rsidR="0063492C" w:rsidRPr="006C3338" w:rsidRDefault="00BE6A29" w:rsidP="00231A57">
      <w:pPr>
        <w:pStyle w:val="a7"/>
        <w:numPr>
          <w:ilvl w:val="0"/>
          <w:numId w:val="23"/>
        </w:numPr>
        <w:shd w:val="clear" w:color="auto" w:fill="FFFFFF"/>
        <w:tabs>
          <w:tab w:val="left" w:pos="284"/>
          <w:tab w:val="left" w:pos="426"/>
        </w:tabs>
        <w:spacing w:after="40" w:line="276" w:lineRule="auto"/>
        <w:ind w:left="0" w:firstLine="0"/>
        <w:contextualSpacing w:val="0"/>
        <w:jc w:val="both"/>
        <w:rPr>
          <w:rFonts w:ascii="Times New Roman" w:hAnsi="Times New Roman" w:cs="Times New Roman"/>
          <w:bCs/>
          <w:sz w:val="24"/>
          <w:szCs w:val="24"/>
          <w:lang w:eastAsia="ro-RO"/>
        </w:rPr>
      </w:pPr>
      <w:r>
        <w:rPr>
          <w:rFonts w:ascii="Times New Roman" w:hAnsi="Times New Roman" w:cs="Times New Roman"/>
          <w:bCs/>
          <w:sz w:val="24"/>
          <w:szCs w:val="24"/>
          <w:lang w:eastAsia="ro-RO"/>
        </w:rPr>
        <w:t xml:space="preserve">I.P. </w:t>
      </w:r>
      <w:r w:rsidR="00B10CF8">
        <w:rPr>
          <w:rFonts w:ascii="Times New Roman" w:hAnsi="Times New Roman" w:cs="Times New Roman"/>
          <w:bCs/>
          <w:sz w:val="24"/>
          <w:szCs w:val="24"/>
          <w:lang w:eastAsia="ro-RO"/>
        </w:rPr>
        <w:t>„</w:t>
      </w:r>
      <w:r w:rsidR="0063492C" w:rsidRPr="006C3338">
        <w:rPr>
          <w:rFonts w:ascii="Times New Roman" w:hAnsi="Times New Roman" w:cs="Times New Roman"/>
          <w:bCs/>
          <w:sz w:val="24"/>
          <w:szCs w:val="24"/>
          <w:lang w:eastAsia="ro-RO"/>
        </w:rPr>
        <w:t>STISC</w:t>
      </w:r>
      <w:r w:rsidR="00B10CF8">
        <w:rPr>
          <w:rFonts w:ascii="Times New Roman" w:hAnsi="Times New Roman" w:cs="Times New Roman"/>
          <w:bCs/>
          <w:sz w:val="24"/>
          <w:szCs w:val="24"/>
          <w:lang w:eastAsia="ro-RO"/>
        </w:rPr>
        <w:t>”</w:t>
      </w:r>
      <w:r w:rsidR="001625B0" w:rsidRPr="006C3338">
        <w:rPr>
          <w:rFonts w:ascii="Times New Roman" w:hAnsi="Times New Roman" w:cs="Times New Roman"/>
          <w:bCs/>
          <w:sz w:val="24"/>
          <w:szCs w:val="24"/>
          <w:lang w:eastAsia="ro-RO"/>
        </w:rPr>
        <w:t xml:space="preserve"> </w:t>
      </w:r>
      <w:r>
        <w:rPr>
          <w:rFonts w:ascii="Times New Roman" w:hAnsi="Times New Roman" w:cs="Times New Roman"/>
          <w:bCs/>
          <w:sz w:val="24"/>
          <w:szCs w:val="24"/>
          <w:lang w:eastAsia="ro-RO"/>
        </w:rPr>
        <w:t>să</w:t>
      </w:r>
      <w:r w:rsidRPr="006C3338">
        <w:rPr>
          <w:rFonts w:ascii="Times New Roman" w:hAnsi="Times New Roman" w:cs="Times New Roman"/>
          <w:bCs/>
          <w:sz w:val="24"/>
          <w:szCs w:val="24"/>
          <w:lang w:eastAsia="ro-RO"/>
        </w:rPr>
        <w:t xml:space="preserve"> adopt</w:t>
      </w:r>
      <w:r>
        <w:rPr>
          <w:rFonts w:ascii="Times New Roman" w:hAnsi="Times New Roman" w:cs="Times New Roman"/>
          <w:bCs/>
          <w:sz w:val="24"/>
          <w:szCs w:val="24"/>
          <w:lang w:eastAsia="ro-RO"/>
        </w:rPr>
        <w:t>e</w:t>
      </w:r>
      <w:r w:rsidRPr="006C3338">
        <w:rPr>
          <w:rFonts w:ascii="Times New Roman" w:hAnsi="Times New Roman" w:cs="Times New Roman"/>
          <w:bCs/>
          <w:sz w:val="24"/>
          <w:szCs w:val="24"/>
          <w:lang w:eastAsia="ro-RO"/>
        </w:rPr>
        <w:t xml:space="preserve"> decizii referitor la punerea în funcțiune a </w:t>
      </w:r>
      <w:r w:rsidRPr="006C3338">
        <w:rPr>
          <w:rFonts w:ascii="Times New Roman" w:hAnsi="Times New Roman" w:cs="Times New Roman"/>
          <w:sz w:val="24"/>
          <w:szCs w:val="24"/>
        </w:rPr>
        <w:t xml:space="preserve">SI „MoldovaGovCA” </w:t>
      </w:r>
      <w:r w:rsidRPr="006C3338">
        <w:rPr>
          <w:rFonts w:ascii="Times New Roman" w:hAnsi="Times New Roman" w:cs="Times New Roman"/>
          <w:bCs/>
          <w:sz w:val="24"/>
          <w:szCs w:val="24"/>
          <w:lang w:eastAsia="ro-RO"/>
        </w:rPr>
        <w:t>și a dispozitivelor securizate HSM</w:t>
      </w:r>
      <w:r>
        <w:rPr>
          <w:rFonts w:ascii="Times New Roman" w:hAnsi="Times New Roman" w:cs="Times New Roman"/>
          <w:bCs/>
          <w:sz w:val="24"/>
          <w:szCs w:val="24"/>
          <w:lang w:eastAsia="ro-RO"/>
        </w:rPr>
        <w:t>, cu informarea în acest sens a</w:t>
      </w:r>
      <w:r w:rsidRPr="006C3338">
        <w:rPr>
          <w:rFonts w:ascii="Times New Roman" w:hAnsi="Times New Roman" w:cs="Times New Roman"/>
          <w:bCs/>
          <w:sz w:val="24"/>
          <w:szCs w:val="24"/>
          <w:lang w:eastAsia="ro-RO"/>
        </w:rPr>
        <w:t xml:space="preserve"> Consiliului</w:t>
      </w:r>
      <w:r>
        <w:rPr>
          <w:rFonts w:ascii="Times New Roman" w:hAnsi="Times New Roman" w:cs="Times New Roman"/>
          <w:bCs/>
          <w:sz w:val="24"/>
          <w:szCs w:val="24"/>
          <w:lang w:eastAsia="ro-RO"/>
        </w:rPr>
        <w:t>,</w:t>
      </w:r>
      <w:r w:rsidRPr="006C3338">
        <w:rPr>
          <w:rFonts w:ascii="Times New Roman" w:hAnsi="Times New Roman" w:cs="Times New Roman"/>
          <w:bCs/>
          <w:sz w:val="24"/>
          <w:szCs w:val="24"/>
          <w:lang w:eastAsia="ro-RO"/>
        </w:rPr>
        <w:t xml:space="preserve"> cât și </w:t>
      </w:r>
      <w:r>
        <w:rPr>
          <w:rFonts w:ascii="Times New Roman" w:hAnsi="Times New Roman" w:cs="Times New Roman"/>
          <w:bCs/>
          <w:sz w:val="24"/>
          <w:szCs w:val="24"/>
          <w:lang w:eastAsia="ro-RO"/>
        </w:rPr>
        <w:t xml:space="preserve">a </w:t>
      </w:r>
      <w:r w:rsidRPr="006C3338">
        <w:rPr>
          <w:rFonts w:ascii="Times New Roman" w:hAnsi="Times New Roman" w:cs="Times New Roman"/>
          <w:bCs/>
          <w:sz w:val="24"/>
          <w:szCs w:val="24"/>
          <w:lang w:eastAsia="ro-RO"/>
        </w:rPr>
        <w:t>fondatorului (pct. 4.1.5, subpct. (i));</w:t>
      </w:r>
    </w:p>
    <w:p w14:paraId="5E36E6D9" w14:textId="230B6498" w:rsidR="00D215F6" w:rsidRPr="004031D2" w:rsidRDefault="00D215F6" w:rsidP="00231A57">
      <w:pPr>
        <w:pStyle w:val="a7"/>
        <w:numPr>
          <w:ilvl w:val="0"/>
          <w:numId w:val="23"/>
        </w:numPr>
        <w:shd w:val="clear" w:color="auto" w:fill="FFFFFF"/>
        <w:tabs>
          <w:tab w:val="left" w:pos="284"/>
          <w:tab w:val="left" w:pos="426"/>
        </w:tabs>
        <w:spacing w:after="40" w:line="276" w:lineRule="auto"/>
        <w:ind w:left="0" w:firstLine="0"/>
        <w:contextualSpacing w:val="0"/>
        <w:jc w:val="both"/>
        <w:rPr>
          <w:rFonts w:ascii="Times New Roman" w:hAnsi="Times New Roman" w:cs="Times New Roman"/>
          <w:sz w:val="24"/>
          <w:szCs w:val="24"/>
          <w:lang w:val="pt-BR"/>
        </w:rPr>
      </w:pPr>
      <w:r w:rsidRPr="004031D2">
        <w:rPr>
          <w:rFonts w:ascii="Times New Roman" w:hAnsi="Times New Roman" w:cs="Times New Roman"/>
          <w:bCs/>
          <w:sz w:val="24"/>
          <w:szCs w:val="24"/>
          <w:lang w:eastAsia="ro-RO"/>
        </w:rPr>
        <w:t xml:space="preserve">CS să elaboreze o normă internă care ar defini clar și exhaustiv atribuțiile și acțiunile responsabililor din cadrul </w:t>
      </w:r>
      <w:r w:rsidR="000E2016">
        <w:rPr>
          <w:rFonts w:ascii="Times New Roman" w:hAnsi="Times New Roman" w:cs="Times New Roman"/>
          <w:bCs/>
          <w:sz w:val="24"/>
          <w:szCs w:val="24"/>
          <w:lang w:eastAsia="ro-RO"/>
        </w:rPr>
        <w:t>autorității</w:t>
      </w:r>
      <w:r w:rsidR="004031D2" w:rsidRPr="004031D2">
        <w:rPr>
          <w:rFonts w:ascii="Times New Roman" w:hAnsi="Times New Roman" w:cs="Times New Roman"/>
          <w:bCs/>
          <w:sz w:val="24"/>
          <w:szCs w:val="24"/>
          <w:lang w:eastAsia="ro-RO"/>
        </w:rPr>
        <w:t xml:space="preserve"> în vederea </w:t>
      </w:r>
      <w:r w:rsidRPr="004031D2">
        <w:rPr>
          <w:rFonts w:ascii="Times New Roman" w:hAnsi="Times New Roman" w:cs="Times New Roman"/>
          <w:sz w:val="24"/>
          <w:szCs w:val="24"/>
          <w:lang w:val="pt-BR"/>
        </w:rPr>
        <w:t>reglementării procedurilor privind planificarea, utilizarea și raportarea mijloacelor bugetare alocate ca granturi de către CS instituțiilor publice monitorizate (pct. 4.1.</w:t>
      </w:r>
      <w:r w:rsidR="00703E40" w:rsidRPr="004031D2">
        <w:rPr>
          <w:rFonts w:ascii="Times New Roman" w:hAnsi="Times New Roman" w:cs="Times New Roman"/>
          <w:sz w:val="24"/>
          <w:szCs w:val="24"/>
          <w:lang w:val="pt-BR"/>
        </w:rPr>
        <w:t>2 și pct. 4.1.3.</w:t>
      </w:r>
      <w:r w:rsidRPr="004031D2">
        <w:rPr>
          <w:rFonts w:ascii="Times New Roman" w:hAnsi="Times New Roman" w:cs="Times New Roman"/>
          <w:sz w:val="24"/>
          <w:szCs w:val="24"/>
          <w:lang w:val="pt-BR"/>
        </w:rPr>
        <w:t>);</w:t>
      </w:r>
    </w:p>
    <w:p w14:paraId="53220146" w14:textId="77777777" w:rsidR="00D215F6" w:rsidRPr="006C3338" w:rsidRDefault="00D215F6" w:rsidP="00231A57">
      <w:pPr>
        <w:pStyle w:val="a7"/>
        <w:numPr>
          <w:ilvl w:val="0"/>
          <w:numId w:val="23"/>
        </w:numPr>
        <w:shd w:val="clear" w:color="auto" w:fill="FFFFFF"/>
        <w:tabs>
          <w:tab w:val="left" w:pos="284"/>
          <w:tab w:val="left" w:pos="426"/>
        </w:tabs>
        <w:spacing w:after="40" w:line="276" w:lineRule="auto"/>
        <w:ind w:left="0" w:firstLine="0"/>
        <w:contextualSpacing w:val="0"/>
        <w:jc w:val="both"/>
        <w:rPr>
          <w:rFonts w:ascii="Times New Roman" w:hAnsi="Times New Roman" w:cs="Times New Roman"/>
          <w:sz w:val="24"/>
          <w:szCs w:val="24"/>
          <w:lang w:val="pt-BR"/>
        </w:rPr>
      </w:pPr>
      <w:r w:rsidRPr="006C3338">
        <w:rPr>
          <w:rFonts w:ascii="Times New Roman" w:hAnsi="Times New Roman" w:cs="Times New Roman"/>
          <w:sz w:val="24"/>
          <w:szCs w:val="24"/>
          <w:lang w:val="pt-BR"/>
        </w:rPr>
        <w:t>CS să corecteze în evidența contabilă valoarea granturilor capitale în sumă de 53,3 mil. lei trecute neregulamentar la rezultatul perioadei (pct. 4.1.3);</w:t>
      </w:r>
    </w:p>
    <w:p w14:paraId="59F984E6" w14:textId="77777777" w:rsidR="000E2016" w:rsidRDefault="00E927E8" w:rsidP="000E2016">
      <w:pPr>
        <w:pStyle w:val="a7"/>
        <w:numPr>
          <w:ilvl w:val="0"/>
          <w:numId w:val="23"/>
        </w:numPr>
        <w:shd w:val="clear" w:color="auto" w:fill="FFFFFF"/>
        <w:tabs>
          <w:tab w:val="left" w:pos="284"/>
          <w:tab w:val="left" w:pos="426"/>
        </w:tabs>
        <w:spacing w:after="0" w:line="276" w:lineRule="auto"/>
        <w:ind w:left="0" w:firstLine="0"/>
        <w:contextualSpacing w:val="0"/>
        <w:jc w:val="both"/>
        <w:rPr>
          <w:rFonts w:ascii="Times New Roman" w:hAnsi="Times New Roman" w:cs="Times New Roman"/>
          <w:iCs/>
          <w:sz w:val="24"/>
          <w:szCs w:val="24"/>
          <w:lang w:val="ro-RO"/>
        </w:rPr>
      </w:pPr>
      <w:r w:rsidRPr="006C3338">
        <w:rPr>
          <w:rFonts w:ascii="Times New Roman" w:hAnsi="Times New Roman" w:cs="Times New Roman"/>
          <w:iCs/>
          <w:sz w:val="24"/>
          <w:szCs w:val="24"/>
          <w:lang w:val="ro-RO"/>
        </w:rPr>
        <w:t>CS în cadrul inventarierii anuale</w:t>
      </w:r>
      <w:r w:rsidR="000E2016">
        <w:rPr>
          <w:rFonts w:ascii="Times New Roman" w:hAnsi="Times New Roman" w:cs="Times New Roman"/>
          <w:iCs/>
          <w:sz w:val="24"/>
          <w:szCs w:val="24"/>
          <w:lang w:val="ro-RO"/>
        </w:rPr>
        <w:t>:</w:t>
      </w:r>
    </w:p>
    <w:p w14:paraId="5A97BFF5" w14:textId="00A75247" w:rsidR="00E927E8" w:rsidRDefault="00BE6A29" w:rsidP="000E2016">
      <w:pPr>
        <w:pStyle w:val="a7"/>
        <w:numPr>
          <w:ilvl w:val="1"/>
          <w:numId w:val="23"/>
        </w:numPr>
        <w:shd w:val="clear" w:color="auto" w:fill="FFFFFF"/>
        <w:tabs>
          <w:tab w:val="left" w:pos="284"/>
          <w:tab w:val="left" w:pos="426"/>
        </w:tabs>
        <w:spacing w:after="80" w:line="276" w:lineRule="auto"/>
        <w:jc w:val="both"/>
        <w:rPr>
          <w:rFonts w:ascii="Times New Roman" w:hAnsi="Times New Roman" w:cs="Times New Roman"/>
          <w:iCs/>
          <w:sz w:val="24"/>
          <w:szCs w:val="24"/>
          <w:lang w:val="ro-RO"/>
        </w:rPr>
      </w:pPr>
      <w:r>
        <w:rPr>
          <w:rFonts w:ascii="Times New Roman" w:hAnsi="Times New Roman" w:cs="Times New Roman"/>
          <w:iCs/>
          <w:sz w:val="24"/>
          <w:szCs w:val="24"/>
          <w:lang w:val="ro-RO"/>
        </w:rPr>
        <w:t>să asigure luarea în</w:t>
      </w:r>
      <w:r w:rsidR="00E927E8" w:rsidRPr="000E2016">
        <w:rPr>
          <w:rFonts w:ascii="Times New Roman" w:hAnsi="Times New Roman" w:cs="Times New Roman"/>
          <w:iCs/>
          <w:sz w:val="24"/>
          <w:szCs w:val="24"/>
          <w:lang w:val="ro-RO"/>
        </w:rPr>
        <w:t xml:space="preserve"> evidență la contul contabil corespunzător (415310) a patrimoniului public </w:t>
      </w:r>
      <w:r w:rsidR="009E46C0">
        <w:rPr>
          <w:rFonts w:ascii="Times New Roman" w:hAnsi="Times New Roman" w:cs="Times New Roman"/>
          <w:iCs/>
          <w:sz w:val="24"/>
          <w:szCs w:val="24"/>
          <w:lang w:val="ro-RO"/>
        </w:rPr>
        <w:t>transmis</w:t>
      </w:r>
      <w:r w:rsidR="00E927E8" w:rsidRPr="000E2016">
        <w:rPr>
          <w:rFonts w:ascii="Times New Roman" w:hAnsi="Times New Roman" w:cs="Times New Roman"/>
          <w:iCs/>
          <w:sz w:val="24"/>
          <w:szCs w:val="24"/>
          <w:lang w:val="ro-RO"/>
        </w:rPr>
        <w:t xml:space="preserve"> în gesti</w:t>
      </w:r>
      <w:r w:rsidR="00813B80">
        <w:rPr>
          <w:rFonts w:ascii="Times New Roman" w:hAnsi="Times New Roman" w:cs="Times New Roman"/>
          <w:iCs/>
          <w:sz w:val="24"/>
          <w:szCs w:val="24"/>
          <w:lang w:val="ro-RO"/>
        </w:rPr>
        <w:t xml:space="preserve">une economică </w:t>
      </w:r>
      <w:r w:rsidR="00421F36" w:rsidRPr="000E2016">
        <w:rPr>
          <w:rFonts w:ascii="Times New Roman" w:hAnsi="Times New Roman" w:cs="Times New Roman"/>
          <w:iCs/>
          <w:sz w:val="24"/>
          <w:szCs w:val="24"/>
          <w:lang w:val="ro-RO"/>
        </w:rPr>
        <w:t>următoarelor entități fondate</w:t>
      </w:r>
      <w:r w:rsidR="00E927E8" w:rsidRPr="000E2016">
        <w:rPr>
          <w:rFonts w:ascii="Times New Roman" w:hAnsi="Times New Roman" w:cs="Times New Roman"/>
          <w:iCs/>
          <w:sz w:val="24"/>
          <w:szCs w:val="24"/>
          <w:lang w:val="ro-RO"/>
        </w:rPr>
        <w:t>:</w:t>
      </w:r>
      <w:r w:rsidR="00BA69A9">
        <w:rPr>
          <w:rFonts w:ascii="Times New Roman" w:hAnsi="Times New Roman" w:cs="Times New Roman"/>
          <w:iCs/>
          <w:sz w:val="24"/>
          <w:szCs w:val="24"/>
          <w:lang w:val="ro-RO"/>
        </w:rPr>
        <w:t xml:space="preserve"> </w:t>
      </w:r>
      <w:r w:rsidR="00E927E8" w:rsidRPr="000E2016">
        <w:rPr>
          <w:rFonts w:ascii="Times New Roman" w:hAnsi="Times New Roman" w:cs="Times New Roman"/>
          <w:iCs/>
          <w:sz w:val="24"/>
          <w:szCs w:val="24"/>
          <w:lang w:val="ro-RO"/>
        </w:rPr>
        <w:t>I.P. „ASP”</w:t>
      </w:r>
      <w:r w:rsidR="000E2016">
        <w:rPr>
          <w:rFonts w:ascii="Times New Roman" w:hAnsi="Times New Roman" w:cs="Times New Roman"/>
          <w:iCs/>
          <w:sz w:val="24"/>
          <w:szCs w:val="24"/>
          <w:lang w:val="ro-RO"/>
        </w:rPr>
        <w:t xml:space="preserve">, </w:t>
      </w:r>
      <w:r w:rsidR="002A78CC" w:rsidRPr="000E2016">
        <w:rPr>
          <w:rFonts w:ascii="Times New Roman" w:hAnsi="Times New Roman" w:cs="Times New Roman"/>
          <w:iCs/>
          <w:sz w:val="24"/>
          <w:szCs w:val="24"/>
          <w:lang w:val="ro-RO"/>
        </w:rPr>
        <w:t>I.P.„STISC”</w:t>
      </w:r>
      <w:r w:rsidR="000E2016">
        <w:rPr>
          <w:rFonts w:ascii="Times New Roman" w:hAnsi="Times New Roman" w:cs="Times New Roman"/>
          <w:iCs/>
          <w:sz w:val="24"/>
          <w:szCs w:val="24"/>
          <w:lang w:val="ro-RO"/>
        </w:rPr>
        <w:t xml:space="preserve"> și I.P. AIS „</w:t>
      </w:r>
      <w:r w:rsidR="002B748B">
        <w:rPr>
          <w:rFonts w:ascii="Times New Roman" w:hAnsi="Times New Roman" w:cs="Times New Roman"/>
          <w:iCs/>
          <w:sz w:val="24"/>
          <w:szCs w:val="24"/>
          <w:lang w:val="ro-RO"/>
        </w:rPr>
        <w:t>Moldopre</w:t>
      </w:r>
      <w:r w:rsidR="000E2016">
        <w:rPr>
          <w:rFonts w:ascii="Times New Roman" w:hAnsi="Times New Roman" w:cs="Times New Roman"/>
          <w:iCs/>
          <w:sz w:val="24"/>
          <w:szCs w:val="24"/>
          <w:lang w:val="ro-RO"/>
        </w:rPr>
        <w:t>s”</w:t>
      </w:r>
      <w:r w:rsidR="00E927E8" w:rsidRPr="000E2016">
        <w:rPr>
          <w:rFonts w:ascii="Times New Roman" w:hAnsi="Times New Roman" w:cs="Times New Roman"/>
          <w:iCs/>
          <w:sz w:val="24"/>
          <w:szCs w:val="24"/>
          <w:lang w:val="ro-RO"/>
        </w:rPr>
        <w:t xml:space="preserve"> </w:t>
      </w:r>
      <w:r w:rsidR="00E927E8" w:rsidRPr="000E2016">
        <w:rPr>
          <w:rFonts w:ascii="Times New Roman" w:hAnsi="Times New Roman" w:cs="Times New Roman"/>
          <w:sz w:val="24"/>
          <w:szCs w:val="24"/>
          <w:lang w:val="pt-BR"/>
        </w:rPr>
        <w:t>(pct. 4.</w:t>
      </w:r>
      <w:r w:rsidR="004C1675" w:rsidRPr="000E2016">
        <w:rPr>
          <w:rFonts w:ascii="Times New Roman" w:hAnsi="Times New Roman" w:cs="Times New Roman"/>
          <w:sz w:val="24"/>
          <w:szCs w:val="24"/>
          <w:lang w:val="pt-BR"/>
        </w:rPr>
        <w:t>3</w:t>
      </w:r>
      <w:r w:rsidR="00E927E8" w:rsidRPr="000E2016">
        <w:rPr>
          <w:rFonts w:ascii="Times New Roman" w:hAnsi="Times New Roman" w:cs="Times New Roman"/>
          <w:sz w:val="24"/>
          <w:szCs w:val="24"/>
          <w:lang w:val="pt-BR"/>
        </w:rPr>
        <w:t>.1)</w:t>
      </w:r>
      <w:r w:rsidR="000E2016">
        <w:rPr>
          <w:rFonts w:ascii="Times New Roman" w:hAnsi="Times New Roman" w:cs="Times New Roman"/>
          <w:iCs/>
          <w:sz w:val="24"/>
          <w:szCs w:val="24"/>
          <w:lang w:val="ro-RO"/>
        </w:rPr>
        <w:t>;</w:t>
      </w:r>
    </w:p>
    <w:p w14:paraId="6F60C57B" w14:textId="02EA95B5" w:rsidR="000E2016" w:rsidRPr="000E2016" w:rsidRDefault="000E2016" w:rsidP="00231A57">
      <w:pPr>
        <w:pStyle w:val="a7"/>
        <w:numPr>
          <w:ilvl w:val="1"/>
          <w:numId w:val="23"/>
        </w:numPr>
        <w:shd w:val="clear" w:color="auto" w:fill="FFFFFF"/>
        <w:tabs>
          <w:tab w:val="left" w:pos="284"/>
          <w:tab w:val="left" w:pos="426"/>
        </w:tabs>
        <w:spacing w:after="40" w:line="276" w:lineRule="auto"/>
        <w:ind w:left="839" w:hanging="482"/>
        <w:contextualSpacing w:val="0"/>
        <w:jc w:val="both"/>
        <w:rPr>
          <w:rFonts w:ascii="Times New Roman" w:hAnsi="Times New Roman" w:cs="Times New Roman"/>
          <w:iCs/>
          <w:sz w:val="24"/>
          <w:szCs w:val="24"/>
          <w:lang w:val="ro-RO"/>
        </w:rPr>
      </w:pPr>
      <w:r w:rsidRPr="006C3338">
        <w:rPr>
          <w:rFonts w:ascii="Times New Roman" w:hAnsi="Times New Roman" w:cs="Times New Roman"/>
          <w:iCs/>
          <w:sz w:val="24"/>
          <w:szCs w:val="24"/>
          <w:lang w:val="ro-RO"/>
        </w:rPr>
        <w:t>să ajusteze datele contabile și să asigure evidența la nivel analitic a trenuril</w:t>
      </w:r>
      <w:r>
        <w:rPr>
          <w:rFonts w:ascii="Times New Roman" w:hAnsi="Times New Roman" w:cs="Times New Roman"/>
          <w:iCs/>
          <w:sz w:val="24"/>
          <w:szCs w:val="24"/>
          <w:lang w:val="ro-RO"/>
        </w:rPr>
        <w:t>or</w:t>
      </w:r>
      <w:r w:rsidRPr="006C3338">
        <w:rPr>
          <w:rFonts w:ascii="Times New Roman" w:hAnsi="Times New Roman" w:cs="Times New Roman"/>
          <w:iCs/>
          <w:sz w:val="24"/>
          <w:szCs w:val="24"/>
          <w:lang w:val="ro-RO"/>
        </w:rPr>
        <w:t>, clădiril</w:t>
      </w:r>
      <w:r>
        <w:rPr>
          <w:rFonts w:ascii="Times New Roman" w:hAnsi="Times New Roman" w:cs="Times New Roman"/>
          <w:iCs/>
          <w:sz w:val="24"/>
          <w:szCs w:val="24"/>
          <w:lang w:val="ro-RO"/>
        </w:rPr>
        <w:t>or</w:t>
      </w:r>
      <w:r w:rsidRPr="006C3338">
        <w:rPr>
          <w:rFonts w:ascii="Times New Roman" w:hAnsi="Times New Roman" w:cs="Times New Roman"/>
          <w:iCs/>
          <w:sz w:val="24"/>
          <w:szCs w:val="24"/>
          <w:lang w:val="ro-RO"/>
        </w:rPr>
        <w:t>, mijloacel</w:t>
      </w:r>
      <w:r>
        <w:rPr>
          <w:rFonts w:ascii="Times New Roman" w:hAnsi="Times New Roman" w:cs="Times New Roman"/>
          <w:iCs/>
          <w:sz w:val="24"/>
          <w:szCs w:val="24"/>
          <w:lang w:val="ro-RO"/>
        </w:rPr>
        <w:t>or</w:t>
      </w:r>
      <w:r w:rsidRPr="006C3338">
        <w:rPr>
          <w:rFonts w:ascii="Times New Roman" w:hAnsi="Times New Roman" w:cs="Times New Roman"/>
          <w:iCs/>
          <w:sz w:val="24"/>
          <w:szCs w:val="24"/>
          <w:lang w:val="ro-RO"/>
        </w:rPr>
        <w:t xml:space="preserve"> bănești și alt</w:t>
      </w:r>
      <w:r>
        <w:rPr>
          <w:rFonts w:ascii="Times New Roman" w:hAnsi="Times New Roman" w:cs="Times New Roman"/>
          <w:iCs/>
          <w:sz w:val="24"/>
          <w:szCs w:val="24"/>
          <w:lang w:val="ro-RO"/>
        </w:rPr>
        <w:t>or</w:t>
      </w:r>
      <w:r w:rsidRPr="006C3338">
        <w:rPr>
          <w:rFonts w:ascii="Times New Roman" w:hAnsi="Times New Roman" w:cs="Times New Roman"/>
          <w:iCs/>
          <w:sz w:val="24"/>
          <w:szCs w:val="24"/>
          <w:lang w:val="ro-RO"/>
        </w:rPr>
        <w:t xml:space="preserve"> bunuri </w:t>
      </w:r>
      <w:r w:rsidR="008159E0">
        <w:rPr>
          <w:rFonts w:ascii="Times New Roman" w:hAnsi="Times New Roman" w:cs="Times New Roman"/>
          <w:iCs/>
          <w:sz w:val="24"/>
          <w:szCs w:val="24"/>
          <w:lang w:val="ro-RO"/>
        </w:rPr>
        <w:t>aflate</w:t>
      </w:r>
      <w:r w:rsidRPr="006C3338">
        <w:rPr>
          <w:rFonts w:ascii="Times New Roman" w:hAnsi="Times New Roman" w:cs="Times New Roman"/>
          <w:iCs/>
          <w:sz w:val="24"/>
          <w:szCs w:val="24"/>
          <w:lang w:val="ro-RO"/>
        </w:rPr>
        <w:t xml:space="preserve"> în gestiune economică I.P. „Palatul Republicii”</w:t>
      </w:r>
      <w:r w:rsidR="00BE6A29">
        <w:rPr>
          <w:rFonts w:ascii="Times New Roman" w:hAnsi="Times New Roman" w:cs="Times New Roman"/>
          <w:iCs/>
          <w:sz w:val="24"/>
          <w:szCs w:val="24"/>
          <w:lang w:val="ro-RO"/>
        </w:rPr>
        <w:t>,</w:t>
      </w:r>
      <w:r w:rsidRPr="006C3338">
        <w:rPr>
          <w:rFonts w:ascii="Times New Roman" w:hAnsi="Times New Roman" w:cs="Times New Roman"/>
          <w:iCs/>
          <w:sz w:val="24"/>
          <w:szCs w:val="24"/>
          <w:lang w:val="ro-RO"/>
        </w:rPr>
        <w:t xml:space="preserve"> în sumă de 177,6 mil. lei</w:t>
      </w:r>
      <w:r w:rsidR="00BE6A29">
        <w:rPr>
          <w:rFonts w:ascii="Times New Roman" w:hAnsi="Times New Roman" w:cs="Times New Roman"/>
          <w:iCs/>
          <w:sz w:val="24"/>
          <w:szCs w:val="24"/>
          <w:lang w:val="ro-RO"/>
        </w:rPr>
        <w:t>,</w:t>
      </w:r>
      <w:r w:rsidRPr="006C3338">
        <w:rPr>
          <w:rFonts w:ascii="Times New Roman" w:hAnsi="Times New Roman" w:cs="Times New Roman"/>
          <w:iCs/>
          <w:sz w:val="24"/>
          <w:szCs w:val="24"/>
          <w:lang w:val="ro-RO"/>
        </w:rPr>
        <w:t xml:space="preserve"> și I.P. </w:t>
      </w:r>
      <w:r>
        <w:rPr>
          <w:rFonts w:ascii="Times New Roman" w:hAnsi="Times New Roman" w:cs="Times New Roman"/>
          <w:iCs/>
          <w:sz w:val="24"/>
          <w:szCs w:val="24"/>
          <w:lang w:val="ro-RO"/>
        </w:rPr>
        <w:t>„</w:t>
      </w:r>
      <w:r w:rsidRPr="006C3338">
        <w:rPr>
          <w:rFonts w:ascii="Times New Roman" w:hAnsi="Times New Roman" w:cs="Times New Roman"/>
          <w:iCs/>
          <w:sz w:val="24"/>
          <w:szCs w:val="24"/>
          <w:lang w:val="ro-RO"/>
        </w:rPr>
        <w:t xml:space="preserve">Pensiunea din Holercani” </w:t>
      </w:r>
      <w:r>
        <w:rPr>
          <w:rFonts w:ascii="Times New Roman" w:hAnsi="Times New Roman" w:cs="Times New Roman"/>
          <w:iCs/>
          <w:sz w:val="24"/>
          <w:szCs w:val="24"/>
          <w:lang w:val="ro-RO"/>
        </w:rPr>
        <w:t>în sumă de</w:t>
      </w:r>
      <w:r w:rsidRPr="006C3338">
        <w:rPr>
          <w:rFonts w:ascii="Times New Roman" w:hAnsi="Times New Roman" w:cs="Times New Roman"/>
          <w:iCs/>
          <w:sz w:val="24"/>
          <w:szCs w:val="24"/>
          <w:lang w:val="ro-RO"/>
        </w:rPr>
        <w:t xml:space="preserve"> 52,8 mil. lei </w:t>
      </w:r>
      <w:r w:rsidRPr="006C3338">
        <w:rPr>
          <w:rFonts w:ascii="Times New Roman" w:hAnsi="Times New Roman" w:cs="Times New Roman"/>
          <w:sz w:val="24"/>
          <w:szCs w:val="24"/>
          <w:lang w:val="pt-BR"/>
        </w:rPr>
        <w:t>(pct. 4.3.1)</w:t>
      </w:r>
      <w:r>
        <w:rPr>
          <w:rFonts w:ascii="Times New Roman" w:hAnsi="Times New Roman" w:cs="Times New Roman"/>
          <w:iCs/>
          <w:sz w:val="24"/>
          <w:szCs w:val="24"/>
          <w:lang w:val="ro-RO"/>
        </w:rPr>
        <w:t>;</w:t>
      </w:r>
    </w:p>
    <w:p w14:paraId="465F1594" w14:textId="32E95EE9" w:rsidR="00421F36" w:rsidRPr="000E2016" w:rsidRDefault="000E64DC" w:rsidP="00231A57">
      <w:pPr>
        <w:pStyle w:val="a7"/>
        <w:numPr>
          <w:ilvl w:val="0"/>
          <w:numId w:val="23"/>
        </w:numPr>
        <w:shd w:val="clear" w:color="auto" w:fill="FFFFFF"/>
        <w:tabs>
          <w:tab w:val="left" w:pos="284"/>
          <w:tab w:val="left" w:pos="426"/>
        </w:tabs>
        <w:spacing w:after="40" w:line="276" w:lineRule="auto"/>
        <w:ind w:left="0" w:firstLine="0"/>
        <w:contextualSpacing w:val="0"/>
        <w:jc w:val="both"/>
        <w:rPr>
          <w:rFonts w:ascii="Times New Roman" w:hAnsi="Times New Roman" w:cs="Times New Roman"/>
          <w:sz w:val="24"/>
          <w:szCs w:val="24"/>
        </w:rPr>
      </w:pPr>
      <w:r w:rsidRPr="00C729C2">
        <w:rPr>
          <w:rFonts w:ascii="Times New Roman" w:hAnsi="Times New Roman" w:cs="Times New Roman"/>
          <w:sz w:val="24"/>
          <w:szCs w:val="24"/>
        </w:rPr>
        <w:t>ASP</w:t>
      </w:r>
      <w:r w:rsidR="00D27D5B" w:rsidRPr="00C729C2">
        <w:rPr>
          <w:rFonts w:ascii="Times New Roman" w:hAnsi="Times New Roman" w:cs="Times New Roman"/>
          <w:sz w:val="24"/>
          <w:szCs w:val="24"/>
        </w:rPr>
        <w:t xml:space="preserve"> și</w:t>
      </w:r>
      <w:r w:rsidR="00421F36" w:rsidRPr="00C729C2">
        <w:rPr>
          <w:rFonts w:ascii="Times New Roman" w:hAnsi="Times New Roman" w:cs="Times New Roman"/>
          <w:sz w:val="24"/>
          <w:szCs w:val="24"/>
        </w:rPr>
        <w:t xml:space="preserve"> CS </w:t>
      </w:r>
      <w:r w:rsidR="00D27D5B" w:rsidRPr="00C729C2">
        <w:rPr>
          <w:rFonts w:ascii="Times New Roman" w:hAnsi="Times New Roman" w:cs="Times New Roman"/>
          <w:sz w:val="24"/>
          <w:szCs w:val="24"/>
        </w:rPr>
        <w:t xml:space="preserve">în </w:t>
      </w:r>
      <w:r w:rsidR="00D27D5B">
        <w:rPr>
          <w:rFonts w:ascii="Times New Roman" w:hAnsi="Times New Roman" w:cs="Times New Roman"/>
          <w:sz w:val="24"/>
          <w:szCs w:val="24"/>
        </w:rPr>
        <w:t>comun</w:t>
      </w:r>
      <w:r w:rsidR="00421F36" w:rsidRPr="00F77630">
        <w:rPr>
          <w:rFonts w:ascii="Times New Roman" w:hAnsi="Times New Roman" w:cs="Times New Roman"/>
          <w:sz w:val="24"/>
          <w:szCs w:val="24"/>
        </w:rPr>
        <w:t xml:space="preserve"> </w:t>
      </w:r>
      <w:r w:rsidR="00421F36">
        <w:rPr>
          <w:rFonts w:ascii="Times New Roman" w:hAnsi="Times New Roman" w:cs="Times New Roman"/>
          <w:sz w:val="24"/>
          <w:szCs w:val="24"/>
        </w:rPr>
        <w:t>APP să î</w:t>
      </w:r>
      <w:r w:rsidR="00421F36" w:rsidRPr="00F77630">
        <w:rPr>
          <w:rFonts w:ascii="Times New Roman" w:hAnsi="Times New Roman" w:cs="Times New Roman"/>
          <w:sz w:val="24"/>
          <w:szCs w:val="24"/>
        </w:rPr>
        <w:t>ntocm</w:t>
      </w:r>
      <w:r w:rsidR="00421F36">
        <w:rPr>
          <w:rFonts w:ascii="Times New Roman" w:hAnsi="Times New Roman" w:cs="Times New Roman"/>
          <w:sz w:val="24"/>
          <w:szCs w:val="24"/>
        </w:rPr>
        <w:t>ească</w:t>
      </w:r>
      <w:r w:rsidR="00421F36" w:rsidRPr="00F77630">
        <w:rPr>
          <w:rFonts w:ascii="Times New Roman" w:hAnsi="Times New Roman" w:cs="Times New Roman"/>
          <w:sz w:val="24"/>
          <w:szCs w:val="24"/>
        </w:rPr>
        <w:t xml:space="preserve"> list</w:t>
      </w:r>
      <w:r w:rsidR="00421F36">
        <w:rPr>
          <w:rFonts w:ascii="Times New Roman" w:hAnsi="Times New Roman" w:cs="Times New Roman"/>
          <w:sz w:val="24"/>
          <w:szCs w:val="24"/>
        </w:rPr>
        <w:t>a</w:t>
      </w:r>
      <w:r w:rsidR="00421F36" w:rsidRPr="00F77630">
        <w:rPr>
          <w:rFonts w:ascii="Times New Roman" w:hAnsi="Times New Roman" w:cs="Times New Roman"/>
          <w:sz w:val="24"/>
          <w:szCs w:val="24"/>
        </w:rPr>
        <w:t xml:space="preserve"> </w:t>
      </w:r>
      <w:r w:rsidR="008159E0">
        <w:rPr>
          <w:rFonts w:ascii="Times New Roman" w:hAnsi="Times New Roman" w:cs="Times New Roman"/>
          <w:sz w:val="24"/>
          <w:szCs w:val="24"/>
        </w:rPr>
        <w:t>bunurilor imobile/terenurilor aflate</w:t>
      </w:r>
      <w:r w:rsidR="00421F36" w:rsidRPr="00F77630">
        <w:rPr>
          <w:rFonts w:ascii="Times New Roman" w:hAnsi="Times New Roman" w:cs="Times New Roman"/>
          <w:sz w:val="24"/>
          <w:szCs w:val="24"/>
        </w:rPr>
        <w:t xml:space="preserve">/primite în gestiune economică de către ASP și </w:t>
      </w:r>
      <w:r w:rsidR="00421F36">
        <w:rPr>
          <w:rFonts w:ascii="Times New Roman" w:hAnsi="Times New Roman" w:cs="Times New Roman"/>
          <w:sz w:val="24"/>
          <w:szCs w:val="24"/>
        </w:rPr>
        <w:t xml:space="preserve">să </w:t>
      </w:r>
      <w:r w:rsidR="00421F36" w:rsidRPr="00F77630">
        <w:rPr>
          <w:rFonts w:ascii="Times New Roman" w:hAnsi="Times New Roman" w:cs="Times New Roman"/>
          <w:sz w:val="24"/>
          <w:szCs w:val="24"/>
        </w:rPr>
        <w:t>asigur</w:t>
      </w:r>
      <w:r w:rsidR="00421F36">
        <w:rPr>
          <w:rFonts w:ascii="Times New Roman" w:hAnsi="Times New Roman" w:cs="Times New Roman"/>
          <w:sz w:val="24"/>
          <w:szCs w:val="24"/>
        </w:rPr>
        <w:t>e</w:t>
      </w:r>
      <w:r w:rsidR="00421F36" w:rsidRPr="00F77630">
        <w:rPr>
          <w:rFonts w:ascii="Times New Roman" w:hAnsi="Times New Roman" w:cs="Times New Roman"/>
          <w:sz w:val="24"/>
          <w:szCs w:val="24"/>
        </w:rPr>
        <w:t xml:space="preserve"> contabiliz</w:t>
      </w:r>
      <w:r w:rsidR="00421F36">
        <w:rPr>
          <w:rFonts w:ascii="Times New Roman" w:hAnsi="Times New Roman" w:cs="Times New Roman"/>
          <w:sz w:val="24"/>
          <w:szCs w:val="24"/>
        </w:rPr>
        <w:t>area</w:t>
      </w:r>
      <w:r w:rsidR="00421F36" w:rsidRPr="00F77630">
        <w:rPr>
          <w:rFonts w:ascii="Times New Roman" w:hAnsi="Times New Roman" w:cs="Times New Roman"/>
          <w:sz w:val="24"/>
          <w:szCs w:val="24"/>
        </w:rPr>
        <w:t xml:space="preserve"> conform</w:t>
      </w:r>
      <w:r w:rsidR="00421F36">
        <w:rPr>
          <w:rFonts w:ascii="Times New Roman" w:hAnsi="Times New Roman" w:cs="Times New Roman"/>
          <w:sz w:val="24"/>
          <w:szCs w:val="24"/>
        </w:rPr>
        <w:t>ă</w:t>
      </w:r>
      <w:r w:rsidR="00421F36" w:rsidRPr="00F77630">
        <w:rPr>
          <w:rFonts w:ascii="Times New Roman" w:hAnsi="Times New Roman" w:cs="Times New Roman"/>
          <w:sz w:val="24"/>
          <w:szCs w:val="24"/>
        </w:rPr>
        <w:t xml:space="preserve"> a acest</w:t>
      </w:r>
      <w:r w:rsidR="00421F36">
        <w:rPr>
          <w:rFonts w:ascii="Times New Roman" w:hAnsi="Times New Roman" w:cs="Times New Roman"/>
          <w:sz w:val="24"/>
          <w:szCs w:val="24"/>
        </w:rPr>
        <w:t>ora</w:t>
      </w:r>
      <w:r w:rsidR="00421F36" w:rsidRPr="00F77630">
        <w:rPr>
          <w:rFonts w:ascii="Times New Roman" w:hAnsi="Times New Roman" w:cs="Times New Roman"/>
          <w:sz w:val="24"/>
          <w:szCs w:val="24"/>
        </w:rPr>
        <w:t xml:space="preserve"> la entitățile menționate</w:t>
      </w:r>
      <w:r w:rsidR="00421F36">
        <w:rPr>
          <w:rFonts w:ascii="Times New Roman" w:hAnsi="Times New Roman" w:cs="Times New Roman"/>
          <w:sz w:val="24"/>
          <w:szCs w:val="24"/>
        </w:rPr>
        <w:t xml:space="preserve"> </w:t>
      </w:r>
      <w:r w:rsidR="00421F36">
        <w:rPr>
          <w:rFonts w:ascii="Times New Roman" w:hAnsi="Times New Roman" w:cs="Times New Roman"/>
          <w:sz w:val="24"/>
          <w:szCs w:val="24"/>
          <w:lang w:val="pt-BR"/>
        </w:rPr>
        <w:t>(pct. 4.3.1)</w:t>
      </w:r>
      <w:r w:rsidR="00421F36">
        <w:rPr>
          <w:rFonts w:ascii="Times New Roman" w:hAnsi="Times New Roman" w:cs="Times New Roman"/>
          <w:sz w:val="24"/>
          <w:szCs w:val="24"/>
        </w:rPr>
        <w:t>;</w:t>
      </w:r>
    </w:p>
    <w:p w14:paraId="73598894" w14:textId="3FFE2842" w:rsidR="00D215F6" w:rsidRPr="006C3338" w:rsidRDefault="00D215F6" w:rsidP="000E2016">
      <w:pPr>
        <w:pStyle w:val="a7"/>
        <w:numPr>
          <w:ilvl w:val="0"/>
          <w:numId w:val="23"/>
        </w:numPr>
        <w:shd w:val="clear" w:color="auto" w:fill="FFFFFF"/>
        <w:tabs>
          <w:tab w:val="left" w:pos="284"/>
          <w:tab w:val="left" w:pos="426"/>
        </w:tabs>
        <w:spacing w:after="0" w:line="276" w:lineRule="auto"/>
        <w:ind w:left="0" w:firstLine="0"/>
        <w:contextualSpacing w:val="0"/>
        <w:jc w:val="both"/>
        <w:rPr>
          <w:rFonts w:ascii="Times New Roman" w:hAnsi="Times New Roman" w:cs="Times New Roman"/>
          <w:lang w:val="pt-BR"/>
        </w:rPr>
      </w:pPr>
      <w:r w:rsidRPr="006C3338">
        <w:rPr>
          <w:rFonts w:ascii="Times New Roman" w:hAnsi="Times New Roman" w:cs="Times New Roman"/>
          <w:sz w:val="24"/>
          <w:szCs w:val="24"/>
          <w:lang w:val="pt-BR"/>
        </w:rPr>
        <w:t>CS și I</w:t>
      </w:r>
      <w:r w:rsidR="00BE6A29">
        <w:rPr>
          <w:rFonts w:ascii="Times New Roman" w:hAnsi="Times New Roman" w:cs="Times New Roman"/>
          <w:sz w:val="24"/>
          <w:szCs w:val="24"/>
          <w:lang w:val="pt-BR"/>
        </w:rPr>
        <w:t>.</w:t>
      </w:r>
      <w:r w:rsidRPr="006C3338">
        <w:rPr>
          <w:rFonts w:ascii="Times New Roman" w:hAnsi="Times New Roman" w:cs="Times New Roman"/>
          <w:sz w:val="24"/>
          <w:szCs w:val="24"/>
          <w:lang w:val="pt-BR"/>
        </w:rPr>
        <w:t>P</w:t>
      </w:r>
      <w:r w:rsidR="00BE6A29">
        <w:rPr>
          <w:rFonts w:ascii="Times New Roman" w:hAnsi="Times New Roman" w:cs="Times New Roman"/>
          <w:sz w:val="24"/>
          <w:szCs w:val="24"/>
          <w:lang w:val="pt-BR"/>
        </w:rPr>
        <w:t>.</w:t>
      </w:r>
      <w:r w:rsidRPr="006C3338">
        <w:rPr>
          <w:rFonts w:ascii="Times New Roman" w:hAnsi="Times New Roman" w:cs="Times New Roman"/>
          <w:sz w:val="24"/>
          <w:szCs w:val="24"/>
          <w:lang w:val="pt-BR"/>
        </w:rPr>
        <w:t xml:space="preserve"> monitorizate să asigure reglementarea în politicile contabile proprii a:</w:t>
      </w:r>
    </w:p>
    <w:p w14:paraId="16E875BF" w14:textId="77777777" w:rsidR="00421F36" w:rsidRPr="006C3338" w:rsidRDefault="00421F36" w:rsidP="000E2016">
      <w:pPr>
        <w:pStyle w:val="a7"/>
        <w:numPr>
          <w:ilvl w:val="1"/>
          <w:numId w:val="23"/>
        </w:numPr>
        <w:shd w:val="clear" w:color="auto" w:fill="FFFFFF"/>
        <w:tabs>
          <w:tab w:val="left" w:pos="284"/>
          <w:tab w:val="left" w:pos="426"/>
          <w:tab w:val="left" w:pos="993"/>
        </w:tabs>
        <w:spacing w:after="0" w:line="276" w:lineRule="auto"/>
        <w:ind w:left="839" w:hanging="482"/>
        <w:contextualSpacing w:val="0"/>
        <w:jc w:val="both"/>
        <w:rPr>
          <w:rFonts w:ascii="Times New Roman" w:hAnsi="Times New Roman" w:cs="Times New Roman"/>
          <w:lang w:val="pt-BR"/>
        </w:rPr>
      </w:pPr>
      <w:r w:rsidRPr="006C3338">
        <w:rPr>
          <w:rFonts w:ascii="Times New Roman" w:hAnsi="Times New Roman" w:cs="Times New Roman"/>
          <w:sz w:val="24"/>
          <w:szCs w:val="24"/>
          <w:lang w:val="pt-BR"/>
        </w:rPr>
        <w:t>principiilor de contabilizare a mijloacelor bugetare primite sub formă de subvenții/granturi (pct. 4.1.2 și pct. 4.1.3.);</w:t>
      </w:r>
    </w:p>
    <w:p w14:paraId="6EF9EC70" w14:textId="77777777" w:rsidR="00421F36" w:rsidRPr="006C3338" w:rsidRDefault="00421F36" w:rsidP="00231A57">
      <w:pPr>
        <w:pStyle w:val="a7"/>
        <w:numPr>
          <w:ilvl w:val="1"/>
          <w:numId w:val="23"/>
        </w:numPr>
        <w:shd w:val="clear" w:color="auto" w:fill="FFFFFF"/>
        <w:tabs>
          <w:tab w:val="left" w:pos="284"/>
          <w:tab w:val="left" w:pos="426"/>
          <w:tab w:val="left" w:pos="993"/>
        </w:tabs>
        <w:spacing w:after="40" w:line="276" w:lineRule="auto"/>
        <w:ind w:left="839" w:hanging="482"/>
        <w:contextualSpacing w:val="0"/>
        <w:jc w:val="both"/>
        <w:rPr>
          <w:rFonts w:ascii="Times New Roman" w:hAnsi="Times New Roman" w:cs="Times New Roman"/>
          <w:lang w:val="pt-BR"/>
        </w:rPr>
      </w:pPr>
      <w:r>
        <w:rPr>
          <w:rFonts w:ascii="Times New Roman" w:hAnsi="Times New Roman" w:cs="Times New Roman"/>
          <w:iCs/>
          <w:sz w:val="24"/>
          <w:szCs w:val="24"/>
          <w:lang w:val="ro-RO"/>
        </w:rPr>
        <w:t xml:space="preserve"> </w:t>
      </w:r>
      <w:r w:rsidRPr="006C3338">
        <w:rPr>
          <w:rFonts w:ascii="Times New Roman" w:hAnsi="Times New Roman" w:cs="Times New Roman"/>
          <w:iCs/>
          <w:sz w:val="24"/>
          <w:szCs w:val="24"/>
          <w:lang w:val="ro-RO"/>
        </w:rPr>
        <w:t>regulilor de evidență a patrimoniului public administrat și transmis/luat în gestiune economică</w:t>
      </w:r>
      <w:r>
        <w:rPr>
          <w:rFonts w:ascii="Times New Roman" w:hAnsi="Times New Roman" w:cs="Times New Roman"/>
          <w:iCs/>
          <w:sz w:val="24"/>
          <w:szCs w:val="24"/>
          <w:lang w:val="ro-RO"/>
        </w:rPr>
        <w:t>,</w:t>
      </w:r>
      <w:r w:rsidRPr="006C3338">
        <w:rPr>
          <w:rFonts w:ascii="Times New Roman" w:hAnsi="Times New Roman" w:cs="Times New Roman"/>
          <w:iCs/>
          <w:sz w:val="24"/>
          <w:szCs w:val="24"/>
          <w:lang w:val="ro-RO"/>
        </w:rPr>
        <w:t xml:space="preserve"> lu</w:t>
      </w:r>
      <w:r>
        <w:rPr>
          <w:rFonts w:ascii="Times New Roman" w:hAnsi="Times New Roman" w:cs="Times New Roman"/>
          <w:iCs/>
          <w:sz w:val="24"/>
          <w:szCs w:val="24"/>
          <w:lang w:val="ro-RO"/>
        </w:rPr>
        <w:t>â</w:t>
      </w:r>
      <w:r w:rsidRPr="006C3338">
        <w:rPr>
          <w:rFonts w:ascii="Times New Roman" w:hAnsi="Times New Roman" w:cs="Times New Roman"/>
          <w:iCs/>
          <w:sz w:val="24"/>
          <w:szCs w:val="24"/>
          <w:lang w:val="ro-RO"/>
        </w:rPr>
        <w:t>nd în considera</w:t>
      </w:r>
      <w:r>
        <w:rPr>
          <w:rFonts w:ascii="Times New Roman" w:hAnsi="Times New Roman" w:cs="Times New Roman"/>
          <w:iCs/>
          <w:sz w:val="24"/>
          <w:szCs w:val="24"/>
          <w:lang w:val="ro-RO"/>
        </w:rPr>
        <w:t>re</w:t>
      </w:r>
      <w:r w:rsidRPr="006C3338">
        <w:rPr>
          <w:rFonts w:ascii="Times New Roman" w:hAnsi="Times New Roman" w:cs="Times New Roman"/>
          <w:iCs/>
          <w:sz w:val="24"/>
          <w:szCs w:val="24"/>
          <w:lang w:val="ro-RO"/>
        </w:rPr>
        <w:t xml:space="preserve"> spețele </w:t>
      </w:r>
      <w:r>
        <w:rPr>
          <w:rFonts w:ascii="Times New Roman" w:hAnsi="Times New Roman" w:cs="Times New Roman"/>
          <w:iCs/>
          <w:sz w:val="24"/>
          <w:szCs w:val="24"/>
          <w:lang w:val="ro-RO"/>
        </w:rPr>
        <w:t>O</w:t>
      </w:r>
      <w:r w:rsidRPr="006C3338">
        <w:rPr>
          <w:rFonts w:ascii="Times New Roman" w:hAnsi="Times New Roman" w:cs="Times New Roman"/>
          <w:iCs/>
          <w:sz w:val="24"/>
          <w:szCs w:val="24"/>
          <w:lang w:val="ro-RO"/>
        </w:rPr>
        <w:t xml:space="preserve">rdinului MF </w:t>
      </w:r>
      <w:r>
        <w:rPr>
          <w:rFonts w:ascii="Times New Roman" w:hAnsi="Times New Roman" w:cs="Times New Roman"/>
          <w:iCs/>
          <w:sz w:val="24"/>
          <w:szCs w:val="24"/>
          <w:lang w:val="ro-RO"/>
        </w:rPr>
        <w:t>nr.</w:t>
      </w:r>
      <w:r w:rsidRPr="006C3338">
        <w:rPr>
          <w:rFonts w:ascii="Times New Roman" w:hAnsi="Times New Roman" w:cs="Times New Roman"/>
          <w:iCs/>
          <w:sz w:val="24"/>
          <w:szCs w:val="24"/>
          <w:lang w:val="ro-RO"/>
        </w:rPr>
        <w:t>216/2015, reglementările SNC „Capital propriu și datorii”</w:t>
      </w:r>
      <w:r>
        <w:rPr>
          <w:rFonts w:ascii="Times New Roman" w:hAnsi="Times New Roman" w:cs="Times New Roman"/>
          <w:iCs/>
          <w:sz w:val="24"/>
          <w:szCs w:val="24"/>
          <w:lang w:val="ro-RO"/>
        </w:rPr>
        <w:t>,</w:t>
      </w:r>
      <w:r w:rsidRPr="006C3338">
        <w:rPr>
          <w:rFonts w:ascii="Times New Roman" w:hAnsi="Times New Roman" w:cs="Times New Roman"/>
          <w:iCs/>
          <w:sz w:val="24"/>
          <w:szCs w:val="24"/>
          <w:lang w:val="ro-RO"/>
        </w:rPr>
        <w:t xml:space="preserve"> precum și prevederile art.9 lit.</w:t>
      </w:r>
      <w:r>
        <w:rPr>
          <w:rFonts w:ascii="Times New Roman" w:hAnsi="Times New Roman" w:cs="Times New Roman"/>
          <w:iCs/>
          <w:sz w:val="24"/>
          <w:szCs w:val="24"/>
          <w:lang w:val="ro-RO"/>
        </w:rPr>
        <w:t xml:space="preserve"> </w:t>
      </w:r>
      <w:r w:rsidRPr="006C3338">
        <w:rPr>
          <w:rFonts w:ascii="Times New Roman" w:hAnsi="Times New Roman" w:cs="Times New Roman"/>
          <w:iCs/>
          <w:sz w:val="24"/>
          <w:szCs w:val="24"/>
          <w:lang w:val="ro-RO"/>
        </w:rPr>
        <w:t xml:space="preserve">k) din Legea </w:t>
      </w:r>
      <w:r>
        <w:rPr>
          <w:rFonts w:ascii="Times New Roman" w:hAnsi="Times New Roman" w:cs="Times New Roman"/>
          <w:iCs/>
          <w:sz w:val="24"/>
          <w:szCs w:val="24"/>
          <w:lang w:val="ro-RO"/>
        </w:rPr>
        <w:t>nr.</w:t>
      </w:r>
      <w:r w:rsidRPr="006C3338">
        <w:rPr>
          <w:rFonts w:ascii="Times New Roman" w:hAnsi="Times New Roman" w:cs="Times New Roman"/>
          <w:iCs/>
          <w:sz w:val="24"/>
          <w:szCs w:val="24"/>
          <w:lang w:val="ro-RO"/>
        </w:rPr>
        <w:t xml:space="preserve">29/2018 </w:t>
      </w:r>
      <w:r w:rsidRPr="006C3338">
        <w:rPr>
          <w:rFonts w:ascii="Times New Roman" w:hAnsi="Times New Roman" w:cs="Times New Roman"/>
          <w:sz w:val="24"/>
          <w:szCs w:val="24"/>
          <w:lang w:val="pt-BR"/>
        </w:rPr>
        <w:t>(pct. 4.3.1)</w:t>
      </w:r>
      <w:r>
        <w:rPr>
          <w:rFonts w:ascii="Times New Roman" w:hAnsi="Times New Roman" w:cs="Times New Roman"/>
          <w:iCs/>
          <w:sz w:val="24"/>
          <w:szCs w:val="24"/>
          <w:lang w:val="ro-RO"/>
        </w:rPr>
        <w:t>;</w:t>
      </w:r>
    </w:p>
    <w:p w14:paraId="6F0C4360" w14:textId="551D0BEC" w:rsidR="00D215F6" w:rsidRPr="006C3338" w:rsidRDefault="00A553D5" w:rsidP="00231A57">
      <w:pPr>
        <w:pStyle w:val="a7"/>
        <w:numPr>
          <w:ilvl w:val="0"/>
          <w:numId w:val="23"/>
        </w:numPr>
        <w:shd w:val="clear" w:color="auto" w:fill="FFFFFF"/>
        <w:tabs>
          <w:tab w:val="left" w:pos="284"/>
          <w:tab w:val="left" w:pos="426"/>
        </w:tabs>
        <w:spacing w:after="40" w:line="276" w:lineRule="auto"/>
        <w:ind w:left="0" w:firstLine="0"/>
        <w:contextualSpacing w:val="0"/>
        <w:jc w:val="both"/>
        <w:rPr>
          <w:rFonts w:ascii="Times New Roman" w:hAnsi="Times New Roman" w:cs="Times New Roman"/>
          <w:sz w:val="24"/>
          <w:szCs w:val="24"/>
          <w:lang w:val="pt-BR"/>
        </w:rPr>
      </w:pPr>
      <w:r w:rsidRPr="006C3338">
        <w:rPr>
          <w:rFonts w:ascii="Times New Roman" w:hAnsi="Times New Roman" w:cs="Times New Roman"/>
          <w:sz w:val="24"/>
          <w:szCs w:val="24"/>
        </w:rPr>
        <w:t>CS</w:t>
      </w:r>
      <w:r w:rsidRPr="006C3338">
        <w:rPr>
          <w:rFonts w:ascii="Times New Roman" w:hAnsi="Times New Roman" w:cs="Times New Roman"/>
          <w:sz w:val="24"/>
          <w:szCs w:val="24"/>
          <w:lang w:val="pt-BR"/>
        </w:rPr>
        <w:t>, DGACG și BA să elaboreze reglementări interne privind o</w:t>
      </w:r>
      <w:r w:rsidR="004C5A81" w:rsidRPr="006C3338">
        <w:rPr>
          <w:rFonts w:ascii="Times New Roman" w:hAnsi="Times New Roman" w:cs="Times New Roman"/>
          <w:sz w:val="24"/>
          <w:szCs w:val="24"/>
          <w:lang w:val="pt-BR"/>
        </w:rPr>
        <w:t xml:space="preserve">rganizarea achizițiilor publice în </w:t>
      </w:r>
      <w:r w:rsidR="00421F36">
        <w:rPr>
          <w:rFonts w:ascii="Times New Roman" w:hAnsi="Times New Roman" w:cs="Times New Roman"/>
          <w:sz w:val="24"/>
          <w:szCs w:val="24"/>
          <w:lang w:val="pt-BR"/>
        </w:rPr>
        <w:t>cadrul entităților (pct. 4.1.6);</w:t>
      </w:r>
    </w:p>
    <w:p w14:paraId="44819E81" w14:textId="3156EEC9" w:rsidR="004C5A81" w:rsidRPr="006C3338" w:rsidRDefault="00421F36" w:rsidP="00231A57">
      <w:pPr>
        <w:pStyle w:val="a7"/>
        <w:numPr>
          <w:ilvl w:val="0"/>
          <w:numId w:val="23"/>
        </w:numPr>
        <w:shd w:val="clear" w:color="auto" w:fill="FFFFFF"/>
        <w:tabs>
          <w:tab w:val="left" w:pos="284"/>
          <w:tab w:val="left" w:pos="426"/>
        </w:tabs>
        <w:spacing w:after="40" w:line="276" w:lineRule="auto"/>
        <w:ind w:left="0" w:firstLine="0"/>
        <w:contextualSpacing w:val="0"/>
        <w:jc w:val="both"/>
        <w:rPr>
          <w:rFonts w:asciiTheme="majorHAnsi" w:hAnsiTheme="majorHAnsi" w:cstheme="majorHAnsi"/>
          <w:sz w:val="24"/>
          <w:szCs w:val="24"/>
        </w:rPr>
      </w:pPr>
      <w:r w:rsidRPr="006C3338">
        <w:rPr>
          <w:rFonts w:ascii="Times New Roman" w:hAnsi="Times New Roman" w:cs="Times New Roman"/>
          <w:sz w:val="24"/>
          <w:szCs w:val="24"/>
          <w:lang w:val="pt-BR"/>
        </w:rPr>
        <w:t xml:space="preserve">BA să reexamineze și </w:t>
      </w:r>
      <w:r>
        <w:rPr>
          <w:rFonts w:ascii="Times New Roman" w:hAnsi="Times New Roman" w:cs="Times New Roman"/>
          <w:sz w:val="24"/>
          <w:szCs w:val="24"/>
          <w:lang w:val="pt-BR"/>
        </w:rPr>
        <w:t xml:space="preserve">să </w:t>
      </w:r>
      <w:r w:rsidRPr="006C3338">
        <w:rPr>
          <w:rFonts w:ascii="Times New Roman" w:hAnsi="Times New Roman" w:cs="Times New Roman"/>
          <w:sz w:val="24"/>
          <w:szCs w:val="24"/>
          <w:lang w:val="pt-BR"/>
        </w:rPr>
        <w:t xml:space="preserve">racordeze normele consumului de combustibil stabilite pentru </w:t>
      </w:r>
      <w:r>
        <w:rPr>
          <w:rFonts w:ascii="Times New Roman" w:hAnsi="Times New Roman" w:cs="Times New Roman"/>
          <w:sz w:val="24"/>
          <w:szCs w:val="24"/>
          <w:lang w:val="pt-BR"/>
        </w:rPr>
        <w:t>mijloacele</w:t>
      </w:r>
      <w:r w:rsidRPr="006C3338">
        <w:rPr>
          <w:rFonts w:ascii="Times New Roman" w:hAnsi="Times New Roman" w:cs="Times New Roman"/>
          <w:sz w:val="24"/>
          <w:szCs w:val="24"/>
          <w:lang w:val="pt-BR"/>
        </w:rPr>
        <w:t xml:space="preserve"> de transport din gestiune care nu dispun de calculatoare de bord sau dispozitive specializate de măsurare a consumului de combustibil la prevederile</w:t>
      </w:r>
      <w:r>
        <w:rPr>
          <w:rFonts w:ascii="Times New Roman" w:hAnsi="Times New Roman" w:cs="Times New Roman"/>
          <w:sz w:val="24"/>
          <w:szCs w:val="24"/>
          <w:lang w:val="pt-BR"/>
        </w:rPr>
        <w:t xml:space="preserve"> cadrului normativ </w:t>
      </w:r>
      <w:r w:rsidR="004C5A81" w:rsidRPr="006C3338">
        <w:rPr>
          <w:rFonts w:ascii="Times New Roman" w:hAnsi="Times New Roman" w:cs="Times New Roman"/>
          <w:sz w:val="24"/>
          <w:szCs w:val="24"/>
          <w:lang w:val="pt-BR"/>
        </w:rPr>
        <w:t>(pct. 4.1.5. subpnct (iii))</w:t>
      </w:r>
      <w:r w:rsidR="004C5A81" w:rsidRPr="006C3338">
        <w:rPr>
          <w:rFonts w:asciiTheme="majorHAnsi" w:hAnsiTheme="majorHAnsi" w:cstheme="majorHAnsi"/>
          <w:sz w:val="24"/>
          <w:szCs w:val="24"/>
        </w:rPr>
        <w:t xml:space="preserve">; </w:t>
      </w:r>
    </w:p>
    <w:p w14:paraId="55EA1ABF" w14:textId="77777777" w:rsidR="00421F36" w:rsidRPr="006C3338" w:rsidRDefault="00421F36" w:rsidP="00231A57">
      <w:pPr>
        <w:pStyle w:val="a7"/>
        <w:numPr>
          <w:ilvl w:val="0"/>
          <w:numId w:val="23"/>
        </w:numPr>
        <w:shd w:val="clear" w:color="auto" w:fill="FFFFFF"/>
        <w:tabs>
          <w:tab w:val="left" w:pos="284"/>
          <w:tab w:val="left" w:pos="426"/>
        </w:tabs>
        <w:spacing w:after="40" w:line="276" w:lineRule="auto"/>
        <w:ind w:left="0" w:firstLine="0"/>
        <w:contextualSpacing w:val="0"/>
        <w:jc w:val="both"/>
        <w:rPr>
          <w:rFonts w:ascii="Times New Roman" w:hAnsi="Times New Roman" w:cs="Times New Roman"/>
          <w:sz w:val="24"/>
          <w:szCs w:val="24"/>
        </w:rPr>
      </w:pPr>
      <w:r w:rsidRPr="006C3338">
        <w:rPr>
          <w:rFonts w:ascii="Times New Roman" w:hAnsi="Times New Roman" w:cs="Times New Roman"/>
          <w:sz w:val="24"/>
          <w:szCs w:val="24"/>
        </w:rPr>
        <w:t xml:space="preserve">BA să elaboreze și să aprobe o procedură internă privind stabilirea normelor de consum de combustibil pentru autoturismele cu calculatoare de bord sau dispozitive specializate de măsurare a consumului de combustibil </w:t>
      </w:r>
      <w:r w:rsidRPr="006C3338">
        <w:rPr>
          <w:rFonts w:ascii="Times New Roman" w:hAnsi="Times New Roman" w:cs="Times New Roman"/>
          <w:sz w:val="24"/>
          <w:szCs w:val="24"/>
          <w:lang w:val="pt-BR"/>
        </w:rPr>
        <w:t>(pct. 4.1.5.</w:t>
      </w:r>
      <w:r>
        <w:rPr>
          <w:rFonts w:ascii="Times New Roman" w:hAnsi="Times New Roman" w:cs="Times New Roman"/>
          <w:sz w:val="24"/>
          <w:szCs w:val="24"/>
          <w:lang w:val="pt-BR"/>
        </w:rPr>
        <w:t>,</w:t>
      </w:r>
      <w:r w:rsidRPr="006C3338">
        <w:rPr>
          <w:rFonts w:ascii="Times New Roman" w:hAnsi="Times New Roman" w:cs="Times New Roman"/>
          <w:sz w:val="24"/>
          <w:szCs w:val="24"/>
          <w:lang w:val="pt-BR"/>
        </w:rPr>
        <w:t xml:space="preserve"> subpct</w:t>
      </w:r>
      <w:r>
        <w:rPr>
          <w:rFonts w:ascii="Times New Roman" w:hAnsi="Times New Roman" w:cs="Times New Roman"/>
          <w:sz w:val="24"/>
          <w:szCs w:val="24"/>
          <w:lang w:val="pt-BR"/>
        </w:rPr>
        <w:t>.</w:t>
      </w:r>
      <w:r w:rsidRPr="006C3338">
        <w:rPr>
          <w:rFonts w:ascii="Times New Roman" w:hAnsi="Times New Roman" w:cs="Times New Roman"/>
          <w:sz w:val="24"/>
          <w:szCs w:val="24"/>
          <w:lang w:val="pt-BR"/>
        </w:rPr>
        <w:t xml:space="preserve"> (iii))</w:t>
      </w:r>
      <w:r w:rsidRPr="006C3338">
        <w:rPr>
          <w:rFonts w:ascii="Times New Roman" w:hAnsi="Times New Roman" w:cs="Times New Roman"/>
          <w:sz w:val="24"/>
          <w:szCs w:val="24"/>
        </w:rPr>
        <w:t>;</w:t>
      </w:r>
    </w:p>
    <w:p w14:paraId="52050C76" w14:textId="7E1142DB" w:rsidR="00421F36" w:rsidRPr="006C3338" w:rsidRDefault="00421F36" w:rsidP="00231A57">
      <w:pPr>
        <w:pStyle w:val="a7"/>
        <w:numPr>
          <w:ilvl w:val="0"/>
          <w:numId w:val="23"/>
        </w:numPr>
        <w:shd w:val="clear" w:color="auto" w:fill="FFFFFF"/>
        <w:tabs>
          <w:tab w:val="left" w:pos="284"/>
          <w:tab w:val="left" w:pos="426"/>
        </w:tabs>
        <w:spacing w:after="40" w:line="276" w:lineRule="auto"/>
        <w:ind w:left="0" w:firstLine="0"/>
        <w:contextualSpacing w:val="0"/>
        <w:jc w:val="both"/>
        <w:rPr>
          <w:rFonts w:ascii="Times New Roman" w:hAnsi="Times New Roman" w:cs="Times New Roman"/>
          <w:sz w:val="24"/>
          <w:szCs w:val="24"/>
        </w:rPr>
      </w:pPr>
      <w:r w:rsidRPr="006C3338">
        <w:rPr>
          <w:rFonts w:ascii="Times New Roman" w:hAnsi="Times New Roman" w:cs="Times New Roman"/>
          <w:sz w:val="24"/>
          <w:szCs w:val="24"/>
        </w:rPr>
        <w:t xml:space="preserve">CS în comun cu BA a CS </w:t>
      </w:r>
      <w:r>
        <w:rPr>
          <w:rFonts w:ascii="Times New Roman" w:hAnsi="Times New Roman" w:cs="Times New Roman"/>
          <w:sz w:val="24"/>
          <w:szCs w:val="24"/>
        </w:rPr>
        <w:t xml:space="preserve">să </w:t>
      </w:r>
      <w:r w:rsidRPr="006C3338">
        <w:rPr>
          <w:rFonts w:ascii="Times New Roman" w:hAnsi="Times New Roman" w:cs="Times New Roman"/>
          <w:sz w:val="24"/>
          <w:szCs w:val="24"/>
        </w:rPr>
        <w:t>examin</w:t>
      </w:r>
      <w:r>
        <w:rPr>
          <w:rFonts w:ascii="Times New Roman" w:hAnsi="Times New Roman" w:cs="Times New Roman"/>
          <w:sz w:val="24"/>
          <w:szCs w:val="24"/>
        </w:rPr>
        <w:t>eze</w:t>
      </w:r>
      <w:r w:rsidRPr="006C3338">
        <w:rPr>
          <w:rFonts w:ascii="Times New Roman" w:hAnsi="Times New Roman" w:cs="Times New Roman"/>
          <w:sz w:val="24"/>
          <w:szCs w:val="24"/>
        </w:rPr>
        <w:t xml:space="preserve"> situați</w:t>
      </w:r>
      <w:r>
        <w:rPr>
          <w:rFonts w:ascii="Times New Roman" w:hAnsi="Times New Roman" w:cs="Times New Roman"/>
          <w:sz w:val="24"/>
          <w:szCs w:val="24"/>
        </w:rPr>
        <w:t>a</w:t>
      </w:r>
      <w:r w:rsidRPr="006C3338">
        <w:rPr>
          <w:rFonts w:ascii="Times New Roman" w:hAnsi="Times New Roman" w:cs="Times New Roman"/>
          <w:sz w:val="24"/>
          <w:szCs w:val="24"/>
        </w:rPr>
        <w:t xml:space="preserve"> și </w:t>
      </w:r>
      <w:r w:rsidR="0081155B">
        <w:rPr>
          <w:rFonts w:ascii="Times New Roman" w:hAnsi="Times New Roman" w:cs="Times New Roman"/>
          <w:sz w:val="24"/>
          <w:szCs w:val="24"/>
        </w:rPr>
        <w:t>să asigure</w:t>
      </w:r>
      <w:r w:rsidRPr="006C3338">
        <w:rPr>
          <w:rFonts w:ascii="Times New Roman" w:hAnsi="Times New Roman" w:cs="Times New Roman"/>
          <w:sz w:val="24"/>
          <w:szCs w:val="24"/>
        </w:rPr>
        <w:t xml:space="preserve"> transmiterea </w:t>
      </w:r>
      <w:r>
        <w:rPr>
          <w:rFonts w:ascii="Times New Roman" w:hAnsi="Times New Roman" w:cs="Times New Roman"/>
          <w:sz w:val="24"/>
          <w:szCs w:val="24"/>
        </w:rPr>
        <w:t>mijloacelor</w:t>
      </w:r>
      <w:r w:rsidRPr="006C3338">
        <w:rPr>
          <w:rFonts w:ascii="Times New Roman" w:hAnsi="Times New Roman" w:cs="Times New Roman"/>
          <w:sz w:val="24"/>
          <w:szCs w:val="24"/>
        </w:rPr>
        <w:t xml:space="preserve"> de transport utilizate de IMSP Policlinica de Stat și IMSP</w:t>
      </w:r>
      <w:r w:rsidR="00BA69A9">
        <w:rPr>
          <w:rFonts w:ascii="Times New Roman" w:hAnsi="Times New Roman" w:cs="Times New Roman"/>
          <w:sz w:val="24"/>
          <w:szCs w:val="24"/>
        </w:rPr>
        <w:t xml:space="preserve"> </w:t>
      </w:r>
      <w:r w:rsidRPr="006C3338">
        <w:rPr>
          <w:rFonts w:ascii="Times New Roman" w:hAnsi="Times New Roman" w:cs="Times New Roman"/>
          <w:sz w:val="24"/>
          <w:szCs w:val="24"/>
        </w:rPr>
        <w:t xml:space="preserve">Spitalul de Stat în administrarea </w:t>
      </w:r>
      <w:r w:rsidR="00BB304C">
        <w:rPr>
          <w:rFonts w:ascii="Times New Roman" w:hAnsi="Times New Roman" w:cs="Times New Roman"/>
          <w:sz w:val="24"/>
          <w:szCs w:val="24"/>
        </w:rPr>
        <w:t xml:space="preserve">IMSP respective prin intermediul </w:t>
      </w:r>
      <w:r w:rsidR="00BB304C" w:rsidRPr="006C3338">
        <w:rPr>
          <w:rFonts w:ascii="Times New Roman" w:hAnsi="Times New Roman" w:cs="Times New Roman"/>
          <w:sz w:val="24"/>
          <w:szCs w:val="24"/>
        </w:rPr>
        <w:t xml:space="preserve">ministerului de ramură </w:t>
      </w:r>
      <w:r w:rsidR="00BB304C">
        <w:rPr>
          <w:rFonts w:ascii="Times New Roman" w:hAnsi="Times New Roman" w:cs="Times New Roman"/>
          <w:sz w:val="24"/>
          <w:szCs w:val="24"/>
        </w:rPr>
        <w:t>(MS)</w:t>
      </w:r>
      <w:r w:rsidRPr="006C3338">
        <w:rPr>
          <w:rFonts w:ascii="Times New Roman" w:hAnsi="Times New Roman" w:cs="Times New Roman"/>
          <w:sz w:val="24"/>
          <w:szCs w:val="24"/>
        </w:rPr>
        <w:t xml:space="preserve"> </w:t>
      </w:r>
      <w:r w:rsidRPr="006C3338">
        <w:rPr>
          <w:rFonts w:ascii="Times New Roman" w:hAnsi="Times New Roman" w:cs="Times New Roman"/>
          <w:sz w:val="24"/>
          <w:szCs w:val="24"/>
          <w:lang w:val="pt-BR"/>
        </w:rPr>
        <w:t>(pct. 4.3.4.)</w:t>
      </w:r>
      <w:r w:rsidRPr="006C3338">
        <w:rPr>
          <w:rFonts w:ascii="Times New Roman" w:hAnsi="Times New Roman" w:cs="Times New Roman"/>
          <w:sz w:val="24"/>
          <w:szCs w:val="24"/>
        </w:rPr>
        <w:t>;</w:t>
      </w:r>
    </w:p>
    <w:p w14:paraId="05249D44" w14:textId="652D41B2" w:rsidR="000D3EE4" w:rsidRPr="00421F36" w:rsidRDefault="000D3EE4" w:rsidP="00231A57">
      <w:pPr>
        <w:pStyle w:val="a7"/>
        <w:numPr>
          <w:ilvl w:val="0"/>
          <w:numId w:val="23"/>
        </w:numPr>
        <w:shd w:val="clear" w:color="auto" w:fill="FFFFFF"/>
        <w:tabs>
          <w:tab w:val="left" w:pos="284"/>
          <w:tab w:val="left" w:pos="426"/>
        </w:tabs>
        <w:spacing w:after="40" w:line="276" w:lineRule="auto"/>
        <w:ind w:left="0" w:firstLine="0"/>
        <w:contextualSpacing w:val="0"/>
        <w:jc w:val="both"/>
        <w:rPr>
          <w:rFonts w:ascii="Times New Roman" w:hAnsi="Times New Roman" w:cs="Times New Roman"/>
          <w:sz w:val="24"/>
          <w:szCs w:val="24"/>
        </w:rPr>
      </w:pPr>
      <w:r w:rsidRPr="006C3338">
        <w:rPr>
          <w:rFonts w:ascii="Times New Roman" w:hAnsi="Times New Roman" w:cs="Times New Roman"/>
          <w:sz w:val="24"/>
        </w:rPr>
        <w:t xml:space="preserve">CS, </w:t>
      </w:r>
      <w:r w:rsidR="00421F36" w:rsidRPr="006C3338">
        <w:rPr>
          <w:rFonts w:ascii="Times New Roman" w:hAnsi="Times New Roman" w:cs="Times New Roman"/>
          <w:sz w:val="24"/>
        </w:rPr>
        <w:t>ASP și DGACG s</w:t>
      </w:r>
      <w:r w:rsidR="00421F36" w:rsidRPr="006C3338">
        <w:rPr>
          <w:rFonts w:ascii="Times New Roman" w:hAnsi="Times New Roman" w:cs="Times New Roman"/>
          <w:sz w:val="24"/>
          <w:szCs w:val="24"/>
        </w:rPr>
        <w:t>ă întreprindă de comun acord măsuri legale, prin identificarea soluțiilor de stingere a datoriilor a</w:t>
      </w:r>
      <w:r w:rsidR="00421F36">
        <w:rPr>
          <w:rFonts w:ascii="Times New Roman" w:hAnsi="Times New Roman" w:cs="Times New Roman"/>
          <w:sz w:val="24"/>
          <w:szCs w:val="24"/>
        </w:rPr>
        <w:t>le</w:t>
      </w:r>
      <w:r w:rsidR="00421F36" w:rsidRPr="006C3338">
        <w:rPr>
          <w:rFonts w:ascii="Times New Roman" w:hAnsi="Times New Roman" w:cs="Times New Roman"/>
          <w:sz w:val="24"/>
          <w:szCs w:val="24"/>
        </w:rPr>
        <w:t xml:space="preserve"> SC </w:t>
      </w:r>
      <w:r w:rsidR="00421F36">
        <w:rPr>
          <w:rFonts w:ascii="Times New Roman" w:hAnsi="Times New Roman" w:cs="Times New Roman"/>
          <w:sz w:val="24"/>
          <w:szCs w:val="24"/>
        </w:rPr>
        <w:t>„</w:t>
      </w:r>
      <w:r w:rsidR="00421F36" w:rsidRPr="006C3338">
        <w:rPr>
          <w:rFonts w:ascii="Times New Roman" w:hAnsi="Times New Roman" w:cs="Times New Roman"/>
          <w:sz w:val="24"/>
          <w:szCs w:val="24"/>
        </w:rPr>
        <w:t>IT</w:t>
      </w:r>
      <w:r w:rsidR="00421F36">
        <w:rPr>
          <w:rFonts w:ascii="Times New Roman" w:hAnsi="Times New Roman" w:cs="Times New Roman"/>
          <w:sz w:val="24"/>
          <w:szCs w:val="24"/>
        </w:rPr>
        <w:t>-</w:t>
      </w:r>
      <w:r w:rsidR="00421F36" w:rsidRPr="006C3338">
        <w:rPr>
          <w:rFonts w:ascii="Times New Roman" w:hAnsi="Times New Roman" w:cs="Times New Roman"/>
          <w:sz w:val="24"/>
          <w:szCs w:val="24"/>
        </w:rPr>
        <w:t>R</w:t>
      </w:r>
      <w:r w:rsidR="00421F36">
        <w:rPr>
          <w:rFonts w:ascii="Times New Roman" w:hAnsi="Times New Roman" w:cs="Times New Roman"/>
          <w:sz w:val="24"/>
          <w:szCs w:val="24"/>
        </w:rPr>
        <w:t>elax</w:t>
      </w:r>
      <w:r w:rsidR="00421F36" w:rsidRPr="006C3338">
        <w:rPr>
          <w:rFonts w:ascii="Times New Roman" w:hAnsi="Times New Roman" w:cs="Times New Roman"/>
          <w:sz w:val="24"/>
          <w:szCs w:val="24"/>
        </w:rPr>
        <w:t xml:space="preserve">” față de ASP, cu asigurarea integrității bunurilor </w:t>
      </w:r>
      <w:r w:rsidR="00421F36">
        <w:rPr>
          <w:rFonts w:ascii="Times New Roman" w:hAnsi="Times New Roman" w:cs="Times New Roman"/>
          <w:sz w:val="24"/>
          <w:szCs w:val="24"/>
        </w:rPr>
        <w:t>B</w:t>
      </w:r>
      <w:r w:rsidR="00421F36" w:rsidRPr="006C3338">
        <w:rPr>
          <w:rFonts w:ascii="Times New Roman" w:hAnsi="Times New Roman" w:cs="Times New Roman"/>
          <w:sz w:val="24"/>
          <w:szCs w:val="24"/>
        </w:rPr>
        <w:t>azei de odihnă „IT</w:t>
      </w:r>
      <w:r w:rsidR="00421F36">
        <w:rPr>
          <w:rFonts w:ascii="Times New Roman" w:hAnsi="Times New Roman" w:cs="Times New Roman"/>
          <w:sz w:val="24"/>
          <w:szCs w:val="24"/>
        </w:rPr>
        <w:t>-</w:t>
      </w:r>
      <w:r w:rsidR="00421F36" w:rsidRPr="006C3338">
        <w:rPr>
          <w:rFonts w:ascii="Times New Roman" w:hAnsi="Times New Roman" w:cs="Times New Roman"/>
          <w:sz w:val="24"/>
          <w:szCs w:val="24"/>
        </w:rPr>
        <w:t>Relax” (pct. 4.3.2., subpct.</w:t>
      </w:r>
      <w:r w:rsidR="00421F36">
        <w:rPr>
          <w:rFonts w:ascii="Times New Roman" w:hAnsi="Times New Roman" w:cs="Times New Roman"/>
          <w:sz w:val="24"/>
          <w:szCs w:val="24"/>
        </w:rPr>
        <w:t xml:space="preserve"> </w:t>
      </w:r>
      <w:r w:rsidR="00421F36" w:rsidRPr="006C3338">
        <w:rPr>
          <w:rFonts w:ascii="Times New Roman" w:hAnsi="Times New Roman" w:cs="Times New Roman"/>
          <w:sz w:val="24"/>
          <w:szCs w:val="24"/>
        </w:rPr>
        <w:t>(ii))</w:t>
      </w:r>
      <w:r w:rsidR="00421F36">
        <w:rPr>
          <w:rFonts w:ascii="Times New Roman" w:hAnsi="Times New Roman" w:cs="Times New Roman"/>
          <w:sz w:val="24"/>
          <w:szCs w:val="24"/>
        </w:rPr>
        <w:t>;</w:t>
      </w:r>
    </w:p>
    <w:p w14:paraId="1464693D" w14:textId="6258F4E4" w:rsidR="00421F36" w:rsidRPr="006C3338" w:rsidRDefault="005F2C85" w:rsidP="00231A57">
      <w:pPr>
        <w:pStyle w:val="a7"/>
        <w:numPr>
          <w:ilvl w:val="0"/>
          <w:numId w:val="23"/>
        </w:numPr>
        <w:shd w:val="clear" w:color="auto" w:fill="FFFFFF"/>
        <w:tabs>
          <w:tab w:val="left" w:pos="284"/>
          <w:tab w:val="left" w:pos="426"/>
        </w:tabs>
        <w:spacing w:after="40" w:line="276"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DGACG </w:t>
      </w:r>
      <w:r w:rsidR="00421F36" w:rsidRPr="006C3338">
        <w:rPr>
          <w:rFonts w:ascii="Times New Roman" w:hAnsi="Times New Roman" w:cs="Times New Roman"/>
          <w:sz w:val="24"/>
          <w:szCs w:val="24"/>
        </w:rPr>
        <w:t xml:space="preserve">să întreprindă măsuri </w:t>
      </w:r>
      <w:r w:rsidR="00421F36">
        <w:rPr>
          <w:rFonts w:ascii="Times New Roman" w:hAnsi="Times New Roman" w:cs="Times New Roman"/>
          <w:sz w:val="24"/>
          <w:szCs w:val="24"/>
        </w:rPr>
        <w:t>de</w:t>
      </w:r>
      <w:r w:rsidR="00421F36" w:rsidRPr="006C3338">
        <w:rPr>
          <w:rFonts w:ascii="Times New Roman" w:hAnsi="Times New Roman" w:cs="Times New Roman"/>
          <w:sz w:val="24"/>
          <w:szCs w:val="24"/>
        </w:rPr>
        <w:t xml:space="preserve"> excludere</w:t>
      </w:r>
      <w:r w:rsidR="00421F36">
        <w:rPr>
          <w:rFonts w:ascii="Times New Roman" w:hAnsi="Times New Roman" w:cs="Times New Roman"/>
          <w:sz w:val="24"/>
          <w:szCs w:val="24"/>
        </w:rPr>
        <w:t xml:space="preserve"> </w:t>
      </w:r>
      <w:r w:rsidR="000E2016">
        <w:rPr>
          <w:rFonts w:ascii="Times New Roman" w:hAnsi="Times New Roman" w:cs="Times New Roman"/>
          <w:sz w:val="24"/>
          <w:szCs w:val="24"/>
        </w:rPr>
        <w:t xml:space="preserve">din RBI </w:t>
      </w:r>
      <w:r w:rsidR="00421F36" w:rsidRPr="006C3338">
        <w:rPr>
          <w:rFonts w:ascii="Times New Roman" w:hAnsi="Times New Roman" w:cs="Times New Roman"/>
          <w:sz w:val="24"/>
          <w:szCs w:val="24"/>
        </w:rPr>
        <w:t>a drepturilor</w:t>
      </w:r>
      <w:r w:rsidR="00D33461">
        <w:rPr>
          <w:rFonts w:ascii="Times New Roman" w:hAnsi="Times New Roman" w:cs="Times New Roman"/>
          <w:sz w:val="24"/>
          <w:szCs w:val="24"/>
        </w:rPr>
        <w:t xml:space="preserve"> de administrare a fostului gestionar </w:t>
      </w:r>
      <w:r w:rsidR="00421F36" w:rsidRPr="006C3338">
        <w:rPr>
          <w:rFonts w:ascii="Times New Roman" w:hAnsi="Times New Roman" w:cs="Times New Roman"/>
          <w:sz w:val="24"/>
          <w:szCs w:val="24"/>
        </w:rPr>
        <w:t xml:space="preserve">asupra patrimoniului </w:t>
      </w:r>
      <w:r w:rsidR="00D33461">
        <w:rPr>
          <w:rFonts w:ascii="Times New Roman" w:hAnsi="Times New Roman" w:cs="Times New Roman"/>
          <w:sz w:val="24"/>
          <w:szCs w:val="24"/>
        </w:rPr>
        <w:t>bazei de odihnă „IT-Relax”</w:t>
      </w:r>
      <w:r w:rsidR="000E2016">
        <w:rPr>
          <w:rFonts w:ascii="Times New Roman" w:hAnsi="Times New Roman" w:cs="Times New Roman"/>
          <w:sz w:val="24"/>
          <w:szCs w:val="24"/>
        </w:rPr>
        <w:t xml:space="preserve"> </w:t>
      </w:r>
      <w:r w:rsidR="00421F36" w:rsidRPr="006C3338">
        <w:rPr>
          <w:rFonts w:ascii="Times New Roman" w:hAnsi="Times New Roman" w:cs="Times New Roman"/>
          <w:sz w:val="24"/>
          <w:szCs w:val="24"/>
        </w:rPr>
        <w:t>(pct. 4.3.2., subpct. (ii))</w:t>
      </w:r>
      <w:r w:rsidR="00421F36">
        <w:rPr>
          <w:rFonts w:ascii="Times New Roman" w:hAnsi="Times New Roman" w:cs="Times New Roman"/>
          <w:sz w:val="24"/>
          <w:szCs w:val="24"/>
        </w:rPr>
        <w:t>;</w:t>
      </w:r>
    </w:p>
    <w:p w14:paraId="5B23DAB4" w14:textId="655A8AA9" w:rsidR="00421F36" w:rsidRPr="006C3338" w:rsidRDefault="00421F36" w:rsidP="00231A57">
      <w:pPr>
        <w:pStyle w:val="a7"/>
        <w:numPr>
          <w:ilvl w:val="0"/>
          <w:numId w:val="23"/>
        </w:numPr>
        <w:shd w:val="clear" w:color="auto" w:fill="FFFFFF"/>
        <w:tabs>
          <w:tab w:val="left" w:pos="284"/>
          <w:tab w:val="left" w:pos="426"/>
        </w:tabs>
        <w:spacing w:after="40" w:line="276" w:lineRule="auto"/>
        <w:ind w:left="0" w:firstLine="0"/>
        <w:contextualSpacing w:val="0"/>
        <w:jc w:val="both"/>
        <w:rPr>
          <w:rFonts w:ascii="Times New Roman" w:hAnsi="Times New Roman" w:cs="Times New Roman"/>
          <w:sz w:val="24"/>
          <w:szCs w:val="24"/>
        </w:rPr>
      </w:pPr>
      <w:r w:rsidRPr="006C3338">
        <w:rPr>
          <w:rFonts w:ascii="Times New Roman" w:hAnsi="Times New Roman" w:cs="Times New Roman"/>
          <w:sz w:val="24"/>
          <w:szCs w:val="24"/>
        </w:rPr>
        <w:t xml:space="preserve">CS în comun cu DGACG să identifice acțiuni privind valorificarea potențialului </w:t>
      </w:r>
      <w:r w:rsidR="006B051D">
        <w:rPr>
          <w:rFonts w:ascii="Times New Roman" w:hAnsi="Times New Roman" w:cs="Times New Roman"/>
          <w:sz w:val="24"/>
          <w:szCs w:val="24"/>
        </w:rPr>
        <w:t>bazelor de odihnă</w:t>
      </w:r>
      <w:r w:rsidRPr="006C3338">
        <w:rPr>
          <w:rFonts w:ascii="Times New Roman" w:hAnsi="Times New Roman" w:cs="Times New Roman"/>
          <w:sz w:val="24"/>
          <w:szCs w:val="24"/>
        </w:rPr>
        <w:t xml:space="preserve"> reieșind din amplasarea lor în Parcul Nistrean (pct. 4.3.2., subpct. (i) și (ii))</w:t>
      </w:r>
      <w:r>
        <w:rPr>
          <w:rFonts w:ascii="Times New Roman" w:hAnsi="Times New Roman" w:cs="Times New Roman"/>
          <w:sz w:val="24"/>
          <w:szCs w:val="24"/>
        </w:rPr>
        <w:t>;</w:t>
      </w:r>
    </w:p>
    <w:p w14:paraId="315C69AE" w14:textId="77777777" w:rsidR="00421F36" w:rsidRPr="006C3338" w:rsidRDefault="00421F36" w:rsidP="00231A57">
      <w:pPr>
        <w:pStyle w:val="a7"/>
        <w:numPr>
          <w:ilvl w:val="0"/>
          <w:numId w:val="23"/>
        </w:numPr>
        <w:shd w:val="clear" w:color="auto" w:fill="FFFFFF"/>
        <w:tabs>
          <w:tab w:val="left" w:pos="284"/>
          <w:tab w:val="left" w:pos="426"/>
        </w:tabs>
        <w:spacing w:after="40" w:line="276" w:lineRule="auto"/>
        <w:ind w:left="0" w:firstLine="0"/>
        <w:contextualSpacing w:val="0"/>
        <w:jc w:val="both"/>
        <w:rPr>
          <w:rFonts w:ascii="Times New Roman" w:hAnsi="Times New Roman" w:cs="Times New Roman"/>
          <w:sz w:val="24"/>
          <w:szCs w:val="24"/>
        </w:rPr>
      </w:pPr>
      <w:r w:rsidRPr="006C3338">
        <w:rPr>
          <w:rFonts w:ascii="Times New Roman" w:hAnsi="Times New Roman" w:cs="Times New Roman"/>
          <w:sz w:val="24"/>
          <w:szCs w:val="24"/>
        </w:rPr>
        <w:t>DGACG să asigure înregistrarea în evidența contabilă la conturi</w:t>
      </w:r>
      <w:r>
        <w:rPr>
          <w:rFonts w:ascii="Times New Roman" w:hAnsi="Times New Roman" w:cs="Times New Roman"/>
          <w:sz w:val="24"/>
          <w:szCs w:val="24"/>
        </w:rPr>
        <w:t>le</w:t>
      </w:r>
      <w:r w:rsidRPr="006C3338">
        <w:rPr>
          <w:rFonts w:ascii="Times New Roman" w:hAnsi="Times New Roman" w:cs="Times New Roman"/>
          <w:sz w:val="24"/>
          <w:szCs w:val="24"/>
        </w:rPr>
        <w:t xml:space="preserve"> extrabilanțiere a bunurilor materiale transmise spre păstrare autorității și folosite în activitatea bazei de odihnă „IT-Relax” (pct. 4.3.2., subpct. (ii))</w:t>
      </w:r>
      <w:r>
        <w:rPr>
          <w:rFonts w:ascii="Times New Roman" w:hAnsi="Times New Roman" w:cs="Times New Roman"/>
          <w:sz w:val="24"/>
          <w:szCs w:val="24"/>
        </w:rPr>
        <w:t>;</w:t>
      </w:r>
    </w:p>
    <w:p w14:paraId="3587D0C1" w14:textId="6268B0DC" w:rsidR="00421F36" w:rsidRPr="006C3338" w:rsidRDefault="00421F36" w:rsidP="00231A57">
      <w:pPr>
        <w:pStyle w:val="a7"/>
        <w:numPr>
          <w:ilvl w:val="0"/>
          <w:numId w:val="23"/>
        </w:numPr>
        <w:shd w:val="clear" w:color="auto" w:fill="FFFFFF"/>
        <w:tabs>
          <w:tab w:val="left" w:pos="284"/>
          <w:tab w:val="left" w:pos="426"/>
        </w:tabs>
        <w:spacing w:after="40" w:line="276" w:lineRule="auto"/>
        <w:ind w:left="0" w:firstLine="0"/>
        <w:contextualSpacing w:val="0"/>
        <w:jc w:val="both"/>
        <w:rPr>
          <w:rFonts w:ascii="Times New Roman" w:hAnsi="Times New Roman" w:cs="Times New Roman"/>
          <w:sz w:val="24"/>
          <w:szCs w:val="24"/>
        </w:rPr>
      </w:pPr>
      <w:r w:rsidRPr="006C3338">
        <w:rPr>
          <w:rFonts w:ascii="Times New Roman" w:hAnsi="Times New Roman" w:cs="Times New Roman"/>
          <w:sz w:val="24"/>
          <w:szCs w:val="24"/>
        </w:rPr>
        <w:t xml:space="preserve">CS să întreprindă toate măsurile legale privind restituirea terenului </w:t>
      </w:r>
      <w:r w:rsidR="00BB304C">
        <w:rPr>
          <w:rFonts w:ascii="Times New Roman" w:hAnsi="Times New Roman" w:cs="Times New Roman"/>
          <w:sz w:val="24"/>
          <w:szCs w:val="24"/>
        </w:rPr>
        <w:t xml:space="preserve">cu suprafața de 24,8 ha din </w:t>
      </w:r>
      <w:r w:rsidRPr="006C3338">
        <w:rPr>
          <w:rFonts w:ascii="Times New Roman" w:hAnsi="Times New Roman" w:cs="Times New Roman"/>
          <w:sz w:val="24"/>
          <w:szCs w:val="24"/>
        </w:rPr>
        <w:t>fondului forestier în gesti</w:t>
      </w:r>
      <w:r>
        <w:rPr>
          <w:rFonts w:ascii="Times New Roman" w:hAnsi="Times New Roman" w:cs="Times New Roman"/>
          <w:sz w:val="24"/>
          <w:szCs w:val="24"/>
        </w:rPr>
        <w:t>unea</w:t>
      </w:r>
      <w:r w:rsidRPr="006C3338">
        <w:rPr>
          <w:rFonts w:ascii="Times New Roman" w:hAnsi="Times New Roman" w:cs="Times New Roman"/>
          <w:sz w:val="24"/>
          <w:szCs w:val="24"/>
        </w:rPr>
        <w:t xml:space="preserve"> statului, inclusiv </w:t>
      </w:r>
      <w:r>
        <w:rPr>
          <w:rFonts w:ascii="Times New Roman" w:hAnsi="Times New Roman" w:cs="Times New Roman"/>
          <w:sz w:val="24"/>
          <w:szCs w:val="24"/>
        </w:rPr>
        <w:t xml:space="preserve">să </w:t>
      </w:r>
      <w:r w:rsidRPr="006C3338">
        <w:rPr>
          <w:rFonts w:ascii="Times New Roman" w:hAnsi="Times New Roman" w:cs="Times New Roman"/>
          <w:sz w:val="24"/>
          <w:szCs w:val="24"/>
        </w:rPr>
        <w:t>examin</w:t>
      </w:r>
      <w:r>
        <w:rPr>
          <w:rFonts w:ascii="Times New Roman" w:hAnsi="Times New Roman" w:cs="Times New Roman"/>
          <w:sz w:val="24"/>
          <w:szCs w:val="24"/>
        </w:rPr>
        <w:t>eze</w:t>
      </w:r>
      <w:r w:rsidRPr="006C3338">
        <w:rPr>
          <w:rFonts w:ascii="Times New Roman" w:hAnsi="Times New Roman" w:cs="Times New Roman"/>
          <w:sz w:val="24"/>
          <w:szCs w:val="24"/>
        </w:rPr>
        <w:t xml:space="preserve"> posibilit</w:t>
      </w:r>
      <w:r>
        <w:rPr>
          <w:rFonts w:ascii="Times New Roman" w:hAnsi="Times New Roman" w:cs="Times New Roman"/>
          <w:sz w:val="24"/>
          <w:szCs w:val="24"/>
        </w:rPr>
        <w:t>atea</w:t>
      </w:r>
      <w:r w:rsidRPr="006C3338">
        <w:rPr>
          <w:rFonts w:ascii="Times New Roman" w:hAnsi="Times New Roman" w:cs="Times New Roman"/>
          <w:sz w:val="24"/>
          <w:szCs w:val="24"/>
        </w:rPr>
        <w:t xml:space="preserve"> declarării nulității absolute/rezilierii/anulării actelor juridice vizate (pct. 4.3.2., subpct. (iii));</w:t>
      </w:r>
    </w:p>
    <w:p w14:paraId="2E419C2D" w14:textId="405E650D" w:rsidR="00421F36" w:rsidRPr="006C3338" w:rsidRDefault="00421F36" w:rsidP="00231A57">
      <w:pPr>
        <w:pStyle w:val="a7"/>
        <w:numPr>
          <w:ilvl w:val="0"/>
          <w:numId w:val="23"/>
        </w:numPr>
        <w:shd w:val="clear" w:color="auto" w:fill="FFFFFF"/>
        <w:tabs>
          <w:tab w:val="left" w:pos="284"/>
          <w:tab w:val="left" w:pos="426"/>
        </w:tabs>
        <w:spacing w:after="40" w:line="276" w:lineRule="auto"/>
        <w:ind w:left="0" w:firstLine="0"/>
        <w:contextualSpacing w:val="0"/>
        <w:jc w:val="both"/>
        <w:rPr>
          <w:rFonts w:ascii="Times New Roman" w:hAnsi="Times New Roman" w:cs="Times New Roman"/>
          <w:sz w:val="24"/>
          <w:szCs w:val="24"/>
        </w:rPr>
      </w:pPr>
      <w:r w:rsidRPr="006C3338">
        <w:rPr>
          <w:rFonts w:ascii="Times New Roman" w:hAnsi="Times New Roman" w:cs="Times New Roman"/>
          <w:sz w:val="24"/>
          <w:szCs w:val="24"/>
        </w:rPr>
        <w:t xml:space="preserve">CS </w:t>
      </w:r>
      <w:r>
        <w:rPr>
          <w:rFonts w:ascii="Times New Roman" w:hAnsi="Times New Roman" w:cs="Times New Roman"/>
          <w:sz w:val="24"/>
          <w:szCs w:val="24"/>
        </w:rPr>
        <w:t xml:space="preserve">să </w:t>
      </w:r>
      <w:r w:rsidRPr="006C3338">
        <w:rPr>
          <w:rFonts w:ascii="Times New Roman" w:hAnsi="Times New Roman" w:cs="Times New Roman"/>
          <w:sz w:val="24"/>
          <w:szCs w:val="24"/>
        </w:rPr>
        <w:t>examin</w:t>
      </w:r>
      <w:r>
        <w:rPr>
          <w:rFonts w:ascii="Times New Roman" w:hAnsi="Times New Roman" w:cs="Times New Roman"/>
          <w:sz w:val="24"/>
          <w:szCs w:val="24"/>
        </w:rPr>
        <w:t>eze</w:t>
      </w:r>
      <w:r w:rsidRPr="006C3338">
        <w:rPr>
          <w:rFonts w:ascii="Times New Roman" w:hAnsi="Times New Roman" w:cs="Times New Roman"/>
          <w:sz w:val="24"/>
          <w:szCs w:val="24"/>
        </w:rPr>
        <w:t xml:space="preserve"> situați</w:t>
      </w:r>
      <w:r>
        <w:rPr>
          <w:rFonts w:ascii="Times New Roman" w:hAnsi="Times New Roman" w:cs="Times New Roman"/>
          <w:sz w:val="24"/>
          <w:szCs w:val="24"/>
        </w:rPr>
        <w:t>a</w:t>
      </w:r>
      <w:r w:rsidRPr="006C3338">
        <w:rPr>
          <w:rFonts w:ascii="Times New Roman" w:hAnsi="Times New Roman" w:cs="Times New Roman"/>
          <w:sz w:val="24"/>
          <w:szCs w:val="24"/>
        </w:rPr>
        <w:t xml:space="preserve"> și </w:t>
      </w:r>
      <w:r>
        <w:rPr>
          <w:rFonts w:ascii="Times New Roman" w:hAnsi="Times New Roman" w:cs="Times New Roman"/>
          <w:sz w:val="24"/>
          <w:szCs w:val="24"/>
        </w:rPr>
        <w:t xml:space="preserve">să </w:t>
      </w:r>
      <w:r w:rsidRPr="006C3338">
        <w:rPr>
          <w:rFonts w:ascii="Times New Roman" w:hAnsi="Times New Roman" w:cs="Times New Roman"/>
          <w:sz w:val="24"/>
          <w:szCs w:val="24"/>
        </w:rPr>
        <w:t>dispun</w:t>
      </w:r>
      <w:r>
        <w:rPr>
          <w:rFonts w:ascii="Times New Roman" w:hAnsi="Times New Roman" w:cs="Times New Roman"/>
          <w:sz w:val="24"/>
          <w:szCs w:val="24"/>
        </w:rPr>
        <w:t>ă</w:t>
      </w:r>
      <w:r w:rsidRPr="006C3338">
        <w:rPr>
          <w:rFonts w:ascii="Times New Roman" w:hAnsi="Times New Roman" w:cs="Times New Roman"/>
          <w:sz w:val="24"/>
          <w:szCs w:val="24"/>
        </w:rPr>
        <w:t xml:space="preserve"> acțiunil</w:t>
      </w:r>
      <w:r>
        <w:rPr>
          <w:rFonts w:ascii="Times New Roman" w:hAnsi="Times New Roman" w:cs="Times New Roman"/>
          <w:sz w:val="24"/>
          <w:szCs w:val="24"/>
        </w:rPr>
        <w:t>e</w:t>
      </w:r>
      <w:r w:rsidRPr="006C3338">
        <w:rPr>
          <w:rFonts w:ascii="Times New Roman" w:hAnsi="Times New Roman" w:cs="Times New Roman"/>
          <w:sz w:val="24"/>
          <w:szCs w:val="24"/>
        </w:rPr>
        <w:t xml:space="preserve"> necesare privind </w:t>
      </w:r>
      <w:r w:rsidR="00580FFD">
        <w:rPr>
          <w:rFonts w:ascii="Times New Roman" w:hAnsi="Times New Roman" w:cs="Times New Roman"/>
          <w:sz w:val="24"/>
          <w:szCs w:val="24"/>
        </w:rPr>
        <w:t>administrarea</w:t>
      </w:r>
      <w:r w:rsidR="004F2035">
        <w:rPr>
          <w:rFonts w:ascii="Times New Roman" w:hAnsi="Times New Roman" w:cs="Times New Roman"/>
          <w:sz w:val="24"/>
          <w:szCs w:val="24"/>
        </w:rPr>
        <w:t xml:space="preserve"> </w:t>
      </w:r>
      <w:r w:rsidRPr="006C3338">
        <w:rPr>
          <w:rFonts w:ascii="Times New Roman" w:hAnsi="Times New Roman" w:cs="Times New Roman"/>
          <w:sz w:val="24"/>
          <w:szCs w:val="24"/>
        </w:rPr>
        <w:t>și înregistrarea conformă a dreptului de gestiune a Vilei nr. 9 din s</w:t>
      </w:r>
      <w:r>
        <w:rPr>
          <w:rFonts w:ascii="Times New Roman" w:hAnsi="Times New Roman" w:cs="Times New Roman"/>
          <w:sz w:val="24"/>
          <w:szCs w:val="24"/>
        </w:rPr>
        <w:t>a</w:t>
      </w:r>
      <w:r w:rsidRPr="006C3338">
        <w:rPr>
          <w:rFonts w:ascii="Times New Roman" w:hAnsi="Times New Roman" w:cs="Times New Roman"/>
          <w:sz w:val="24"/>
          <w:szCs w:val="24"/>
        </w:rPr>
        <w:t>t. Holercani, r-nul Dubăsari</w:t>
      </w:r>
      <w:r>
        <w:rPr>
          <w:rFonts w:ascii="Times New Roman" w:hAnsi="Times New Roman" w:cs="Times New Roman"/>
          <w:sz w:val="24"/>
          <w:szCs w:val="24"/>
        </w:rPr>
        <w:t>,</w:t>
      </w:r>
      <w:r w:rsidRPr="006C3338">
        <w:rPr>
          <w:rFonts w:ascii="Times New Roman" w:hAnsi="Times New Roman" w:cs="Times New Roman"/>
          <w:sz w:val="24"/>
          <w:szCs w:val="24"/>
        </w:rPr>
        <w:t xml:space="preserve"> c</w:t>
      </w:r>
      <w:r>
        <w:rPr>
          <w:rFonts w:ascii="Times New Roman" w:hAnsi="Times New Roman" w:cs="Times New Roman"/>
          <w:sz w:val="24"/>
          <w:szCs w:val="24"/>
        </w:rPr>
        <w:t>â</w:t>
      </w:r>
      <w:r w:rsidRPr="006C3338">
        <w:rPr>
          <w:rFonts w:ascii="Times New Roman" w:hAnsi="Times New Roman" w:cs="Times New Roman"/>
          <w:sz w:val="24"/>
          <w:szCs w:val="24"/>
        </w:rPr>
        <w:t>t și a spațiului din str. V. Lupu nr.18</w:t>
      </w:r>
      <w:r>
        <w:rPr>
          <w:rFonts w:ascii="Times New Roman" w:hAnsi="Times New Roman" w:cs="Times New Roman"/>
          <w:sz w:val="24"/>
          <w:szCs w:val="24"/>
        </w:rPr>
        <w:t>,</w:t>
      </w:r>
      <w:r w:rsidRPr="006C3338">
        <w:rPr>
          <w:rFonts w:ascii="Times New Roman" w:hAnsi="Times New Roman" w:cs="Times New Roman"/>
          <w:sz w:val="24"/>
          <w:szCs w:val="24"/>
        </w:rPr>
        <w:t xml:space="preserve"> folosit de Î.S. „Moldelectrica” (pct. 4.3.2.</w:t>
      </w:r>
      <w:r>
        <w:rPr>
          <w:rFonts w:ascii="Times New Roman" w:hAnsi="Times New Roman" w:cs="Times New Roman"/>
          <w:sz w:val="24"/>
          <w:szCs w:val="24"/>
        </w:rPr>
        <w:t>,</w:t>
      </w:r>
      <w:r w:rsidRPr="006C3338">
        <w:rPr>
          <w:rFonts w:ascii="Times New Roman" w:hAnsi="Times New Roman" w:cs="Times New Roman"/>
          <w:sz w:val="24"/>
          <w:szCs w:val="24"/>
        </w:rPr>
        <w:t xml:space="preserve"> subpct. (v));</w:t>
      </w:r>
    </w:p>
    <w:p w14:paraId="5A78BDD8" w14:textId="19918149" w:rsidR="00421F36" w:rsidRPr="006C3338" w:rsidRDefault="00421F36" w:rsidP="00231A57">
      <w:pPr>
        <w:pStyle w:val="a7"/>
        <w:numPr>
          <w:ilvl w:val="0"/>
          <w:numId w:val="23"/>
        </w:numPr>
        <w:shd w:val="clear" w:color="auto" w:fill="FFFFFF"/>
        <w:tabs>
          <w:tab w:val="left" w:pos="284"/>
          <w:tab w:val="left" w:pos="426"/>
        </w:tabs>
        <w:spacing w:after="40" w:line="276" w:lineRule="auto"/>
        <w:ind w:left="0" w:firstLine="0"/>
        <w:contextualSpacing w:val="0"/>
        <w:jc w:val="both"/>
        <w:rPr>
          <w:rFonts w:ascii="Times New Roman" w:hAnsi="Times New Roman" w:cs="Times New Roman"/>
          <w:sz w:val="24"/>
          <w:szCs w:val="24"/>
        </w:rPr>
      </w:pPr>
      <w:r w:rsidRPr="006C3338">
        <w:rPr>
          <w:rFonts w:ascii="Times New Roman" w:hAnsi="Times New Roman" w:cs="Times New Roman"/>
          <w:sz w:val="24"/>
          <w:szCs w:val="24"/>
        </w:rPr>
        <w:t>DGACG, BA și I.P. „Pensiunea din Holercani” să asigure înregistrarea la organul cadastral a dreptului de gestiune economică asupra patrimoniului primit, conform co</w:t>
      </w:r>
      <w:r w:rsidR="00D33461">
        <w:rPr>
          <w:rFonts w:ascii="Times New Roman" w:hAnsi="Times New Roman" w:cs="Times New Roman"/>
          <w:sz w:val="24"/>
          <w:szCs w:val="24"/>
        </w:rPr>
        <w:t>nstatărilor expuse în pct. 4.3.4</w:t>
      </w:r>
      <w:r w:rsidRPr="006C3338">
        <w:rPr>
          <w:rFonts w:ascii="Times New Roman" w:hAnsi="Times New Roman" w:cs="Times New Roman"/>
          <w:sz w:val="24"/>
          <w:szCs w:val="24"/>
        </w:rPr>
        <w:t>, lit. (a)</w:t>
      </w:r>
      <w:r>
        <w:rPr>
          <w:rFonts w:ascii="Times New Roman" w:hAnsi="Times New Roman" w:cs="Times New Roman"/>
          <w:sz w:val="24"/>
          <w:szCs w:val="24"/>
        </w:rPr>
        <w:t>;</w:t>
      </w:r>
    </w:p>
    <w:p w14:paraId="5AE1AF60" w14:textId="4B48BC5F" w:rsidR="00B14FDA" w:rsidRPr="006C3338" w:rsidRDefault="00B14FDA" w:rsidP="00231A57">
      <w:pPr>
        <w:pStyle w:val="a7"/>
        <w:numPr>
          <w:ilvl w:val="0"/>
          <w:numId w:val="23"/>
        </w:numPr>
        <w:shd w:val="clear" w:color="auto" w:fill="FFFFFF"/>
        <w:tabs>
          <w:tab w:val="left" w:pos="284"/>
          <w:tab w:val="left" w:pos="426"/>
        </w:tabs>
        <w:spacing w:after="40" w:line="276" w:lineRule="auto"/>
        <w:ind w:left="0" w:firstLine="0"/>
        <w:contextualSpacing w:val="0"/>
        <w:jc w:val="both"/>
        <w:rPr>
          <w:rFonts w:ascii="Times New Roman" w:hAnsi="Times New Roman" w:cs="Times New Roman"/>
          <w:sz w:val="24"/>
          <w:szCs w:val="24"/>
        </w:rPr>
      </w:pPr>
      <w:r w:rsidRPr="006C3338">
        <w:rPr>
          <w:rFonts w:ascii="Times New Roman" w:hAnsi="Times New Roman" w:cs="Times New Roman"/>
          <w:sz w:val="24"/>
          <w:szCs w:val="24"/>
        </w:rPr>
        <w:t>DGACG și I.P. „Pensiunea din Holercani” să efectueze corectări în evidența contabilă care ar asigura contabilizarea conformă a patrimoniului primit în gestiune economică, potrivit observațiilor d</w:t>
      </w:r>
      <w:r w:rsidR="00D33461">
        <w:rPr>
          <w:rFonts w:ascii="Times New Roman" w:hAnsi="Times New Roman" w:cs="Times New Roman"/>
          <w:sz w:val="24"/>
          <w:szCs w:val="24"/>
        </w:rPr>
        <w:t>e audit menționate în pct. 4.3.4</w:t>
      </w:r>
      <w:r w:rsidRPr="006C3338">
        <w:rPr>
          <w:rFonts w:ascii="Times New Roman" w:hAnsi="Times New Roman" w:cs="Times New Roman"/>
          <w:sz w:val="24"/>
          <w:szCs w:val="24"/>
        </w:rPr>
        <w:t>, lit. (b)</w:t>
      </w:r>
      <w:r>
        <w:rPr>
          <w:rFonts w:ascii="Times New Roman" w:hAnsi="Times New Roman" w:cs="Times New Roman"/>
          <w:sz w:val="24"/>
          <w:szCs w:val="24"/>
        </w:rPr>
        <w:t>;</w:t>
      </w:r>
    </w:p>
    <w:p w14:paraId="35A21626" w14:textId="3561A0AA" w:rsidR="00B14FDA" w:rsidRPr="006C3338" w:rsidRDefault="00B14FDA" w:rsidP="00231A57">
      <w:pPr>
        <w:pStyle w:val="a7"/>
        <w:numPr>
          <w:ilvl w:val="0"/>
          <w:numId w:val="23"/>
        </w:numPr>
        <w:shd w:val="clear" w:color="auto" w:fill="FFFFFF"/>
        <w:tabs>
          <w:tab w:val="left" w:pos="284"/>
          <w:tab w:val="left" w:pos="426"/>
        </w:tabs>
        <w:spacing w:after="40" w:line="276"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Î</w:t>
      </w:r>
      <w:r w:rsidRPr="006C3338">
        <w:rPr>
          <w:rFonts w:ascii="Times New Roman" w:hAnsi="Times New Roman" w:cs="Times New Roman"/>
          <w:sz w:val="24"/>
          <w:szCs w:val="24"/>
        </w:rPr>
        <w:t>n cadrul Programului de delimitare</w:t>
      </w:r>
      <w:r>
        <w:rPr>
          <w:rFonts w:ascii="Times New Roman" w:hAnsi="Times New Roman" w:cs="Times New Roman"/>
          <w:sz w:val="24"/>
          <w:szCs w:val="24"/>
        </w:rPr>
        <w:t xml:space="preserve"> al</w:t>
      </w:r>
      <w:r w:rsidRPr="006C3338">
        <w:rPr>
          <w:rFonts w:ascii="Times New Roman" w:hAnsi="Times New Roman" w:cs="Times New Roman"/>
          <w:sz w:val="24"/>
          <w:szCs w:val="24"/>
        </w:rPr>
        <w:t xml:space="preserve"> APP, CS să monitorizeze efectuarea în conformitate cu cadrul normativ a lucrărilor de delimitare</w:t>
      </w:r>
      <w:r>
        <w:rPr>
          <w:rFonts w:ascii="Times New Roman" w:hAnsi="Times New Roman" w:cs="Times New Roman"/>
          <w:sz w:val="24"/>
          <w:szCs w:val="24"/>
        </w:rPr>
        <w:t>,</w:t>
      </w:r>
      <w:r w:rsidRPr="006C3338">
        <w:rPr>
          <w:rFonts w:ascii="Times New Roman" w:hAnsi="Times New Roman" w:cs="Times New Roman"/>
          <w:sz w:val="24"/>
          <w:szCs w:val="24"/>
        </w:rPr>
        <w:t xml:space="preserve"> cu trecerea ulterioară în posesia statului a terenurilor pe care este amplasată I</w:t>
      </w:r>
      <w:r>
        <w:rPr>
          <w:rFonts w:ascii="Times New Roman" w:hAnsi="Times New Roman" w:cs="Times New Roman"/>
          <w:sz w:val="24"/>
          <w:szCs w:val="24"/>
        </w:rPr>
        <w:t>.</w:t>
      </w:r>
      <w:r w:rsidRPr="006C3338">
        <w:rPr>
          <w:rFonts w:ascii="Times New Roman" w:hAnsi="Times New Roman" w:cs="Times New Roman"/>
          <w:sz w:val="24"/>
          <w:szCs w:val="24"/>
        </w:rPr>
        <w:t>P</w:t>
      </w:r>
      <w:r>
        <w:rPr>
          <w:rFonts w:ascii="Times New Roman" w:hAnsi="Times New Roman" w:cs="Times New Roman"/>
          <w:sz w:val="24"/>
          <w:szCs w:val="24"/>
        </w:rPr>
        <w:t>.</w:t>
      </w:r>
      <w:r w:rsidRPr="006C3338">
        <w:rPr>
          <w:rFonts w:ascii="Times New Roman" w:hAnsi="Times New Roman" w:cs="Times New Roman"/>
          <w:sz w:val="24"/>
          <w:szCs w:val="24"/>
        </w:rPr>
        <w:t xml:space="preserve"> </w:t>
      </w:r>
      <w:r>
        <w:rPr>
          <w:rFonts w:ascii="Times New Roman" w:hAnsi="Times New Roman" w:cs="Times New Roman"/>
          <w:sz w:val="24"/>
          <w:szCs w:val="24"/>
        </w:rPr>
        <w:t>„</w:t>
      </w:r>
      <w:r w:rsidRPr="006C3338">
        <w:rPr>
          <w:rFonts w:ascii="Times New Roman" w:hAnsi="Times New Roman" w:cs="Times New Roman"/>
          <w:sz w:val="24"/>
          <w:szCs w:val="24"/>
        </w:rPr>
        <w:t>Pensiunea din Holercani</w:t>
      </w:r>
      <w:r>
        <w:rPr>
          <w:rFonts w:ascii="Times New Roman" w:hAnsi="Times New Roman" w:cs="Times New Roman"/>
          <w:sz w:val="24"/>
          <w:szCs w:val="24"/>
        </w:rPr>
        <w:t>”</w:t>
      </w:r>
      <w:r w:rsidR="00524FEB">
        <w:rPr>
          <w:rFonts w:ascii="Times New Roman" w:hAnsi="Times New Roman" w:cs="Times New Roman"/>
          <w:sz w:val="24"/>
          <w:szCs w:val="24"/>
        </w:rPr>
        <w:t xml:space="preserve"> (pct. 4.3.4</w:t>
      </w:r>
      <w:r w:rsidRPr="006C3338">
        <w:rPr>
          <w:rFonts w:ascii="Times New Roman" w:hAnsi="Times New Roman" w:cs="Times New Roman"/>
          <w:sz w:val="24"/>
          <w:szCs w:val="24"/>
        </w:rPr>
        <w:t>, lit. (d));</w:t>
      </w:r>
    </w:p>
    <w:p w14:paraId="02F83ADF" w14:textId="78204B54" w:rsidR="00B14FDA" w:rsidRPr="006C3338" w:rsidRDefault="00B14FDA" w:rsidP="00231A57">
      <w:pPr>
        <w:pStyle w:val="a7"/>
        <w:numPr>
          <w:ilvl w:val="0"/>
          <w:numId w:val="23"/>
        </w:numPr>
        <w:shd w:val="clear" w:color="auto" w:fill="FFFFFF"/>
        <w:tabs>
          <w:tab w:val="left" w:pos="284"/>
          <w:tab w:val="left" w:pos="426"/>
        </w:tabs>
        <w:spacing w:after="40" w:line="276" w:lineRule="auto"/>
        <w:ind w:left="0" w:firstLine="0"/>
        <w:contextualSpacing w:val="0"/>
        <w:jc w:val="both"/>
        <w:rPr>
          <w:rFonts w:ascii="Times New Roman" w:hAnsi="Times New Roman" w:cs="Times New Roman"/>
          <w:sz w:val="24"/>
          <w:szCs w:val="24"/>
        </w:rPr>
      </w:pPr>
      <w:r w:rsidRPr="006C3338">
        <w:rPr>
          <w:rFonts w:ascii="Times New Roman" w:hAnsi="Times New Roman" w:cs="Times New Roman"/>
          <w:sz w:val="24"/>
          <w:szCs w:val="24"/>
        </w:rPr>
        <w:t xml:space="preserve">DGACG să </w:t>
      </w:r>
      <w:r>
        <w:rPr>
          <w:rFonts w:ascii="Times New Roman" w:hAnsi="Times New Roman" w:cs="Times New Roman"/>
          <w:sz w:val="24"/>
          <w:szCs w:val="24"/>
        </w:rPr>
        <w:t>numească</w:t>
      </w:r>
      <w:r w:rsidRPr="006C3338">
        <w:rPr>
          <w:rFonts w:ascii="Times New Roman" w:hAnsi="Times New Roman" w:cs="Times New Roman"/>
          <w:sz w:val="24"/>
          <w:szCs w:val="24"/>
        </w:rPr>
        <w:t xml:space="preserve"> persoane</w:t>
      </w:r>
      <w:r>
        <w:rPr>
          <w:rFonts w:ascii="Times New Roman" w:hAnsi="Times New Roman" w:cs="Times New Roman"/>
          <w:sz w:val="24"/>
          <w:szCs w:val="24"/>
        </w:rPr>
        <w:t>le</w:t>
      </w:r>
      <w:r w:rsidRPr="006C3338">
        <w:rPr>
          <w:rFonts w:ascii="Times New Roman" w:hAnsi="Times New Roman" w:cs="Times New Roman"/>
          <w:sz w:val="24"/>
          <w:szCs w:val="24"/>
        </w:rPr>
        <w:t xml:space="preserve"> responsabile de totalizarea și înregistrarea contractelor de locațiune, inclusiv </w:t>
      </w:r>
      <w:r>
        <w:rPr>
          <w:rFonts w:ascii="Times New Roman" w:hAnsi="Times New Roman" w:cs="Times New Roman"/>
          <w:sz w:val="24"/>
          <w:szCs w:val="24"/>
        </w:rPr>
        <w:t xml:space="preserve">de </w:t>
      </w:r>
      <w:r w:rsidRPr="006C3338">
        <w:rPr>
          <w:rFonts w:ascii="Times New Roman" w:hAnsi="Times New Roman" w:cs="Times New Roman"/>
          <w:sz w:val="24"/>
          <w:szCs w:val="24"/>
        </w:rPr>
        <w:t>includerea unor astfel de atribuții în regulamentele direcțiilor responsabile, precum ș</w:t>
      </w:r>
      <w:r w:rsidR="00524FEB">
        <w:rPr>
          <w:rFonts w:ascii="Times New Roman" w:hAnsi="Times New Roman" w:cs="Times New Roman"/>
          <w:sz w:val="24"/>
          <w:szCs w:val="24"/>
        </w:rPr>
        <w:t>i în fișele postului (pct. 4.3.5</w:t>
      </w:r>
      <w:r w:rsidRPr="006C3338">
        <w:rPr>
          <w:rFonts w:ascii="Times New Roman" w:hAnsi="Times New Roman" w:cs="Times New Roman"/>
          <w:sz w:val="24"/>
          <w:szCs w:val="24"/>
        </w:rPr>
        <w:t>, lit. a));</w:t>
      </w:r>
    </w:p>
    <w:p w14:paraId="228974DB" w14:textId="3818E151" w:rsidR="00B14FDA" w:rsidRPr="006C3338" w:rsidRDefault="00B14FDA" w:rsidP="00231A57">
      <w:pPr>
        <w:pStyle w:val="a7"/>
        <w:numPr>
          <w:ilvl w:val="0"/>
          <w:numId w:val="23"/>
        </w:numPr>
        <w:shd w:val="clear" w:color="auto" w:fill="FFFFFF"/>
        <w:tabs>
          <w:tab w:val="left" w:pos="284"/>
          <w:tab w:val="left" w:pos="426"/>
        </w:tabs>
        <w:spacing w:after="40" w:line="276"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DGACG s</w:t>
      </w:r>
      <w:r w:rsidRPr="006C3338">
        <w:rPr>
          <w:rFonts w:ascii="Times New Roman" w:hAnsi="Times New Roman" w:cs="Times New Roman"/>
          <w:sz w:val="24"/>
          <w:szCs w:val="24"/>
        </w:rPr>
        <w:t xml:space="preserve">ă elaboreze și să prezinte CS, pentru aprobare, o metodologie tarifară de calculare a prețului </w:t>
      </w:r>
      <w:r>
        <w:rPr>
          <w:rFonts w:ascii="Times New Roman" w:hAnsi="Times New Roman" w:cs="Times New Roman"/>
          <w:sz w:val="24"/>
          <w:szCs w:val="24"/>
        </w:rPr>
        <w:t xml:space="preserve">la </w:t>
      </w:r>
      <w:r w:rsidRPr="006C3338">
        <w:rPr>
          <w:rFonts w:ascii="Times New Roman" w:hAnsi="Times New Roman" w:cs="Times New Roman"/>
          <w:sz w:val="24"/>
          <w:szCs w:val="24"/>
        </w:rPr>
        <w:t>serviciil</w:t>
      </w:r>
      <w:r>
        <w:rPr>
          <w:rFonts w:ascii="Times New Roman" w:hAnsi="Times New Roman" w:cs="Times New Roman"/>
          <w:sz w:val="24"/>
          <w:szCs w:val="24"/>
        </w:rPr>
        <w:t>e</w:t>
      </w:r>
      <w:r w:rsidRPr="006C3338">
        <w:rPr>
          <w:rFonts w:ascii="Times New Roman" w:hAnsi="Times New Roman" w:cs="Times New Roman"/>
          <w:sz w:val="24"/>
          <w:szCs w:val="24"/>
        </w:rPr>
        <w:t xml:space="preserve"> comunale, în scopul excluderii aplicării unor </w:t>
      </w:r>
      <w:r w:rsidR="00524FEB">
        <w:rPr>
          <w:rFonts w:ascii="Times New Roman" w:hAnsi="Times New Roman" w:cs="Times New Roman"/>
          <w:sz w:val="24"/>
          <w:szCs w:val="24"/>
        </w:rPr>
        <w:t>tarife neargumentate (pct. 4.3.5</w:t>
      </w:r>
      <w:r w:rsidRPr="006C3338">
        <w:rPr>
          <w:rFonts w:ascii="Times New Roman" w:hAnsi="Times New Roman" w:cs="Times New Roman"/>
          <w:sz w:val="24"/>
          <w:szCs w:val="24"/>
        </w:rPr>
        <w:t>, lit. (a));</w:t>
      </w:r>
    </w:p>
    <w:p w14:paraId="2EFE7377" w14:textId="1A33AE37" w:rsidR="00B14FDA" w:rsidRPr="006C3338" w:rsidRDefault="00B14FDA" w:rsidP="00231A57">
      <w:pPr>
        <w:pStyle w:val="a7"/>
        <w:numPr>
          <w:ilvl w:val="0"/>
          <w:numId w:val="23"/>
        </w:numPr>
        <w:shd w:val="clear" w:color="auto" w:fill="FFFFFF"/>
        <w:tabs>
          <w:tab w:val="left" w:pos="284"/>
          <w:tab w:val="left" w:pos="426"/>
        </w:tabs>
        <w:spacing w:after="40" w:line="276" w:lineRule="auto"/>
        <w:ind w:left="0" w:firstLine="0"/>
        <w:contextualSpacing w:val="0"/>
        <w:jc w:val="both"/>
        <w:rPr>
          <w:rFonts w:ascii="Times New Roman" w:hAnsi="Times New Roman" w:cs="Times New Roman"/>
          <w:sz w:val="24"/>
          <w:szCs w:val="24"/>
        </w:rPr>
      </w:pPr>
      <w:r w:rsidRPr="006C3338">
        <w:rPr>
          <w:rFonts w:ascii="Times New Roman" w:hAnsi="Times New Roman" w:cs="Times New Roman"/>
          <w:sz w:val="24"/>
          <w:szCs w:val="24"/>
        </w:rPr>
        <w:t xml:space="preserve">I.P. „Pensiunea din Holercani” </w:t>
      </w:r>
      <w:r>
        <w:rPr>
          <w:rFonts w:ascii="Times New Roman" w:hAnsi="Times New Roman" w:cs="Times New Roman"/>
          <w:sz w:val="24"/>
          <w:szCs w:val="24"/>
        </w:rPr>
        <w:t xml:space="preserve">să </w:t>
      </w:r>
      <w:r w:rsidRPr="006C3338">
        <w:rPr>
          <w:rFonts w:ascii="Times New Roman" w:hAnsi="Times New Roman" w:cs="Times New Roman"/>
          <w:sz w:val="24"/>
          <w:szCs w:val="24"/>
        </w:rPr>
        <w:t xml:space="preserve">încheie contractul cu BNM privind valorificarea </w:t>
      </w:r>
      <w:r>
        <w:rPr>
          <w:rFonts w:ascii="Times New Roman" w:hAnsi="Times New Roman" w:cs="Times New Roman"/>
          <w:sz w:val="24"/>
          <w:szCs w:val="24"/>
        </w:rPr>
        <w:t>debarcaderului</w:t>
      </w:r>
      <w:r w:rsidRPr="006C3338">
        <w:rPr>
          <w:rFonts w:ascii="Times New Roman" w:hAnsi="Times New Roman" w:cs="Times New Roman"/>
          <w:sz w:val="24"/>
          <w:szCs w:val="24"/>
        </w:rPr>
        <w:t xml:space="preserve"> și terenului aferent vilei instituției financiare (pct. 4.3.</w:t>
      </w:r>
      <w:r w:rsidR="00524FEB">
        <w:rPr>
          <w:rFonts w:ascii="Times New Roman" w:hAnsi="Times New Roman" w:cs="Times New Roman"/>
          <w:sz w:val="24"/>
          <w:szCs w:val="24"/>
        </w:rPr>
        <w:t>5</w:t>
      </w:r>
      <w:r w:rsidRPr="006C3338">
        <w:rPr>
          <w:rFonts w:ascii="Times New Roman" w:hAnsi="Times New Roman" w:cs="Times New Roman"/>
          <w:sz w:val="24"/>
          <w:szCs w:val="24"/>
        </w:rPr>
        <w:t>, lit. (b));</w:t>
      </w:r>
    </w:p>
    <w:p w14:paraId="1F88B698" w14:textId="01994701" w:rsidR="00B14FDA" w:rsidRPr="006C3338" w:rsidRDefault="00B14FDA" w:rsidP="000E2016">
      <w:pPr>
        <w:pStyle w:val="a7"/>
        <w:numPr>
          <w:ilvl w:val="0"/>
          <w:numId w:val="23"/>
        </w:numPr>
        <w:shd w:val="clear" w:color="auto" w:fill="FFFFFF"/>
        <w:tabs>
          <w:tab w:val="left" w:pos="284"/>
          <w:tab w:val="left" w:pos="426"/>
        </w:tabs>
        <w:spacing w:after="80" w:line="276" w:lineRule="auto"/>
        <w:ind w:left="0" w:firstLine="0"/>
        <w:contextualSpacing w:val="0"/>
        <w:jc w:val="both"/>
        <w:rPr>
          <w:rFonts w:ascii="Times New Roman" w:hAnsi="Times New Roman" w:cs="Times New Roman"/>
          <w:bCs/>
          <w:sz w:val="24"/>
          <w:szCs w:val="24"/>
          <w:lang w:eastAsia="ro-RO"/>
        </w:rPr>
      </w:pPr>
      <w:r w:rsidRPr="006C3338">
        <w:rPr>
          <w:rFonts w:ascii="Times New Roman" w:hAnsi="Times New Roman" w:cs="Times New Roman"/>
          <w:sz w:val="24"/>
          <w:szCs w:val="24"/>
        </w:rPr>
        <w:t>Director</w:t>
      </w:r>
      <w:r>
        <w:rPr>
          <w:rFonts w:ascii="Times New Roman" w:hAnsi="Times New Roman" w:cs="Times New Roman"/>
          <w:sz w:val="24"/>
          <w:szCs w:val="24"/>
        </w:rPr>
        <w:t>ii</w:t>
      </w:r>
      <w:r w:rsidRPr="006C3338">
        <w:rPr>
          <w:rFonts w:ascii="Times New Roman" w:hAnsi="Times New Roman" w:cs="Times New Roman"/>
          <w:sz w:val="24"/>
          <w:szCs w:val="24"/>
        </w:rPr>
        <w:t xml:space="preserve"> I.P. „Palatul Republicii”</w:t>
      </w:r>
      <w:r w:rsidR="00BB304C">
        <w:rPr>
          <w:rFonts w:ascii="Times New Roman" w:hAnsi="Times New Roman" w:cs="Times New Roman"/>
          <w:sz w:val="24"/>
          <w:szCs w:val="24"/>
        </w:rPr>
        <w:t xml:space="preserve"> și </w:t>
      </w:r>
      <w:r w:rsidR="00BB304C" w:rsidRPr="006C3338">
        <w:rPr>
          <w:rFonts w:ascii="Times New Roman" w:hAnsi="Times New Roman" w:cs="Times New Roman"/>
          <w:sz w:val="24"/>
          <w:szCs w:val="24"/>
        </w:rPr>
        <w:t>I</w:t>
      </w:r>
      <w:r w:rsidR="00BB304C">
        <w:rPr>
          <w:rFonts w:ascii="Times New Roman" w:hAnsi="Times New Roman" w:cs="Times New Roman"/>
          <w:sz w:val="24"/>
          <w:szCs w:val="24"/>
        </w:rPr>
        <w:t>.P. „Pensiunea din Holercani”</w:t>
      </w:r>
      <w:r w:rsidRPr="006C3338">
        <w:rPr>
          <w:rFonts w:ascii="Times New Roman" w:hAnsi="Times New Roman" w:cs="Times New Roman"/>
          <w:sz w:val="24"/>
          <w:szCs w:val="24"/>
        </w:rPr>
        <w:t xml:space="preserve"> s</w:t>
      </w:r>
      <w:r w:rsidRPr="006C3338">
        <w:rPr>
          <w:rFonts w:ascii="Times New Roman" w:hAnsi="Times New Roman" w:cs="Times New Roman"/>
          <w:bCs/>
          <w:sz w:val="24"/>
          <w:szCs w:val="24"/>
          <w:lang w:eastAsia="ro-RO"/>
        </w:rPr>
        <w:t xml:space="preserve">ă asigure publicarea pe pagina web oficială a informațiilor </w:t>
      </w:r>
      <w:r w:rsidR="00BB304C">
        <w:rPr>
          <w:rFonts w:ascii="Times New Roman" w:hAnsi="Times New Roman" w:cs="Times New Roman"/>
          <w:bCs/>
          <w:sz w:val="24"/>
          <w:szCs w:val="24"/>
          <w:lang w:eastAsia="ro-RO"/>
        </w:rPr>
        <w:t>prestabilite de HG 519/2020 și HG 520/2020</w:t>
      </w:r>
      <w:r>
        <w:rPr>
          <w:rFonts w:ascii="Times New Roman" w:hAnsi="Times New Roman" w:cs="Times New Roman"/>
          <w:bCs/>
          <w:sz w:val="24"/>
          <w:szCs w:val="24"/>
          <w:lang w:eastAsia="ro-RO"/>
        </w:rPr>
        <w:t>,</w:t>
      </w:r>
      <w:r w:rsidRPr="006C3338">
        <w:rPr>
          <w:rFonts w:ascii="Times New Roman" w:hAnsi="Times New Roman" w:cs="Times New Roman"/>
          <w:bCs/>
          <w:sz w:val="24"/>
          <w:szCs w:val="24"/>
          <w:lang w:eastAsia="ro-RO"/>
        </w:rPr>
        <w:t xml:space="preserve"> precum și a nomenclato</w:t>
      </w:r>
      <w:r>
        <w:rPr>
          <w:rFonts w:ascii="Times New Roman" w:hAnsi="Times New Roman" w:cs="Times New Roman"/>
          <w:bCs/>
          <w:sz w:val="24"/>
          <w:szCs w:val="24"/>
          <w:lang w:eastAsia="ro-RO"/>
        </w:rPr>
        <w:t xml:space="preserve">arelor privind </w:t>
      </w:r>
      <w:r w:rsidRPr="006C3338">
        <w:rPr>
          <w:rFonts w:ascii="Times New Roman" w:hAnsi="Times New Roman" w:cs="Times New Roman"/>
          <w:bCs/>
          <w:sz w:val="24"/>
          <w:szCs w:val="24"/>
          <w:lang w:eastAsia="ro-RO"/>
        </w:rPr>
        <w:t>valoarea serviciilor prestate de instituți</w:t>
      </w:r>
      <w:r>
        <w:rPr>
          <w:rFonts w:ascii="Times New Roman" w:hAnsi="Times New Roman" w:cs="Times New Roman"/>
          <w:bCs/>
          <w:sz w:val="24"/>
          <w:szCs w:val="24"/>
          <w:lang w:eastAsia="ro-RO"/>
        </w:rPr>
        <w:t>i</w:t>
      </w:r>
      <w:r w:rsidRPr="006C3338">
        <w:rPr>
          <w:rFonts w:ascii="Times New Roman" w:hAnsi="Times New Roman" w:cs="Times New Roman"/>
          <w:bCs/>
          <w:sz w:val="24"/>
          <w:szCs w:val="24"/>
          <w:lang w:eastAsia="ro-RO"/>
        </w:rPr>
        <w:t xml:space="preserve"> (pct.4.4.1.).</w:t>
      </w:r>
    </w:p>
    <w:p w14:paraId="18CF544A" w14:textId="77777777" w:rsidR="006049D5" w:rsidRPr="003B329E" w:rsidRDefault="006049D5" w:rsidP="00E93970">
      <w:pPr>
        <w:tabs>
          <w:tab w:val="left" w:pos="426"/>
        </w:tabs>
        <w:spacing w:after="0" w:line="276" w:lineRule="auto"/>
        <w:jc w:val="both"/>
        <w:rPr>
          <w:rFonts w:ascii="Times New Roman" w:eastAsia="Times New Roman" w:hAnsi="Times New Roman" w:cs="Times New Roman"/>
          <w:b/>
          <w:i/>
          <w:color w:val="000000"/>
        </w:rPr>
      </w:pPr>
      <w:r w:rsidRPr="003B329E">
        <w:rPr>
          <w:rFonts w:ascii="Times New Roman" w:eastAsia="Times New Roman" w:hAnsi="Times New Roman" w:cs="Times New Roman"/>
          <w:b/>
          <w:i/>
          <w:color w:val="000000"/>
        </w:rPr>
        <w:t xml:space="preserve"> </w:t>
      </w:r>
    </w:p>
    <w:p w14:paraId="64E15B06" w14:textId="73F6F119" w:rsidR="006049D5" w:rsidRPr="003B329E" w:rsidRDefault="001C1193" w:rsidP="00CA4440">
      <w:pPr>
        <w:pStyle w:val="1"/>
        <w:numPr>
          <w:ilvl w:val="0"/>
          <w:numId w:val="6"/>
        </w:numPr>
        <w:tabs>
          <w:tab w:val="left" w:pos="3600"/>
          <w:tab w:val="left" w:pos="3780"/>
        </w:tabs>
        <w:spacing w:before="0" w:after="120" w:line="276" w:lineRule="auto"/>
        <w:ind w:left="426" w:firstLine="0"/>
        <w:rPr>
          <w:rFonts w:ascii="Times New Roman" w:eastAsia="TimesNewRoman" w:hAnsi="Times New Roman" w:cs="Times New Roman"/>
          <w:b/>
          <w:color w:val="2F5496" w:themeColor="accent5" w:themeShade="BF"/>
          <w:sz w:val="28"/>
          <w:szCs w:val="28"/>
        </w:rPr>
      </w:pPr>
      <w:bookmarkStart w:id="43" w:name="_Toc158015929"/>
      <w:r>
        <w:rPr>
          <w:rFonts w:ascii="Times New Roman" w:eastAsia="TimesNewRoman" w:hAnsi="Times New Roman" w:cs="Times New Roman"/>
          <w:b/>
          <w:color w:val="2F5496" w:themeColor="accent5" w:themeShade="BF"/>
          <w:sz w:val="28"/>
          <w:szCs w:val="28"/>
        </w:rPr>
        <w:t xml:space="preserve"> </w:t>
      </w:r>
      <w:r w:rsidR="006049D5" w:rsidRPr="003B329E">
        <w:rPr>
          <w:rFonts w:ascii="Times New Roman" w:eastAsia="TimesNewRoman" w:hAnsi="Times New Roman" w:cs="Times New Roman"/>
          <w:b/>
          <w:color w:val="2F5496" w:themeColor="accent5" w:themeShade="BF"/>
          <w:sz w:val="28"/>
          <w:szCs w:val="28"/>
        </w:rPr>
        <w:t>SEMNĂTURILE ECHIP</w:t>
      </w:r>
      <w:r w:rsidR="001C3855">
        <w:rPr>
          <w:rFonts w:ascii="Times New Roman" w:eastAsia="TimesNewRoman" w:hAnsi="Times New Roman" w:cs="Times New Roman"/>
          <w:b/>
          <w:color w:val="2F5496" w:themeColor="accent5" w:themeShade="BF"/>
          <w:sz w:val="28"/>
          <w:szCs w:val="28"/>
        </w:rPr>
        <w:t>EI MISIUNII</w:t>
      </w:r>
      <w:bookmarkEnd w:id="43"/>
    </w:p>
    <w:p w14:paraId="01BA28D1" w14:textId="77777777" w:rsidR="00D73FF7" w:rsidRPr="0043323C" w:rsidRDefault="00D73FF7" w:rsidP="000D4888">
      <w:pPr>
        <w:spacing w:after="120" w:line="276" w:lineRule="auto"/>
        <w:jc w:val="both"/>
        <w:rPr>
          <w:rFonts w:ascii="Times New Roman" w:eastAsia="Times New Roman" w:hAnsi="Times New Roman" w:cs="Times New Roman"/>
          <w:b/>
          <w:bCs/>
          <w:iCs/>
          <w:color w:val="000000" w:themeColor="text1"/>
          <w:sz w:val="24"/>
          <w:szCs w:val="24"/>
        </w:rPr>
      </w:pPr>
      <w:r w:rsidRPr="0043323C">
        <w:rPr>
          <w:rFonts w:ascii="Times New Roman" w:eastAsia="Times New Roman" w:hAnsi="Times New Roman" w:cs="Times New Roman"/>
          <w:b/>
          <w:bCs/>
          <w:iCs/>
          <w:color w:val="000000" w:themeColor="text1"/>
          <w:sz w:val="24"/>
          <w:szCs w:val="24"/>
        </w:rPr>
        <w:t>Echipa de audit:</w:t>
      </w:r>
    </w:p>
    <w:p w14:paraId="5DBC8E99" w14:textId="77777777" w:rsidR="00D73FF7" w:rsidRPr="0043323C" w:rsidRDefault="00D73FF7" w:rsidP="001C1193">
      <w:pPr>
        <w:tabs>
          <w:tab w:val="left" w:pos="1080"/>
        </w:tabs>
        <w:spacing w:before="100" w:beforeAutospacing="1" w:after="0" w:line="276" w:lineRule="auto"/>
        <w:rPr>
          <w:rFonts w:ascii="Times New Roman" w:hAnsi="Times New Roman" w:cs="Times New Roman"/>
        </w:rPr>
      </w:pPr>
      <w:r w:rsidRPr="0043323C">
        <w:rPr>
          <w:rFonts w:ascii="Times New Roman" w:eastAsia="Times New Roman" w:hAnsi="Times New Roman" w:cs="Times New Roman"/>
          <w:bCs/>
          <w:i/>
          <w:iCs/>
          <w:color w:val="000000" w:themeColor="text1"/>
          <w:sz w:val="24"/>
          <w:szCs w:val="24"/>
        </w:rPr>
        <w:t>șefa echipei de audit</w:t>
      </w:r>
      <w:r w:rsidRPr="0043323C">
        <w:rPr>
          <w:rFonts w:ascii="Times New Roman" w:eastAsia="Times New Roman" w:hAnsi="Times New Roman" w:cs="Times New Roman"/>
          <w:bCs/>
          <w:iCs/>
          <w:color w:val="000000" w:themeColor="text1"/>
          <w:sz w:val="24"/>
          <w:szCs w:val="24"/>
        </w:rPr>
        <w:t>,</w:t>
      </w:r>
      <w:r w:rsidRPr="0043323C">
        <w:rPr>
          <w:rFonts w:ascii="Times New Roman" w:hAnsi="Times New Roman" w:cs="Times New Roman"/>
        </w:rPr>
        <w:t xml:space="preserve"> </w:t>
      </w:r>
    </w:p>
    <w:p w14:paraId="4A8FA59F" w14:textId="5250E925" w:rsidR="0043323C" w:rsidRDefault="00D73FF7" w:rsidP="003F1373">
      <w:pPr>
        <w:tabs>
          <w:tab w:val="left" w:pos="1080"/>
          <w:tab w:val="left" w:pos="8280"/>
        </w:tabs>
        <w:spacing w:after="0" w:line="276" w:lineRule="auto"/>
        <w:rPr>
          <w:rFonts w:ascii="Times New Roman" w:eastAsia="Times New Roman" w:hAnsi="Times New Roman" w:cs="Times New Roman"/>
          <w:color w:val="000000" w:themeColor="text1"/>
          <w:sz w:val="24"/>
          <w:szCs w:val="24"/>
        </w:rPr>
      </w:pPr>
      <w:r w:rsidRPr="003B329E">
        <w:rPr>
          <w:rFonts w:ascii="Times New Roman" w:eastAsia="Times New Roman" w:hAnsi="Times New Roman" w:cs="Times New Roman"/>
          <w:bCs/>
          <w:iCs/>
          <w:color w:val="000000" w:themeColor="text1"/>
          <w:sz w:val="24"/>
          <w:szCs w:val="24"/>
        </w:rPr>
        <w:t>șefa Direcției de audit II în cadrul</w:t>
      </w:r>
      <w:r w:rsidR="008E551C">
        <w:rPr>
          <w:rFonts w:ascii="Times New Roman" w:eastAsia="Times New Roman" w:hAnsi="Times New Roman" w:cs="Times New Roman"/>
          <w:bCs/>
          <w:iCs/>
          <w:color w:val="000000" w:themeColor="text1"/>
          <w:sz w:val="24"/>
          <w:szCs w:val="24"/>
        </w:rPr>
        <w:t xml:space="preserve"> </w:t>
      </w:r>
      <w:r w:rsidRPr="003B329E">
        <w:rPr>
          <w:rFonts w:ascii="Times New Roman" w:eastAsia="Times New Roman" w:hAnsi="Times New Roman" w:cs="Times New Roman"/>
          <w:bCs/>
          <w:iCs/>
          <w:color w:val="000000" w:themeColor="text1"/>
          <w:sz w:val="24"/>
          <w:szCs w:val="24"/>
        </w:rPr>
        <w:t>Direcției generale de audit I</w:t>
      </w:r>
      <w:r w:rsidR="0043323C">
        <w:rPr>
          <w:rFonts w:ascii="Times New Roman" w:eastAsia="Times New Roman" w:hAnsi="Times New Roman" w:cs="Times New Roman"/>
          <w:bCs/>
          <w:iCs/>
          <w:color w:val="000000" w:themeColor="text1"/>
          <w:sz w:val="24"/>
          <w:szCs w:val="24"/>
        </w:rPr>
        <w:t>:</w:t>
      </w:r>
      <w:r w:rsidRPr="003B329E">
        <w:rPr>
          <w:rFonts w:ascii="Times New Roman" w:eastAsia="Times New Roman" w:hAnsi="Times New Roman" w:cs="Times New Roman"/>
          <w:bCs/>
          <w:iCs/>
          <w:color w:val="000000" w:themeColor="text1"/>
          <w:sz w:val="24"/>
          <w:szCs w:val="24"/>
        </w:rPr>
        <w:t xml:space="preserve"> </w:t>
      </w:r>
      <w:r w:rsidRPr="003B329E">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     </w:t>
      </w:r>
      <w:r w:rsidRPr="003B329E">
        <w:rPr>
          <w:rFonts w:ascii="Times New Roman" w:eastAsia="Times New Roman" w:hAnsi="Times New Roman" w:cs="Times New Roman"/>
          <w:color w:val="000000" w:themeColor="text1"/>
          <w:sz w:val="24"/>
          <w:szCs w:val="24"/>
        </w:rPr>
        <w:t xml:space="preserve">    </w:t>
      </w:r>
      <w:r w:rsidR="0043323C">
        <w:rPr>
          <w:rFonts w:ascii="Times New Roman" w:eastAsia="Times New Roman" w:hAnsi="Times New Roman" w:cs="Times New Roman"/>
          <w:color w:val="000000" w:themeColor="text1"/>
          <w:sz w:val="24"/>
          <w:szCs w:val="24"/>
        </w:rPr>
        <w:t xml:space="preserve">   </w:t>
      </w:r>
      <w:r w:rsidRPr="003B329E">
        <w:rPr>
          <w:rFonts w:ascii="Times New Roman" w:eastAsia="Times New Roman" w:hAnsi="Times New Roman" w:cs="Times New Roman"/>
          <w:color w:val="000000" w:themeColor="text1"/>
          <w:sz w:val="24"/>
          <w:szCs w:val="24"/>
        </w:rPr>
        <w:t xml:space="preserve">  Alina Certan  </w:t>
      </w:r>
    </w:p>
    <w:p w14:paraId="25B77806" w14:textId="1ADA7FFA" w:rsidR="00D73FF7" w:rsidRPr="003B329E" w:rsidRDefault="0043323C" w:rsidP="0043323C">
      <w:pPr>
        <w:tabs>
          <w:tab w:val="left" w:pos="1080"/>
          <w:tab w:val="left" w:pos="8280"/>
        </w:tabs>
        <w:spacing w:after="360" w:line="276" w:lineRule="auto"/>
        <w:rPr>
          <w:rFonts w:ascii="Times New Roman" w:eastAsia="Times New Roman" w:hAnsi="Times New Roman" w:cs="Times New Roman"/>
          <w:bCs/>
          <w:iCs/>
          <w:color w:val="000000" w:themeColor="text1"/>
          <w:sz w:val="24"/>
          <w:szCs w:val="24"/>
        </w:rPr>
      </w:pPr>
      <w:r w:rsidRPr="00D73FF7">
        <w:rPr>
          <w:rFonts w:ascii="Times New Roman" w:eastAsia="Times New Roman" w:hAnsi="Times New Roman" w:cs="Times New Roman"/>
          <w:bCs/>
          <w:iCs/>
          <w:color w:val="000000" w:themeColor="text1"/>
          <w:sz w:val="24"/>
          <w:szCs w:val="24"/>
        </w:rPr>
        <w:t>Bugetul de stat  și APC</w:t>
      </w:r>
      <w:r w:rsidR="00D73FF7" w:rsidRPr="003B329E">
        <w:rPr>
          <w:rFonts w:ascii="Times New Roman" w:eastAsia="Times New Roman" w:hAnsi="Times New Roman" w:cs="Times New Roman"/>
          <w:color w:val="000000" w:themeColor="text1"/>
          <w:sz w:val="24"/>
          <w:szCs w:val="24"/>
        </w:rPr>
        <w:t xml:space="preserve">                                                                        </w:t>
      </w:r>
    </w:p>
    <w:p w14:paraId="0A845301" w14:textId="22317BCE" w:rsidR="00D73FF7" w:rsidRPr="003B329E" w:rsidRDefault="00D73FF7" w:rsidP="0043323C">
      <w:pPr>
        <w:tabs>
          <w:tab w:val="left" w:pos="1080"/>
          <w:tab w:val="left" w:pos="7110"/>
          <w:tab w:val="left" w:pos="7380"/>
        </w:tabs>
        <w:spacing w:after="360" w:line="276" w:lineRule="auto"/>
        <w:jc w:val="both"/>
        <w:rPr>
          <w:rFonts w:ascii="Times New Roman" w:eastAsia="Times New Roman" w:hAnsi="Times New Roman" w:cs="Times New Roman"/>
          <w:bCs/>
          <w:iCs/>
          <w:color w:val="000000" w:themeColor="text1"/>
          <w:sz w:val="24"/>
          <w:szCs w:val="24"/>
        </w:rPr>
      </w:pPr>
      <w:r w:rsidRPr="003B329E">
        <w:rPr>
          <w:rFonts w:ascii="Times New Roman" w:eastAsia="Times New Roman" w:hAnsi="Times New Roman" w:cs="Times New Roman"/>
          <w:bCs/>
          <w:iCs/>
          <w:color w:val="000000" w:themeColor="text1"/>
          <w:sz w:val="24"/>
          <w:szCs w:val="24"/>
        </w:rPr>
        <w:t xml:space="preserve">auditor public principal                                                                           </w:t>
      </w:r>
      <w:r w:rsidR="003425D1">
        <w:rPr>
          <w:rFonts w:ascii="Times New Roman" w:eastAsia="Times New Roman" w:hAnsi="Times New Roman" w:cs="Times New Roman"/>
          <w:bCs/>
          <w:iCs/>
          <w:color w:val="000000" w:themeColor="text1"/>
          <w:sz w:val="24"/>
          <w:szCs w:val="24"/>
        </w:rPr>
        <w:t xml:space="preserve"> </w:t>
      </w:r>
      <w:r w:rsidRPr="003B329E">
        <w:rPr>
          <w:rFonts w:ascii="Times New Roman" w:eastAsia="Times New Roman" w:hAnsi="Times New Roman" w:cs="Times New Roman"/>
          <w:bCs/>
          <w:iCs/>
          <w:color w:val="000000" w:themeColor="text1"/>
          <w:sz w:val="24"/>
          <w:szCs w:val="24"/>
        </w:rPr>
        <w:t xml:space="preserve">                   </w:t>
      </w:r>
      <w:r w:rsidR="0043323C">
        <w:rPr>
          <w:rFonts w:ascii="Times New Roman" w:eastAsia="Times New Roman" w:hAnsi="Times New Roman" w:cs="Times New Roman"/>
          <w:bCs/>
          <w:iCs/>
          <w:color w:val="000000" w:themeColor="text1"/>
          <w:sz w:val="24"/>
          <w:szCs w:val="24"/>
        </w:rPr>
        <w:t xml:space="preserve">   </w:t>
      </w:r>
      <w:r w:rsidRPr="003B329E">
        <w:rPr>
          <w:rFonts w:ascii="Times New Roman" w:eastAsia="Times New Roman" w:hAnsi="Times New Roman" w:cs="Times New Roman"/>
          <w:bCs/>
          <w:iCs/>
          <w:color w:val="000000" w:themeColor="text1"/>
          <w:sz w:val="24"/>
          <w:szCs w:val="24"/>
        </w:rPr>
        <w:t xml:space="preserve">   Tudor Suhan</w:t>
      </w:r>
    </w:p>
    <w:p w14:paraId="1170F228" w14:textId="5573DF2F" w:rsidR="00D73FF7" w:rsidRPr="003B329E" w:rsidRDefault="00D73FF7" w:rsidP="0043323C">
      <w:pPr>
        <w:tabs>
          <w:tab w:val="left" w:pos="1080"/>
          <w:tab w:val="left" w:pos="7110"/>
          <w:tab w:val="left" w:pos="7380"/>
        </w:tabs>
        <w:spacing w:after="360" w:line="276" w:lineRule="auto"/>
        <w:jc w:val="both"/>
        <w:rPr>
          <w:rFonts w:ascii="Times New Roman" w:eastAsia="Times New Roman" w:hAnsi="Times New Roman" w:cs="Times New Roman"/>
          <w:bCs/>
          <w:iCs/>
          <w:color w:val="000000" w:themeColor="text1"/>
          <w:sz w:val="24"/>
          <w:szCs w:val="24"/>
        </w:rPr>
      </w:pPr>
      <w:r w:rsidRPr="003B329E">
        <w:rPr>
          <w:rFonts w:ascii="Times New Roman" w:eastAsia="Times New Roman" w:hAnsi="Times New Roman" w:cs="Times New Roman"/>
          <w:bCs/>
          <w:iCs/>
          <w:color w:val="000000" w:themeColor="text1"/>
          <w:sz w:val="24"/>
          <w:szCs w:val="24"/>
        </w:rPr>
        <w:t xml:space="preserve">auditoare publică principală                                                  </w:t>
      </w:r>
      <w:r w:rsidR="003425D1">
        <w:rPr>
          <w:rFonts w:ascii="Times New Roman" w:eastAsia="Times New Roman" w:hAnsi="Times New Roman" w:cs="Times New Roman"/>
          <w:bCs/>
          <w:iCs/>
          <w:color w:val="000000" w:themeColor="text1"/>
          <w:sz w:val="24"/>
          <w:szCs w:val="24"/>
        </w:rPr>
        <w:t xml:space="preserve">   </w:t>
      </w:r>
      <w:r w:rsidRPr="003B329E">
        <w:rPr>
          <w:rFonts w:ascii="Times New Roman" w:eastAsia="Times New Roman" w:hAnsi="Times New Roman" w:cs="Times New Roman"/>
          <w:bCs/>
          <w:iCs/>
          <w:color w:val="000000" w:themeColor="text1"/>
          <w:sz w:val="24"/>
          <w:szCs w:val="24"/>
        </w:rPr>
        <w:t xml:space="preserve">                             </w:t>
      </w:r>
      <w:r w:rsidR="0043323C">
        <w:rPr>
          <w:rFonts w:ascii="Times New Roman" w:eastAsia="Times New Roman" w:hAnsi="Times New Roman" w:cs="Times New Roman"/>
          <w:bCs/>
          <w:iCs/>
          <w:color w:val="000000" w:themeColor="text1"/>
          <w:sz w:val="24"/>
          <w:szCs w:val="24"/>
        </w:rPr>
        <w:t xml:space="preserve">  </w:t>
      </w:r>
      <w:r w:rsidRPr="003B329E">
        <w:rPr>
          <w:rFonts w:ascii="Times New Roman" w:eastAsia="Times New Roman" w:hAnsi="Times New Roman" w:cs="Times New Roman"/>
          <w:bCs/>
          <w:iCs/>
          <w:color w:val="000000" w:themeColor="text1"/>
          <w:sz w:val="24"/>
          <w:szCs w:val="24"/>
        </w:rPr>
        <w:t xml:space="preserve">        Natalia Cabac</w:t>
      </w:r>
    </w:p>
    <w:p w14:paraId="3506A320" w14:textId="2F060413" w:rsidR="00D73FF7" w:rsidRPr="003B329E" w:rsidRDefault="00D73FF7" w:rsidP="0043323C">
      <w:pPr>
        <w:tabs>
          <w:tab w:val="left" w:pos="1080"/>
          <w:tab w:val="left" w:pos="7560"/>
          <w:tab w:val="left" w:pos="7740"/>
        </w:tabs>
        <w:spacing w:after="360" w:line="276" w:lineRule="auto"/>
        <w:rPr>
          <w:rFonts w:ascii="Times New Roman" w:eastAsia="Times New Roman" w:hAnsi="Times New Roman" w:cs="Times New Roman"/>
          <w:color w:val="000000" w:themeColor="text1"/>
          <w:sz w:val="24"/>
          <w:szCs w:val="24"/>
        </w:rPr>
      </w:pPr>
      <w:r w:rsidRPr="003B329E">
        <w:rPr>
          <w:rFonts w:ascii="Times New Roman" w:eastAsia="Times New Roman" w:hAnsi="Times New Roman" w:cs="Times New Roman"/>
          <w:color w:val="000000" w:themeColor="text1"/>
          <w:sz w:val="24"/>
          <w:szCs w:val="24"/>
        </w:rPr>
        <w:t>auditoare publică principală</w:t>
      </w:r>
      <w:r w:rsidR="0043323C">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 </w:t>
      </w:r>
      <w:r w:rsidR="003425D1">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        Tatiana Ailoi</w:t>
      </w:r>
    </w:p>
    <w:p w14:paraId="5AACDE1C" w14:textId="5541224F" w:rsidR="00D73FF7" w:rsidRDefault="00D73FF7" w:rsidP="0043323C">
      <w:pPr>
        <w:tabs>
          <w:tab w:val="left" w:pos="1080"/>
          <w:tab w:val="left" w:pos="7560"/>
          <w:tab w:val="left" w:pos="7740"/>
        </w:tabs>
        <w:spacing w:after="360" w:line="276" w:lineRule="auto"/>
        <w:rPr>
          <w:rFonts w:ascii="Times New Roman" w:eastAsia="Times New Roman" w:hAnsi="Times New Roman" w:cs="Times New Roman"/>
          <w:color w:val="000000" w:themeColor="text1"/>
          <w:sz w:val="24"/>
          <w:szCs w:val="24"/>
        </w:rPr>
      </w:pPr>
      <w:r w:rsidRPr="003B329E">
        <w:rPr>
          <w:rFonts w:ascii="Times New Roman" w:eastAsia="Times New Roman" w:hAnsi="Times New Roman" w:cs="Times New Roman"/>
          <w:color w:val="000000" w:themeColor="text1"/>
          <w:sz w:val="24"/>
          <w:szCs w:val="24"/>
        </w:rPr>
        <w:t xml:space="preserve">auditoare publică superioară                                                                           </w:t>
      </w:r>
      <w:r w:rsidR="0043323C">
        <w:rPr>
          <w:rFonts w:ascii="Times New Roman" w:eastAsia="Times New Roman" w:hAnsi="Times New Roman" w:cs="Times New Roman"/>
          <w:color w:val="000000" w:themeColor="text1"/>
          <w:sz w:val="24"/>
          <w:szCs w:val="24"/>
        </w:rPr>
        <w:t xml:space="preserve">  </w:t>
      </w:r>
      <w:r w:rsidRPr="003B329E">
        <w:rPr>
          <w:rFonts w:ascii="Times New Roman" w:eastAsia="Times New Roman" w:hAnsi="Times New Roman" w:cs="Times New Roman"/>
          <w:color w:val="000000" w:themeColor="text1"/>
          <w:sz w:val="24"/>
          <w:szCs w:val="24"/>
        </w:rPr>
        <w:t xml:space="preserve">         Diana Croitoru</w:t>
      </w:r>
    </w:p>
    <w:p w14:paraId="34D1D00F" w14:textId="63BC3EF1" w:rsidR="00D73FF7" w:rsidRPr="003B329E" w:rsidRDefault="00D73FF7" w:rsidP="0043323C">
      <w:pPr>
        <w:tabs>
          <w:tab w:val="left" w:pos="1080"/>
          <w:tab w:val="left" w:pos="7560"/>
          <w:tab w:val="left" w:pos="7740"/>
        </w:tabs>
        <w:spacing w:after="360" w:line="276" w:lineRule="auto"/>
        <w:rPr>
          <w:rFonts w:ascii="Times New Roman" w:eastAsia="Times New Roman" w:hAnsi="Times New Roman" w:cs="Times New Roman"/>
          <w:color w:val="000000" w:themeColor="text1"/>
          <w:sz w:val="24"/>
          <w:szCs w:val="24"/>
        </w:rPr>
      </w:pPr>
      <w:r w:rsidRPr="003B329E">
        <w:rPr>
          <w:rFonts w:ascii="Times New Roman" w:eastAsia="Times New Roman" w:hAnsi="Times New Roman" w:cs="Times New Roman"/>
          <w:color w:val="000000" w:themeColor="text1"/>
          <w:sz w:val="24"/>
          <w:szCs w:val="24"/>
        </w:rPr>
        <w:t xml:space="preserve">auditoare publică </w:t>
      </w:r>
      <w:r>
        <w:rPr>
          <w:rFonts w:ascii="Times New Roman" w:eastAsia="Times New Roman" w:hAnsi="Times New Roman" w:cs="Times New Roman"/>
          <w:color w:val="000000" w:themeColor="text1"/>
          <w:sz w:val="24"/>
          <w:szCs w:val="24"/>
        </w:rPr>
        <w:t>superioară</w:t>
      </w:r>
      <w:r w:rsidRPr="003B329E">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 xml:space="preserve">     Oxana Popescu</w:t>
      </w:r>
    </w:p>
    <w:p w14:paraId="1CBC7F7D" w14:textId="77777777" w:rsidR="003F1373" w:rsidRDefault="003F1373" w:rsidP="000D4888">
      <w:pPr>
        <w:spacing w:after="120" w:line="276" w:lineRule="auto"/>
        <w:rPr>
          <w:rFonts w:ascii="Times New Roman" w:eastAsia="Times New Roman" w:hAnsi="Times New Roman" w:cs="Times New Roman"/>
          <w:b/>
          <w:bCs/>
          <w:iCs/>
          <w:color w:val="000000" w:themeColor="text1"/>
          <w:sz w:val="24"/>
          <w:szCs w:val="24"/>
        </w:rPr>
      </w:pPr>
    </w:p>
    <w:p w14:paraId="09FCF2DC" w14:textId="03A99B6E" w:rsidR="00D73FF7" w:rsidRDefault="001C1193" w:rsidP="000D4888">
      <w:pPr>
        <w:spacing w:after="120" w:line="276" w:lineRule="auto"/>
        <w:rPr>
          <w:rFonts w:ascii="Times New Roman" w:eastAsia="Times New Roman" w:hAnsi="Times New Roman" w:cs="Times New Roman"/>
          <w:b/>
          <w:bCs/>
          <w:iCs/>
          <w:color w:val="000000" w:themeColor="text1"/>
          <w:sz w:val="24"/>
          <w:szCs w:val="24"/>
        </w:rPr>
      </w:pPr>
      <w:r>
        <w:rPr>
          <w:rFonts w:ascii="Times New Roman" w:eastAsia="Times New Roman" w:hAnsi="Times New Roman" w:cs="Times New Roman"/>
          <w:b/>
          <w:bCs/>
          <w:iCs/>
          <w:color w:val="000000" w:themeColor="text1"/>
          <w:sz w:val="24"/>
          <w:szCs w:val="24"/>
        </w:rPr>
        <w:t>Partenerele misiunii</w:t>
      </w:r>
      <w:r w:rsidR="0043323C">
        <w:rPr>
          <w:rFonts w:ascii="Times New Roman" w:eastAsia="Times New Roman" w:hAnsi="Times New Roman" w:cs="Times New Roman"/>
          <w:b/>
          <w:bCs/>
          <w:iCs/>
          <w:color w:val="000000" w:themeColor="text1"/>
          <w:sz w:val="24"/>
          <w:szCs w:val="24"/>
        </w:rPr>
        <w:t>:</w:t>
      </w:r>
    </w:p>
    <w:p w14:paraId="70BA08F7" w14:textId="1B3DF9B6" w:rsidR="0043323C" w:rsidRPr="001C1193" w:rsidRDefault="0043323C" w:rsidP="0043323C">
      <w:pPr>
        <w:tabs>
          <w:tab w:val="left" w:pos="1080"/>
          <w:tab w:val="left" w:pos="4111"/>
        </w:tabs>
        <w:spacing w:after="360" w:line="276" w:lineRule="auto"/>
        <w:jc w:val="both"/>
        <w:rPr>
          <w:rFonts w:ascii="Times New Roman" w:eastAsia="Times New Roman" w:hAnsi="Times New Roman" w:cs="Times New Roman"/>
          <w:bCs/>
          <w:i/>
          <w:iCs/>
          <w:color w:val="000000" w:themeColor="text1"/>
          <w:sz w:val="24"/>
          <w:szCs w:val="24"/>
        </w:rPr>
      </w:pPr>
      <w:r w:rsidRPr="001C1193">
        <w:rPr>
          <w:rFonts w:ascii="Times New Roman" w:eastAsia="Times New Roman" w:hAnsi="Times New Roman" w:cs="Times New Roman"/>
          <w:bCs/>
          <w:i/>
          <w:iCs/>
          <w:color w:val="000000" w:themeColor="text1"/>
          <w:sz w:val="24"/>
          <w:szCs w:val="24"/>
        </w:rPr>
        <w:t xml:space="preserve">Șefa Direcției generale de audit I: Bugetul de stat și APC     </w:t>
      </w:r>
      <w:r w:rsidR="003425D1">
        <w:rPr>
          <w:rFonts w:ascii="Times New Roman" w:eastAsia="Times New Roman" w:hAnsi="Times New Roman" w:cs="Times New Roman"/>
          <w:bCs/>
          <w:i/>
          <w:iCs/>
          <w:color w:val="000000" w:themeColor="text1"/>
          <w:sz w:val="24"/>
          <w:szCs w:val="24"/>
        </w:rPr>
        <w:t xml:space="preserve"> </w:t>
      </w:r>
      <w:r w:rsidRPr="001C1193">
        <w:rPr>
          <w:rFonts w:ascii="Times New Roman" w:eastAsia="Times New Roman" w:hAnsi="Times New Roman" w:cs="Times New Roman"/>
          <w:bCs/>
          <w:i/>
          <w:iCs/>
          <w:color w:val="000000" w:themeColor="text1"/>
          <w:sz w:val="24"/>
          <w:szCs w:val="24"/>
        </w:rPr>
        <w:t xml:space="preserve">                   </w:t>
      </w:r>
      <w:r w:rsidR="003F1373">
        <w:rPr>
          <w:rFonts w:ascii="Times New Roman" w:eastAsia="Times New Roman" w:hAnsi="Times New Roman" w:cs="Times New Roman"/>
          <w:bCs/>
          <w:i/>
          <w:iCs/>
          <w:color w:val="000000" w:themeColor="text1"/>
          <w:sz w:val="24"/>
          <w:szCs w:val="24"/>
        </w:rPr>
        <w:t xml:space="preserve"> </w:t>
      </w:r>
      <w:r w:rsidRPr="001C1193">
        <w:rPr>
          <w:rFonts w:ascii="Times New Roman" w:eastAsia="Times New Roman" w:hAnsi="Times New Roman" w:cs="Times New Roman"/>
          <w:bCs/>
          <w:i/>
          <w:iCs/>
          <w:color w:val="000000" w:themeColor="text1"/>
          <w:sz w:val="24"/>
          <w:szCs w:val="24"/>
        </w:rPr>
        <w:t xml:space="preserve">                  Natalia Trofim</w:t>
      </w:r>
    </w:p>
    <w:p w14:paraId="12BDC38E" w14:textId="1FE12B7F" w:rsidR="00D357D7" w:rsidRDefault="00D73FF7" w:rsidP="003425D1">
      <w:pPr>
        <w:tabs>
          <w:tab w:val="left" w:pos="1080"/>
          <w:tab w:val="left" w:pos="4111"/>
        </w:tabs>
        <w:spacing w:after="0" w:line="276" w:lineRule="auto"/>
        <w:jc w:val="both"/>
        <w:rPr>
          <w:rFonts w:ascii="Times New Roman" w:eastAsia="Times New Roman" w:hAnsi="Times New Roman" w:cs="Times New Roman"/>
          <w:i/>
          <w:color w:val="000000" w:themeColor="text1"/>
          <w:sz w:val="24"/>
          <w:szCs w:val="24"/>
        </w:rPr>
      </w:pPr>
      <w:r w:rsidRPr="001C1193">
        <w:rPr>
          <w:rFonts w:ascii="Times New Roman" w:eastAsia="Times New Roman" w:hAnsi="Times New Roman" w:cs="Times New Roman"/>
          <w:bCs/>
          <w:i/>
          <w:iCs/>
          <w:color w:val="000000" w:themeColor="text1"/>
          <w:sz w:val="24"/>
          <w:szCs w:val="24"/>
        </w:rPr>
        <w:t>Șefă adjunctă a Direcției generale de audit I:</w:t>
      </w:r>
      <w:r w:rsidRPr="001C1193">
        <w:rPr>
          <w:rFonts w:ascii="Times New Roman" w:eastAsia="Times New Roman" w:hAnsi="Times New Roman" w:cs="Times New Roman"/>
          <w:bCs/>
          <w:i/>
          <w:iCs/>
          <w:color w:val="000000" w:themeColor="text1"/>
          <w:sz w:val="24"/>
          <w:szCs w:val="24"/>
        </w:rPr>
        <w:tab/>
        <w:t xml:space="preserve">  </w:t>
      </w:r>
      <w:r w:rsidR="0043323C" w:rsidRPr="001C1193">
        <w:rPr>
          <w:rFonts w:ascii="Times New Roman" w:eastAsia="Times New Roman" w:hAnsi="Times New Roman" w:cs="Times New Roman"/>
          <w:bCs/>
          <w:i/>
          <w:iCs/>
          <w:color w:val="000000" w:themeColor="text1"/>
          <w:sz w:val="24"/>
          <w:szCs w:val="24"/>
        </w:rPr>
        <w:t xml:space="preserve"> </w:t>
      </w:r>
      <w:r w:rsidRPr="001C1193">
        <w:rPr>
          <w:rFonts w:ascii="Times New Roman" w:eastAsia="Times New Roman" w:hAnsi="Times New Roman" w:cs="Times New Roman"/>
          <w:bCs/>
          <w:i/>
          <w:iCs/>
          <w:color w:val="000000" w:themeColor="text1"/>
          <w:sz w:val="24"/>
          <w:szCs w:val="24"/>
        </w:rPr>
        <w:t xml:space="preserve">      </w:t>
      </w:r>
      <w:r w:rsidR="003425D1">
        <w:rPr>
          <w:rFonts w:ascii="Times New Roman" w:eastAsia="Times New Roman" w:hAnsi="Times New Roman" w:cs="Times New Roman"/>
          <w:bCs/>
          <w:i/>
          <w:iCs/>
          <w:color w:val="000000" w:themeColor="text1"/>
          <w:sz w:val="24"/>
          <w:szCs w:val="24"/>
        </w:rPr>
        <w:t xml:space="preserve">                                    </w:t>
      </w:r>
      <w:r w:rsidRPr="001C1193">
        <w:rPr>
          <w:rFonts w:ascii="Times New Roman" w:eastAsia="Times New Roman" w:hAnsi="Times New Roman" w:cs="Times New Roman"/>
          <w:bCs/>
          <w:i/>
          <w:iCs/>
          <w:color w:val="000000" w:themeColor="text1"/>
          <w:sz w:val="24"/>
          <w:szCs w:val="24"/>
        </w:rPr>
        <w:t xml:space="preserve">   </w:t>
      </w:r>
      <w:r w:rsidRPr="001C1193">
        <w:rPr>
          <w:rFonts w:ascii="Times New Roman" w:eastAsia="Times New Roman" w:hAnsi="Times New Roman" w:cs="Times New Roman"/>
          <w:i/>
          <w:color w:val="000000" w:themeColor="text1"/>
          <w:sz w:val="24"/>
          <w:szCs w:val="24"/>
        </w:rPr>
        <w:t>Angela Frunze</w:t>
      </w:r>
    </w:p>
    <w:p w14:paraId="2135E207" w14:textId="3630C0C7" w:rsidR="003425D1" w:rsidRPr="001C1193" w:rsidRDefault="003425D1" w:rsidP="0043323C">
      <w:pPr>
        <w:tabs>
          <w:tab w:val="left" w:pos="1080"/>
          <w:tab w:val="left" w:pos="4111"/>
        </w:tabs>
        <w:spacing w:after="360" w:line="276" w:lineRule="auto"/>
        <w:jc w:val="both"/>
        <w:rPr>
          <w:rFonts w:ascii="Times New Roman" w:eastAsia="Times New Roman" w:hAnsi="Times New Roman" w:cs="Times New Roman"/>
          <w:bCs/>
          <w:i/>
          <w:iCs/>
          <w:color w:val="000000" w:themeColor="text1"/>
          <w:sz w:val="24"/>
          <w:szCs w:val="24"/>
        </w:rPr>
        <w:sectPr w:rsidR="003425D1" w:rsidRPr="001C1193" w:rsidSect="00231A57">
          <w:footerReference w:type="default" r:id="rId18"/>
          <w:pgSz w:w="11906" w:h="16838" w:code="9"/>
          <w:pgMar w:top="851" w:right="851" w:bottom="993" w:left="1701" w:header="720" w:footer="720" w:gutter="0"/>
          <w:pgNumType w:start="1"/>
          <w:cols w:space="720"/>
          <w:titlePg/>
          <w:docGrid w:linePitch="360"/>
        </w:sectPr>
      </w:pPr>
      <w:r w:rsidRPr="001C1193">
        <w:rPr>
          <w:rFonts w:ascii="Times New Roman" w:eastAsia="Times New Roman" w:hAnsi="Times New Roman" w:cs="Times New Roman"/>
          <w:bCs/>
          <w:i/>
          <w:iCs/>
          <w:color w:val="000000" w:themeColor="text1"/>
          <w:sz w:val="24"/>
          <w:szCs w:val="24"/>
        </w:rPr>
        <w:t>Bugetul de stat și APC</w:t>
      </w:r>
    </w:p>
    <w:p w14:paraId="0C5F0FBE" w14:textId="77777777" w:rsidR="00BE6A29" w:rsidRPr="00E52AC1" w:rsidRDefault="00BE6A29" w:rsidP="00BE6A29">
      <w:pPr>
        <w:pStyle w:val="1"/>
        <w:tabs>
          <w:tab w:val="left" w:pos="3600"/>
          <w:tab w:val="left" w:pos="3780"/>
        </w:tabs>
        <w:spacing w:before="0" w:after="120" w:line="276" w:lineRule="auto"/>
        <w:ind w:left="284"/>
        <w:rPr>
          <w:rFonts w:ascii="Times New Roman" w:hAnsi="Times New Roman" w:cs="Times New Roman"/>
          <w:b/>
          <w:color w:val="1F3864" w:themeColor="accent5" w:themeShade="80"/>
          <w:sz w:val="24"/>
          <w:szCs w:val="24"/>
        </w:rPr>
      </w:pPr>
      <w:bookmarkStart w:id="44" w:name="_Toc156400800"/>
      <w:bookmarkStart w:id="45" w:name="_Toc158015930"/>
      <w:bookmarkStart w:id="46" w:name="_Toc91581317"/>
      <w:bookmarkStart w:id="47" w:name="_Toc123116722"/>
      <w:r w:rsidRPr="004B3A94">
        <w:rPr>
          <w:rFonts w:ascii="Times New Roman" w:hAnsi="Times New Roman" w:cs="Times New Roman"/>
          <w:b/>
          <w:color w:val="2F5496" w:themeColor="accent5" w:themeShade="BF"/>
          <w:sz w:val="28"/>
          <w:szCs w:val="28"/>
        </w:rPr>
        <w:t>ANEXE</w:t>
      </w:r>
      <w:bookmarkEnd w:id="44"/>
      <w:bookmarkEnd w:id="45"/>
    </w:p>
    <w:p w14:paraId="35EBB049" w14:textId="719241E7" w:rsidR="00BE6A29" w:rsidRPr="00000D4A" w:rsidRDefault="00BE6A29" w:rsidP="00BE6A29">
      <w:pPr>
        <w:spacing w:after="0" w:line="276" w:lineRule="auto"/>
        <w:jc w:val="both"/>
        <w:rPr>
          <w:rFonts w:ascii="Times New Roman" w:hAnsi="Times New Roman" w:cs="Times New Roman"/>
          <w:b/>
          <w:color w:val="0070C0"/>
          <w:sz w:val="24"/>
          <w:szCs w:val="24"/>
        </w:rPr>
      </w:pPr>
      <w:r w:rsidRPr="00000D4A">
        <w:rPr>
          <w:rFonts w:ascii="Times New Roman" w:hAnsi="Times New Roman" w:cs="Times New Roman"/>
          <w:b/>
          <w:color w:val="0070C0"/>
          <w:sz w:val="24"/>
          <w:szCs w:val="24"/>
        </w:rPr>
        <w:t>Anexa nr.1</w:t>
      </w:r>
      <w:bookmarkEnd w:id="46"/>
      <w:r>
        <w:rPr>
          <w:rFonts w:ascii="Times New Roman" w:hAnsi="Times New Roman" w:cs="Times New Roman"/>
          <w:b/>
          <w:color w:val="0070C0"/>
          <w:sz w:val="24"/>
          <w:szCs w:val="24"/>
        </w:rPr>
        <w:t>.</w:t>
      </w:r>
      <w:r w:rsidRPr="00000D4A">
        <w:rPr>
          <w:rFonts w:ascii="Times New Roman" w:hAnsi="Times New Roman" w:cs="Times New Roman"/>
          <w:b/>
          <w:color w:val="0070C0"/>
          <w:sz w:val="24"/>
          <w:szCs w:val="24"/>
        </w:rPr>
        <w:t xml:space="preserve"> Informații aferente </w:t>
      </w:r>
      <w:bookmarkEnd w:id="47"/>
      <w:r w:rsidRPr="00000D4A">
        <w:rPr>
          <w:rFonts w:ascii="Times New Roman" w:hAnsi="Times New Roman" w:cs="Times New Roman"/>
          <w:b/>
          <w:color w:val="0070C0"/>
          <w:sz w:val="24"/>
          <w:szCs w:val="24"/>
        </w:rPr>
        <w:t>responsabilitățil</w:t>
      </w:r>
      <w:r>
        <w:rPr>
          <w:rFonts w:ascii="Times New Roman" w:hAnsi="Times New Roman" w:cs="Times New Roman"/>
          <w:b/>
          <w:color w:val="0070C0"/>
          <w:sz w:val="24"/>
          <w:szCs w:val="24"/>
        </w:rPr>
        <w:t>or</w:t>
      </w:r>
      <w:r w:rsidRPr="00000D4A">
        <w:rPr>
          <w:rFonts w:ascii="Times New Roman" w:hAnsi="Times New Roman" w:cs="Times New Roman"/>
          <w:b/>
          <w:color w:val="0070C0"/>
          <w:sz w:val="24"/>
          <w:szCs w:val="24"/>
        </w:rPr>
        <w:t xml:space="preserve"> CS și instituțiilor monitorizate</w:t>
      </w:r>
      <w:r>
        <w:rPr>
          <w:rFonts w:ascii="Times New Roman" w:hAnsi="Times New Roman" w:cs="Times New Roman"/>
          <w:b/>
          <w:color w:val="0070C0"/>
          <w:sz w:val="24"/>
          <w:szCs w:val="24"/>
        </w:rPr>
        <w:t>,</w:t>
      </w:r>
      <w:r w:rsidRPr="00000D4A">
        <w:rPr>
          <w:rFonts w:ascii="Times New Roman" w:hAnsi="Times New Roman" w:cs="Times New Roman"/>
          <w:b/>
          <w:color w:val="0070C0"/>
          <w:sz w:val="24"/>
          <w:szCs w:val="24"/>
        </w:rPr>
        <w:t xml:space="preserve"> precum și efectivul</w:t>
      </w:r>
      <w:r>
        <w:rPr>
          <w:rFonts w:ascii="Times New Roman" w:hAnsi="Times New Roman" w:cs="Times New Roman"/>
          <w:b/>
          <w:color w:val="0070C0"/>
          <w:sz w:val="24"/>
          <w:szCs w:val="24"/>
        </w:rPr>
        <w:t>ui</w:t>
      </w:r>
      <w:r w:rsidRPr="00000D4A">
        <w:rPr>
          <w:rFonts w:ascii="Times New Roman" w:hAnsi="Times New Roman" w:cs="Times New Roman"/>
          <w:b/>
          <w:color w:val="0070C0"/>
          <w:sz w:val="24"/>
          <w:szCs w:val="24"/>
        </w:rPr>
        <w:t>-limită de personal la situația din 31.12.2022</w:t>
      </w:r>
    </w:p>
    <w:p w14:paraId="2DD6A634" w14:textId="77777777" w:rsidR="00BE6A29" w:rsidRPr="00000D4A" w:rsidRDefault="00BE6A29" w:rsidP="00BE6A29">
      <w:pPr>
        <w:spacing w:after="0" w:line="276" w:lineRule="auto"/>
        <w:jc w:val="both"/>
        <w:rPr>
          <w:rFonts w:ascii="Times New Roman" w:eastAsia="Times New Roman" w:hAnsi="Times New Roman" w:cs="Times New Roman"/>
          <w:b/>
          <w:color w:val="0070C0"/>
          <w:sz w:val="16"/>
          <w:szCs w:val="16"/>
          <w:lang w:eastAsia="ro-MD"/>
        </w:rPr>
      </w:pPr>
    </w:p>
    <w:tbl>
      <w:tblPr>
        <w:tblStyle w:val="22"/>
        <w:tblW w:w="10916"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221"/>
        <w:gridCol w:w="1418"/>
      </w:tblGrid>
      <w:tr w:rsidR="00BE6A29" w:rsidRPr="00180345" w14:paraId="141B298D" w14:textId="77777777" w:rsidTr="008E55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bottom w:val="none" w:sz="0" w:space="0" w:color="auto"/>
            </w:tcBorders>
          </w:tcPr>
          <w:p w14:paraId="1EB2EFE2" w14:textId="77777777" w:rsidR="00BE6A29" w:rsidRPr="00180345" w:rsidRDefault="00BE6A29" w:rsidP="00BE6A29">
            <w:pPr>
              <w:tabs>
                <w:tab w:val="left" w:pos="5869"/>
              </w:tabs>
              <w:spacing w:line="276" w:lineRule="auto"/>
              <w:jc w:val="center"/>
              <w:rPr>
                <w:rFonts w:ascii="Times New Roman" w:hAnsi="Times New Roman" w:cs="Times New Roman"/>
                <w:sz w:val="18"/>
                <w:szCs w:val="18"/>
              </w:rPr>
            </w:pPr>
            <w:r w:rsidRPr="00180345">
              <w:rPr>
                <w:rFonts w:ascii="Times New Roman" w:hAnsi="Times New Roman" w:cs="Times New Roman"/>
                <w:sz w:val="18"/>
                <w:szCs w:val="18"/>
              </w:rPr>
              <w:t>Entitățile</w:t>
            </w:r>
          </w:p>
        </w:tc>
        <w:tc>
          <w:tcPr>
            <w:tcW w:w="8221" w:type="dxa"/>
            <w:tcBorders>
              <w:bottom w:val="none" w:sz="0" w:space="0" w:color="auto"/>
            </w:tcBorders>
          </w:tcPr>
          <w:p w14:paraId="51A98685" w14:textId="77777777" w:rsidR="00BE6A29" w:rsidRPr="00180345" w:rsidRDefault="00BE6A29" w:rsidP="00BE6A29">
            <w:pPr>
              <w:tabs>
                <w:tab w:val="left" w:pos="5869"/>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Funcțiile și atribuțiile entității</w:t>
            </w:r>
          </w:p>
        </w:tc>
        <w:tc>
          <w:tcPr>
            <w:tcW w:w="1418" w:type="dxa"/>
            <w:tcBorders>
              <w:bottom w:val="none" w:sz="0" w:space="0" w:color="auto"/>
            </w:tcBorders>
          </w:tcPr>
          <w:p w14:paraId="6F9A78DA" w14:textId="77777777" w:rsidR="00BE6A29" w:rsidRPr="00180345" w:rsidRDefault="00BE6A29" w:rsidP="00BE6A29">
            <w:pPr>
              <w:tabs>
                <w:tab w:val="left" w:pos="5869"/>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 xml:space="preserve">Efectivul-limită de personal </w:t>
            </w:r>
          </w:p>
        </w:tc>
      </w:tr>
      <w:tr w:rsidR="00BE6A29" w:rsidRPr="00180345" w14:paraId="085DB08E"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top w:val="none" w:sz="0" w:space="0" w:color="auto"/>
              <w:bottom w:val="none" w:sz="0" w:space="0" w:color="auto"/>
            </w:tcBorders>
          </w:tcPr>
          <w:p w14:paraId="7115BE7E" w14:textId="77777777" w:rsidR="00BE6A29" w:rsidRPr="00180345" w:rsidRDefault="00BE6A29" w:rsidP="00BE6A29">
            <w:pPr>
              <w:tabs>
                <w:tab w:val="left" w:pos="5869"/>
              </w:tabs>
              <w:spacing w:line="276" w:lineRule="auto"/>
              <w:jc w:val="center"/>
              <w:rPr>
                <w:rFonts w:ascii="Times New Roman" w:hAnsi="Times New Roman" w:cs="Times New Roman"/>
                <w:sz w:val="18"/>
                <w:szCs w:val="18"/>
              </w:rPr>
            </w:pPr>
            <w:r w:rsidRPr="00180345">
              <w:rPr>
                <w:rFonts w:ascii="Times New Roman" w:hAnsi="Times New Roman" w:cs="Times New Roman"/>
                <w:sz w:val="18"/>
                <w:szCs w:val="18"/>
              </w:rPr>
              <w:t xml:space="preserve">Cancelaria de </w:t>
            </w:r>
            <w:r>
              <w:rPr>
                <w:rFonts w:ascii="Times New Roman" w:hAnsi="Times New Roman" w:cs="Times New Roman"/>
                <w:sz w:val="18"/>
                <w:szCs w:val="18"/>
              </w:rPr>
              <w:t>S</w:t>
            </w:r>
            <w:r w:rsidRPr="00180345">
              <w:rPr>
                <w:rFonts w:ascii="Times New Roman" w:hAnsi="Times New Roman" w:cs="Times New Roman"/>
                <w:sz w:val="18"/>
                <w:szCs w:val="18"/>
              </w:rPr>
              <w:t>tat</w:t>
            </w:r>
          </w:p>
        </w:tc>
        <w:tc>
          <w:tcPr>
            <w:tcW w:w="8221" w:type="dxa"/>
            <w:tcBorders>
              <w:top w:val="none" w:sz="0" w:space="0" w:color="auto"/>
              <w:bottom w:val="none" w:sz="0" w:space="0" w:color="auto"/>
            </w:tcBorders>
          </w:tcPr>
          <w:p w14:paraId="6A39D16C" w14:textId="77777777" w:rsidR="00BE6A29" w:rsidRPr="00180345" w:rsidRDefault="00BE6A29" w:rsidP="00BE6A29">
            <w:pPr>
              <w:tabs>
                <w:tab w:val="left" w:pos="39"/>
                <w:tab w:val="left" w:pos="322"/>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Potrivit HG 657/014, CS asigură realizarea activităților conexe exercitării actului de guvernare prin:</w:t>
            </w:r>
          </w:p>
          <w:p w14:paraId="4723FA92" w14:textId="77777777" w:rsidR="00BE6A29" w:rsidRPr="00180345" w:rsidRDefault="00BE6A29" w:rsidP="00BE6A29">
            <w:pPr>
              <w:pStyle w:val="a7"/>
              <w:numPr>
                <w:ilvl w:val="0"/>
                <w:numId w:val="33"/>
              </w:numPr>
              <w:tabs>
                <w:tab w:val="left" w:pos="39"/>
                <w:tab w:val="left" w:pos="322"/>
              </w:tabs>
              <w:spacing w:line="276" w:lineRule="auto"/>
              <w:ind w:left="39"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organizarea activității Guvernului;</w:t>
            </w:r>
          </w:p>
          <w:p w14:paraId="4A5080D0" w14:textId="77777777" w:rsidR="00BE6A29" w:rsidRPr="00180345" w:rsidRDefault="00BE6A29" w:rsidP="00BE6A29">
            <w:pPr>
              <w:pStyle w:val="a7"/>
              <w:numPr>
                <w:ilvl w:val="0"/>
                <w:numId w:val="33"/>
              </w:numPr>
              <w:tabs>
                <w:tab w:val="left" w:pos="39"/>
                <w:tab w:val="left" w:pos="322"/>
              </w:tabs>
              <w:spacing w:line="276" w:lineRule="auto"/>
              <w:ind w:left="39"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 xml:space="preserve">stabilirea cadrul general pentru definirea priorităților de politici publice; </w:t>
            </w:r>
          </w:p>
          <w:p w14:paraId="0D6A9A3C" w14:textId="77777777" w:rsidR="00BE6A29" w:rsidRPr="00180345" w:rsidRDefault="00BE6A29" w:rsidP="00BE6A29">
            <w:pPr>
              <w:pStyle w:val="a7"/>
              <w:numPr>
                <w:ilvl w:val="0"/>
                <w:numId w:val="33"/>
              </w:numPr>
              <w:tabs>
                <w:tab w:val="left" w:pos="39"/>
                <w:tab w:val="left" w:pos="322"/>
              </w:tabs>
              <w:spacing w:line="276" w:lineRule="auto"/>
              <w:ind w:left="39"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 xml:space="preserve">acordarea suportului metodologic și organizatoric aferent sistemului de planificare, elaborare și implementare a politicilor publice de către autoritățile guvernamentale; </w:t>
            </w:r>
          </w:p>
          <w:p w14:paraId="4DABAE23" w14:textId="77777777" w:rsidR="00BE6A29" w:rsidRPr="00180345" w:rsidRDefault="00BE6A29" w:rsidP="00BE6A29">
            <w:pPr>
              <w:pStyle w:val="a7"/>
              <w:numPr>
                <w:ilvl w:val="0"/>
                <w:numId w:val="33"/>
              </w:numPr>
              <w:tabs>
                <w:tab w:val="left" w:pos="39"/>
                <w:tab w:val="left" w:pos="322"/>
              </w:tabs>
              <w:spacing w:line="276" w:lineRule="auto"/>
              <w:ind w:left="39"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 xml:space="preserve">monitorizarea și evaluarea implementării programului de guvernare; </w:t>
            </w:r>
          </w:p>
          <w:p w14:paraId="4E445359" w14:textId="77777777" w:rsidR="00BE6A29" w:rsidRPr="00180345" w:rsidRDefault="00BE6A29" w:rsidP="00BE6A29">
            <w:pPr>
              <w:pStyle w:val="a7"/>
              <w:numPr>
                <w:ilvl w:val="0"/>
                <w:numId w:val="33"/>
              </w:numPr>
              <w:tabs>
                <w:tab w:val="left" w:pos="39"/>
                <w:tab w:val="left" w:pos="322"/>
              </w:tabs>
              <w:spacing w:line="276" w:lineRule="auto"/>
              <w:ind w:left="39"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elaborarea materialelor analitice și informaționale;</w:t>
            </w:r>
          </w:p>
          <w:p w14:paraId="2E3E66FB" w14:textId="77777777" w:rsidR="00BE6A29" w:rsidRPr="00180345" w:rsidRDefault="00BE6A29" w:rsidP="00BE6A29">
            <w:pPr>
              <w:pStyle w:val="a7"/>
              <w:numPr>
                <w:ilvl w:val="0"/>
                <w:numId w:val="33"/>
              </w:numPr>
              <w:tabs>
                <w:tab w:val="left" w:pos="39"/>
                <w:tab w:val="left" w:pos="322"/>
              </w:tabs>
              <w:spacing w:line="276" w:lineRule="auto"/>
              <w:ind w:left="39"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 xml:space="preserve">asigurarea aprobării de către Guvern a unor acte normative coerente, clare, aplicabile, conforme cu legislația națională și compatibile cu legislația Uniunii Europene, proiectelor de acte ale Guvernului; </w:t>
            </w:r>
          </w:p>
          <w:p w14:paraId="2B01895F" w14:textId="77777777" w:rsidR="00BE6A29" w:rsidRPr="00180345" w:rsidRDefault="00BE6A29" w:rsidP="00BE6A29">
            <w:pPr>
              <w:pStyle w:val="a7"/>
              <w:numPr>
                <w:ilvl w:val="0"/>
                <w:numId w:val="33"/>
              </w:numPr>
              <w:tabs>
                <w:tab w:val="left" w:pos="39"/>
                <w:tab w:val="left" w:pos="322"/>
              </w:tabs>
              <w:spacing w:line="276" w:lineRule="auto"/>
              <w:ind w:left="39"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reprezent</w:t>
            </w:r>
            <w:r>
              <w:rPr>
                <w:rFonts w:ascii="Times New Roman" w:hAnsi="Times New Roman" w:cs="Times New Roman"/>
                <w:sz w:val="18"/>
                <w:szCs w:val="18"/>
              </w:rPr>
              <w:t>area</w:t>
            </w:r>
            <w:r w:rsidRPr="00180345">
              <w:rPr>
                <w:rFonts w:ascii="Times New Roman" w:hAnsi="Times New Roman" w:cs="Times New Roman"/>
                <w:sz w:val="18"/>
                <w:szCs w:val="18"/>
              </w:rPr>
              <w:t xml:space="preserve"> Guvernului și a Prim-ministrului în fața instanțelor de judecată</w:t>
            </w:r>
            <w:r>
              <w:rPr>
                <w:rFonts w:ascii="Times New Roman" w:hAnsi="Times New Roman" w:cs="Times New Roman"/>
                <w:sz w:val="18"/>
                <w:szCs w:val="18"/>
              </w:rPr>
              <w:t>;</w:t>
            </w:r>
            <w:r w:rsidRPr="00180345">
              <w:rPr>
                <w:rFonts w:ascii="Times New Roman" w:hAnsi="Times New Roman" w:cs="Times New Roman"/>
                <w:sz w:val="18"/>
                <w:szCs w:val="18"/>
              </w:rPr>
              <w:t xml:space="preserve"> </w:t>
            </w:r>
          </w:p>
          <w:p w14:paraId="74FFC159" w14:textId="77777777" w:rsidR="00BE6A29" w:rsidRPr="00180345" w:rsidRDefault="00BE6A29" w:rsidP="00BE6A29">
            <w:pPr>
              <w:pStyle w:val="a7"/>
              <w:numPr>
                <w:ilvl w:val="0"/>
                <w:numId w:val="33"/>
              </w:numPr>
              <w:tabs>
                <w:tab w:val="left" w:pos="39"/>
                <w:tab w:val="left" w:pos="322"/>
              </w:tabs>
              <w:spacing w:line="276" w:lineRule="auto"/>
              <w:ind w:left="39"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elabor</w:t>
            </w:r>
            <w:r>
              <w:rPr>
                <w:rFonts w:ascii="Times New Roman" w:hAnsi="Times New Roman" w:cs="Times New Roman"/>
                <w:sz w:val="18"/>
                <w:szCs w:val="18"/>
              </w:rPr>
              <w:t>area</w:t>
            </w:r>
            <w:r w:rsidRPr="00180345">
              <w:rPr>
                <w:rFonts w:ascii="Times New Roman" w:hAnsi="Times New Roman" w:cs="Times New Roman"/>
                <w:sz w:val="18"/>
                <w:szCs w:val="18"/>
              </w:rPr>
              <w:t xml:space="preserve"> politici</w:t>
            </w:r>
            <w:r>
              <w:rPr>
                <w:rFonts w:ascii="Times New Roman" w:hAnsi="Times New Roman" w:cs="Times New Roman"/>
                <w:sz w:val="18"/>
                <w:szCs w:val="18"/>
              </w:rPr>
              <w:t>lor</w:t>
            </w:r>
            <w:r w:rsidRPr="00180345">
              <w:rPr>
                <w:rFonts w:ascii="Times New Roman" w:hAnsi="Times New Roman" w:cs="Times New Roman"/>
                <w:sz w:val="18"/>
                <w:szCs w:val="18"/>
              </w:rPr>
              <w:t xml:space="preserve"> în domeniile sale de competență și asigur</w:t>
            </w:r>
            <w:r>
              <w:rPr>
                <w:rFonts w:ascii="Times New Roman" w:hAnsi="Times New Roman" w:cs="Times New Roman"/>
                <w:sz w:val="18"/>
                <w:szCs w:val="18"/>
              </w:rPr>
              <w:t>area</w:t>
            </w:r>
            <w:r w:rsidRPr="00180345">
              <w:rPr>
                <w:rFonts w:ascii="Times New Roman" w:hAnsi="Times New Roman" w:cs="Times New Roman"/>
                <w:sz w:val="18"/>
                <w:szCs w:val="18"/>
              </w:rPr>
              <w:t xml:space="preserve"> exercit</w:t>
            </w:r>
            <w:r>
              <w:rPr>
                <w:rFonts w:ascii="Times New Roman" w:hAnsi="Times New Roman" w:cs="Times New Roman"/>
                <w:sz w:val="18"/>
                <w:szCs w:val="18"/>
              </w:rPr>
              <w:t>ării</w:t>
            </w:r>
            <w:r w:rsidRPr="00180345">
              <w:rPr>
                <w:rFonts w:ascii="Times New Roman" w:hAnsi="Times New Roman" w:cs="Times New Roman"/>
                <w:sz w:val="18"/>
                <w:szCs w:val="18"/>
              </w:rPr>
              <w:t xml:space="preserve"> de către Guvern a prerogativelor ce țin de relațiile sale cu autoritățile administrației publice locale.</w:t>
            </w:r>
          </w:p>
        </w:tc>
        <w:tc>
          <w:tcPr>
            <w:tcW w:w="1418" w:type="dxa"/>
            <w:tcBorders>
              <w:top w:val="none" w:sz="0" w:space="0" w:color="auto"/>
              <w:bottom w:val="none" w:sz="0" w:space="0" w:color="auto"/>
            </w:tcBorders>
          </w:tcPr>
          <w:p w14:paraId="12A96A3F" w14:textId="77777777" w:rsidR="00BE6A29" w:rsidRPr="00180345" w:rsidRDefault="00BE6A29" w:rsidP="00BE6A29">
            <w:pPr>
              <w:pStyle w:val="a7"/>
              <w:tabs>
                <w:tab w:val="left" w:pos="341"/>
              </w:tabs>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210 unități, inclusiv 100</w:t>
            </w:r>
            <w:r>
              <w:rPr>
                <w:rFonts w:ascii="Times New Roman" w:hAnsi="Times New Roman" w:cs="Times New Roman"/>
                <w:sz w:val="18"/>
                <w:szCs w:val="18"/>
              </w:rPr>
              <w:t xml:space="preserve"> de</w:t>
            </w:r>
            <w:r w:rsidRPr="00180345">
              <w:rPr>
                <w:rFonts w:ascii="Times New Roman" w:hAnsi="Times New Roman" w:cs="Times New Roman"/>
                <w:sz w:val="18"/>
                <w:szCs w:val="18"/>
              </w:rPr>
              <w:t xml:space="preserve"> unități aferente OT</w:t>
            </w:r>
          </w:p>
        </w:tc>
      </w:tr>
      <w:tr w:rsidR="00BE6A29" w:rsidRPr="00180345" w14:paraId="2895DD12" w14:textId="77777777" w:rsidTr="008E551C">
        <w:trPr>
          <w:trHeight w:val="2740"/>
        </w:trPr>
        <w:tc>
          <w:tcPr>
            <w:cnfStyle w:val="001000000000" w:firstRow="0" w:lastRow="0" w:firstColumn="1" w:lastColumn="0" w:oddVBand="0" w:evenVBand="0" w:oddHBand="0" w:evenHBand="0" w:firstRowFirstColumn="0" w:firstRowLastColumn="0" w:lastRowFirstColumn="0" w:lastRowLastColumn="0"/>
            <w:tcW w:w="1277" w:type="dxa"/>
          </w:tcPr>
          <w:p w14:paraId="0D4AFDDF" w14:textId="77777777" w:rsidR="00BE6A29" w:rsidRPr="00180345" w:rsidRDefault="00BE6A29" w:rsidP="00BE6A29">
            <w:pPr>
              <w:tabs>
                <w:tab w:val="left" w:pos="5869"/>
              </w:tabs>
              <w:spacing w:line="276" w:lineRule="auto"/>
              <w:jc w:val="center"/>
              <w:rPr>
                <w:rFonts w:ascii="Times New Roman" w:hAnsi="Times New Roman" w:cs="Times New Roman"/>
                <w:b w:val="0"/>
                <w:bCs w:val="0"/>
                <w:sz w:val="18"/>
                <w:szCs w:val="18"/>
              </w:rPr>
            </w:pPr>
            <w:r w:rsidRPr="00180345">
              <w:rPr>
                <w:rFonts w:ascii="Times New Roman" w:hAnsi="Times New Roman" w:cs="Times New Roman"/>
                <w:sz w:val="18"/>
                <w:szCs w:val="18"/>
              </w:rPr>
              <w:t>I.P. „DGACG”</w:t>
            </w:r>
          </w:p>
          <w:p w14:paraId="10FA1607" w14:textId="77777777" w:rsidR="00BE6A29" w:rsidRPr="00180345" w:rsidRDefault="00BE6A29" w:rsidP="00BE6A29">
            <w:pPr>
              <w:rPr>
                <w:rFonts w:ascii="Times New Roman" w:hAnsi="Times New Roman" w:cs="Times New Roman"/>
                <w:sz w:val="18"/>
                <w:szCs w:val="18"/>
              </w:rPr>
            </w:pPr>
          </w:p>
          <w:p w14:paraId="652BBEFE" w14:textId="77777777" w:rsidR="00BE6A29" w:rsidRPr="00180345" w:rsidRDefault="00BE6A29" w:rsidP="00BE6A29">
            <w:pPr>
              <w:rPr>
                <w:rFonts w:ascii="Times New Roman" w:hAnsi="Times New Roman" w:cs="Times New Roman"/>
                <w:sz w:val="18"/>
                <w:szCs w:val="18"/>
              </w:rPr>
            </w:pPr>
          </w:p>
          <w:p w14:paraId="5A4AF5CE" w14:textId="77777777" w:rsidR="00BE6A29" w:rsidRPr="00180345" w:rsidRDefault="00BE6A29" w:rsidP="00BE6A29">
            <w:pPr>
              <w:rPr>
                <w:rFonts w:ascii="Times New Roman" w:hAnsi="Times New Roman" w:cs="Times New Roman"/>
                <w:b w:val="0"/>
                <w:bCs w:val="0"/>
                <w:sz w:val="18"/>
                <w:szCs w:val="18"/>
              </w:rPr>
            </w:pPr>
          </w:p>
          <w:p w14:paraId="08C4D062" w14:textId="77777777" w:rsidR="00BE6A29" w:rsidRPr="00180345" w:rsidRDefault="00BE6A29" w:rsidP="00BE6A29">
            <w:pPr>
              <w:rPr>
                <w:rFonts w:ascii="Times New Roman" w:hAnsi="Times New Roman" w:cs="Times New Roman"/>
                <w:sz w:val="18"/>
                <w:szCs w:val="18"/>
              </w:rPr>
            </w:pPr>
          </w:p>
          <w:p w14:paraId="017AEC57" w14:textId="77777777" w:rsidR="00BE6A29" w:rsidRPr="00180345" w:rsidRDefault="00BE6A29" w:rsidP="00BE6A29">
            <w:pPr>
              <w:rPr>
                <w:rFonts w:ascii="Times New Roman" w:hAnsi="Times New Roman" w:cs="Times New Roman"/>
                <w:b w:val="0"/>
                <w:bCs w:val="0"/>
                <w:sz w:val="18"/>
                <w:szCs w:val="18"/>
              </w:rPr>
            </w:pPr>
          </w:p>
          <w:p w14:paraId="63C96393" w14:textId="77777777" w:rsidR="00BE6A29" w:rsidRPr="00180345" w:rsidRDefault="00BE6A29" w:rsidP="00BE6A29">
            <w:pPr>
              <w:rPr>
                <w:rFonts w:ascii="Times New Roman" w:hAnsi="Times New Roman" w:cs="Times New Roman"/>
                <w:b w:val="0"/>
                <w:bCs w:val="0"/>
                <w:sz w:val="18"/>
                <w:szCs w:val="18"/>
              </w:rPr>
            </w:pPr>
          </w:p>
          <w:p w14:paraId="3FFDF16B" w14:textId="77777777" w:rsidR="00BE6A29" w:rsidRPr="00180345" w:rsidRDefault="00BE6A29" w:rsidP="00BE6A29">
            <w:pPr>
              <w:jc w:val="center"/>
              <w:rPr>
                <w:rFonts w:ascii="Times New Roman" w:hAnsi="Times New Roman" w:cs="Times New Roman"/>
                <w:sz w:val="18"/>
                <w:szCs w:val="18"/>
              </w:rPr>
            </w:pPr>
          </w:p>
        </w:tc>
        <w:tc>
          <w:tcPr>
            <w:tcW w:w="8221" w:type="dxa"/>
          </w:tcPr>
          <w:p w14:paraId="0C237436" w14:textId="77777777" w:rsidR="00BE6A29" w:rsidRPr="00180345" w:rsidRDefault="00BE6A29" w:rsidP="00BE6A29">
            <w:pPr>
              <w:pStyle w:val="a7"/>
              <w:tabs>
                <w:tab w:val="left" w:pos="39"/>
                <w:tab w:val="left" w:pos="322"/>
              </w:tabs>
              <w:spacing w:line="276" w:lineRule="auto"/>
              <w:ind w:left="39"/>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Potrivit pct.5 din Statutul entității</w:t>
            </w:r>
            <w:r>
              <w:rPr>
                <w:rFonts w:ascii="Times New Roman" w:eastAsia="Times New Roman" w:hAnsi="Times New Roman" w:cs="Times New Roman"/>
                <w:sz w:val="18"/>
                <w:szCs w:val="18"/>
              </w:rPr>
              <w:t>,</w:t>
            </w:r>
            <w:r w:rsidRPr="00180345">
              <w:rPr>
                <w:rFonts w:ascii="Times New Roman" w:eastAsia="Times New Roman" w:hAnsi="Times New Roman" w:cs="Times New Roman"/>
                <w:sz w:val="18"/>
                <w:szCs w:val="18"/>
              </w:rPr>
              <w:t xml:space="preserve"> aprobat prin HG </w:t>
            </w:r>
            <w:r>
              <w:rPr>
                <w:rFonts w:ascii="Times New Roman" w:eastAsia="Times New Roman" w:hAnsi="Times New Roman" w:cs="Times New Roman"/>
                <w:sz w:val="18"/>
                <w:szCs w:val="18"/>
              </w:rPr>
              <w:t xml:space="preserve">nr. </w:t>
            </w:r>
            <w:r w:rsidRPr="00180345">
              <w:rPr>
                <w:rFonts w:ascii="Times New Roman" w:eastAsia="Times New Roman" w:hAnsi="Times New Roman" w:cs="Times New Roman"/>
                <w:sz w:val="18"/>
                <w:szCs w:val="18"/>
              </w:rPr>
              <w:t>950/2018</w:t>
            </w:r>
            <w:r>
              <w:rPr>
                <w:rFonts w:ascii="Times New Roman" w:eastAsia="Times New Roman" w:hAnsi="Times New Roman" w:cs="Times New Roman"/>
                <w:sz w:val="18"/>
                <w:szCs w:val="18"/>
              </w:rPr>
              <w:t>,</w:t>
            </w:r>
            <w:r w:rsidRPr="00180345">
              <w:rPr>
                <w:rFonts w:ascii="Times New Roman" w:eastAsia="Times New Roman" w:hAnsi="Times New Roman" w:cs="Times New Roman"/>
                <w:sz w:val="18"/>
                <w:szCs w:val="18"/>
              </w:rPr>
              <w:t xml:space="preserve"> aceasta realizează următoarele sarcini: </w:t>
            </w:r>
          </w:p>
          <w:p w14:paraId="472DE308" w14:textId="77777777" w:rsidR="00BE6A29" w:rsidRPr="00180345" w:rsidRDefault="00BE6A29" w:rsidP="00BE6A29">
            <w:pPr>
              <w:pStyle w:val="a7"/>
              <w:numPr>
                <w:ilvl w:val="0"/>
                <w:numId w:val="34"/>
              </w:numPr>
              <w:tabs>
                <w:tab w:val="left" w:pos="39"/>
                <w:tab w:val="left" w:pos="322"/>
              </w:tabs>
              <w:spacing w:line="276" w:lineRule="auto"/>
              <w:ind w:left="74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asigură administrarea eficientă a patrimoniului transmis în gestiune;</w:t>
            </w:r>
          </w:p>
          <w:p w14:paraId="466B7236" w14:textId="77777777" w:rsidR="00BE6A29" w:rsidRPr="00180345" w:rsidRDefault="00BE6A29" w:rsidP="00BE6A29">
            <w:pPr>
              <w:pStyle w:val="a7"/>
              <w:numPr>
                <w:ilvl w:val="0"/>
                <w:numId w:val="34"/>
              </w:numPr>
              <w:tabs>
                <w:tab w:val="left" w:pos="39"/>
                <w:tab w:val="left" w:pos="322"/>
              </w:tabs>
              <w:spacing w:line="276" w:lineRule="auto"/>
              <w:ind w:left="39"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asigură menținerea în stare optimă a edificiilor, precum și a terenurilor aferente aflate în gestiune conform normelor sanitare, de securitate și sănătate în muncă;</w:t>
            </w:r>
          </w:p>
          <w:p w14:paraId="23096653" w14:textId="77777777" w:rsidR="00BE6A29" w:rsidRPr="00180345" w:rsidRDefault="00BE6A29" w:rsidP="00BE6A29">
            <w:pPr>
              <w:pStyle w:val="a7"/>
              <w:numPr>
                <w:ilvl w:val="0"/>
                <w:numId w:val="34"/>
              </w:numPr>
              <w:tabs>
                <w:tab w:val="left" w:pos="39"/>
                <w:tab w:val="left" w:pos="322"/>
              </w:tabs>
              <w:spacing w:line="276" w:lineRule="auto"/>
              <w:ind w:left="39"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asigură funcționarea calitativă a sistemelor și rețelelor inginerești;</w:t>
            </w:r>
          </w:p>
          <w:p w14:paraId="3AA7366D" w14:textId="77777777" w:rsidR="00BE6A29" w:rsidRPr="00180345" w:rsidRDefault="00BE6A29" w:rsidP="00BE6A29">
            <w:pPr>
              <w:pStyle w:val="a7"/>
              <w:numPr>
                <w:ilvl w:val="0"/>
                <w:numId w:val="34"/>
              </w:numPr>
              <w:tabs>
                <w:tab w:val="left" w:pos="39"/>
                <w:tab w:val="left" w:pos="322"/>
              </w:tabs>
              <w:spacing w:line="276" w:lineRule="auto"/>
              <w:ind w:left="39"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supraveghează efectuarea lucrărilor de reparație, de punere în funcțiune a sistemelor și utilajelor;</w:t>
            </w:r>
          </w:p>
          <w:p w14:paraId="3BDFB6E2" w14:textId="77777777" w:rsidR="00BE6A29" w:rsidRPr="00180345" w:rsidRDefault="00BE6A29" w:rsidP="00BE6A29">
            <w:pPr>
              <w:pStyle w:val="a7"/>
              <w:numPr>
                <w:ilvl w:val="0"/>
                <w:numId w:val="34"/>
              </w:numPr>
              <w:tabs>
                <w:tab w:val="left" w:pos="39"/>
                <w:tab w:val="left" w:pos="322"/>
              </w:tabs>
              <w:spacing w:line="276" w:lineRule="auto"/>
              <w:ind w:left="39"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efectuează lucrări de reparație a obiectivelor aflate în gestiune și asigură supravegherea tehnică în procesul de reconstrucție și renovare capitală a acestora;</w:t>
            </w:r>
          </w:p>
          <w:p w14:paraId="1077DA4A" w14:textId="77777777" w:rsidR="00BE6A29" w:rsidRPr="00180345" w:rsidRDefault="00BE6A29" w:rsidP="00BE6A29">
            <w:pPr>
              <w:pStyle w:val="a7"/>
              <w:numPr>
                <w:ilvl w:val="0"/>
                <w:numId w:val="34"/>
              </w:numPr>
              <w:tabs>
                <w:tab w:val="left" w:pos="39"/>
                <w:tab w:val="left" w:pos="322"/>
              </w:tabs>
              <w:spacing w:line="276" w:lineRule="auto"/>
              <w:ind w:left="39"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asigură prestarea serviciilor contra plată, în baza actelor normative;</w:t>
            </w:r>
          </w:p>
          <w:p w14:paraId="60FE08B8" w14:textId="77777777" w:rsidR="00BE6A29" w:rsidRPr="00180345" w:rsidRDefault="00BE6A29" w:rsidP="00BE6A29">
            <w:pPr>
              <w:pStyle w:val="a7"/>
              <w:numPr>
                <w:ilvl w:val="0"/>
                <w:numId w:val="34"/>
              </w:numPr>
              <w:tabs>
                <w:tab w:val="left" w:pos="39"/>
                <w:tab w:val="left" w:pos="322"/>
              </w:tabs>
              <w:spacing w:line="276" w:lineRule="auto"/>
              <w:ind w:left="39"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hAnsi="Times New Roman" w:cs="Times New Roman"/>
                <w:sz w:val="18"/>
                <w:szCs w:val="18"/>
              </w:rPr>
              <w:t>realizează alte funcții prevăzute de prezentul Statut sau de actele normative.</w:t>
            </w:r>
          </w:p>
        </w:tc>
        <w:tc>
          <w:tcPr>
            <w:tcW w:w="1418" w:type="dxa"/>
          </w:tcPr>
          <w:p w14:paraId="0CA171C2" w14:textId="77777777" w:rsidR="00BE6A29" w:rsidRPr="00180345" w:rsidRDefault="00BE6A29" w:rsidP="00BE6A29">
            <w:pPr>
              <w:pStyle w:val="a7"/>
              <w:tabs>
                <w:tab w:val="left" w:pos="39"/>
                <w:tab w:val="left" w:pos="322"/>
              </w:tabs>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542 unități de personal</w:t>
            </w:r>
          </w:p>
        </w:tc>
      </w:tr>
      <w:tr w:rsidR="00BE6A29" w:rsidRPr="00180345" w14:paraId="7D1ACE72"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top w:val="none" w:sz="0" w:space="0" w:color="auto"/>
              <w:bottom w:val="none" w:sz="0" w:space="0" w:color="auto"/>
            </w:tcBorders>
          </w:tcPr>
          <w:p w14:paraId="184EBADB" w14:textId="77777777" w:rsidR="00BE6A29" w:rsidRPr="00180345" w:rsidRDefault="00BE6A29" w:rsidP="00BE6A29">
            <w:pPr>
              <w:tabs>
                <w:tab w:val="left" w:pos="5869"/>
              </w:tabs>
              <w:spacing w:line="276" w:lineRule="auto"/>
              <w:jc w:val="center"/>
              <w:rPr>
                <w:rFonts w:ascii="Times New Roman" w:hAnsi="Times New Roman" w:cs="Times New Roman"/>
                <w:sz w:val="18"/>
                <w:szCs w:val="18"/>
              </w:rPr>
            </w:pPr>
            <w:r w:rsidRPr="00180345">
              <w:rPr>
                <w:rFonts w:ascii="Times New Roman" w:hAnsi="Times New Roman" w:cs="Times New Roman"/>
                <w:sz w:val="18"/>
                <w:szCs w:val="18"/>
              </w:rPr>
              <w:t>I.P. „Baza Auto</w:t>
            </w:r>
            <w:r>
              <w:rPr>
                <w:rFonts w:ascii="Times New Roman" w:hAnsi="Times New Roman" w:cs="Times New Roman"/>
                <w:sz w:val="18"/>
                <w:szCs w:val="18"/>
              </w:rPr>
              <w:t xml:space="preserve"> a Cancelariei de Stat</w:t>
            </w:r>
            <w:r w:rsidRPr="00180345">
              <w:rPr>
                <w:rFonts w:ascii="Times New Roman" w:hAnsi="Times New Roman" w:cs="Times New Roman"/>
                <w:sz w:val="18"/>
                <w:szCs w:val="18"/>
              </w:rPr>
              <w:t>”</w:t>
            </w:r>
          </w:p>
        </w:tc>
        <w:tc>
          <w:tcPr>
            <w:tcW w:w="8221" w:type="dxa"/>
            <w:tcBorders>
              <w:top w:val="none" w:sz="0" w:space="0" w:color="auto"/>
              <w:bottom w:val="none" w:sz="0" w:space="0" w:color="auto"/>
            </w:tcBorders>
          </w:tcPr>
          <w:p w14:paraId="1F6329B2" w14:textId="77777777" w:rsidR="00BE6A29" w:rsidRPr="00180345" w:rsidRDefault="00BE6A29" w:rsidP="00BE6A29">
            <w:pPr>
              <w:tabs>
                <w:tab w:val="left" w:pos="39"/>
                <w:tab w:val="left" w:pos="322"/>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În conformitate cu pct.5 din Statutul entității</w:t>
            </w:r>
            <w:r>
              <w:rPr>
                <w:rFonts w:ascii="Times New Roman" w:eastAsia="Times New Roman" w:hAnsi="Times New Roman" w:cs="Times New Roman"/>
                <w:sz w:val="18"/>
                <w:szCs w:val="18"/>
              </w:rPr>
              <w:t>,</w:t>
            </w:r>
            <w:r w:rsidRPr="00180345">
              <w:rPr>
                <w:rFonts w:ascii="Times New Roman" w:eastAsia="Times New Roman" w:hAnsi="Times New Roman" w:cs="Times New Roman"/>
                <w:sz w:val="18"/>
                <w:szCs w:val="18"/>
              </w:rPr>
              <w:t xml:space="preserve"> aprobat prin HG </w:t>
            </w:r>
            <w:r>
              <w:rPr>
                <w:rFonts w:ascii="Times New Roman" w:eastAsia="Times New Roman" w:hAnsi="Times New Roman" w:cs="Times New Roman"/>
                <w:sz w:val="18"/>
                <w:szCs w:val="18"/>
              </w:rPr>
              <w:t>nr.</w:t>
            </w:r>
            <w:r w:rsidRPr="00180345">
              <w:rPr>
                <w:rFonts w:ascii="Times New Roman" w:eastAsia="Times New Roman" w:hAnsi="Times New Roman" w:cs="Times New Roman"/>
                <w:sz w:val="18"/>
                <w:szCs w:val="18"/>
              </w:rPr>
              <w:t xml:space="preserve">916/2018, entitatea realizează următoarele funcții: </w:t>
            </w:r>
          </w:p>
          <w:p w14:paraId="3A4345BD" w14:textId="77777777" w:rsidR="00BE6A29" w:rsidRPr="00180345" w:rsidRDefault="00BE6A29" w:rsidP="00BE6A29">
            <w:pPr>
              <w:pStyle w:val="a7"/>
              <w:numPr>
                <w:ilvl w:val="0"/>
                <w:numId w:val="35"/>
              </w:numPr>
              <w:tabs>
                <w:tab w:val="left" w:pos="39"/>
                <w:tab w:val="left" w:pos="322"/>
              </w:tabs>
              <w:spacing w:line="276" w:lineRule="auto"/>
              <w:ind w:left="74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asigură transport auto de serviciu pentru conducătorii autorităților publice și autorităților</w:t>
            </w:r>
            <w:r>
              <w:rPr>
                <w:rFonts w:ascii="Times New Roman" w:eastAsia="Times New Roman" w:hAnsi="Times New Roman" w:cs="Times New Roman"/>
                <w:sz w:val="18"/>
                <w:szCs w:val="18"/>
              </w:rPr>
              <w:t xml:space="preserve"> administrației </w:t>
            </w:r>
            <w:r w:rsidRPr="00180345">
              <w:rPr>
                <w:rFonts w:ascii="Times New Roman" w:eastAsia="Times New Roman" w:hAnsi="Times New Roman" w:cs="Times New Roman"/>
                <w:sz w:val="18"/>
                <w:szCs w:val="18"/>
              </w:rPr>
              <w:t>publice, conform normelor de deservire stabilite;</w:t>
            </w:r>
          </w:p>
          <w:p w14:paraId="41D746B7" w14:textId="77777777" w:rsidR="00BE6A29" w:rsidRPr="00180345" w:rsidRDefault="00BE6A29" w:rsidP="00BE6A29">
            <w:pPr>
              <w:pStyle w:val="a7"/>
              <w:numPr>
                <w:ilvl w:val="0"/>
                <w:numId w:val="35"/>
              </w:numPr>
              <w:tabs>
                <w:tab w:val="left" w:pos="39"/>
                <w:tab w:val="left" w:pos="322"/>
              </w:tabs>
              <w:spacing w:line="276" w:lineRule="auto"/>
              <w:ind w:left="39" w:hanging="1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p w14:paraId="7AC0B943" w14:textId="77777777" w:rsidR="00BE6A29" w:rsidRPr="00180345" w:rsidRDefault="00BE6A29" w:rsidP="00BE6A29">
            <w:pPr>
              <w:pStyle w:val="a7"/>
              <w:numPr>
                <w:ilvl w:val="0"/>
                <w:numId w:val="35"/>
              </w:numPr>
              <w:tabs>
                <w:tab w:val="left" w:pos="39"/>
                <w:tab w:val="left" w:pos="322"/>
              </w:tabs>
              <w:spacing w:line="276" w:lineRule="auto"/>
              <w:ind w:left="39" w:hanging="1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întreține eficient și menține în stare optimă parcul auto transmis în gestiune;</w:t>
            </w:r>
          </w:p>
          <w:p w14:paraId="4E9036ED" w14:textId="77777777" w:rsidR="00BE6A29" w:rsidRPr="00180345" w:rsidRDefault="00BE6A29" w:rsidP="00BE6A29">
            <w:pPr>
              <w:pStyle w:val="a7"/>
              <w:numPr>
                <w:ilvl w:val="0"/>
                <w:numId w:val="35"/>
              </w:numPr>
              <w:tabs>
                <w:tab w:val="left" w:pos="39"/>
                <w:tab w:val="left" w:pos="322"/>
              </w:tabs>
              <w:spacing w:line="276" w:lineRule="auto"/>
              <w:ind w:left="39" w:hanging="1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efectuează lucrări de reparație și deservire tehnică a autovehiculelor aflate în gestiune;</w:t>
            </w:r>
          </w:p>
          <w:p w14:paraId="0D97F80B" w14:textId="77777777" w:rsidR="00BE6A29" w:rsidRPr="00180345" w:rsidRDefault="00BE6A29" w:rsidP="00BE6A29">
            <w:pPr>
              <w:pStyle w:val="a7"/>
              <w:numPr>
                <w:ilvl w:val="0"/>
                <w:numId w:val="35"/>
              </w:numPr>
              <w:tabs>
                <w:tab w:val="left" w:pos="39"/>
                <w:tab w:val="left" w:pos="322"/>
              </w:tabs>
              <w:spacing w:line="276" w:lineRule="auto"/>
              <w:ind w:left="39" w:hanging="1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prestează servicii de parcare a autovehiculelor aflate în gestiune;</w:t>
            </w:r>
          </w:p>
          <w:p w14:paraId="1A137E96" w14:textId="77777777" w:rsidR="00BE6A29" w:rsidRPr="00180345" w:rsidRDefault="00BE6A29" w:rsidP="00BE6A29">
            <w:pPr>
              <w:pStyle w:val="a7"/>
              <w:numPr>
                <w:ilvl w:val="0"/>
                <w:numId w:val="35"/>
              </w:numPr>
              <w:tabs>
                <w:tab w:val="left" w:pos="39"/>
                <w:tab w:val="left" w:pos="322"/>
              </w:tabs>
              <w:spacing w:line="276" w:lineRule="auto"/>
              <w:ind w:left="39" w:hanging="1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prestează servicii contra plată, în baza actelor normative;</w:t>
            </w:r>
          </w:p>
          <w:p w14:paraId="78EC09FE" w14:textId="77777777" w:rsidR="00BE6A29" w:rsidRPr="00180345" w:rsidRDefault="00BE6A29" w:rsidP="00BE6A29">
            <w:pPr>
              <w:pStyle w:val="a7"/>
              <w:numPr>
                <w:ilvl w:val="0"/>
                <w:numId w:val="35"/>
              </w:numPr>
              <w:tabs>
                <w:tab w:val="left" w:pos="39"/>
                <w:tab w:val="left" w:pos="322"/>
              </w:tabs>
              <w:spacing w:line="276" w:lineRule="auto"/>
              <w:ind w:left="39" w:hanging="1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realizează alte funcții prevăzute de prezentul Statut sau alte acte normative.</w:t>
            </w:r>
          </w:p>
        </w:tc>
        <w:tc>
          <w:tcPr>
            <w:tcW w:w="1418" w:type="dxa"/>
            <w:tcBorders>
              <w:top w:val="none" w:sz="0" w:space="0" w:color="auto"/>
              <w:bottom w:val="none" w:sz="0" w:space="0" w:color="auto"/>
            </w:tcBorders>
          </w:tcPr>
          <w:p w14:paraId="12485CBF" w14:textId="77777777" w:rsidR="00BE6A29" w:rsidRPr="00180345" w:rsidRDefault="00BE6A29" w:rsidP="00BE6A29">
            <w:pPr>
              <w:pStyle w:val="a7"/>
              <w:tabs>
                <w:tab w:val="left" w:pos="39"/>
                <w:tab w:val="left" w:pos="322"/>
              </w:tabs>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155 unități de personal</w:t>
            </w:r>
          </w:p>
        </w:tc>
      </w:tr>
      <w:tr w:rsidR="00BE6A29" w:rsidRPr="00180345" w14:paraId="6C7AFB0E" w14:textId="77777777" w:rsidTr="008E551C">
        <w:tc>
          <w:tcPr>
            <w:cnfStyle w:val="001000000000" w:firstRow="0" w:lastRow="0" w:firstColumn="1" w:lastColumn="0" w:oddVBand="0" w:evenVBand="0" w:oddHBand="0" w:evenHBand="0" w:firstRowFirstColumn="0" w:firstRowLastColumn="0" w:lastRowFirstColumn="0" w:lastRowLastColumn="0"/>
            <w:tcW w:w="1277" w:type="dxa"/>
          </w:tcPr>
          <w:p w14:paraId="086EDB10" w14:textId="77777777" w:rsidR="00BE6A29" w:rsidRPr="00180345" w:rsidRDefault="00BE6A29" w:rsidP="00BE6A29">
            <w:pPr>
              <w:tabs>
                <w:tab w:val="left" w:pos="5869"/>
              </w:tabs>
              <w:spacing w:line="276" w:lineRule="auto"/>
              <w:jc w:val="center"/>
              <w:rPr>
                <w:rFonts w:ascii="Times New Roman" w:hAnsi="Times New Roman" w:cs="Times New Roman"/>
                <w:sz w:val="18"/>
                <w:szCs w:val="18"/>
              </w:rPr>
            </w:pPr>
            <w:r w:rsidRPr="00180345">
              <w:rPr>
                <w:rFonts w:ascii="Times New Roman" w:hAnsi="Times New Roman" w:cs="Times New Roman"/>
                <w:sz w:val="18"/>
                <w:szCs w:val="18"/>
              </w:rPr>
              <w:t>I.P. „Palatul Republicii”</w:t>
            </w:r>
          </w:p>
        </w:tc>
        <w:tc>
          <w:tcPr>
            <w:tcW w:w="8221" w:type="dxa"/>
          </w:tcPr>
          <w:p w14:paraId="1FD69ACE" w14:textId="77777777" w:rsidR="00BE6A29" w:rsidRPr="00180345" w:rsidRDefault="00BE6A29" w:rsidP="00BE6A29">
            <w:pPr>
              <w:tabs>
                <w:tab w:val="left" w:pos="39"/>
              </w:tabs>
              <w:spacing w:line="276" w:lineRule="auto"/>
              <w:ind w:left="3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În conformitate cu pct. 6 din statutul instituției</w:t>
            </w:r>
            <w:r>
              <w:rPr>
                <w:rFonts w:ascii="Times New Roman" w:hAnsi="Times New Roman" w:cs="Times New Roman"/>
                <w:sz w:val="18"/>
                <w:szCs w:val="18"/>
              </w:rPr>
              <w:t>,</w:t>
            </w:r>
            <w:r w:rsidRPr="00180345">
              <w:rPr>
                <w:rFonts w:ascii="Times New Roman" w:hAnsi="Times New Roman" w:cs="Times New Roman"/>
                <w:sz w:val="18"/>
                <w:szCs w:val="18"/>
              </w:rPr>
              <w:t xml:space="preserve"> aprobat prin HG </w:t>
            </w:r>
            <w:r>
              <w:rPr>
                <w:rFonts w:ascii="Times New Roman" w:hAnsi="Times New Roman" w:cs="Times New Roman"/>
                <w:sz w:val="18"/>
                <w:szCs w:val="18"/>
              </w:rPr>
              <w:t xml:space="preserve">nr. </w:t>
            </w:r>
            <w:r w:rsidRPr="00180345">
              <w:rPr>
                <w:rFonts w:ascii="Times New Roman" w:hAnsi="Times New Roman" w:cs="Times New Roman"/>
                <w:sz w:val="18"/>
                <w:szCs w:val="18"/>
              </w:rPr>
              <w:t xml:space="preserve">519/2020, instituția are următoarele funcții: </w:t>
            </w:r>
          </w:p>
          <w:p w14:paraId="06FD87D6" w14:textId="77777777" w:rsidR="00BE6A29" w:rsidRPr="00180345" w:rsidRDefault="00BE6A29" w:rsidP="00BE6A29">
            <w:pPr>
              <w:pStyle w:val="a7"/>
              <w:numPr>
                <w:ilvl w:val="0"/>
                <w:numId w:val="36"/>
              </w:numPr>
              <w:tabs>
                <w:tab w:val="left" w:pos="39"/>
                <w:tab w:val="left" w:pos="322"/>
              </w:tabs>
              <w:spacing w:line="276" w:lineRule="auto"/>
              <w:ind w:left="0" w:firstLine="3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administrarea, asigurarea funcționării şi dezvoltarea infrastructurii Palatului Republicii;</w:t>
            </w:r>
          </w:p>
          <w:p w14:paraId="4750DCA8" w14:textId="77777777" w:rsidR="00BE6A29" w:rsidRPr="00180345" w:rsidRDefault="00BE6A29" w:rsidP="00BE6A29">
            <w:pPr>
              <w:pStyle w:val="a7"/>
              <w:numPr>
                <w:ilvl w:val="0"/>
                <w:numId w:val="36"/>
              </w:numPr>
              <w:tabs>
                <w:tab w:val="left" w:pos="39"/>
                <w:tab w:val="left" w:pos="322"/>
              </w:tabs>
              <w:spacing w:line="276" w:lineRule="auto"/>
              <w:ind w:left="0" w:firstLine="3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organizarea deservirii ceremoniilor oficiale și protocolare;</w:t>
            </w:r>
          </w:p>
          <w:p w14:paraId="042DF08D" w14:textId="77777777" w:rsidR="00BE6A29" w:rsidRPr="00180345" w:rsidRDefault="00BE6A29" w:rsidP="00BE6A29">
            <w:pPr>
              <w:pStyle w:val="a7"/>
              <w:numPr>
                <w:ilvl w:val="0"/>
                <w:numId w:val="36"/>
              </w:numPr>
              <w:tabs>
                <w:tab w:val="left" w:pos="39"/>
                <w:tab w:val="left" w:pos="322"/>
              </w:tabs>
              <w:spacing w:line="276" w:lineRule="auto"/>
              <w:ind w:left="0" w:firstLine="3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găzduirea conferințelor, seminarelor, atelierelor de lucru, ședințelor și altor întruniri naționale și internaționale;</w:t>
            </w:r>
          </w:p>
          <w:p w14:paraId="71720AB1" w14:textId="77777777" w:rsidR="00BE6A29" w:rsidRPr="00180345" w:rsidRDefault="00BE6A29" w:rsidP="00BE6A29">
            <w:pPr>
              <w:pStyle w:val="a7"/>
              <w:numPr>
                <w:ilvl w:val="0"/>
                <w:numId w:val="36"/>
              </w:numPr>
              <w:tabs>
                <w:tab w:val="left" w:pos="39"/>
                <w:tab w:val="left" w:pos="322"/>
              </w:tabs>
              <w:spacing w:line="276" w:lineRule="auto"/>
              <w:ind w:left="0" w:firstLine="3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organizarea evenimentelor social-culturale;</w:t>
            </w:r>
          </w:p>
          <w:p w14:paraId="3F110E5A" w14:textId="77777777" w:rsidR="00BE6A29" w:rsidRPr="00180345" w:rsidRDefault="00BE6A29" w:rsidP="00BE6A29">
            <w:pPr>
              <w:pStyle w:val="a7"/>
              <w:numPr>
                <w:ilvl w:val="0"/>
                <w:numId w:val="36"/>
              </w:numPr>
              <w:tabs>
                <w:tab w:val="left" w:pos="39"/>
                <w:tab w:val="left" w:pos="322"/>
              </w:tabs>
              <w:spacing w:line="276" w:lineRule="auto"/>
              <w:ind w:left="0" w:firstLine="3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 xml:space="preserve">prestarea altor servicii în vederea realizării funcțiilor prevăzute în prezentul Statut și/sau în alte acte normative. </w:t>
            </w:r>
          </w:p>
        </w:tc>
        <w:tc>
          <w:tcPr>
            <w:tcW w:w="1418" w:type="dxa"/>
          </w:tcPr>
          <w:p w14:paraId="0C607BD3" w14:textId="77777777" w:rsidR="00BE6A29" w:rsidRPr="00180345" w:rsidRDefault="00BE6A29" w:rsidP="00BE6A29">
            <w:pPr>
              <w:pStyle w:val="a7"/>
              <w:tabs>
                <w:tab w:val="left" w:pos="39"/>
                <w:tab w:val="left" w:pos="322"/>
              </w:tabs>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89 unități de personal</w:t>
            </w:r>
          </w:p>
        </w:tc>
      </w:tr>
      <w:tr w:rsidR="00BE6A29" w:rsidRPr="00180345" w14:paraId="6DAEBC07"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top w:val="none" w:sz="0" w:space="0" w:color="auto"/>
              <w:bottom w:val="none" w:sz="0" w:space="0" w:color="auto"/>
            </w:tcBorders>
          </w:tcPr>
          <w:p w14:paraId="44FE4B23" w14:textId="77777777" w:rsidR="00BE6A29" w:rsidRPr="00180345" w:rsidRDefault="00BE6A29" w:rsidP="00BE6A29">
            <w:pPr>
              <w:tabs>
                <w:tab w:val="left" w:pos="5869"/>
              </w:tabs>
              <w:spacing w:line="276" w:lineRule="auto"/>
              <w:jc w:val="center"/>
              <w:rPr>
                <w:rFonts w:ascii="Times New Roman" w:hAnsi="Times New Roman" w:cs="Times New Roman"/>
                <w:sz w:val="18"/>
                <w:szCs w:val="18"/>
              </w:rPr>
            </w:pPr>
            <w:r w:rsidRPr="00180345">
              <w:rPr>
                <w:rFonts w:ascii="Times New Roman" w:hAnsi="Times New Roman" w:cs="Times New Roman"/>
                <w:sz w:val="18"/>
                <w:szCs w:val="18"/>
              </w:rPr>
              <w:t>I.P. „Pensiunea din Holercani”</w:t>
            </w:r>
          </w:p>
        </w:tc>
        <w:tc>
          <w:tcPr>
            <w:tcW w:w="8221" w:type="dxa"/>
            <w:tcBorders>
              <w:top w:val="none" w:sz="0" w:space="0" w:color="auto"/>
              <w:bottom w:val="none" w:sz="0" w:space="0" w:color="auto"/>
            </w:tcBorders>
          </w:tcPr>
          <w:p w14:paraId="6A954BB7" w14:textId="77777777" w:rsidR="00BE6A29" w:rsidRPr="00180345" w:rsidRDefault="00BE6A29" w:rsidP="00BE6A29">
            <w:pPr>
              <w:pStyle w:val="a7"/>
              <w:tabs>
                <w:tab w:val="left" w:pos="39"/>
                <w:tab w:val="left" w:pos="322"/>
              </w:tabs>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hAnsi="Times New Roman" w:cs="Times New Roman"/>
                <w:sz w:val="18"/>
                <w:szCs w:val="18"/>
              </w:rPr>
              <w:t>Instituția</w:t>
            </w:r>
            <w:r w:rsidRPr="00180345">
              <w:rPr>
                <w:rFonts w:ascii="Times New Roman" w:eastAsia="Times New Roman" w:hAnsi="Times New Roman" w:cs="Times New Roman"/>
                <w:sz w:val="18"/>
                <w:szCs w:val="18"/>
              </w:rPr>
              <w:t xml:space="preserve"> are următoarele funcții (pct. 6 din statutul aprobat prin HG </w:t>
            </w:r>
            <w:r>
              <w:rPr>
                <w:rFonts w:ascii="Times New Roman" w:eastAsia="Times New Roman" w:hAnsi="Times New Roman" w:cs="Times New Roman"/>
                <w:sz w:val="18"/>
                <w:szCs w:val="18"/>
              </w:rPr>
              <w:t>nr.</w:t>
            </w:r>
            <w:r w:rsidRPr="00180345">
              <w:rPr>
                <w:rFonts w:ascii="Times New Roman" w:eastAsia="Times New Roman" w:hAnsi="Times New Roman" w:cs="Times New Roman"/>
                <w:sz w:val="18"/>
                <w:szCs w:val="18"/>
              </w:rPr>
              <w:t>520/2020):</w:t>
            </w:r>
          </w:p>
          <w:p w14:paraId="7C8688B0" w14:textId="77777777" w:rsidR="00BE6A29" w:rsidRPr="00180345" w:rsidRDefault="00BE6A29" w:rsidP="00BE6A29">
            <w:pPr>
              <w:pStyle w:val="a7"/>
              <w:numPr>
                <w:ilvl w:val="0"/>
                <w:numId w:val="37"/>
              </w:numPr>
              <w:tabs>
                <w:tab w:val="left" w:pos="39"/>
                <w:tab w:val="left" w:pos="322"/>
              </w:tabs>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darea în locațiune a vilelor și căsuțelor de odihnă, conform repartizării aprobate de către fondator;</w:t>
            </w:r>
          </w:p>
          <w:p w14:paraId="5036C6A4" w14:textId="77777777" w:rsidR="00BE6A29" w:rsidRPr="00180345" w:rsidRDefault="00BE6A29" w:rsidP="00BE6A29">
            <w:pPr>
              <w:pStyle w:val="a7"/>
              <w:numPr>
                <w:ilvl w:val="0"/>
                <w:numId w:val="37"/>
              </w:numPr>
              <w:tabs>
                <w:tab w:val="left" w:pos="39"/>
                <w:tab w:val="left" w:pos="322"/>
              </w:tabs>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organizarea activităților de deservire a ceremoniilor oficiale și protocolare;</w:t>
            </w:r>
          </w:p>
          <w:p w14:paraId="606F6169" w14:textId="77777777" w:rsidR="00BE6A29" w:rsidRPr="00180345" w:rsidRDefault="00BE6A29" w:rsidP="00BE6A29">
            <w:pPr>
              <w:pStyle w:val="a7"/>
              <w:numPr>
                <w:ilvl w:val="0"/>
                <w:numId w:val="37"/>
              </w:numPr>
              <w:tabs>
                <w:tab w:val="left" w:pos="39"/>
                <w:tab w:val="left" w:pos="322"/>
              </w:tabs>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găzduirea conferințelor, seminarelor, atelierelor de lucru, ședințelor și altor întruniri cu caracter național și internațional;</w:t>
            </w:r>
          </w:p>
          <w:p w14:paraId="2BF8DF33" w14:textId="77777777" w:rsidR="00BE6A29" w:rsidRPr="00180345" w:rsidRDefault="00BE6A29" w:rsidP="00BE6A29">
            <w:pPr>
              <w:pStyle w:val="a7"/>
              <w:numPr>
                <w:ilvl w:val="0"/>
                <w:numId w:val="37"/>
              </w:numPr>
              <w:tabs>
                <w:tab w:val="left" w:pos="39"/>
                <w:tab w:val="left" w:pos="322"/>
              </w:tabs>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prestarea serviciilor de cazare și alimentație în spațiile deținute de Instituție;</w:t>
            </w:r>
          </w:p>
          <w:p w14:paraId="05976A24" w14:textId="77777777" w:rsidR="00BE6A29" w:rsidRPr="00180345" w:rsidRDefault="00BE6A29" w:rsidP="00BE6A29">
            <w:pPr>
              <w:pStyle w:val="a7"/>
              <w:numPr>
                <w:ilvl w:val="0"/>
                <w:numId w:val="37"/>
              </w:numPr>
              <w:tabs>
                <w:tab w:val="left" w:pos="39"/>
                <w:tab w:val="left" w:pos="322"/>
              </w:tabs>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prestarea serviciilor de agrement, de camping și alte posibilități de cazare de scurtă durată;</w:t>
            </w:r>
          </w:p>
          <w:p w14:paraId="1CCFACEA" w14:textId="77777777" w:rsidR="00BE6A29" w:rsidRPr="00180345" w:rsidRDefault="00BE6A29" w:rsidP="00BE6A29">
            <w:pPr>
              <w:pStyle w:val="a7"/>
              <w:numPr>
                <w:ilvl w:val="0"/>
                <w:numId w:val="37"/>
              </w:numPr>
              <w:tabs>
                <w:tab w:val="left" w:pos="39"/>
                <w:tab w:val="left" w:pos="322"/>
              </w:tabs>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organizarea, deservirea și găzduirea evenimentelor social-culturale;</w:t>
            </w:r>
          </w:p>
          <w:p w14:paraId="66294B92" w14:textId="77777777" w:rsidR="00BE6A29" w:rsidRPr="00180345" w:rsidRDefault="00BE6A29" w:rsidP="00BE6A29">
            <w:pPr>
              <w:pStyle w:val="a7"/>
              <w:numPr>
                <w:ilvl w:val="0"/>
                <w:numId w:val="37"/>
              </w:numPr>
              <w:tabs>
                <w:tab w:val="left" w:pos="39"/>
                <w:tab w:val="left" w:pos="322"/>
              </w:tabs>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întreținerea și darea în locațiune a bunurilor imobile proprietate publică deținute în gestiune;</w:t>
            </w:r>
          </w:p>
          <w:p w14:paraId="59451394" w14:textId="77777777" w:rsidR="00BE6A29" w:rsidRPr="00180345" w:rsidRDefault="00BE6A29" w:rsidP="00BE6A29">
            <w:pPr>
              <w:pStyle w:val="a7"/>
              <w:numPr>
                <w:ilvl w:val="0"/>
                <w:numId w:val="37"/>
              </w:numPr>
              <w:tabs>
                <w:tab w:val="left" w:pos="39"/>
                <w:tab w:val="left" w:pos="322"/>
              </w:tabs>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prestarea altor servicii în vederea realizării funcțiilor prevăzute de prezentul Statut și/sau alte acte normative.</w:t>
            </w:r>
          </w:p>
        </w:tc>
        <w:tc>
          <w:tcPr>
            <w:tcW w:w="1418" w:type="dxa"/>
            <w:tcBorders>
              <w:top w:val="none" w:sz="0" w:space="0" w:color="auto"/>
              <w:bottom w:val="none" w:sz="0" w:space="0" w:color="auto"/>
            </w:tcBorders>
          </w:tcPr>
          <w:p w14:paraId="4A0CF20D" w14:textId="77777777" w:rsidR="00BE6A29" w:rsidRPr="00180345" w:rsidRDefault="00BE6A29" w:rsidP="00BE6A29">
            <w:pPr>
              <w:pStyle w:val="a7"/>
              <w:tabs>
                <w:tab w:val="left" w:pos="39"/>
                <w:tab w:val="left" w:pos="322"/>
              </w:tabs>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93 unități de personal</w:t>
            </w:r>
          </w:p>
        </w:tc>
      </w:tr>
      <w:tr w:rsidR="00BE6A29" w:rsidRPr="00180345" w14:paraId="4C182325" w14:textId="77777777" w:rsidTr="008E551C">
        <w:tc>
          <w:tcPr>
            <w:cnfStyle w:val="001000000000" w:firstRow="0" w:lastRow="0" w:firstColumn="1" w:lastColumn="0" w:oddVBand="0" w:evenVBand="0" w:oddHBand="0" w:evenHBand="0" w:firstRowFirstColumn="0" w:firstRowLastColumn="0" w:lastRowFirstColumn="0" w:lastRowLastColumn="0"/>
            <w:tcW w:w="1277" w:type="dxa"/>
          </w:tcPr>
          <w:p w14:paraId="63705A8B" w14:textId="77777777" w:rsidR="00BE6A29" w:rsidRPr="00180345" w:rsidRDefault="00BE6A29" w:rsidP="00BE6A29">
            <w:pPr>
              <w:tabs>
                <w:tab w:val="left" w:pos="5869"/>
              </w:tabs>
              <w:spacing w:line="276" w:lineRule="auto"/>
              <w:jc w:val="center"/>
              <w:rPr>
                <w:rFonts w:ascii="Times New Roman" w:hAnsi="Times New Roman" w:cs="Times New Roman"/>
                <w:sz w:val="18"/>
                <w:szCs w:val="18"/>
              </w:rPr>
            </w:pPr>
            <w:r w:rsidRPr="00180345">
              <w:rPr>
                <w:rFonts w:ascii="Times New Roman" w:hAnsi="Times New Roman" w:cs="Times New Roman"/>
                <w:sz w:val="18"/>
                <w:szCs w:val="18"/>
              </w:rPr>
              <w:t>I.P. „STISC”</w:t>
            </w:r>
          </w:p>
        </w:tc>
        <w:tc>
          <w:tcPr>
            <w:tcW w:w="8221" w:type="dxa"/>
          </w:tcPr>
          <w:p w14:paraId="684E6607" w14:textId="77777777" w:rsidR="00BE6A29" w:rsidRPr="00180345" w:rsidRDefault="00BE6A29" w:rsidP="00BE6A29">
            <w:pPr>
              <w:pStyle w:val="a7"/>
              <w:tabs>
                <w:tab w:val="left" w:pos="39"/>
                <w:tab w:val="left" w:pos="322"/>
              </w:tabs>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 xml:space="preserve">Conform spețelor pct. 8 din Statutul aprobat prin HG </w:t>
            </w:r>
            <w:r>
              <w:rPr>
                <w:rFonts w:ascii="Times New Roman" w:eastAsia="Times New Roman" w:hAnsi="Times New Roman" w:cs="Times New Roman"/>
                <w:sz w:val="18"/>
                <w:szCs w:val="18"/>
              </w:rPr>
              <w:t>nr.</w:t>
            </w:r>
            <w:r w:rsidRPr="00180345">
              <w:rPr>
                <w:rFonts w:ascii="Times New Roman" w:eastAsia="Times New Roman" w:hAnsi="Times New Roman" w:cs="Times New Roman"/>
                <w:sz w:val="18"/>
                <w:szCs w:val="18"/>
              </w:rPr>
              <w:t>414/2018, Serviciul are următoarele funcții:</w:t>
            </w:r>
          </w:p>
          <w:p w14:paraId="22AD0B16" w14:textId="77777777" w:rsidR="00BE6A29" w:rsidRPr="00180345" w:rsidRDefault="00BE6A29" w:rsidP="00BE6A29">
            <w:pPr>
              <w:pStyle w:val="a7"/>
              <w:numPr>
                <w:ilvl w:val="0"/>
                <w:numId w:val="38"/>
              </w:numPr>
              <w:tabs>
                <w:tab w:val="left" w:pos="39"/>
                <w:tab w:val="left" w:pos="322"/>
              </w:tabs>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crearea, administrarea, asigurarea funcționării şi dezvoltarea infrastructurii de tehnologie a informației și Sistemului de telecomunicaţii al autorităţilor administraţiei publice ca parte a reţelei de comunicaţii speciale;</w:t>
            </w:r>
          </w:p>
          <w:p w14:paraId="638F1E16" w14:textId="77777777" w:rsidR="00BE6A29" w:rsidRPr="00180345" w:rsidRDefault="00BE6A29" w:rsidP="00BE6A29">
            <w:pPr>
              <w:pStyle w:val="a7"/>
              <w:numPr>
                <w:ilvl w:val="0"/>
                <w:numId w:val="38"/>
              </w:numPr>
              <w:tabs>
                <w:tab w:val="left" w:pos="39"/>
                <w:tab w:val="left" w:pos="322"/>
              </w:tabs>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crearea și gestionarea infrastructurii centralizate de telecomunicații și de centre de date și dezvoltarea acestora;</w:t>
            </w:r>
          </w:p>
          <w:p w14:paraId="04821CB2" w14:textId="77777777" w:rsidR="00BE6A29" w:rsidRPr="00180345" w:rsidRDefault="00BE6A29" w:rsidP="00BE6A29">
            <w:pPr>
              <w:pStyle w:val="a7"/>
              <w:numPr>
                <w:ilvl w:val="0"/>
                <w:numId w:val="38"/>
              </w:numPr>
              <w:tabs>
                <w:tab w:val="left" w:pos="39"/>
                <w:tab w:val="left" w:pos="322"/>
              </w:tabs>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exercitarea atribuțiilor de operator tehnico-tehnologic al serviciilor electronice guvernamentale;</w:t>
            </w:r>
          </w:p>
          <w:p w14:paraId="0E937EF5" w14:textId="77777777" w:rsidR="00BE6A29" w:rsidRPr="00180345" w:rsidRDefault="00BE6A29" w:rsidP="00BE6A29">
            <w:pPr>
              <w:pStyle w:val="a7"/>
              <w:numPr>
                <w:ilvl w:val="0"/>
                <w:numId w:val="38"/>
              </w:numPr>
              <w:tabs>
                <w:tab w:val="left" w:pos="39"/>
                <w:tab w:val="left" w:pos="322"/>
              </w:tabs>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implementarea și menținerea securității cibernetice a infrastructurii tehnologiei informației și a Sistemului de telecomunicaţii al autorităţilor administraţiei publice conform cerințelor minime obligatorii de securitate cibernetică stabilite de Guvern și celor mai bune practici internaționale în domeniu;</w:t>
            </w:r>
          </w:p>
          <w:p w14:paraId="4B7A2983" w14:textId="77777777" w:rsidR="00BE6A29" w:rsidRPr="00180345" w:rsidRDefault="00BE6A29" w:rsidP="00BE6A29">
            <w:pPr>
              <w:pStyle w:val="a7"/>
              <w:numPr>
                <w:ilvl w:val="0"/>
                <w:numId w:val="38"/>
              </w:numPr>
              <w:tabs>
                <w:tab w:val="left" w:pos="39"/>
                <w:tab w:val="left" w:pos="322"/>
              </w:tabs>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implementarea documentelor de politici conform sarcinilor stabilite și a actelor normative în domeniul securității cibernetice; </w:t>
            </w:r>
          </w:p>
          <w:p w14:paraId="28975C62" w14:textId="77777777" w:rsidR="00BE6A29" w:rsidRPr="00180345" w:rsidRDefault="00BE6A29" w:rsidP="00BE6A29">
            <w:pPr>
              <w:pStyle w:val="a7"/>
              <w:numPr>
                <w:ilvl w:val="0"/>
                <w:numId w:val="38"/>
              </w:numPr>
              <w:tabs>
                <w:tab w:val="left" w:pos="39"/>
                <w:tab w:val="left" w:pos="322"/>
              </w:tabs>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înaintarea către organul central de specialitate al administrației publice care asigură realizarea politicii de stat în domeniul securității cibernetice a propunerilor de perfecționare a documentelor de politici și a cadrului normativ în domeniul securității cibernetice și altele.</w:t>
            </w:r>
          </w:p>
        </w:tc>
        <w:tc>
          <w:tcPr>
            <w:tcW w:w="1418" w:type="dxa"/>
          </w:tcPr>
          <w:p w14:paraId="51BFF49E" w14:textId="77777777" w:rsidR="00BE6A29" w:rsidRPr="00180345" w:rsidRDefault="00BE6A29" w:rsidP="00BE6A29">
            <w:pPr>
              <w:pStyle w:val="a7"/>
              <w:tabs>
                <w:tab w:val="left" w:pos="39"/>
                <w:tab w:val="left" w:pos="322"/>
              </w:tabs>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292  unități de personal</w:t>
            </w:r>
          </w:p>
        </w:tc>
      </w:tr>
      <w:tr w:rsidR="00BE6A29" w:rsidRPr="00180345" w14:paraId="139AF739"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top w:val="none" w:sz="0" w:space="0" w:color="auto"/>
              <w:bottom w:val="none" w:sz="0" w:space="0" w:color="auto"/>
            </w:tcBorders>
          </w:tcPr>
          <w:p w14:paraId="550922CC" w14:textId="77777777" w:rsidR="00BE6A29" w:rsidRPr="00180345" w:rsidRDefault="00BE6A29" w:rsidP="00BE6A29">
            <w:pPr>
              <w:tabs>
                <w:tab w:val="left" w:pos="5869"/>
              </w:tabs>
              <w:spacing w:line="276" w:lineRule="auto"/>
              <w:jc w:val="center"/>
              <w:rPr>
                <w:rFonts w:ascii="Times New Roman" w:hAnsi="Times New Roman" w:cs="Times New Roman"/>
                <w:sz w:val="18"/>
                <w:szCs w:val="18"/>
              </w:rPr>
            </w:pPr>
            <w:r w:rsidRPr="00180345">
              <w:rPr>
                <w:rFonts w:ascii="Times New Roman" w:hAnsi="Times New Roman" w:cs="Times New Roman"/>
                <w:sz w:val="18"/>
                <w:szCs w:val="18"/>
              </w:rPr>
              <w:t>I.P. „AGE”</w:t>
            </w:r>
          </w:p>
        </w:tc>
        <w:tc>
          <w:tcPr>
            <w:tcW w:w="8221" w:type="dxa"/>
            <w:tcBorders>
              <w:top w:val="none" w:sz="0" w:space="0" w:color="auto"/>
              <w:bottom w:val="none" w:sz="0" w:space="0" w:color="auto"/>
            </w:tcBorders>
          </w:tcPr>
          <w:p w14:paraId="5A88DC93" w14:textId="77777777" w:rsidR="00BE6A29" w:rsidRPr="00180345" w:rsidRDefault="00BE6A29" w:rsidP="00BE6A29">
            <w:pPr>
              <w:tabs>
                <w:tab w:val="left" w:pos="341"/>
              </w:tabs>
              <w:spacing w:line="276" w:lineRule="auto"/>
              <w:ind w:left="3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Funcțiile de bază ale AGE s</w:t>
            </w:r>
            <w:r>
              <w:rPr>
                <w:rFonts w:ascii="Times New Roman" w:eastAsia="Times New Roman" w:hAnsi="Times New Roman" w:cs="Times New Roman"/>
                <w:sz w:val="18"/>
                <w:szCs w:val="18"/>
              </w:rPr>
              <w:t>u</w:t>
            </w:r>
            <w:r w:rsidRPr="00180345">
              <w:rPr>
                <w:rFonts w:ascii="Times New Roman" w:eastAsia="Times New Roman" w:hAnsi="Times New Roman" w:cs="Times New Roman"/>
                <w:sz w:val="18"/>
                <w:szCs w:val="18"/>
              </w:rPr>
              <w:t xml:space="preserve">nt (pct. 11 din Statutul aprobat prin HG </w:t>
            </w:r>
            <w:r>
              <w:rPr>
                <w:rFonts w:ascii="Times New Roman" w:eastAsia="Times New Roman" w:hAnsi="Times New Roman" w:cs="Times New Roman"/>
                <w:sz w:val="18"/>
                <w:szCs w:val="18"/>
              </w:rPr>
              <w:t>nr.</w:t>
            </w:r>
            <w:r w:rsidRPr="00180345">
              <w:rPr>
                <w:rFonts w:ascii="Times New Roman" w:eastAsia="Times New Roman" w:hAnsi="Times New Roman" w:cs="Times New Roman"/>
                <w:sz w:val="18"/>
                <w:szCs w:val="18"/>
              </w:rPr>
              <w:t>760/2010):</w:t>
            </w:r>
          </w:p>
          <w:p w14:paraId="4F82E5E4" w14:textId="77777777" w:rsidR="00BE6A29" w:rsidRPr="00180345" w:rsidRDefault="00BE6A29" w:rsidP="00BE6A29">
            <w:pPr>
              <w:tabs>
                <w:tab w:val="left" w:pos="341"/>
              </w:tabs>
              <w:spacing w:line="276" w:lineRule="auto"/>
              <w:ind w:left="3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1)planificarea strategică a utilizării tehnologiilor informaţionale și de comunicații în sectorul public;</w:t>
            </w:r>
          </w:p>
          <w:p w14:paraId="6BBA4AA5" w14:textId="77777777" w:rsidR="00BE6A29" w:rsidRPr="00180345" w:rsidRDefault="00BE6A29" w:rsidP="00BE6A29">
            <w:pPr>
              <w:tabs>
                <w:tab w:val="left" w:pos="341"/>
              </w:tabs>
              <w:spacing w:line="276" w:lineRule="auto"/>
              <w:ind w:left="3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2) crearea și dezvoltarea continuă a arhitecturii guvernării electronice;</w:t>
            </w:r>
          </w:p>
          <w:p w14:paraId="64CE8E94" w14:textId="77777777" w:rsidR="00BE6A29" w:rsidRPr="00180345" w:rsidRDefault="00BE6A29" w:rsidP="00BE6A29">
            <w:pPr>
              <w:tabs>
                <w:tab w:val="left" w:pos="341"/>
              </w:tabs>
              <w:spacing w:line="276" w:lineRule="auto"/>
              <w:ind w:left="3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3) promovarea inovațiilor și produselor de guvernare electronică în sectorul public și societate;</w:t>
            </w:r>
          </w:p>
          <w:p w14:paraId="6340C0AB" w14:textId="77777777" w:rsidR="00BE6A29" w:rsidRPr="00180345" w:rsidRDefault="00BE6A29" w:rsidP="00BE6A29">
            <w:pPr>
              <w:tabs>
                <w:tab w:val="left" w:pos="341"/>
              </w:tabs>
              <w:spacing w:line="276" w:lineRule="auto"/>
              <w:ind w:left="3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4) crearea și dezvoltarea cadrului metodologic pentru:</w:t>
            </w:r>
          </w:p>
          <w:p w14:paraId="462C5875" w14:textId="77777777" w:rsidR="00BE6A29" w:rsidRPr="00180345" w:rsidRDefault="00BE6A29" w:rsidP="00BE6A29">
            <w:pPr>
              <w:tabs>
                <w:tab w:val="left" w:pos="341"/>
              </w:tabs>
              <w:spacing w:line="276" w:lineRule="auto"/>
              <w:ind w:left="3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a) reingineria și digitizarea serviciilor publice;</w:t>
            </w:r>
          </w:p>
          <w:p w14:paraId="2E4A4F68" w14:textId="77777777" w:rsidR="00BE6A29" w:rsidRPr="00180345" w:rsidRDefault="00BE6A29" w:rsidP="00BE6A29">
            <w:pPr>
              <w:tabs>
                <w:tab w:val="left" w:pos="341"/>
              </w:tabs>
              <w:spacing w:line="276" w:lineRule="auto"/>
              <w:ind w:left="3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b) dezvoltarea, administrarea, menținerea și scoaterea din exploatare a sistemelor informaționale de stat;</w:t>
            </w:r>
          </w:p>
          <w:p w14:paraId="73D50685" w14:textId="77777777" w:rsidR="00BE6A29" w:rsidRPr="00180345" w:rsidRDefault="00BE6A29" w:rsidP="00BE6A29">
            <w:pPr>
              <w:tabs>
                <w:tab w:val="left" w:pos="341"/>
              </w:tabs>
              <w:spacing w:line="276" w:lineRule="auto"/>
              <w:ind w:left="3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5) facilitarea dezvoltării serviciilor sectoriale și sistemelor informaționale de stat prin oferirea asistenței autorităților administrației publice prin:</w:t>
            </w:r>
          </w:p>
          <w:p w14:paraId="4E680FEE" w14:textId="77777777" w:rsidR="00BE6A29" w:rsidRPr="00180345" w:rsidRDefault="00BE6A29" w:rsidP="00BE6A29">
            <w:pPr>
              <w:tabs>
                <w:tab w:val="left" w:pos="341"/>
              </w:tabs>
              <w:spacing w:line="276" w:lineRule="auto"/>
              <w:ind w:left="3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a) acordarea suportului la conceptualizarea sistemelor informaționale;</w:t>
            </w:r>
          </w:p>
          <w:p w14:paraId="093801CB" w14:textId="77777777" w:rsidR="00BE6A29" w:rsidRPr="00180345" w:rsidRDefault="00BE6A29" w:rsidP="00BE6A29">
            <w:pPr>
              <w:tabs>
                <w:tab w:val="left" w:pos="341"/>
              </w:tabs>
              <w:spacing w:line="276" w:lineRule="auto"/>
              <w:ind w:left="3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b) managementul proiectelor de dezvoltare a sistemelor informaționale (centralizate și sectoriale);</w:t>
            </w:r>
          </w:p>
          <w:p w14:paraId="44A9848A" w14:textId="77777777" w:rsidR="00BE6A29" w:rsidRPr="00180345" w:rsidRDefault="00BE6A29" w:rsidP="00BE6A29">
            <w:pPr>
              <w:tabs>
                <w:tab w:val="left" w:pos="341"/>
              </w:tabs>
              <w:spacing w:line="276" w:lineRule="auto"/>
              <w:ind w:left="3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c) dezvoltarea documentării tehnice, inclusiv a termenelor de referință pentru sistemele informaționale și alte activități aferente dezvoltării și funcționării sistemelor informaționale;</w:t>
            </w:r>
          </w:p>
          <w:p w14:paraId="364E7A06" w14:textId="77777777" w:rsidR="00BE6A29" w:rsidRPr="00180345" w:rsidRDefault="00BE6A29" w:rsidP="00BE6A29">
            <w:pPr>
              <w:pStyle w:val="a7"/>
              <w:tabs>
                <w:tab w:val="left" w:pos="314"/>
                <w:tab w:val="left" w:pos="455"/>
              </w:tabs>
              <w:spacing w:line="276" w:lineRule="auto"/>
              <w:ind w:left="3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d) evaluarea și validarea soluțiilor tehnice prin prisma corespunderii acestora documentației tehnice, prevederilor documentelor de politici și ale actelor normative în domeniul guvernării electronice;</w:t>
            </w:r>
          </w:p>
        </w:tc>
        <w:tc>
          <w:tcPr>
            <w:tcW w:w="1418" w:type="dxa"/>
            <w:tcBorders>
              <w:top w:val="none" w:sz="0" w:space="0" w:color="auto"/>
              <w:bottom w:val="none" w:sz="0" w:space="0" w:color="auto"/>
            </w:tcBorders>
          </w:tcPr>
          <w:p w14:paraId="7BAC147D" w14:textId="77777777" w:rsidR="00BE6A29" w:rsidRPr="00180345" w:rsidRDefault="00BE6A29" w:rsidP="00BE6A29">
            <w:pPr>
              <w:pStyle w:val="a7"/>
              <w:tabs>
                <w:tab w:val="left" w:pos="39"/>
                <w:tab w:val="left" w:pos="322"/>
              </w:tabs>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62  unități de personal</w:t>
            </w:r>
          </w:p>
        </w:tc>
      </w:tr>
      <w:tr w:rsidR="00BE6A29" w:rsidRPr="00180345" w14:paraId="754E6183" w14:textId="77777777" w:rsidTr="008E551C">
        <w:tc>
          <w:tcPr>
            <w:cnfStyle w:val="001000000000" w:firstRow="0" w:lastRow="0" w:firstColumn="1" w:lastColumn="0" w:oddVBand="0" w:evenVBand="0" w:oddHBand="0" w:evenHBand="0" w:firstRowFirstColumn="0" w:firstRowLastColumn="0" w:lastRowFirstColumn="0" w:lastRowLastColumn="0"/>
            <w:tcW w:w="1277" w:type="dxa"/>
          </w:tcPr>
          <w:p w14:paraId="3B0B0A44" w14:textId="77777777" w:rsidR="00BE6A29" w:rsidRPr="00180345" w:rsidRDefault="00BE6A29" w:rsidP="00BE6A29">
            <w:pPr>
              <w:tabs>
                <w:tab w:val="left" w:pos="5869"/>
              </w:tabs>
              <w:spacing w:line="276" w:lineRule="auto"/>
              <w:jc w:val="center"/>
              <w:rPr>
                <w:rFonts w:ascii="Times New Roman" w:hAnsi="Times New Roman" w:cs="Times New Roman"/>
                <w:sz w:val="18"/>
                <w:szCs w:val="18"/>
              </w:rPr>
            </w:pPr>
            <w:r w:rsidRPr="00180345">
              <w:rPr>
                <w:rFonts w:ascii="Times New Roman" w:hAnsi="Times New Roman" w:cs="Times New Roman"/>
                <w:sz w:val="18"/>
                <w:szCs w:val="18"/>
              </w:rPr>
              <w:t>I.P. AIS „Moldpresa”</w:t>
            </w:r>
          </w:p>
        </w:tc>
        <w:tc>
          <w:tcPr>
            <w:tcW w:w="8221" w:type="dxa"/>
          </w:tcPr>
          <w:p w14:paraId="3195B443" w14:textId="77777777" w:rsidR="00BE6A29" w:rsidRPr="00180345" w:rsidRDefault="00BE6A29" w:rsidP="00BE6A29">
            <w:pPr>
              <w:tabs>
                <w:tab w:val="left" w:pos="341"/>
              </w:tabs>
              <w:spacing w:line="276" w:lineRule="auto"/>
              <w:ind w:left="39"/>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 xml:space="preserve">În vederea realizării misiunii sale, Agenția „Moldpres” are următoarele funcții (pct. 5 din Statutul aprobat prin HG </w:t>
            </w:r>
            <w:r>
              <w:rPr>
                <w:rFonts w:ascii="Times New Roman" w:eastAsia="Times New Roman" w:hAnsi="Times New Roman" w:cs="Times New Roman"/>
                <w:sz w:val="18"/>
                <w:szCs w:val="18"/>
              </w:rPr>
              <w:t>nr.</w:t>
            </w:r>
            <w:r w:rsidRPr="00180345">
              <w:rPr>
                <w:rFonts w:ascii="Times New Roman" w:eastAsia="Times New Roman" w:hAnsi="Times New Roman" w:cs="Times New Roman"/>
                <w:sz w:val="18"/>
                <w:szCs w:val="18"/>
              </w:rPr>
              <w:t>1208/2018):</w:t>
            </w:r>
          </w:p>
          <w:p w14:paraId="573134D9" w14:textId="77777777" w:rsidR="00BE6A29" w:rsidRPr="00180345" w:rsidRDefault="00BE6A29" w:rsidP="00BE6A29">
            <w:pPr>
              <w:tabs>
                <w:tab w:val="left" w:pos="341"/>
              </w:tabs>
              <w:spacing w:line="276" w:lineRule="auto"/>
              <w:ind w:left="39"/>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1) asigurarea operativă a mijloacelor de informare în masă din țară și de peste hotare cu informații obiective și veridice privind politica de stat și activitatea curentă a autorităților publice din Republica Moldova;</w:t>
            </w:r>
          </w:p>
          <w:p w14:paraId="15C53FC0" w14:textId="77777777" w:rsidR="00BE6A29" w:rsidRPr="00180345" w:rsidRDefault="00BE6A29" w:rsidP="00BE6A29">
            <w:pPr>
              <w:tabs>
                <w:tab w:val="left" w:pos="341"/>
              </w:tabs>
              <w:spacing w:line="276" w:lineRule="auto"/>
              <w:ind w:left="39"/>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2) asigurarea informării privind  actualitatea politică, economică și socială din țară și de peste hotare;</w:t>
            </w:r>
          </w:p>
          <w:p w14:paraId="4B2B7733" w14:textId="77777777" w:rsidR="00BE6A29" w:rsidRPr="00180345" w:rsidRDefault="00BE6A29" w:rsidP="00BE6A29">
            <w:pPr>
              <w:tabs>
                <w:tab w:val="left" w:pos="341"/>
              </w:tabs>
              <w:spacing w:line="276" w:lineRule="auto"/>
              <w:ind w:left="39"/>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3) asigurarea editării „Monitorului Oficial al Republicii Moldova” în conformitate cu prevederile Legii nr. 173/1994 privind modul de publicare și intrare în vigoare a actelor oficiale, recepțion</w:t>
            </w:r>
            <w:r>
              <w:rPr>
                <w:rFonts w:ascii="Times New Roman" w:eastAsia="Times New Roman" w:hAnsi="Times New Roman" w:cs="Times New Roman"/>
                <w:sz w:val="18"/>
                <w:szCs w:val="18"/>
              </w:rPr>
              <w:t>â</w:t>
            </w:r>
            <w:r w:rsidRPr="00180345">
              <w:rPr>
                <w:rFonts w:ascii="Times New Roman" w:eastAsia="Times New Roman" w:hAnsi="Times New Roman" w:cs="Times New Roman"/>
                <w:sz w:val="18"/>
                <w:szCs w:val="18"/>
              </w:rPr>
              <w:t>nd și public</w:t>
            </w:r>
            <w:r>
              <w:rPr>
                <w:rFonts w:ascii="Times New Roman" w:eastAsia="Times New Roman" w:hAnsi="Times New Roman" w:cs="Times New Roman"/>
                <w:sz w:val="18"/>
                <w:szCs w:val="18"/>
              </w:rPr>
              <w:t>â</w:t>
            </w:r>
            <w:r w:rsidRPr="00180345">
              <w:rPr>
                <w:rFonts w:ascii="Times New Roman" w:eastAsia="Times New Roman" w:hAnsi="Times New Roman" w:cs="Times New Roman"/>
                <w:sz w:val="18"/>
                <w:szCs w:val="18"/>
              </w:rPr>
              <w:t>nd legi și alte acte normative ale Parlamentului, decrete ale Președintelui Republicii Moldova, ordonanțe, hotăr</w:t>
            </w:r>
            <w:r>
              <w:rPr>
                <w:rFonts w:ascii="Times New Roman" w:eastAsia="Times New Roman" w:hAnsi="Times New Roman" w:cs="Times New Roman"/>
                <w:sz w:val="18"/>
                <w:szCs w:val="18"/>
              </w:rPr>
              <w:t>â</w:t>
            </w:r>
            <w:r w:rsidRPr="00180345">
              <w:rPr>
                <w:rFonts w:ascii="Times New Roman" w:eastAsia="Times New Roman" w:hAnsi="Times New Roman" w:cs="Times New Roman"/>
                <w:sz w:val="18"/>
                <w:szCs w:val="18"/>
              </w:rPr>
              <w:t>ri și dispoziții ale Guvernului, acte ale Curții Constituționale și ale Curții de Conturi, acte normative ale organelor centrale de specialitate ale administrației publice, ale Băncii Naționale a Moldovei și ale Comisiei Naționale a Pieței Financiare, alte acte normative;</w:t>
            </w:r>
          </w:p>
          <w:p w14:paraId="5D88C02F" w14:textId="77777777" w:rsidR="00BE6A29" w:rsidRPr="00180345" w:rsidRDefault="00BE6A29" w:rsidP="00BE6A29">
            <w:pPr>
              <w:tabs>
                <w:tab w:val="left" w:pos="341"/>
              </w:tabs>
              <w:spacing w:line="276" w:lineRule="auto"/>
              <w:ind w:left="39"/>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4) editarea suplimentelor la „Monitorul Oficial al Republicii Moldova” pentru publicarea materialelor cu caracter informațional-juridic și publicitar;</w:t>
            </w:r>
          </w:p>
          <w:p w14:paraId="6241B10D" w14:textId="77777777" w:rsidR="00BE6A29" w:rsidRPr="00180345" w:rsidRDefault="00BE6A29" w:rsidP="00BE6A29">
            <w:pPr>
              <w:tabs>
                <w:tab w:val="left" w:pos="341"/>
              </w:tabs>
              <w:spacing w:line="276" w:lineRule="auto"/>
              <w:ind w:left="39"/>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5) difuzarea de informații și materiale scrise, foto și video către agenții de presă, ziare, posturi de radio și televiziune, alți beneficiari din țară și de peste hotare, prin abonament, pe bază de reciprocitate, contra cost sau servicii;</w:t>
            </w:r>
          </w:p>
          <w:p w14:paraId="0D3221BB" w14:textId="77777777" w:rsidR="00BE6A29" w:rsidRPr="00180345" w:rsidRDefault="00BE6A29" w:rsidP="00BE6A29">
            <w:pPr>
              <w:tabs>
                <w:tab w:val="left" w:pos="341"/>
              </w:tabs>
              <w:spacing w:line="276" w:lineRule="auto"/>
              <w:ind w:left="39"/>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6) editarea publicațiilor periodice și a cărților cu caracter oficial, informativ, documentar, cognitiv-distractiv, social-politic etc.;</w:t>
            </w:r>
          </w:p>
          <w:p w14:paraId="5744CCE3" w14:textId="77777777" w:rsidR="00BE6A29" w:rsidRPr="00180345" w:rsidRDefault="00BE6A29" w:rsidP="00BE6A29">
            <w:pPr>
              <w:tabs>
                <w:tab w:val="left" w:pos="341"/>
              </w:tabs>
              <w:spacing w:line="276" w:lineRule="auto"/>
              <w:ind w:left="39"/>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7) prestarea altor servicii în vederea realizării funcțiilor prevăzute de prezentul Statut și/sau alte acte normative.</w:t>
            </w:r>
          </w:p>
        </w:tc>
        <w:tc>
          <w:tcPr>
            <w:tcW w:w="1418" w:type="dxa"/>
          </w:tcPr>
          <w:p w14:paraId="05750506" w14:textId="77777777" w:rsidR="00BE6A29" w:rsidRPr="00180345" w:rsidRDefault="00BE6A29" w:rsidP="00BE6A29">
            <w:pPr>
              <w:pStyle w:val="a7"/>
              <w:tabs>
                <w:tab w:val="left" w:pos="39"/>
                <w:tab w:val="left" w:pos="322"/>
              </w:tabs>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53 unități de personal</w:t>
            </w:r>
          </w:p>
        </w:tc>
      </w:tr>
      <w:tr w:rsidR="00BE6A29" w:rsidRPr="00180345" w14:paraId="352AAAD5"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top w:val="none" w:sz="0" w:space="0" w:color="auto"/>
              <w:bottom w:val="none" w:sz="0" w:space="0" w:color="auto"/>
            </w:tcBorders>
          </w:tcPr>
          <w:p w14:paraId="5AFFD07B" w14:textId="77777777" w:rsidR="00BE6A29" w:rsidRPr="00180345" w:rsidRDefault="00BE6A29" w:rsidP="00BE6A29">
            <w:pPr>
              <w:tabs>
                <w:tab w:val="left" w:pos="5869"/>
              </w:tabs>
              <w:spacing w:line="276" w:lineRule="auto"/>
              <w:jc w:val="center"/>
              <w:rPr>
                <w:rFonts w:ascii="Times New Roman" w:hAnsi="Times New Roman" w:cs="Times New Roman"/>
                <w:sz w:val="18"/>
                <w:szCs w:val="18"/>
              </w:rPr>
            </w:pPr>
            <w:r w:rsidRPr="00180345">
              <w:rPr>
                <w:rFonts w:ascii="Times New Roman" w:hAnsi="Times New Roman" w:cs="Times New Roman"/>
                <w:sz w:val="18"/>
                <w:szCs w:val="18"/>
              </w:rPr>
              <w:t>I.P. „ASP”</w:t>
            </w:r>
          </w:p>
        </w:tc>
        <w:tc>
          <w:tcPr>
            <w:tcW w:w="8221" w:type="dxa"/>
            <w:tcBorders>
              <w:top w:val="none" w:sz="0" w:space="0" w:color="auto"/>
              <w:bottom w:val="none" w:sz="0" w:space="0" w:color="auto"/>
            </w:tcBorders>
          </w:tcPr>
          <w:p w14:paraId="22EDDC1F" w14:textId="77777777" w:rsidR="00BE6A29" w:rsidRPr="00180345" w:rsidRDefault="00BE6A29" w:rsidP="00BE6A29">
            <w:pPr>
              <w:pStyle w:val="a7"/>
              <w:tabs>
                <w:tab w:val="left" w:pos="39"/>
                <w:tab w:val="left" w:pos="322"/>
              </w:tabs>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 xml:space="preserve">Funcțiile de bază ale ASP derivă din spețelor pct. 8 din Statutul aprobat prin HG </w:t>
            </w:r>
            <w:r>
              <w:rPr>
                <w:rFonts w:ascii="Times New Roman" w:eastAsia="Times New Roman" w:hAnsi="Times New Roman" w:cs="Times New Roman"/>
                <w:sz w:val="18"/>
                <w:szCs w:val="18"/>
              </w:rPr>
              <w:t>nr.</w:t>
            </w:r>
            <w:r w:rsidRPr="00180345">
              <w:rPr>
                <w:rFonts w:ascii="Times New Roman" w:eastAsia="Times New Roman" w:hAnsi="Times New Roman" w:cs="Times New Roman"/>
                <w:sz w:val="18"/>
                <w:szCs w:val="18"/>
              </w:rPr>
              <w:t xml:space="preserve">314/2017, principalele fiind: </w:t>
            </w:r>
          </w:p>
          <w:p w14:paraId="1A225826" w14:textId="77777777" w:rsidR="00BE6A29" w:rsidRPr="00180345" w:rsidRDefault="00BE6A29" w:rsidP="00BE6A29">
            <w:pPr>
              <w:tabs>
                <w:tab w:val="left" w:pos="341"/>
              </w:tabs>
              <w:spacing w:line="276" w:lineRule="auto"/>
              <w:ind w:left="3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1) implementarea mecanismului ghișeului unic la prestarea serviciilor publice în domeniile sale de competență, precum și a altor servicii publice;</w:t>
            </w:r>
          </w:p>
          <w:p w14:paraId="329C56D6" w14:textId="77777777" w:rsidR="00BE6A29" w:rsidRPr="00180345" w:rsidRDefault="00BE6A29" w:rsidP="00BE6A29">
            <w:pPr>
              <w:tabs>
                <w:tab w:val="left" w:pos="341"/>
              </w:tabs>
              <w:spacing w:line="276" w:lineRule="auto"/>
              <w:ind w:left="3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2) exercitarea funcției de ghișeu unic pentru serviciile publice prestate în domeniile care nu intră în compe</w:t>
            </w:r>
            <w:r>
              <w:rPr>
                <w:rFonts w:ascii="Times New Roman" w:eastAsia="Times New Roman" w:hAnsi="Times New Roman" w:cs="Times New Roman"/>
                <w:sz w:val="18"/>
                <w:szCs w:val="18"/>
              </w:rPr>
              <w:t>t</w:t>
            </w:r>
            <w:r w:rsidRPr="00180345">
              <w:rPr>
                <w:rFonts w:ascii="Times New Roman" w:eastAsia="Times New Roman" w:hAnsi="Times New Roman" w:cs="Times New Roman"/>
                <w:sz w:val="18"/>
                <w:szCs w:val="18"/>
              </w:rPr>
              <w:t>ența Agenției;</w:t>
            </w:r>
          </w:p>
          <w:p w14:paraId="32BC2FF4" w14:textId="77777777" w:rsidR="00BE6A29" w:rsidRPr="00180345" w:rsidRDefault="00BE6A29" w:rsidP="00BE6A29">
            <w:pPr>
              <w:tabs>
                <w:tab w:val="left" w:pos="341"/>
              </w:tabs>
              <w:spacing w:line="276" w:lineRule="auto"/>
              <w:ind w:left="3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3) prestarea şi modernizarea serviciilor publice în domeniile de competență stabilite de pct. 7 al prezentului Statut, precum și alte servicii aferente domeniului de competență;</w:t>
            </w:r>
          </w:p>
          <w:p w14:paraId="78885FCE" w14:textId="77777777" w:rsidR="00BE6A29" w:rsidRPr="00180345" w:rsidRDefault="00BE6A29" w:rsidP="00BE6A29">
            <w:pPr>
              <w:tabs>
                <w:tab w:val="left" w:pos="341"/>
              </w:tabs>
              <w:spacing w:line="276" w:lineRule="auto"/>
              <w:ind w:left="3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4) implementarea politicilor publice în domeniile de competență stabilite de pct.7 al prezentului Statut;</w:t>
            </w:r>
          </w:p>
          <w:p w14:paraId="22D05C92" w14:textId="77777777" w:rsidR="00BE6A29" w:rsidRPr="00180345" w:rsidRDefault="00BE6A29" w:rsidP="00BE6A29">
            <w:pPr>
              <w:tabs>
                <w:tab w:val="left" w:pos="341"/>
              </w:tabs>
              <w:spacing w:line="276" w:lineRule="auto"/>
              <w:ind w:left="3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5) contribuirea la realizarea procesului de reinginerie și digitizare al serviciilor publice în vederea eficientizării proceselor operaționale și reducerii costurilor;</w:t>
            </w:r>
          </w:p>
          <w:p w14:paraId="2E7C14E6" w14:textId="77777777" w:rsidR="00BE6A29" w:rsidRPr="00180345" w:rsidRDefault="00BE6A29" w:rsidP="00BE6A29">
            <w:pPr>
              <w:tabs>
                <w:tab w:val="left" w:pos="341"/>
              </w:tabs>
              <w:spacing w:line="276" w:lineRule="auto"/>
              <w:ind w:left="3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6) crearea, dezvoltarea și administrarea activității rețelei de subdiviziuni teritoriale de prestare a serviciilor publice;</w:t>
            </w:r>
          </w:p>
          <w:p w14:paraId="693A7672" w14:textId="77777777" w:rsidR="00BE6A29" w:rsidRPr="00180345" w:rsidRDefault="00BE6A29" w:rsidP="00BE6A29">
            <w:pPr>
              <w:tabs>
                <w:tab w:val="left" w:pos="341"/>
              </w:tabs>
              <w:spacing w:line="276" w:lineRule="auto"/>
              <w:ind w:left="3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7) crearea, posesia și dezvoltarea sistemelor și resurselor informaționale de stat în domeniile de competență</w:t>
            </w:r>
            <w:r>
              <w:rPr>
                <w:rFonts w:ascii="Times New Roman" w:eastAsia="Times New Roman" w:hAnsi="Times New Roman" w:cs="Times New Roman"/>
                <w:sz w:val="18"/>
                <w:szCs w:val="18"/>
              </w:rPr>
              <w:t>;</w:t>
            </w:r>
          </w:p>
          <w:p w14:paraId="02DEEAC7" w14:textId="77777777" w:rsidR="00BE6A29" w:rsidRPr="00180345" w:rsidRDefault="00BE6A29" w:rsidP="00BE6A29">
            <w:pPr>
              <w:tabs>
                <w:tab w:val="left" w:pos="341"/>
              </w:tabs>
              <w:spacing w:line="276" w:lineRule="auto"/>
              <w:ind w:left="3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8) implementarea Programului de dob</w:t>
            </w:r>
            <w:r>
              <w:rPr>
                <w:rFonts w:ascii="Times New Roman" w:eastAsia="Times New Roman" w:hAnsi="Times New Roman" w:cs="Times New Roman"/>
                <w:sz w:val="18"/>
                <w:szCs w:val="18"/>
              </w:rPr>
              <w:t>â</w:t>
            </w:r>
            <w:r w:rsidRPr="00180345">
              <w:rPr>
                <w:rFonts w:ascii="Times New Roman" w:eastAsia="Times New Roman" w:hAnsi="Times New Roman" w:cs="Times New Roman"/>
                <w:sz w:val="18"/>
                <w:szCs w:val="18"/>
              </w:rPr>
              <w:t>ndire a cetățeniei Republicii Moldova prin investiție</w:t>
            </w:r>
            <w:r>
              <w:rPr>
                <w:rFonts w:ascii="Times New Roman" w:eastAsia="Times New Roman" w:hAnsi="Times New Roman" w:cs="Times New Roman"/>
                <w:sz w:val="18"/>
                <w:szCs w:val="18"/>
              </w:rPr>
              <w:t>.</w:t>
            </w:r>
          </w:p>
        </w:tc>
        <w:tc>
          <w:tcPr>
            <w:tcW w:w="1418" w:type="dxa"/>
            <w:tcBorders>
              <w:top w:val="none" w:sz="0" w:space="0" w:color="auto"/>
              <w:bottom w:val="none" w:sz="0" w:space="0" w:color="auto"/>
            </w:tcBorders>
          </w:tcPr>
          <w:p w14:paraId="3CE19555" w14:textId="77777777" w:rsidR="00BE6A29" w:rsidRPr="00180345" w:rsidRDefault="00BE6A29" w:rsidP="00BE6A29">
            <w:pPr>
              <w:pStyle w:val="a7"/>
              <w:tabs>
                <w:tab w:val="left" w:pos="39"/>
                <w:tab w:val="left" w:pos="322"/>
              </w:tabs>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3521,5 unități de personal</w:t>
            </w:r>
          </w:p>
        </w:tc>
      </w:tr>
    </w:tbl>
    <w:p w14:paraId="40E88CC3" w14:textId="77777777" w:rsidR="00BE6A29" w:rsidRPr="00000D4A" w:rsidRDefault="00BE6A29" w:rsidP="00BE6A29">
      <w:pPr>
        <w:pStyle w:val="af0"/>
        <w:tabs>
          <w:tab w:val="left" w:pos="5869"/>
        </w:tabs>
        <w:spacing w:after="360" w:line="276" w:lineRule="auto"/>
        <w:rPr>
          <w:rFonts w:eastAsia="Times New Roman"/>
          <w:i/>
          <w:sz w:val="16"/>
          <w:szCs w:val="16"/>
          <w:lang w:eastAsia="ro-MD"/>
        </w:rPr>
      </w:pPr>
      <w:r w:rsidRPr="00000D4A">
        <w:rPr>
          <w:rFonts w:eastAsia="Times New Roman"/>
          <w:b/>
          <w:i/>
          <w:sz w:val="16"/>
          <w:szCs w:val="16"/>
          <w:lang w:eastAsia="ro-MD"/>
        </w:rPr>
        <w:t>Sursă:</w:t>
      </w:r>
      <w:r w:rsidRPr="00000D4A">
        <w:rPr>
          <w:rFonts w:eastAsia="Times New Roman"/>
          <w:i/>
          <w:sz w:val="16"/>
          <w:szCs w:val="16"/>
          <w:lang w:eastAsia="ro-MD"/>
        </w:rPr>
        <w:t xml:space="preserve"> Elaborată în baza  prevederilor legale.</w:t>
      </w:r>
    </w:p>
    <w:p w14:paraId="053A2E2B" w14:textId="60408C6E" w:rsidR="00E52AC1" w:rsidRDefault="00E52AC1" w:rsidP="00E52AC1">
      <w:pPr>
        <w:ind w:right="282"/>
        <w:jc w:val="both"/>
        <w:rPr>
          <w:rFonts w:ascii="Times New Roman" w:hAnsi="Times New Roman" w:cs="Times New Roman"/>
          <w:b/>
          <w:color w:val="0070C0"/>
          <w:sz w:val="24"/>
          <w:szCs w:val="24"/>
        </w:rPr>
      </w:pPr>
      <w:r w:rsidRPr="00020FF9">
        <w:rPr>
          <w:rFonts w:ascii="Times New Roman" w:hAnsi="Times New Roman" w:cs="Times New Roman"/>
          <w:b/>
          <w:color w:val="0070C0"/>
          <w:sz w:val="24"/>
          <w:szCs w:val="24"/>
        </w:rPr>
        <w:t>Anexa nr.</w:t>
      </w:r>
      <w:r>
        <w:rPr>
          <w:rFonts w:ascii="Times New Roman" w:hAnsi="Times New Roman" w:cs="Times New Roman"/>
          <w:b/>
          <w:color w:val="0070C0"/>
          <w:sz w:val="24"/>
          <w:szCs w:val="24"/>
        </w:rPr>
        <w:t>2</w:t>
      </w:r>
      <w:r w:rsidR="007973F6">
        <w:rPr>
          <w:rFonts w:ascii="Times New Roman" w:hAnsi="Times New Roman" w:cs="Times New Roman"/>
          <w:b/>
          <w:color w:val="0070C0"/>
          <w:sz w:val="24"/>
          <w:szCs w:val="24"/>
        </w:rPr>
        <w:t>:</w:t>
      </w:r>
      <w:r w:rsidR="00BA69A9">
        <w:rPr>
          <w:rFonts w:ascii="Times New Roman" w:hAnsi="Times New Roman" w:cs="Times New Roman"/>
          <w:b/>
          <w:color w:val="0070C0"/>
          <w:sz w:val="24"/>
          <w:szCs w:val="24"/>
        </w:rPr>
        <w:t xml:space="preserve"> </w:t>
      </w:r>
      <w:r w:rsidRPr="0007776D">
        <w:rPr>
          <w:rFonts w:ascii="Times New Roman" w:hAnsi="Times New Roman" w:cs="Times New Roman"/>
          <w:b/>
          <w:color w:val="0070C0"/>
          <w:sz w:val="24"/>
          <w:szCs w:val="24"/>
        </w:rPr>
        <w:t>Informația</w:t>
      </w:r>
      <w:r>
        <w:rPr>
          <w:rFonts w:ascii="Times New Roman" w:hAnsi="Times New Roman" w:cs="Times New Roman"/>
          <w:b/>
          <w:color w:val="0070C0"/>
          <w:sz w:val="24"/>
          <w:szCs w:val="24"/>
        </w:rPr>
        <w:t xml:space="preserve"> cheltuielilor executate în anii 2018-2022 de către CS și I</w:t>
      </w:r>
      <w:r w:rsidR="003C5DF4">
        <w:rPr>
          <w:rFonts w:ascii="Times New Roman" w:hAnsi="Times New Roman" w:cs="Times New Roman"/>
          <w:b/>
          <w:color w:val="0070C0"/>
          <w:sz w:val="24"/>
          <w:szCs w:val="24"/>
        </w:rPr>
        <w:t>.</w:t>
      </w:r>
      <w:r>
        <w:rPr>
          <w:rFonts w:ascii="Times New Roman" w:hAnsi="Times New Roman" w:cs="Times New Roman"/>
          <w:b/>
          <w:color w:val="0070C0"/>
          <w:sz w:val="24"/>
          <w:szCs w:val="24"/>
        </w:rPr>
        <w:t>P</w:t>
      </w:r>
      <w:r w:rsidR="003C5DF4">
        <w:rPr>
          <w:rFonts w:ascii="Times New Roman" w:hAnsi="Times New Roman" w:cs="Times New Roman"/>
          <w:b/>
          <w:color w:val="0070C0"/>
          <w:sz w:val="24"/>
          <w:szCs w:val="24"/>
        </w:rPr>
        <w:t>.</w:t>
      </w:r>
      <w:r>
        <w:rPr>
          <w:rFonts w:ascii="Times New Roman" w:hAnsi="Times New Roman" w:cs="Times New Roman"/>
          <w:b/>
          <w:color w:val="0070C0"/>
          <w:sz w:val="24"/>
          <w:szCs w:val="24"/>
        </w:rPr>
        <w:t xml:space="preserve"> monitorizate și</w:t>
      </w:r>
      <w:r w:rsidRPr="0007776D">
        <w:rPr>
          <w:rFonts w:ascii="Times New Roman" w:hAnsi="Times New Roman" w:cs="Times New Roman"/>
          <w:b/>
          <w:color w:val="0070C0"/>
          <w:sz w:val="24"/>
          <w:szCs w:val="24"/>
        </w:rPr>
        <w:t xml:space="preserve"> descifrată pe tipuri de finanțare</w:t>
      </w:r>
      <w:r>
        <w:rPr>
          <w:rFonts w:ascii="Times New Roman" w:hAnsi="Times New Roman" w:cs="Times New Roman"/>
          <w:b/>
          <w:color w:val="0070C0"/>
          <w:sz w:val="24"/>
          <w:szCs w:val="24"/>
        </w:rPr>
        <w:t xml:space="preserve">, </w:t>
      </w:r>
      <w:r w:rsidRPr="00CE6499">
        <w:rPr>
          <w:rFonts w:ascii="Times New Roman" w:hAnsi="Times New Roman" w:cs="Times New Roman"/>
          <w:b/>
          <w:color w:val="0070C0"/>
          <w:sz w:val="24"/>
          <w:szCs w:val="24"/>
        </w:rPr>
        <w:t xml:space="preserve">inclusiv </w:t>
      </w:r>
      <w:r>
        <w:rPr>
          <w:rFonts w:ascii="Times New Roman" w:hAnsi="Times New Roman" w:cs="Times New Roman"/>
          <w:b/>
          <w:color w:val="0070C0"/>
          <w:sz w:val="24"/>
          <w:szCs w:val="24"/>
        </w:rPr>
        <w:t xml:space="preserve">alocate </w:t>
      </w:r>
      <w:r w:rsidRPr="00CE6499">
        <w:rPr>
          <w:rFonts w:ascii="Times New Roman" w:hAnsi="Times New Roman" w:cs="Times New Roman"/>
          <w:b/>
          <w:color w:val="0070C0"/>
          <w:sz w:val="24"/>
          <w:szCs w:val="24"/>
        </w:rPr>
        <w:t xml:space="preserve">sub formă de resurse </w:t>
      </w:r>
      <w:r>
        <w:rPr>
          <w:rFonts w:ascii="Times New Roman" w:hAnsi="Times New Roman" w:cs="Times New Roman"/>
          <w:b/>
          <w:color w:val="0070C0"/>
          <w:sz w:val="24"/>
          <w:szCs w:val="24"/>
        </w:rPr>
        <w:t>generale, subvenții și granturi.</w:t>
      </w:r>
    </w:p>
    <w:tbl>
      <w:tblPr>
        <w:tblW w:w="9701" w:type="dxa"/>
        <w:tblInd w:w="-5" w:type="dxa"/>
        <w:tblLook w:val="04A0" w:firstRow="1" w:lastRow="0" w:firstColumn="1" w:lastColumn="0" w:noHBand="0" w:noVBand="1"/>
      </w:tblPr>
      <w:tblGrid>
        <w:gridCol w:w="589"/>
        <w:gridCol w:w="2813"/>
        <w:gridCol w:w="1260"/>
        <w:gridCol w:w="1859"/>
        <w:gridCol w:w="1460"/>
        <w:gridCol w:w="1720"/>
      </w:tblGrid>
      <w:tr w:rsidR="00E52AC1" w:rsidRPr="00E44A0E" w14:paraId="225C508E" w14:textId="77777777" w:rsidTr="00180345">
        <w:trPr>
          <w:trHeight w:val="468"/>
        </w:trPr>
        <w:tc>
          <w:tcPr>
            <w:tcW w:w="58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9D34759" w14:textId="77777777" w:rsidR="00E52AC1" w:rsidRPr="00820A80" w:rsidRDefault="00E52AC1" w:rsidP="00E52AC1">
            <w:pPr>
              <w:spacing w:after="0" w:line="240" w:lineRule="auto"/>
              <w:jc w:val="center"/>
              <w:rPr>
                <w:rFonts w:eastAsia="Times New Roman" w:cstheme="minorHAnsi"/>
                <w:i/>
                <w:color w:val="000000"/>
                <w:sz w:val="18"/>
                <w:szCs w:val="18"/>
              </w:rPr>
            </w:pPr>
            <w:r w:rsidRPr="00820A80">
              <w:rPr>
                <w:rFonts w:eastAsia="Times New Roman" w:cstheme="minorHAnsi"/>
                <w:i/>
                <w:color w:val="000000"/>
                <w:sz w:val="18"/>
                <w:szCs w:val="18"/>
              </w:rPr>
              <w:t>N/O</w:t>
            </w:r>
          </w:p>
        </w:tc>
        <w:tc>
          <w:tcPr>
            <w:tcW w:w="2813" w:type="dxa"/>
            <w:vMerge w:val="restart"/>
            <w:tcBorders>
              <w:top w:val="single" w:sz="4" w:space="0" w:color="auto"/>
              <w:left w:val="nil"/>
              <w:bottom w:val="single" w:sz="4" w:space="0" w:color="auto"/>
              <w:right w:val="single" w:sz="4" w:space="0" w:color="auto"/>
            </w:tcBorders>
            <w:shd w:val="clear" w:color="auto" w:fill="auto"/>
            <w:vAlign w:val="center"/>
            <w:hideMark/>
          </w:tcPr>
          <w:p w14:paraId="2964E5D1" w14:textId="77777777" w:rsidR="00E52AC1" w:rsidRPr="00820A80" w:rsidRDefault="00E52AC1" w:rsidP="00E52AC1">
            <w:pPr>
              <w:spacing w:after="0" w:line="240" w:lineRule="auto"/>
              <w:jc w:val="center"/>
              <w:rPr>
                <w:rFonts w:eastAsia="Times New Roman" w:cstheme="minorHAnsi"/>
                <w:i/>
                <w:sz w:val="18"/>
                <w:szCs w:val="18"/>
              </w:rPr>
            </w:pPr>
            <w:r w:rsidRPr="00820A80">
              <w:rPr>
                <w:rFonts w:eastAsia="Times New Roman" w:cstheme="minorHAnsi"/>
                <w:i/>
                <w:sz w:val="18"/>
                <w:szCs w:val="18"/>
              </w:rPr>
              <w:t>Denumirea</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D15D84" w14:textId="77777777" w:rsidR="00E52AC1" w:rsidRPr="00820A80" w:rsidRDefault="00E52AC1" w:rsidP="00E52AC1">
            <w:pPr>
              <w:spacing w:after="0" w:line="240" w:lineRule="auto"/>
              <w:jc w:val="center"/>
              <w:rPr>
                <w:rFonts w:eastAsia="Times New Roman" w:cstheme="minorHAnsi"/>
                <w:i/>
                <w:sz w:val="18"/>
                <w:szCs w:val="18"/>
              </w:rPr>
            </w:pPr>
            <w:r w:rsidRPr="00820A80">
              <w:rPr>
                <w:rFonts w:eastAsia="Times New Roman" w:cstheme="minorHAnsi"/>
                <w:i/>
                <w:sz w:val="18"/>
                <w:szCs w:val="18"/>
              </w:rPr>
              <w:t xml:space="preserve">Executat </w:t>
            </w:r>
          </w:p>
        </w:tc>
        <w:tc>
          <w:tcPr>
            <w:tcW w:w="18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FD5B94" w14:textId="77777777" w:rsidR="00E52AC1" w:rsidRPr="00820A80" w:rsidRDefault="00E52AC1" w:rsidP="00E52AC1">
            <w:pPr>
              <w:spacing w:after="0" w:line="240" w:lineRule="auto"/>
              <w:jc w:val="center"/>
              <w:rPr>
                <w:rFonts w:eastAsia="Times New Roman" w:cstheme="minorHAnsi"/>
                <w:i/>
                <w:sz w:val="18"/>
                <w:szCs w:val="18"/>
              </w:rPr>
            </w:pPr>
            <w:r w:rsidRPr="00820A80">
              <w:rPr>
                <w:rFonts w:eastAsia="Times New Roman" w:cstheme="minorHAnsi"/>
                <w:i/>
                <w:sz w:val="18"/>
                <w:szCs w:val="18"/>
              </w:rPr>
              <w:t xml:space="preserve">Analiza în structură, ponderea per-instituție din total </w:t>
            </w:r>
            <w:r>
              <w:rPr>
                <w:rFonts w:eastAsia="Times New Roman" w:cstheme="minorHAnsi"/>
                <w:i/>
                <w:sz w:val="18"/>
                <w:szCs w:val="18"/>
              </w:rPr>
              <w:t>cheltuielilor executate</w:t>
            </w:r>
          </w:p>
        </w:tc>
        <w:tc>
          <w:tcPr>
            <w:tcW w:w="1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AF39AB" w14:textId="77777777" w:rsidR="00E52AC1" w:rsidRPr="00820A80" w:rsidRDefault="00E52AC1" w:rsidP="00E52AC1">
            <w:pPr>
              <w:spacing w:after="0" w:line="240" w:lineRule="auto"/>
              <w:jc w:val="center"/>
              <w:rPr>
                <w:rFonts w:eastAsia="Times New Roman" w:cstheme="minorHAnsi"/>
                <w:i/>
                <w:color w:val="000000"/>
                <w:sz w:val="18"/>
                <w:szCs w:val="18"/>
              </w:rPr>
            </w:pPr>
            <w:r w:rsidRPr="00820A80">
              <w:rPr>
                <w:rFonts w:eastAsia="Times New Roman" w:cstheme="minorHAnsi"/>
                <w:i/>
                <w:color w:val="000000"/>
                <w:sz w:val="18"/>
                <w:szCs w:val="18"/>
              </w:rPr>
              <w:t>Executat pe tip de finanțare</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444D75" w14:textId="77777777" w:rsidR="00E52AC1" w:rsidRPr="00820A80" w:rsidRDefault="00E52AC1" w:rsidP="00E52AC1">
            <w:pPr>
              <w:spacing w:after="0" w:line="240" w:lineRule="auto"/>
              <w:jc w:val="center"/>
              <w:rPr>
                <w:rFonts w:eastAsia="Times New Roman" w:cstheme="minorHAnsi"/>
                <w:i/>
                <w:sz w:val="18"/>
                <w:szCs w:val="18"/>
              </w:rPr>
            </w:pPr>
            <w:r w:rsidRPr="00820A80">
              <w:rPr>
                <w:rFonts w:eastAsia="Times New Roman" w:cstheme="minorHAnsi"/>
                <w:i/>
                <w:sz w:val="18"/>
                <w:szCs w:val="18"/>
              </w:rPr>
              <w:t>Tip de finanțare</w:t>
            </w:r>
          </w:p>
        </w:tc>
      </w:tr>
      <w:tr w:rsidR="00E52AC1" w:rsidRPr="00E44A0E" w14:paraId="36E84E71" w14:textId="77777777" w:rsidTr="00180345">
        <w:trPr>
          <w:trHeight w:val="450"/>
        </w:trPr>
        <w:tc>
          <w:tcPr>
            <w:tcW w:w="589" w:type="dxa"/>
            <w:vMerge/>
            <w:tcBorders>
              <w:top w:val="single" w:sz="4" w:space="0" w:color="auto"/>
              <w:left w:val="single" w:sz="4" w:space="0" w:color="auto"/>
              <w:bottom w:val="single" w:sz="4" w:space="0" w:color="000000"/>
              <w:right w:val="single" w:sz="4" w:space="0" w:color="auto"/>
            </w:tcBorders>
            <w:vAlign w:val="center"/>
            <w:hideMark/>
          </w:tcPr>
          <w:p w14:paraId="4A8B2343" w14:textId="77777777" w:rsidR="00E52AC1" w:rsidRPr="00E44A0E" w:rsidRDefault="00E52AC1" w:rsidP="00E52AC1">
            <w:pPr>
              <w:spacing w:after="0" w:line="240" w:lineRule="auto"/>
              <w:rPr>
                <w:rFonts w:eastAsia="Times New Roman" w:cstheme="minorHAnsi"/>
                <w:color w:val="000000"/>
              </w:rPr>
            </w:pPr>
          </w:p>
        </w:tc>
        <w:tc>
          <w:tcPr>
            <w:tcW w:w="2813" w:type="dxa"/>
            <w:vMerge/>
            <w:tcBorders>
              <w:top w:val="single" w:sz="4" w:space="0" w:color="auto"/>
              <w:left w:val="nil"/>
              <w:bottom w:val="single" w:sz="4" w:space="0" w:color="auto"/>
              <w:right w:val="single" w:sz="4" w:space="0" w:color="auto"/>
            </w:tcBorders>
            <w:vAlign w:val="center"/>
            <w:hideMark/>
          </w:tcPr>
          <w:p w14:paraId="56D4ACB6" w14:textId="77777777" w:rsidR="00E52AC1" w:rsidRPr="00E44A0E" w:rsidRDefault="00E52AC1" w:rsidP="00E52AC1">
            <w:pPr>
              <w:spacing w:after="0" w:line="240" w:lineRule="auto"/>
              <w:rPr>
                <w:rFonts w:eastAsia="Times New Roman" w:cstheme="minorHAnsi"/>
                <w:sz w:val="18"/>
                <w:szCs w:val="18"/>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37F2A71F" w14:textId="77777777" w:rsidR="00E52AC1" w:rsidRPr="00E44A0E" w:rsidRDefault="00E52AC1" w:rsidP="00E52AC1">
            <w:pPr>
              <w:spacing w:after="0" w:line="240" w:lineRule="auto"/>
              <w:rPr>
                <w:rFonts w:eastAsia="Times New Roman" w:cstheme="minorHAnsi"/>
                <w:sz w:val="20"/>
                <w:szCs w:val="20"/>
              </w:rPr>
            </w:pPr>
          </w:p>
        </w:tc>
        <w:tc>
          <w:tcPr>
            <w:tcW w:w="1859" w:type="dxa"/>
            <w:vMerge/>
            <w:tcBorders>
              <w:top w:val="single" w:sz="4" w:space="0" w:color="auto"/>
              <w:left w:val="single" w:sz="4" w:space="0" w:color="auto"/>
              <w:bottom w:val="single" w:sz="4" w:space="0" w:color="000000"/>
              <w:right w:val="single" w:sz="4" w:space="0" w:color="auto"/>
            </w:tcBorders>
            <w:vAlign w:val="center"/>
            <w:hideMark/>
          </w:tcPr>
          <w:p w14:paraId="73022467" w14:textId="77777777" w:rsidR="00E52AC1" w:rsidRPr="00E44A0E" w:rsidRDefault="00E52AC1" w:rsidP="00E52AC1">
            <w:pPr>
              <w:spacing w:after="0" w:line="240" w:lineRule="auto"/>
              <w:rPr>
                <w:rFonts w:eastAsia="Times New Roman" w:cstheme="minorHAnsi"/>
                <w:sz w:val="16"/>
                <w:szCs w:val="16"/>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14:paraId="343B82F2" w14:textId="77777777" w:rsidR="00E52AC1" w:rsidRPr="00E44A0E" w:rsidRDefault="00E52AC1" w:rsidP="00E52AC1">
            <w:pPr>
              <w:spacing w:after="0" w:line="240" w:lineRule="auto"/>
              <w:rPr>
                <w:rFonts w:eastAsia="Times New Roman" w:cstheme="minorHAnsi"/>
                <w:color w:val="000000"/>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14:paraId="6A1B5DBF" w14:textId="77777777" w:rsidR="00E52AC1" w:rsidRPr="00E44A0E" w:rsidRDefault="00E52AC1" w:rsidP="00E52AC1">
            <w:pPr>
              <w:spacing w:after="0" w:line="240" w:lineRule="auto"/>
              <w:rPr>
                <w:rFonts w:eastAsia="Times New Roman" w:cstheme="minorHAnsi"/>
                <w:sz w:val="20"/>
                <w:szCs w:val="20"/>
              </w:rPr>
            </w:pPr>
          </w:p>
        </w:tc>
      </w:tr>
      <w:tr w:rsidR="00E52AC1" w:rsidRPr="00E44A0E" w14:paraId="396B7C80" w14:textId="77777777" w:rsidTr="00180345">
        <w:trPr>
          <w:trHeight w:val="288"/>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14:paraId="091607AA" w14:textId="4BA9D16F" w:rsidR="00E52AC1" w:rsidRPr="00E44A0E" w:rsidRDefault="00E52AC1" w:rsidP="00E52AC1">
            <w:pPr>
              <w:spacing w:after="0" w:line="240" w:lineRule="auto"/>
              <w:rPr>
                <w:rFonts w:eastAsia="Times New Roman" w:cstheme="minorHAnsi"/>
                <w:color w:val="000000"/>
              </w:rPr>
            </w:pPr>
            <w:r w:rsidRPr="00E44A0E">
              <w:rPr>
                <w:rFonts w:eastAsia="Times New Roman" w:cstheme="minorHAnsi"/>
                <w:color w:val="000000"/>
              </w:rPr>
              <w:t> </w:t>
            </w:r>
            <w:r w:rsidR="00180345">
              <w:rPr>
                <w:rFonts w:eastAsia="Times New Roman" w:cstheme="minorHAnsi"/>
                <w:color w:val="000000"/>
              </w:rPr>
              <w:t>*</w:t>
            </w:r>
          </w:p>
        </w:tc>
        <w:tc>
          <w:tcPr>
            <w:tcW w:w="2813" w:type="dxa"/>
            <w:tcBorders>
              <w:top w:val="nil"/>
              <w:left w:val="nil"/>
              <w:bottom w:val="single" w:sz="4" w:space="0" w:color="auto"/>
              <w:right w:val="single" w:sz="4" w:space="0" w:color="auto"/>
            </w:tcBorders>
            <w:shd w:val="clear" w:color="auto" w:fill="auto"/>
            <w:vAlign w:val="center"/>
            <w:hideMark/>
          </w:tcPr>
          <w:p w14:paraId="2D30CA98" w14:textId="77777777" w:rsidR="00E52AC1" w:rsidRPr="00E44A0E" w:rsidRDefault="00E52AC1" w:rsidP="00E52AC1">
            <w:pPr>
              <w:spacing w:after="0" w:line="240" w:lineRule="auto"/>
              <w:jc w:val="center"/>
              <w:rPr>
                <w:rFonts w:eastAsia="Times New Roman" w:cstheme="minorHAnsi"/>
                <w:sz w:val="18"/>
                <w:szCs w:val="18"/>
              </w:rPr>
            </w:pPr>
            <w:r w:rsidRPr="00E44A0E">
              <w:rPr>
                <w:rFonts w:eastAsia="Times New Roman" w:cstheme="minorHAnsi"/>
                <w:sz w:val="18"/>
                <w:szCs w:val="18"/>
              </w:rPr>
              <w:t>1</w:t>
            </w:r>
          </w:p>
        </w:tc>
        <w:tc>
          <w:tcPr>
            <w:tcW w:w="1260" w:type="dxa"/>
            <w:tcBorders>
              <w:top w:val="nil"/>
              <w:left w:val="nil"/>
              <w:bottom w:val="single" w:sz="4" w:space="0" w:color="auto"/>
              <w:right w:val="single" w:sz="4" w:space="0" w:color="auto"/>
            </w:tcBorders>
            <w:shd w:val="clear" w:color="auto" w:fill="auto"/>
            <w:noWrap/>
            <w:vAlign w:val="center"/>
            <w:hideMark/>
          </w:tcPr>
          <w:p w14:paraId="43D8E7C9" w14:textId="110687C1" w:rsidR="00E52AC1" w:rsidRPr="00E44A0E" w:rsidRDefault="00180345" w:rsidP="00E52AC1">
            <w:pPr>
              <w:spacing w:after="0" w:line="240" w:lineRule="auto"/>
              <w:jc w:val="center"/>
              <w:rPr>
                <w:rFonts w:eastAsia="Times New Roman" w:cstheme="minorHAnsi"/>
                <w:sz w:val="14"/>
                <w:szCs w:val="14"/>
              </w:rPr>
            </w:pPr>
            <w:r>
              <w:rPr>
                <w:rFonts w:eastAsia="Times New Roman" w:cstheme="minorHAnsi"/>
                <w:sz w:val="14"/>
                <w:szCs w:val="14"/>
              </w:rPr>
              <w:t>2</w:t>
            </w:r>
          </w:p>
        </w:tc>
        <w:tc>
          <w:tcPr>
            <w:tcW w:w="1859" w:type="dxa"/>
            <w:tcBorders>
              <w:top w:val="nil"/>
              <w:left w:val="nil"/>
              <w:bottom w:val="single" w:sz="4" w:space="0" w:color="auto"/>
              <w:right w:val="single" w:sz="4" w:space="0" w:color="auto"/>
            </w:tcBorders>
            <w:shd w:val="clear" w:color="auto" w:fill="auto"/>
            <w:noWrap/>
            <w:vAlign w:val="center"/>
            <w:hideMark/>
          </w:tcPr>
          <w:p w14:paraId="7340D731" w14:textId="70D81687" w:rsidR="00E52AC1" w:rsidRPr="00E44A0E" w:rsidRDefault="00180345" w:rsidP="00E52AC1">
            <w:pPr>
              <w:spacing w:after="0" w:line="240" w:lineRule="auto"/>
              <w:jc w:val="center"/>
              <w:rPr>
                <w:rFonts w:eastAsia="Times New Roman" w:cstheme="minorHAnsi"/>
                <w:color w:val="000000"/>
                <w:sz w:val="18"/>
                <w:szCs w:val="18"/>
              </w:rPr>
            </w:pPr>
            <w:r>
              <w:rPr>
                <w:rFonts w:eastAsia="Times New Roman" w:cstheme="minorHAnsi"/>
                <w:color w:val="000000"/>
                <w:sz w:val="18"/>
                <w:szCs w:val="18"/>
              </w:rPr>
              <w:t>3</w:t>
            </w:r>
            <w:r w:rsidR="00E52AC1" w:rsidRPr="00E44A0E">
              <w:rPr>
                <w:rFonts w:eastAsia="Times New Roman" w:cstheme="minorHAnsi"/>
                <w:color w:val="000000"/>
                <w:sz w:val="18"/>
                <w:szCs w:val="18"/>
              </w:rPr>
              <w:t> </w:t>
            </w:r>
          </w:p>
        </w:tc>
        <w:tc>
          <w:tcPr>
            <w:tcW w:w="1460" w:type="dxa"/>
            <w:tcBorders>
              <w:top w:val="nil"/>
              <w:left w:val="nil"/>
              <w:bottom w:val="single" w:sz="4" w:space="0" w:color="auto"/>
              <w:right w:val="single" w:sz="4" w:space="0" w:color="auto"/>
            </w:tcBorders>
            <w:shd w:val="clear" w:color="auto" w:fill="auto"/>
            <w:noWrap/>
            <w:vAlign w:val="center"/>
            <w:hideMark/>
          </w:tcPr>
          <w:p w14:paraId="198C7674" w14:textId="0C1CABAE" w:rsidR="00E52AC1" w:rsidRPr="00E44A0E" w:rsidRDefault="00180345" w:rsidP="00E52AC1">
            <w:pPr>
              <w:spacing w:after="0" w:line="240" w:lineRule="auto"/>
              <w:jc w:val="center"/>
              <w:rPr>
                <w:rFonts w:eastAsia="Times New Roman" w:cstheme="minorHAnsi"/>
                <w:sz w:val="14"/>
                <w:szCs w:val="14"/>
              </w:rPr>
            </w:pPr>
            <w:r>
              <w:rPr>
                <w:rFonts w:eastAsia="Times New Roman" w:cstheme="minorHAnsi"/>
                <w:sz w:val="14"/>
                <w:szCs w:val="14"/>
              </w:rPr>
              <w:t>4</w:t>
            </w:r>
          </w:p>
        </w:tc>
        <w:tc>
          <w:tcPr>
            <w:tcW w:w="1720" w:type="dxa"/>
            <w:tcBorders>
              <w:top w:val="nil"/>
              <w:left w:val="nil"/>
              <w:bottom w:val="single" w:sz="4" w:space="0" w:color="auto"/>
              <w:right w:val="single" w:sz="4" w:space="0" w:color="auto"/>
            </w:tcBorders>
            <w:shd w:val="clear" w:color="auto" w:fill="auto"/>
            <w:noWrap/>
            <w:vAlign w:val="center"/>
            <w:hideMark/>
          </w:tcPr>
          <w:p w14:paraId="3CA8F929" w14:textId="6C7D3554" w:rsidR="00E52AC1" w:rsidRPr="00E44A0E" w:rsidRDefault="00180345" w:rsidP="00180345">
            <w:pPr>
              <w:spacing w:after="0" w:line="240" w:lineRule="auto"/>
              <w:jc w:val="center"/>
              <w:rPr>
                <w:rFonts w:eastAsia="Times New Roman" w:cstheme="minorHAnsi"/>
                <w:color w:val="000000"/>
                <w:sz w:val="18"/>
                <w:szCs w:val="18"/>
              </w:rPr>
            </w:pPr>
            <w:r>
              <w:rPr>
                <w:rFonts w:eastAsia="Times New Roman" w:cstheme="minorHAnsi"/>
                <w:color w:val="000000"/>
                <w:sz w:val="18"/>
                <w:szCs w:val="18"/>
              </w:rPr>
              <w:t>5</w:t>
            </w:r>
          </w:p>
        </w:tc>
      </w:tr>
      <w:tr w:rsidR="00E52AC1" w:rsidRPr="00E44A0E" w14:paraId="4D1A8815" w14:textId="77777777" w:rsidTr="00180345">
        <w:trPr>
          <w:trHeight w:val="288"/>
        </w:trPr>
        <w:tc>
          <w:tcPr>
            <w:tcW w:w="3402" w:type="dxa"/>
            <w:gridSpan w:val="2"/>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6B9415D6" w14:textId="77777777" w:rsidR="00E52AC1" w:rsidRPr="00E44A0E" w:rsidRDefault="00E52AC1" w:rsidP="00E52AC1">
            <w:pPr>
              <w:spacing w:after="0" w:line="240" w:lineRule="auto"/>
              <w:jc w:val="center"/>
              <w:rPr>
                <w:rFonts w:eastAsia="Times New Roman" w:cstheme="minorHAnsi"/>
                <w:b/>
                <w:bCs/>
                <w:sz w:val="18"/>
                <w:szCs w:val="18"/>
              </w:rPr>
            </w:pPr>
            <w:r w:rsidRPr="00E44A0E">
              <w:rPr>
                <w:rFonts w:eastAsia="Times New Roman" w:cstheme="minorHAnsi"/>
                <w:b/>
                <w:bCs/>
                <w:sz w:val="18"/>
                <w:szCs w:val="18"/>
              </w:rPr>
              <w:t>TOTAL Cheltuieli 2018-2022</w:t>
            </w:r>
          </w:p>
        </w:tc>
        <w:tc>
          <w:tcPr>
            <w:tcW w:w="1260" w:type="dxa"/>
            <w:tcBorders>
              <w:top w:val="nil"/>
              <w:left w:val="nil"/>
              <w:bottom w:val="single" w:sz="4" w:space="0" w:color="auto"/>
              <w:right w:val="single" w:sz="4" w:space="0" w:color="auto"/>
            </w:tcBorders>
            <w:shd w:val="clear" w:color="000000" w:fill="DDEBF7"/>
            <w:noWrap/>
            <w:vAlign w:val="center"/>
            <w:hideMark/>
          </w:tcPr>
          <w:p w14:paraId="2B169CB1" w14:textId="524FDE4E" w:rsidR="00E52AC1" w:rsidRPr="00E44A0E" w:rsidRDefault="00BE6A29" w:rsidP="00BE6A29">
            <w:pPr>
              <w:spacing w:after="0" w:line="240" w:lineRule="auto"/>
              <w:jc w:val="right"/>
              <w:rPr>
                <w:rFonts w:eastAsia="Times New Roman" w:cstheme="minorHAnsi"/>
                <w:b/>
                <w:bCs/>
                <w:sz w:val="20"/>
                <w:szCs w:val="20"/>
              </w:rPr>
            </w:pPr>
            <w:r>
              <w:rPr>
                <w:rFonts w:eastAsia="Times New Roman" w:cstheme="minorHAnsi"/>
                <w:b/>
                <w:bCs/>
                <w:sz w:val="20"/>
                <w:szCs w:val="20"/>
              </w:rPr>
              <w:t xml:space="preserve">1 816 </w:t>
            </w:r>
            <w:r w:rsidR="00E52AC1" w:rsidRPr="00E44A0E">
              <w:rPr>
                <w:rFonts w:eastAsia="Times New Roman" w:cstheme="minorHAnsi"/>
                <w:b/>
                <w:bCs/>
                <w:sz w:val="20"/>
                <w:szCs w:val="20"/>
              </w:rPr>
              <w:t>459</w:t>
            </w:r>
            <w:r>
              <w:rPr>
                <w:rFonts w:eastAsia="Times New Roman" w:cstheme="minorHAnsi"/>
                <w:b/>
                <w:bCs/>
                <w:sz w:val="20"/>
                <w:szCs w:val="20"/>
              </w:rPr>
              <w:t>,</w:t>
            </w:r>
            <w:r w:rsidR="00E52AC1" w:rsidRPr="00E44A0E">
              <w:rPr>
                <w:rFonts w:eastAsia="Times New Roman" w:cstheme="minorHAnsi"/>
                <w:b/>
                <w:bCs/>
                <w:sz w:val="20"/>
                <w:szCs w:val="20"/>
              </w:rPr>
              <w:t>1</w:t>
            </w:r>
          </w:p>
        </w:tc>
        <w:tc>
          <w:tcPr>
            <w:tcW w:w="1859" w:type="dxa"/>
            <w:tcBorders>
              <w:top w:val="nil"/>
              <w:left w:val="nil"/>
              <w:bottom w:val="single" w:sz="4" w:space="0" w:color="auto"/>
              <w:right w:val="single" w:sz="4" w:space="0" w:color="auto"/>
            </w:tcBorders>
            <w:shd w:val="clear" w:color="000000" w:fill="DDEBF7"/>
            <w:noWrap/>
            <w:vAlign w:val="center"/>
            <w:hideMark/>
          </w:tcPr>
          <w:p w14:paraId="1D860626" w14:textId="77777777" w:rsidR="00E52AC1" w:rsidRPr="00E44A0E" w:rsidRDefault="00E52AC1" w:rsidP="00E52AC1">
            <w:pPr>
              <w:spacing w:after="0" w:line="240" w:lineRule="auto"/>
              <w:jc w:val="center"/>
              <w:rPr>
                <w:rFonts w:eastAsia="Times New Roman" w:cstheme="minorHAnsi"/>
                <w:b/>
                <w:bCs/>
                <w:sz w:val="20"/>
                <w:szCs w:val="20"/>
              </w:rPr>
            </w:pPr>
            <w:r w:rsidRPr="00E44A0E">
              <w:rPr>
                <w:rFonts w:eastAsia="Times New Roman" w:cstheme="minorHAnsi"/>
                <w:b/>
                <w:bCs/>
                <w:sz w:val="20"/>
                <w:szCs w:val="20"/>
              </w:rPr>
              <w:t>100%</w:t>
            </w:r>
          </w:p>
        </w:tc>
        <w:tc>
          <w:tcPr>
            <w:tcW w:w="1460" w:type="dxa"/>
            <w:tcBorders>
              <w:top w:val="nil"/>
              <w:left w:val="nil"/>
              <w:bottom w:val="single" w:sz="4" w:space="0" w:color="auto"/>
              <w:right w:val="single" w:sz="4" w:space="0" w:color="auto"/>
            </w:tcBorders>
            <w:shd w:val="clear" w:color="000000" w:fill="DDEBF7"/>
            <w:noWrap/>
            <w:vAlign w:val="center"/>
            <w:hideMark/>
          </w:tcPr>
          <w:p w14:paraId="39A69D19" w14:textId="2F303BE7" w:rsidR="00E52AC1" w:rsidRPr="00E44A0E" w:rsidRDefault="00BE6A29" w:rsidP="00BE6A29">
            <w:pPr>
              <w:spacing w:after="0" w:line="240" w:lineRule="auto"/>
              <w:jc w:val="right"/>
              <w:rPr>
                <w:rFonts w:eastAsia="Times New Roman" w:cstheme="minorHAnsi"/>
                <w:b/>
                <w:bCs/>
                <w:sz w:val="20"/>
                <w:szCs w:val="20"/>
              </w:rPr>
            </w:pPr>
            <w:r>
              <w:rPr>
                <w:rFonts w:eastAsia="Times New Roman" w:cstheme="minorHAnsi"/>
                <w:b/>
                <w:bCs/>
                <w:sz w:val="20"/>
                <w:szCs w:val="20"/>
              </w:rPr>
              <w:t xml:space="preserve">1 </w:t>
            </w:r>
            <w:r w:rsidR="00E52AC1" w:rsidRPr="00E44A0E">
              <w:rPr>
                <w:rFonts w:eastAsia="Times New Roman" w:cstheme="minorHAnsi"/>
                <w:b/>
                <w:bCs/>
                <w:sz w:val="20"/>
                <w:szCs w:val="20"/>
              </w:rPr>
              <w:t>816</w:t>
            </w:r>
            <w:r>
              <w:rPr>
                <w:rFonts w:eastAsia="Times New Roman" w:cstheme="minorHAnsi"/>
                <w:b/>
                <w:bCs/>
                <w:sz w:val="20"/>
                <w:szCs w:val="20"/>
              </w:rPr>
              <w:t xml:space="preserve"> 459,</w:t>
            </w:r>
            <w:r w:rsidR="00E52AC1" w:rsidRPr="00E44A0E">
              <w:rPr>
                <w:rFonts w:eastAsia="Times New Roman" w:cstheme="minorHAnsi"/>
                <w:b/>
                <w:bCs/>
                <w:sz w:val="20"/>
                <w:szCs w:val="20"/>
              </w:rPr>
              <w:t>1</w:t>
            </w:r>
          </w:p>
        </w:tc>
        <w:tc>
          <w:tcPr>
            <w:tcW w:w="1720" w:type="dxa"/>
            <w:tcBorders>
              <w:top w:val="nil"/>
              <w:left w:val="nil"/>
              <w:bottom w:val="single" w:sz="4" w:space="0" w:color="auto"/>
              <w:right w:val="single" w:sz="4" w:space="0" w:color="auto"/>
            </w:tcBorders>
            <w:shd w:val="clear" w:color="auto" w:fill="DEEAF6" w:themeFill="accent1" w:themeFillTint="33"/>
            <w:vAlign w:val="center"/>
            <w:hideMark/>
          </w:tcPr>
          <w:p w14:paraId="47E591E3" w14:textId="77777777" w:rsidR="00E52AC1" w:rsidRPr="00180345" w:rsidRDefault="00E52AC1" w:rsidP="00180345">
            <w:pPr>
              <w:spacing w:after="0" w:line="240" w:lineRule="auto"/>
              <w:jc w:val="right"/>
              <w:rPr>
                <w:rFonts w:eastAsia="Times New Roman" w:cstheme="minorHAnsi"/>
                <w:b/>
                <w:bCs/>
                <w:sz w:val="20"/>
                <w:szCs w:val="20"/>
              </w:rPr>
            </w:pPr>
            <w:r w:rsidRPr="00180345">
              <w:rPr>
                <w:rFonts w:eastAsia="Times New Roman" w:cstheme="minorHAnsi"/>
                <w:b/>
                <w:bCs/>
                <w:sz w:val="20"/>
                <w:szCs w:val="20"/>
              </w:rPr>
              <w:t> </w:t>
            </w:r>
          </w:p>
        </w:tc>
      </w:tr>
      <w:tr w:rsidR="00E52AC1" w:rsidRPr="00E44A0E" w14:paraId="6778A11C" w14:textId="77777777" w:rsidTr="00180345">
        <w:trPr>
          <w:trHeight w:val="288"/>
        </w:trPr>
        <w:tc>
          <w:tcPr>
            <w:tcW w:w="589" w:type="dxa"/>
            <w:vMerge w:val="restart"/>
            <w:tcBorders>
              <w:top w:val="nil"/>
              <w:left w:val="single" w:sz="4" w:space="0" w:color="auto"/>
              <w:bottom w:val="single" w:sz="4" w:space="0" w:color="000000"/>
              <w:right w:val="single" w:sz="4" w:space="0" w:color="auto"/>
            </w:tcBorders>
            <w:shd w:val="clear" w:color="auto" w:fill="auto"/>
            <w:noWrap/>
            <w:hideMark/>
          </w:tcPr>
          <w:p w14:paraId="0DE36692" w14:textId="77777777" w:rsidR="00E52AC1" w:rsidRPr="00180345" w:rsidRDefault="00E52AC1" w:rsidP="00E52AC1">
            <w:pPr>
              <w:spacing w:after="0" w:line="240" w:lineRule="auto"/>
              <w:jc w:val="center"/>
              <w:rPr>
                <w:rFonts w:ascii="Times New Roman" w:eastAsia="Times New Roman" w:hAnsi="Times New Roman" w:cs="Times New Roman"/>
                <w:b/>
                <w:bCs/>
                <w:i/>
                <w:iCs/>
                <w:color w:val="000000"/>
              </w:rPr>
            </w:pPr>
            <w:r w:rsidRPr="00180345">
              <w:rPr>
                <w:rFonts w:ascii="Times New Roman" w:eastAsia="Times New Roman" w:hAnsi="Times New Roman" w:cs="Times New Roman"/>
                <w:b/>
                <w:bCs/>
                <w:i/>
                <w:iCs/>
                <w:color w:val="000000"/>
              </w:rPr>
              <w:t>1</w:t>
            </w:r>
          </w:p>
        </w:tc>
        <w:tc>
          <w:tcPr>
            <w:tcW w:w="2813"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7E2B9D1" w14:textId="77777777" w:rsidR="00E52AC1" w:rsidRPr="00180345" w:rsidRDefault="00E52AC1" w:rsidP="00E52AC1">
            <w:pPr>
              <w:spacing w:after="0" w:line="240" w:lineRule="auto"/>
              <w:rPr>
                <w:rFonts w:ascii="Times New Roman" w:eastAsia="Times New Roman" w:hAnsi="Times New Roman" w:cs="Times New Roman"/>
                <w:b/>
                <w:bCs/>
                <w:sz w:val="18"/>
                <w:szCs w:val="18"/>
              </w:rPr>
            </w:pPr>
            <w:r w:rsidRPr="00180345">
              <w:rPr>
                <w:rFonts w:ascii="Times New Roman" w:eastAsia="Times New Roman" w:hAnsi="Times New Roman" w:cs="Times New Roman"/>
                <w:b/>
                <w:bCs/>
                <w:sz w:val="18"/>
                <w:szCs w:val="18"/>
              </w:rPr>
              <w:t>Cancelaria de Stat</w:t>
            </w:r>
          </w:p>
        </w:tc>
        <w:tc>
          <w:tcPr>
            <w:tcW w:w="1260" w:type="dxa"/>
            <w:vMerge w:val="restart"/>
            <w:tcBorders>
              <w:top w:val="nil"/>
              <w:left w:val="single" w:sz="4" w:space="0" w:color="auto"/>
              <w:bottom w:val="single" w:sz="4" w:space="0" w:color="000000"/>
              <w:right w:val="single" w:sz="4" w:space="0" w:color="auto"/>
            </w:tcBorders>
            <w:shd w:val="clear" w:color="auto" w:fill="auto"/>
            <w:noWrap/>
            <w:hideMark/>
          </w:tcPr>
          <w:p w14:paraId="7FFF6B67" w14:textId="458380B3" w:rsidR="00E52AC1" w:rsidRPr="00180345" w:rsidRDefault="00E52AC1" w:rsidP="00BE6A29">
            <w:pPr>
              <w:spacing w:after="0" w:line="240" w:lineRule="auto"/>
              <w:jc w:val="right"/>
              <w:rPr>
                <w:rFonts w:ascii="Times New Roman" w:eastAsia="Times New Roman" w:hAnsi="Times New Roman" w:cs="Times New Roman"/>
                <w:color w:val="000000"/>
                <w:sz w:val="18"/>
                <w:szCs w:val="18"/>
              </w:rPr>
            </w:pPr>
            <w:r w:rsidRPr="00180345">
              <w:rPr>
                <w:rFonts w:ascii="Times New Roman" w:eastAsia="Times New Roman" w:hAnsi="Times New Roman" w:cs="Times New Roman"/>
                <w:color w:val="000000"/>
                <w:sz w:val="18"/>
                <w:szCs w:val="18"/>
              </w:rPr>
              <w:t>348</w:t>
            </w:r>
            <w:r w:rsidR="00BE6A29">
              <w:rPr>
                <w:rFonts w:ascii="Times New Roman" w:eastAsia="Times New Roman" w:hAnsi="Times New Roman" w:cs="Times New Roman"/>
                <w:color w:val="000000"/>
                <w:sz w:val="18"/>
                <w:szCs w:val="18"/>
              </w:rPr>
              <w:t xml:space="preserve"> </w:t>
            </w:r>
            <w:r w:rsidRPr="00180345">
              <w:rPr>
                <w:rFonts w:ascii="Times New Roman" w:eastAsia="Times New Roman" w:hAnsi="Times New Roman" w:cs="Times New Roman"/>
                <w:color w:val="000000"/>
                <w:sz w:val="18"/>
                <w:szCs w:val="18"/>
              </w:rPr>
              <w:t>512</w:t>
            </w:r>
            <w:r w:rsidR="00BE6A29">
              <w:rPr>
                <w:rFonts w:ascii="Times New Roman" w:eastAsia="Times New Roman" w:hAnsi="Times New Roman" w:cs="Times New Roman"/>
                <w:color w:val="000000"/>
                <w:sz w:val="18"/>
                <w:szCs w:val="18"/>
              </w:rPr>
              <w:t>,</w:t>
            </w:r>
            <w:r w:rsidRPr="00180345">
              <w:rPr>
                <w:rFonts w:ascii="Times New Roman" w:eastAsia="Times New Roman" w:hAnsi="Times New Roman" w:cs="Times New Roman"/>
                <w:color w:val="000000"/>
                <w:sz w:val="18"/>
                <w:szCs w:val="18"/>
              </w:rPr>
              <w:t>00</w:t>
            </w:r>
          </w:p>
        </w:tc>
        <w:tc>
          <w:tcPr>
            <w:tcW w:w="1859" w:type="dxa"/>
            <w:vMerge w:val="restart"/>
            <w:tcBorders>
              <w:top w:val="nil"/>
              <w:left w:val="single" w:sz="4" w:space="0" w:color="auto"/>
              <w:bottom w:val="single" w:sz="4" w:space="0" w:color="000000"/>
              <w:right w:val="single" w:sz="4" w:space="0" w:color="auto"/>
            </w:tcBorders>
            <w:shd w:val="clear" w:color="auto" w:fill="auto"/>
            <w:noWrap/>
            <w:hideMark/>
          </w:tcPr>
          <w:p w14:paraId="04C83E84" w14:textId="77777777" w:rsidR="00E52AC1" w:rsidRPr="00180345" w:rsidRDefault="00E52AC1" w:rsidP="00E52AC1">
            <w:pPr>
              <w:spacing w:after="0" w:line="240" w:lineRule="auto"/>
              <w:jc w:val="center"/>
              <w:rPr>
                <w:rFonts w:ascii="Times New Roman" w:eastAsia="Times New Roman" w:hAnsi="Times New Roman" w:cs="Times New Roman"/>
                <w:color w:val="000000"/>
                <w:sz w:val="18"/>
                <w:szCs w:val="18"/>
              </w:rPr>
            </w:pPr>
            <w:r w:rsidRPr="00180345">
              <w:rPr>
                <w:rFonts w:ascii="Times New Roman" w:eastAsia="Times New Roman" w:hAnsi="Times New Roman" w:cs="Times New Roman"/>
                <w:color w:val="000000"/>
                <w:sz w:val="18"/>
                <w:szCs w:val="18"/>
              </w:rPr>
              <w:t>20%</w:t>
            </w:r>
          </w:p>
        </w:tc>
        <w:tc>
          <w:tcPr>
            <w:tcW w:w="1460" w:type="dxa"/>
            <w:vMerge w:val="restart"/>
            <w:tcBorders>
              <w:top w:val="nil"/>
              <w:left w:val="single" w:sz="4" w:space="0" w:color="auto"/>
              <w:bottom w:val="single" w:sz="4" w:space="0" w:color="000000"/>
              <w:right w:val="single" w:sz="4" w:space="0" w:color="auto"/>
            </w:tcBorders>
            <w:shd w:val="clear" w:color="auto" w:fill="auto"/>
            <w:noWrap/>
            <w:hideMark/>
          </w:tcPr>
          <w:p w14:paraId="1112F73E" w14:textId="58B4556F" w:rsidR="00E52AC1" w:rsidRPr="00180345" w:rsidRDefault="00BE6A29" w:rsidP="007101FD">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338 </w:t>
            </w:r>
            <w:r w:rsidR="00E52AC1" w:rsidRPr="00180345">
              <w:rPr>
                <w:rFonts w:ascii="Times New Roman" w:eastAsia="Times New Roman" w:hAnsi="Times New Roman" w:cs="Times New Roman"/>
                <w:color w:val="000000"/>
                <w:sz w:val="18"/>
                <w:szCs w:val="18"/>
              </w:rPr>
              <w:t>408</w:t>
            </w:r>
            <w:r>
              <w:rPr>
                <w:rFonts w:ascii="Times New Roman" w:eastAsia="Times New Roman" w:hAnsi="Times New Roman" w:cs="Times New Roman"/>
                <w:color w:val="000000"/>
                <w:sz w:val="18"/>
                <w:szCs w:val="18"/>
              </w:rPr>
              <w:t>,</w:t>
            </w:r>
            <w:r w:rsidR="00E52AC1" w:rsidRPr="00180345">
              <w:rPr>
                <w:rFonts w:ascii="Times New Roman" w:eastAsia="Times New Roman" w:hAnsi="Times New Roman" w:cs="Times New Roman"/>
                <w:color w:val="000000"/>
                <w:sz w:val="18"/>
                <w:szCs w:val="18"/>
              </w:rPr>
              <w:t>00</w:t>
            </w:r>
          </w:p>
        </w:tc>
        <w:tc>
          <w:tcPr>
            <w:tcW w:w="1720" w:type="dxa"/>
            <w:vMerge w:val="restart"/>
            <w:tcBorders>
              <w:top w:val="nil"/>
              <w:left w:val="single" w:sz="4" w:space="0" w:color="auto"/>
              <w:bottom w:val="single" w:sz="4" w:space="0" w:color="000000"/>
              <w:right w:val="single" w:sz="4" w:space="0" w:color="auto"/>
            </w:tcBorders>
            <w:shd w:val="clear" w:color="auto" w:fill="auto"/>
            <w:noWrap/>
            <w:hideMark/>
          </w:tcPr>
          <w:p w14:paraId="1FA3BC39" w14:textId="77777777" w:rsidR="00E52AC1" w:rsidRPr="00180345" w:rsidRDefault="00E52AC1" w:rsidP="00E52AC1">
            <w:pPr>
              <w:spacing w:after="0" w:line="240" w:lineRule="auto"/>
              <w:jc w:val="right"/>
              <w:rPr>
                <w:rFonts w:ascii="Times New Roman" w:eastAsia="Times New Roman" w:hAnsi="Times New Roman" w:cs="Times New Roman"/>
                <w:color w:val="000000"/>
                <w:sz w:val="16"/>
                <w:szCs w:val="16"/>
              </w:rPr>
            </w:pPr>
            <w:r w:rsidRPr="00180345">
              <w:rPr>
                <w:rFonts w:ascii="Times New Roman" w:eastAsia="Times New Roman" w:hAnsi="Times New Roman" w:cs="Times New Roman"/>
                <w:color w:val="000000"/>
                <w:sz w:val="16"/>
                <w:szCs w:val="16"/>
              </w:rPr>
              <w:t>resurse generale</w:t>
            </w:r>
          </w:p>
        </w:tc>
      </w:tr>
      <w:tr w:rsidR="00E52AC1" w:rsidRPr="00E44A0E" w14:paraId="60B4B6BB" w14:textId="77777777" w:rsidTr="00180345">
        <w:trPr>
          <w:trHeight w:val="450"/>
        </w:trPr>
        <w:tc>
          <w:tcPr>
            <w:tcW w:w="589" w:type="dxa"/>
            <w:vMerge/>
            <w:tcBorders>
              <w:top w:val="nil"/>
              <w:left w:val="single" w:sz="4" w:space="0" w:color="auto"/>
              <w:bottom w:val="single" w:sz="4" w:space="0" w:color="000000"/>
              <w:right w:val="single" w:sz="4" w:space="0" w:color="auto"/>
            </w:tcBorders>
            <w:hideMark/>
          </w:tcPr>
          <w:p w14:paraId="19C9972D" w14:textId="77777777" w:rsidR="00E52AC1" w:rsidRPr="00180345" w:rsidRDefault="00E52AC1" w:rsidP="00E52AC1">
            <w:pPr>
              <w:spacing w:after="0" w:line="240" w:lineRule="auto"/>
              <w:rPr>
                <w:rFonts w:ascii="Times New Roman" w:eastAsia="Times New Roman" w:hAnsi="Times New Roman" w:cs="Times New Roman"/>
                <w:b/>
                <w:bCs/>
                <w:i/>
                <w:iCs/>
                <w:color w:val="000000"/>
              </w:rPr>
            </w:pPr>
          </w:p>
        </w:tc>
        <w:tc>
          <w:tcPr>
            <w:tcW w:w="2813" w:type="dxa"/>
            <w:vMerge/>
            <w:tcBorders>
              <w:top w:val="single" w:sz="4" w:space="0" w:color="auto"/>
              <w:left w:val="single" w:sz="4" w:space="0" w:color="auto"/>
              <w:bottom w:val="single" w:sz="4" w:space="0" w:color="000000"/>
              <w:right w:val="single" w:sz="4" w:space="0" w:color="auto"/>
            </w:tcBorders>
            <w:hideMark/>
          </w:tcPr>
          <w:p w14:paraId="65B95151" w14:textId="77777777" w:rsidR="00E52AC1" w:rsidRPr="00180345" w:rsidRDefault="00E52AC1" w:rsidP="00E52AC1">
            <w:pPr>
              <w:spacing w:after="0" w:line="240" w:lineRule="auto"/>
              <w:rPr>
                <w:rFonts w:ascii="Times New Roman" w:eastAsia="Times New Roman" w:hAnsi="Times New Roman" w:cs="Times New Roman"/>
                <w:b/>
                <w:bCs/>
                <w:sz w:val="18"/>
                <w:szCs w:val="18"/>
              </w:rPr>
            </w:pPr>
          </w:p>
        </w:tc>
        <w:tc>
          <w:tcPr>
            <w:tcW w:w="1260" w:type="dxa"/>
            <w:vMerge/>
            <w:tcBorders>
              <w:top w:val="nil"/>
              <w:left w:val="single" w:sz="4" w:space="0" w:color="auto"/>
              <w:bottom w:val="single" w:sz="4" w:space="0" w:color="000000"/>
              <w:right w:val="single" w:sz="4" w:space="0" w:color="auto"/>
            </w:tcBorders>
            <w:hideMark/>
          </w:tcPr>
          <w:p w14:paraId="11718491" w14:textId="77777777" w:rsidR="00E52AC1" w:rsidRPr="00180345" w:rsidRDefault="00E52AC1" w:rsidP="00BE6A29">
            <w:pPr>
              <w:spacing w:after="0" w:line="240" w:lineRule="auto"/>
              <w:jc w:val="right"/>
              <w:rPr>
                <w:rFonts w:ascii="Times New Roman" w:eastAsia="Times New Roman" w:hAnsi="Times New Roman" w:cs="Times New Roman"/>
                <w:color w:val="000000"/>
                <w:sz w:val="18"/>
                <w:szCs w:val="18"/>
              </w:rPr>
            </w:pPr>
          </w:p>
        </w:tc>
        <w:tc>
          <w:tcPr>
            <w:tcW w:w="1859" w:type="dxa"/>
            <w:vMerge/>
            <w:tcBorders>
              <w:top w:val="nil"/>
              <w:left w:val="single" w:sz="4" w:space="0" w:color="auto"/>
              <w:bottom w:val="single" w:sz="4" w:space="0" w:color="000000"/>
              <w:right w:val="single" w:sz="4" w:space="0" w:color="auto"/>
            </w:tcBorders>
            <w:hideMark/>
          </w:tcPr>
          <w:p w14:paraId="4AF776FB" w14:textId="77777777" w:rsidR="00E52AC1" w:rsidRPr="00180345" w:rsidRDefault="00E52AC1" w:rsidP="00E52AC1">
            <w:pPr>
              <w:spacing w:after="0" w:line="240" w:lineRule="auto"/>
              <w:rPr>
                <w:rFonts w:ascii="Times New Roman" w:eastAsia="Times New Roman" w:hAnsi="Times New Roman" w:cs="Times New Roman"/>
                <w:color w:val="000000"/>
                <w:sz w:val="18"/>
                <w:szCs w:val="18"/>
              </w:rPr>
            </w:pPr>
          </w:p>
        </w:tc>
        <w:tc>
          <w:tcPr>
            <w:tcW w:w="1460" w:type="dxa"/>
            <w:vMerge/>
            <w:tcBorders>
              <w:top w:val="nil"/>
              <w:left w:val="single" w:sz="4" w:space="0" w:color="auto"/>
              <w:bottom w:val="single" w:sz="4" w:space="0" w:color="000000"/>
              <w:right w:val="single" w:sz="4" w:space="0" w:color="auto"/>
            </w:tcBorders>
            <w:hideMark/>
          </w:tcPr>
          <w:p w14:paraId="129C5FE4" w14:textId="77777777" w:rsidR="00E52AC1" w:rsidRPr="00180345" w:rsidRDefault="00E52AC1" w:rsidP="007101FD">
            <w:pPr>
              <w:spacing w:after="0" w:line="240" w:lineRule="auto"/>
              <w:jc w:val="right"/>
              <w:rPr>
                <w:rFonts w:ascii="Times New Roman" w:eastAsia="Times New Roman" w:hAnsi="Times New Roman" w:cs="Times New Roman"/>
                <w:color w:val="000000"/>
                <w:sz w:val="18"/>
                <w:szCs w:val="18"/>
              </w:rPr>
            </w:pPr>
          </w:p>
        </w:tc>
        <w:tc>
          <w:tcPr>
            <w:tcW w:w="1720" w:type="dxa"/>
            <w:vMerge/>
            <w:tcBorders>
              <w:top w:val="nil"/>
              <w:left w:val="single" w:sz="4" w:space="0" w:color="auto"/>
              <w:bottom w:val="single" w:sz="4" w:space="0" w:color="000000"/>
              <w:right w:val="single" w:sz="4" w:space="0" w:color="auto"/>
            </w:tcBorders>
            <w:hideMark/>
          </w:tcPr>
          <w:p w14:paraId="1417661A" w14:textId="77777777" w:rsidR="00E52AC1" w:rsidRPr="00180345" w:rsidRDefault="00E52AC1" w:rsidP="00E52AC1">
            <w:pPr>
              <w:spacing w:after="0" w:line="240" w:lineRule="auto"/>
              <w:rPr>
                <w:rFonts w:ascii="Times New Roman" w:eastAsia="Times New Roman" w:hAnsi="Times New Roman" w:cs="Times New Roman"/>
                <w:color w:val="000000"/>
                <w:sz w:val="16"/>
                <w:szCs w:val="16"/>
              </w:rPr>
            </w:pPr>
          </w:p>
        </w:tc>
      </w:tr>
      <w:tr w:rsidR="00E52AC1" w:rsidRPr="00E44A0E" w14:paraId="2830398B" w14:textId="77777777" w:rsidTr="00180345">
        <w:trPr>
          <w:trHeight w:val="288"/>
        </w:trPr>
        <w:tc>
          <w:tcPr>
            <w:tcW w:w="589" w:type="dxa"/>
            <w:vMerge/>
            <w:tcBorders>
              <w:top w:val="nil"/>
              <w:left w:val="single" w:sz="4" w:space="0" w:color="auto"/>
              <w:bottom w:val="single" w:sz="4" w:space="0" w:color="000000"/>
              <w:right w:val="single" w:sz="4" w:space="0" w:color="auto"/>
            </w:tcBorders>
            <w:hideMark/>
          </w:tcPr>
          <w:p w14:paraId="0FD3021F" w14:textId="77777777" w:rsidR="00E52AC1" w:rsidRPr="00180345" w:rsidRDefault="00E52AC1" w:rsidP="00E52AC1">
            <w:pPr>
              <w:spacing w:after="0" w:line="240" w:lineRule="auto"/>
              <w:rPr>
                <w:rFonts w:ascii="Times New Roman" w:eastAsia="Times New Roman" w:hAnsi="Times New Roman" w:cs="Times New Roman"/>
                <w:b/>
                <w:bCs/>
                <w:i/>
                <w:iCs/>
                <w:color w:val="000000"/>
              </w:rPr>
            </w:pPr>
          </w:p>
        </w:tc>
        <w:tc>
          <w:tcPr>
            <w:tcW w:w="2813" w:type="dxa"/>
            <w:vMerge/>
            <w:tcBorders>
              <w:top w:val="single" w:sz="4" w:space="0" w:color="auto"/>
              <w:left w:val="single" w:sz="4" w:space="0" w:color="auto"/>
              <w:bottom w:val="single" w:sz="4" w:space="0" w:color="000000"/>
              <w:right w:val="single" w:sz="4" w:space="0" w:color="auto"/>
            </w:tcBorders>
            <w:hideMark/>
          </w:tcPr>
          <w:p w14:paraId="2D051F1A" w14:textId="77777777" w:rsidR="00E52AC1" w:rsidRPr="00180345" w:rsidRDefault="00E52AC1" w:rsidP="00E52AC1">
            <w:pPr>
              <w:spacing w:after="0" w:line="240" w:lineRule="auto"/>
              <w:rPr>
                <w:rFonts w:ascii="Times New Roman" w:eastAsia="Times New Roman" w:hAnsi="Times New Roman" w:cs="Times New Roman"/>
                <w:b/>
                <w:bCs/>
                <w:sz w:val="18"/>
                <w:szCs w:val="18"/>
              </w:rPr>
            </w:pPr>
          </w:p>
        </w:tc>
        <w:tc>
          <w:tcPr>
            <w:tcW w:w="1260" w:type="dxa"/>
            <w:vMerge/>
            <w:tcBorders>
              <w:top w:val="nil"/>
              <w:left w:val="single" w:sz="4" w:space="0" w:color="auto"/>
              <w:bottom w:val="single" w:sz="4" w:space="0" w:color="000000"/>
              <w:right w:val="single" w:sz="4" w:space="0" w:color="auto"/>
            </w:tcBorders>
            <w:hideMark/>
          </w:tcPr>
          <w:p w14:paraId="3886F8FE" w14:textId="77777777" w:rsidR="00E52AC1" w:rsidRPr="00180345" w:rsidRDefault="00E52AC1" w:rsidP="00BE6A29">
            <w:pPr>
              <w:spacing w:after="0" w:line="240" w:lineRule="auto"/>
              <w:jc w:val="right"/>
              <w:rPr>
                <w:rFonts w:ascii="Times New Roman" w:eastAsia="Times New Roman" w:hAnsi="Times New Roman" w:cs="Times New Roman"/>
                <w:color w:val="000000"/>
                <w:sz w:val="18"/>
                <w:szCs w:val="18"/>
              </w:rPr>
            </w:pPr>
          </w:p>
        </w:tc>
        <w:tc>
          <w:tcPr>
            <w:tcW w:w="1859" w:type="dxa"/>
            <w:vMerge/>
            <w:tcBorders>
              <w:top w:val="nil"/>
              <w:left w:val="single" w:sz="4" w:space="0" w:color="auto"/>
              <w:bottom w:val="single" w:sz="4" w:space="0" w:color="000000"/>
              <w:right w:val="single" w:sz="4" w:space="0" w:color="auto"/>
            </w:tcBorders>
            <w:hideMark/>
          </w:tcPr>
          <w:p w14:paraId="2D0B0C3B" w14:textId="77777777" w:rsidR="00E52AC1" w:rsidRPr="00180345" w:rsidRDefault="00E52AC1" w:rsidP="00E52AC1">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nil"/>
              <w:right w:val="nil"/>
            </w:tcBorders>
            <w:shd w:val="clear" w:color="auto" w:fill="auto"/>
            <w:noWrap/>
            <w:hideMark/>
          </w:tcPr>
          <w:p w14:paraId="1BE0F2C0" w14:textId="0F939320" w:rsidR="00E52AC1" w:rsidRPr="00180345" w:rsidRDefault="00E52AC1" w:rsidP="007101FD">
            <w:pPr>
              <w:spacing w:after="0" w:line="240" w:lineRule="auto"/>
              <w:jc w:val="right"/>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10</w:t>
            </w:r>
            <w:r w:rsidR="00BE6A29">
              <w:rPr>
                <w:rFonts w:ascii="Times New Roman" w:eastAsia="Times New Roman" w:hAnsi="Times New Roman" w:cs="Times New Roman"/>
                <w:sz w:val="18"/>
                <w:szCs w:val="18"/>
              </w:rPr>
              <w:t xml:space="preserve"> </w:t>
            </w:r>
            <w:r w:rsidRPr="00180345">
              <w:rPr>
                <w:rFonts w:ascii="Times New Roman" w:eastAsia="Times New Roman" w:hAnsi="Times New Roman" w:cs="Times New Roman"/>
                <w:sz w:val="18"/>
                <w:szCs w:val="18"/>
              </w:rPr>
              <w:t>104</w:t>
            </w:r>
            <w:r w:rsidR="00BE6A29">
              <w:rPr>
                <w:rFonts w:ascii="Times New Roman" w:eastAsia="Times New Roman" w:hAnsi="Times New Roman" w:cs="Times New Roman"/>
                <w:sz w:val="18"/>
                <w:szCs w:val="18"/>
              </w:rPr>
              <w:t>,</w:t>
            </w:r>
            <w:r w:rsidRPr="00180345">
              <w:rPr>
                <w:rFonts w:ascii="Times New Roman" w:eastAsia="Times New Roman" w:hAnsi="Times New Roman" w:cs="Times New Roman"/>
                <w:sz w:val="18"/>
                <w:szCs w:val="18"/>
              </w:rPr>
              <w:t>00</w:t>
            </w:r>
          </w:p>
        </w:tc>
        <w:tc>
          <w:tcPr>
            <w:tcW w:w="1720" w:type="dxa"/>
            <w:tcBorders>
              <w:top w:val="nil"/>
              <w:left w:val="single" w:sz="4" w:space="0" w:color="auto"/>
              <w:bottom w:val="single" w:sz="4" w:space="0" w:color="auto"/>
              <w:right w:val="single" w:sz="4" w:space="0" w:color="auto"/>
            </w:tcBorders>
            <w:shd w:val="clear" w:color="auto" w:fill="auto"/>
            <w:noWrap/>
            <w:hideMark/>
          </w:tcPr>
          <w:p w14:paraId="1FCD75E3" w14:textId="77777777" w:rsidR="00E52AC1" w:rsidRPr="00180345" w:rsidRDefault="00E52AC1" w:rsidP="00E52AC1">
            <w:pPr>
              <w:spacing w:after="0" w:line="240" w:lineRule="auto"/>
              <w:jc w:val="right"/>
              <w:rPr>
                <w:rFonts w:ascii="Times New Roman" w:eastAsia="Times New Roman" w:hAnsi="Times New Roman" w:cs="Times New Roman"/>
                <w:color w:val="000000"/>
                <w:sz w:val="16"/>
                <w:szCs w:val="16"/>
              </w:rPr>
            </w:pPr>
            <w:r w:rsidRPr="00180345">
              <w:rPr>
                <w:rFonts w:ascii="Times New Roman" w:eastAsia="Times New Roman" w:hAnsi="Times New Roman" w:cs="Times New Roman"/>
                <w:color w:val="000000"/>
                <w:sz w:val="16"/>
                <w:szCs w:val="16"/>
              </w:rPr>
              <w:t>Subvenții (CIR)</w:t>
            </w:r>
          </w:p>
        </w:tc>
      </w:tr>
      <w:tr w:rsidR="00E52AC1" w:rsidRPr="00E44A0E" w14:paraId="71749F8F" w14:textId="77777777" w:rsidTr="00180345">
        <w:trPr>
          <w:trHeight w:val="288"/>
        </w:trPr>
        <w:tc>
          <w:tcPr>
            <w:tcW w:w="589" w:type="dxa"/>
            <w:tcBorders>
              <w:top w:val="nil"/>
              <w:left w:val="single" w:sz="4" w:space="0" w:color="auto"/>
              <w:bottom w:val="single" w:sz="4" w:space="0" w:color="auto"/>
              <w:right w:val="single" w:sz="4" w:space="0" w:color="auto"/>
            </w:tcBorders>
            <w:shd w:val="clear" w:color="auto" w:fill="auto"/>
            <w:noWrap/>
            <w:hideMark/>
          </w:tcPr>
          <w:p w14:paraId="5D1C4630" w14:textId="77777777" w:rsidR="00E52AC1" w:rsidRPr="00180345" w:rsidRDefault="00E52AC1" w:rsidP="00E52AC1">
            <w:pPr>
              <w:spacing w:after="0" w:line="240" w:lineRule="auto"/>
              <w:jc w:val="center"/>
              <w:rPr>
                <w:rFonts w:ascii="Times New Roman" w:eastAsia="Times New Roman" w:hAnsi="Times New Roman" w:cs="Times New Roman"/>
                <w:b/>
                <w:bCs/>
                <w:i/>
                <w:iCs/>
                <w:color w:val="000000"/>
              </w:rPr>
            </w:pPr>
            <w:r w:rsidRPr="00180345">
              <w:rPr>
                <w:rFonts w:ascii="Times New Roman" w:eastAsia="Times New Roman" w:hAnsi="Times New Roman" w:cs="Times New Roman"/>
                <w:b/>
                <w:bCs/>
                <w:i/>
                <w:iCs/>
                <w:color w:val="000000"/>
              </w:rPr>
              <w:t>2</w:t>
            </w:r>
          </w:p>
        </w:tc>
        <w:tc>
          <w:tcPr>
            <w:tcW w:w="2813" w:type="dxa"/>
            <w:tcBorders>
              <w:top w:val="nil"/>
              <w:left w:val="nil"/>
              <w:bottom w:val="single" w:sz="4" w:space="0" w:color="auto"/>
              <w:right w:val="single" w:sz="4" w:space="0" w:color="auto"/>
            </w:tcBorders>
            <w:shd w:val="clear" w:color="auto" w:fill="auto"/>
            <w:hideMark/>
          </w:tcPr>
          <w:p w14:paraId="20BD7E39" w14:textId="43FB8971" w:rsidR="00E52AC1" w:rsidRPr="00180345" w:rsidRDefault="00B10CF8" w:rsidP="00E52AC1">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I.P. „</w:t>
            </w:r>
            <w:r w:rsidR="00E52AC1" w:rsidRPr="00180345">
              <w:rPr>
                <w:rFonts w:ascii="Times New Roman" w:eastAsia="Times New Roman" w:hAnsi="Times New Roman" w:cs="Times New Roman"/>
                <w:b/>
                <w:bCs/>
                <w:sz w:val="18"/>
                <w:szCs w:val="18"/>
              </w:rPr>
              <w:t>Baza Auto a CS</w:t>
            </w:r>
            <w:r>
              <w:rPr>
                <w:rFonts w:ascii="Times New Roman" w:eastAsia="Times New Roman" w:hAnsi="Times New Roman" w:cs="Times New Roman"/>
                <w:b/>
                <w:bCs/>
                <w:sz w:val="18"/>
                <w:szCs w:val="18"/>
              </w:rPr>
              <w:t>”</w:t>
            </w:r>
            <w:r w:rsidR="00BA69A9">
              <w:rPr>
                <w:rFonts w:ascii="Times New Roman" w:eastAsia="Times New Roman" w:hAnsi="Times New Roman" w:cs="Times New Roman"/>
                <w:b/>
                <w:bCs/>
                <w:sz w:val="18"/>
                <w:szCs w:val="18"/>
              </w:rPr>
              <w:t xml:space="preserve">                                                          </w:t>
            </w:r>
            <w:r w:rsidR="00E52AC1" w:rsidRPr="00180345">
              <w:rPr>
                <w:rFonts w:ascii="Times New Roman" w:eastAsia="Times New Roman" w:hAnsi="Times New Roman" w:cs="Times New Roman"/>
                <w:b/>
                <w:bCs/>
                <w:sz w:val="18"/>
                <w:szCs w:val="18"/>
              </w:rPr>
              <w:t xml:space="preserve"> </w:t>
            </w:r>
          </w:p>
        </w:tc>
        <w:tc>
          <w:tcPr>
            <w:tcW w:w="1260" w:type="dxa"/>
            <w:tcBorders>
              <w:top w:val="nil"/>
              <w:left w:val="nil"/>
              <w:bottom w:val="single" w:sz="4" w:space="0" w:color="auto"/>
              <w:right w:val="single" w:sz="4" w:space="0" w:color="auto"/>
            </w:tcBorders>
            <w:shd w:val="clear" w:color="auto" w:fill="auto"/>
            <w:noWrap/>
            <w:hideMark/>
          </w:tcPr>
          <w:p w14:paraId="20A021EE" w14:textId="19C4C0E2" w:rsidR="00E52AC1" w:rsidRPr="00180345" w:rsidRDefault="00BE6A29" w:rsidP="00BE6A2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128 </w:t>
            </w:r>
            <w:r w:rsidR="00E52AC1" w:rsidRPr="00180345">
              <w:rPr>
                <w:rFonts w:ascii="Times New Roman" w:eastAsia="Times New Roman" w:hAnsi="Times New Roman" w:cs="Times New Roman"/>
                <w:color w:val="000000"/>
                <w:sz w:val="18"/>
                <w:szCs w:val="18"/>
              </w:rPr>
              <w:t>886</w:t>
            </w:r>
            <w:r>
              <w:rPr>
                <w:rFonts w:ascii="Times New Roman" w:eastAsia="Times New Roman" w:hAnsi="Times New Roman" w:cs="Times New Roman"/>
                <w:color w:val="000000"/>
                <w:sz w:val="18"/>
                <w:szCs w:val="18"/>
              </w:rPr>
              <w:t>,</w:t>
            </w:r>
            <w:r w:rsidR="00E52AC1" w:rsidRPr="00180345">
              <w:rPr>
                <w:rFonts w:ascii="Times New Roman" w:eastAsia="Times New Roman" w:hAnsi="Times New Roman" w:cs="Times New Roman"/>
                <w:color w:val="000000"/>
                <w:sz w:val="18"/>
                <w:szCs w:val="18"/>
              </w:rPr>
              <w:t>20</w:t>
            </w:r>
          </w:p>
        </w:tc>
        <w:tc>
          <w:tcPr>
            <w:tcW w:w="1859" w:type="dxa"/>
            <w:tcBorders>
              <w:top w:val="nil"/>
              <w:left w:val="nil"/>
              <w:bottom w:val="single" w:sz="4" w:space="0" w:color="auto"/>
              <w:right w:val="single" w:sz="4" w:space="0" w:color="auto"/>
            </w:tcBorders>
            <w:shd w:val="clear" w:color="auto" w:fill="auto"/>
            <w:noWrap/>
            <w:hideMark/>
          </w:tcPr>
          <w:p w14:paraId="3A427D68" w14:textId="77777777" w:rsidR="00E52AC1" w:rsidRPr="00180345" w:rsidRDefault="00E52AC1" w:rsidP="00E52AC1">
            <w:pPr>
              <w:spacing w:after="0" w:line="240" w:lineRule="auto"/>
              <w:jc w:val="center"/>
              <w:rPr>
                <w:rFonts w:ascii="Times New Roman" w:eastAsia="Times New Roman" w:hAnsi="Times New Roman" w:cs="Times New Roman"/>
                <w:color w:val="000000"/>
                <w:sz w:val="18"/>
                <w:szCs w:val="18"/>
              </w:rPr>
            </w:pPr>
            <w:r w:rsidRPr="00180345">
              <w:rPr>
                <w:rFonts w:ascii="Times New Roman" w:eastAsia="Times New Roman" w:hAnsi="Times New Roman" w:cs="Times New Roman"/>
                <w:color w:val="000000"/>
                <w:sz w:val="18"/>
                <w:szCs w:val="18"/>
              </w:rPr>
              <w:t>7%</w:t>
            </w:r>
          </w:p>
        </w:tc>
        <w:tc>
          <w:tcPr>
            <w:tcW w:w="1460" w:type="dxa"/>
            <w:tcBorders>
              <w:top w:val="single" w:sz="4" w:space="0" w:color="auto"/>
              <w:left w:val="nil"/>
              <w:bottom w:val="single" w:sz="4" w:space="0" w:color="auto"/>
              <w:right w:val="single" w:sz="4" w:space="0" w:color="auto"/>
            </w:tcBorders>
            <w:shd w:val="clear" w:color="auto" w:fill="auto"/>
            <w:noWrap/>
            <w:hideMark/>
          </w:tcPr>
          <w:p w14:paraId="23D1BF5F" w14:textId="33F45F44" w:rsidR="00E52AC1" w:rsidRPr="00180345" w:rsidRDefault="00E52AC1" w:rsidP="007101FD">
            <w:pPr>
              <w:spacing w:after="0" w:line="240" w:lineRule="auto"/>
              <w:jc w:val="right"/>
              <w:rPr>
                <w:rFonts w:ascii="Times New Roman" w:eastAsia="Times New Roman" w:hAnsi="Times New Roman" w:cs="Times New Roman"/>
                <w:color w:val="000000"/>
                <w:sz w:val="18"/>
                <w:szCs w:val="18"/>
              </w:rPr>
            </w:pPr>
            <w:r w:rsidRPr="00180345">
              <w:rPr>
                <w:rFonts w:ascii="Times New Roman" w:eastAsia="Times New Roman" w:hAnsi="Times New Roman" w:cs="Times New Roman"/>
                <w:color w:val="000000"/>
                <w:sz w:val="18"/>
                <w:szCs w:val="18"/>
              </w:rPr>
              <w:t>128</w:t>
            </w:r>
            <w:r w:rsidR="00BE6A29">
              <w:rPr>
                <w:rFonts w:ascii="Times New Roman" w:eastAsia="Times New Roman" w:hAnsi="Times New Roman" w:cs="Times New Roman"/>
                <w:color w:val="000000"/>
                <w:sz w:val="18"/>
                <w:szCs w:val="18"/>
              </w:rPr>
              <w:t xml:space="preserve"> 886,</w:t>
            </w:r>
            <w:r w:rsidRPr="00180345">
              <w:rPr>
                <w:rFonts w:ascii="Times New Roman" w:eastAsia="Times New Roman" w:hAnsi="Times New Roman" w:cs="Times New Roman"/>
                <w:color w:val="000000"/>
                <w:sz w:val="18"/>
                <w:szCs w:val="18"/>
              </w:rPr>
              <w:t>20</w:t>
            </w:r>
          </w:p>
        </w:tc>
        <w:tc>
          <w:tcPr>
            <w:tcW w:w="1720" w:type="dxa"/>
            <w:tcBorders>
              <w:top w:val="nil"/>
              <w:left w:val="nil"/>
              <w:bottom w:val="single" w:sz="4" w:space="0" w:color="auto"/>
              <w:right w:val="single" w:sz="4" w:space="0" w:color="auto"/>
            </w:tcBorders>
            <w:shd w:val="clear" w:color="auto" w:fill="auto"/>
            <w:noWrap/>
            <w:hideMark/>
          </w:tcPr>
          <w:p w14:paraId="40A76904" w14:textId="77777777" w:rsidR="00E52AC1" w:rsidRPr="00180345" w:rsidRDefault="00E52AC1" w:rsidP="00E52AC1">
            <w:pPr>
              <w:spacing w:after="0" w:line="240" w:lineRule="auto"/>
              <w:jc w:val="right"/>
              <w:rPr>
                <w:rFonts w:ascii="Times New Roman" w:eastAsia="Times New Roman" w:hAnsi="Times New Roman" w:cs="Times New Roman"/>
                <w:color w:val="000000"/>
                <w:sz w:val="16"/>
                <w:szCs w:val="16"/>
              </w:rPr>
            </w:pPr>
            <w:r w:rsidRPr="00180345">
              <w:rPr>
                <w:rFonts w:ascii="Times New Roman" w:eastAsia="Times New Roman" w:hAnsi="Times New Roman" w:cs="Times New Roman"/>
                <w:color w:val="000000"/>
                <w:sz w:val="16"/>
                <w:szCs w:val="16"/>
              </w:rPr>
              <w:t>resurse generale</w:t>
            </w:r>
          </w:p>
        </w:tc>
      </w:tr>
      <w:tr w:rsidR="00E52AC1" w:rsidRPr="00E44A0E" w14:paraId="739D02E5" w14:textId="77777777" w:rsidTr="00180345">
        <w:trPr>
          <w:trHeight w:val="288"/>
        </w:trPr>
        <w:tc>
          <w:tcPr>
            <w:tcW w:w="589" w:type="dxa"/>
            <w:tcBorders>
              <w:top w:val="nil"/>
              <w:left w:val="single" w:sz="4" w:space="0" w:color="auto"/>
              <w:bottom w:val="single" w:sz="4" w:space="0" w:color="auto"/>
              <w:right w:val="single" w:sz="4" w:space="0" w:color="auto"/>
            </w:tcBorders>
            <w:shd w:val="clear" w:color="auto" w:fill="auto"/>
            <w:noWrap/>
            <w:hideMark/>
          </w:tcPr>
          <w:p w14:paraId="221A1A60" w14:textId="77777777" w:rsidR="00E52AC1" w:rsidRPr="00180345" w:rsidRDefault="00E52AC1" w:rsidP="00E52AC1">
            <w:pPr>
              <w:spacing w:after="0" w:line="240" w:lineRule="auto"/>
              <w:jc w:val="center"/>
              <w:rPr>
                <w:rFonts w:ascii="Times New Roman" w:eastAsia="Times New Roman" w:hAnsi="Times New Roman" w:cs="Times New Roman"/>
                <w:b/>
                <w:bCs/>
                <w:i/>
                <w:iCs/>
                <w:color w:val="000000"/>
              </w:rPr>
            </w:pPr>
            <w:r w:rsidRPr="00180345">
              <w:rPr>
                <w:rFonts w:ascii="Times New Roman" w:eastAsia="Times New Roman" w:hAnsi="Times New Roman" w:cs="Times New Roman"/>
                <w:b/>
                <w:bCs/>
                <w:i/>
                <w:iCs/>
                <w:color w:val="000000"/>
              </w:rPr>
              <w:t>3</w:t>
            </w:r>
          </w:p>
        </w:tc>
        <w:tc>
          <w:tcPr>
            <w:tcW w:w="2813" w:type="dxa"/>
            <w:tcBorders>
              <w:top w:val="nil"/>
              <w:left w:val="nil"/>
              <w:bottom w:val="single" w:sz="4" w:space="0" w:color="auto"/>
              <w:right w:val="single" w:sz="4" w:space="0" w:color="auto"/>
            </w:tcBorders>
            <w:shd w:val="clear" w:color="auto" w:fill="auto"/>
            <w:hideMark/>
          </w:tcPr>
          <w:p w14:paraId="5E729E3A" w14:textId="636D330C" w:rsidR="00E52AC1" w:rsidRPr="00180345" w:rsidRDefault="00B10CF8" w:rsidP="00E52AC1">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I.P. „</w:t>
            </w:r>
            <w:r w:rsidR="00E52AC1" w:rsidRPr="00180345">
              <w:rPr>
                <w:rFonts w:ascii="Times New Roman" w:eastAsia="Times New Roman" w:hAnsi="Times New Roman" w:cs="Times New Roman"/>
                <w:b/>
                <w:bCs/>
                <w:sz w:val="18"/>
                <w:szCs w:val="18"/>
              </w:rPr>
              <w:t>DGACG</w:t>
            </w:r>
            <w:r>
              <w:rPr>
                <w:rFonts w:ascii="Times New Roman" w:eastAsia="Times New Roman" w:hAnsi="Times New Roman" w:cs="Times New Roman"/>
                <w:b/>
                <w:bCs/>
                <w:sz w:val="18"/>
                <w:szCs w:val="18"/>
              </w:rPr>
              <w:t>”</w:t>
            </w:r>
          </w:p>
        </w:tc>
        <w:tc>
          <w:tcPr>
            <w:tcW w:w="1260" w:type="dxa"/>
            <w:tcBorders>
              <w:top w:val="nil"/>
              <w:left w:val="nil"/>
              <w:bottom w:val="single" w:sz="4" w:space="0" w:color="auto"/>
              <w:right w:val="single" w:sz="4" w:space="0" w:color="auto"/>
            </w:tcBorders>
            <w:shd w:val="clear" w:color="auto" w:fill="auto"/>
            <w:noWrap/>
            <w:hideMark/>
          </w:tcPr>
          <w:p w14:paraId="6E2D109A" w14:textId="39080A81" w:rsidR="00E52AC1" w:rsidRPr="00180345" w:rsidRDefault="00BE6A29" w:rsidP="00BE6A2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464 </w:t>
            </w:r>
            <w:r w:rsidR="00E52AC1" w:rsidRPr="00180345">
              <w:rPr>
                <w:rFonts w:ascii="Times New Roman" w:eastAsia="Times New Roman" w:hAnsi="Times New Roman" w:cs="Times New Roman"/>
                <w:color w:val="000000"/>
                <w:sz w:val="18"/>
                <w:szCs w:val="18"/>
              </w:rPr>
              <w:t>976</w:t>
            </w:r>
            <w:r>
              <w:rPr>
                <w:rFonts w:ascii="Times New Roman" w:eastAsia="Times New Roman" w:hAnsi="Times New Roman" w:cs="Times New Roman"/>
                <w:color w:val="000000"/>
                <w:sz w:val="18"/>
                <w:szCs w:val="18"/>
              </w:rPr>
              <w:t>,</w:t>
            </w:r>
            <w:r w:rsidR="00E52AC1" w:rsidRPr="00180345">
              <w:rPr>
                <w:rFonts w:ascii="Times New Roman" w:eastAsia="Times New Roman" w:hAnsi="Times New Roman" w:cs="Times New Roman"/>
                <w:color w:val="000000"/>
                <w:sz w:val="18"/>
                <w:szCs w:val="18"/>
              </w:rPr>
              <w:t>13</w:t>
            </w:r>
          </w:p>
        </w:tc>
        <w:tc>
          <w:tcPr>
            <w:tcW w:w="1859" w:type="dxa"/>
            <w:tcBorders>
              <w:top w:val="nil"/>
              <w:left w:val="nil"/>
              <w:bottom w:val="single" w:sz="4" w:space="0" w:color="auto"/>
              <w:right w:val="single" w:sz="4" w:space="0" w:color="auto"/>
            </w:tcBorders>
            <w:shd w:val="clear" w:color="auto" w:fill="auto"/>
            <w:noWrap/>
            <w:hideMark/>
          </w:tcPr>
          <w:p w14:paraId="51E2D59C" w14:textId="77777777" w:rsidR="00E52AC1" w:rsidRPr="00180345" w:rsidRDefault="00E52AC1" w:rsidP="00E52AC1">
            <w:pPr>
              <w:spacing w:after="0" w:line="240" w:lineRule="auto"/>
              <w:jc w:val="center"/>
              <w:rPr>
                <w:rFonts w:ascii="Times New Roman" w:eastAsia="Times New Roman" w:hAnsi="Times New Roman" w:cs="Times New Roman"/>
                <w:color w:val="000000"/>
                <w:sz w:val="18"/>
                <w:szCs w:val="18"/>
              </w:rPr>
            </w:pPr>
            <w:r w:rsidRPr="00180345">
              <w:rPr>
                <w:rFonts w:ascii="Times New Roman" w:eastAsia="Times New Roman" w:hAnsi="Times New Roman" w:cs="Times New Roman"/>
                <w:color w:val="000000"/>
                <w:sz w:val="18"/>
                <w:szCs w:val="18"/>
              </w:rPr>
              <w:t>25%</w:t>
            </w:r>
          </w:p>
        </w:tc>
        <w:tc>
          <w:tcPr>
            <w:tcW w:w="1460" w:type="dxa"/>
            <w:tcBorders>
              <w:top w:val="nil"/>
              <w:left w:val="nil"/>
              <w:bottom w:val="single" w:sz="4" w:space="0" w:color="auto"/>
              <w:right w:val="single" w:sz="4" w:space="0" w:color="auto"/>
            </w:tcBorders>
            <w:shd w:val="clear" w:color="auto" w:fill="auto"/>
            <w:noWrap/>
            <w:hideMark/>
          </w:tcPr>
          <w:p w14:paraId="0629B0A5" w14:textId="5FFC2912" w:rsidR="00E52AC1" w:rsidRPr="00180345" w:rsidRDefault="00BE6A29" w:rsidP="007101FD">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464 </w:t>
            </w:r>
            <w:r w:rsidR="00E52AC1" w:rsidRPr="00180345">
              <w:rPr>
                <w:rFonts w:ascii="Times New Roman" w:eastAsia="Times New Roman" w:hAnsi="Times New Roman" w:cs="Times New Roman"/>
                <w:color w:val="000000"/>
                <w:sz w:val="18"/>
                <w:szCs w:val="18"/>
              </w:rPr>
              <w:t>976</w:t>
            </w:r>
            <w:r>
              <w:rPr>
                <w:rFonts w:ascii="Times New Roman" w:eastAsia="Times New Roman" w:hAnsi="Times New Roman" w:cs="Times New Roman"/>
                <w:color w:val="000000"/>
                <w:sz w:val="18"/>
                <w:szCs w:val="18"/>
              </w:rPr>
              <w:t>,</w:t>
            </w:r>
            <w:r w:rsidR="00E52AC1" w:rsidRPr="00180345">
              <w:rPr>
                <w:rFonts w:ascii="Times New Roman" w:eastAsia="Times New Roman" w:hAnsi="Times New Roman" w:cs="Times New Roman"/>
                <w:color w:val="000000"/>
                <w:sz w:val="18"/>
                <w:szCs w:val="18"/>
              </w:rPr>
              <w:t>13</w:t>
            </w:r>
          </w:p>
        </w:tc>
        <w:tc>
          <w:tcPr>
            <w:tcW w:w="1720" w:type="dxa"/>
            <w:tcBorders>
              <w:top w:val="nil"/>
              <w:left w:val="nil"/>
              <w:bottom w:val="single" w:sz="4" w:space="0" w:color="auto"/>
              <w:right w:val="single" w:sz="4" w:space="0" w:color="auto"/>
            </w:tcBorders>
            <w:shd w:val="clear" w:color="auto" w:fill="auto"/>
            <w:noWrap/>
            <w:hideMark/>
          </w:tcPr>
          <w:p w14:paraId="086A5DCC" w14:textId="77777777" w:rsidR="00E52AC1" w:rsidRPr="00180345" w:rsidRDefault="00E52AC1" w:rsidP="00E52AC1">
            <w:pPr>
              <w:spacing w:after="0" w:line="240" w:lineRule="auto"/>
              <w:jc w:val="right"/>
              <w:rPr>
                <w:rFonts w:ascii="Times New Roman" w:eastAsia="Times New Roman" w:hAnsi="Times New Roman" w:cs="Times New Roman"/>
                <w:color w:val="000000"/>
                <w:sz w:val="16"/>
                <w:szCs w:val="16"/>
              </w:rPr>
            </w:pPr>
            <w:r w:rsidRPr="00180345">
              <w:rPr>
                <w:rFonts w:ascii="Times New Roman" w:eastAsia="Times New Roman" w:hAnsi="Times New Roman" w:cs="Times New Roman"/>
                <w:color w:val="000000"/>
                <w:sz w:val="16"/>
                <w:szCs w:val="16"/>
              </w:rPr>
              <w:t>resurse generale</w:t>
            </w:r>
          </w:p>
        </w:tc>
      </w:tr>
      <w:tr w:rsidR="00E52AC1" w:rsidRPr="00E44A0E" w14:paraId="7191CF84" w14:textId="77777777" w:rsidTr="00180345">
        <w:trPr>
          <w:trHeight w:val="288"/>
        </w:trPr>
        <w:tc>
          <w:tcPr>
            <w:tcW w:w="589" w:type="dxa"/>
            <w:tcBorders>
              <w:top w:val="nil"/>
              <w:left w:val="single" w:sz="4" w:space="0" w:color="auto"/>
              <w:bottom w:val="single" w:sz="4" w:space="0" w:color="auto"/>
              <w:right w:val="single" w:sz="4" w:space="0" w:color="auto"/>
            </w:tcBorders>
            <w:shd w:val="clear" w:color="auto" w:fill="auto"/>
            <w:noWrap/>
            <w:hideMark/>
          </w:tcPr>
          <w:p w14:paraId="6984F656" w14:textId="77777777" w:rsidR="00E52AC1" w:rsidRPr="00180345" w:rsidRDefault="00E52AC1" w:rsidP="00E52AC1">
            <w:pPr>
              <w:spacing w:after="0" w:line="240" w:lineRule="auto"/>
              <w:jc w:val="center"/>
              <w:rPr>
                <w:rFonts w:ascii="Times New Roman" w:eastAsia="Times New Roman" w:hAnsi="Times New Roman" w:cs="Times New Roman"/>
                <w:b/>
                <w:bCs/>
                <w:i/>
                <w:iCs/>
                <w:color w:val="000000"/>
              </w:rPr>
            </w:pPr>
            <w:r w:rsidRPr="00180345">
              <w:rPr>
                <w:rFonts w:ascii="Times New Roman" w:eastAsia="Times New Roman" w:hAnsi="Times New Roman" w:cs="Times New Roman"/>
                <w:b/>
                <w:bCs/>
                <w:i/>
                <w:iCs/>
                <w:color w:val="000000"/>
              </w:rPr>
              <w:t>4</w:t>
            </w:r>
          </w:p>
        </w:tc>
        <w:tc>
          <w:tcPr>
            <w:tcW w:w="2813" w:type="dxa"/>
            <w:tcBorders>
              <w:top w:val="nil"/>
              <w:left w:val="nil"/>
              <w:bottom w:val="single" w:sz="4" w:space="0" w:color="auto"/>
              <w:right w:val="single" w:sz="4" w:space="0" w:color="auto"/>
            </w:tcBorders>
            <w:shd w:val="clear" w:color="auto" w:fill="auto"/>
            <w:hideMark/>
          </w:tcPr>
          <w:p w14:paraId="2CEB37DB" w14:textId="77777777" w:rsidR="00E52AC1" w:rsidRPr="00180345" w:rsidRDefault="00E52AC1" w:rsidP="00E52AC1">
            <w:pPr>
              <w:spacing w:after="0" w:line="240" w:lineRule="auto"/>
              <w:rPr>
                <w:rFonts w:ascii="Times New Roman" w:eastAsia="Times New Roman" w:hAnsi="Times New Roman" w:cs="Times New Roman"/>
                <w:b/>
                <w:bCs/>
                <w:sz w:val="18"/>
                <w:szCs w:val="18"/>
              </w:rPr>
            </w:pPr>
            <w:r w:rsidRPr="00180345">
              <w:rPr>
                <w:rFonts w:ascii="Times New Roman" w:eastAsia="Times New Roman" w:hAnsi="Times New Roman" w:cs="Times New Roman"/>
                <w:b/>
                <w:bCs/>
                <w:sz w:val="18"/>
                <w:szCs w:val="18"/>
              </w:rPr>
              <w:t>AAP</w:t>
            </w:r>
          </w:p>
        </w:tc>
        <w:tc>
          <w:tcPr>
            <w:tcW w:w="1260" w:type="dxa"/>
            <w:tcBorders>
              <w:top w:val="nil"/>
              <w:left w:val="nil"/>
              <w:bottom w:val="single" w:sz="4" w:space="0" w:color="auto"/>
              <w:right w:val="single" w:sz="4" w:space="0" w:color="auto"/>
            </w:tcBorders>
            <w:shd w:val="clear" w:color="auto" w:fill="auto"/>
            <w:noWrap/>
            <w:hideMark/>
          </w:tcPr>
          <w:p w14:paraId="56CA94A3" w14:textId="3C75789D" w:rsidR="00E52AC1" w:rsidRPr="00180345" w:rsidRDefault="00BE6A29" w:rsidP="00BE6A2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61 </w:t>
            </w:r>
            <w:r w:rsidR="00E52AC1" w:rsidRPr="00180345">
              <w:rPr>
                <w:rFonts w:ascii="Times New Roman" w:eastAsia="Times New Roman" w:hAnsi="Times New Roman" w:cs="Times New Roman"/>
                <w:color w:val="000000"/>
                <w:sz w:val="18"/>
                <w:szCs w:val="18"/>
              </w:rPr>
              <w:t>988</w:t>
            </w:r>
            <w:r>
              <w:rPr>
                <w:rFonts w:ascii="Times New Roman" w:eastAsia="Times New Roman" w:hAnsi="Times New Roman" w:cs="Times New Roman"/>
                <w:color w:val="000000"/>
                <w:sz w:val="18"/>
                <w:szCs w:val="18"/>
              </w:rPr>
              <w:t>,</w:t>
            </w:r>
            <w:r w:rsidR="00E52AC1" w:rsidRPr="00180345">
              <w:rPr>
                <w:rFonts w:ascii="Times New Roman" w:eastAsia="Times New Roman" w:hAnsi="Times New Roman" w:cs="Times New Roman"/>
                <w:color w:val="000000"/>
                <w:sz w:val="18"/>
                <w:szCs w:val="18"/>
              </w:rPr>
              <w:t>10</w:t>
            </w:r>
          </w:p>
        </w:tc>
        <w:tc>
          <w:tcPr>
            <w:tcW w:w="1859" w:type="dxa"/>
            <w:tcBorders>
              <w:top w:val="nil"/>
              <w:left w:val="nil"/>
              <w:bottom w:val="single" w:sz="4" w:space="0" w:color="auto"/>
              <w:right w:val="single" w:sz="4" w:space="0" w:color="auto"/>
            </w:tcBorders>
            <w:shd w:val="clear" w:color="auto" w:fill="auto"/>
            <w:noWrap/>
            <w:hideMark/>
          </w:tcPr>
          <w:p w14:paraId="34B52761" w14:textId="77777777" w:rsidR="00E52AC1" w:rsidRPr="00180345" w:rsidRDefault="00E52AC1" w:rsidP="00E52AC1">
            <w:pPr>
              <w:spacing w:after="0" w:line="240" w:lineRule="auto"/>
              <w:jc w:val="center"/>
              <w:rPr>
                <w:rFonts w:ascii="Times New Roman" w:eastAsia="Times New Roman" w:hAnsi="Times New Roman" w:cs="Times New Roman"/>
                <w:color w:val="000000"/>
                <w:sz w:val="18"/>
                <w:szCs w:val="18"/>
              </w:rPr>
            </w:pPr>
            <w:r w:rsidRPr="00180345">
              <w:rPr>
                <w:rFonts w:ascii="Times New Roman" w:eastAsia="Times New Roman" w:hAnsi="Times New Roman" w:cs="Times New Roman"/>
                <w:color w:val="000000"/>
                <w:sz w:val="18"/>
                <w:szCs w:val="18"/>
              </w:rPr>
              <w:t>3%</w:t>
            </w:r>
          </w:p>
        </w:tc>
        <w:tc>
          <w:tcPr>
            <w:tcW w:w="1460" w:type="dxa"/>
            <w:tcBorders>
              <w:top w:val="nil"/>
              <w:left w:val="nil"/>
              <w:bottom w:val="single" w:sz="4" w:space="0" w:color="auto"/>
              <w:right w:val="single" w:sz="4" w:space="0" w:color="auto"/>
            </w:tcBorders>
            <w:shd w:val="clear" w:color="auto" w:fill="auto"/>
            <w:noWrap/>
            <w:hideMark/>
          </w:tcPr>
          <w:p w14:paraId="24B478E0" w14:textId="1C7712BA" w:rsidR="00E52AC1" w:rsidRPr="00180345" w:rsidRDefault="007101FD" w:rsidP="007101FD">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61 </w:t>
            </w:r>
            <w:r w:rsidR="00E52AC1" w:rsidRPr="00180345">
              <w:rPr>
                <w:rFonts w:ascii="Times New Roman" w:eastAsia="Times New Roman" w:hAnsi="Times New Roman" w:cs="Times New Roman"/>
                <w:color w:val="000000"/>
                <w:sz w:val="18"/>
                <w:szCs w:val="18"/>
              </w:rPr>
              <w:t>988</w:t>
            </w:r>
            <w:r>
              <w:rPr>
                <w:rFonts w:ascii="Times New Roman" w:eastAsia="Times New Roman" w:hAnsi="Times New Roman" w:cs="Times New Roman"/>
                <w:color w:val="000000"/>
                <w:sz w:val="18"/>
                <w:szCs w:val="18"/>
              </w:rPr>
              <w:t>,</w:t>
            </w:r>
            <w:r w:rsidR="00E52AC1" w:rsidRPr="00180345">
              <w:rPr>
                <w:rFonts w:ascii="Times New Roman" w:eastAsia="Times New Roman" w:hAnsi="Times New Roman" w:cs="Times New Roman"/>
                <w:color w:val="000000"/>
                <w:sz w:val="18"/>
                <w:szCs w:val="18"/>
              </w:rPr>
              <w:t>10</w:t>
            </w:r>
          </w:p>
        </w:tc>
        <w:tc>
          <w:tcPr>
            <w:tcW w:w="1720" w:type="dxa"/>
            <w:tcBorders>
              <w:top w:val="nil"/>
              <w:left w:val="nil"/>
              <w:bottom w:val="single" w:sz="4" w:space="0" w:color="auto"/>
              <w:right w:val="single" w:sz="4" w:space="0" w:color="auto"/>
            </w:tcBorders>
            <w:shd w:val="clear" w:color="auto" w:fill="auto"/>
            <w:noWrap/>
            <w:hideMark/>
          </w:tcPr>
          <w:p w14:paraId="3A8DEB8A" w14:textId="77777777" w:rsidR="00E52AC1" w:rsidRPr="00180345" w:rsidRDefault="00E52AC1" w:rsidP="00E52AC1">
            <w:pPr>
              <w:spacing w:after="0" w:line="240" w:lineRule="auto"/>
              <w:jc w:val="right"/>
              <w:rPr>
                <w:rFonts w:ascii="Times New Roman" w:eastAsia="Times New Roman" w:hAnsi="Times New Roman" w:cs="Times New Roman"/>
                <w:color w:val="000000"/>
                <w:sz w:val="16"/>
                <w:szCs w:val="16"/>
              </w:rPr>
            </w:pPr>
            <w:r w:rsidRPr="00180345">
              <w:rPr>
                <w:rFonts w:ascii="Times New Roman" w:eastAsia="Times New Roman" w:hAnsi="Times New Roman" w:cs="Times New Roman"/>
                <w:color w:val="000000"/>
                <w:sz w:val="16"/>
                <w:szCs w:val="16"/>
              </w:rPr>
              <w:t>resurse generale</w:t>
            </w:r>
          </w:p>
        </w:tc>
      </w:tr>
      <w:tr w:rsidR="00E52AC1" w:rsidRPr="00E44A0E" w14:paraId="056EFB0F" w14:textId="77777777" w:rsidTr="00180345">
        <w:trPr>
          <w:trHeight w:val="288"/>
        </w:trPr>
        <w:tc>
          <w:tcPr>
            <w:tcW w:w="589" w:type="dxa"/>
            <w:tcBorders>
              <w:top w:val="nil"/>
              <w:left w:val="single" w:sz="4" w:space="0" w:color="auto"/>
              <w:bottom w:val="single" w:sz="4" w:space="0" w:color="auto"/>
              <w:right w:val="single" w:sz="4" w:space="0" w:color="auto"/>
            </w:tcBorders>
            <w:shd w:val="clear" w:color="auto" w:fill="auto"/>
            <w:noWrap/>
            <w:hideMark/>
          </w:tcPr>
          <w:p w14:paraId="01D2F89D" w14:textId="77777777" w:rsidR="00E52AC1" w:rsidRPr="00180345" w:rsidRDefault="00E52AC1" w:rsidP="00E52AC1">
            <w:pPr>
              <w:spacing w:after="0" w:line="240" w:lineRule="auto"/>
              <w:jc w:val="center"/>
              <w:rPr>
                <w:rFonts w:ascii="Times New Roman" w:eastAsia="Times New Roman" w:hAnsi="Times New Roman" w:cs="Times New Roman"/>
                <w:b/>
                <w:bCs/>
                <w:i/>
                <w:iCs/>
                <w:color w:val="000000"/>
              </w:rPr>
            </w:pPr>
            <w:r w:rsidRPr="00180345">
              <w:rPr>
                <w:rFonts w:ascii="Times New Roman" w:eastAsia="Times New Roman" w:hAnsi="Times New Roman" w:cs="Times New Roman"/>
                <w:b/>
                <w:bCs/>
                <w:i/>
                <w:iCs/>
                <w:color w:val="000000"/>
              </w:rPr>
              <w:t>5</w:t>
            </w:r>
          </w:p>
        </w:tc>
        <w:tc>
          <w:tcPr>
            <w:tcW w:w="2813" w:type="dxa"/>
            <w:tcBorders>
              <w:top w:val="nil"/>
              <w:left w:val="nil"/>
              <w:bottom w:val="single" w:sz="4" w:space="0" w:color="auto"/>
              <w:right w:val="single" w:sz="4" w:space="0" w:color="auto"/>
            </w:tcBorders>
            <w:shd w:val="clear" w:color="auto" w:fill="auto"/>
            <w:hideMark/>
          </w:tcPr>
          <w:p w14:paraId="159843AE" w14:textId="731FD84F" w:rsidR="00E52AC1" w:rsidRPr="00180345" w:rsidRDefault="00E52AC1" w:rsidP="00B10CF8">
            <w:pPr>
              <w:spacing w:after="0" w:line="240" w:lineRule="auto"/>
              <w:rPr>
                <w:rFonts w:ascii="Times New Roman" w:eastAsia="Times New Roman" w:hAnsi="Times New Roman" w:cs="Times New Roman"/>
                <w:b/>
                <w:bCs/>
                <w:sz w:val="18"/>
                <w:szCs w:val="18"/>
              </w:rPr>
            </w:pPr>
            <w:r w:rsidRPr="00180345">
              <w:rPr>
                <w:rFonts w:ascii="Times New Roman" w:eastAsia="Times New Roman" w:hAnsi="Times New Roman" w:cs="Times New Roman"/>
                <w:b/>
                <w:bCs/>
                <w:sz w:val="18"/>
                <w:szCs w:val="18"/>
              </w:rPr>
              <w:t>I</w:t>
            </w:r>
            <w:r w:rsidR="00B10CF8">
              <w:rPr>
                <w:rFonts w:ascii="Times New Roman" w:eastAsia="Times New Roman" w:hAnsi="Times New Roman" w:cs="Times New Roman"/>
                <w:b/>
                <w:bCs/>
                <w:sz w:val="18"/>
                <w:szCs w:val="18"/>
              </w:rPr>
              <w:t>.</w:t>
            </w:r>
            <w:r w:rsidRPr="00180345">
              <w:rPr>
                <w:rFonts w:ascii="Times New Roman" w:eastAsia="Times New Roman" w:hAnsi="Times New Roman" w:cs="Times New Roman"/>
                <w:b/>
                <w:bCs/>
                <w:sz w:val="18"/>
                <w:szCs w:val="18"/>
              </w:rPr>
              <w:t>P</w:t>
            </w:r>
            <w:r w:rsidR="00B10CF8">
              <w:rPr>
                <w:rFonts w:ascii="Times New Roman" w:eastAsia="Times New Roman" w:hAnsi="Times New Roman" w:cs="Times New Roman"/>
                <w:b/>
                <w:bCs/>
                <w:sz w:val="18"/>
                <w:szCs w:val="18"/>
              </w:rPr>
              <w:t>. „</w:t>
            </w:r>
            <w:r w:rsidRPr="00180345">
              <w:rPr>
                <w:rFonts w:ascii="Times New Roman" w:eastAsia="Times New Roman" w:hAnsi="Times New Roman" w:cs="Times New Roman"/>
                <w:b/>
                <w:bCs/>
                <w:sz w:val="18"/>
                <w:szCs w:val="18"/>
              </w:rPr>
              <w:t>Palatul Republicii</w:t>
            </w:r>
            <w:r w:rsidR="00B10CF8">
              <w:rPr>
                <w:rFonts w:ascii="Times New Roman" w:eastAsia="Times New Roman" w:hAnsi="Times New Roman" w:cs="Times New Roman"/>
                <w:b/>
                <w:bCs/>
                <w:sz w:val="18"/>
                <w:szCs w:val="18"/>
              </w:rPr>
              <w:t>”</w:t>
            </w:r>
            <w:r w:rsidRPr="00180345">
              <w:rPr>
                <w:rFonts w:ascii="Times New Roman" w:eastAsia="Times New Roman" w:hAnsi="Times New Roman" w:cs="Times New Roman"/>
                <w:b/>
                <w:bCs/>
                <w:sz w:val="18"/>
                <w:szCs w:val="18"/>
              </w:rPr>
              <w:t xml:space="preserve"> </w:t>
            </w:r>
          </w:p>
        </w:tc>
        <w:tc>
          <w:tcPr>
            <w:tcW w:w="1260" w:type="dxa"/>
            <w:tcBorders>
              <w:top w:val="nil"/>
              <w:left w:val="nil"/>
              <w:bottom w:val="single" w:sz="4" w:space="0" w:color="auto"/>
              <w:right w:val="single" w:sz="4" w:space="0" w:color="auto"/>
            </w:tcBorders>
            <w:shd w:val="clear" w:color="auto" w:fill="auto"/>
            <w:noWrap/>
            <w:hideMark/>
          </w:tcPr>
          <w:p w14:paraId="0D6916E0" w14:textId="5C6604BF" w:rsidR="00E52AC1" w:rsidRPr="00180345" w:rsidRDefault="00BE6A29" w:rsidP="00BE6A2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19 </w:t>
            </w:r>
            <w:r w:rsidR="00E52AC1" w:rsidRPr="00180345">
              <w:rPr>
                <w:rFonts w:ascii="Times New Roman" w:eastAsia="Times New Roman" w:hAnsi="Times New Roman" w:cs="Times New Roman"/>
                <w:color w:val="000000"/>
                <w:sz w:val="18"/>
                <w:szCs w:val="18"/>
              </w:rPr>
              <w:t>472</w:t>
            </w:r>
            <w:r>
              <w:rPr>
                <w:rFonts w:ascii="Times New Roman" w:eastAsia="Times New Roman" w:hAnsi="Times New Roman" w:cs="Times New Roman"/>
                <w:color w:val="000000"/>
                <w:sz w:val="18"/>
                <w:szCs w:val="18"/>
              </w:rPr>
              <w:t>,</w:t>
            </w:r>
            <w:r w:rsidR="00E52AC1" w:rsidRPr="00180345">
              <w:rPr>
                <w:rFonts w:ascii="Times New Roman" w:eastAsia="Times New Roman" w:hAnsi="Times New Roman" w:cs="Times New Roman"/>
                <w:color w:val="000000"/>
                <w:sz w:val="18"/>
                <w:szCs w:val="18"/>
              </w:rPr>
              <w:t>80</w:t>
            </w:r>
          </w:p>
        </w:tc>
        <w:tc>
          <w:tcPr>
            <w:tcW w:w="1859" w:type="dxa"/>
            <w:tcBorders>
              <w:top w:val="nil"/>
              <w:left w:val="nil"/>
              <w:bottom w:val="single" w:sz="4" w:space="0" w:color="auto"/>
              <w:right w:val="single" w:sz="4" w:space="0" w:color="auto"/>
            </w:tcBorders>
            <w:shd w:val="clear" w:color="auto" w:fill="auto"/>
            <w:noWrap/>
            <w:hideMark/>
          </w:tcPr>
          <w:p w14:paraId="139F3D62" w14:textId="77777777" w:rsidR="00E52AC1" w:rsidRPr="00180345" w:rsidRDefault="00E52AC1" w:rsidP="00E52AC1">
            <w:pPr>
              <w:spacing w:after="0" w:line="240" w:lineRule="auto"/>
              <w:jc w:val="center"/>
              <w:rPr>
                <w:rFonts w:ascii="Times New Roman" w:eastAsia="Times New Roman" w:hAnsi="Times New Roman" w:cs="Times New Roman"/>
                <w:color w:val="000000"/>
                <w:sz w:val="18"/>
                <w:szCs w:val="18"/>
              </w:rPr>
            </w:pPr>
            <w:r w:rsidRPr="00180345">
              <w:rPr>
                <w:rFonts w:ascii="Times New Roman" w:eastAsia="Times New Roman" w:hAnsi="Times New Roman" w:cs="Times New Roman"/>
                <w:color w:val="000000"/>
                <w:sz w:val="18"/>
                <w:szCs w:val="18"/>
              </w:rPr>
              <w:t>1%</w:t>
            </w:r>
          </w:p>
        </w:tc>
        <w:tc>
          <w:tcPr>
            <w:tcW w:w="1460" w:type="dxa"/>
            <w:tcBorders>
              <w:top w:val="nil"/>
              <w:left w:val="nil"/>
              <w:bottom w:val="single" w:sz="4" w:space="0" w:color="auto"/>
              <w:right w:val="single" w:sz="4" w:space="0" w:color="auto"/>
            </w:tcBorders>
            <w:shd w:val="clear" w:color="auto" w:fill="auto"/>
            <w:noWrap/>
            <w:hideMark/>
          </w:tcPr>
          <w:p w14:paraId="5F02A04E" w14:textId="71991506" w:rsidR="00E52AC1" w:rsidRPr="00180345" w:rsidRDefault="007101FD" w:rsidP="007101FD">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19 472,</w:t>
            </w:r>
            <w:r w:rsidR="00E52AC1" w:rsidRPr="00180345">
              <w:rPr>
                <w:rFonts w:ascii="Times New Roman" w:eastAsia="Times New Roman" w:hAnsi="Times New Roman" w:cs="Times New Roman"/>
                <w:color w:val="000000"/>
                <w:sz w:val="18"/>
                <w:szCs w:val="18"/>
              </w:rPr>
              <w:t>80</w:t>
            </w:r>
          </w:p>
        </w:tc>
        <w:tc>
          <w:tcPr>
            <w:tcW w:w="1720" w:type="dxa"/>
            <w:tcBorders>
              <w:top w:val="nil"/>
              <w:left w:val="nil"/>
              <w:bottom w:val="single" w:sz="4" w:space="0" w:color="auto"/>
              <w:right w:val="single" w:sz="4" w:space="0" w:color="auto"/>
            </w:tcBorders>
            <w:shd w:val="clear" w:color="auto" w:fill="auto"/>
            <w:noWrap/>
            <w:hideMark/>
          </w:tcPr>
          <w:p w14:paraId="02CCCA06" w14:textId="77777777" w:rsidR="00E52AC1" w:rsidRPr="00180345" w:rsidRDefault="00E52AC1" w:rsidP="00E52AC1">
            <w:pPr>
              <w:spacing w:after="0" w:line="240" w:lineRule="auto"/>
              <w:jc w:val="right"/>
              <w:rPr>
                <w:rFonts w:ascii="Times New Roman" w:eastAsia="Times New Roman" w:hAnsi="Times New Roman" w:cs="Times New Roman"/>
                <w:sz w:val="16"/>
                <w:szCs w:val="16"/>
              </w:rPr>
            </w:pPr>
            <w:r w:rsidRPr="00180345">
              <w:rPr>
                <w:rFonts w:ascii="Times New Roman" w:eastAsia="Times New Roman" w:hAnsi="Times New Roman" w:cs="Times New Roman"/>
                <w:sz w:val="16"/>
                <w:szCs w:val="16"/>
              </w:rPr>
              <w:t>subvenție</w:t>
            </w:r>
          </w:p>
        </w:tc>
      </w:tr>
      <w:tr w:rsidR="00E52AC1" w:rsidRPr="00E44A0E" w14:paraId="30C30695" w14:textId="77777777" w:rsidTr="00180345">
        <w:trPr>
          <w:trHeight w:val="288"/>
        </w:trPr>
        <w:tc>
          <w:tcPr>
            <w:tcW w:w="589" w:type="dxa"/>
            <w:tcBorders>
              <w:top w:val="nil"/>
              <w:left w:val="single" w:sz="4" w:space="0" w:color="auto"/>
              <w:bottom w:val="single" w:sz="4" w:space="0" w:color="auto"/>
              <w:right w:val="single" w:sz="4" w:space="0" w:color="auto"/>
            </w:tcBorders>
            <w:shd w:val="clear" w:color="auto" w:fill="auto"/>
            <w:noWrap/>
            <w:hideMark/>
          </w:tcPr>
          <w:p w14:paraId="0DA22EBE" w14:textId="77777777" w:rsidR="00E52AC1" w:rsidRPr="00180345" w:rsidRDefault="00E52AC1" w:rsidP="00E52AC1">
            <w:pPr>
              <w:spacing w:after="0" w:line="240" w:lineRule="auto"/>
              <w:jc w:val="center"/>
              <w:rPr>
                <w:rFonts w:ascii="Times New Roman" w:eastAsia="Times New Roman" w:hAnsi="Times New Roman" w:cs="Times New Roman"/>
                <w:b/>
                <w:bCs/>
                <w:i/>
                <w:iCs/>
                <w:color w:val="000000"/>
              </w:rPr>
            </w:pPr>
            <w:r w:rsidRPr="00180345">
              <w:rPr>
                <w:rFonts w:ascii="Times New Roman" w:eastAsia="Times New Roman" w:hAnsi="Times New Roman" w:cs="Times New Roman"/>
                <w:b/>
                <w:bCs/>
                <w:i/>
                <w:iCs/>
                <w:color w:val="000000"/>
              </w:rPr>
              <w:t>6</w:t>
            </w:r>
          </w:p>
        </w:tc>
        <w:tc>
          <w:tcPr>
            <w:tcW w:w="2813" w:type="dxa"/>
            <w:tcBorders>
              <w:top w:val="nil"/>
              <w:left w:val="nil"/>
              <w:bottom w:val="single" w:sz="4" w:space="0" w:color="auto"/>
              <w:right w:val="single" w:sz="4" w:space="0" w:color="auto"/>
            </w:tcBorders>
            <w:shd w:val="clear" w:color="auto" w:fill="auto"/>
            <w:hideMark/>
          </w:tcPr>
          <w:p w14:paraId="21E7F3A7" w14:textId="2DF53758" w:rsidR="00E52AC1" w:rsidRPr="00180345" w:rsidRDefault="00E52AC1" w:rsidP="00B10CF8">
            <w:pPr>
              <w:spacing w:after="0" w:line="240" w:lineRule="auto"/>
              <w:rPr>
                <w:rFonts w:ascii="Times New Roman" w:eastAsia="Times New Roman" w:hAnsi="Times New Roman" w:cs="Times New Roman"/>
                <w:b/>
                <w:bCs/>
                <w:sz w:val="18"/>
                <w:szCs w:val="18"/>
              </w:rPr>
            </w:pPr>
            <w:r w:rsidRPr="00180345">
              <w:rPr>
                <w:rFonts w:ascii="Times New Roman" w:eastAsia="Times New Roman" w:hAnsi="Times New Roman" w:cs="Times New Roman"/>
                <w:b/>
                <w:bCs/>
                <w:sz w:val="18"/>
                <w:szCs w:val="18"/>
              </w:rPr>
              <w:t>I</w:t>
            </w:r>
            <w:r w:rsidR="00B10CF8">
              <w:rPr>
                <w:rFonts w:ascii="Times New Roman" w:eastAsia="Times New Roman" w:hAnsi="Times New Roman" w:cs="Times New Roman"/>
                <w:b/>
                <w:bCs/>
                <w:sz w:val="18"/>
                <w:szCs w:val="18"/>
              </w:rPr>
              <w:t>.</w:t>
            </w:r>
            <w:r w:rsidRPr="00180345">
              <w:rPr>
                <w:rFonts w:ascii="Times New Roman" w:eastAsia="Times New Roman" w:hAnsi="Times New Roman" w:cs="Times New Roman"/>
                <w:b/>
                <w:bCs/>
                <w:sz w:val="18"/>
                <w:szCs w:val="18"/>
              </w:rPr>
              <w:t>P</w:t>
            </w:r>
            <w:r w:rsidR="00B10CF8">
              <w:rPr>
                <w:rFonts w:ascii="Times New Roman" w:eastAsia="Times New Roman" w:hAnsi="Times New Roman" w:cs="Times New Roman"/>
                <w:b/>
                <w:bCs/>
                <w:sz w:val="18"/>
                <w:szCs w:val="18"/>
              </w:rPr>
              <w:t>.</w:t>
            </w:r>
            <w:r w:rsidRPr="00180345">
              <w:rPr>
                <w:rFonts w:ascii="Times New Roman" w:eastAsia="Times New Roman" w:hAnsi="Times New Roman" w:cs="Times New Roman"/>
                <w:b/>
                <w:bCs/>
                <w:sz w:val="18"/>
                <w:szCs w:val="18"/>
              </w:rPr>
              <w:t xml:space="preserve"> </w:t>
            </w:r>
            <w:r w:rsidR="00B10CF8">
              <w:rPr>
                <w:rFonts w:ascii="Times New Roman" w:eastAsia="Times New Roman" w:hAnsi="Times New Roman" w:cs="Times New Roman"/>
                <w:b/>
                <w:bCs/>
                <w:sz w:val="18"/>
                <w:szCs w:val="18"/>
              </w:rPr>
              <w:t>„</w:t>
            </w:r>
            <w:r w:rsidRPr="00180345">
              <w:rPr>
                <w:rFonts w:ascii="Times New Roman" w:eastAsia="Times New Roman" w:hAnsi="Times New Roman" w:cs="Times New Roman"/>
                <w:b/>
                <w:bCs/>
                <w:sz w:val="18"/>
                <w:szCs w:val="18"/>
              </w:rPr>
              <w:t xml:space="preserve">Pensiunea </w:t>
            </w:r>
            <w:r w:rsidR="00B10CF8">
              <w:rPr>
                <w:rFonts w:ascii="Times New Roman" w:eastAsia="Times New Roman" w:hAnsi="Times New Roman" w:cs="Times New Roman"/>
                <w:b/>
                <w:bCs/>
                <w:sz w:val="18"/>
                <w:szCs w:val="18"/>
              </w:rPr>
              <w:t xml:space="preserve">din </w:t>
            </w:r>
            <w:r w:rsidRPr="00180345">
              <w:rPr>
                <w:rFonts w:ascii="Times New Roman" w:eastAsia="Times New Roman" w:hAnsi="Times New Roman" w:cs="Times New Roman"/>
                <w:b/>
                <w:bCs/>
                <w:sz w:val="18"/>
                <w:szCs w:val="18"/>
              </w:rPr>
              <w:t>Holercani”</w:t>
            </w:r>
          </w:p>
        </w:tc>
        <w:tc>
          <w:tcPr>
            <w:tcW w:w="1260" w:type="dxa"/>
            <w:tcBorders>
              <w:top w:val="nil"/>
              <w:left w:val="nil"/>
              <w:bottom w:val="single" w:sz="4" w:space="0" w:color="auto"/>
              <w:right w:val="single" w:sz="4" w:space="0" w:color="auto"/>
            </w:tcBorders>
            <w:shd w:val="clear" w:color="auto" w:fill="auto"/>
            <w:noWrap/>
            <w:hideMark/>
          </w:tcPr>
          <w:p w14:paraId="5A7B0095" w14:textId="50543B9A" w:rsidR="00E52AC1" w:rsidRPr="00180345" w:rsidRDefault="00E52AC1" w:rsidP="00BE6A29">
            <w:pPr>
              <w:spacing w:after="0" w:line="240" w:lineRule="auto"/>
              <w:jc w:val="right"/>
              <w:rPr>
                <w:rFonts w:ascii="Times New Roman" w:eastAsia="Times New Roman" w:hAnsi="Times New Roman" w:cs="Times New Roman"/>
                <w:color w:val="000000"/>
                <w:sz w:val="18"/>
                <w:szCs w:val="18"/>
              </w:rPr>
            </w:pPr>
            <w:r w:rsidRPr="00180345">
              <w:rPr>
                <w:rFonts w:ascii="Times New Roman" w:eastAsia="Times New Roman" w:hAnsi="Times New Roman" w:cs="Times New Roman"/>
                <w:color w:val="000000"/>
                <w:sz w:val="18"/>
                <w:szCs w:val="18"/>
              </w:rPr>
              <w:t>19</w:t>
            </w:r>
            <w:r w:rsidR="00BE6A29">
              <w:rPr>
                <w:rFonts w:ascii="Times New Roman" w:eastAsia="Times New Roman" w:hAnsi="Times New Roman" w:cs="Times New Roman"/>
                <w:color w:val="000000"/>
                <w:sz w:val="18"/>
                <w:szCs w:val="18"/>
              </w:rPr>
              <w:t xml:space="preserve"> </w:t>
            </w:r>
            <w:r w:rsidRPr="00180345">
              <w:rPr>
                <w:rFonts w:ascii="Times New Roman" w:eastAsia="Times New Roman" w:hAnsi="Times New Roman" w:cs="Times New Roman"/>
                <w:color w:val="000000"/>
                <w:sz w:val="18"/>
                <w:szCs w:val="18"/>
              </w:rPr>
              <w:t>525</w:t>
            </w:r>
            <w:r w:rsidR="00BE6A29">
              <w:rPr>
                <w:rFonts w:ascii="Times New Roman" w:eastAsia="Times New Roman" w:hAnsi="Times New Roman" w:cs="Times New Roman"/>
                <w:color w:val="000000"/>
                <w:sz w:val="18"/>
                <w:szCs w:val="18"/>
              </w:rPr>
              <w:t>,</w:t>
            </w:r>
            <w:r w:rsidRPr="00180345">
              <w:rPr>
                <w:rFonts w:ascii="Times New Roman" w:eastAsia="Times New Roman" w:hAnsi="Times New Roman" w:cs="Times New Roman"/>
                <w:color w:val="000000"/>
                <w:sz w:val="18"/>
                <w:szCs w:val="18"/>
              </w:rPr>
              <w:t>10</w:t>
            </w:r>
          </w:p>
        </w:tc>
        <w:tc>
          <w:tcPr>
            <w:tcW w:w="1859" w:type="dxa"/>
            <w:tcBorders>
              <w:top w:val="nil"/>
              <w:left w:val="nil"/>
              <w:bottom w:val="single" w:sz="4" w:space="0" w:color="auto"/>
              <w:right w:val="single" w:sz="4" w:space="0" w:color="auto"/>
            </w:tcBorders>
            <w:shd w:val="clear" w:color="auto" w:fill="auto"/>
            <w:noWrap/>
            <w:hideMark/>
          </w:tcPr>
          <w:p w14:paraId="3BD22B15" w14:textId="77777777" w:rsidR="00E52AC1" w:rsidRPr="00180345" w:rsidRDefault="00E52AC1" w:rsidP="00E52AC1">
            <w:pPr>
              <w:spacing w:after="0" w:line="240" w:lineRule="auto"/>
              <w:jc w:val="center"/>
              <w:rPr>
                <w:rFonts w:ascii="Times New Roman" w:eastAsia="Times New Roman" w:hAnsi="Times New Roman" w:cs="Times New Roman"/>
                <w:color w:val="000000"/>
                <w:sz w:val="18"/>
                <w:szCs w:val="18"/>
              </w:rPr>
            </w:pPr>
            <w:r w:rsidRPr="00180345">
              <w:rPr>
                <w:rFonts w:ascii="Times New Roman" w:eastAsia="Times New Roman" w:hAnsi="Times New Roman" w:cs="Times New Roman"/>
                <w:color w:val="000000"/>
                <w:sz w:val="18"/>
                <w:szCs w:val="18"/>
              </w:rPr>
              <w:t>1%</w:t>
            </w:r>
          </w:p>
        </w:tc>
        <w:tc>
          <w:tcPr>
            <w:tcW w:w="1460" w:type="dxa"/>
            <w:tcBorders>
              <w:top w:val="nil"/>
              <w:left w:val="nil"/>
              <w:bottom w:val="single" w:sz="4" w:space="0" w:color="auto"/>
              <w:right w:val="single" w:sz="4" w:space="0" w:color="auto"/>
            </w:tcBorders>
            <w:shd w:val="clear" w:color="auto" w:fill="auto"/>
            <w:noWrap/>
            <w:hideMark/>
          </w:tcPr>
          <w:p w14:paraId="08CBA9C9" w14:textId="3CB7AE2F" w:rsidR="00E52AC1" w:rsidRPr="00180345" w:rsidRDefault="007101FD" w:rsidP="007101FD">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19 </w:t>
            </w:r>
            <w:r w:rsidR="00E52AC1" w:rsidRPr="00180345">
              <w:rPr>
                <w:rFonts w:ascii="Times New Roman" w:eastAsia="Times New Roman" w:hAnsi="Times New Roman" w:cs="Times New Roman"/>
                <w:color w:val="000000"/>
                <w:sz w:val="18"/>
                <w:szCs w:val="18"/>
              </w:rPr>
              <w:t>525</w:t>
            </w:r>
            <w:r>
              <w:rPr>
                <w:rFonts w:ascii="Times New Roman" w:eastAsia="Times New Roman" w:hAnsi="Times New Roman" w:cs="Times New Roman"/>
                <w:color w:val="000000"/>
                <w:sz w:val="18"/>
                <w:szCs w:val="18"/>
              </w:rPr>
              <w:t>,</w:t>
            </w:r>
            <w:r w:rsidR="00E52AC1" w:rsidRPr="00180345">
              <w:rPr>
                <w:rFonts w:ascii="Times New Roman" w:eastAsia="Times New Roman" w:hAnsi="Times New Roman" w:cs="Times New Roman"/>
                <w:color w:val="000000"/>
                <w:sz w:val="18"/>
                <w:szCs w:val="18"/>
              </w:rPr>
              <w:t>10</w:t>
            </w:r>
          </w:p>
        </w:tc>
        <w:tc>
          <w:tcPr>
            <w:tcW w:w="1720" w:type="dxa"/>
            <w:tcBorders>
              <w:top w:val="nil"/>
              <w:left w:val="nil"/>
              <w:bottom w:val="single" w:sz="4" w:space="0" w:color="auto"/>
              <w:right w:val="single" w:sz="4" w:space="0" w:color="auto"/>
            </w:tcBorders>
            <w:shd w:val="clear" w:color="auto" w:fill="auto"/>
            <w:noWrap/>
            <w:hideMark/>
          </w:tcPr>
          <w:p w14:paraId="083D3FBE" w14:textId="77777777" w:rsidR="00E52AC1" w:rsidRPr="00180345" w:rsidRDefault="00E52AC1" w:rsidP="00E52AC1">
            <w:pPr>
              <w:spacing w:after="0" w:line="240" w:lineRule="auto"/>
              <w:jc w:val="right"/>
              <w:rPr>
                <w:rFonts w:ascii="Times New Roman" w:eastAsia="Times New Roman" w:hAnsi="Times New Roman" w:cs="Times New Roman"/>
                <w:sz w:val="16"/>
                <w:szCs w:val="16"/>
              </w:rPr>
            </w:pPr>
            <w:r w:rsidRPr="00180345">
              <w:rPr>
                <w:rFonts w:ascii="Times New Roman" w:eastAsia="Times New Roman" w:hAnsi="Times New Roman" w:cs="Times New Roman"/>
                <w:sz w:val="16"/>
                <w:szCs w:val="16"/>
              </w:rPr>
              <w:t>subvenție</w:t>
            </w:r>
          </w:p>
        </w:tc>
      </w:tr>
      <w:tr w:rsidR="00E52AC1" w:rsidRPr="00E44A0E" w14:paraId="59024B26" w14:textId="77777777" w:rsidTr="00180345">
        <w:trPr>
          <w:trHeight w:val="288"/>
        </w:trPr>
        <w:tc>
          <w:tcPr>
            <w:tcW w:w="589" w:type="dxa"/>
            <w:vMerge w:val="restart"/>
            <w:tcBorders>
              <w:top w:val="nil"/>
              <w:left w:val="single" w:sz="4" w:space="0" w:color="auto"/>
              <w:bottom w:val="single" w:sz="4" w:space="0" w:color="000000"/>
              <w:right w:val="single" w:sz="4" w:space="0" w:color="auto"/>
            </w:tcBorders>
            <w:shd w:val="clear" w:color="auto" w:fill="auto"/>
            <w:noWrap/>
            <w:hideMark/>
          </w:tcPr>
          <w:p w14:paraId="44E06290" w14:textId="77777777" w:rsidR="00E52AC1" w:rsidRPr="00180345" w:rsidRDefault="00E52AC1" w:rsidP="00E52AC1">
            <w:pPr>
              <w:spacing w:after="0" w:line="240" w:lineRule="auto"/>
              <w:jc w:val="center"/>
              <w:rPr>
                <w:rFonts w:ascii="Times New Roman" w:eastAsia="Times New Roman" w:hAnsi="Times New Roman" w:cs="Times New Roman"/>
                <w:b/>
                <w:bCs/>
                <w:i/>
                <w:iCs/>
                <w:color w:val="000000"/>
              </w:rPr>
            </w:pPr>
            <w:r w:rsidRPr="00180345">
              <w:rPr>
                <w:rFonts w:ascii="Times New Roman" w:eastAsia="Times New Roman" w:hAnsi="Times New Roman" w:cs="Times New Roman"/>
                <w:b/>
                <w:bCs/>
                <w:i/>
                <w:iCs/>
                <w:color w:val="000000"/>
              </w:rPr>
              <w:t>7</w:t>
            </w:r>
          </w:p>
        </w:tc>
        <w:tc>
          <w:tcPr>
            <w:tcW w:w="2813" w:type="dxa"/>
            <w:vMerge w:val="restart"/>
            <w:tcBorders>
              <w:top w:val="nil"/>
              <w:left w:val="single" w:sz="4" w:space="0" w:color="auto"/>
              <w:bottom w:val="single" w:sz="4" w:space="0" w:color="000000"/>
              <w:right w:val="single" w:sz="4" w:space="0" w:color="auto"/>
            </w:tcBorders>
            <w:shd w:val="clear" w:color="auto" w:fill="auto"/>
            <w:hideMark/>
          </w:tcPr>
          <w:p w14:paraId="6F31FF62" w14:textId="45C06376" w:rsidR="00E52AC1" w:rsidRPr="00180345" w:rsidRDefault="00E52AC1" w:rsidP="00E52AC1">
            <w:pPr>
              <w:spacing w:after="0" w:line="240" w:lineRule="auto"/>
              <w:rPr>
                <w:rFonts w:ascii="Times New Roman" w:eastAsia="Times New Roman" w:hAnsi="Times New Roman" w:cs="Times New Roman"/>
                <w:b/>
                <w:bCs/>
                <w:sz w:val="18"/>
                <w:szCs w:val="18"/>
              </w:rPr>
            </w:pPr>
            <w:r w:rsidRPr="00180345">
              <w:rPr>
                <w:rFonts w:ascii="Times New Roman" w:eastAsia="Times New Roman" w:hAnsi="Times New Roman" w:cs="Times New Roman"/>
                <w:b/>
                <w:bCs/>
                <w:sz w:val="18"/>
                <w:szCs w:val="18"/>
              </w:rPr>
              <w:t>I</w:t>
            </w:r>
            <w:r w:rsidR="00B10CF8">
              <w:rPr>
                <w:rFonts w:ascii="Times New Roman" w:eastAsia="Times New Roman" w:hAnsi="Times New Roman" w:cs="Times New Roman"/>
                <w:b/>
                <w:bCs/>
                <w:sz w:val="18"/>
                <w:szCs w:val="18"/>
              </w:rPr>
              <w:t>.</w:t>
            </w:r>
            <w:r w:rsidRPr="00180345">
              <w:rPr>
                <w:rFonts w:ascii="Times New Roman" w:eastAsia="Times New Roman" w:hAnsi="Times New Roman" w:cs="Times New Roman"/>
                <w:b/>
                <w:bCs/>
                <w:sz w:val="18"/>
                <w:szCs w:val="18"/>
              </w:rPr>
              <w:t>P</w:t>
            </w:r>
            <w:r w:rsidR="00B10CF8">
              <w:rPr>
                <w:rFonts w:ascii="Times New Roman" w:eastAsia="Times New Roman" w:hAnsi="Times New Roman" w:cs="Times New Roman"/>
                <w:b/>
                <w:bCs/>
                <w:sz w:val="18"/>
                <w:szCs w:val="18"/>
              </w:rPr>
              <w:t>.</w:t>
            </w:r>
            <w:r w:rsidRPr="00180345">
              <w:rPr>
                <w:rFonts w:ascii="Times New Roman" w:eastAsia="Times New Roman" w:hAnsi="Times New Roman" w:cs="Times New Roman"/>
                <w:b/>
                <w:bCs/>
                <w:sz w:val="18"/>
                <w:szCs w:val="18"/>
              </w:rPr>
              <w:t xml:space="preserve"> </w:t>
            </w:r>
            <w:r w:rsidR="00B10CF8">
              <w:rPr>
                <w:rFonts w:ascii="Times New Roman" w:eastAsia="Times New Roman" w:hAnsi="Times New Roman" w:cs="Times New Roman"/>
                <w:b/>
                <w:bCs/>
                <w:sz w:val="18"/>
                <w:szCs w:val="18"/>
              </w:rPr>
              <w:t>„</w:t>
            </w:r>
            <w:r w:rsidRPr="00180345">
              <w:rPr>
                <w:rFonts w:ascii="Times New Roman" w:eastAsia="Times New Roman" w:hAnsi="Times New Roman" w:cs="Times New Roman"/>
                <w:b/>
                <w:bCs/>
                <w:sz w:val="18"/>
                <w:szCs w:val="18"/>
              </w:rPr>
              <w:t>AGE</w:t>
            </w:r>
            <w:r w:rsidR="00B10CF8">
              <w:rPr>
                <w:rFonts w:ascii="Times New Roman" w:eastAsia="Times New Roman" w:hAnsi="Times New Roman" w:cs="Times New Roman"/>
                <w:b/>
                <w:bCs/>
                <w:sz w:val="18"/>
                <w:szCs w:val="18"/>
              </w:rPr>
              <w:t>”</w:t>
            </w:r>
          </w:p>
        </w:tc>
        <w:tc>
          <w:tcPr>
            <w:tcW w:w="1260" w:type="dxa"/>
            <w:vMerge w:val="restart"/>
            <w:tcBorders>
              <w:top w:val="nil"/>
              <w:left w:val="single" w:sz="4" w:space="0" w:color="auto"/>
              <w:bottom w:val="single" w:sz="4" w:space="0" w:color="000000"/>
              <w:right w:val="single" w:sz="4" w:space="0" w:color="auto"/>
            </w:tcBorders>
            <w:shd w:val="clear" w:color="auto" w:fill="auto"/>
            <w:noWrap/>
            <w:hideMark/>
          </w:tcPr>
          <w:p w14:paraId="6C1F40F8" w14:textId="3B6B1DF8" w:rsidR="00E52AC1" w:rsidRPr="00180345" w:rsidRDefault="00BE6A29" w:rsidP="00BE6A2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249 </w:t>
            </w:r>
            <w:r w:rsidR="00E52AC1" w:rsidRPr="00180345">
              <w:rPr>
                <w:rFonts w:ascii="Times New Roman" w:eastAsia="Times New Roman" w:hAnsi="Times New Roman" w:cs="Times New Roman"/>
                <w:color w:val="000000"/>
                <w:sz w:val="18"/>
                <w:szCs w:val="18"/>
              </w:rPr>
              <w:t>788</w:t>
            </w:r>
            <w:r>
              <w:rPr>
                <w:rFonts w:ascii="Times New Roman" w:eastAsia="Times New Roman" w:hAnsi="Times New Roman" w:cs="Times New Roman"/>
                <w:color w:val="000000"/>
                <w:sz w:val="18"/>
                <w:szCs w:val="18"/>
              </w:rPr>
              <w:t>,</w:t>
            </w:r>
            <w:r w:rsidR="00E52AC1" w:rsidRPr="00180345">
              <w:rPr>
                <w:rFonts w:ascii="Times New Roman" w:eastAsia="Times New Roman" w:hAnsi="Times New Roman" w:cs="Times New Roman"/>
                <w:color w:val="000000"/>
                <w:sz w:val="18"/>
                <w:szCs w:val="18"/>
              </w:rPr>
              <w:t>50</w:t>
            </w:r>
          </w:p>
        </w:tc>
        <w:tc>
          <w:tcPr>
            <w:tcW w:w="1859" w:type="dxa"/>
            <w:vMerge w:val="restart"/>
            <w:tcBorders>
              <w:top w:val="nil"/>
              <w:left w:val="single" w:sz="4" w:space="0" w:color="auto"/>
              <w:bottom w:val="single" w:sz="4" w:space="0" w:color="000000"/>
              <w:right w:val="single" w:sz="4" w:space="0" w:color="auto"/>
            </w:tcBorders>
            <w:shd w:val="clear" w:color="auto" w:fill="auto"/>
            <w:noWrap/>
            <w:hideMark/>
          </w:tcPr>
          <w:p w14:paraId="060C595E" w14:textId="77777777" w:rsidR="00E52AC1" w:rsidRPr="00180345" w:rsidRDefault="00E52AC1" w:rsidP="00E52AC1">
            <w:pPr>
              <w:spacing w:after="0" w:line="240" w:lineRule="auto"/>
              <w:jc w:val="center"/>
              <w:rPr>
                <w:rFonts w:ascii="Times New Roman" w:eastAsia="Times New Roman" w:hAnsi="Times New Roman" w:cs="Times New Roman"/>
                <w:color w:val="000000"/>
                <w:sz w:val="18"/>
                <w:szCs w:val="18"/>
              </w:rPr>
            </w:pPr>
            <w:r w:rsidRPr="00180345">
              <w:rPr>
                <w:rFonts w:ascii="Times New Roman" w:eastAsia="Times New Roman" w:hAnsi="Times New Roman" w:cs="Times New Roman"/>
                <w:color w:val="000000"/>
                <w:sz w:val="18"/>
                <w:szCs w:val="18"/>
              </w:rPr>
              <w:t>14%</w:t>
            </w:r>
          </w:p>
        </w:tc>
        <w:tc>
          <w:tcPr>
            <w:tcW w:w="1460" w:type="dxa"/>
            <w:tcBorders>
              <w:top w:val="nil"/>
              <w:left w:val="nil"/>
              <w:bottom w:val="single" w:sz="4" w:space="0" w:color="auto"/>
              <w:right w:val="single" w:sz="4" w:space="0" w:color="auto"/>
            </w:tcBorders>
            <w:shd w:val="clear" w:color="auto" w:fill="auto"/>
            <w:noWrap/>
            <w:hideMark/>
          </w:tcPr>
          <w:p w14:paraId="22CD1496" w14:textId="77777777" w:rsidR="00E52AC1" w:rsidRPr="00180345" w:rsidRDefault="00E52AC1" w:rsidP="007101FD">
            <w:pPr>
              <w:spacing w:after="0" w:line="240" w:lineRule="auto"/>
              <w:jc w:val="right"/>
              <w:rPr>
                <w:rFonts w:ascii="Times New Roman" w:eastAsia="Times New Roman" w:hAnsi="Times New Roman" w:cs="Times New Roman"/>
                <w:color w:val="000000"/>
                <w:sz w:val="18"/>
                <w:szCs w:val="18"/>
              </w:rPr>
            </w:pPr>
            <w:r w:rsidRPr="00180345">
              <w:rPr>
                <w:rFonts w:ascii="Times New Roman" w:eastAsia="Times New Roman" w:hAnsi="Times New Roman" w:cs="Times New Roman"/>
                <w:color w:val="000000"/>
                <w:sz w:val="18"/>
                <w:szCs w:val="18"/>
              </w:rPr>
              <w:t>40,815.80</w:t>
            </w:r>
          </w:p>
        </w:tc>
        <w:tc>
          <w:tcPr>
            <w:tcW w:w="1720" w:type="dxa"/>
            <w:tcBorders>
              <w:top w:val="nil"/>
              <w:left w:val="nil"/>
              <w:bottom w:val="single" w:sz="4" w:space="0" w:color="auto"/>
              <w:right w:val="single" w:sz="4" w:space="0" w:color="auto"/>
            </w:tcBorders>
            <w:shd w:val="clear" w:color="auto" w:fill="auto"/>
            <w:noWrap/>
            <w:hideMark/>
          </w:tcPr>
          <w:p w14:paraId="309B8321" w14:textId="77777777" w:rsidR="00E52AC1" w:rsidRPr="00180345" w:rsidRDefault="00E52AC1" w:rsidP="00E52AC1">
            <w:pPr>
              <w:spacing w:after="0" w:line="240" w:lineRule="auto"/>
              <w:jc w:val="right"/>
              <w:rPr>
                <w:rFonts w:ascii="Times New Roman" w:eastAsia="Times New Roman" w:hAnsi="Times New Roman" w:cs="Times New Roman"/>
                <w:color w:val="000000"/>
                <w:sz w:val="16"/>
                <w:szCs w:val="16"/>
              </w:rPr>
            </w:pPr>
            <w:r w:rsidRPr="00180345">
              <w:rPr>
                <w:rFonts w:ascii="Times New Roman" w:eastAsia="Times New Roman" w:hAnsi="Times New Roman" w:cs="Times New Roman"/>
                <w:color w:val="000000"/>
                <w:sz w:val="16"/>
                <w:szCs w:val="16"/>
              </w:rPr>
              <w:t>granturi</w:t>
            </w:r>
          </w:p>
        </w:tc>
      </w:tr>
      <w:tr w:rsidR="00E52AC1" w:rsidRPr="00E44A0E" w14:paraId="1A484119" w14:textId="77777777" w:rsidTr="00180345">
        <w:trPr>
          <w:trHeight w:val="288"/>
        </w:trPr>
        <w:tc>
          <w:tcPr>
            <w:tcW w:w="589" w:type="dxa"/>
            <w:vMerge/>
            <w:tcBorders>
              <w:top w:val="nil"/>
              <w:left w:val="single" w:sz="4" w:space="0" w:color="auto"/>
              <w:bottom w:val="single" w:sz="4" w:space="0" w:color="000000"/>
              <w:right w:val="single" w:sz="4" w:space="0" w:color="auto"/>
            </w:tcBorders>
            <w:hideMark/>
          </w:tcPr>
          <w:p w14:paraId="4809D98E" w14:textId="77777777" w:rsidR="00E52AC1" w:rsidRPr="00180345" w:rsidRDefault="00E52AC1" w:rsidP="00E52AC1">
            <w:pPr>
              <w:spacing w:after="0" w:line="240" w:lineRule="auto"/>
              <w:rPr>
                <w:rFonts w:ascii="Times New Roman" w:eastAsia="Times New Roman" w:hAnsi="Times New Roman" w:cs="Times New Roman"/>
                <w:b/>
                <w:bCs/>
                <w:i/>
                <w:iCs/>
                <w:color w:val="000000"/>
              </w:rPr>
            </w:pPr>
          </w:p>
        </w:tc>
        <w:tc>
          <w:tcPr>
            <w:tcW w:w="2813" w:type="dxa"/>
            <w:vMerge/>
            <w:tcBorders>
              <w:top w:val="nil"/>
              <w:left w:val="single" w:sz="4" w:space="0" w:color="auto"/>
              <w:bottom w:val="single" w:sz="4" w:space="0" w:color="000000"/>
              <w:right w:val="single" w:sz="4" w:space="0" w:color="auto"/>
            </w:tcBorders>
            <w:hideMark/>
          </w:tcPr>
          <w:p w14:paraId="3CEBF3E1" w14:textId="77777777" w:rsidR="00E52AC1" w:rsidRPr="00180345" w:rsidRDefault="00E52AC1" w:rsidP="00E52AC1">
            <w:pPr>
              <w:spacing w:after="0" w:line="240" w:lineRule="auto"/>
              <w:rPr>
                <w:rFonts w:ascii="Times New Roman" w:eastAsia="Times New Roman" w:hAnsi="Times New Roman" w:cs="Times New Roman"/>
                <w:b/>
                <w:bCs/>
                <w:sz w:val="18"/>
                <w:szCs w:val="18"/>
              </w:rPr>
            </w:pPr>
          </w:p>
        </w:tc>
        <w:tc>
          <w:tcPr>
            <w:tcW w:w="1260" w:type="dxa"/>
            <w:vMerge/>
            <w:tcBorders>
              <w:top w:val="nil"/>
              <w:left w:val="single" w:sz="4" w:space="0" w:color="auto"/>
              <w:bottom w:val="single" w:sz="4" w:space="0" w:color="000000"/>
              <w:right w:val="single" w:sz="4" w:space="0" w:color="auto"/>
            </w:tcBorders>
            <w:hideMark/>
          </w:tcPr>
          <w:p w14:paraId="42F7C9AB" w14:textId="77777777" w:rsidR="00E52AC1" w:rsidRPr="00180345" w:rsidRDefault="00E52AC1" w:rsidP="00BE6A29">
            <w:pPr>
              <w:spacing w:after="0" w:line="240" w:lineRule="auto"/>
              <w:jc w:val="right"/>
              <w:rPr>
                <w:rFonts w:ascii="Times New Roman" w:eastAsia="Times New Roman" w:hAnsi="Times New Roman" w:cs="Times New Roman"/>
                <w:color w:val="000000"/>
                <w:sz w:val="18"/>
                <w:szCs w:val="18"/>
              </w:rPr>
            </w:pPr>
          </w:p>
        </w:tc>
        <w:tc>
          <w:tcPr>
            <w:tcW w:w="1859" w:type="dxa"/>
            <w:vMerge/>
            <w:tcBorders>
              <w:top w:val="nil"/>
              <w:left w:val="single" w:sz="4" w:space="0" w:color="auto"/>
              <w:bottom w:val="single" w:sz="4" w:space="0" w:color="000000"/>
              <w:right w:val="single" w:sz="4" w:space="0" w:color="auto"/>
            </w:tcBorders>
            <w:hideMark/>
          </w:tcPr>
          <w:p w14:paraId="3700712D" w14:textId="77777777" w:rsidR="00E52AC1" w:rsidRPr="00180345" w:rsidRDefault="00E52AC1" w:rsidP="00E52AC1">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hideMark/>
          </w:tcPr>
          <w:p w14:paraId="27028CD6" w14:textId="1465EEA9" w:rsidR="00E52AC1" w:rsidRPr="00180345" w:rsidRDefault="007101FD" w:rsidP="007101FD">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42 262,</w:t>
            </w:r>
            <w:r w:rsidR="00E52AC1" w:rsidRPr="00180345">
              <w:rPr>
                <w:rFonts w:ascii="Times New Roman" w:eastAsia="Times New Roman" w:hAnsi="Times New Roman" w:cs="Times New Roman"/>
                <w:color w:val="000000"/>
                <w:sz w:val="18"/>
                <w:szCs w:val="18"/>
              </w:rPr>
              <w:t>90</w:t>
            </w:r>
          </w:p>
        </w:tc>
        <w:tc>
          <w:tcPr>
            <w:tcW w:w="1720" w:type="dxa"/>
            <w:tcBorders>
              <w:top w:val="nil"/>
              <w:left w:val="nil"/>
              <w:bottom w:val="single" w:sz="4" w:space="0" w:color="auto"/>
              <w:right w:val="single" w:sz="4" w:space="0" w:color="auto"/>
            </w:tcBorders>
            <w:shd w:val="clear" w:color="auto" w:fill="auto"/>
            <w:noWrap/>
            <w:hideMark/>
          </w:tcPr>
          <w:p w14:paraId="27E1BE24" w14:textId="77777777" w:rsidR="00E52AC1" w:rsidRPr="00180345" w:rsidRDefault="00E52AC1" w:rsidP="00E52AC1">
            <w:pPr>
              <w:spacing w:after="0" w:line="240" w:lineRule="auto"/>
              <w:jc w:val="right"/>
              <w:rPr>
                <w:rFonts w:ascii="Times New Roman" w:eastAsia="Times New Roman" w:hAnsi="Times New Roman" w:cs="Times New Roman"/>
                <w:color w:val="000000"/>
                <w:sz w:val="16"/>
                <w:szCs w:val="16"/>
              </w:rPr>
            </w:pPr>
            <w:r w:rsidRPr="00180345">
              <w:rPr>
                <w:rFonts w:ascii="Times New Roman" w:eastAsia="Times New Roman" w:hAnsi="Times New Roman" w:cs="Times New Roman"/>
                <w:color w:val="000000"/>
                <w:sz w:val="16"/>
                <w:szCs w:val="16"/>
              </w:rPr>
              <w:t>subvenții</w:t>
            </w:r>
          </w:p>
        </w:tc>
      </w:tr>
      <w:tr w:rsidR="00E52AC1" w:rsidRPr="00E44A0E" w14:paraId="7385C679" w14:textId="77777777" w:rsidTr="00180345">
        <w:trPr>
          <w:trHeight w:val="288"/>
        </w:trPr>
        <w:tc>
          <w:tcPr>
            <w:tcW w:w="589" w:type="dxa"/>
            <w:vMerge/>
            <w:tcBorders>
              <w:top w:val="nil"/>
              <w:left w:val="single" w:sz="4" w:space="0" w:color="auto"/>
              <w:bottom w:val="single" w:sz="4" w:space="0" w:color="000000"/>
              <w:right w:val="single" w:sz="4" w:space="0" w:color="auto"/>
            </w:tcBorders>
            <w:hideMark/>
          </w:tcPr>
          <w:p w14:paraId="60F623A3" w14:textId="77777777" w:rsidR="00E52AC1" w:rsidRPr="00180345" w:rsidRDefault="00E52AC1" w:rsidP="00E52AC1">
            <w:pPr>
              <w:spacing w:after="0" w:line="240" w:lineRule="auto"/>
              <w:rPr>
                <w:rFonts w:ascii="Times New Roman" w:eastAsia="Times New Roman" w:hAnsi="Times New Roman" w:cs="Times New Roman"/>
                <w:b/>
                <w:bCs/>
                <w:i/>
                <w:iCs/>
                <w:color w:val="000000"/>
              </w:rPr>
            </w:pPr>
          </w:p>
        </w:tc>
        <w:tc>
          <w:tcPr>
            <w:tcW w:w="2813" w:type="dxa"/>
            <w:vMerge/>
            <w:tcBorders>
              <w:top w:val="nil"/>
              <w:left w:val="single" w:sz="4" w:space="0" w:color="auto"/>
              <w:bottom w:val="single" w:sz="4" w:space="0" w:color="000000"/>
              <w:right w:val="single" w:sz="4" w:space="0" w:color="auto"/>
            </w:tcBorders>
            <w:hideMark/>
          </w:tcPr>
          <w:p w14:paraId="5DC20FF6" w14:textId="77777777" w:rsidR="00E52AC1" w:rsidRPr="00180345" w:rsidRDefault="00E52AC1" w:rsidP="00E52AC1">
            <w:pPr>
              <w:spacing w:after="0" w:line="240" w:lineRule="auto"/>
              <w:rPr>
                <w:rFonts w:ascii="Times New Roman" w:eastAsia="Times New Roman" w:hAnsi="Times New Roman" w:cs="Times New Roman"/>
                <w:b/>
                <w:bCs/>
                <w:sz w:val="18"/>
                <w:szCs w:val="18"/>
              </w:rPr>
            </w:pPr>
          </w:p>
        </w:tc>
        <w:tc>
          <w:tcPr>
            <w:tcW w:w="1260" w:type="dxa"/>
            <w:vMerge/>
            <w:tcBorders>
              <w:top w:val="nil"/>
              <w:left w:val="single" w:sz="4" w:space="0" w:color="auto"/>
              <w:bottom w:val="single" w:sz="4" w:space="0" w:color="000000"/>
              <w:right w:val="single" w:sz="4" w:space="0" w:color="auto"/>
            </w:tcBorders>
            <w:hideMark/>
          </w:tcPr>
          <w:p w14:paraId="78EB31D9" w14:textId="77777777" w:rsidR="00E52AC1" w:rsidRPr="00180345" w:rsidRDefault="00E52AC1" w:rsidP="00BE6A29">
            <w:pPr>
              <w:spacing w:after="0" w:line="240" w:lineRule="auto"/>
              <w:jc w:val="right"/>
              <w:rPr>
                <w:rFonts w:ascii="Times New Roman" w:eastAsia="Times New Roman" w:hAnsi="Times New Roman" w:cs="Times New Roman"/>
                <w:color w:val="000000"/>
                <w:sz w:val="18"/>
                <w:szCs w:val="18"/>
              </w:rPr>
            </w:pPr>
          </w:p>
        </w:tc>
        <w:tc>
          <w:tcPr>
            <w:tcW w:w="1859" w:type="dxa"/>
            <w:vMerge/>
            <w:tcBorders>
              <w:top w:val="nil"/>
              <w:left w:val="single" w:sz="4" w:space="0" w:color="auto"/>
              <w:bottom w:val="single" w:sz="4" w:space="0" w:color="000000"/>
              <w:right w:val="single" w:sz="4" w:space="0" w:color="auto"/>
            </w:tcBorders>
            <w:hideMark/>
          </w:tcPr>
          <w:p w14:paraId="71E437BB" w14:textId="77777777" w:rsidR="00E52AC1" w:rsidRPr="00180345" w:rsidRDefault="00E52AC1" w:rsidP="00E52AC1">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hideMark/>
          </w:tcPr>
          <w:p w14:paraId="5B3B0255" w14:textId="2DF78370" w:rsidR="00E52AC1" w:rsidRPr="00180345" w:rsidRDefault="007101FD" w:rsidP="007101FD">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166 </w:t>
            </w:r>
            <w:r w:rsidR="00E52AC1" w:rsidRPr="00180345">
              <w:rPr>
                <w:rFonts w:ascii="Times New Roman" w:eastAsia="Times New Roman" w:hAnsi="Times New Roman" w:cs="Times New Roman"/>
                <w:color w:val="000000"/>
                <w:sz w:val="18"/>
                <w:szCs w:val="18"/>
              </w:rPr>
              <w:t>709</w:t>
            </w:r>
            <w:r>
              <w:rPr>
                <w:rFonts w:ascii="Times New Roman" w:eastAsia="Times New Roman" w:hAnsi="Times New Roman" w:cs="Times New Roman"/>
                <w:color w:val="000000"/>
                <w:sz w:val="18"/>
                <w:szCs w:val="18"/>
              </w:rPr>
              <w:t>,</w:t>
            </w:r>
            <w:r w:rsidR="00E52AC1" w:rsidRPr="00180345">
              <w:rPr>
                <w:rFonts w:ascii="Times New Roman" w:eastAsia="Times New Roman" w:hAnsi="Times New Roman" w:cs="Times New Roman"/>
                <w:color w:val="000000"/>
                <w:sz w:val="18"/>
                <w:szCs w:val="18"/>
              </w:rPr>
              <w:t>80</w:t>
            </w:r>
          </w:p>
        </w:tc>
        <w:tc>
          <w:tcPr>
            <w:tcW w:w="1720" w:type="dxa"/>
            <w:tcBorders>
              <w:top w:val="nil"/>
              <w:left w:val="nil"/>
              <w:bottom w:val="single" w:sz="4" w:space="0" w:color="auto"/>
              <w:right w:val="single" w:sz="4" w:space="0" w:color="auto"/>
            </w:tcBorders>
            <w:shd w:val="clear" w:color="auto" w:fill="auto"/>
            <w:noWrap/>
            <w:hideMark/>
          </w:tcPr>
          <w:p w14:paraId="01D56B66" w14:textId="77777777" w:rsidR="00E52AC1" w:rsidRPr="00180345" w:rsidRDefault="00E52AC1" w:rsidP="00E52AC1">
            <w:pPr>
              <w:spacing w:after="0" w:line="240" w:lineRule="auto"/>
              <w:jc w:val="right"/>
              <w:rPr>
                <w:rFonts w:ascii="Times New Roman" w:eastAsia="Times New Roman" w:hAnsi="Times New Roman" w:cs="Times New Roman"/>
                <w:color w:val="000000"/>
                <w:sz w:val="16"/>
                <w:szCs w:val="16"/>
              </w:rPr>
            </w:pPr>
            <w:r w:rsidRPr="00180345">
              <w:rPr>
                <w:rFonts w:ascii="Times New Roman" w:eastAsia="Times New Roman" w:hAnsi="Times New Roman" w:cs="Times New Roman"/>
                <w:color w:val="000000"/>
                <w:sz w:val="16"/>
                <w:szCs w:val="16"/>
              </w:rPr>
              <w:t>resurse generale</w:t>
            </w:r>
          </w:p>
        </w:tc>
      </w:tr>
      <w:tr w:rsidR="00E52AC1" w:rsidRPr="00E44A0E" w14:paraId="23B86BD2" w14:textId="77777777" w:rsidTr="00180345">
        <w:trPr>
          <w:trHeight w:val="288"/>
        </w:trPr>
        <w:tc>
          <w:tcPr>
            <w:tcW w:w="589" w:type="dxa"/>
            <w:vMerge w:val="restart"/>
            <w:tcBorders>
              <w:top w:val="nil"/>
              <w:left w:val="single" w:sz="4" w:space="0" w:color="auto"/>
              <w:bottom w:val="single" w:sz="4" w:space="0" w:color="000000"/>
              <w:right w:val="single" w:sz="4" w:space="0" w:color="auto"/>
            </w:tcBorders>
            <w:shd w:val="clear" w:color="auto" w:fill="auto"/>
            <w:noWrap/>
            <w:hideMark/>
          </w:tcPr>
          <w:p w14:paraId="6E1C066B" w14:textId="77777777" w:rsidR="00E52AC1" w:rsidRPr="00180345" w:rsidRDefault="00E52AC1" w:rsidP="00E52AC1">
            <w:pPr>
              <w:spacing w:after="0" w:line="240" w:lineRule="auto"/>
              <w:jc w:val="center"/>
              <w:rPr>
                <w:rFonts w:ascii="Times New Roman" w:eastAsia="Times New Roman" w:hAnsi="Times New Roman" w:cs="Times New Roman"/>
                <w:b/>
                <w:bCs/>
                <w:i/>
                <w:iCs/>
                <w:color w:val="000000"/>
              </w:rPr>
            </w:pPr>
            <w:r w:rsidRPr="00180345">
              <w:rPr>
                <w:rFonts w:ascii="Times New Roman" w:eastAsia="Times New Roman" w:hAnsi="Times New Roman" w:cs="Times New Roman"/>
                <w:b/>
                <w:bCs/>
                <w:i/>
                <w:iCs/>
                <w:color w:val="000000"/>
              </w:rPr>
              <w:t>8</w:t>
            </w:r>
          </w:p>
        </w:tc>
        <w:tc>
          <w:tcPr>
            <w:tcW w:w="2813" w:type="dxa"/>
            <w:vMerge w:val="restart"/>
            <w:tcBorders>
              <w:top w:val="nil"/>
              <w:left w:val="single" w:sz="4" w:space="0" w:color="auto"/>
              <w:bottom w:val="single" w:sz="4" w:space="0" w:color="000000"/>
              <w:right w:val="single" w:sz="4" w:space="0" w:color="auto"/>
            </w:tcBorders>
            <w:shd w:val="clear" w:color="auto" w:fill="auto"/>
            <w:hideMark/>
          </w:tcPr>
          <w:p w14:paraId="442F2E62" w14:textId="66270976" w:rsidR="00E52AC1" w:rsidRPr="00180345" w:rsidRDefault="00E52AC1" w:rsidP="00E52AC1">
            <w:pPr>
              <w:spacing w:after="0" w:line="240" w:lineRule="auto"/>
              <w:rPr>
                <w:rFonts w:ascii="Times New Roman" w:eastAsia="Times New Roman" w:hAnsi="Times New Roman" w:cs="Times New Roman"/>
                <w:b/>
                <w:bCs/>
                <w:sz w:val="18"/>
                <w:szCs w:val="18"/>
              </w:rPr>
            </w:pPr>
            <w:r w:rsidRPr="00180345">
              <w:rPr>
                <w:rFonts w:ascii="Times New Roman" w:eastAsia="Times New Roman" w:hAnsi="Times New Roman" w:cs="Times New Roman"/>
                <w:b/>
                <w:bCs/>
                <w:sz w:val="18"/>
                <w:szCs w:val="18"/>
              </w:rPr>
              <w:t>I</w:t>
            </w:r>
            <w:r w:rsidR="00B10CF8">
              <w:rPr>
                <w:rFonts w:ascii="Times New Roman" w:eastAsia="Times New Roman" w:hAnsi="Times New Roman" w:cs="Times New Roman"/>
                <w:b/>
                <w:bCs/>
                <w:sz w:val="18"/>
                <w:szCs w:val="18"/>
              </w:rPr>
              <w:t>.</w:t>
            </w:r>
            <w:r w:rsidRPr="00180345">
              <w:rPr>
                <w:rFonts w:ascii="Times New Roman" w:eastAsia="Times New Roman" w:hAnsi="Times New Roman" w:cs="Times New Roman"/>
                <w:b/>
                <w:bCs/>
                <w:sz w:val="18"/>
                <w:szCs w:val="18"/>
              </w:rPr>
              <w:t>P</w:t>
            </w:r>
            <w:r w:rsidR="00B10CF8">
              <w:rPr>
                <w:rFonts w:ascii="Times New Roman" w:eastAsia="Times New Roman" w:hAnsi="Times New Roman" w:cs="Times New Roman"/>
                <w:b/>
                <w:bCs/>
                <w:sz w:val="18"/>
                <w:szCs w:val="18"/>
              </w:rPr>
              <w:t>.</w:t>
            </w:r>
            <w:r w:rsidRPr="00180345">
              <w:rPr>
                <w:rFonts w:ascii="Times New Roman" w:eastAsia="Times New Roman" w:hAnsi="Times New Roman" w:cs="Times New Roman"/>
                <w:b/>
                <w:bCs/>
                <w:sz w:val="18"/>
                <w:szCs w:val="18"/>
              </w:rPr>
              <w:t xml:space="preserve"> </w:t>
            </w:r>
            <w:r w:rsidR="00B10CF8">
              <w:rPr>
                <w:rFonts w:ascii="Times New Roman" w:eastAsia="Times New Roman" w:hAnsi="Times New Roman" w:cs="Times New Roman"/>
                <w:b/>
                <w:bCs/>
                <w:sz w:val="18"/>
                <w:szCs w:val="18"/>
              </w:rPr>
              <w:t>„</w:t>
            </w:r>
            <w:r w:rsidRPr="00180345">
              <w:rPr>
                <w:rFonts w:ascii="Times New Roman" w:eastAsia="Times New Roman" w:hAnsi="Times New Roman" w:cs="Times New Roman"/>
                <w:b/>
                <w:bCs/>
                <w:sz w:val="18"/>
                <w:szCs w:val="18"/>
              </w:rPr>
              <w:t>STISC</w:t>
            </w:r>
            <w:r w:rsidR="00B10CF8">
              <w:rPr>
                <w:rFonts w:ascii="Times New Roman" w:eastAsia="Times New Roman" w:hAnsi="Times New Roman" w:cs="Times New Roman"/>
                <w:b/>
                <w:bCs/>
                <w:sz w:val="18"/>
                <w:szCs w:val="18"/>
              </w:rPr>
              <w:t>”</w:t>
            </w:r>
          </w:p>
        </w:tc>
        <w:tc>
          <w:tcPr>
            <w:tcW w:w="1260" w:type="dxa"/>
            <w:vMerge w:val="restart"/>
            <w:tcBorders>
              <w:top w:val="nil"/>
              <w:left w:val="single" w:sz="4" w:space="0" w:color="auto"/>
              <w:bottom w:val="single" w:sz="4" w:space="0" w:color="000000"/>
              <w:right w:val="single" w:sz="4" w:space="0" w:color="auto"/>
            </w:tcBorders>
            <w:shd w:val="clear" w:color="auto" w:fill="auto"/>
            <w:noWrap/>
            <w:hideMark/>
          </w:tcPr>
          <w:p w14:paraId="611334A6" w14:textId="0536D73E" w:rsidR="00E52AC1" w:rsidRPr="00180345" w:rsidRDefault="00E52AC1" w:rsidP="00BE6A29">
            <w:pPr>
              <w:spacing w:after="0" w:line="240" w:lineRule="auto"/>
              <w:jc w:val="right"/>
              <w:rPr>
                <w:rFonts w:ascii="Times New Roman" w:eastAsia="Times New Roman" w:hAnsi="Times New Roman" w:cs="Times New Roman"/>
                <w:color w:val="000000"/>
                <w:sz w:val="18"/>
                <w:szCs w:val="18"/>
              </w:rPr>
            </w:pPr>
            <w:r w:rsidRPr="00180345">
              <w:rPr>
                <w:rFonts w:ascii="Times New Roman" w:eastAsia="Times New Roman" w:hAnsi="Times New Roman" w:cs="Times New Roman"/>
                <w:color w:val="000000"/>
                <w:sz w:val="18"/>
                <w:szCs w:val="18"/>
              </w:rPr>
              <w:t>388</w:t>
            </w:r>
            <w:r w:rsidR="00BE6A29">
              <w:rPr>
                <w:rFonts w:ascii="Times New Roman" w:eastAsia="Times New Roman" w:hAnsi="Times New Roman" w:cs="Times New Roman"/>
                <w:color w:val="000000"/>
                <w:sz w:val="18"/>
                <w:szCs w:val="18"/>
              </w:rPr>
              <w:t xml:space="preserve"> </w:t>
            </w:r>
            <w:r w:rsidRPr="00180345">
              <w:rPr>
                <w:rFonts w:ascii="Times New Roman" w:eastAsia="Times New Roman" w:hAnsi="Times New Roman" w:cs="Times New Roman"/>
                <w:color w:val="000000"/>
                <w:sz w:val="18"/>
                <w:szCs w:val="18"/>
              </w:rPr>
              <w:t>586</w:t>
            </w:r>
            <w:r w:rsidR="00BE6A29">
              <w:rPr>
                <w:rFonts w:ascii="Times New Roman" w:eastAsia="Times New Roman" w:hAnsi="Times New Roman" w:cs="Times New Roman"/>
                <w:color w:val="000000"/>
                <w:sz w:val="18"/>
                <w:szCs w:val="18"/>
              </w:rPr>
              <w:t>,</w:t>
            </w:r>
            <w:r w:rsidRPr="00180345">
              <w:rPr>
                <w:rFonts w:ascii="Times New Roman" w:eastAsia="Times New Roman" w:hAnsi="Times New Roman" w:cs="Times New Roman"/>
                <w:color w:val="000000"/>
                <w:sz w:val="18"/>
                <w:szCs w:val="18"/>
              </w:rPr>
              <w:t>70</w:t>
            </w:r>
          </w:p>
        </w:tc>
        <w:tc>
          <w:tcPr>
            <w:tcW w:w="1859" w:type="dxa"/>
            <w:vMerge w:val="restart"/>
            <w:tcBorders>
              <w:top w:val="nil"/>
              <w:left w:val="single" w:sz="4" w:space="0" w:color="auto"/>
              <w:bottom w:val="single" w:sz="4" w:space="0" w:color="000000"/>
              <w:right w:val="single" w:sz="4" w:space="0" w:color="auto"/>
            </w:tcBorders>
            <w:shd w:val="clear" w:color="auto" w:fill="auto"/>
            <w:noWrap/>
            <w:hideMark/>
          </w:tcPr>
          <w:p w14:paraId="38D7B659" w14:textId="77777777" w:rsidR="00E52AC1" w:rsidRPr="00180345" w:rsidRDefault="00E52AC1" w:rsidP="00E52AC1">
            <w:pPr>
              <w:spacing w:after="0" w:line="240" w:lineRule="auto"/>
              <w:jc w:val="center"/>
              <w:rPr>
                <w:rFonts w:ascii="Times New Roman" w:eastAsia="Times New Roman" w:hAnsi="Times New Roman" w:cs="Times New Roman"/>
                <w:color w:val="000000"/>
                <w:sz w:val="18"/>
                <w:szCs w:val="18"/>
              </w:rPr>
            </w:pPr>
            <w:r w:rsidRPr="00180345">
              <w:rPr>
                <w:rFonts w:ascii="Times New Roman" w:eastAsia="Times New Roman" w:hAnsi="Times New Roman" w:cs="Times New Roman"/>
                <w:color w:val="000000"/>
                <w:sz w:val="18"/>
                <w:szCs w:val="18"/>
              </w:rPr>
              <w:t>21%</w:t>
            </w:r>
          </w:p>
        </w:tc>
        <w:tc>
          <w:tcPr>
            <w:tcW w:w="1460" w:type="dxa"/>
            <w:tcBorders>
              <w:top w:val="nil"/>
              <w:left w:val="nil"/>
              <w:bottom w:val="single" w:sz="4" w:space="0" w:color="auto"/>
              <w:right w:val="single" w:sz="4" w:space="0" w:color="auto"/>
            </w:tcBorders>
            <w:shd w:val="clear" w:color="auto" w:fill="auto"/>
            <w:noWrap/>
            <w:hideMark/>
          </w:tcPr>
          <w:p w14:paraId="467B3957" w14:textId="77777777" w:rsidR="00E52AC1" w:rsidRPr="00180345" w:rsidRDefault="00E52AC1" w:rsidP="007101FD">
            <w:pPr>
              <w:spacing w:after="0" w:line="240" w:lineRule="auto"/>
              <w:jc w:val="right"/>
              <w:rPr>
                <w:rFonts w:ascii="Times New Roman" w:eastAsia="Times New Roman" w:hAnsi="Times New Roman" w:cs="Times New Roman"/>
                <w:color w:val="000000"/>
                <w:sz w:val="18"/>
                <w:szCs w:val="18"/>
              </w:rPr>
            </w:pPr>
            <w:r w:rsidRPr="00180345">
              <w:rPr>
                <w:rFonts w:ascii="Times New Roman" w:eastAsia="Times New Roman" w:hAnsi="Times New Roman" w:cs="Times New Roman"/>
                <w:color w:val="000000"/>
                <w:sz w:val="18"/>
                <w:szCs w:val="18"/>
              </w:rPr>
              <w:t>178,887.70</w:t>
            </w:r>
          </w:p>
        </w:tc>
        <w:tc>
          <w:tcPr>
            <w:tcW w:w="1720" w:type="dxa"/>
            <w:tcBorders>
              <w:top w:val="nil"/>
              <w:left w:val="nil"/>
              <w:bottom w:val="single" w:sz="4" w:space="0" w:color="auto"/>
              <w:right w:val="single" w:sz="4" w:space="0" w:color="auto"/>
            </w:tcBorders>
            <w:shd w:val="clear" w:color="auto" w:fill="auto"/>
            <w:noWrap/>
            <w:hideMark/>
          </w:tcPr>
          <w:p w14:paraId="0053A39D" w14:textId="77777777" w:rsidR="00E52AC1" w:rsidRPr="00180345" w:rsidRDefault="00E52AC1" w:rsidP="00E52AC1">
            <w:pPr>
              <w:spacing w:after="0" w:line="240" w:lineRule="auto"/>
              <w:jc w:val="right"/>
              <w:rPr>
                <w:rFonts w:ascii="Times New Roman" w:eastAsia="Times New Roman" w:hAnsi="Times New Roman" w:cs="Times New Roman"/>
                <w:color w:val="000000"/>
                <w:sz w:val="16"/>
                <w:szCs w:val="16"/>
              </w:rPr>
            </w:pPr>
            <w:r w:rsidRPr="00180345">
              <w:rPr>
                <w:rFonts w:ascii="Times New Roman" w:eastAsia="Times New Roman" w:hAnsi="Times New Roman" w:cs="Times New Roman"/>
                <w:color w:val="000000"/>
                <w:sz w:val="16"/>
                <w:szCs w:val="16"/>
              </w:rPr>
              <w:t>granturi</w:t>
            </w:r>
          </w:p>
        </w:tc>
      </w:tr>
      <w:tr w:rsidR="00E52AC1" w:rsidRPr="00E44A0E" w14:paraId="7A477945" w14:textId="77777777" w:rsidTr="00180345">
        <w:trPr>
          <w:trHeight w:val="288"/>
        </w:trPr>
        <w:tc>
          <w:tcPr>
            <w:tcW w:w="589" w:type="dxa"/>
            <w:vMerge/>
            <w:tcBorders>
              <w:top w:val="nil"/>
              <w:left w:val="single" w:sz="4" w:space="0" w:color="auto"/>
              <w:bottom w:val="single" w:sz="4" w:space="0" w:color="000000"/>
              <w:right w:val="single" w:sz="4" w:space="0" w:color="auto"/>
            </w:tcBorders>
            <w:hideMark/>
          </w:tcPr>
          <w:p w14:paraId="750D0A17" w14:textId="77777777" w:rsidR="00E52AC1" w:rsidRPr="00180345" w:rsidRDefault="00E52AC1" w:rsidP="00E52AC1">
            <w:pPr>
              <w:spacing w:after="0" w:line="240" w:lineRule="auto"/>
              <w:rPr>
                <w:rFonts w:ascii="Times New Roman" w:eastAsia="Times New Roman" w:hAnsi="Times New Roman" w:cs="Times New Roman"/>
                <w:b/>
                <w:bCs/>
                <w:i/>
                <w:iCs/>
                <w:color w:val="000000"/>
              </w:rPr>
            </w:pPr>
          </w:p>
        </w:tc>
        <w:tc>
          <w:tcPr>
            <w:tcW w:w="2813" w:type="dxa"/>
            <w:vMerge/>
            <w:tcBorders>
              <w:top w:val="nil"/>
              <w:left w:val="single" w:sz="4" w:space="0" w:color="auto"/>
              <w:bottom w:val="single" w:sz="4" w:space="0" w:color="000000"/>
              <w:right w:val="single" w:sz="4" w:space="0" w:color="auto"/>
            </w:tcBorders>
            <w:hideMark/>
          </w:tcPr>
          <w:p w14:paraId="1049026E" w14:textId="77777777" w:rsidR="00E52AC1" w:rsidRPr="00180345" w:rsidRDefault="00E52AC1" w:rsidP="00E52AC1">
            <w:pPr>
              <w:spacing w:after="0" w:line="240" w:lineRule="auto"/>
              <w:rPr>
                <w:rFonts w:ascii="Times New Roman" w:eastAsia="Times New Roman" w:hAnsi="Times New Roman" w:cs="Times New Roman"/>
                <w:b/>
                <w:bCs/>
                <w:sz w:val="18"/>
                <w:szCs w:val="18"/>
              </w:rPr>
            </w:pPr>
          </w:p>
        </w:tc>
        <w:tc>
          <w:tcPr>
            <w:tcW w:w="1260" w:type="dxa"/>
            <w:vMerge/>
            <w:tcBorders>
              <w:top w:val="nil"/>
              <w:left w:val="single" w:sz="4" w:space="0" w:color="auto"/>
              <w:bottom w:val="single" w:sz="4" w:space="0" w:color="000000"/>
              <w:right w:val="single" w:sz="4" w:space="0" w:color="auto"/>
            </w:tcBorders>
            <w:hideMark/>
          </w:tcPr>
          <w:p w14:paraId="5BEEE2FE" w14:textId="77777777" w:rsidR="00E52AC1" w:rsidRPr="00180345" w:rsidRDefault="00E52AC1" w:rsidP="00BE6A29">
            <w:pPr>
              <w:spacing w:after="0" w:line="240" w:lineRule="auto"/>
              <w:jc w:val="right"/>
              <w:rPr>
                <w:rFonts w:ascii="Times New Roman" w:eastAsia="Times New Roman" w:hAnsi="Times New Roman" w:cs="Times New Roman"/>
                <w:color w:val="000000"/>
                <w:sz w:val="18"/>
                <w:szCs w:val="18"/>
              </w:rPr>
            </w:pPr>
          </w:p>
        </w:tc>
        <w:tc>
          <w:tcPr>
            <w:tcW w:w="1859" w:type="dxa"/>
            <w:vMerge/>
            <w:tcBorders>
              <w:top w:val="nil"/>
              <w:left w:val="single" w:sz="4" w:space="0" w:color="auto"/>
              <w:bottom w:val="single" w:sz="4" w:space="0" w:color="000000"/>
              <w:right w:val="single" w:sz="4" w:space="0" w:color="auto"/>
            </w:tcBorders>
            <w:hideMark/>
          </w:tcPr>
          <w:p w14:paraId="76870A7A" w14:textId="77777777" w:rsidR="00E52AC1" w:rsidRPr="00180345" w:rsidRDefault="00E52AC1" w:rsidP="00E52AC1">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hideMark/>
          </w:tcPr>
          <w:p w14:paraId="35A9F337" w14:textId="57DFEC4D" w:rsidR="00E52AC1" w:rsidRPr="00180345" w:rsidRDefault="007101FD" w:rsidP="007101FD">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177 085,</w:t>
            </w:r>
            <w:r w:rsidR="00E52AC1" w:rsidRPr="00180345">
              <w:rPr>
                <w:rFonts w:ascii="Times New Roman" w:eastAsia="Times New Roman" w:hAnsi="Times New Roman" w:cs="Times New Roman"/>
                <w:color w:val="000000"/>
                <w:sz w:val="18"/>
                <w:szCs w:val="18"/>
              </w:rPr>
              <w:t>70</w:t>
            </w:r>
          </w:p>
        </w:tc>
        <w:tc>
          <w:tcPr>
            <w:tcW w:w="1720" w:type="dxa"/>
            <w:tcBorders>
              <w:top w:val="nil"/>
              <w:left w:val="nil"/>
              <w:bottom w:val="single" w:sz="4" w:space="0" w:color="auto"/>
              <w:right w:val="single" w:sz="4" w:space="0" w:color="auto"/>
            </w:tcBorders>
            <w:shd w:val="clear" w:color="auto" w:fill="auto"/>
            <w:noWrap/>
            <w:hideMark/>
          </w:tcPr>
          <w:p w14:paraId="53E4596C" w14:textId="77777777" w:rsidR="00E52AC1" w:rsidRPr="00180345" w:rsidRDefault="00E52AC1" w:rsidP="00E52AC1">
            <w:pPr>
              <w:spacing w:after="0" w:line="240" w:lineRule="auto"/>
              <w:jc w:val="right"/>
              <w:rPr>
                <w:rFonts w:ascii="Times New Roman" w:eastAsia="Times New Roman" w:hAnsi="Times New Roman" w:cs="Times New Roman"/>
                <w:color w:val="000000"/>
                <w:sz w:val="16"/>
                <w:szCs w:val="16"/>
              </w:rPr>
            </w:pPr>
            <w:r w:rsidRPr="00180345">
              <w:rPr>
                <w:rFonts w:ascii="Times New Roman" w:eastAsia="Times New Roman" w:hAnsi="Times New Roman" w:cs="Times New Roman"/>
                <w:color w:val="000000"/>
                <w:sz w:val="16"/>
                <w:szCs w:val="16"/>
              </w:rPr>
              <w:t>subvenții</w:t>
            </w:r>
          </w:p>
        </w:tc>
      </w:tr>
      <w:tr w:rsidR="00E52AC1" w:rsidRPr="00E44A0E" w14:paraId="33F337F5" w14:textId="77777777" w:rsidTr="00180345">
        <w:trPr>
          <w:trHeight w:val="288"/>
        </w:trPr>
        <w:tc>
          <w:tcPr>
            <w:tcW w:w="589" w:type="dxa"/>
            <w:vMerge/>
            <w:tcBorders>
              <w:top w:val="nil"/>
              <w:left w:val="single" w:sz="4" w:space="0" w:color="auto"/>
              <w:bottom w:val="single" w:sz="4" w:space="0" w:color="000000"/>
              <w:right w:val="single" w:sz="4" w:space="0" w:color="auto"/>
            </w:tcBorders>
            <w:hideMark/>
          </w:tcPr>
          <w:p w14:paraId="230441A2" w14:textId="77777777" w:rsidR="00E52AC1" w:rsidRPr="00180345" w:rsidRDefault="00E52AC1" w:rsidP="00E52AC1">
            <w:pPr>
              <w:spacing w:after="0" w:line="240" w:lineRule="auto"/>
              <w:rPr>
                <w:rFonts w:ascii="Times New Roman" w:eastAsia="Times New Roman" w:hAnsi="Times New Roman" w:cs="Times New Roman"/>
                <w:b/>
                <w:bCs/>
                <w:i/>
                <w:iCs/>
                <w:color w:val="000000"/>
              </w:rPr>
            </w:pPr>
          </w:p>
        </w:tc>
        <w:tc>
          <w:tcPr>
            <w:tcW w:w="2813" w:type="dxa"/>
            <w:vMerge/>
            <w:tcBorders>
              <w:top w:val="nil"/>
              <w:left w:val="single" w:sz="4" w:space="0" w:color="auto"/>
              <w:bottom w:val="single" w:sz="4" w:space="0" w:color="000000"/>
              <w:right w:val="single" w:sz="4" w:space="0" w:color="auto"/>
            </w:tcBorders>
            <w:hideMark/>
          </w:tcPr>
          <w:p w14:paraId="7556972D" w14:textId="77777777" w:rsidR="00E52AC1" w:rsidRPr="00180345" w:rsidRDefault="00E52AC1" w:rsidP="00E52AC1">
            <w:pPr>
              <w:spacing w:after="0" w:line="240" w:lineRule="auto"/>
              <w:rPr>
                <w:rFonts w:ascii="Times New Roman" w:eastAsia="Times New Roman" w:hAnsi="Times New Roman" w:cs="Times New Roman"/>
                <w:b/>
                <w:bCs/>
                <w:sz w:val="18"/>
                <w:szCs w:val="18"/>
              </w:rPr>
            </w:pPr>
          </w:p>
        </w:tc>
        <w:tc>
          <w:tcPr>
            <w:tcW w:w="1260" w:type="dxa"/>
            <w:vMerge/>
            <w:tcBorders>
              <w:top w:val="nil"/>
              <w:left w:val="single" w:sz="4" w:space="0" w:color="auto"/>
              <w:bottom w:val="single" w:sz="4" w:space="0" w:color="000000"/>
              <w:right w:val="single" w:sz="4" w:space="0" w:color="auto"/>
            </w:tcBorders>
            <w:hideMark/>
          </w:tcPr>
          <w:p w14:paraId="15F28373" w14:textId="77777777" w:rsidR="00E52AC1" w:rsidRPr="00180345" w:rsidRDefault="00E52AC1" w:rsidP="00BE6A29">
            <w:pPr>
              <w:spacing w:after="0" w:line="240" w:lineRule="auto"/>
              <w:jc w:val="right"/>
              <w:rPr>
                <w:rFonts w:ascii="Times New Roman" w:eastAsia="Times New Roman" w:hAnsi="Times New Roman" w:cs="Times New Roman"/>
                <w:color w:val="000000"/>
                <w:sz w:val="18"/>
                <w:szCs w:val="18"/>
              </w:rPr>
            </w:pPr>
          </w:p>
        </w:tc>
        <w:tc>
          <w:tcPr>
            <w:tcW w:w="1859" w:type="dxa"/>
            <w:vMerge/>
            <w:tcBorders>
              <w:top w:val="nil"/>
              <w:left w:val="single" w:sz="4" w:space="0" w:color="auto"/>
              <w:bottom w:val="single" w:sz="4" w:space="0" w:color="000000"/>
              <w:right w:val="single" w:sz="4" w:space="0" w:color="auto"/>
            </w:tcBorders>
            <w:hideMark/>
          </w:tcPr>
          <w:p w14:paraId="13A98E0C" w14:textId="77777777" w:rsidR="00E52AC1" w:rsidRPr="00180345" w:rsidRDefault="00E52AC1" w:rsidP="00E52AC1">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hideMark/>
          </w:tcPr>
          <w:p w14:paraId="6ABB2FD5" w14:textId="31137837" w:rsidR="00E52AC1" w:rsidRPr="00180345" w:rsidRDefault="007101FD" w:rsidP="007101FD">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32 </w:t>
            </w:r>
            <w:r w:rsidR="00E52AC1" w:rsidRPr="00180345">
              <w:rPr>
                <w:rFonts w:ascii="Times New Roman" w:eastAsia="Times New Roman" w:hAnsi="Times New Roman" w:cs="Times New Roman"/>
                <w:color w:val="000000"/>
                <w:sz w:val="18"/>
                <w:szCs w:val="18"/>
              </w:rPr>
              <w:t>613</w:t>
            </w:r>
            <w:r>
              <w:rPr>
                <w:rFonts w:ascii="Times New Roman" w:eastAsia="Times New Roman" w:hAnsi="Times New Roman" w:cs="Times New Roman"/>
                <w:color w:val="000000"/>
                <w:sz w:val="18"/>
                <w:szCs w:val="18"/>
              </w:rPr>
              <w:t>,</w:t>
            </w:r>
            <w:r w:rsidR="00E52AC1" w:rsidRPr="00180345">
              <w:rPr>
                <w:rFonts w:ascii="Times New Roman" w:eastAsia="Times New Roman" w:hAnsi="Times New Roman" w:cs="Times New Roman"/>
                <w:color w:val="000000"/>
                <w:sz w:val="18"/>
                <w:szCs w:val="18"/>
              </w:rPr>
              <w:t>30</w:t>
            </w:r>
          </w:p>
        </w:tc>
        <w:tc>
          <w:tcPr>
            <w:tcW w:w="1720" w:type="dxa"/>
            <w:tcBorders>
              <w:top w:val="nil"/>
              <w:left w:val="nil"/>
              <w:bottom w:val="single" w:sz="4" w:space="0" w:color="auto"/>
              <w:right w:val="single" w:sz="4" w:space="0" w:color="auto"/>
            </w:tcBorders>
            <w:shd w:val="clear" w:color="auto" w:fill="auto"/>
            <w:noWrap/>
            <w:hideMark/>
          </w:tcPr>
          <w:p w14:paraId="2A26F78A" w14:textId="77777777" w:rsidR="00E52AC1" w:rsidRPr="00180345" w:rsidRDefault="00E52AC1" w:rsidP="00E52AC1">
            <w:pPr>
              <w:spacing w:after="0" w:line="240" w:lineRule="auto"/>
              <w:jc w:val="right"/>
              <w:rPr>
                <w:rFonts w:ascii="Times New Roman" w:eastAsia="Times New Roman" w:hAnsi="Times New Roman" w:cs="Times New Roman"/>
                <w:color w:val="000000"/>
                <w:sz w:val="16"/>
                <w:szCs w:val="16"/>
              </w:rPr>
            </w:pPr>
            <w:r w:rsidRPr="00180345">
              <w:rPr>
                <w:rFonts w:ascii="Times New Roman" w:eastAsia="Times New Roman" w:hAnsi="Times New Roman" w:cs="Times New Roman"/>
                <w:color w:val="000000"/>
                <w:sz w:val="16"/>
                <w:szCs w:val="16"/>
              </w:rPr>
              <w:t>resurse generale</w:t>
            </w:r>
          </w:p>
        </w:tc>
      </w:tr>
      <w:tr w:rsidR="00E52AC1" w:rsidRPr="00E44A0E" w14:paraId="720F3722" w14:textId="77777777" w:rsidTr="00180345">
        <w:trPr>
          <w:trHeight w:val="288"/>
        </w:trPr>
        <w:tc>
          <w:tcPr>
            <w:tcW w:w="589" w:type="dxa"/>
            <w:vMerge w:val="restart"/>
            <w:tcBorders>
              <w:top w:val="nil"/>
              <w:left w:val="single" w:sz="4" w:space="0" w:color="auto"/>
              <w:bottom w:val="single" w:sz="4" w:space="0" w:color="000000"/>
              <w:right w:val="single" w:sz="4" w:space="0" w:color="auto"/>
            </w:tcBorders>
            <w:shd w:val="clear" w:color="auto" w:fill="auto"/>
            <w:noWrap/>
            <w:hideMark/>
          </w:tcPr>
          <w:p w14:paraId="14B68F25" w14:textId="77777777" w:rsidR="00E52AC1" w:rsidRPr="00180345" w:rsidRDefault="00E52AC1" w:rsidP="00E52AC1">
            <w:pPr>
              <w:spacing w:after="0" w:line="240" w:lineRule="auto"/>
              <w:jc w:val="center"/>
              <w:rPr>
                <w:rFonts w:ascii="Times New Roman" w:eastAsia="Times New Roman" w:hAnsi="Times New Roman" w:cs="Times New Roman"/>
                <w:b/>
                <w:bCs/>
                <w:i/>
                <w:iCs/>
                <w:color w:val="000000"/>
              </w:rPr>
            </w:pPr>
            <w:r w:rsidRPr="00180345">
              <w:rPr>
                <w:rFonts w:ascii="Times New Roman" w:eastAsia="Times New Roman" w:hAnsi="Times New Roman" w:cs="Times New Roman"/>
                <w:b/>
                <w:bCs/>
                <w:i/>
                <w:iCs/>
                <w:color w:val="000000"/>
              </w:rPr>
              <w:t>9</w:t>
            </w:r>
          </w:p>
        </w:tc>
        <w:tc>
          <w:tcPr>
            <w:tcW w:w="2813" w:type="dxa"/>
            <w:vMerge w:val="restart"/>
            <w:tcBorders>
              <w:top w:val="nil"/>
              <w:left w:val="single" w:sz="4" w:space="0" w:color="auto"/>
              <w:bottom w:val="single" w:sz="4" w:space="0" w:color="000000"/>
              <w:right w:val="single" w:sz="4" w:space="0" w:color="auto"/>
            </w:tcBorders>
            <w:shd w:val="clear" w:color="auto" w:fill="auto"/>
            <w:hideMark/>
          </w:tcPr>
          <w:p w14:paraId="3A9E2973" w14:textId="16B0A56E" w:rsidR="00E52AC1" w:rsidRPr="00180345" w:rsidRDefault="00E52AC1" w:rsidP="00E52AC1">
            <w:pPr>
              <w:spacing w:after="0" w:line="240" w:lineRule="auto"/>
              <w:rPr>
                <w:rFonts w:ascii="Times New Roman" w:eastAsia="Times New Roman" w:hAnsi="Times New Roman" w:cs="Times New Roman"/>
                <w:b/>
                <w:bCs/>
                <w:sz w:val="18"/>
                <w:szCs w:val="18"/>
              </w:rPr>
            </w:pPr>
            <w:r w:rsidRPr="00180345">
              <w:rPr>
                <w:rFonts w:ascii="Times New Roman" w:eastAsia="Times New Roman" w:hAnsi="Times New Roman" w:cs="Times New Roman"/>
                <w:b/>
                <w:bCs/>
                <w:sz w:val="18"/>
                <w:szCs w:val="18"/>
              </w:rPr>
              <w:t>I</w:t>
            </w:r>
            <w:r w:rsidR="00B10CF8">
              <w:rPr>
                <w:rFonts w:ascii="Times New Roman" w:eastAsia="Times New Roman" w:hAnsi="Times New Roman" w:cs="Times New Roman"/>
                <w:b/>
                <w:bCs/>
                <w:sz w:val="18"/>
                <w:szCs w:val="18"/>
              </w:rPr>
              <w:t>.</w:t>
            </w:r>
            <w:r w:rsidRPr="00180345">
              <w:rPr>
                <w:rFonts w:ascii="Times New Roman" w:eastAsia="Times New Roman" w:hAnsi="Times New Roman" w:cs="Times New Roman"/>
                <w:b/>
                <w:bCs/>
                <w:sz w:val="18"/>
                <w:szCs w:val="18"/>
              </w:rPr>
              <w:t>P</w:t>
            </w:r>
            <w:r w:rsidR="00B10CF8">
              <w:rPr>
                <w:rFonts w:ascii="Times New Roman" w:eastAsia="Times New Roman" w:hAnsi="Times New Roman" w:cs="Times New Roman"/>
                <w:b/>
                <w:bCs/>
                <w:sz w:val="18"/>
                <w:szCs w:val="18"/>
              </w:rPr>
              <w:t>.</w:t>
            </w:r>
            <w:r w:rsidRPr="00180345">
              <w:rPr>
                <w:rFonts w:ascii="Times New Roman" w:eastAsia="Times New Roman" w:hAnsi="Times New Roman" w:cs="Times New Roman"/>
                <w:b/>
                <w:bCs/>
                <w:sz w:val="18"/>
                <w:szCs w:val="18"/>
              </w:rPr>
              <w:t xml:space="preserve"> </w:t>
            </w:r>
            <w:r w:rsidR="00B10CF8">
              <w:rPr>
                <w:rFonts w:ascii="Times New Roman" w:eastAsia="Times New Roman" w:hAnsi="Times New Roman" w:cs="Times New Roman"/>
                <w:b/>
                <w:bCs/>
                <w:sz w:val="18"/>
                <w:szCs w:val="18"/>
              </w:rPr>
              <w:t>„</w:t>
            </w:r>
            <w:r w:rsidRPr="00180345">
              <w:rPr>
                <w:rFonts w:ascii="Times New Roman" w:eastAsia="Times New Roman" w:hAnsi="Times New Roman" w:cs="Times New Roman"/>
                <w:b/>
                <w:bCs/>
                <w:sz w:val="18"/>
                <w:szCs w:val="18"/>
              </w:rPr>
              <w:t>ASP</w:t>
            </w:r>
            <w:r w:rsidR="00B10CF8">
              <w:rPr>
                <w:rFonts w:ascii="Times New Roman" w:eastAsia="Times New Roman" w:hAnsi="Times New Roman" w:cs="Times New Roman"/>
                <w:b/>
                <w:bCs/>
                <w:sz w:val="18"/>
                <w:szCs w:val="18"/>
              </w:rPr>
              <w:t>”</w:t>
            </w:r>
          </w:p>
        </w:tc>
        <w:tc>
          <w:tcPr>
            <w:tcW w:w="1260" w:type="dxa"/>
            <w:vMerge w:val="restart"/>
            <w:tcBorders>
              <w:top w:val="nil"/>
              <w:left w:val="single" w:sz="4" w:space="0" w:color="auto"/>
              <w:bottom w:val="single" w:sz="4" w:space="0" w:color="000000"/>
              <w:right w:val="single" w:sz="4" w:space="0" w:color="auto"/>
            </w:tcBorders>
            <w:shd w:val="clear" w:color="auto" w:fill="auto"/>
            <w:noWrap/>
            <w:hideMark/>
          </w:tcPr>
          <w:p w14:paraId="60A904A8" w14:textId="789DBEFD" w:rsidR="00E52AC1" w:rsidRPr="00180345" w:rsidRDefault="00BE6A29" w:rsidP="00BE6A2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72 </w:t>
            </w:r>
            <w:r w:rsidR="00E52AC1" w:rsidRPr="00180345">
              <w:rPr>
                <w:rFonts w:ascii="Times New Roman" w:eastAsia="Times New Roman" w:hAnsi="Times New Roman" w:cs="Times New Roman"/>
                <w:color w:val="000000"/>
                <w:sz w:val="18"/>
                <w:szCs w:val="18"/>
              </w:rPr>
              <w:t>796</w:t>
            </w:r>
            <w:r>
              <w:rPr>
                <w:rFonts w:ascii="Times New Roman" w:eastAsia="Times New Roman" w:hAnsi="Times New Roman" w:cs="Times New Roman"/>
                <w:color w:val="000000"/>
                <w:sz w:val="18"/>
                <w:szCs w:val="18"/>
              </w:rPr>
              <w:t>,</w:t>
            </w:r>
            <w:r w:rsidR="00E52AC1" w:rsidRPr="00180345">
              <w:rPr>
                <w:rFonts w:ascii="Times New Roman" w:eastAsia="Times New Roman" w:hAnsi="Times New Roman" w:cs="Times New Roman"/>
                <w:color w:val="000000"/>
                <w:sz w:val="18"/>
                <w:szCs w:val="18"/>
              </w:rPr>
              <w:t>40</w:t>
            </w:r>
          </w:p>
        </w:tc>
        <w:tc>
          <w:tcPr>
            <w:tcW w:w="1859" w:type="dxa"/>
            <w:vMerge w:val="restart"/>
            <w:tcBorders>
              <w:top w:val="nil"/>
              <w:left w:val="single" w:sz="4" w:space="0" w:color="auto"/>
              <w:bottom w:val="single" w:sz="4" w:space="0" w:color="000000"/>
              <w:right w:val="single" w:sz="4" w:space="0" w:color="auto"/>
            </w:tcBorders>
            <w:shd w:val="clear" w:color="auto" w:fill="auto"/>
            <w:noWrap/>
            <w:hideMark/>
          </w:tcPr>
          <w:p w14:paraId="4F247FBD" w14:textId="77777777" w:rsidR="00E52AC1" w:rsidRPr="00180345" w:rsidRDefault="00E52AC1" w:rsidP="00E52AC1">
            <w:pPr>
              <w:spacing w:after="0" w:line="240" w:lineRule="auto"/>
              <w:jc w:val="center"/>
              <w:rPr>
                <w:rFonts w:ascii="Times New Roman" w:eastAsia="Times New Roman" w:hAnsi="Times New Roman" w:cs="Times New Roman"/>
                <w:color w:val="000000"/>
                <w:sz w:val="18"/>
                <w:szCs w:val="18"/>
              </w:rPr>
            </w:pPr>
            <w:r w:rsidRPr="00180345">
              <w:rPr>
                <w:rFonts w:ascii="Times New Roman" w:eastAsia="Times New Roman" w:hAnsi="Times New Roman" w:cs="Times New Roman"/>
                <w:color w:val="000000"/>
                <w:sz w:val="18"/>
                <w:szCs w:val="18"/>
              </w:rPr>
              <w:t>4%</w:t>
            </w:r>
          </w:p>
        </w:tc>
        <w:tc>
          <w:tcPr>
            <w:tcW w:w="1460" w:type="dxa"/>
            <w:tcBorders>
              <w:top w:val="nil"/>
              <w:left w:val="nil"/>
              <w:bottom w:val="single" w:sz="4" w:space="0" w:color="auto"/>
              <w:right w:val="single" w:sz="4" w:space="0" w:color="auto"/>
            </w:tcBorders>
            <w:shd w:val="clear" w:color="auto" w:fill="auto"/>
            <w:noWrap/>
            <w:hideMark/>
          </w:tcPr>
          <w:p w14:paraId="46456647" w14:textId="4AF6EBAE" w:rsidR="00E52AC1" w:rsidRPr="00180345" w:rsidRDefault="007101FD" w:rsidP="007101FD">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1 769,</w:t>
            </w:r>
            <w:r w:rsidR="00E52AC1" w:rsidRPr="00180345">
              <w:rPr>
                <w:rFonts w:ascii="Times New Roman" w:eastAsia="Times New Roman" w:hAnsi="Times New Roman" w:cs="Times New Roman"/>
                <w:color w:val="000000"/>
                <w:sz w:val="18"/>
                <w:szCs w:val="18"/>
              </w:rPr>
              <w:t>80</w:t>
            </w:r>
          </w:p>
        </w:tc>
        <w:tc>
          <w:tcPr>
            <w:tcW w:w="1720" w:type="dxa"/>
            <w:tcBorders>
              <w:top w:val="nil"/>
              <w:left w:val="nil"/>
              <w:bottom w:val="single" w:sz="4" w:space="0" w:color="auto"/>
              <w:right w:val="single" w:sz="4" w:space="0" w:color="auto"/>
            </w:tcBorders>
            <w:shd w:val="clear" w:color="auto" w:fill="auto"/>
            <w:noWrap/>
            <w:hideMark/>
          </w:tcPr>
          <w:p w14:paraId="6F718BDB" w14:textId="77777777" w:rsidR="00E52AC1" w:rsidRPr="00180345" w:rsidRDefault="00E52AC1" w:rsidP="00E52AC1">
            <w:pPr>
              <w:spacing w:after="0" w:line="240" w:lineRule="auto"/>
              <w:jc w:val="right"/>
              <w:rPr>
                <w:rFonts w:ascii="Times New Roman" w:eastAsia="Times New Roman" w:hAnsi="Times New Roman" w:cs="Times New Roman"/>
                <w:sz w:val="16"/>
                <w:szCs w:val="16"/>
              </w:rPr>
            </w:pPr>
            <w:r w:rsidRPr="00180345">
              <w:rPr>
                <w:rFonts w:ascii="Times New Roman" w:eastAsia="Times New Roman" w:hAnsi="Times New Roman" w:cs="Times New Roman"/>
                <w:sz w:val="16"/>
                <w:szCs w:val="16"/>
              </w:rPr>
              <w:t>subvenții</w:t>
            </w:r>
          </w:p>
        </w:tc>
      </w:tr>
      <w:tr w:rsidR="00E52AC1" w:rsidRPr="00E44A0E" w14:paraId="0827F9D7" w14:textId="77777777" w:rsidTr="00180345">
        <w:trPr>
          <w:trHeight w:val="288"/>
        </w:trPr>
        <w:tc>
          <w:tcPr>
            <w:tcW w:w="589" w:type="dxa"/>
            <w:vMerge/>
            <w:tcBorders>
              <w:top w:val="nil"/>
              <w:left w:val="single" w:sz="4" w:space="0" w:color="auto"/>
              <w:bottom w:val="single" w:sz="4" w:space="0" w:color="000000"/>
              <w:right w:val="single" w:sz="4" w:space="0" w:color="auto"/>
            </w:tcBorders>
            <w:hideMark/>
          </w:tcPr>
          <w:p w14:paraId="4CC306D1" w14:textId="77777777" w:rsidR="00E52AC1" w:rsidRPr="00180345" w:rsidRDefault="00E52AC1" w:rsidP="00E52AC1">
            <w:pPr>
              <w:spacing w:after="0" w:line="240" w:lineRule="auto"/>
              <w:rPr>
                <w:rFonts w:ascii="Times New Roman" w:eastAsia="Times New Roman" w:hAnsi="Times New Roman" w:cs="Times New Roman"/>
                <w:b/>
                <w:bCs/>
                <w:i/>
                <w:iCs/>
                <w:color w:val="000000"/>
              </w:rPr>
            </w:pPr>
          </w:p>
        </w:tc>
        <w:tc>
          <w:tcPr>
            <w:tcW w:w="2813" w:type="dxa"/>
            <w:vMerge/>
            <w:tcBorders>
              <w:top w:val="nil"/>
              <w:left w:val="single" w:sz="4" w:space="0" w:color="auto"/>
              <w:bottom w:val="single" w:sz="4" w:space="0" w:color="000000"/>
              <w:right w:val="single" w:sz="4" w:space="0" w:color="auto"/>
            </w:tcBorders>
            <w:hideMark/>
          </w:tcPr>
          <w:p w14:paraId="70E95651" w14:textId="77777777" w:rsidR="00E52AC1" w:rsidRPr="00180345" w:rsidRDefault="00E52AC1" w:rsidP="00E52AC1">
            <w:pPr>
              <w:spacing w:after="0" w:line="240" w:lineRule="auto"/>
              <w:rPr>
                <w:rFonts w:ascii="Times New Roman" w:eastAsia="Times New Roman" w:hAnsi="Times New Roman" w:cs="Times New Roman"/>
                <w:b/>
                <w:bCs/>
                <w:sz w:val="18"/>
                <w:szCs w:val="18"/>
              </w:rPr>
            </w:pPr>
          </w:p>
        </w:tc>
        <w:tc>
          <w:tcPr>
            <w:tcW w:w="1260" w:type="dxa"/>
            <w:vMerge/>
            <w:tcBorders>
              <w:top w:val="nil"/>
              <w:left w:val="single" w:sz="4" w:space="0" w:color="auto"/>
              <w:bottom w:val="single" w:sz="4" w:space="0" w:color="000000"/>
              <w:right w:val="single" w:sz="4" w:space="0" w:color="auto"/>
            </w:tcBorders>
            <w:hideMark/>
          </w:tcPr>
          <w:p w14:paraId="42A14BD3" w14:textId="77777777" w:rsidR="00E52AC1" w:rsidRPr="00180345" w:rsidRDefault="00E52AC1" w:rsidP="00BE6A29">
            <w:pPr>
              <w:spacing w:after="0" w:line="240" w:lineRule="auto"/>
              <w:jc w:val="right"/>
              <w:rPr>
                <w:rFonts w:ascii="Times New Roman" w:eastAsia="Times New Roman" w:hAnsi="Times New Roman" w:cs="Times New Roman"/>
                <w:color w:val="000000"/>
                <w:sz w:val="18"/>
                <w:szCs w:val="18"/>
              </w:rPr>
            </w:pPr>
          </w:p>
        </w:tc>
        <w:tc>
          <w:tcPr>
            <w:tcW w:w="1859" w:type="dxa"/>
            <w:vMerge/>
            <w:tcBorders>
              <w:top w:val="nil"/>
              <w:left w:val="single" w:sz="4" w:space="0" w:color="auto"/>
              <w:bottom w:val="single" w:sz="4" w:space="0" w:color="000000"/>
              <w:right w:val="single" w:sz="4" w:space="0" w:color="auto"/>
            </w:tcBorders>
            <w:hideMark/>
          </w:tcPr>
          <w:p w14:paraId="40E6B4CB" w14:textId="77777777" w:rsidR="00E52AC1" w:rsidRPr="00180345" w:rsidRDefault="00E52AC1" w:rsidP="00E52AC1">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hideMark/>
          </w:tcPr>
          <w:p w14:paraId="6DB2B319" w14:textId="67699E43" w:rsidR="00E52AC1" w:rsidRPr="00180345" w:rsidRDefault="007101FD" w:rsidP="007101FD">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71 </w:t>
            </w:r>
            <w:r w:rsidR="00E52AC1" w:rsidRPr="00180345">
              <w:rPr>
                <w:rFonts w:ascii="Times New Roman" w:eastAsia="Times New Roman" w:hAnsi="Times New Roman" w:cs="Times New Roman"/>
                <w:color w:val="000000"/>
                <w:sz w:val="18"/>
                <w:szCs w:val="18"/>
              </w:rPr>
              <w:t>026</w:t>
            </w:r>
            <w:r>
              <w:rPr>
                <w:rFonts w:ascii="Times New Roman" w:eastAsia="Times New Roman" w:hAnsi="Times New Roman" w:cs="Times New Roman"/>
                <w:color w:val="000000"/>
                <w:sz w:val="18"/>
                <w:szCs w:val="18"/>
              </w:rPr>
              <w:t>,</w:t>
            </w:r>
            <w:r w:rsidR="00E52AC1" w:rsidRPr="00180345">
              <w:rPr>
                <w:rFonts w:ascii="Times New Roman" w:eastAsia="Times New Roman" w:hAnsi="Times New Roman" w:cs="Times New Roman"/>
                <w:color w:val="000000"/>
                <w:sz w:val="18"/>
                <w:szCs w:val="18"/>
              </w:rPr>
              <w:t>60</w:t>
            </w:r>
          </w:p>
        </w:tc>
        <w:tc>
          <w:tcPr>
            <w:tcW w:w="1720" w:type="dxa"/>
            <w:tcBorders>
              <w:top w:val="nil"/>
              <w:left w:val="nil"/>
              <w:bottom w:val="single" w:sz="4" w:space="0" w:color="auto"/>
              <w:right w:val="single" w:sz="4" w:space="0" w:color="auto"/>
            </w:tcBorders>
            <w:shd w:val="clear" w:color="auto" w:fill="auto"/>
            <w:noWrap/>
            <w:hideMark/>
          </w:tcPr>
          <w:p w14:paraId="7B8DC0BD" w14:textId="77777777" w:rsidR="00E52AC1" w:rsidRPr="00180345" w:rsidRDefault="00E52AC1" w:rsidP="00E52AC1">
            <w:pPr>
              <w:spacing w:after="0" w:line="240" w:lineRule="auto"/>
              <w:jc w:val="right"/>
              <w:rPr>
                <w:rFonts w:ascii="Times New Roman" w:eastAsia="Times New Roman" w:hAnsi="Times New Roman" w:cs="Times New Roman"/>
                <w:color w:val="000000"/>
                <w:sz w:val="16"/>
                <w:szCs w:val="16"/>
              </w:rPr>
            </w:pPr>
            <w:r w:rsidRPr="00180345">
              <w:rPr>
                <w:rFonts w:ascii="Times New Roman" w:eastAsia="Times New Roman" w:hAnsi="Times New Roman" w:cs="Times New Roman"/>
                <w:color w:val="000000"/>
                <w:sz w:val="16"/>
                <w:szCs w:val="16"/>
              </w:rPr>
              <w:t>resurse generale</w:t>
            </w:r>
          </w:p>
        </w:tc>
      </w:tr>
      <w:tr w:rsidR="00E52AC1" w:rsidRPr="00E44A0E" w14:paraId="3BC8FF66" w14:textId="77777777" w:rsidTr="00180345">
        <w:trPr>
          <w:trHeight w:val="468"/>
        </w:trPr>
        <w:tc>
          <w:tcPr>
            <w:tcW w:w="589" w:type="dxa"/>
            <w:vMerge w:val="restart"/>
            <w:tcBorders>
              <w:top w:val="nil"/>
              <w:left w:val="single" w:sz="4" w:space="0" w:color="auto"/>
              <w:bottom w:val="single" w:sz="4" w:space="0" w:color="auto"/>
              <w:right w:val="single" w:sz="4" w:space="0" w:color="auto"/>
            </w:tcBorders>
            <w:shd w:val="clear" w:color="auto" w:fill="auto"/>
            <w:noWrap/>
            <w:hideMark/>
          </w:tcPr>
          <w:p w14:paraId="00A8653B" w14:textId="77777777" w:rsidR="00E52AC1" w:rsidRPr="00180345" w:rsidRDefault="00E52AC1" w:rsidP="00E52AC1">
            <w:pPr>
              <w:spacing w:after="0" w:line="240" w:lineRule="auto"/>
              <w:jc w:val="center"/>
              <w:rPr>
                <w:rFonts w:ascii="Times New Roman" w:eastAsia="Times New Roman" w:hAnsi="Times New Roman" w:cs="Times New Roman"/>
                <w:b/>
                <w:bCs/>
                <w:i/>
                <w:iCs/>
                <w:color w:val="000000"/>
              </w:rPr>
            </w:pPr>
            <w:r w:rsidRPr="00180345">
              <w:rPr>
                <w:rFonts w:ascii="Times New Roman" w:eastAsia="Times New Roman" w:hAnsi="Times New Roman" w:cs="Times New Roman"/>
                <w:b/>
                <w:bCs/>
                <w:i/>
                <w:iCs/>
                <w:color w:val="000000"/>
              </w:rPr>
              <w:t>10</w:t>
            </w:r>
          </w:p>
        </w:tc>
        <w:tc>
          <w:tcPr>
            <w:tcW w:w="2813" w:type="dxa"/>
            <w:vMerge w:val="restart"/>
            <w:tcBorders>
              <w:top w:val="nil"/>
              <w:left w:val="single" w:sz="4" w:space="0" w:color="auto"/>
              <w:bottom w:val="single" w:sz="4" w:space="0" w:color="auto"/>
              <w:right w:val="single" w:sz="4" w:space="0" w:color="auto"/>
            </w:tcBorders>
            <w:shd w:val="clear" w:color="auto" w:fill="auto"/>
            <w:hideMark/>
          </w:tcPr>
          <w:p w14:paraId="57403DC8" w14:textId="77777777" w:rsidR="00E52AC1" w:rsidRPr="00180345" w:rsidRDefault="00E52AC1" w:rsidP="00E52AC1">
            <w:pPr>
              <w:spacing w:after="0" w:line="240" w:lineRule="auto"/>
              <w:rPr>
                <w:rFonts w:ascii="Times New Roman" w:eastAsia="Times New Roman" w:hAnsi="Times New Roman" w:cs="Times New Roman"/>
                <w:b/>
                <w:bCs/>
                <w:sz w:val="18"/>
                <w:szCs w:val="18"/>
              </w:rPr>
            </w:pPr>
            <w:r w:rsidRPr="00180345">
              <w:rPr>
                <w:rFonts w:ascii="Times New Roman" w:eastAsia="Times New Roman" w:hAnsi="Times New Roman" w:cs="Times New Roman"/>
                <w:b/>
                <w:bCs/>
                <w:sz w:val="18"/>
                <w:szCs w:val="18"/>
              </w:rPr>
              <w:t>Instituții din domeniu sănătății transmise în 2018 MS</w:t>
            </w:r>
          </w:p>
        </w:tc>
        <w:tc>
          <w:tcPr>
            <w:tcW w:w="1260" w:type="dxa"/>
            <w:vMerge w:val="restart"/>
            <w:tcBorders>
              <w:top w:val="nil"/>
              <w:left w:val="single" w:sz="4" w:space="0" w:color="auto"/>
              <w:bottom w:val="single" w:sz="4" w:space="0" w:color="000000"/>
              <w:right w:val="single" w:sz="4" w:space="0" w:color="auto"/>
            </w:tcBorders>
            <w:shd w:val="clear" w:color="auto" w:fill="auto"/>
            <w:noWrap/>
            <w:hideMark/>
          </w:tcPr>
          <w:p w14:paraId="568F0815" w14:textId="53757FEC" w:rsidR="00E52AC1" w:rsidRPr="00180345" w:rsidRDefault="00BE6A29" w:rsidP="00BE6A2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61 </w:t>
            </w:r>
            <w:r w:rsidR="00E52AC1" w:rsidRPr="00180345">
              <w:rPr>
                <w:rFonts w:ascii="Times New Roman" w:eastAsia="Times New Roman" w:hAnsi="Times New Roman" w:cs="Times New Roman"/>
                <w:color w:val="000000"/>
                <w:sz w:val="18"/>
                <w:szCs w:val="18"/>
              </w:rPr>
              <w:t>927</w:t>
            </w:r>
            <w:r>
              <w:rPr>
                <w:rFonts w:ascii="Times New Roman" w:eastAsia="Times New Roman" w:hAnsi="Times New Roman" w:cs="Times New Roman"/>
                <w:color w:val="000000"/>
                <w:sz w:val="18"/>
                <w:szCs w:val="18"/>
              </w:rPr>
              <w:t>,</w:t>
            </w:r>
            <w:r w:rsidR="00E52AC1" w:rsidRPr="00180345">
              <w:rPr>
                <w:rFonts w:ascii="Times New Roman" w:eastAsia="Times New Roman" w:hAnsi="Times New Roman" w:cs="Times New Roman"/>
                <w:color w:val="000000"/>
                <w:sz w:val="18"/>
                <w:szCs w:val="18"/>
              </w:rPr>
              <w:t>20</w:t>
            </w:r>
          </w:p>
        </w:tc>
        <w:tc>
          <w:tcPr>
            <w:tcW w:w="1859" w:type="dxa"/>
            <w:vMerge w:val="restart"/>
            <w:tcBorders>
              <w:top w:val="nil"/>
              <w:left w:val="single" w:sz="4" w:space="0" w:color="auto"/>
              <w:bottom w:val="single" w:sz="4" w:space="0" w:color="000000"/>
              <w:right w:val="single" w:sz="4" w:space="0" w:color="auto"/>
            </w:tcBorders>
            <w:shd w:val="clear" w:color="auto" w:fill="auto"/>
            <w:noWrap/>
            <w:hideMark/>
          </w:tcPr>
          <w:p w14:paraId="4835FE8C" w14:textId="77777777" w:rsidR="00E52AC1" w:rsidRPr="00180345" w:rsidRDefault="00E52AC1" w:rsidP="00E52AC1">
            <w:pPr>
              <w:spacing w:after="0" w:line="240" w:lineRule="auto"/>
              <w:jc w:val="center"/>
              <w:rPr>
                <w:rFonts w:ascii="Times New Roman" w:eastAsia="Times New Roman" w:hAnsi="Times New Roman" w:cs="Times New Roman"/>
                <w:color w:val="000000"/>
                <w:sz w:val="18"/>
                <w:szCs w:val="18"/>
              </w:rPr>
            </w:pPr>
            <w:r w:rsidRPr="00180345">
              <w:rPr>
                <w:rFonts w:ascii="Times New Roman" w:eastAsia="Times New Roman" w:hAnsi="Times New Roman" w:cs="Times New Roman"/>
                <w:color w:val="000000"/>
                <w:sz w:val="18"/>
                <w:szCs w:val="18"/>
              </w:rPr>
              <w:t>3%</w:t>
            </w:r>
          </w:p>
        </w:tc>
        <w:tc>
          <w:tcPr>
            <w:tcW w:w="1460" w:type="dxa"/>
            <w:tcBorders>
              <w:top w:val="nil"/>
              <w:left w:val="nil"/>
              <w:bottom w:val="single" w:sz="4" w:space="0" w:color="auto"/>
              <w:right w:val="single" w:sz="4" w:space="0" w:color="auto"/>
            </w:tcBorders>
            <w:shd w:val="clear" w:color="auto" w:fill="auto"/>
            <w:noWrap/>
            <w:hideMark/>
          </w:tcPr>
          <w:p w14:paraId="5A73106F" w14:textId="7189C462" w:rsidR="00E52AC1" w:rsidRPr="00180345" w:rsidRDefault="007101FD" w:rsidP="007101FD">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7 493,</w:t>
            </w:r>
            <w:r w:rsidR="00E52AC1" w:rsidRPr="00180345">
              <w:rPr>
                <w:rFonts w:ascii="Times New Roman" w:eastAsia="Times New Roman" w:hAnsi="Times New Roman" w:cs="Times New Roman"/>
                <w:sz w:val="18"/>
                <w:szCs w:val="18"/>
              </w:rPr>
              <w:t>80</w:t>
            </w:r>
          </w:p>
        </w:tc>
        <w:tc>
          <w:tcPr>
            <w:tcW w:w="1720" w:type="dxa"/>
            <w:tcBorders>
              <w:top w:val="nil"/>
              <w:left w:val="nil"/>
              <w:bottom w:val="single" w:sz="4" w:space="0" w:color="auto"/>
              <w:right w:val="single" w:sz="4" w:space="0" w:color="auto"/>
            </w:tcBorders>
            <w:shd w:val="clear" w:color="auto" w:fill="auto"/>
            <w:noWrap/>
            <w:hideMark/>
          </w:tcPr>
          <w:p w14:paraId="0B4A486C" w14:textId="77777777" w:rsidR="00E52AC1" w:rsidRPr="00180345" w:rsidRDefault="00E52AC1" w:rsidP="00E52AC1">
            <w:pPr>
              <w:spacing w:after="0" w:line="240" w:lineRule="auto"/>
              <w:jc w:val="right"/>
              <w:rPr>
                <w:rFonts w:ascii="Times New Roman" w:eastAsia="Times New Roman" w:hAnsi="Times New Roman" w:cs="Times New Roman"/>
                <w:color w:val="000000"/>
                <w:sz w:val="16"/>
                <w:szCs w:val="16"/>
              </w:rPr>
            </w:pPr>
            <w:r w:rsidRPr="00180345">
              <w:rPr>
                <w:rFonts w:ascii="Times New Roman" w:eastAsia="Times New Roman" w:hAnsi="Times New Roman" w:cs="Times New Roman"/>
                <w:color w:val="000000"/>
                <w:sz w:val="16"/>
                <w:szCs w:val="16"/>
              </w:rPr>
              <w:t>resurse generale</w:t>
            </w:r>
          </w:p>
        </w:tc>
      </w:tr>
      <w:tr w:rsidR="00E52AC1" w:rsidRPr="00E44A0E" w14:paraId="067D38F3" w14:textId="77777777" w:rsidTr="00180345">
        <w:trPr>
          <w:trHeight w:val="288"/>
        </w:trPr>
        <w:tc>
          <w:tcPr>
            <w:tcW w:w="589" w:type="dxa"/>
            <w:vMerge/>
            <w:tcBorders>
              <w:top w:val="nil"/>
              <w:left w:val="single" w:sz="4" w:space="0" w:color="auto"/>
              <w:bottom w:val="single" w:sz="4" w:space="0" w:color="auto"/>
              <w:right w:val="single" w:sz="4" w:space="0" w:color="auto"/>
            </w:tcBorders>
            <w:hideMark/>
          </w:tcPr>
          <w:p w14:paraId="28FAAD52" w14:textId="77777777" w:rsidR="00E52AC1" w:rsidRPr="00180345" w:rsidRDefault="00E52AC1" w:rsidP="00E52AC1">
            <w:pPr>
              <w:spacing w:after="0" w:line="240" w:lineRule="auto"/>
              <w:rPr>
                <w:rFonts w:ascii="Times New Roman" w:eastAsia="Times New Roman" w:hAnsi="Times New Roman" w:cs="Times New Roman"/>
                <w:b/>
                <w:bCs/>
                <w:i/>
                <w:iCs/>
                <w:color w:val="000000"/>
              </w:rPr>
            </w:pPr>
          </w:p>
        </w:tc>
        <w:tc>
          <w:tcPr>
            <w:tcW w:w="2813" w:type="dxa"/>
            <w:vMerge/>
            <w:tcBorders>
              <w:top w:val="nil"/>
              <w:left w:val="single" w:sz="4" w:space="0" w:color="auto"/>
              <w:bottom w:val="single" w:sz="4" w:space="0" w:color="auto"/>
              <w:right w:val="single" w:sz="4" w:space="0" w:color="auto"/>
            </w:tcBorders>
            <w:hideMark/>
          </w:tcPr>
          <w:p w14:paraId="33D7DE48" w14:textId="77777777" w:rsidR="00E52AC1" w:rsidRPr="00180345" w:rsidRDefault="00E52AC1" w:rsidP="00E52AC1">
            <w:pPr>
              <w:spacing w:after="0" w:line="240" w:lineRule="auto"/>
              <w:rPr>
                <w:rFonts w:ascii="Times New Roman" w:eastAsia="Times New Roman" w:hAnsi="Times New Roman" w:cs="Times New Roman"/>
                <w:b/>
                <w:bCs/>
                <w:sz w:val="18"/>
                <w:szCs w:val="18"/>
              </w:rPr>
            </w:pPr>
          </w:p>
        </w:tc>
        <w:tc>
          <w:tcPr>
            <w:tcW w:w="1260" w:type="dxa"/>
            <w:vMerge/>
            <w:tcBorders>
              <w:top w:val="nil"/>
              <w:left w:val="single" w:sz="4" w:space="0" w:color="auto"/>
              <w:bottom w:val="single" w:sz="4" w:space="0" w:color="000000"/>
              <w:right w:val="single" w:sz="4" w:space="0" w:color="auto"/>
            </w:tcBorders>
            <w:hideMark/>
          </w:tcPr>
          <w:p w14:paraId="7B775289" w14:textId="77777777" w:rsidR="00E52AC1" w:rsidRPr="00180345" w:rsidRDefault="00E52AC1" w:rsidP="00E52AC1">
            <w:pPr>
              <w:spacing w:after="0" w:line="240" w:lineRule="auto"/>
              <w:rPr>
                <w:rFonts w:ascii="Times New Roman" w:eastAsia="Times New Roman" w:hAnsi="Times New Roman" w:cs="Times New Roman"/>
                <w:color w:val="000000"/>
              </w:rPr>
            </w:pPr>
          </w:p>
        </w:tc>
        <w:tc>
          <w:tcPr>
            <w:tcW w:w="1859" w:type="dxa"/>
            <w:vMerge/>
            <w:tcBorders>
              <w:top w:val="nil"/>
              <w:left w:val="single" w:sz="4" w:space="0" w:color="auto"/>
              <w:bottom w:val="single" w:sz="4" w:space="0" w:color="000000"/>
              <w:right w:val="single" w:sz="4" w:space="0" w:color="auto"/>
            </w:tcBorders>
            <w:hideMark/>
          </w:tcPr>
          <w:p w14:paraId="2BA63E91" w14:textId="77777777" w:rsidR="00E52AC1" w:rsidRPr="00180345" w:rsidRDefault="00E52AC1" w:rsidP="00E52AC1">
            <w:pPr>
              <w:spacing w:after="0" w:line="240" w:lineRule="auto"/>
              <w:rPr>
                <w:rFonts w:ascii="Times New Roman" w:eastAsia="Times New Roman" w:hAnsi="Times New Roman" w:cs="Times New Roman"/>
                <w:color w:val="000000"/>
              </w:rPr>
            </w:pPr>
          </w:p>
        </w:tc>
        <w:tc>
          <w:tcPr>
            <w:tcW w:w="1460" w:type="dxa"/>
            <w:tcBorders>
              <w:top w:val="nil"/>
              <w:left w:val="nil"/>
              <w:bottom w:val="single" w:sz="4" w:space="0" w:color="auto"/>
              <w:right w:val="single" w:sz="4" w:space="0" w:color="auto"/>
            </w:tcBorders>
            <w:shd w:val="clear" w:color="auto" w:fill="auto"/>
            <w:noWrap/>
            <w:hideMark/>
          </w:tcPr>
          <w:p w14:paraId="23BB10A0" w14:textId="775290A7" w:rsidR="00E52AC1" w:rsidRPr="007101FD" w:rsidRDefault="007101FD" w:rsidP="007101FD">
            <w:pPr>
              <w:spacing w:after="0" w:line="240" w:lineRule="auto"/>
              <w:jc w:val="right"/>
              <w:rPr>
                <w:rFonts w:ascii="Times New Roman" w:eastAsia="Times New Roman" w:hAnsi="Times New Roman" w:cs="Times New Roman"/>
                <w:color w:val="000000"/>
                <w:sz w:val="18"/>
                <w:szCs w:val="18"/>
              </w:rPr>
            </w:pPr>
            <w:r w:rsidRPr="007101FD">
              <w:rPr>
                <w:rFonts w:ascii="Times New Roman" w:eastAsia="Times New Roman" w:hAnsi="Times New Roman" w:cs="Times New Roman"/>
                <w:color w:val="000000"/>
                <w:sz w:val="18"/>
                <w:szCs w:val="18"/>
              </w:rPr>
              <w:t xml:space="preserve">54 </w:t>
            </w:r>
            <w:r w:rsidR="00E52AC1" w:rsidRPr="007101FD">
              <w:rPr>
                <w:rFonts w:ascii="Times New Roman" w:eastAsia="Times New Roman" w:hAnsi="Times New Roman" w:cs="Times New Roman"/>
                <w:color w:val="000000"/>
                <w:sz w:val="18"/>
                <w:szCs w:val="18"/>
              </w:rPr>
              <w:t>433</w:t>
            </w:r>
            <w:r w:rsidRPr="007101FD">
              <w:rPr>
                <w:rFonts w:ascii="Times New Roman" w:eastAsia="Times New Roman" w:hAnsi="Times New Roman" w:cs="Times New Roman"/>
                <w:color w:val="000000"/>
                <w:sz w:val="18"/>
                <w:szCs w:val="18"/>
              </w:rPr>
              <w:t>,</w:t>
            </w:r>
            <w:r w:rsidR="00E52AC1" w:rsidRPr="007101FD">
              <w:rPr>
                <w:rFonts w:ascii="Times New Roman" w:eastAsia="Times New Roman" w:hAnsi="Times New Roman" w:cs="Times New Roman"/>
                <w:color w:val="000000"/>
                <w:sz w:val="18"/>
                <w:szCs w:val="18"/>
              </w:rPr>
              <w:t>40</w:t>
            </w:r>
          </w:p>
        </w:tc>
        <w:tc>
          <w:tcPr>
            <w:tcW w:w="1720" w:type="dxa"/>
            <w:tcBorders>
              <w:top w:val="nil"/>
              <w:left w:val="nil"/>
              <w:bottom w:val="single" w:sz="4" w:space="0" w:color="auto"/>
              <w:right w:val="single" w:sz="4" w:space="0" w:color="auto"/>
            </w:tcBorders>
            <w:shd w:val="clear" w:color="auto" w:fill="auto"/>
            <w:noWrap/>
            <w:hideMark/>
          </w:tcPr>
          <w:p w14:paraId="5A799CB2" w14:textId="77777777" w:rsidR="00E52AC1" w:rsidRPr="00180345" w:rsidRDefault="00E52AC1" w:rsidP="00E52AC1">
            <w:pPr>
              <w:spacing w:after="0" w:line="240" w:lineRule="auto"/>
              <w:jc w:val="right"/>
              <w:rPr>
                <w:rFonts w:ascii="Times New Roman" w:eastAsia="Times New Roman" w:hAnsi="Times New Roman" w:cs="Times New Roman"/>
                <w:sz w:val="16"/>
                <w:szCs w:val="16"/>
              </w:rPr>
            </w:pPr>
            <w:r w:rsidRPr="00180345">
              <w:rPr>
                <w:rFonts w:ascii="Times New Roman" w:eastAsia="Times New Roman" w:hAnsi="Times New Roman" w:cs="Times New Roman"/>
                <w:sz w:val="16"/>
                <w:szCs w:val="16"/>
              </w:rPr>
              <w:t>subvenții</w:t>
            </w:r>
          </w:p>
        </w:tc>
      </w:tr>
    </w:tbl>
    <w:p w14:paraId="501E5442" w14:textId="4ACE32B4" w:rsidR="009701EA" w:rsidRPr="00000D4A" w:rsidRDefault="009701EA" w:rsidP="009701EA">
      <w:pPr>
        <w:pStyle w:val="af0"/>
        <w:tabs>
          <w:tab w:val="left" w:pos="5869"/>
        </w:tabs>
        <w:spacing w:after="360" w:line="276" w:lineRule="auto"/>
        <w:rPr>
          <w:rFonts w:eastAsia="Times New Roman"/>
          <w:i/>
          <w:sz w:val="16"/>
          <w:szCs w:val="16"/>
          <w:lang w:eastAsia="ro-MD"/>
        </w:rPr>
      </w:pPr>
      <w:r w:rsidRPr="00000D4A">
        <w:rPr>
          <w:rFonts w:eastAsia="Times New Roman"/>
          <w:b/>
          <w:i/>
          <w:sz w:val="16"/>
          <w:szCs w:val="16"/>
          <w:lang w:eastAsia="ro-MD"/>
        </w:rPr>
        <w:t>Sursă:</w:t>
      </w:r>
      <w:r w:rsidRPr="00000D4A">
        <w:rPr>
          <w:rFonts w:eastAsia="Times New Roman"/>
          <w:i/>
          <w:sz w:val="16"/>
          <w:szCs w:val="16"/>
          <w:lang w:eastAsia="ro-MD"/>
        </w:rPr>
        <w:t xml:space="preserve"> </w:t>
      </w:r>
      <w:r>
        <w:rPr>
          <w:rFonts w:eastAsia="Times New Roman"/>
          <w:i/>
          <w:sz w:val="16"/>
          <w:szCs w:val="16"/>
          <w:lang w:eastAsia="ro-MD"/>
        </w:rPr>
        <w:t>Informația prezentată de CS</w:t>
      </w:r>
      <w:r w:rsidRPr="00000D4A">
        <w:rPr>
          <w:rFonts w:eastAsia="Times New Roman"/>
          <w:i/>
          <w:sz w:val="16"/>
          <w:szCs w:val="16"/>
          <w:lang w:eastAsia="ro-MD"/>
        </w:rPr>
        <w:t>.</w:t>
      </w:r>
    </w:p>
    <w:p w14:paraId="0CFE856B" w14:textId="40D0A82E" w:rsidR="00E52AC1" w:rsidRDefault="00E52AC1" w:rsidP="00E52AC1">
      <w:pPr>
        <w:rPr>
          <w:rFonts w:ascii="Times New Roman" w:hAnsi="Times New Roman" w:cs="Times New Roman"/>
          <w:sz w:val="24"/>
          <w:szCs w:val="24"/>
        </w:rPr>
      </w:pPr>
    </w:p>
    <w:p w14:paraId="1B5103C2" w14:textId="77777777" w:rsidR="00E52AC1" w:rsidRDefault="00E52AC1" w:rsidP="00E52AC1">
      <w:pPr>
        <w:rPr>
          <w:rFonts w:ascii="Times New Roman" w:hAnsi="Times New Roman" w:cs="Times New Roman"/>
          <w:sz w:val="24"/>
          <w:szCs w:val="24"/>
        </w:rPr>
      </w:pPr>
    </w:p>
    <w:p w14:paraId="0E09F190" w14:textId="77777777" w:rsidR="00E52AC1" w:rsidRDefault="00E52AC1" w:rsidP="00E52AC1">
      <w:pPr>
        <w:rPr>
          <w:rFonts w:ascii="Times New Roman" w:hAnsi="Times New Roman" w:cs="Times New Roman"/>
          <w:sz w:val="24"/>
          <w:szCs w:val="24"/>
        </w:rPr>
      </w:pPr>
    </w:p>
    <w:p w14:paraId="258F3860" w14:textId="77777777" w:rsidR="00E52AC1" w:rsidRDefault="00E52AC1" w:rsidP="00E52AC1">
      <w:pPr>
        <w:rPr>
          <w:rFonts w:ascii="Times New Roman" w:hAnsi="Times New Roman" w:cs="Times New Roman"/>
          <w:sz w:val="24"/>
          <w:szCs w:val="24"/>
        </w:rPr>
      </w:pPr>
    </w:p>
    <w:p w14:paraId="0272922C" w14:textId="77777777" w:rsidR="00E52AC1" w:rsidRDefault="00E52AC1" w:rsidP="00E52AC1">
      <w:pPr>
        <w:rPr>
          <w:rFonts w:ascii="Times New Roman" w:hAnsi="Times New Roman" w:cs="Times New Roman"/>
          <w:sz w:val="24"/>
          <w:szCs w:val="24"/>
        </w:rPr>
      </w:pPr>
    </w:p>
    <w:p w14:paraId="005E468E" w14:textId="77777777" w:rsidR="00E52AC1" w:rsidRDefault="00E52AC1" w:rsidP="00E52AC1">
      <w:pPr>
        <w:rPr>
          <w:rFonts w:ascii="Times New Roman" w:hAnsi="Times New Roman" w:cs="Times New Roman"/>
          <w:sz w:val="24"/>
          <w:szCs w:val="24"/>
        </w:rPr>
      </w:pPr>
    </w:p>
    <w:p w14:paraId="3BC55B47" w14:textId="77777777" w:rsidR="00E52AC1" w:rsidRDefault="00E52AC1" w:rsidP="00E52AC1">
      <w:pPr>
        <w:rPr>
          <w:rFonts w:ascii="Times New Roman" w:eastAsia="Times New Roman" w:hAnsi="Times New Roman" w:cs="Times New Roman"/>
          <w:b/>
          <w:bCs/>
          <w:iCs/>
          <w:color w:val="0070C0"/>
          <w:sz w:val="24"/>
          <w:szCs w:val="24"/>
        </w:rPr>
        <w:sectPr w:rsidR="00E52AC1" w:rsidSect="00E52AC1">
          <w:pgSz w:w="11906" w:h="16838" w:code="9"/>
          <w:pgMar w:top="1138" w:right="284" w:bottom="1138" w:left="1701" w:header="720" w:footer="720" w:gutter="0"/>
          <w:cols w:space="720"/>
          <w:docGrid w:linePitch="360"/>
        </w:sectPr>
      </w:pPr>
    </w:p>
    <w:p w14:paraId="1D4B8B48" w14:textId="77777777" w:rsidR="00E52AC1" w:rsidRPr="009916D2" w:rsidRDefault="00E52AC1" w:rsidP="00E52AC1">
      <w:pPr>
        <w:rPr>
          <w:rFonts w:ascii="Times New Roman" w:hAnsi="Times New Roman" w:cs="Times New Roman"/>
          <w:color w:val="0070C0"/>
          <w:sz w:val="24"/>
          <w:szCs w:val="24"/>
        </w:rPr>
      </w:pPr>
      <w:r w:rsidRPr="009916D2">
        <w:rPr>
          <w:rFonts w:ascii="Times New Roman" w:eastAsia="Times New Roman" w:hAnsi="Times New Roman" w:cs="Times New Roman"/>
          <w:b/>
          <w:bCs/>
          <w:iCs/>
          <w:color w:val="0070C0"/>
          <w:sz w:val="24"/>
          <w:szCs w:val="24"/>
        </w:rPr>
        <w:t xml:space="preserve">Anexa nr. </w:t>
      </w:r>
      <w:r>
        <w:rPr>
          <w:rFonts w:ascii="Times New Roman" w:eastAsia="Times New Roman" w:hAnsi="Times New Roman" w:cs="Times New Roman"/>
          <w:b/>
          <w:bCs/>
          <w:iCs/>
          <w:color w:val="0070C0"/>
          <w:sz w:val="24"/>
          <w:szCs w:val="24"/>
        </w:rPr>
        <w:t>3</w:t>
      </w:r>
      <w:r w:rsidRPr="009916D2">
        <w:rPr>
          <w:rFonts w:ascii="Times New Roman" w:eastAsia="Times New Roman" w:hAnsi="Times New Roman" w:cs="Times New Roman"/>
          <w:b/>
          <w:bCs/>
          <w:iCs/>
          <w:color w:val="0070C0"/>
          <w:sz w:val="24"/>
          <w:szCs w:val="24"/>
        </w:rPr>
        <w:t>: Analiza bilanțului contabil consolidat al Cancelariei de Stat pentru anii 2018 -2022</w:t>
      </w:r>
    </w:p>
    <w:tbl>
      <w:tblPr>
        <w:tblW w:w="14887" w:type="dxa"/>
        <w:tblLook w:val="04A0" w:firstRow="1" w:lastRow="0" w:firstColumn="1" w:lastColumn="0" w:noHBand="0" w:noVBand="1"/>
      </w:tblPr>
      <w:tblGrid>
        <w:gridCol w:w="960"/>
        <w:gridCol w:w="3288"/>
        <w:gridCol w:w="1000"/>
        <w:gridCol w:w="1000"/>
        <w:gridCol w:w="1000"/>
        <w:gridCol w:w="1000"/>
        <w:gridCol w:w="1000"/>
        <w:gridCol w:w="1379"/>
        <w:gridCol w:w="1100"/>
        <w:gridCol w:w="1060"/>
        <w:gridCol w:w="1080"/>
        <w:gridCol w:w="1020"/>
      </w:tblGrid>
      <w:tr w:rsidR="00E52AC1" w:rsidRPr="003D6707" w14:paraId="468FFAE5" w14:textId="77777777" w:rsidTr="00E52AC1">
        <w:trPr>
          <w:trHeight w:val="288"/>
        </w:trPr>
        <w:tc>
          <w:tcPr>
            <w:tcW w:w="960"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14:paraId="762B003A"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Grup de conturi</w:t>
            </w:r>
          </w:p>
        </w:tc>
        <w:tc>
          <w:tcPr>
            <w:tcW w:w="3288" w:type="dxa"/>
            <w:vMerge w:val="restart"/>
            <w:tcBorders>
              <w:top w:val="single" w:sz="4" w:space="0" w:color="auto"/>
              <w:left w:val="single" w:sz="4" w:space="0" w:color="auto"/>
              <w:bottom w:val="single" w:sz="4" w:space="0" w:color="000000"/>
              <w:right w:val="single" w:sz="4" w:space="0" w:color="auto"/>
            </w:tcBorders>
            <w:shd w:val="clear" w:color="000000" w:fill="DDEBF7"/>
            <w:noWrap/>
            <w:vAlign w:val="center"/>
            <w:hideMark/>
          </w:tcPr>
          <w:p w14:paraId="6AB49E50"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Denumirea indicatorului</w:t>
            </w:r>
          </w:p>
        </w:tc>
        <w:tc>
          <w:tcPr>
            <w:tcW w:w="5000" w:type="dxa"/>
            <w:gridSpan w:val="5"/>
            <w:tcBorders>
              <w:top w:val="single" w:sz="4" w:space="0" w:color="auto"/>
              <w:left w:val="nil"/>
              <w:bottom w:val="single" w:sz="4" w:space="0" w:color="auto"/>
              <w:right w:val="single" w:sz="4" w:space="0" w:color="000000"/>
            </w:tcBorders>
            <w:shd w:val="clear" w:color="000000" w:fill="DDEBF7"/>
            <w:noWrap/>
            <w:vAlign w:val="center"/>
            <w:hideMark/>
          </w:tcPr>
          <w:p w14:paraId="2E2A5CF9"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Sold la</w:t>
            </w:r>
          </w:p>
        </w:tc>
        <w:tc>
          <w:tcPr>
            <w:tcW w:w="1379"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14:paraId="2A3D843D"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Ponderea, în total</w:t>
            </w:r>
            <w:r>
              <w:rPr>
                <w:rFonts w:ascii="Calibri Light" w:eastAsia="Times New Roman" w:hAnsi="Calibri Light" w:cs="Calibri Light"/>
                <w:b/>
                <w:bCs/>
                <w:i/>
                <w:iCs/>
                <w:color w:val="000000"/>
                <w:sz w:val="16"/>
                <w:szCs w:val="16"/>
              </w:rPr>
              <w:t xml:space="preserve"> active /pasive</w:t>
            </w:r>
            <w:r w:rsidRPr="003D6707">
              <w:rPr>
                <w:rFonts w:ascii="Calibri Light" w:eastAsia="Times New Roman" w:hAnsi="Calibri Light" w:cs="Calibri Light"/>
                <w:b/>
                <w:bCs/>
                <w:i/>
                <w:iCs/>
                <w:color w:val="000000"/>
                <w:sz w:val="16"/>
                <w:szCs w:val="16"/>
              </w:rPr>
              <w:t xml:space="preserve"> anul 2022 (%)</w:t>
            </w:r>
          </w:p>
        </w:tc>
        <w:tc>
          <w:tcPr>
            <w:tcW w:w="4260" w:type="dxa"/>
            <w:gridSpan w:val="4"/>
            <w:tcBorders>
              <w:top w:val="single" w:sz="4" w:space="0" w:color="auto"/>
              <w:left w:val="nil"/>
              <w:bottom w:val="single" w:sz="4" w:space="0" w:color="auto"/>
              <w:right w:val="single" w:sz="4" w:space="0" w:color="000000"/>
            </w:tcBorders>
            <w:shd w:val="clear" w:color="000000" w:fill="DDEBF7"/>
            <w:noWrap/>
            <w:vAlign w:val="center"/>
            <w:hideMark/>
          </w:tcPr>
          <w:p w14:paraId="1506F274"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 xml:space="preserve">Creștere/ descreștere </w:t>
            </w:r>
          </w:p>
        </w:tc>
      </w:tr>
      <w:tr w:rsidR="00E52AC1" w:rsidRPr="003D6707" w14:paraId="523695B3" w14:textId="77777777" w:rsidTr="00E52AC1">
        <w:trPr>
          <w:trHeight w:val="408"/>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1C990A38" w14:textId="77777777" w:rsidR="00E52AC1" w:rsidRPr="003D6707" w:rsidRDefault="00E52AC1" w:rsidP="00E52AC1">
            <w:pPr>
              <w:spacing w:after="0" w:line="240" w:lineRule="auto"/>
              <w:rPr>
                <w:rFonts w:ascii="Calibri Light" w:eastAsia="Times New Roman" w:hAnsi="Calibri Light" w:cs="Calibri Light"/>
                <w:b/>
                <w:bCs/>
                <w:i/>
                <w:iCs/>
                <w:color w:val="000000"/>
                <w:sz w:val="16"/>
                <w:szCs w:val="16"/>
              </w:rPr>
            </w:pPr>
          </w:p>
        </w:tc>
        <w:tc>
          <w:tcPr>
            <w:tcW w:w="3288" w:type="dxa"/>
            <w:vMerge/>
            <w:tcBorders>
              <w:top w:val="single" w:sz="4" w:space="0" w:color="auto"/>
              <w:left w:val="single" w:sz="4" w:space="0" w:color="auto"/>
              <w:bottom w:val="single" w:sz="4" w:space="0" w:color="000000"/>
              <w:right w:val="single" w:sz="4" w:space="0" w:color="auto"/>
            </w:tcBorders>
            <w:vAlign w:val="center"/>
            <w:hideMark/>
          </w:tcPr>
          <w:p w14:paraId="3629D6D1" w14:textId="77777777" w:rsidR="00E52AC1" w:rsidRPr="003D6707" w:rsidRDefault="00E52AC1" w:rsidP="00E52AC1">
            <w:pPr>
              <w:spacing w:after="0" w:line="240" w:lineRule="auto"/>
              <w:rPr>
                <w:rFonts w:ascii="Calibri Light" w:eastAsia="Times New Roman" w:hAnsi="Calibri Light" w:cs="Calibri Light"/>
                <w:b/>
                <w:bCs/>
                <w:i/>
                <w:iCs/>
                <w:color w:val="000000"/>
                <w:sz w:val="16"/>
                <w:szCs w:val="16"/>
              </w:rPr>
            </w:pPr>
          </w:p>
        </w:tc>
        <w:tc>
          <w:tcPr>
            <w:tcW w:w="1000" w:type="dxa"/>
            <w:tcBorders>
              <w:top w:val="nil"/>
              <w:left w:val="nil"/>
              <w:bottom w:val="single" w:sz="4" w:space="0" w:color="auto"/>
              <w:right w:val="single" w:sz="4" w:space="0" w:color="auto"/>
            </w:tcBorders>
            <w:shd w:val="clear" w:color="000000" w:fill="DDEBF7"/>
            <w:vAlign w:val="center"/>
            <w:hideMark/>
          </w:tcPr>
          <w:p w14:paraId="7E22ECE9" w14:textId="58CE1C9A"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31.12.2018</w:t>
            </w:r>
            <w:r w:rsidR="00BA69A9">
              <w:rPr>
                <w:rFonts w:ascii="Calibri Light" w:eastAsia="Times New Roman" w:hAnsi="Calibri Light" w:cs="Calibri Light"/>
                <w:b/>
                <w:bCs/>
                <w:i/>
                <w:iCs/>
                <w:color w:val="000000"/>
                <w:sz w:val="16"/>
                <w:szCs w:val="16"/>
              </w:rPr>
              <w:t xml:space="preserve"> </w:t>
            </w:r>
          </w:p>
        </w:tc>
        <w:tc>
          <w:tcPr>
            <w:tcW w:w="1000" w:type="dxa"/>
            <w:tcBorders>
              <w:top w:val="nil"/>
              <w:left w:val="nil"/>
              <w:bottom w:val="single" w:sz="4" w:space="0" w:color="auto"/>
              <w:right w:val="single" w:sz="4" w:space="0" w:color="auto"/>
            </w:tcBorders>
            <w:shd w:val="clear" w:color="000000" w:fill="DDEBF7"/>
            <w:vAlign w:val="center"/>
            <w:hideMark/>
          </w:tcPr>
          <w:p w14:paraId="1CE79072" w14:textId="14FFE488"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31.12.2019</w:t>
            </w:r>
            <w:r w:rsidR="00BA69A9">
              <w:rPr>
                <w:rFonts w:ascii="Calibri Light" w:eastAsia="Times New Roman" w:hAnsi="Calibri Light" w:cs="Calibri Light"/>
                <w:b/>
                <w:bCs/>
                <w:i/>
                <w:iCs/>
                <w:color w:val="000000"/>
                <w:sz w:val="16"/>
                <w:szCs w:val="16"/>
              </w:rPr>
              <w:t xml:space="preserve"> </w:t>
            </w:r>
          </w:p>
        </w:tc>
        <w:tc>
          <w:tcPr>
            <w:tcW w:w="1000" w:type="dxa"/>
            <w:tcBorders>
              <w:top w:val="nil"/>
              <w:left w:val="nil"/>
              <w:bottom w:val="single" w:sz="4" w:space="0" w:color="auto"/>
              <w:right w:val="single" w:sz="4" w:space="0" w:color="auto"/>
            </w:tcBorders>
            <w:shd w:val="clear" w:color="000000" w:fill="DDEBF7"/>
            <w:vAlign w:val="center"/>
            <w:hideMark/>
          </w:tcPr>
          <w:p w14:paraId="7A9D2B2B" w14:textId="638B7638"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31.12.2020</w:t>
            </w:r>
            <w:r w:rsidR="00BA69A9">
              <w:rPr>
                <w:rFonts w:ascii="Calibri Light" w:eastAsia="Times New Roman" w:hAnsi="Calibri Light" w:cs="Calibri Light"/>
                <w:b/>
                <w:bCs/>
                <w:i/>
                <w:iCs/>
                <w:color w:val="000000"/>
                <w:sz w:val="16"/>
                <w:szCs w:val="16"/>
              </w:rPr>
              <w:t xml:space="preserve"> </w:t>
            </w:r>
          </w:p>
        </w:tc>
        <w:tc>
          <w:tcPr>
            <w:tcW w:w="1000" w:type="dxa"/>
            <w:tcBorders>
              <w:top w:val="nil"/>
              <w:left w:val="nil"/>
              <w:bottom w:val="single" w:sz="4" w:space="0" w:color="auto"/>
              <w:right w:val="single" w:sz="4" w:space="0" w:color="auto"/>
            </w:tcBorders>
            <w:shd w:val="clear" w:color="000000" w:fill="DDEBF7"/>
            <w:vAlign w:val="center"/>
            <w:hideMark/>
          </w:tcPr>
          <w:p w14:paraId="7A8E14F1" w14:textId="45A21A73"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31.12.2021</w:t>
            </w:r>
            <w:r w:rsidR="00BA69A9">
              <w:rPr>
                <w:rFonts w:ascii="Calibri Light" w:eastAsia="Times New Roman" w:hAnsi="Calibri Light" w:cs="Calibri Light"/>
                <w:b/>
                <w:bCs/>
                <w:i/>
                <w:iCs/>
                <w:color w:val="000000"/>
                <w:sz w:val="16"/>
                <w:szCs w:val="16"/>
              </w:rPr>
              <w:t xml:space="preserve"> </w:t>
            </w:r>
          </w:p>
        </w:tc>
        <w:tc>
          <w:tcPr>
            <w:tcW w:w="1000" w:type="dxa"/>
            <w:tcBorders>
              <w:top w:val="nil"/>
              <w:left w:val="nil"/>
              <w:bottom w:val="single" w:sz="4" w:space="0" w:color="auto"/>
              <w:right w:val="single" w:sz="4" w:space="0" w:color="auto"/>
            </w:tcBorders>
            <w:shd w:val="clear" w:color="000000" w:fill="DDEBF7"/>
            <w:vAlign w:val="center"/>
            <w:hideMark/>
          </w:tcPr>
          <w:p w14:paraId="37C6595D" w14:textId="28F6A91C"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31.12.2022</w:t>
            </w:r>
            <w:r w:rsidR="00BA69A9">
              <w:rPr>
                <w:rFonts w:ascii="Calibri Light" w:eastAsia="Times New Roman" w:hAnsi="Calibri Light" w:cs="Calibri Light"/>
                <w:b/>
                <w:bCs/>
                <w:i/>
                <w:iCs/>
                <w:color w:val="000000"/>
                <w:sz w:val="16"/>
                <w:szCs w:val="16"/>
              </w:rPr>
              <w:t xml:space="preserve"> </w:t>
            </w:r>
          </w:p>
        </w:tc>
        <w:tc>
          <w:tcPr>
            <w:tcW w:w="1379" w:type="dxa"/>
            <w:vMerge/>
            <w:tcBorders>
              <w:top w:val="single" w:sz="4" w:space="0" w:color="auto"/>
              <w:left w:val="single" w:sz="4" w:space="0" w:color="auto"/>
              <w:bottom w:val="single" w:sz="4" w:space="0" w:color="000000"/>
              <w:right w:val="single" w:sz="4" w:space="0" w:color="auto"/>
            </w:tcBorders>
            <w:vAlign w:val="center"/>
            <w:hideMark/>
          </w:tcPr>
          <w:p w14:paraId="4F5F0958" w14:textId="77777777" w:rsidR="00E52AC1" w:rsidRPr="003D6707" w:rsidRDefault="00E52AC1" w:rsidP="00E52AC1">
            <w:pPr>
              <w:spacing w:after="0" w:line="240" w:lineRule="auto"/>
              <w:rPr>
                <w:rFonts w:ascii="Calibri Light" w:eastAsia="Times New Roman" w:hAnsi="Calibri Light" w:cs="Calibri Light"/>
                <w:b/>
                <w:bCs/>
                <w:i/>
                <w:iCs/>
                <w:color w:val="000000"/>
                <w:sz w:val="16"/>
                <w:szCs w:val="16"/>
              </w:rPr>
            </w:pPr>
          </w:p>
        </w:tc>
        <w:tc>
          <w:tcPr>
            <w:tcW w:w="1100" w:type="dxa"/>
            <w:tcBorders>
              <w:top w:val="nil"/>
              <w:left w:val="nil"/>
              <w:bottom w:val="single" w:sz="4" w:space="0" w:color="auto"/>
              <w:right w:val="single" w:sz="4" w:space="0" w:color="auto"/>
            </w:tcBorders>
            <w:shd w:val="clear" w:color="000000" w:fill="DDEBF7"/>
            <w:vAlign w:val="center"/>
            <w:hideMark/>
          </w:tcPr>
          <w:p w14:paraId="0BF65687" w14:textId="5228E0C3"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2019 față de 2018</w:t>
            </w:r>
            <w:r w:rsidR="00BA69A9">
              <w:rPr>
                <w:rFonts w:ascii="Calibri Light" w:eastAsia="Times New Roman" w:hAnsi="Calibri Light" w:cs="Calibri Light"/>
                <w:b/>
                <w:bCs/>
                <w:i/>
                <w:iCs/>
                <w:color w:val="000000"/>
                <w:sz w:val="16"/>
                <w:szCs w:val="16"/>
              </w:rPr>
              <w:t xml:space="preserve"> </w:t>
            </w:r>
          </w:p>
        </w:tc>
        <w:tc>
          <w:tcPr>
            <w:tcW w:w="1060" w:type="dxa"/>
            <w:tcBorders>
              <w:top w:val="nil"/>
              <w:left w:val="nil"/>
              <w:bottom w:val="single" w:sz="4" w:space="0" w:color="auto"/>
              <w:right w:val="single" w:sz="4" w:space="0" w:color="auto"/>
            </w:tcBorders>
            <w:shd w:val="clear" w:color="000000" w:fill="DDEBF7"/>
            <w:vAlign w:val="center"/>
            <w:hideMark/>
          </w:tcPr>
          <w:p w14:paraId="04623F8E" w14:textId="0A287124"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2020 față de 2019</w:t>
            </w:r>
            <w:r w:rsidR="00BA69A9">
              <w:rPr>
                <w:rFonts w:ascii="Calibri Light" w:eastAsia="Times New Roman" w:hAnsi="Calibri Light" w:cs="Calibri Light"/>
                <w:b/>
                <w:bCs/>
                <w:i/>
                <w:iCs/>
                <w:color w:val="000000"/>
                <w:sz w:val="16"/>
                <w:szCs w:val="16"/>
              </w:rPr>
              <w:t xml:space="preserve"> </w:t>
            </w:r>
          </w:p>
        </w:tc>
        <w:tc>
          <w:tcPr>
            <w:tcW w:w="1080" w:type="dxa"/>
            <w:tcBorders>
              <w:top w:val="nil"/>
              <w:left w:val="nil"/>
              <w:bottom w:val="single" w:sz="4" w:space="0" w:color="auto"/>
              <w:right w:val="single" w:sz="4" w:space="0" w:color="auto"/>
            </w:tcBorders>
            <w:shd w:val="clear" w:color="000000" w:fill="DDEBF7"/>
            <w:vAlign w:val="center"/>
            <w:hideMark/>
          </w:tcPr>
          <w:p w14:paraId="482CDB24" w14:textId="461077A3"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2021 față de 2020</w:t>
            </w:r>
            <w:r w:rsidR="00BA69A9">
              <w:rPr>
                <w:rFonts w:ascii="Calibri Light" w:eastAsia="Times New Roman" w:hAnsi="Calibri Light" w:cs="Calibri Light"/>
                <w:b/>
                <w:bCs/>
                <w:i/>
                <w:iCs/>
                <w:color w:val="000000"/>
                <w:sz w:val="16"/>
                <w:szCs w:val="16"/>
              </w:rPr>
              <w:t xml:space="preserve"> </w:t>
            </w:r>
          </w:p>
        </w:tc>
        <w:tc>
          <w:tcPr>
            <w:tcW w:w="1020" w:type="dxa"/>
            <w:tcBorders>
              <w:top w:val="nil"/>
              <w:left w:val="nil"/>
              <w:bottom w:val="single" w:sz="4" w:space="0" w:color="auto"/>
              <w:right w:val="single" w:sz="4" w:space="0" w:color="auto"/>
            </w:tcBorders>
            <w:shd w:val="clear" w:color="000000" w:fill="DDEBF7"/>
            <w:vAlign w:val="center"/>
            <w:hideMark/>
          </w:tcPr>
          <w:p w14:paraId="7BDFC286" w14:textId="71290492"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2022 față de 2021</w:t>
            </w:r>
            <w:r w:rsidR="00BA69A9">
              <w:rPr>
                <w:rFonts w:ascii="Calibri Light" w:eastAsia="Times New Roman" w:hAnsi="Calibri Light" w:cs="Calibri Light"/>
                <w:b/>
                <w:bCs/>
                <w:i/>
                <w:iCs/>
                <w:color w:val="000000"/>
                <w:sz w:val="16"/>
                <w:szCs w:val="16"/>
              </w:rPr>
              <w:t xml:space="preserve"> </w:t>
            </w:r>
          </w:p>
        </w:tc>
      </w:tr>
      <w:tr w:rsidR="00E52AC1" w:rsidRPr="003D6707" w14:paraId="77AA522D"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319DA28"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2"/>
                <w:szCs w:val="12"/>
              </w:rPr>
            </w:pPr>
            <w:r w:rsidRPr="003D6707">
              <w:rPr>
                <w:rFonts w:ascii="Calibri Light" w:eastAsia="Times New Roman" w:hAnsi="Calibri Light" w:cs="Calibri Light"/>
                <w:b/>
                <w:bCs/>
                <w:i/>
                <w:iCs/>
                <w:color w:val="000000"/>
                <w:sz w:val="12"/>
                <w:szCs w:val="12"/>
              </w:rPr>
              <w:t>1</w:t>
            </w:r>
          </w:p>
        </w:tc>
        <w:tc>
          <w:tcPr>
            <w:tcW w:w="3288" w:type="dxa"/>
            <w:tcBorders>
              <w:top w:val="nil"/>
              <w:left w:val="nil"/>
              <w:bottom w:val="single" w:sz="4" w:space="0" w:color="auto"/>
              <w:right w:val="single" w:sz="4" w:space="0" w:color="auto"/>
            </w:tcBorders>
            <w:shd w:val="clear" w:color="auto" w:fill="auto"/>
            <w:noWrap/>
            <w:vAlign w:val="center"/>
            <w:hideMark/>
          </w:tcPr>
          <w:p w14:paraId="61D2FA1C"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2"/>
                <w:szCs w:val="12"/>
              </w:rPr>
            </w:pPr>
            <w:r w:rsidRPr="003D6707">
              <w:rPr>
                <w:rFonts w:ascii="Calibri Light" w:eastAsia="Times New Roman" w:hAnsi="Calibri Light" w:cs="Calibri Light"/>
                <w:b/>
                <w:bCs/>
                <w:i/>
                <w:iCs/>
                <w:color w:val="000000"/>
                <w:sz w:val="12"/>
                <w:szCs w:val="12"/>
              </w:rPr>
              <w:t>2</w:t>
            </w:r>
          </w:p>
        </w:tc>
        <w:tc>
          <w:tcPr>
            <w:tcW w:w="1000" w:type="dxa"/>
            <w:tcBorders>
              <w:top w:val="nil"/>
              <w:left w:val="nil"/>
              <w:bottom w:val="single" w:sz="4" w:space="0" w:color="auto"/>
              <w:right w:val="single" w:sz="4" w:space="0" w:color="auto"/>
            </w:tcBorders>
            <w:shd w:val="clear" w:color="auto" w:fill="auto"/>
            <w:vAlign w:val="center"/>
            <w:hideMark/>
          </w:tcPr>
          <w:p w14:paraId="75D1EC3F"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2"/>
                <w:szCs w:val="12"/>
              </w:rPr>
            </w:pPr>
            <w:r w:rsidRPr="003D6707">
              <w:rPr>
                <w:rFonts w:ascii="Calibri Light" w:eastAsia="Times New Roman" w:hAnsi="Calibri Light" w:cs="Calibri Light"/>
                <w:b/>
                <w:bCs/>
                <w:i/>
                <w:iCs/>
                <w:color w:val="000000"/>
                <w:sz w:val="12"/>
                <w:szCs w:val="12"/>
              </w:rPr>
              <w:t>3</w:t>
            </w:r>
          </w:p>
        </w:tc>
        <w:tc>
          <w:tcPr>
            <w:tcW w:w="1000" w:type="dxa"/>
            <w:tcBorders>
              <w:top w:val="nil"/>
              <w:left w:val="nil"/>
              <w:bottom w:val="single" w:sz="4" w:space="0" w:color="auto"/>
              <w:right w:val="single" w:sz="4" w:space="0" w:color="auto"/>
            </w:tcBorders>
            <w:shd w:val="clear" w:color="auto" w:fill="auto"/>
            <w:vAlign w:val="center"/>
            <w:hideMark/>
          </w:tcPr>
          <w:p w14:paraId="11611231"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2"/>
                <w:szCs w:val="12"/>
              </w:rPr>
            </w:pPr>
            <w:r w:rsidRPr="003D6707">
              <w:rPr>
                <w:rFonts w:ascii="Calibri Light" w:eastAsia="Times New Roman" w:hAnsi="Calibri Light" w:cs="Calibri Light"/>
                <w:b/>
                <w:bCs/>
                <w:i/>
                <w:iCs/>
                <w:color w:val="000000"/>
                <w:sz w:val="12"/>
                <w:szCs w:val="12"/>
              </w:rPr>
              <w:t>4</w:t>
            </w:r>
          </w:p>
        </w:tc>
        <w:tc>
          <w:tcPr>
            <w:tcW w:w="1000" w:type="dxa"/>
            <w:tcBorders>
              <w:top w:val="nil"/>
              <w:left w:val="nil"/>
              <w:bottom w:val="single" w:sz="4" w:space="0" w:color="auto"/>
              <w:right w:val="single" w:sz="4" w:space="0" w:color="auto"/>
            </w:tcBorders>
            <w:shd w:val="clear" w:color="auto" w:fill="auto"/>
            <w:vAlign w:val="center"/>
            <w:hideMark/>
          </w:tcPr>
          <w:p w14:paraId="5403AB74"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2"/>
                <w:szCs w:val="12"/>
              </w:rPr>
            </w:pPr>
            <w:r w:rsidRPr="003D6707">
              <w:rPr>
                <w:rFonts w:ascii="Calibri Light" w:eastAsia="Times New Roman" w:hAnsi="Calibri Light" w:cs="Calibri Light"/>
                <w:b/>
                <w:bCs/>
                <w:i/>
                <w:iCs/>
                <w:color w:val="000000"/>
                <w:sz w:val="12"/>
                <w:szCs w:val="12"/>
              </w:rPr>
              <w:t>5</w:t>
            </w:r>
          </w:p>
        </w:tc>
        <w:tc>
          <w:tcPr>
            <w:tcW w:w="1000" w:type="dxa"/>
            <w:tcBorders>
              <w:top w:val="nil"/>
              <w:left w:val="nil"/>
              <w:bottom w:val="single" w:sz="4" w:space="0" w:color="auto"/>
              <w:right w:val="single" w:sz="4" w:space="0" w:color="auto"/>
            </w:tcBorders>
            <w:shd w:val="clear" w:color="auto" w:fill="auto"/>
            <w:vAlign w:val="center"/>
            <w:hideMark/>
          </w:tcPr>
          <w:p w14:paraId="2BD57030"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2"/>
                <w:szCs w:val="12"/>
              </w:rPr>
            </w:pPr>
            <w:r w:rsidRPr="003D6707">
              <w:rPr>
                <w:rFonts w:ascii="Calibri Light" w:eastAsia="Times New Roman" w:hAnsi="Calibri Light" w:cs="Calibri Light"/>
                <w:b/>
                <w:bCs/>
                <w:i/>
                <w:iCs/>
                <w:color w:val="000000"/>
                <w:sz w:val="12"/>
                <w:szCs w:val="12"/>
              </w:rPr>
              <w:t>6</w:t>
            </w:r>
          </w:p>
        </w:tc>
        <w:tc>
          <w:tcPr>
            <w:tcW w:w="1000" w:type="dxa"/>
            <w:tcBorders>
              <w:top w:val="nil"/>
              <w:left w:val="nil"/>
              <w:bottom w:val="single" w:sz="4" w:space="0" w:color="auto"/>
              <w:right w:val="single" w:sz="4" w:space="0" w:color="auto"/>
            </w:tcBorders>
            <w:shd w:val="clear" w:color="auto" w:fill="auto"/>
            <w:vAlign w:val="center"/>
            <w:hideMark/>
          </w:tcPr>
          <w:p w14:paraId="363D9C42"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2"/>
                <w:szCs w:val="12"/>
              </w:rPr>
            </w:pPr>
            <w:r w:rsidRPr="003D6707">
              <w:rPr>
                <w:rFonts w:ascii="Calibri Light" w:eastAsia="Times New Roman" w:hAnsi="Calibri Light" w:cs="Calibri Light"/>
                <w:b/>
                <w:bCs/>
                <w:i/>
                <w:iCs/>
                <w:color w:val="000000"/>
                <w:sz w:val="12"/>
                <w:szCs w:val="12"/>
              </w:rPr>
              <w:t>7</w:t>
            </w:r>
          </w:p>
        </w:tc>
        <w:tc>
          <w:tcPr>
            <w:tcW w:w="1379" w:type="dxa"/>
            <w:tcBorders>
              <w:top w:val="nil"/>
              <w:left w:val="nil"/>
              <w:bottom w:val="single" w:sz="4" w:space="0" w:color="auto"/>
              <w:right w:val="single" w:sz="4" w:space="0" w:color="auto"/>
            </w:tcBorders>
            <w:shd w:val="clear" w:color="auto" w:fill="auto"/>
            <w:vAlign w:val="center"/>
            <w:hideMark/>
          </w:tcPr>
          <w:p w14:paraId="74A05A01"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2"/>
                <w:szCs w:val="12"/>
              </w:rPr>
            </w:pPr>
            <w:r w:rsidRPr="003D6707">
              <w:rPr>
                <w:rFonts w:ascii="Calibri Light" w:eastAsia="Times New Roman" w:hAnsi="Calibri Light" w:cs="Calibri Light"/>
                <w:b/>
                <w:bCs/>
                <w:i/>
                <w:iCs/>
                <w:color w:val="000000"/>
                <w:sz w:val="12"/>
                <w:szCs w:val="12"/>
              </w:rPr>
              <w:t>8</w:t>
            </w:r>
          </w:p>
        </w:tc>
        <w:tc>
          <w:tcPr>
            <w:tcW w:w="1100" w:type="dxa"/>
            <w:tcBorders>
              <w:top w:val="nil"/>
              <w:left w:val="nil"/>
              <w:bottom w:val="single" w:sz="4" w:space="0" w:color="auto"/>
              <w:right w:val="single" w:sz="4" w:space="0" w:color="auto"/>
            </w:tcBorders>
            <w:shd w:val="clear" w:color="auto" w:fill="auto"/>
            <w:vAlign w:val="center"/>
            <w:hideMark/>
          </w:tcPr>
          <w:p w14:paraId="46A9C3E3"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2"/>
                <w:szCs w:val="12"/>
              </w:rPr>
            </w:pPr>
            <w:r w:rsidRPr="003D6707">
              <w:rPr>
                <w:rFonts w:ascii="Calibri Light" w:eastAsia="Times New Roman" w:hAnsi="Calibri Light" w:cs="Calibri Light"/>
                <w:b/>
                <w:bCs/>
                <w:i/>
                <w:iCs/>
                <w:color w:val="000000"/>
                <w:sz w:val="12"/>
                <w:szCs w:val="12"/>
              </w:rPr>
              <w:t>9=4-3</w:t>
            </w:r>
          </w:p>
        </w:tc>
        <w:tc>
          <w:tcPr>
            <w:tcW w:w="1060" w:type="dxa"/>
            <w:tcBorders>
              <w:top w:val="nil"/>
              <w:left w:val="nil"/>
              <w:bottom w:val="single" w:sz="4" w:space="0" w:color="auto"/>
              <w:right w:val="single" w:sz="4" w:space="0" w:color="auto"/>
            </w:tcBorders>
            <w:shd w:val="clear" w:color="auto" w:fill="auto"/>
            <w:vAlign w:val="center"/>
            <w:hideMark/>
          </w:tcPr>
          <w:p w14:paraId="79CCA81D"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2"/>
                <w:szCs w:val="12"/>
              </w:rPr>
            </w:pPr>
            <w:r w:rsidRPr="003D6707">
              <w:rPr>
                <w:rFonts w:ascii="Calibri Light" w:eastAsia="Times New Roman" w:hAnsi="Calibri Light" w:cs="Calibri Light"/>
                <w:b/>
                <w:bCs/>
                <w:i/>
                <w:iCs/>
                <w:color w:val="000000"/>
                <w:sz w:val="12"/>
                <w:szCs w:val="12"/>
              </w:rPr>
              <w:t>10=5-4</w:t>
            </w:r>
          </w:p>
        </w:tc>
        <w:tc>
          <w:tcPr>
            <w:tcW w:w="1080" w:type="dxa"/>
            <w:tcBorders>
              <w:top w:val="nil"/>
              <w:left w:val="nil"/>
              <w:bottom w:val="single" w:sz="4" w:space="0" w:color="auto"/>
              <w:right w:val="single" w:sz="4" w:space="0" w:color="auto"/>
            </w:tcBorders>
            <w:shd w:val="clear" w:color="auto" w:fill="auto"/>
            <w:vAlign w:val="center"/>
            <w:hideMark/>
          </w:tcPr>
          <w:p w14:paraId="3B5A59C5"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2"/>
                <w:szCs w:val="12"/>
              </w:rPr>
            </w:pPr>
            <w:r w:rsidRPr="003D6707">
              <w:rPr>
                <w:rFonts w:ascii="Calibri Light" w:eastAsia="Times New Roman" w:hAnsi="Calibri Light" w:cs="Calibri Light"/>
                <w:b/>
                <w:bCs/>
                <w:i/>
                <w:iCs/>
                <w:color w:val="000000"/>
                <w:sz w:val="12"/>
                <w:szCs w:val="12"/>
              </w:rPr>
              <w:t>11=6-5</w:t>
            </w:r>
          </w:p>
        </w:tc>
        <w:tc>
          <w:tcPr>
            <w:tcW w:w="1020" w:type="dxa"/>
            <w:tcBorders>
              <w:top w:val="nil"/>
              <w:left w:val="nil"/>
              <w:bottom w:val="single" w:sz="4" w:space="0" w:color="auto"/>
              <w:right w:val="single" w:sz="4" w:space="0" w:color="auto"/>
            </w:tcBorders>
            <w:shd w:val="clear" w:color="auto" w:fill="auto"/>
            <w:vAlign w:val="center"/>
            <w:hideMark/>
          </w:tcPr>
          <w:p w14:paraId="1432B083"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2"/>
                <w:szCs w:val="12"/>
              </w:rPr>
            </w:pPr>
            <w:r w:rsidRPr="003D6707">
              <w:rPr>
                <w:rFonts w:ascii="Calibri Light" w:eastAsia="Times New Roman" w:hAnsi="Calibri Light" w:cs="Calibri Light"/>
                <w:b/>
                <w:bCs/>
                <w:i/>
                <w:iCs/>
                <w:color w:val="000000"/>
                <w:sz w:val="12"/>
                <w:szCs w:val="12"/>
              </w:rPr>
              <w:t>12=7-6</w:t>
            </w:r>
          </w:p>
        </w:tc>
      </w:tr>
      <w:tr w:rsidR="00E52AC1" w:rsidRPr="003D6707" w14:paraId="4D19E7BB"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1F7837"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3</w:t>
            </w:r>
          </w:p>
        </w:tc>
        <w:tc>
          <w:tcPr>
            <w:tcW w:w="3288" w:type="dxa"/>
            <w:tcBorders>
              <w:top w:val="nil"/>
              <w:left w:val="nil"/>
              <w:bottom w:val="single" w:sz="4" w:space="0" w:color="auto"/>
              <w:right w:val="single" w:sz="4" w:space="0" w:color="auto"/>
            </w:tcBorders>
            <w:shd w:val="clear" w:color="auto" w:fill="auto"/>
            <w:vAlign w:val="center"/>
            <w:hideMark/>
          </w:tcPr>
          <w:p w14:paraId="3E53B72A" w14:textId="77777777" w:rsidR="00E52AC1" w:rsidRPr="003D6707" w:rsidRDefault="00E52AC1" w:rsidP="00E52AC1">
            <w:pPr>
              <w:spacing w:after="0" w:line="240" w:lineRule="auto"/>
              <w:rPr>
                <w:rFonts w:ascii="Calibri Light" w:eastAsia="Times New Roman" w:hAnsi="Calibri Light" w:cs="Calibri Light"/>
                <w:b/>
                <w:bCs/>
                <w:color w:val="000000"/>
                <w:sz w:val="14"/>
                <w:szCs w:val="14"/>
              </w:rPr>
            </w:pPr>
            <w:r w:rsidRPr="003D6707">
              <w:rPr>
                <w:rFonts w:ascii="Calibri Light" w:eastAsia="Times New Roman" w:hAnsi="Calibri Light" w:cs="Calibri Light"/>
                <w:b/>
                <w:bCs/>
                <w:color w:val="000000"/>
                <w:sz w:val="14"/>
                <w:szCs w:val="14"/>
              </w:rPr>
              <w:t>ACTIVE NEFINANCIARE, total</w:t>
            </w:r>
          </w:p>
        </w:tc>
        <w:tc>
          <w:tcPr>
            <w:tcW w:w="1000" w:type="dxa"/>
            <w:tcBorders>
              <w:top w:val="nil"/>
              <w:left w:val="nil"/>
              <w:bottom w:val="single" w:sz="4" w:space="0" w:color="auto"/>
              <w:right w:val="single" w:sz="4" w:space="0" w:color="auto"/>
            </w:tcBorders>
            <w:shd w:val="clear" w:color="auto" w:fill="auto"/>
            <w:noWrap/>
            <w:vAlign w:val="center"/>
            <w:hideMark/>
          </w:tcPr>
          <w:p w14:paraId="2CA6904A"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370,878.40</w:t>
            </w:r>
          </w:p>
        </w:tc>
        <w:tc>
          <w:tcPr>
            <w:tcW w:w="1000" w:type="dxa"/>
            <w:tcBorders>
              <w:top w:val="nil"/>
              <w:left w:val="nil"/>
              <w:bottom w:val="single" w:sz="4" w:space="0" w:color="auto"/>
              <w:right w:val="single" w:sz="4" w:space="0" w:color="auto"/>
            </w:tcBorders>
            <w:shd w:val="clear" w:color="auto" w:fill="auto"/>
            <w:noWrap/>
            <w:vAlign w:val="center"/>
            <w:hideMark/>
          </w:tcPr>
          <w:p w14:paraId="0CFA2C0C"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314,826.55</w:t>
            </w:r>
          </w:p>
        </w:tc>
        <w:tc>
          <w:tcPr>
            <w:tcW w:w="1000" w:type="dxa"/>
            <w:tcBorders>
              <w:top w:val="nil"/>
              <w:left w:val="nil"/>
              <w:bottom w:val="single" w:sz="4" w:space="0" w:color="auto"/>
              <w:right w:val="single" w:sz="4" w:space="0" w:color="auto"/>
            </w:tcBorders>
            <w:shd w:val="clear" w:color="auto" w:fill="auto"/>
            <w:noWrap/>
            <w:vAlign w:val="center"/>
            <w:hideMark/>
          </w:tcPr>
          <w:p w14:paraId="74786E92"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321,446.16</w:t>
            </w:r>
          </w:p>
        </w:tc>
        <w:tc>
          <w:tcPr>
            <w:tcW w:w="1000" w:type="dxa"/>
            <w:tcBorders>
              <w:top w:val="nil"/>
              <w:left w:val="nil"/>
              <w:bottom w:val="single" w:sz="4" w:space="0" w:color="auto"/>
              <w:right w:val="single" w:sz="4" w:space="0" w:color="auto"/>
            </w:tcBorders>
            <w:shd w:val="clear" w:color="auto" w:fill="auto"/>
            <w:noWrap/>
            <w:vAlign w:val="center"/>
            <w:hideMark/>
          </w:tcPr>
          <w:p w14:paraId="4B36C94E"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315,825.84</w:t>
            </w:r>
          </w:p>
        </w:tc>
        <w:tc>
          <w:tcPr>
            <w:tcW w:w="1000" w:type="dxa"/>
            <w:tcBorders>
              <w:top w:val="nil"/>
              <w:left w:val="nil"/>
              <w:bottom w:val="single" w:sz="4" w:space="0" w:color="auto"/>
              <w:right w:val="single" w:sz="4" w:space="0" w:color="auto"/>
            </w:tcBorders>
            <w:shd w:val="clear" w:color="auto" w:fill="auto"/>
            <w:noWrap/>
            <w:vAlign w:val="center"/>
            <w:hideMark/>
          </w:tcPr>
          <w:p w14:paraId="0FD58F54"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316,022.22</w:t>
            </w:r>
          </w:p>
        </w:tc>
        <w:tc>
          <w:tcPr>
            <w:tcW w:w="1379" w:type="dxa"/>
            <w:tcBorders>
              <w:top w:val="nil"/>
              <w:left w:val="nil"/>
              <w:bottom w:val="single" w:sz="4" w:space="0" w:color="auto"/>
              <w:right w:val="single" w:sz="4" w:space="0" w:color="auto"/>
            </w:tcBorders>
            <w:shd w:val="clear" w:color="auto" w:fill="auto"/>
            <w:noWrap/>
            <w:vAlign w:val="center"/>
            <w:hideMark/>
          </w:tcPr>
          <w:p w14:paraId="0EE842C4"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55%</w:t>
            </w:r>
          </w:p>
        </w:tc>
        <w:tc>
          <w:tcPr>
            <w:tcW w:w="1100" w:type="dxa"/>
            <w:tcBorders>
              <w:top w:val="nil"/>
              <w:left w:val="nil"/>
              <w:bottom w:val="single" w:sz="4" w:space="0" w:color="auto"/>
              <w:right w:val="single" w:sz="4" w:space="0" w:color="auto"/>
            </w:tcBorders>
            <w:shd w:val="clear" w:color="auto" w:fill="auto"/>
            <w:noWrap/>
            <w:vAlign w:val="center"/>
            <w:hideMark/>
          </w:tcPr>
          <w:p w14:paraId="7F5603FC"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-56,051.86</w:t>
            </w:r>
          </w:p>
        </w:tc>
        <w:tc>
          <w:tcPr>
            <w:tcW w:w="1060" w:type="dxa"/>
            <w:tcBorders>
              <w:top w:val="nil"/>
              <w:left w:val="nil"/>
              <w:bottom w:val="single" w:sz="4" w:space="0" w:color="auto"/>
              <w:right w:val="single" w:sz="4" w:space="0" w:color="auto"/>
            </w:tcBorders>
            <w:shd w:val="clear" w:color="auto" w:fill="auto"/>
            <w:noWrap/>
            <w:vAlign w:val="center"/>
            <w:hideMark/>
          </w:tcPr>
          <w:p w14:paraId="21E3CFE3"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6,619.61</w:t>
            </w:r>
          </w:p>
        </w:tc>
        <w:tc>
          <w:tcPr>
            <w:tcW w:w="1080" w:type="dxa"/>
            <w:tcBorders>
              <w:top w:val="nil"/>
              <w:left w:val="nil"/>
              <w:bottom w:val="single" w:sz="4" w:space="0" w:color="auto"/>
              <w:right w:val="single" w:sz="4" w:space="0" w:color="auto"/>
            </w:tcBorders>
            <w:shd w:val="clear" w:color="auto" w:fill="auto"/>
            <w:noWrap/>
            <w:vAlign w:val="center"/>
            <w:hideMark/>
          </w:tcPr>
          <w:p w14:paraId="3BAAFC53"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-5,620.32</w:t>
            </w:r>
          </w:p>
        </w:tc>
        <w:tc>
          <w:tcPr>
            <w:tcW w:w="1020" w:type="dxa"/>
            <w:tcBorders>
              <w:top w:val="nil"/>
              <w:left w:val="nil"/>
              <w:bottom w:val="single" w:sz="4" w:space="0" w:color="auto"/>
              <w:right w:val="single" w:sz="4" w:space="0" w:color="auto"/>
            </w:tcBorders>
            <w:shd w:val="clear" w:color="auto" w:fill="auto"/>
            <w:noWrap/>
            <w:vAlign w:val="center"/>
            <w:hideMark/>
          </w:tcPr>
          <w:p w14:paraId="299ED339"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196.39</w:t>
            </w:r>
          </w:p>
        </w:tc>
      </w:tr>
      <w:tr w:rsidR="00E52AC1" w:rsidRPr="003D6707" w14:paraId="18B30270"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DBC959"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31</w:t>
            </w:r>
          </w:p>
        </w:tc>
        <w:tc>
          <w:tcPr>
            <w:tcW w:w="3288" w:type="dxa"/>
            <w:tcBorders>
              <w:top w:val="nil"/>
              <w:left w:val="nil"/>
              <w:bottom w:val="single" w:sz="4" w:space="0" w:color="auto"/>
              <w:right w:val="single" w:sz="4" w:space="0" w:color="auto"/>
            </w:tcBorders>
            <w:shd w:val="clear" w:color="auto" w:fill="auto"/>
            <w:vAlign w:val="center"/>
            <w:hideMark/>
          </w:tcPr>
          <w:p w14:paraId="0BC84210" w14:textId="77777777" w:rsidR="00E52AC1" w:rsidRPr="003D6707" w:rsidRDefault="00E52AC1" w:rsidP="00E52AC1">
            <w:pPr>
              <w:spacing w:after="0" w:line="240" w:lineRule="auto"/>
              <w:rPr>
                <w:rFonts w:ascii="Calibri Light" w:eastAsia="Times New Roman" w:hAnsi="Calibri Light" w:cs="Calibri Light"/>
                <w:b/>
                <w:bCs/>
                <w:color w:val="000000"/>
                <w:sz w:val="14"/>
                <w:szCs w:val="14"/>
              </w:rPr>
            </w:pPr>
            <w:r w:rsidRPr="003D6707">
              <w:rPr>
                <w:rFonts w:ascii="Calibri Light" w:eastAsia="Times New Roman" w:hAnsi="Calibri Light" w:cs="Calibri Light"/>
                <w:b/>
                <w:bCs/>
                <w:color w:val="000000"/>
                <w:sz w:val="14"/>
                <w:szCs w:val="14"/>
              </w:rPr>
              <w:t>MIJLOACE FIXE</w:t>
            </w:r>
          </w:p>
        </w:tc>
        <w:tc>
          <w:tcPr>
            <w:tcW w:w="1000" w:type="dxa"/>
            <w:tcBorders>
              <w:top w:val="nil"/>
              <w:left w:val="nil"/>
              <w:bottom w:val="single" w:sz="4" w:space="0" w:color="auto"/>
              <w:right w:val="single" w:sz="4" w:space="0" w:color="auto"/>
            </w:tcBorders>
            <w:shd w:val="clear" w:color="auto" w:fill="auto"/>
            <w:noWrap/>
            <w:vAlign w:val="center"/>
            <w:hideMark/>
          </w:tcPr>
          <w:p w14:paraId="1C9B147D"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675,447.87</w:t>
            </w:r>
          </w:p>
        </w:tc>
        <w:tc>
          <w:tcPr>
            <w:tcW w:w="1000" w:type="dxa"/>
            <w:tcBorders>
              <w:top w:val="nil"/>
              <w:left w:val="nil"/>
              <w:bottom w:val="single" w:sz="4" w:space="0" w:color="auto"/>
              <w:right w:val="single" w:sz="4" w:space="0" w:color="auto"/>
            </w:tcBorders>
            <w:shd w:val="clear" w:color="auto" w:fill="auto"/>
            <w:noWrap/>
            <w:vAlign w:val="center"/>
            <w:hideMark/>
          </w:tcPr>
          <w:p w14:paraId="046DCD7D"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629,647.13</w:t>
            </w:r>
          </w:p>
        </w:tc>
        <w:tc>
          <w:tcPr>
            <w:tcW w:w="1000" w:type="dxa"/>
            <w:tcBorders>
              <w:top w:val="nil"/>
              <w:left w:val="nil"/>
              <w:bottom w:val="single" w:sz="4" w:space="0" w:color="auto"/>
              <w:right w:val="single" w:sz="4" w:space="0" w:color="auto"/>
            </w:tcBorders>
            <w:shd w:val="clear" w:color="auto" w:fill="auto"/>
            <w:noWrap/>
            <w:vAlign w:val="center"/>
            <w:hideMark/>
          </w:tcPr>
          <w:p w14:paraId="0370F23B"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658,470.12</w:t>
            </w:r>
          </w:p>
        </w:tc>
        <w:tc>
          <w:tcPr>
            <w:tcW w:w="1000" w:type="dxa"/>
            <w:tcBorders>
              <w:top w:val="nil"/>
              <w:left w:val="nil"/>
              <w:bottom w:val="single" w:sz="4" w:space="0" w:color="auto"/>
              <w:right w:val="single" w:sz="4" w:space="0" w:color="auto"/>
            </w:tcBorders>
            <w:shd w:val="clear" w:color="auto" w:fill="auto"/>
            <w:noWrap/>
            <w:vAlign w:val="center"/>
            <w:hideMark/>
          </w:tcPr>
          <w:p w14:paraId="1F096F4B"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642,542.16</w:t>
            </w:r>
          </w:p>
        </w:tc>
        <w:tc>
          <w:tcPr>
            <w:tcW w:w="1000" w:type="dxa"/>
            <w:tcBorders>
              <w:top w:val="nil"/>
              <w:left w:val="nil"/>
              <w:bottom w:val="single" w:sz="4" w:space="0" w:color="auto"/>
              <w:right w:val="single" w:sz="4" w:space="0" w:color="auto"/>
            </w:tcBorders>
            <w:shd w:val="clear" w:color="auto" w:fill="auto"/>
            <w:noWrap/>
            <w:vAlign w:val="center"/>
            <w:hideMark/>
          </w:tcPr>
          <w:p w14:paraId="47FF4A04"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691,528.82</w:t>
            </w:r>
          </w:p>
        </w:tc>
        <w:tc>
          <w:tcPr>
            <w:tcW w:w="1379" w:type="dxa"/>
            <w:tcBorders>
              <w:top w:val="nil"/>
              <w:left w:val="nil"/>
              <w:bottom w:val="single" w:sz="4" w:space="0" w:color="auto"/>
              <w:right w:val="single" w:sz="4" w:space="0" w:color="auto"/>
            </w:tcBorders>
            <w:shd w:val="clear" w:color="auto" w:fill="auto"/>
            <w:noWrap/>
            <w:vAlign w:val="center"/>
            <w:hideMark/>
          </w:tcPr>
          <w:p w14:paraId="27C75704"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120%</w:t>
            </w:r>
          </w:p>
        </w:tc>
        <w:tc>
          <w:tcPr>
            <w:tcW w:w="1100" w:type="dxa"/>
            <w:tcBorders>
              <w:top w:val="nil"/>
              <w:left w:val="nil"/>
              <w:bottom w:val="single" w:sz="4" w:space="0" w:color="auto"/>
              <w:right w:val="single" w:sz="4" w:space="0" w:color="auto"/>
            </w:tcBorders>
            <w:shd w:val="clear" w:color="auto" w:fill="auto"/>
            <w:noWrap/>
            <w:vAlign w:val="center"/>
            <w:hideMark/>
          </w:tcPr>
          <w:p w14:paraId="25620CF2"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-45,800.75</w:t>
            </w:r>
          </w:p>
        </w:tc>
        <w:tc>
          <w:tcPr>
            <w:tcW w:w="1060" w:type="dxa"/>
            <w:tcBorders>
              <w:top w:val="nil"/>
              <w:left w:val="nil"/>
              <w:bottom w:val="single" w:sz="4" w:space="0" w:color="auto"/>
              <w:right w:val="single" w:sz="4" w:space="0" w:color="auto"/>
            </w:tcBorders>
            <w:shd w:val="clear" w:color="auto" w:fill="auto"/>
            <w:noWrap/>
            <w:vAlign w:val="center"/>
            <w:hideMark/>
          </w:tcPr>
          <w:p w14:paraId="3D97673F"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28,823.00</w:t>
            </w:r>
          </w:p>
        </w:tc>
        <w:tc>
          <w:tcPr>
            <w:tcW w:w="1080" w:type="dxa"/>
            <w:tcBorders>
              <w:top w:val="nil"/>
              <w:left w:val="nil"/>
              <w:bottom w:val="single" w:sz="4" w:space="0" w:color="auto"/>
              <w:right w:val="single" w:sz="4" w:space="0" w:color="auto"/>
            </w:tcBorders>
            <w:shd w:val="clear" w:color="auto" w:fill="auto"/>
            <w:noWrap/>
            <w:vAlign w:val="center"/>
            <w:hideMark/>
          </w:tcPr>
          <w:p w14:paraId="7460B2BA"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-15,927.97</w:t>
            </w:r>
          </w:p>
        </w:tc>
        <w:tc>
          <w:tcPr>
            <w:tcW w:w="1020" w:type="dxa"/>
            <w:tcBorders>
              <w:top w:val="nil"/>
              <w:left w:val="nil"/>
              <w:bottom w:val="single" w:sz="4" w:space="0" w:color="auto"/>
              <w:right w:val="single" w:sz="4" w:space="0" w:color="auto"/>
            </w:tcBorders>
            <w:shd w:val="clear" w:color="auto" w:fill="auto"/>
            <w:noWrap/>
            <w:vAlign w:val="center"/>
            <w:hideMark/>
          </w:tcPr>
          <w:p w14:paraId="3CB5776A"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48,986.66</w:t>
            </w:r>
          </w:p>
        </w:tc>
      </w:tr>
      <w:tr w:rsidR="00E52AC1" w:rsidRPr="003D6707" w14:paraId="1DBAE2F1"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714FDE"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311</w:t>
            </w:r>
          </w:p>
        </w:tc>
        <w:tc>
          <w:tcPr>
            <w:tcW w:w="3288" w:type="dxa"/>
            <w:tcBorders>
              <w:top w:val="nil"/>
              <w:left w:val="nil"/>
              <w:bottom w:val="single" w:sz="4" w:space="0" w:color="auto"/>
              <w:right w:val="single" w:sz="4" w:space="0" w:color="auto"/>
            </w:tcBorders>
            <w:shd w:val="clear" w:color="auto" w:fill="auto"/>
            <w:vAlign w:val="center"/>
            <w:hideMark/>
          </w:tcPr>
          <w:p w14:paraId="6411AE92"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Clădiri</w:t>
            </w:r>
          </w:p>
        </w:tc>
        <w:tc>
          <w:tcPr>
            <w:tcW w:w="1000" w:type="dxa"/>
            <w:tcBorders>
              <w:top w:val="nil"/>
              <w:left w:val="nil"/>
              <w:bottom w:val="single" w:sz="4" w:space="0" w:color="auto"/>
              <w:right w:val="single" w:sz="4" w:space="0" w:color="auto"/>
            </w:tcBorders>
            <w:shd w:val="clear" w:color="auto" w:fill="auto"/>
            <w:noWrap/>
            <w:vAlign w:val="center"/>
            <w:hideMark/>
          </w:tcPr>
          <w:p w14:paraId="1562F65A"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404,174.41</w:t>
            </w:r>
          </w:p>
        </w:tc>
        <w:tc>
          <w:tcPr>
            <w:tcW w:w="1000" w:type="dxa"/>
            <w:tcBorders>
              <w:top w:val="nil"/>
              <w:left w:val="nil"/>
              <w:bottom w:val="single" w:sz="4" w:space="0" w:color="auto"/>
              <w:right w:val="single" w:sz="4" w:space="0" w:color="auto"/>
            </w:tcBorders>
            <w:shd w:val="clear" w:color="auto" w:fill="auto"/>
            <w:noWrap/>
            <w:vAlign w:val="center"/>
            <w:hideMark/>
          </w:tcPr>
          <w:p w14:paraId="10918FF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377,208.97</w:t>
            </w:r>
          </w:p>
        </w:tc>
        <w:tc>
          <w:tcPr>
            <w:tcW w:w="1000" w:type="dxa"/>
            <w:tcBorders>
              <w:top w:val="nil"/>
              <w:left w:val="nil"/>
              <w:bottom w:val="single" w:sz="4" w:space="0" w:color="auto"/>
              <w:right w:val="single" w:sz="4" w:space="0" w:color="auto"/>
            </w:tcBorders>
            <w:shd w:val="clear" w:color="auto" w:fill="auto"/>
            <w:noWrap/>
            <w:vAlign w:val="center"/>
            <w:hideMark/>
          </w:tcPr>
          <w:p w14:paraId="3B4CFC8E"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387,943.79</w:t>
            </w:r>
          </w:p>
        </w:tc>
        <w:tc>
          <w:tcPr>
            <w:tcW w:w="1000" w:type="dxa"/>
            <w:tcBorders>
              <w:top w:val="nil"/>
              <w:left w:val="nil"/>
              <w:bottom w:val="single" w:sz="4" w:space="0" w:color="auto"/>
              <w:right w:val="single" w:sz="4" w:space="0" w:color="auto"/>
            </w:tcBorders>
            <w:shd w:val="clear" w:color="auto" w:fill="auto"/>
            <w:noWrap/>
            <w:vAlign w:val="center"/>
            <w:hideMark/>
          </w:tcPr>
          <w:p w14:paraId="138196C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391,659.88</w:t>
            </w:r>
          </w:p>
        </w:tc>
        <w:tc>
          <w:tcPr>
            <w:tcW w:w="1000" w:type="dxa"/>
            <w:tcBorders>
              <w:top w:val="nil"/>
              <w:left w:val="nil"/>
              <w:bottom w:val="single" w:sz="4" w:space="0" w:color="auto"/>
              <w:right w:val="single" w:sz="4" w:space="0" w:color="auto"/>
            </w:tcBorders>
            <w:shd w:val="clear" w:color="auto" w:fill="auto"/>
            <w:noWrap/>
            <w:vAlign w:val="center"/>
            <w:hideMark/>
          </w:tcPr>
          <w:p w14:paraId="6D82E75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403,385.24</w:t>
            </w:r>
          </w:p>
        </w:tc>
        <w:tc>
          <w:tcPr>
            <w:tcW w:w="1379" w:type="dxa"/>
            <w:tcBorders>
              <w:top w:val="nil"/>
              <w:left w:val="nil"/>
              <w:bottom w:val="single" w:sz="4" w:space="0" w:color="auto"/>
              <w:right w:val="single" w:sz="4" w:space="0" w:color="auto"/>
            </w:tcBorders>
            <w:shd w:val="clear" w:color="auto" w:fill="auto"/>
            <w:noWrap/>
            <w:vAlign w:val="center"/>
            <w:hideMark/>
          </w:tcPr>
          <w:p w14:paraId="51F1457A"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70%</w:t>
            </w:r>
          </w:p>
        </w:tc>
        <w:tc>
          <w:tcPr>
            <w:tcW w:w="1100" w:type="dxa"/>
            <w:tcBorders>
              <w:top w:val="nil"/>
              <w:left w:val="nil"/>
              <w:bottom w:val="single" w:sz="4" w:space="0" w:color="auto"/>
              <w:right w:val="single" w:sz="4" w:space="0" w:color="auto"/>
            </w:tcBorders>
            <w:shd w:val="clear" w:color="auto" w:fill="auto"/>
            <w:noWrap/>
            <w:vAlign w:val="center"/>
            <w:hideMark/>
          </w:tcPr>
          <w:p w14:paraId="3003299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-26,965.44</w:t>
            </w:r>
          </w:p>
        </w:tc>
        <w:tc>
          <w:tcPr>
            <w:tcW w:w="1060" w:type="dxa"/>
            <w:tcBorders>
              <w:top w:val="nil"/>
              <w:left w:val="nil"/>
              <w:bottom w:val="single" w:sz="4" w:space="0" w:color="auto"/>
              <w:right w:val="single" w:sz="4" w:space="0" w:color="auto"/>
            </w:tcBorders>
            <w:shd w:val="clear" w:color="auto" w:fill="auto"/>
            <w:noWrap/>
            <w:vAlign w:val="center"/>
            <w:hideMark/>
          </w:tcPr>
          <w:p w14:paraId="045E8E2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10,734.82</w:t>
            </w:r>
          </w:p>
        </w:tc>
        <w:tc>
          <w:tcPr>
            <w:tcW w:w="1080" w:type="dxa"/>
            <w:tcBorders>
              <w:top w:val="nil"/>
              <w:left w:val="nil"/>
              <w:bottom w:val="single" w:sz="4" w:space="0" w:color="auto"/>
              <w:right w:val="single" w:sz="4" w:space="0" w:color="auto"/>
            </w:tcBorders>
            <w:shd w:val="clear" w:color="auto" w:fill="auto"/>
            <w:noWrap/>
            <w:vAlign w:val="center"/>
            <w:hideMark/>
          </w:tcPr>
          <w:p w14:paraId="3A7F0B1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3,716.09</w:t>
            </w:r>
          </w:p>
        </w:tc>
        <w:tc>
          <w:tcPr>
            <w:tcW w:w="1020" w:type="dxa"/>
            <w:tcBorders>
              <w:top w:val="nil"/>
              <w:left w:val="nil"/>
              <w:bottom w:val="single" w:sz="4" w:space="0" w:color="auto"/>
              <w:right w:val="single" w:sz="4" w:space="0" w:color="auto"/>
            </w:tcBorders>
            <w:shd w:val="clear" w:color="auto" w:fill="auto"/>
            <w:noWrap/>
            <w:vAlign w:val="center"/>
            <w:hideMark/>
          </w:tcPr>
          <w:p w14:paraId="36D8297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11,725.37</w:t>
            </w:r>
          </w:p>
        </w:tc>
      </w:tr>
      <w:tr w:rsidR="00E52AC1" w:rsidRPr="003D6707" w14:paraId="5DAD91F1"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A0F9F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312</w:t>
            </w:r>
          </w:p>
        </w:tc>
        <w:tc>
          <w:tcPr>
            <w:tcW w:w="3288" w:type="dxa"/>
            <w:tcBorders>
              <w:top w:val="nil"/>
              <w:left w:val="nil"/>
              <w:bottom w:val="single" w:sz="4" w:space="0" w:color="auto"/>
              <w:right w:val="single" w:sz="4" w:space="0" w:color="auto"/>
            </w:tcBorders>
            <w:shd w:val="clear" w:color="auto" w:fill="auto"/>
            <w:vAlign w:val="center"/>
            <w:hideMark/>
          </w:tcPr>
          <w:p w14:paraId="2BA1437B"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Construcții speciale</w:t>
            </w:r>
          </w:p>
        </w:tc>
        <w:tc>
          <w:tcPr>
            <w:tcW w:w="1000" w:type="dxa"/>
            <w:tcBorders>
              <w:top w:val="nil"/>
              <w:left w:val="nil"/>
              <w:bottom w:val="single" w:sz="4" w:space="0" w:color="auto"/>
              <w:right w:val="single" w:sz="4" w:space="0" w:color="auto"/>
            </w:tcBorders>
            <w:shd w:val="clear" w:color="auto" w:fill="auto"/>
            <w:noWrap/>
            <w:vAlign w:val="center"/>
            <w:hideMark/>
          </w:tcPr>
          <w:p w14:paraId="64A6909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5,822.31</w:t>
            </w:r>
          </w:p>
        </w:tc>
        <w:tc>
          <w:tcPr>
            <w:tcW w:w="1000" w:type="dxa"/>
            <w:tcBorders>
              <w:top w:val="nil"/>
              <w:left w:val="nil"/>
              <w:bottom w:val="single" w:sz="4" w:space="0" w:color="auto"/>
              <w:right w:val="single" w:sz="4" w:space="0" w:color="auto"/>
            </w:tcBorders>
            <w:shd w:val="clear" w:color="auto" w:fill="auto"/>
            <w:noWrap/>
            <w:vAlign w:val="center"/>
            <w:hideMark/>
          </w:tcPr>
          <w:p w14:paraId="6506A31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3,512.30</w:t>
            </w:r>
          </w:p>
        </w:tc>
        <w:tc>
          <w:tcPr>
            <w:tcW w:w="1000" w:type="dxa"/>
            <w:tcBorders>
              <w:top w:val="nil"/>
              <w:left w:val="nil"/>
              <w:bottom w:val="single" w:sz="4" w:space="0" w:color="auto"/>
              <w:right w:val="single" w:sz="4" w:space="0" w:color="auto"/>
            </w:tcBorders>
            <w:shd w:val="clear" w:color="auto" w:fill="auto"/>
            <w:noWrap/>
            <w:vAlign w:val="center"/>
            <w:hideMark/>
          </w:tcPr>
          <w:p w14:paraId="4AAB6AD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3,668.16</w:t>
            </w:r>
          </w:p>
        </w:tc>
        <w:tc>
          <w:tcPr>
            <w:tcW w:w="1000" w:type="dxa"/>
            <w:tcBorders>
              <w:top w:val="nil"/>
              <w:left w:val="nil"/>
              <w:bottom w:val="single" w:sz="4" w:space="0" w:color="auto"/>
              <w:right w:val="single" w:sz="4" w:space="0" w:color="auto"/>
            </w:tcBorders>
            <w:shd w:val="clear" w:color="auto" w:fill="auto"/>
            <w:noWrap/>
            <w:vAlign w:val="center"/>
            <w:hideMark/>
          </w:tcPr>
          <w:p w14:paraId="2D2EB0DE"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3,936.39</w:t>
            </w:r>
          </w:p>
        </w:tc>
        <w:tc>
          <w:tcPr>
            <w:tcW w:w="1000" w:type="dxa"/>
            <w:tcBorders>
              <w:top w:val="nil"/>
              <w:left w:val="nil"/>
              <w:bottom w:val="single" w:sz="4" w:space="0" w:color="auto"/>
              <w:right w:val="single" w:sz="4" w:space="0" w:color="auto"/>
            </w:tcBorders>
            <w:shd w:val="clear" w:color="auto" w:fill="auto"/>
            <w:noWrap/>
            <w:vAlign w:val="center"/>
            <w:hideMark/>
          </w:tcPr>
          <w:p w14:paraId="73440AAA"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3,964.21</w:t>
            </w:r>
          </w:p>
        </w:tc>
        <w:tc>
          <w:tcPr>
            <w:tcW w:w="1379" w:type="dxa"/>
            <w:tcBorders>
              <w:top w:val="nil"/>
              <w:left w:val="nil"/>
              <w:bottom w:val="single" w:sz="4" w:space="0" w:color="auto"/>
              <w:right w:val="single" w:sz="4" w:space="0" w:color="auto"/>
            </w:tcBorders>
            <w:shd w:val="clear" w:color="auto" w:fill="auto"/>
            <w:noWrap/>
            <w:vAlign w:val="center"/>
            <w:hideMark/>
          </w:tcPr>
          <w:p w14:paraId="145A09AE"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1%</w:t>
            </w:r>
          </w:p>
        </w:tc>
        <w:tc>
          <w:tcPr>
            <w:tcW w:w="1100" w:type="dxa"/>
            <w:tcBorders>
              <w:top w:val="nil"/>
              <w:left w:val="nil"/>
              <w:bottom w:val="single" w:sz="4" w:space="0" w:color="auto"/>
              <w:right w:val="single" w:sz="4" w:space="0" w:color="auto"/>
            </w:tcBorders>
            <w:shd w:val="clear" w:color="auto" w:fill="auto"/>
            <w:noWrap/>
            <w:vAlign w:val="center"/>
            <w:hideMark/>
          </w:tcPr>
          <w:p w14:paraId="5D321DA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-2,310.02</w:t>
            </w:r>
          </w:p>
        </w:tc>
        <w:tc>
          <w:tcPr>
            <w:tcW w:w="1060" w:type="dxa"/>
            <w:tcBorders>
              <w:top w:val="nil"/>
              <w:left w:val="nil"/>
              <w:bottom w:val="single" w:sz="4" w:space="0" w:color="auto"/>
              <w:right w:val="single" w:sz="4" w:space="0" w:color="auto"/>
            </w:tcBorders>
            <w:shd w:val="clear" w:color="auto" w:fill="auto"/>
            <w:noWrap/>
            <w:vAlign w:val="center"/>
            <w:hideMark/>
          </w:tcPr>
          <w:p w14:paraId="66A9119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155.86</w:t>
            </w:r>
          </w:p>
        </w:tc>
        <w:tc>
          <w:tcPr>
            <w:tcW w:w="1080" w:type="dxa"/>
            <w:tcBorders>
              <w:top w:val="nil"/>
              <w:left w:val="nil"/>
              <w:bottom w:val="single" w:sz="4" w:space="0" w:color="auto"/>
              <w:right w:val="single" w:sz="4" w:space="0" w:color="auto"/>
            </w:tcBorders>
            <w:shd w:val="clear" w:color="auto" w:fill="auto"/>
            <w:noWrap/>
            <w:vAlign w:val="center"/>
            <w:hideMark/>
          </w:tcPr>
          <w:p w14:paraId="7F13EFD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268.23</w:t>
            </w:r>
          </w:p>
        </w:tc>
        <w:tc>
          <w:tcPr>
            <w:tcW w:w="1020" w:type="dxa"/>
            <w:tcBorders>
              <w:top w:val="nil"/>
              <w:left w:val="nil"/>
              <w:bottom w:val="single" w:sz="4" w:space="0" w:color="auto"/>
              <w:right w:val="single" w:sz="4" w:space="0" w:color="auto"/>
            </w:tcBorders>
            <w:shd w:val="clear" w:color="auto" w:fill="auto"/>
            <w:noWrap/>
            <w:vAlign w:val="center"/>
            <w:hideMark/>
          </w:tcPr>
          <w:p w14:paraId="3AE426B4"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27.82</w:t>
            </w:r>
          </w:p>
        </w:tc>
      </w:tr>
      <w:tr w:rsidR="00E52AC1" w:rsidRPr="003D6707" w14:paraId="5FDDEDF0"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6C4C07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313</w:t>
            </w:r>
          </w:p>
        </w:tc>
        <w:tc>
          <w:tcPr>
            <w:tcW w:w="3288" w:type="dxa"/>
            <w:tcBorders>
              <w:top w:val="nil"/>
              <w:left w:val="nil"/>
              <w:bottom w:val="single" w:sz="4" w:space="0" w:color="auto"/>
              <w:right w:val="single" w:sz="4" w:space="0" w:color="auto"/>
            </w:tcBorders>
            <w:shd w:val="clear" w:color="auto" w:fill="auto"/>
            <w:vAlign w:val="center"/>
            <w:hideMark/>
          </w:tcPr>
          <w:p w14:paraId="25195181"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Instalații de transmisie</w:t>
            </w:r>
          </w:p>
        </w:tc>
        <w:tc>
          <w:tcPr>
            <w:tcW w:w="1000" w:type="dxa"/>
            <w:tcBorders>
              <w:top w:val="nil"/>
              <w:left w:val="nil"/>
              <w:bottom w:val="single" w:sz="4" w:space="0" w:color="auto"/>
              <w:right w:val="single" w:sz="4" w:space="0" w:color="auto"/>
            </w:tcBorders>
            <w:shd w:val="clear" w:color="auto" w:fill="auto"/>
            <w:noWrap/>
            <w:vAlign w:val="center"/>
            <w:hideMark/>
          </w:tcPr>
          <w:p w14:paraId="5758906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7,650.73</w:t>
            </w:r>
          </w:p>
        </w:tc>
        <w:tc>
          <w:tcPr>
            <w:tcW w:w="1000" w:type="dxa"/>
            <w:tcBorders>
              <w:top w:val="nil"/>
              <w:left w:val="nil"/>
              <w:bottom w:val="single" w:sz="4" w:space="0" w:color="auto"/>
              <w:right w:val="single" w:sz="4" w:space="0" w:color="auto"/>
            </w:tcBorders>
            <w:shd w:val="clear" w:color="auto" w:fill="auto"/>
            <w:noWrap/>
            <w:vAlign w:val="center"/>
            <w:hideMark/>
          </w:tcPr>
          <w:p w14:paraId="7BA80D9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4,388.74</w:t>
            </w:r>
          </w:p>
        </w:tc>
        <w:tc>
          <w:tcPr>
            <w:tcW w:w="1000" w:type="dxa"/>
            <w:tcBorders>
              <w:top w:val="nil"/>
              <w:left w:val="nil"/>
              <w:bottom w:val="single" w:sz="4" w:space="0" w:color="auto"/>
              <w:right w:val="single" w:sz="4" w:space="0" w:color="auto"/>
            </w:tcBorders>
            <w:shd w:val="clear" w:color="auto" w:fill="auto"/>
            <w:noWrap/>
            <w:vAlign w:val="center"/>
            <w:hideMark/>
          </w:tcPr>
          <w:p w14:paraId="791E3BB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4,388.74</w:t>
            </w:r>
          </w:p>
        </w:tc>
        <w:tc>
          <w:tcPr>
            <w:tcW w:w="1000" w:type="dxa"/>
            <w:tcBorders>
              <w:top w:val="nil"/>
              <w:left w:val="nil"/>
              <w:bottom w:val="single" w:sz="4" w:space="0" w:color="auto"/>
              <w:right w:val="single" w:sz="4" w:space="0" w:color="auto"/>
            </w:tcBorders>
            <w:shd w:val="clear" w:color="auto" w:fill="auto"/>
            <w:noWrap/>
            <w:vAlign w:val="center"/>
            <w:hideMark/>
          </w:tcPr>
          <w:p w14:paraId="17E597A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4,719.20</w:t>
            </w:r>
          </w:p>
        </w:tc>
        <w:tc>
          <w:tcPr>
            <w:tcW w:w="1000" w:type="dxa"/>
            <w:tcBorders>
              <w:top w:val="nil"/>
              <w:left w:val="nil"/>
              <w:bottom w:val="single" w:sz="4" w:space="0" w:color="auto"/>
              <w:right w:val="single" w:sz="4" w:space="0" w:color="auto"/>
            </w:tcBorders>
            <w:shd w:val="clear" w:color="auto" w:fill="auto"/>
            <w:noWrap/>
            <w:vAlign w:val="center"/>
            <w:hideMark/>
          </w:tcPr>
          <w:p w14:paraId="5DF78FB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4,687.34</w:t>
            </w:r>
          </w:p>
        </w:tc>
        <w:tc>
          <w:tcPr>
            <w:tcW w:w="1379" w:type="dxa"/>
            <w:tcBorders>
              <w:top w:val="nil"/>
              <w:left w:val="nil"/>
              <w:bottom w:val="single" w:sz="4" w:space="0" w:color="auto"/>
              <w:right w:val="single" w:sz="4" w:space="0" w:color="auto"/>
            </w:tcBorders>
            <w:shd w:val="clear" w:color="auto" w:fill="auto"/>
            <w:noWrap/>
            <w:vAlign w:val="center"/>
            <w:hideMark/>
          </w:tcPr>
          <w:p w14:paraId="7D52876C"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1%</w:t>
            </w:r>
          </w:p>
        </w:tc>
        <w:tc>
          <w:tcPr>
            <w:tcW w:w="1100" w:type="dxa"/>
            <w:tcBorders>
              <w:top w:val="nil"/>
              <w:left w:val="nil"/>
              <w:bottom w:val="single" w:sz="4" w:space="0" w:color="auto"/>
              <w:right w:val="single" w:sz="4" w:space="0" w:color="auto"/>
            </w:tcBorders>
            <w:shd w:val="clear" w:color="auto" w:fill="auto"/>
            <w:noWrap/>
            <w:vAlign w:val="center"/>
            <w:hideMark/>
          </w:tcPr>
          <w:p w14:paraId="62222FC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-3,262.00</w:t>
            </w:r>
          </w:p>
        </w:tc>
        <w:tc>
          <w:tcPr>
            <w:tcW w:w="1060" w:type="dxa"/>
            <w:tcBorders>
              <w:top w:val="nil"/>
              <w:left w:val="nil"/>
              <w:bottom w:val="single" w:sz="4" w:space="0" w:color="auto"/>
              <w:right w:val="single" w:sz="4" w:space="0" w:color="auto"/>
            </w:tcBorders>
            <w:shd w:val="clear" w:color="auto" w:fill="auto"/>
            <w:noWrap/>
            <w:vAlign w:val="center"/>
            <w:hideMark/>
          </w:tcPr>
          <w:p w14:paraId="54907EC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80" w:type="dxa"/>
            <w:tcBorders>
              <w:top w:val="nil"/>
              <w:left w:val="nil"/>
              <w:bottom w:val="single" w:sz="4" w:space="0" w:color="auto"/>
              <w:right w:val="single" w:sz="4" w:space="0" w:color="auto"/>
            </w:tcBorders>
            <w:shd w:val="clear" w:color="auto" w:fill="auto"/>
            <w:noWrap/>
            <w:vAlign w:val="center"/>
            <w:hideMark/>
          </w:tcPr>
          <w:p w14:paraId="465D423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330.47</w:t>
            </w:r>
          </w:p>
        </w:tc>
        <w:tc>
          <w:tcPr>
            <w:tcW w:w="1020" w:type="dxa"/>
            <w:tcBorders>
              <w:top w:val="nil"/>
              <w:left w:val="nil"/>
              <w:bottom w:val="single" w:sz="4" w:space="0" w:color="auto"/>
              <w:right w:val="single" w:sz="4" w:space="0" w:color="auto"/>
            </w:tcBorders>
            <w:shd w:val="clear" w:color="auto" w:fill="auto"/>
            <w:noWrap/>
            <w:vAlign w:val="center"/>
            <w:hideMark/>
          </w:tcPr>
          <w:p w14:paraId="02C1CCE4"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-31.86</w:t>
            </w:r>
          </w:p>
        </w:tc>
      </w:tr>
      <w:tr w:rsidR="00E52AC1" w:rsidRPr="003D6707" w14:paraId="0027AC46"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FE095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314</w:t>
            </w:r>
          </w:p>
        </w:tc>
        <w:tc>
          <w:tcPr>
            <w:tcW w:w="3288" w:type="dxa"/>
            <w:tcBorders>
              <w:top w:val="nil"/>
              <w:left w:val="nil"/>
              <w:bottom w:val="single" w:sz="4" w:space="0" w:color="auto"/>
              <w:right w:val="single" w:sz="4" w:space="0" w:color="auto"/>
            </w:tcBorders>
            <w:shd w:val="clear" w:color="auto" w:fill="auto"/>
            <w:vAlign w:val="center"/>
            <w:hideMark/>
          </w:tcPr>
          <w:p w14:paraId="2FB98129"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Mașini și utilaje</w:t>
            </w:r>
          </w:p>
        </w:tc>
        <w:tc>
          <w:tcPr>
            <w:tcW w:w="1000" w:type="dxa"/>
            <w:tcBorders>
              <w:top w:val="nil"/>
              <w:left w:val="nil"/>
              <w:bottom w:val="single" w:sz="4" w:space="0" w:color="auto"/>
              <w:right w:val="single" w:sz="4" w:space="0" w:color="auto"/>
            </w:tcBorders>
            <w:shd w:val="clear" w:color="auto" w:fill="auto"/>
            <w:noWrap/>
            <w:vAlign w:val="center"/>
            <w:hideMark/>
          </w:tcPr>
          <w:p w14:paraId="7A9CD5F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61,531.49</w:t>
            </w:r>
          </w:p>
        </w:tc>
        <w:tc>
          <w:tcPr>
            <w:tcW w:w="1000" w:type="dxa"/>
            <w:tcBorders>
              <w:top w:val="nil"/>
              <w:left w:val="nil"/>
              <w:bottom w:val="single" w:sz="4" w:space="0" w:color="auto"/>
              <w:right w:val="single" w:sz="4" w:space="0" w:color="auto"/>
            </w:tcBorders>
            <w:shd w:val="clear" w:color="auto" w:fill="auto"/>
            <w:noWrap/>
            <w:vAlign w:val="center"/>
            <w:hideMark/>
          </w:tcPr>
          <w:p w14:paraId="6DC936E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59,449.58</w:t>
            </w:r>
          </w:p>
        </w:tc>
        <w:tc>
          <w:tcPr>
            <w:tcW w:w="1000" w:type="dxa"/>
            <w:tcBorders>
              <w:top w:val="nil"/>
              <w:left w:val="nil"/>
              <w:bottom w:val="single" w:sz="4" w:space="0" w:color="auto"/>
              <w:right w:val="single" w:sz="4" w:space="0" w:color="auto"/>
            </w:tcBorders>
            <w:shd w:val="clear" w:color="auto" w:fill="auto"/>
            <w:noWrap/>
            <w:vAlign w:val="center"/>
            <w:hideMark/>
          </w:tcPr>
          <w:p w14:paraId="5B4D05FA"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60,718.03</w:t>
            </w:r>
          </w:p>
        </w:tc>
        <w:tc>
          <w:tcPr>
            <w:tcW w:w="1000" w:type="dxa"/>
            <w:tcBorders>
              <w:top w:val="nil"/>
              <w:left w:val="nil"/>
              <w:bottom w:val="single" w:sz="4" w:space="0" w:color="auto"/>
              <w:right w:val="single" w:sz="4" w:space="0" w:color="auto"/>
            </w:tcBorders>
            <w:shd w:val="clear" w:color="auto" w:fill="auto"/>
            <w:noWrap/>
            <w:vAlign w:val="center"/>
            <w:hideMark/>
          </w:tcPr>
          <w:p w14:paraId="34EB269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65,357.32</w:t>
            </w:r>
          </w:p>
        </w:tc>
        <w:tc>
          <w:tcPr>
            <w:tcW w:w="1000" w:type="dxa"/>
            <w:tcBorders>
              <w:top w:val="nil"/>
              <w:left w:val="nil"/>
              <w:bottom w:val="single" w:sz="4" w:space="0" w:color="auto"/>
              <w:right w:val="single" w:sz="4" w:space="0" w:color="auto"/>
            </w:tcBorders>
            <w:shd w:val="clear" w:color="auto" w:fill="auto"/>
            <w:noWrap/>
            <w:vAlign w:val="center"/>
            <w:hideMark/>
          </w:tcPr>
          <w:p w14:paraId="3C34D98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74,424.29</w:t>
            </w:r>
          </w:p>
        </w:tc>
        <w:tc>
          <w:tcPr>
            <w:tcW w:w="1379" w:type="dxa"/>
            <w:tcBorders>
              <w:top w:val="nil"/>
              <w:left w:val="nil"/>
              <w:bottom w:val="single" w:sz="4" w:space="0" w:color="auto"/>
              <w:right w:val="single" w:sz="4" w:space="0" w:color="auto"/>
            </w:tcBorders>
            <w:shd w:val="clear" w:color="auto" w:fill="auto"/>
            <w:noWrap/>
            <w:vAlign w:val="center"/>
            <w:hideMark/>
          </w:tcPr>
          <w:p w14:paraId="528A0C59"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13%</w:t>
            </w:r>
          </w:p>
        </w:tc>
        <w:tc>
          <w:tcPr>
            <w:tcW w:w="1100" w:type="dxa"/>
            <w:tcBorders>
              <w:top w:val="nil"/>
              <w:left w:val="nil"/>
              <w:bottom w:val="single" w:sz="4" w:space="0" w:color="auto"/>
              <w:right w:val="single" w:sz="4" w:space="0" w:color="auto"/>
            </w:tcBorders>
            <w:shd w:val="clear" w:color="auto" w:fill="auto"/>
            <w:noWrap/>
            <w:vAlign w:val="center"/>
            <w:hideMark/>
          </w:tcPr>
          <w:p w14:paraId="1508994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-2,081.91</w:t>
            </w:r>
          </w:p>
        </w:tc>
        <w:tc>
          <w:tcPr>
            <w:tcW w:w="1060" w:type="dxa"/>
            <w:tcBorders>
              <w:top w:val="nil"/>
              <w:left w:val="nil"/>
              <w:bottom w:val="single" w:sz="4" w:space="0" w:color="auto"/>
              <w:right w:val="single" w:sz="4" w:space="0" w:color="auto"/>
            </w:tcBorders>
            <w:shd w:val="clear" w:color="auto" w:fill="auto"/>
            <w:noWrap/>
            <w:vAlign w:val="center"/>
            <w:hideMark/>
          </w:tcPr>
          <w:p w14:paraId="05ED4F0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1,268.45</w:t>
            </w:r>
          </w:p>
        </w:tc>
        <w:tc>
          <w:tcPr>
            <w:tcW w:w="1080" w:type="dxa"/>
            <w:tcBorders>
              <w:top w:val="nil"/>
              <w:left w:val="nil"/>
              <w:bottom w:val="single" w:sz="4" w:space="0" w:color="auto"/>
              <w:right w:val="single" w:sz="4" w:space="0" w:color="auto"/>
            </w:tcBorders>
            <w:shd w:val="clear" w:color="auto" w:fill="auto"/>
            <w:noWrap/>
            <w:vAlign w:val="center"/>
            <w:hideMark/>
          </w:tcPr>
          <w:p w14:paraId="7BFD7A4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4,639.29</w:t>
            </w:r>
          </w:p>
        </w:tc>
        <w:tc>
          <w:tcPr>
            <w:tcW w:w="1020" w:type="dxa"/>
            <w:tcBorders>
              <w:top w:val="nil"/>
              <w:left w:val="nil"/>
              <w:bottom w:val="single" w:sz="4" w:space="0" w:color="auto"/>
              <w:right w:val="single" w:sz="4" w:space="0" w:color="auto"/>
            </w:tcBorders>
            <w:shd w:val="clear" w:color="auto" w:fill="auto"/>
            <w:noWrap/>
            <w:vAlign w:val="center"/>
            <w:hideMark/>
          </w:tcPr>
          <w:p w14:paraId="46492BF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9,066.97</w:t>
            </w:r>
          </w:p>
        </w:tc>
      </w:tr>
      <w:tr w:rsidR="00E52AC1" w:rsidRPr="003D6707" w14:paraId="2139DFA5"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08A63E"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315</w:t>
            </w:r>
          </w:p>
        </w:tc>
        <w:tc>
          <w:tcPr>
            <w:tcW w:w="3288" w:type="dxa"/>
            <w:tcBorders>
              <w:top w:val="nil"/>
              <w:left w:val="nil"/>
              <w:bottom w:val="single" w:sz="4" w:space="0" w:color="auto"/>
              <w:right w:val="single" w:sz="4" w:space="0" w:color="auto"/>
            </w:tcBorders>
            <w:shd w:val="clear" w:color="auto" w:fill="auto"/>
            <w:vAlign w:val="center"/>
            <w:hideMark/>
          </w:tcPr>
          <w:p w14:paraId="1FDE3D78"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Mijloace de transport</w:t>
            </w:r>
          </w:p>
        </w:tc>
        <w:tc>
          <w:tcPr>
            <w:tcW w:w="1000" w:type="dxa"/>
            <w:tcBorders>
              <w:top w:val="nil"/>
              <w:left w:val="nil"/>
              <w:bottom w:val="single" w:sz="4" w:space="0" w:color="auto"/>
              <w:right w:val="single" w:sz="4" w:space="0" w:color="auto"/>
            </w:tcBorders>
            <w:shd w:val="clear" w:color="auto" w:fill="auto"/>
            <w:noWrap/>
            <w:vAlign w:val="center"/>
            <w:hideMark/>
          </w:tcPr>
          <w:p w14:paraId="2BE8D524"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82,877.53</w:t>
            </w:r>
          </w:p>
        </w:tc>
        <w:tc>
          <w:tcPr>
            <w:tcW w:w="1000" w:type="dxa"/>
            <w:tcBorders>
              <w:top w:val="nil"/>
              <w:left w:val="nil"/>
              <w:bottom w:val="single" w:sz="4" w:space="0" w:color="auto"/>
              <w:right w:val="single" w:sz="4" w:space="0" w:color="auto"/>
            </w:tcBorders>
            <w:shd w:val="clear" w:color="auto" w:fill="auto"/>
            <w:noWrap/>
            <w:vAlign w:val="center"/>
            <w:hideMark/>
          </w:tcPr>
          <w:p w14:paraId="1E45854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74,100.51</w:t>
            </w:r>
          </w:p>
        </w:tc>
        <w:tc>
          <w:tcPr>
            <w:tcW w:w="1000" w:type="dxa"/>
            <w:tcBorders>
              <w:top w:val="nil"/>
              <w:left w:val="nil"/>
              <w:bottom w:val="single" w:sz="4" w:space="0" w:color="auto"/>
              <w:right w:val="single" w:sz="4" w:space="0" w:color="auto"/>
            </w:tcBorders>
            <w:shd w:val="clear" w:color="auto" w:fill="auto"/>
            <w:noWrap/>
            <w:vAlign w:val="center"/>
            <w:hideMark/>
          </w:tcPr>
          <w:p w14:paraId="6C16EA04"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74,160.35</w:t>
            </w:r>
          </w:p>
        </w:tc>
        <w:tc>
          <w:tcPr>
            <w:tcW w:w="1000" w:type="dxa"/>
            <w:tcBorders>
              <w:top w:val="nil"/>
              <w:left w:val="nil"/>
              <w:bottom w:val="single" w:sz="4" w:space="0" w:color="auto"/>
              <w:right w:val="single" w:sz="4" w:space="0" w:color="auto"/>
            </w:tcBorders>
            <w:shd w:val="clear" w:color="auto" w:fill="auto"/>
            <w:noWrap/>
            <w:vAlign w:val="center"/>
            <w:hideMark/>
          </w:tcPr>
          <w:p w14:paraId="461C8F4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67,471.90</w:t>
            </w:r>
          </w:p>
        </w:tc>
        <w:tc>
          <w:tcPr>
            <w:tcW w:w="1000" w:type="dxa"/>
            <w:tcBorders>
              <w:top w:val="nil"/>
              <w:left w:val="nil"/>
              <w:bottom w:val="single" w:sz="4" w:space="0" w:color="auto"/>
              <w:right w:val="single" w:sz="4" w:space="0" w:color="auto"/>
            </w:tcBorders>
            <w:shd w:val="clear" w:color="auto" w:fill="auto"/>
            <w:noWrap/>
            <w:vAlign w:val="center"/>
            <w:hideMark/>
          </w:tcPr>
          <w:p w14:paraId="50B0932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75,570.57</w:t>
            </w:r>
          </w:p>
        </w:tc>
        <w:tc>
          <w:tcPr>
            <w:tcW w:w="1379" w:type="dxa"/>
            <w:tcBorders>
              <w:top w:val="nil"/>
              <w:left w:val="nil"/>
              <w:bottom w:val="single" w:sz="4" w:space="0" w:color="auto"/>
              <w:right w:val="single" w:sz="4" w:space="0" w:color="auto"/>
            </w:tcBorders>
            <w:shd w:val="clear" w:color="auto" w:fill="auto"/>
            <w:noWrap/>
            <w:vAlign w:val="center"/>
            <w:hideMark/>
          </w:tcPr>
          <w:p w14:paraId="2109C6D0"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13%</w:t>
            </w:r>
          </w:p>
        </w:tc>
        <w:tc>
          <w:tcPr>
            <w:tcW w:w="1100" w:type="dxa"/>
            <w:tcBorders>
              <w:top w:val="nil"/>
              <w:left w:val="nil"/>
              <w:bottom w:val="single" w:sz="4" w:space="0" w:color="auto"/>
              <w:right w:val="single" w:sz="4" w:space="0" w:color="auto"/>
            </w:tcBorders>
            <w:shd w:val="clear" w:color="auto" w:fill="auto"/>
            <w:noWrap/>
            <w:vAlign w:val="center"/>
            <w:hideMark/>
          </w:tcPr>
          <w:p w14:paraId="0F1CE14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-8,777.03</w:t>
            </w:r>
          </w:p>
        </w:tc>
        <w:tc>
          <w:tcPr>
            <w:tcW w:w="1060" w:type="dxa"/>
            <w:tcBorders>
              <w:top w:val="nil"/>
              <w:left w:val="nil"/>
              <w:bottom w:val="single" w:sz="4" w:space="0" w:color="auto"/>
              <w:right w:val="single" w:sz="4" w:space="0" w:color="auto"/>
            </w:tcBorders>
            <w:shd w:val="clear" w:color="auto" w:fill="auto"/>
            <w:noWrap/>
            <w:vAlign w:val="center"/>
            <w:hideMark/>
          </w:tcPr>
          <w:p w14:paraId="61FAE76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59.85</w:t>
            </w:r>
          </w:p>
        </w:tc>
        <w:tc>
          <w:tcPr>
            <w:tcW w:w="1080" w:type="dxa"/>
            <w:tcBorders>
              <w:top w:val="nil"/>
              <w:left w:val="nil"/>
              <w:bottom w:val="single" w:sz="4" w:space="0" w:color="auto"/>
              <w:right w:val="single" w:sz="4" w:space="0" w:color="auto"/>
            </w:tcBorders>
            <w:shd w:val="clear" w:color="auto" w:fill="auto"/>
            <w:noWrap/>
            <w:vAlign w:val="center"/>
            <w:hideMark/>
          </w:tcPr>
          <w:p w14:paraId="718B9A34"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-6,688.46</w:t>
            </w:r>
          </w:p>
        </w:tc>
        <w:tc>
          <w:tcPr>
            <w:tcW w:w="1020" w:type="dxa"/>
            <w:tcBorders>
              <w:top w:val="nil"/>
              <w:left w:val="nil"/>
              <w:bottom w:val="single" w:sz="4" w:space="0" w:color="auto"/>
              <w:right w:val="single" w:sz="4" w:space="0" w:color="auto"/>
            </w:tcBorders>
            <w:shd w:val="clear" w:color="auto" w:fill="auto"/>
            <w:noWrap/>
            <w:vAlign w:val="center"/>
            <w:hideMark/>
          </w:tcPr>
          <w:p w14:paraId="13A7A38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8,098.67</w:t>
            </w:r>
          </w:p>
        </w:tc>
      </w:tr>
      <w:tr w:rsidR="00E52AC1" w:rsidRPr="003D6707" w14:paraId="469C0F63"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456FBE"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316</w:t>
            </w:r>
          </w:p>
        </w:tc>
        <w:tc>
          <w:tcPr>
            <w:tcW w:w="3288" w:type="dxa"/>
            <w:tcBorders>
              <w:top w:val="nil"/>
              <w:left w:val="nil"/>
              <w:bottom w:val="single" w:sz="4" w:space="0" w:color="auto"/>
              <w:right w:val="single" w:sz="4" w:space="0" w:color="auto"/>
            </w:tcBorders>
            <w:shd w:val="clear" w:color="auto" w:fill="auto"/>
            <w:vAlign w:val="center"/>
            <w:hideMark/>
          </w:tcPr>
          <w:p w14:paraId="36DCABB5"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Unelte și scule, inventar de producere și gospodăresc</w:t>
            </w:r>
          </w:p>
        </w:tc>
        <w:tc>
          <w:tcPr>
            <w:tcW w:w="1000" w:type="dxa"/>
            <w:tcBorders>
              <w:top w:val="nil"/>
              <w:left w:val="nil"/>
              <w:bottom w:val="single" w:sz="4" w:space="0" w:color="auto"/>
              <w:right w:val="single" w:sz="4" w:space="0" w:color="auto"/>
            </w:tcBorders>
            <w:shd w:val="clear" w:color="auto" w:fill="auto"/>
            <w:noWrap/>
            <w:vAlign w:val="center"/>
            <w:hideMark/>
          </w:tcPr>
          <w:p w14:paraId="4AB416D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31,912.36</w:t>
            </w:r>
          </w:p>
        </w:tc>
        <w:tc>
          <w:tcPr>
            <w:tcW w:w="1000" w:type="dxa"/>
            <w:tcBorders>
              <w:top w:val="nil"/>
              <w:left w:val="nil"/>
              <w:bottom w:val="single" w:sz="4" w:space="0" w:color="auto"/>
              <w:right w:val="single" w:sz="4" w:space="0" w:color="auto"/>
            </w:tcBorders>
            <w:shd w:val="clear" w:color="auto" w:fill="auto"/>
            <w:noWrap/>
            <w:vAlign w:val="center"/>
            <w:hideMark/>
          </w:tcPr>
          <w:p w14:paraId="79DE33D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28,725.78</w:t>
            </w:r>
          </w:p>
        </w:tc>
        <w:tc>
          <w:tcPr>
            <w:tcW w:w="1000" w:type="dxa"/>
            <w:tcBorders>
              <w:top w:val="nil"/>
              <w:left w:val="nil"/>
              <w:bottom w:val="single" w:sz="4" w:space="0" w:color="auto"/>
              <w:right w:val="single" w:sz="4" w:space="0" w:color="auto"/>
            </w:tcBorders>
            <w:shd w:val="clear" w:color="auto" w:fill="auto"/>
            <w:noWrap/>
            <w:vAlign w:val="center"/>
            <w:hideMark/>
          </w:tcPr>
          <w:p w14:paraId="5C7890B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28,660.54</w:t>
            </w:r>
          </w:p>
        </w:tc>
        <w:tc>
          <w:tcPr>
            <w:tcW w:w="1000" w:type="dxa"/>
            <w:tcBorders>
              <w:top w:val="nil"/>
              <w:left w:val="nil"/>
              <w:bottom w:val="single" w:sz="4" w:space="0" w:color="auto"/>
              <w:right w:val="single" w:sz="4" w:space="0" w:color="auto"/>
            </w:tcBorders>
            <w:shd w:val="clear" w:color="auto" w:fill="auto"/>
            <w:noWrap/>
            <w:vAlign w:val="center"/>
            <w:hideMark/>
          </w:tcPr>
          <w:p w14:paraId="1855420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28,961.35</w:t>
            </w:r>
          </w:p>
        </w:tc>
        <w:tc>
          <w:tcPr>
            <w:tcW w:w="1000" w:type="dxa"/>
            <w:tcBorders>
              <w:top w:val="nil"/>
              <w:left w:val="nil"/>
              <w:bottom w:val="single" w:sz="4" w:space="0" w:color="auto"/>
              <w:right w:val="single" w:sz="4" w:space="0" w:color="auto"/>
            </w:tcBorders>
            <w:shd w:val="clear" w:color="auto" w:fill="auto"/>
            <w:noWrap/>
            <w:vAlign w:val="center"/>
            <w:hideMark/>
          </w:tcPr>
          <w:p w14:paraId="19D3F10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28,533.27</w:t>
            </w:r>
          </w:p>
        </w:tc>
        <w:tc>
          <w:tcPr>
            <w:tcW w:w="1379" w:type="dxa"/>
            <w:tcBorders>
              <w:top w:val="nil"/>
              <w:left w:val="nil"/>
              <w:bottom w:val="single" w:sz="4" w:space="0" w:color="auto"/>
              <w:right w:val="single" w:sz="4" w:space="0" w:color="auto"/>
            </w:tcBorders>
            <w:shd w:val="clear" w:color="auto" w:fill="auto"/>
            <w:noWrap/>
            <w:vAlign w:val="center"/>
            <w:hideMark/>
          </w:tcPr>
          <w:p w14:paraId="72D32AA7"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5%</w:t>
            </w:r>
          </w:p>
        </w:tc>
        <w:tc>
          <w:tcPr>
            <w:tcW w:w="1100" w:type="dxa"/>
            <w:tcBorders>
              <w:top w:val="nil"/>
              <w:left w:val="nil"/>
              <w:bottom w:val="single" w:sz="4" w:space="0" w:color="auto"/>
              <w:right w:val="single" w:sz="4" w:space="0" w:color="auto"/>
            </w:tcBorders>
            <w:shd w:val="clear" w:color="auto" w:fill="auto"/>
            <w:noWrap/>
            <w:vAlign w:val="center"/>
            <w:hideMark/>
          </w:tcPr>
          <w:p w14:paraId="2A184BF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-3,186.58</w:t>
            </w:r>
          </w:p>
        </w:tc>
        <w:tc>
          <w:tcPr>
            <w:tcW w:w="1060" w:type="dxa"/>
            <w:tcBorders>
              <w:top w:val="nil"/>
              <w:left w:val="nil"/>
              <w:bottom w:val="single" w:sz="4" w:space="0" w:color="auto"/>
              <w:right w:val="single" w:sz="4" w:space="0" w:color="auto"/>
            </w:tcBorders>
            <w:shd w:val="clear" w:color="auto" w:fill="auto"/>
            <w:noWrap/>
            <w:vAlign w:val="center"/>
            <w:hideMark/>
          </w:tcPr>
          <w:p w14:paraId="01263F6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-65.24</w:t>
            </w:r>
          </w:p>
        </w:tc>
        <w:tc>
          <w:tcPr>
            <w:tcW w:w="1080" w:type="dxa"/>
            <w:tcBorders>
              <w:top w:val="nil"/>
              <w:left w:val="nil"/>
              <w:bottom w:val="single" w:sz="4" w:space="0" w:color="auto"/>
              <w:right w:val="single" w:sz="4" w:space="0" w:color="auto"/>
            </w:tcBorders>
            <w:shd w:val="clear" w:color="auto" w:fill="auto"/>
            <w:noWrap/>
            <w:vAlign w:val="center"/>
            <w:hideMark/>
          </w:tcPr>
          <w:p w14:paraId="335A5C7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300.81</w:t>
            </w:r>
          </w:p>
        </w:tc>
        <w:tc>
          <w:tcPr>
            <w:tcW w:w="1020" w:type="dxa"/>
            <w:tcBorders>
              <w:top w:val="nil"/>
              <w:left w:val="nil"/>
              <w:bottom w:val="single" w:sz="4" w:space="0" w:color="auto"/>
              <w:right w:val="single" w:sz="4" w:space="0" w:color="auto"/>
            </w:tcBorders>
            <w:shd w:val="clear" w:color="auto" w:fill="auto"/>
            <w:noWrap/>
            <w:vAlign w:val="center"/>
            <w:hideMark/>
          </w:tcPr>
          <w:p w14:paraId="2C9AB84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-428.08</w:t>
            </w:r>
          </w:p>
        </w:tc>
      </w:tr>
      <w:tr w:rsidR="00E52AC1" w:rsidRPr="003D6707" w14:paraId="6612FAED"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0722C4"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317</w:t>
            </w:r>
          </w:p>
        </w:tc>
        <w:tc>
          <w:tcPr>
            <w:tcW w:w="3288" w:type="dxa"/>
            <w:tcBorders>
              <w:top w:val="nil"/>
              <w:left w:val="nil"/>
              <w:bottom w:val="single" w:sz="4" w:space="0" w:color="auto"/>
              <w:right w:val="single" w:sz="4" w:space="0" w:color="auto"/>
            </w:tcBorders>
            <w:shd w:val="clear" w:color="auto" w:fill="auto"/>
            <w:vAlign w:val="center"/>
            <w:hideMark/>
          </w:tcPr>
          <w:p w14:paraId="68CD9A9C"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Active nemateriale</w:t>
            </w:r>
          </w:p>
        </w:tc>
        <w:tc>
          <w:tcPr>
            <w:tcW w:w="1000" w:type="dxa"/>
            <w:tcBorders>
              <w:top w:val="nil"/>
              <w:left w:val="nil"/>
              <w:bottom w:val="single" w:sz="4" w:space="0" w:color="auto"/>
              <w:right w:val="single" w:sz="4" w:space="0" w:color="auto"/>
            </w:tcBorders>
            <w:shd w:val="clear" w:color="auto" w:fill="auto"/>
            <w:noWrap/>
            <w:vAlign w:val="center"/>
            <w:hideMark/>
          </w:tcPr>
          <w:p w14:paraId="32B1319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80,977.67</w:t>
            </w:r>
          </w:p>
        </w:tc>
        <w:tc>
          <w:tcPr>
            <w:tcW w:w="1000" w:type="dxa"/>
            <w:tcBorders>
              <w:top w:val="nil"/>
              <w:left w:val="nil"/>
              <w:bottom w:val="single" w:sz="4" w:space="0" w:color="auto"/>
              <w:right w:val="single" w:sz="4" w:space="0" w:color="auto"/>
            </w:tcBorders>
            <w:shd w:val="clear" w:color="auto" w:fill="auto"/>
            <w:noWrap/>
            <w:vAlign w:val="center"/>
            <w:hideMark/>
          </w:tcPr>
          <w:p w14:paraId="52C8E67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81,647.15</w:t>
            </w:r>
          </w:p>
        </w:tc>
        <w:tc>
          <w:tcPr>
            <w:tcW w:w="1000" w:type="dxa"/>
            <w:tcBorders>
              <w:top w:val="nil"/>
              <w:left w:val="nil"/>
              <w:bottom w:val="single" w:sz="4" w:space="0" w:color="auto"/>
              <w:right w:val="single" w:sz="4" w:space="0" w:color="auto"/>
            </w:tcBorders>
            <w:shd w:val="clear" w:color="auto" w:fill="auto"/>
            <w:noWrap/>
            <w:vAlign w:val="center"/>
            <w:hideMark/>
          </w:tcPr>
          <w:p w14:paraId="003E574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98,311.44</w:t>
            </w:r>
          </w:p>
        </w:tc>
        <w:tc>
          <w:tcPr>
            <w:tcW w:w="1000" w:type="dxa"/>
            <w:tcBorders>
              <w:top w:val="nil"/>
              <w:left w:val="nil"/>
              <w:bottom w:val="single" w:sz="4" w:space="0" w:color="auto"/>
              <w:right w:val="single" w:sz="4" w:space="0" w:color="auto"/>
            </w:tcBorders>
            <w:shd w:val="clear" w:color="auto" w:fill="auto"/>
            <w:noWrap/>
            <w:vAlign w:val="center"/>
            <w:hideMark/>
          </w:tcPr>
          <w:p w14:paraId="72A7BFF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79,842.34</w:t>
            </w:r>
          </w:p>
        </w:tc>
        <w:tc>
          <w:tcPr>
            <w:tcW w:w="1000" w:type="dxa"/>
            <w:tcBorders>
              <w:top w:val="nil"/>
              <w:left w:val="nil"/>
              <w:bottom w:val="single" w:sz="4" w:space="0" w:color="auto"/>
              <w:right w:val="single" w:sz="4" w:space="0" w:color="auto"/>
            </w:tcBorders>
            <w:shd w:val="clear" w:color="auto" w:fill="auto"/>
            <w:noWrap/>
            <w:vAlign w:val="center"/>
            <w:hideMark/>
          </w:tcPr>
          <w:p w14:paraId="287B8FBE"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100,096.03</w:t>
            </w:r>
          </w:p>
        </w:tc>
        <w:tc>
          <w:tcPr>
            <w:tcW w:w="1379" w:type="dxa"/>
            <w:tcBorders>
              <w:top w:val="nil"/>
              <w:left w:val="nil"/>
              <w:bottom w:val="single" w:sz="4" w:space="0" w:color="auto"/>
              <w:right w:val="single" w:sz="4" w:space="0" w:color="auto"/>
            </w:tcBorders>
            <w:shd w:val="clear" w:color="auto" w:fill="auto"/>
            <w:noWrap/>
            <w:vAlign w:val="center"/>
            <w:hideMark/>
          </w:tcPr>
          <w:p w14:paraId="27463262"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17%</w:t>
            </w:r>
          </w:p>
        </w:tc>
        <w:tc>
          <w:tcPr>
            <w:tcW w:w="1100" w:type="dxa"/>
            <w:tcBorders>
              <w:top w:val="nil"/>
              <w:left w:val="nil"/>
              <w:bottom w:val="single" w:sz="4" w:space="0" w:color="auto"/>
              <w:right w:val="single" w:sz="4" w:space="0" w:color="auto"/>
            </w:tcBorders>
            <w:shd w:val="clear" w:color="auto" w:fill="auto"/>
            <w:noWrap/>
            <w:vAlign w:val="center"/>
            <w:hideMark/>
          </w:tcPr>
          <w:p w14:paraId="4B07A29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669.49</w:t>
            </w:r>
          </w:p>
        </w:tc>
        <w:tc>
          <w:tcPr>
            <w:tcW w:w="1060" w:type="dxa"/>
            <w:tcBorders>
              <w:top w:val="nil"/>
              <w:left w:val="nil"/>
              <w:bottom w:val="single" w:sz="4" w:space="0" w:color="auto"/>
              <w:right w:val="single" w:sz="4" w:space="0" w:color="auto"/>
            </w:tcBorders>
            <w:shd w:val="clear" w:color="auto" w:fill="auto"/>
            <w:noWrap/>
            <w:vAlign w:val="center"/>
            <w:hideMark/>
          </w:tcPr>
          <w:p w14:paraId="7EF504D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16,664.28</w:t>
            </w:r>
          </w:p>
        </w:tc>
        <w:tc>
          <w:tcPr>
            <w:tcW w:w="1080" w:type="dxa"/>
            <w:tcBorders>
              <w:top w:val="nil"/>
              <w:left w:val="nil"/>
              <w:bottom w:val="single" w:sz="4" w:space="0" w:color="auto"/>
              <w:right w:val="single" w:sz="4" w:space="0" w:color="auto"/>
            </w:tcBorders>
            <w:shd w:val="clear" w:color="auto" w:fill="auto"/>
            <w:noWrap/>
            <w:vAlign w:val="center"/>
            <w:hideMark/>
          </w:tcPr>
          <w:p w14:paraId="18C6CC3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-18,469.10</w:t>
            </w:r>
          </w:p>
        </w:tc>
        <w:tc>
          <w:tcPr>
            <w:tcW w:w="1020" w:type="dxa"/>
            <w:tcBorders>
              <w:top w:val="nil"/>
              <w:left w:val="nil"/>
              <w:bottom w:val="single" w:sz="4" w:space="0" w:color="auto"/>
              <w:right w:val="single" w:sz="4" w:space="0" w:color="auto"/>
            </w:tcBorders>
            <w:shd w:val="clear" w:color="auto" w:fill="auto"/>
            <w:noWrap/>
            <w:vAlign w:val="center"/>
            <w:hideMark/>
          </w:tcPr>
          <w:p w14:paraId="1D94873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20,253.69</w:t>
            </w:r>
          </w:p>
        </w:tc>
      </w:tr>
      <w:tr w:rsidR="00E52AC1" w:rsidRPr="003D6707" w14:paraId="27174B73"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3142A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318</w:t>
            </w:r>
          </w:p>
        </w:tc>
        <w:tc>
          <w:tcPr>
            <w:tcW w:w="3288" w:type="dxa"/>
            <w:tcBorders>
              <w:top w:val="nil"/>
              <w:left w:val="nil"/>
              <w:bottom w:val="single" w:sz="4" w:space="0" w:color="auto"/>
              <w:right w:val="single" w:sz="4" w:space="0" w:color="auto"/>
            </w:tcBorders>
            <w:shd w:val="clear" w:color="auto" w:fill="auto"/>
            <w:vAlign w:val="center"/>
            <w:hideMark/>
          </w:tcPr>
          <w:p w14:paraId="59D77B87"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Alte mijloace fixe</w:t>
            </w:r>
          </w:p>
        </w:tc>
        <w:tc>
          <w:tcPr>
            <w:tcW w:w="1000" w:type="dxa"/>
            <w:tcBorders>
              <w:top w:val="nil"/>
              <w:left w:val="nil"/>
              <w:bottom w:val="single" w:sz="4" w:space="0" w:color="auto"/>
              <w:right w:val="single" w:sz="4" w:space="0" w:color="auto"/>
            </w:tcBorders>
            <w:shd w:val="clear" w:color="auto" w:fill="auto"/>
            <w:noWrap/>
            <w:vAlign w:val="center"/>
            <w:hideMark/>
          </w:tcPr>
          <w:p w14:paraId="3AAAC8F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501.37</w:t>
            </w:r>
          </w:p>
        </w:tc>
        <w:tc>
          <w:tcPr>
            <w:tcW w:w="1000" w:type="dxa"/>
            <w:tcBorders>
              <w:top w:val="nil"/>
              <w:left w:val="nil"/>
              <w:bottom w:val="single" w:sz="4" w:space="0" w:color="auto"/>
              <w:right w:val="single" w:sz="4" w:space="0" w:color="auto"/>
            </w:tcBorders>
            <w:shd w:val="clear" w:color="auto" w:fill="auto"/>
            <w:noWrap/>
            <w:vAlign w:val="center"/>
            <w:hideMark/>
          </w:tcPr>
          <w:p w14:paraId="44ED097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614.10</w:t>
            </w:r>
          </w:p>
        </w:tc>
        <w:tc>
          <w:tcPr>
            <w:tcW w:w="1000" w:type="dxa"/>
            <w:tcBorders>
              <w:top w:val="nil"/>
              <w:left w:val="nil"/>
              <w:bottom w:val="single" w:sz="4" w:space="0" w:color="auto"/>
              <w:right w:val="single" w:sz="4" w:space="0" w:color="auto"/>
            </w:tcBorders>
            <w:shd w:val="clear" w:color="auto" w:fill="auto"/>
            <w:noWrap/>
            <w:vAlign w:val="center"/>
            <w:hideMark/>
          </w:tcPr>
          <w:p w14:paraId="5490201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619.07</w:t>
            </w:r>
          </w:p>
        </w:tc>
        <w:tc>
          <w:tcPr>
            <w:tcW w:w="1000" w:type="dxa"/>
            <w:tcBorders>
              <w:top w:val="nil"/>
              <w:left w:val="nil"/>
              <w:bottom w:val="single" w:sz="4" w:space="0" w:color="auto"/>
              <w:right w:val="single" w:sz="4" w:space="0" w:color="auto"/>
            </w:tcBorders>
            <w:shd w:val="clear" w:color="auto" w:fill="auto"/>
            <w:noWrap/>
            <w:vAlign w:val="center"/>
            <w:hideMark/>
          </w:tcPr>
          <w:p w14:paraId="382C361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593.78</w:t>
            </w:r>
          </w:p>
        </w:tc>
        <w:tc>
          <w:tcPr>
            <w:tcW w:w="1000" w:type="dxa"/>
            <w:tcBorders>
              <w:top w:val="nil"/>
              <w:left w:val="nil"/>
              <w:bottom w:val="single" w:sz="4" w:space="0" w:color="auto"/>
              <w:right w:val="single" w:sz="4" w:space="0" w:color="auto"/>
            </w:tcBorders>
            <w:shd w:val="clear" w:color="auto" w:fill="auto"/>
            <w:noWrap/>
            <w:vAlign w:val="center"/>
            <w:hideMark/>
          </w:tcPr>
          <w:p w14:paraId="13234C5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590.66</w:t>
            </w:r>
          </w:p>
        </w:tc>
        <w:tc>
          <w:tcPr>
            <w:tcW w:w="1379" w:type="dxa"/>
            <w:tcBorders>
              <w:top w:val="nil"/>
              <w:left w:val="nil"/>
              <w:bottom w:val="single" w:sz="4" w:space="0" w:color="auto"/>
              <w:right w:val="single" w:sz="4" w:space="0" w:color="auto"/>
            </w:tcBorders>
            <w:shd w:val="clear" w:color="auto" w:fill="auto"/>
            <w:noWrap/>
            <w:vAlign w:val="center"/>
            <w:hideMark/>
          </w:tcPr>
          <w:p w14:paraId="4C33C253"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0%</w:t>
            </w:r>
          </w:p>
        </w:tc>
        <w:tc>
          <w:tcPr>
            <w:tcW w:w="1100" w:type="dxa"/>
            <w:tcBorders>
              <w:top w:val="nil"/>
              <w:left w:val="nil"/>
              <w:bottom w:val="single" w:sz="4" w:space="0" w:color="auto"/>
              <w:right w:val="single" w:sz="4" w:space="0" w:color="auto"/>
            </w:tcBorders>
            <w:shd w:val="clear" w:color="auto" w:fill="auto"/>
            <w:noWrap/>
            <w:vAlign w:val="center"/>
            <w:hideMark/>
          </w:tcPr>
          <w:p w14:paraId="78B2D08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112.74</w:t>
            </w:r>
          </w:p>
        </w:tc>
        <w:tc>
          <w:tcPr>
            <w:tcW w:w="1060" w:type="dxa"/>
            <w:tcBorders>
              <w:top w:val="nil"/>
              <w:left w:val="nil"/>
              <w:bottom w:val="single" w:sz="4" w:space="0" w:color="auto"/>
              <w:right w:val="single" w:sz="4" w:space="0" w:color="auto"/>
            </w:tcBorders>
            <w:shd w:val="clear" w:color="auto" w:fill="auto"/>
            <w:noWrap/>
            <w:vAlign w:val="center"/>
            <w:hideMark/>
          </w:tcPr>
          <w:p w14:paraId="7EF5C35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4.97</w:t>
            </w:r>
          </w:p>
        </w:tc>
        <w:tc>
          <w:tcPr>
            <w:tcW w:w="1080" w:type="dxa"/>
            <w:tcBorders>
              <w:top w:val="nil"/>
              <w:left w:val="nil"/>
              <w:bottom w:val="single" w:sz="4" w:space="0" w:color="auto"/>
              <w:right w:val="single" w:sz="4" w:space="0" w:color="auto"/>
            </w:tcBorders>
            <w:shd w:val="clear" w:color="auto" w:fill="auto"/>
            <w:noWrap/>
            <w:vAlign w:val="center"/>
            <w:hideMark/>
          </w:tcPr>
          <w:p w14:paraId="3554091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-25.30</w:t>
            </w:r>
          </w:p>
        </w:tc>
        <w:tc>
          <w:tcPr>
            <w:tcW w:w="1020" w:type="dxa"/>
            <w:tcBorders>
              <w:top w:val="nil"/>
              <w:left w:val="nil"/>
              <w:bottom w:val="single" w:sz="4" w:space="0" w:color="auto"/>
              <w:right w:val="single" w:sz="4" w:space="0" w:color="auto"/>
            </w:tcBorders>
            <w:shd w:val="clear" w:color="auto" w:fill="auto"/>
            <w:noWrap/>
            <w:vAlign w:val="center"/>
            <w:hideMark/>
          </w:tcPr>
          <w:p w14:paraId="73EEB15E"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-3.12</w:t>
            </w:r>
          </w:p>
        </w:tc>
      </w:tr>
      <w:tr w:rsidR="00E52AC1" w:rsidRPr="003D6707" w14:paraId="5580D194"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B64E9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319</w:t>
            </w:r>
          </w:p>
        </w:tc>
        <w:tc>
          <w:tcPr>
            <w:tcW w:w="3288" w:type="dxa"/>
            <w:tcBorders>
              <w:top w:val="nil"/>
              <w:left w:val="nil"/>
              <w:bottom w:val="single" w:sz="4" w:space="0" w:color="auto"/>
              <w:right w:val="single" w:sz="4" w:space="0" w:color="auto"/>
            </w:tcBorders>
            <w:shd w:val="clear" w:color="auto" w:fill="auto"/>
            <w:vAlign w:val="center"/>
            <w:hideMark/>
          </w:tcPr>
          <w:p w14:paraId="43F30D6B"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Investitii capitale în active în curs de execuție</w:t>
            </w:r>
          </w:p>
        </w:tc>
        <w:tc>
          <w:tcPr>
            <w:tcW w:w="1000" w:type="dxa"/>
            <w:tcBorders>
              <w:top w:val="nil"/>
              <w:left w:val="nil"/>
              <w:bottom w:val="single" w:sz="4" w:space="0" w:color="auto"/>
              <w:right w:val="single" w:sz="4" w:space="0" w:color="auto"/>
            </w:tcBorders>
            <w:shd w:val="clear" w:color="auto" w:fill="auto"/>
            <w:noWrap/>
            <w:vAlign w:val="center"/>
            <w:hideMark/>
          </w:tcPr>
          <w:p w14:paraId="5E568BA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3939427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64B7A82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74BB6AC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54FB9F5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277.20</w:t>
            </w:r>
          </w:p>
        </w:tc>
        <w:tc>
          <w:tcPr>
            <w:tcW w:w="1379" w:type="dxa"/>
            <w:tcBorders>
              <w:top w:val="nil"/>
              <w:left w:val="nil"/>
              <w:bottom w:val="single" w:sz="4" w:space="0" w:color="auto"/>
              <w:right w:val="single" w:sz="4" w:space="0" w:color="auto"/>
            </w:tcBorders>
            <w:shd w:val="clear" w:color="auto" w:fill="auto"/>
            <w:noWrap/>
            <w:vAlign w:val="center"/>
            <w:hideMark/>
          </w:tcPr>
          <w:p w14:paraId="541BD698"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0%</w:t>
            </w:r>
          </w:p>
        </w:tc>
        <w:tc>
          <w:tcPr>
            <w:tcW w:w="1100" w:type="dxa"/>
            <w:tcBorders>
              <w:top w:val="nil"/>
              <w:left w:val="nil"/>
              <w:bottom w:val="single" w:sz="4" w:space="0" w:color="auto"/>
              <w:right w:val="single" w:sz="4" w:space="0" w:color="auto"/>
            </w:tcBorders>
            <w:shd w:val="clear" w:color="auto" w:fill="auto"/>
            <w:noWrap/>
            <w:vAlign w:val="center"/>
            <w:hideMark/>
          </w:tcPr>
          <w:p w14:paraId="4B045BD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0143F9B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80" w:type="dxa"/>
            <w:tcBorders>
              <w:top w:val="nil"/>
              <w:left w:val="nil"/>
              <w:bottom w:val="single" w:sz="4" w:space="0" w:color="auto"/>
              <w:right w:val="single" w:sz="4" w:space="0" w:color="auto"/>
            </w:tcBorders>
            <w:shd w:val="clear" w:color="auto" w:fill="auto"/>
            <w:noWrap/>
            <w:vAlign w:val="center"/>
            <w:hideMark/>
          </w:tcPr>
          <w:p w14:paraId="27CE795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3712562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277.20</w:t>
            </w:r>
          </w:p>
        </w:tc>
      </w:tr>
      <w:tr w:rsidR="00E52AC1" w:rsidRPr="003D6707" w14:paraId="53DC5A0C" w14:textId="77777777" w:rsidTr="00E52AC1">
        <w:trPr>
          <w:trHeight w:val="38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F4F906"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39</w:t>
            </w:r>
          </w:p>
        </w:tc>
        <w:tc>
          <w:tcPr>
            <w:tcW w:w="3288" w:type="dxa"/>
            <w:tcBorders>
              <w:top w:val="nil"/>
              <w:left w:val="nil"/>
              <w:bottom w:val="single" w:sz="4" w:space="0" w:color="auto"/>
              <w:right w:val="single" w:sz="4" w:space="0" w:color="auto"/>
            </w:tcBorders>
            <w:shd w:val="clear" w:color="auto" w:fill="auto"/>
            <w:vAlign w:val="center"/>
            <w:hideMark/>
          </w:tcPr>
          <w:p w14:paraId="56024859" w14:textId="77777777" w:rsidR="00E52AC1" w:rsidRPr="003D6707" w:rsidRDefault="00E52AC1" w:rsidP="00E52AC1">
            <w:pPr>
              <w:spacing w:after="0" w:line="240" w:lineRule="auto"/>
              <w:rPr>
                <w:rFonts w:ascii="Calibri Light" w:eastAsia="Times New Roman" w:hAnsi="Calibri Light" w:cs="Calibri Light"/>
                <w:b/>
                <w:bCs/>
                <w:color w:val="000000"/>
                <w:sz w:val="14"/>
                <w:szCs w:val="14"/>
              </w:rPr>
            </w:pPr>
            <w:r w:rsidRPr="003D6707">
              <w:rPr>
                <w:rFonts w:ascii="Calibri Light" w:eastAsia="Times New Roman" w:hAnsi="Calibri Light" w:cs="Calibri Light"/>
                <w:b/>
                <w:bCs/>
                <w:color w:val="000000"/>
                <w:sz w:val="14"/>
                <w:szCs w:val="14"/>
              </w:rPr>
              <w:t>UZURA MIJLOACELOR FIXE ȘI AMORTIZAREA ACTIVELOR NEMATERIALE</w:t>
            </w:r>
          </w:p>
        </w:tc>
        <w:tc>
          <w:tcPr>
            <w:tcW w:w="1000" w:type="dxa"/>
            <w:tcBorders>
              <w:top w:val="nil"/>
              <w:left w:val="nil"/>
              <w:bottom w:val="single" w:sz="4" w:space="0" w:color="auto"/>
              <w:right w:val="single" w:sz="4" w:space="0" w:color="auto"/>
            </w:tcBorders>
            <w:shd w:val="clear" w:color="auto" w:fill="auto"/>
            <w:noWrap/>
            <w:vAlign w:val="center"/>
            <w:hideMark/>
          </w:tcPr>
          <w:p w14:paraId="309E7120"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387,586.69</w:t>
            </w:r>
          </w:p>
        </w:tc>
        <w:tc>
          <w:tcPr>
            <w:tcW w:w="1000" w:type="dxa"/>
            <w:tcBorders>
              <w:top w:val="nil"/>
              <w:left w:val="nil"/>
              <w:bottom w:val="single" w:sz="4" w:space="0" w:color="auto"/>
              <w:right w:val="single" w:sz="4" w:space="0" w:color="auto"/>
            </w:tcBorders>
            <w:shd w:val="clear" w:color="auto" w:fill="auto"/>
            <w:noWrap/>
            <w:vAlign w:val="center"/>
            <w:hideMark/>
          </w:tcPr>
          <w:p w14:paraId="49669697"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392,313.16</w:t>
            </w:r>
          </w:p>
        </w:tc>
        <w:tc>
          <w:tcPr>
            <w:tcW w:w="1000" w:type="dxa"/>
            <w:tcBorders>
              <w:top w:val="nil"/>
              <w:left w:val="nil"/>
              <w:bottom w:val="single" w:sz="4" w:space="0" w:color="auto"/>
              <w:right w:val="single" w:sz="4" w:space="0" w:color="auto"/>
            </w:tcBorders>
            <w:shd w:val="clear" w:color="auto" w:fill="auto"/>
            <w:noWrap/>
            <w:vAlign w:val="center"/>
            <w:hideMark/>
          </w:tcPr>
          <w:p w14:paraId="7FAC0102"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414,193.81</w:t>
            </w:r>
          </w:p>
        </w:tc>
        <w:tc>
          <w:tcPr>
            <w:tcW w:w="1000" w:type="dxa"/>
            <w:tcBorders>
              <w:top w:val="nil"/>
              <w:left w:val="nil"/>
              <w:bottom w:val="single" w:sz="4" w:space="0" w:color="auto"/>
              <w:right w:val="single" w:sz="4" w:space="0" w:color="auto"/>
            </w:tcBorders>
            <w:shd w:val="clear" w:color="auto" w:fill="auto"/>
            <w:noWrap/>
            <w:vAlign w:val="center"/>
            <w:hideMark/>
          </w:tcPr>
          <w:p w14:paraId="04AFA7FC"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403,241.98</w:t>
            </w:r>
          </w:p>
        </w:tc>
        <w:tc>
          <w:tcPr>
            <w:tcW w:w="1000" w:type="dxa"/>
            <w:tcBorders>
              <w:top w:val="nil"/>
              <w:left w:val="nil"/>
              <w:bottom w:val="single" w:sz="4" w:space="0" w:color="auto"/>
              <w:right w:val="single" w:sz="4" w:space="0" w:color="auto"/>
            </w:tcBorders>
            <w:shd w:val="clear" w:color="auto" w:fill="auto"/>
            <w:noWrap/>
            <w:vAlign w:val="center"/>
            <w:hideMark/>
          </w:tcPr>
          <w:p w14:paraId="61CC2492"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443,378.51</w:t>
            </w:r>
          </w:p>
        </w:tc>
        <w:tc>
          <w:tcPr>
            <w:tcW w:w="1379" w:type="dxa"/>
            <w:tcBorders>
              <w:top w:val="nil"/>
              <w:left w:val="nil"/>
              <w:bottom w:val="single" w:sz="4" w:space="0" w:color="auto"/>
              <w:right w:val="single" w:sz="4" w:space="0" w:color="auto"/>
            </w:tcBorders>
            <w:shd w:val="clear" w:color="auto" w:fill="auto"/>
            <w:noWrap/>
            <w:vAlign w:val="center"/>
            <w:hideMark/>
          </w:tcPr>
          <w:p w14:paraId="6FA3CD74"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77%</w:t>
            </w:r>
          </w:p>
        </w:tc>
        <w:tc>
          <w:tcPr>
            <w:tcW w:w="1100" w:type="dxa"/>
            <w:tcBorders>
              <w:top w:val="nil"/>
              <w:left w:val="nil"/>
              <w:bottom w:val="single" w:sz="4" w:space="0" w:color="auto"/>
              <w:right w:val="single" w:sz="4" w:space="0" w:color="auto"/>
            </w:tcBorders>
            <w:shd w:val="clear" w:color="auto" w:fill="auto"/>
            <w:noWrap/>
            <w:vAlign w:val="center"/>
            <w:hideMark/>
          </w:tcPr>
          <w:p w14:paraId="7A0DC1D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4,726.48</w:t>
            </w:r>
          </w:p>
        </w:tc>
        <w:tc>
          <w:tcPr>
            <w:tcW w:w="1060" w:type="dxa"/>
            <w:tcBorders>
              <w:top w:val="nil"/>
              <w:left w:val="nil"/>
              <w:bottom w:val="single" w:sz="4" w:space="0" w:color="auto"/>
              <w:right w:val="single" w:sz="4" w:space="0" w:color="auto"/>
            </w:tcBorders>
            <w:shd w:val="clear" w:color="auto" w:fill="auto"/>
            <w:noWrap/>
            <w:vAlign w:val="center"/>
            <w:hideMark/>
          </w:tcPr>
          <w:p w14:paraId="7CD33CA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21,880.65</w:t>
            </w:r>
          </w:p>
        </w:tc>
        <w:tc>
          <w:tcPr>
            <w:tcW w:w="1080" w:type="dxa"/>
            <w:tcBorders>
              <w:top w:val="nil"/>
              <w:left w:val="nil"/>
              <w:bottom w:val="single" w:sz="4" w:space="0" w:color="auto"/>
              <w:right w:val="single" w:sz="4" w:space="0" w:color="auto"/>
            </w:tcBorders>
            <w:shd w:val="clear" w:color="auto" w:fill="auto"/>
            <w:noWrap/>
            <w:vAlign w:val="center"/>
            <w:hideMark/>
          </w:tcPr>
          <w:p w14:paraId="4ECBFA1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-10,951.83</w:t>
            </w:r>
          </w:p>
        </w:tc>
        <w:tc>
          <w:tcPr>
            <w:tcW w:w="1020" w:type="dxa"/>
            <w:tcBorders>
              <w:top w:val="nil"/>
              <w:left w:val="nil"/>
              <w:bottom w:val="single" w:sz="4" w:space="0" w:color="auto"/>
              <w:right w:val="single" w:sz="4" w:space="0" w:color="auto"/>
            </w:tcBorders>
            <w:shd w:val="clear" w:color="auto" w:fill="auto"/>
            <w:noWrap/>
            <w:vAlign w:val="center"/>
            <w:hideMark/>
          </w:tcPr>
          <w:p w14:paraId="0246093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40,136.53</w:t>
            </w:r>
          </w:p>
        </w:tc>
      </w:tr>
      <w:tr w:rsidR="00E52AC1" w:rsidRPr="003D6707" w14:paraId="4F1F3C2E"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775AC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391</w:t>
            </w:r>
          </w:p>
        </w:tc>
        <w:tc>
          <w:tcPr>
            <w:tcW w:w="3288" w:type="dxa"/>
            <w:tcBorders>
              <w:top w:val="nil"/>
              <w:left w:val="nil"/>
              <w:bottom w:val="single" w:sz="4" w:space="0" w:color="auto"/>
              <w:right w:val="single" w:sz="4" w:space="0" w:color="auto"/>
            </w:tcBorders>
            <w:shd w:val="clear" w:color="auto" w:fill="auto"/>
            <w:vAlign w:val="center"/>
            <w:hideMark/>
          </w:tcPr>
          <w:p w14:paraId="48E140CE"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Uzura mijloacelor fixe</w:t>
            </w:r>
          </w:p>
        </w:tc>
        <w:tc>
          <w:tcPr>
            <w:tcW w:w="1000" w:type="dxa"/>
            <w:tcBorders>
              <w:top w:val="nil"/>
              <w:left w:val="nil"/>
              <w:bottom w:val="single" w:sz="4" w:space="0" w:color="auto"/>
              <w:right w:val="single" w:sz="4" w:space="0" w:color="auto"/>
            </w:tcBorders>
            <w:shd w:val="clear" w:color="auto" w:fill="auto"/>
            <w:noWrap/>
            <w:vAlign w:val="center"/>
            <w:hideMark/>
          </w:tcPr>
          <w:p w14:paraId="047FFC8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331,298.12</w:t>
            </w:r>
          </w:p>
        </w:tc>
        <w:tc>
          <w:tcPr>
            <w:tcW w:w="1000" w:type="dxa"/>
            <w:tcBorders>
              <w:top w:val="nil"/>
              <w:left w:val="nil"/>
              <w:bottom w:val="single" w:sz="4" w:space="0" w:color="auto"/>
              <w:right w:val="single" w:sz="4" w:space="0" w:color="auto"/>
            </w:tcBorders>
            <w:shd w:val="clear" w:color="auto" w:fill="auto"/>
            <w:noWrap/>
            <w:vAlign w:val="center"/>
            <w:hideMark/>
          </w:tcPr>
          <w:p w14:paraId="3D066FE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322,169.65</w:t>
            </w:r>
          </w:p>
        </w:tc>
        <w:tc>
          <w:tcPr>
            <w:tcW w:w="1000" w:type="dxa"/>
            <w:tcBorders>
              <w:top w:val="nil"/>
              <w:left w:val="nil"/>
              <w:bottom w:val="single" w:sz="4" w:space="0" w:color="auto"/>
              <w:right w:val="single" w:sz="4" w:space="0" w:color="auto"/>
            </w:tcBorders>
            <w:shd w:val="clear" w:color="auto" w:fill="auto"/>
            <w:noWrap/>
            <w:vAlign w:val="center"/>
            <w:hideMark/>
          </w:tcPr>
          <w:p w14:paraId="3B009E2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335,429.94</w:t>
            </w:r>
          </w:p>
        </w:tc>
        <w:tc>
          <w:tcPr>
            <w:tcW w:w="1000" w:type="dxa"/>
            <w:tcBorders>
              <w:top w:val="nil"/>
              <w:left w:val="nil"/>
              <w:bottom w:val="single" w:sz="4" w:space="0" w:color="auto"/>
              <w:right w:val="single" w:sz="4" w:space="0" w:color="auto"/>
            </w:tcBorders>
            <w:shd w:val="clear" w:color="auto" w:fill="auto"/>
            <w:noWrap/>
            <w:vAlign w:val="center"/>
            <w:hideMark/>
          </w:tcPr>
          <w:p w14:paraId="21BF395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350,216.30</w:t>
            </w:r>
          </w:p>
        </w:tc>
        <w:tc>
          <w:tcPr>
            <w:tcW w:w="1000" w:type="dxa"/>
            <w:tcBorders>
              <w:top w:val="nil"/>
              <w:left w:val="nil"/>
              <w:bottom w:val="single" w:sz="4" w:space="0" w:color="auto"/>
              <w:right w:val="single" w:sz="4" w:space="0" w:color="auto"/>
            </w:tcBorders>
            <w:shd w:val="clear" w:color="auto" w:fill="auto"/>
            <w:noWrap/>
            <w:vAlign w:val="center"/>
            <w:hideMark/>
          </w:tcPr>
          <w:p w14:paraId="4006D6C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385,448.69</w:t>
            </w:r>
          </w:p>
        </w:tc>
        <w:tc>
          <w:tcPr>
            <w:tcW w:w="1379" w:type="dxa"/>
            <w:tcBorders>
              <w:top w:val="nil"/>
              <w:left w:val="nil"/>
              <w:bottom w:val="single" w:sz="4" w:space="0" w:color="auto"/>
              <w:right w:val="single" w:sz="4" w:space="0" w:color="auto"/>
            </w:tcBorders>
            <w:shd w:val="clear" w:color="auto" w:fill="auto"/>
            <w:noWrap/>
            <w:vAlign w:val="center"/>
            <w:hideMark/>
          </w:tcPr>
          <w:p w14:paraId="61698D64"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67%</w:t>
            </w:r>
          </w:p>
        </w:tc>
        <w:tc>
          <w:tcPr>
            <w:tcW w:w="1100" w:type="dxa"/>
            <w:tcBorders>
              <w:top w:val="nil"/>
              <w:left w:val="nil"/>
              <w:bottom w:val="single" w:sz="4" w:space="0" w:color="auto"/>
              <w:right w:val="single" w:sz="4" w:space="0" w:color="auto"/>
            </w:tcBorders>
            <w:shd w:val="clear" w:color="auto" w:fill="auto"/>
            <w:noWrap/>
            <w:vAlign w:val="center"/>
            <w:hideMark/>
          </w:tcPr>
          <w:p w14:paraId="2962290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-9,128.47</w:t>
            </w:r>
          </w:p>
        </w:tc>
        <w:tc>
          <w:tcPr>
            <w:tcW w:w="1060" w:type="dxa"/>
            <w:tcBorders>
              <w:top w:val="nil"/>
              <w:left w:val="nil"/>
              <w:bottom w:val="single" w:sz="4" w:space="0" w:color="auto"/>
              <w:right w:val="single" w:sz="4" w:space="0" w:color="auto"/>
            </w:tcBorders>
            <w:shd w:val="clear" w:color="auto" w:fill="auto"/>
            <w:noWrap/>
            <w:vAlign w:val="center"/>
            <w:hideMark/>
          </w:tcPr>
          <w:p w14:paraId="35CC69A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13,260.30</w:t>
            </w:r>
          </w:p>
        </w:tc>
        <w:tc>
          <w:tcPr>
            <w:tcW w:w="1080" w:type="dxa"/>
            <w:tcBorders>
              <w:top w:val="nil"/>
              <w:left w:val="nil"/>
              <w:bottom w:val="single" w:sz="4" w:space="0" w:color="auto"/>
              <w:right w:val="single" w:sz="4" w:space="0" w:color="auto"/>
            </w:tcBorders>
            <w:shd w:val="clear" w:color="auto" w:fill="auto"/>
            <w:noWrap/>
            <w:vAlign w:val="center"/>
            <w:hideMark/>
          </w:tcPr>
          <w:p w14:paraId="7DFEE8E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14,786.36</w:t>
            </w:r>
          </w:p>
        </w:tc>
        <w:tc>
          <w:tcPr>
            <w:tcW w:w="1020" w:type="dxa"/>
            <w:tcBorders>
              <w:top w:val="nil"/>
              <w:left w:val="nil"/>
              <w:bottom w:val="single" w:sz="4" w:space="0" w:color="auto"/>
              <w:right w:val="single" w:sz="4" w:space="0" w:color="auto"/>
            </w:tcBorders>
            <w:shd w:val="clear" w:color="auto" w:fill="auto"/>
            <w:noWrap/>
            <w:vAlign w:val="center"/>
            <w:hideMark/>
          </w:tcPr>
          <w:p w14:paraId="373A356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35,232.39</w:t>
            </w:r>
          </w:p>
        </w:tc>
      </w:tr>
      <w:tr w:rsidR="00E52AC1" w:rsidRPr="003D6707" w14:paraId="135D17F6"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549E6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392</w:t>
            </w:r>
          </w:p>
        </w:tc>
        <w:tc>
          <w:tcPr>
            <w:tcW w:w="3288" w:type="dxa"/>
            <w:tcBorders>
              <w:top w:val="nil"/>
              <w:left w:val="nil"/>
              <w:bottom w:val="single" w:sz="4" w:space="0" w:color="auto"/>
              <w:right w:val="single" w:sz="4" w:space="0" w:color="auto"/>
            </w:tcBorders>
            <w:shd w:val="clear" w:color="auto" w:fill="auto"/>
            <w:vAlign w:val="center"/>
            <w:hideMark/>
          </w:tcPr>
          <w:p w14:paraId="554DD29F"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Amortizarea activelor nemateriale</w:t>
            </w:r>
          </w:p>
        </w:tc>
        <w:tc>
          <w:tcPr>
            <w:tcW w:w="1000" w:type="dxa"/>
            <w:tcBorders>
              <w:top w:val="nil"/>
              <w:left w:val="nil"/>
              <w:bottom w:val="single" w:sz="4" w:space="0" w:color="auto"/>
              <w:right w:val="single" w:sz="4" w:space="0" w:color="auto"/>
            </w:tcBorders>
            <w:shd w:val="clear" w:color="auto" w:fill="auto"/>
            <w:noWrap/>
            <w:vAlign w:val="center"/>
            <w:hideMark/>
          </w:tcPr>
          <w:p w14:paraId="25960BA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56,288.57</w:t>
            </w:r>
          </w:p>
        </w:tc>
        <w:tc>
          <w:tcPr>
            <w:tcW w:w="1000" w:type="dxa"/>
            <w:tcBorders>
              <w:top w:val="nil"/>
              <w:left w:val="nil"/>
              <w:bottom w:val="single" w:sz="4" w:space="0" w:color="auto"/>
              <w:right w:val="single" w:sz="4" w:space="0" w:color="auto"/>
            </w:tcBorders>
            <w:shd w:val="clear" w:color="auto" w:fill="auto"/>
            <w:noWrap/>
            <w:vAlign w:val="center"/>
            <w:hideMark/>
          </w:tcPr>
          <w:p w14:paraId="084AFDF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70,143.52</w:t>
            </w:r>
          </w:p>
        </w:tc>
        <w:tc>
          <w:tcPr>
            <w:tcW w:w="1000" w:type="dxa"/>
            <w:tcBorders>
              <w:top w:val="nil"/>
              <w:left w:val="nil"/>
              <w:bottom w:val="single" w:sz="4" w:space="0" w:color="auto"/>
              <w:right w:val="single" w:sz="4" w:space="0" w:color="auto"/>
            </w:tcBorders>
            <w:shd w:val="clear" w:color="auto" w:fill="auto"/>
            <w:noWrap/>
            <w:vAlign w:val="center"/>
            <w:hideMark/>
          </w:tcPr>
          <w:p w14:paraId="3FFD817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78,763.87</w:t>
            </w:r>
          </w:p>
        </w:tc>
        <w:tc>
          <w:tcPr>
            <w:tcW w:w="1000" w:type="dxa"/>
            <w:tcBorders>
              <w:top w:val="nil"/>
              <w:left w:val="nil"/>
              <w:bottom w:val="single" w:sz="4" w:space="0" w:color="auto"/>
              <w:right w:val="single" w:sz="4" w:space="0" w:color="auto"/>
            </w:tcBorders>
            <w:shd w:val="clear" w:color="auto" w:fill="auto"/>
            <w:noWrap/>
            <w:vAlign w:val="center"/>
            <w:hideMark/>
          </w:tcPr>
          <w:p w14:paraId="7B5D57F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53,025.68</w:t>
            </w:r>
          </w:p>
        </w:tc>
        <w:tc>
          <w:tcPr>
            <w:tcW w:w="1000" w:type="dxa"/>
            <w:tcBorders>
              <w:top w:val="nil"/>
              <w:left w:val="nil"/>
              <w:bottom w:val="single" w:sz="4" w:space="0" w:color="auto"/>
              <w:right w:val="single" w:sz="4" w:space="0" w:color="auto"/>
            </w:tcBorders>
            <w:shd w:val="clear" w:color="auto" w:fill="auto"/>
            <w:noWrap/>
            <w:vAlign w:val="center"/>
            <w:hideMark/>
          </w:tcPr>
          <w:p w14:paraId="4703E05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57,929.83</w:t>
            </w:r>
          </w:p>
        </w:tc>
        <w:tc>
          <w:tcPr>
            <w:tcW w:w="1379" w:type="dxa"/>
            <w:tcBorders>
              <w:top w:val="nil"/>
              <w:left w:val="nil"/>
              <w:bottom w:val="single" w:sz="4" w:space="0" w:color="auto"/>
              <w:right w:val="single" w:sz="4" w:space="0" w:color="auto"/>
            </w:tcBorders>
            <w:shd w:val="clear" w:color="auto" w:fill="auto"/>
            <w:noWrap/>
            <w:vAlign w:val="center"/>
            <w:hideMark/>
          </w:tcPr>
          <w:p w14:paraId="7AC15193"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10%</w:t>
            </w:r>
          </w:p>
        </w:tc>
        <w:tc>
          <w:tcPr>
            <w:tcW w:w="1100" w:type="dxa"/>
            <w:tcBorders>
              <w:top w:val="nil"/>
              <w:left w:val="nil"/>
              <w:bottom w:val="single" w:sz="4" w:space="0" w:color="auto"/>
              <w:right w:val="single" w:sz="4" w:space="0" w:color="auto"/>
            </w:tcBorders>
            <w:shd w:val="clear" w:color="auto" w:fill="auto"/>
            <w:noWrap/>
            <w:vAlign w:val="center"/>
            <w:hideMark/>
          </w:tcPr>
          <w:p w14:paraId="65635F8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13,854.95</w:t>
            </w:r>
          </w:p>
        </w:tc>
        <w:tc>
          <w:tcPr>
            <w:tcW w:w="1060" w:type="dxa"/>
            <w:tcBorders>
              <w:top w:val="nil"/>
              <w:left w:val="nil"/>
              <w:bottom w:val="single" w:sz="4" w:space="0" w:color="auto"/>
              <w:right w:val="single" w:sz="4" w:space="0" w:color="auto"/>
            </w:tcBorders>
            <w:shd w:val="clear" w:color="auto" w:fill="auto"/>
            <w:noWrap/>
            <w:vAlign w:val="center"/>
            <w:hideMark/>
          </w:tcPr>
          <w:p w14:paraId="3055747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8,620.35</w:t>
            </w:r>
          </w:p>
        </w:tc>
        <w:tc>
          <w:tcPr>
            <w:tcW w:w="1080" w:type="dxa"/>
            <w:tcBorders>
              <w:top w:val="nil"/>
              <w:left w:val="nil"/>
              <w:bottom w:val="single" w:sz="4" w:space="0" w:color="auto"/>
              <w:right w:val="single" w:sz="4" w:space="0" w:color="auto"/>
            </w:tcBorders>
            <w:shd w:val="clear" w:color="auto" w:fill="auto"/>
            <w:noWrap/>
            <w:vAlign w:val="center"/>
            <w:hideMark/>
          </w:tcPr>
          <w:p w14:paraId="59620E0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-25,738.18</w:t>
            </w:r>
          </w:p>
        </w:tc>
        <w:tc>
          <w:tcPr>
            <w:tcW w:w="1020" w:type="dxa"/>
            <w:tcBorders>
              <w:top w:val="nil"/>
              <w:left w:val="nil"/>
              <w:bottom w:val="single" w:sz="4" w:space="0" w:color="auto"/>
              <w:right w:val="single" w:sz="4" w:space="0" w:color="auto"/>
            </w:tcBorders>
            <w:shd w:val="clear" w:color="auto" w:fill="auto"/>
            <w:noWrap/>
            <w:vAlign w:val="center"/>
            <w:hideMark/>
          </w:tcPr>
          <w:p w14:paraId="21C1656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4,904.15</w:t>
            </w:r>
          </w:p>
        </w:tc>
      </w:tr>
      <w:tr w:rsidR="00E52AC1" w:rsidRPr="003D6707" w14:paraId="01724CA5" w14:textId="77777777" w:rsidTr="00E52AC1">
        <w:trPr>
          <w:trHeight w:val="38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6CFA87" w14:textId="77777777" w:rsidR="00E52AC1" w:rsidRPr="003D6707" w:rsidRDefault="00E52AC1" w:rsidP="00E52AC1">
            <w:pPr>
              <w:spacing w:after="0" w:line="240" w:lineRule="auto"/>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 </w:t>
            </w:r>
          </w:p>
        </w:tc>
        <w:tc>
          <w:tcPr>
            <w:tcW w:w="3288" w:type="dxa"/>
            <w:tcBorders>
              <w:top w:val="nil"/>
              <w:left w:val="nil"/>
              <w:bottom w:val="single" w:sz="4" w:space="0" w:color="auto"/>
              <w:right w:val="single" w:sz="4" w:space="0" w:color="auto"/>
            </w:tcBorders>
            <w:shd w:val="clear" w:color="auto" w:fill="auto"/>
            <w:vAlign w:val="center"/>
            <w:hideMark/>
          </w:tcPr>
          <w:p w14:paraId="70D3F5CA" w14:textId="77777777" w:rsidR="00E52AC1" w:rsidRPr="003D6707" w:rsidRDefault="00E52AC1" w:rsidP="00E52AC1">
            <w:pPr>
              <w:spacing w:after="0" w:line="240" w:lineRule="auto"/>
              <w:rPr>
                <w:rFonts w:ascii="Calibri Light" w:eastAsia="Times New Roman" w:hAnsi="Calibri Light" w:cs="Calibri Light"/>
                <w:b/>
                <w:bCs/>
                <w:color w:val="000000"/>
                <w:sz w:val="14"/>
                <w:szCs w:val="14"/>
              </w:rPr>
            </w:pPr>
            <w:r w:rsidRPr="003D6707">
              <w:rPr>
                <w:rFonts w:ascii="Calibri Light" w:eastAsia="Times New Roman" w:hAnsi="Calibri Light" w:cs="Calibri Light"/>
                <w:b/>
                <w:bCs/>
                <w:color w:val="000000"/>
                <w:sz w:val="14"/>
                <w:szCs w:val="14"/>
              </w:rPr>
              <w:t>Valoarea de bilanț a mijloacelor fixe (1.3=1.1.999-1.2.999)</w:t>
            </w:r>
          </w:p>
        </w:tc>
        <w:tc>
          <w:tcPr>
            <w:tcW w:w="1000" w:type="dxa"/>
            <w:tcBorders>
              <w:top w:val="nil"/>
              <w:left w:val="nil"/>
              <w:bottom w:val="single" w:sz="4" w:space="0" w:color="auto"/>
              <w:right w:val="single" w:sz="4" w:space="0" w:color="auto"/>
            </w:tcBorders>
            <w:shd w:val="clear" w:color="auto" w:fill="auto"/>
            <w:noWrap/>
            <w:vAlign w:val="center"/>
            <w:hideMark/>
          </w:tcPr>
          <w:p w14:paraId="0E894431"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287,861.19</w:t>
            </w:r>
          </w:p>
        </w:tc>
        <w:tc>
          <w:tcPr>
            <w:tcW w:w="1000" w:type="dxa"/>
            <w:tcBorders>
              <w:top w:val="nil"/>
              <w:left w:val="nil"/>
              <w:bottom w:val="single" w:sz="4" w:space="0" w:color="auto"/>
              <w:right w:val="single" w:sz="4" w:space="0" w:color="auto"/>
            </w:tcBorders>
            <w:shd w:val="clear" w:color="auto" w:fill="auto"/>
            <w:noWrap/>
            <w:vAlign w:val="center"/>
            <w:hideMark/>
          </w:tcPr>
          <w:p w14:paraId="4309BE61"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237,333.97</w:t>
            </w:r>
          </w:p>
        </w:tc>
        <w:tc>
          <w:tcPr>
            <w:tcW w:w="1000" w:type="dxa"/>
            <w:tcBorders>
              <w:top w:val="nil"/>
              <w:left w:val="nil"/>
              <w:bottom w:val="single" w:sz="4" w:space="0" w:color="auto"/>
              <w:right w:val="single" w:sz="4" w:space="0" w:color="auto"/>
            </w:tcBorders>
            <w:shd w:val="clear" w:color="auto" w:fill="auto"/>
            <w:noWrap/>
            <w:vAlign w:val="center"/>
            <w:hideMark/>
          </w:tcPr>
          <w:p w14:paraId="67D95A04"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244,276.31</w:t>
            </w:r>
          </w:p>
        </w:tc>
        <w:tc>
          <w:tcPr>
            <w:tcW w:w="1000" w:type="dxa"/>
            <w:tcBorders>
              <w:top w:val="nil"/>
              <w:left w:val="nil"/>
              <w:bottom w:val="single" w:sz="4" w:space="0" w:color="auto"/>
              <w:right w:val="single" w:sz="4" w:space="0" w:color="auto"/>
            </w:tcBorders>
            <w:shd w:val="clear" w:color="auto" w:fill="auto"/>
            <w:noWrap/>
            <w:vAlign w:val="center"/>
            <w:hideMark/>
          </w:tcPr>
          <w:p w14:paraId="185F2FEF"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239,300.17</w:t>
            </w:r>
          </w:p>
        </w:tc>
        <w:tc>
          <w:tcPr>
            <w:tcW w:w="1000" w:type="dxa"/>
            <w:tcBorders>
              <w:top w:val="nil"/>
              <w:left w:val="nil"/>
              <w:bottom w:val="single" w:sz="4" w:space="0" w:color="auto"/>
              <w:right w:val="single" w:sz="4" w:space="0" w:color="auto"/>
            </w:tcBorders>
            <w:shd w:val="clear" w:color="auto" w:fill="auto"/>
            <w:noWrap/>
            <w:vAlign w:val="center"/>
            <w:hideMark/>
          </w:tcPr>
          <w:p w14:paraId="16BEAD8E"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248,150.30</w:t>
            </w:r>
          </w:p>
        </w:tc>
        <w:tc>
          <w:tcPr>
            <w:tcW w:w="1379" w:type="dxa"/>
            <w:tcBorders>
              <w:top w:val="nil"/>
              <w:left w:val="nil"/>
              <w:bottom w:val="single" w:sz="4" w:space="0" w:color="auto"/>
              <w:right w:val="single" w:sz="4" w:space="0" w:color="auto"/>
            </w:tcBorders>
            <w:shd w:val="clear" w:color="auto" w:fill="auto"/>
            <w:noWrap/>
            <w:vAlign w:val="center"/>
            <w:hideMark/>
          </w:tcPr>
          <w:p w14:paraId="2C14F03C"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43%</w:t>
            </w:r>
          </w:p>
        </w:tc>
        <w:tc>
          <w:tcPr>
            <w:tcW w:w="1100" w:type="dxa"/>
            <w:tcBorders>
              <w:top w:val="nil"/>
              <w:left w:val="nil"/>
              <w:bottom w:val="single" w:sz="4" w:space="0" w:color="auto"/>
              <w:right w:val="single" w:sz="4" w:space="0" w:color="auto"/>
            </w:tcBorders>
            <w:shd w:val="clear" w:color="auto" w:fill="auto"/>
            <w:noWrap/>
            <w:vAlign w:val="center"/>
            <w:hideMark/>
          </w:tcPr>
          <w:p w14:paraId="3A510AD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-50,527.22</w:t>
            </w:r>
          </w:p>
        </w:tc>
        <w:tc>
          <w:tcPr>
            <w:tcW w:w="1060" w:type="dxa"/>
            <w:tcBorders>
              <w:top w:val="nil"/>
              <w:left w:val="nil"/>
              <w:bottom w:val="single" w:sz="4" w:space="0" w:color="auto"/>
              <w:right w:val="single" w:sz="4" w:space="0" w:color="auto"/>
            </w:tcBorders>
            <w:shd w:val="clear" w:color="auto" w:fill="auto"/>
            <w:noWrap/>
            <w:vAlign w:val="center"/>
            <w:hideMark/>
          </w:tcPr>
          <w:p w14:paraId="521A645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6,942.34</w:t>
            </w:r>
          </w:p>
        </w:tc>
        <w:tc>
          <w:tcPr>
            <w:tcW w:w="1080" w:type="dxa"/>
            <w:tcBorders>
              <w:top w:val="nil"/>
              <w:left w:val="nil"/>
              <w:bottom w:val="single" w:sz="4" w:space="0" w:color="auto"/>
              <w:right w:val="single" w:sz="4" w:space="0" w:color="auto"/>
            </w:tcBorders>
            <w:shd w:val="clear" w:color="auto" w:fill="auto"/>
            <w:noWrap/>
            <w:vAlign w:val="center"/>
            <w:hideMark/>
          </w:tcPr>
          <w:p w14:paraId="5987AC2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-4,976.14</w:t>
            </w:r>
          </w:p>
        </w:tc>
        <w:tc>
          <w:tcPr>
            <w:tcW w:w="1020" w:type="dxa"/>
            <w:tcBorders>
              <w:top w:val="nil"/>
              <w:left w:val="nil"/>
              <w:bottom w:val="single" w:sz="4" w:space="0" w:color="auto"/>
              <w:right w:val="single" w:sz="4" w:space="0" w:color="auto"/>
            </w:tcBorders>
            <w:shd w:val="clear" w:color="auto" w:fill="auto"/>
            <w:noWrap/>
            <w:vAlign w:val="center"/>
            <w:hideMark/>
          </w:tcPr>
          <w:p w14:paraId="44E4328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8,850.13</w:t>
            </w:r>
          </w:p>
        </w:tc>
      </w:tr>
      <w:tr w:rsidR="00E52AC1" w:rsidRPr="003D6707" w14:paraId="38362B5D"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F2F7E3"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32</w:t>
            </w:r>
          </w:p>
        </w:tc>
        <w:tc>
          <w:tcPr>
            <w:tcW w:w="3288" w:type="dxa"/>
            <w:tcBorders>
              <w:top w:val="nil"/>
              <w:left w:val="nil"/>
              <w:bottom w:val="single" w:sz="4" w:space="0" w:color="auto"/>
              <w:right w:val="single" w:sz="4" w:space="0" w:color="auto"/>
            </w:tcBorders>
            <w:shd w:val="clear" w:color="auto" w:fill="auto"/>
            <w:vAlign w:val="center"/>
            <w:hideMark/>
          </w:tcPr>
          <w:p w14:paraId="3C1C7DCF" w14:textId="77777777" w:rsidR="00E52AC1" w:rsidRPr="003D6707" w:rsidRDefault="00E52AC1" w:rsidP="00E52AC1">
            <w:pPr>
              <w:spacing w:after="0" w:line="240" w:lineRule="auto"/>
              <w:rPr>
                <w:rFonts w:ascii="Calibri Light" w:eastAsia="Times New Roman" w:hAnsi="Calibri Light" w:cs="Calibri Light"/>
                <w:b/>
                <w:bCs/>
                <w:color w:val="000000"/>
                <w:sz w:val="14"/>
                <w:szCs w:val="14"/>
              </w:rPr>
            </w:pPr>
            <w:r w:rsidRPr="003D6707">
              <w:rPr>
                <w:rFonts w:ascii="Calibri Light" w:eastAsia="Times New Roman" w:hAnsi="Calibri Light" w:cs="Calibri Light"/>
                <w:b/>
                <w:bCs/>
                <w:color w:val="000000"/>
                <w:sz w:val="14"/>
                <w:szCs w:val="14"/>
              </w:rPr>
              <w:t>REZERVE MATERIALE DE STAT</w:t>
            </w:r>
          </w:p>
        </w:tc>
        <w:tc>
          <w:tcPr>
            <w:tcW w:w="1000" w:type="dxa"/>
            <w:tcBorders>
              <w:top w:val="nil"/>
              <w:left w:val="nil"/>
              <w:bottom w:val="single" w:sz="4" w:space="0" w:color="auto"/>
              <w:right w:val="single" w:sz="4" w:space="0" w:color="auto"/>
            </w:tcBorders>
            <w:shd w:val="clear" w:color="auto" w:fill="auto"/>
            <w:noWrap/>
            <w:vAlign w:val="center"/>
            <w:hideMark/>
          </w:tcPr>
          <w:p w14:paraId="2C1331F9"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7770EF6D"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429E1DDC"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46EC651A"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75EF6AA9"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0.00</w:t>
            </w:r>
          </w:p>
        </w:tc>
        <w:tc>
          <w:tcPr>
            <w:tcW w:w="1379" w:type="dxa"/>
            <w:tcBorders>
              <w:top w:val="nil"/>
              <w:left w:val="nil"/>
              <w:bottom w:val="single" w:sz="4" w:space="0" w:color="auto"/>
              <w:right w:val="single" w:sz="4" w:space="0" w:color="auto"/>
            </w:tcBorders>
            <w:shd w:val="clear" w:color="auto" w:fill="auto"/>
            <w:noWrap/>
            <w:vAlign w:val="center"/>
            <w:hideMark/>
          </w:tcPr>
          <w:p w14:paraId="7CDBDBE3"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0%</w:t>
            </w:r>
          </w:p>
        </w:tc>
        <w:tc>
          <w:tcPr>
            <w:tcW w:w="1100" w:type="dxa"/>
            <w:tcBorders>
              <w:top w:val="nil"/>
              <w:left w:val="nil"/>
              <w:bottom w:val="single" w:sz="4" w:space="0" w:color="auto"/>
              <w:right w:val="single" w:sz="4" w:space="0" w:color="auto"/>
            </w:tcBorders>
            <w:shd w:val="clear" w:color="auto" w:fill="auto"/>
            <w:noWrap/>
            <w:vAlign w:val="center"/>
            <w:hideMark/>
          </w:tcPr>
          <w:p w14:paraId="198F957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3465D5C4"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80" w:type="dxa"/>
            <w:tcBorders>
              <w:top w:val="nil"/>
              <w:left w:val="nil"/>
              <w:bottom w:val="single" w:sz="4" w:space="0" w:color="auto"/>
              <w:right w:val="single" w:sz="4" w:space="0" w:color="auto"/>
            </w:tcBorders>
            <w:shd w:val="clear" w:color="auto" w:fill="auto"/>
            <w:noWrap/>
            <w:vAlign w:val="center"/>
            <w:hideMark/>
          </w:tcPr>
          <w:p w14:paraId="41C68A6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78B7A4B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r>
      <w:tr w:rsidR="00E52AC1" w:rsidRPr="003D6707" w14:paraId="4DC5BEA7"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2A5B71"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33</w:t>
            </w:r>
          </w:p>
        </w:tc>
        <w:tc>
          <w:tcPr>
            <w:tcW w:w="3288" w:type="dxa"/>
            <w:tcBorders>
              <w:top w:val="nil"/>
              <w:left w:val="nil"/>
              <w:bottom w:val="single" w:sz="4" w:space="0" w:color="auto"/>
              <w:right w:val="single" w:sz="4" w:space="0" w:color="auto"/>
            </w:tcBorders>
            <w:shd w:val="clear" w:color="auto" w:fill="auto"/>
            <w:vAlign w:val="center"/>
            <w:hideMark/>
          </w:tcPr>
          <w:p w14:paraId="2102AA8F" w14:textId="77777777" w:rsidR="00E52AC1" w:rsidRPr="003D6707" w:rsidRDefault="00E52AC1" w:rsidP="00E52AC1">
            <w:pPr>
              <w:spacing w:after="0" w:line="240" w:lineRule="auto"/>
              <w:rPr>
                <w:rFonts w:ascii="Calibri Light" w:eastAsia="Times New Roman" w:hAnsi="Calibri Light" w:cs="Calibri Light"/>
                <w:b/>
                <w:bCs/>
                <w:color w:val="000000"/>
                <w:sz w:val="14"/>
                <w:szCs w:val="14"/>
              </w:rPr>
            </w:pPr>
            <w:r w:rsidRPr="003D6707">
              <w:rPr>
                <w:rFonts w:ascii="Calibri Light" w:eastAsia="Times New Roman" w:hAnsi="Calibri Light" w:cs="Calibri Light"/>
                <w:b/>
                <w:bCs/>
                <w:color w:val="000000"/>
                <w:sz w:val="14"/>
                <w:szCs w:val="14"/>
              </w:rPr>
              <w:t>STOCURI DE MATERIALE CIRCULANTE</w:t>
            </w:r>
          </w:p>
        </w:tc>
        <w:tc>
          <w:tcPr>
            <w:tcW w:w="1000" w:type="dxa"/>
            <w:tcBorders>
              <w:top w:val="nil"/>
              <w:left w:val="nil"/>
              <w:bottom w:val="single" w:sz="4" w:space="0" w:color="auto"/>
              <w:right w:val="single" w:sz="4" w:space="0" w:color="auto"/>
            </w:tcBorders>
            <w:shd w:val="clear" w:color="auto" w:fill="auto"/>
            <w:noWrap/>
            <w:vAlign w:val="center"/>
            <w:hideMark/>
          </w:tcPr>
          <w:p w14:paraId="7E5605BD"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12,054.21</w:t>
            </w:r>
          </w:p>
        </w:tc>
        <w:tc>
          <w:tcPr>
            <w:tcW w:w="1000" w:type="dxa"/>
            <w:tcBorders>
              <w:top w:val="nil"/>
              <w:left w:val="nil"/>
              <w:bottom w:val="single" w:sz="4" w:space="0" w:color="auto"/>
              <w:right w:val="single" w:sz="4" w:space="0" w:color="auto"/>
            </w:tcBorders>
            <w:shd w:val="clear" w:color="auto" w:fill="auto"/>
            <w:noWrap/>
            <w:vAlign w:val="center"/>
            <w:hideMark/>
          </w:tcPr>
          <w:p w14:paraId="4527230A"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12,044.82</w:t>
            </w:r>
          </w:p>
        </w:tc>
        <w:tc>
          <w:tcPr>
            <w:tcW w:w="1000" w:type="dxa"/>
            <w:tcBorders>
              <w:top w:val="nil"/>
              <w:left w:val="nil"/>
              <w:bottom w:val="single" w:sz="4" w:space="0" w:color="auto"/>
              <w:right w:val="single" w:sz="4" w:space="0" w:color="auto"/>
            </w:tcBorders>
            <w:shd w:val="clear" w:color="auto" w:fill="auto"/>
            <w:noWrap/>
            <w:vAlign w:val="center"/>
            <w:hideMark/>
          </w:tcPr>
          <w:p w14:paraId="09780862"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12,050.56</w:t>
            </w:r>
          </w:p>
        </w:tc>
        <w:tc>
          <w:tcPr>
            <w:tcW w:w="1000" w:type="dxa"/>
            <w:tcBorders>
              <w:top w:val="nil"/>
              <w:left w:val="nil"/>
              <w:bottom w:val="single" w:sz="4" w:space="0" w:color="auto"/>
              <w:right w:val="single" w:sz="4" w:space="0" w:color="auto"/>
            </w:tcBorders>
            <w:shd w:val="clear" w:color="auto" w:fill="auto"/>
            <w:noWrap/>
            <w:vAlign w:val="center"/>
            <w:hideMark/>
          </w:tcPr>
          <w:p w14:paraId="5CE65198"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13,207.11</w:t>
            </w:r>
          </w:p>
        </w:tc>
        <w:tc>
          <w:tcPr>
            <w:tcW w:w="1000" w:type="dxa"/>
            <w:tcBorders>
              <w:top w:val="nil"/>
              <w:left w:val="nil"/>
              <w:bottom w:val="single" w:sz="4" w:space="0" w:color="auto"/>
              <w:right w:val="single" w:sz="4" w:space="0" w:color="auto"/>
            </w:tcBorders>
            <w:shd w:val="clear" w:color="auto" w:fill="auto"/>
            <w:noWrap/>
            <w:vAlign w:val="center"/>
            <w:hideMark/>
          </w:tcPr>
          <w:p w14:paraId="0AD524B1"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14,804.00</w:t>
            </w:r>
          </w:p>
        </w:tc>
        <w:tc>
          <w:tcPr>
            <w:tcW w:w="1379" w:type="dxa"/>
            <w:tcBorders>
              <w:top w:val="nil"/>
              <w:left w:val="nil"/>
              <w:bottom w:val="single" w:sz="4" w:space="0" w:color="auto"/>
              <w:right w:val="single" w:sz="4" w:space="0" w:color="auto"/>
            </w:tcBorders>
            <w:shd w:val="clear" w:color="auto" w:fill="auto"/>
            <w:noWrap/>
            <w:vAlign w:val="center"/>
            <w:hideMark/>
          </w:tcPr>
          <w:p w14:paraId="2DED4011"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3%</w:t>
            </w:r>
          </w:p>
        </w:tc>
        <w:tc>
          <w:tcPr>
            <w:tcW w:w="1100" w:type="dxa"/>
            <w:tcBorders>
              <w:top w:val="nil"/>
              <w:left w:val="nil"/>
              <w:bottom w:val="single" w:sz="4" w:space="0" w:color="auto"/>
              <w:right w:val="single" w:sz="4" w:space="0" w:color="auto"/>
            </w:tcBorders>
            <w:shd w:val="clear" w:color="auto" w:fill="auto"/>
            <w:noWrap/>
            <w:vAlign w:val="center"/>
            <w:hideMark/>
          </w:tcPr>
          <w:p w14:paraId="01BF94A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-9.39</w:t>
            </w:r>
          </w:p>
        </w:tc>
        <w:tc>
          <w:tcPr>
            <w:tcW w:w="1060" w:type="dxa"/>
            <w:tcBorders>
              <w:top w:val="nil"/>
              <w:left w:val="nil"/>
              <w:bottom w:val="single" w:sz="4" w:space="0" w:color="auto"/>
              <w:right w:val="single" w:sz="4" w:space="0" w:color="auto"/>
            </w:tcBorders>
            <w:shd w:val="clear" w:color="auto" w:fill="auto"/>
            <w:noWrap/>
            <w:vAlign w:val="center"/>
            <w:hideMark/>
          </w:tcPr>
          <w:p w14:paraId="2DB5D72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5.74</w:t>
            </w:r>
          </w:p>
        </w:tc>
        <w:tc>
          <w:tcPr>
            <w:tcW w:w="1080" w:type="dxa"/>
            <w:tcBorders>
              <w:top w:val="nil"/>
              <w:left w:val="nil"/>
              <w:bottom w:val="single" w:sz="4" w:space="0" w:color="auto"/>
              <w:right w:val="single" w:sz="4" w:space="0" w:color="auto"/>
            </w:tcBorders>
            <w:shd w:val="clear" w:color="auto" w:fill="auto"/>
            <w:noWrap/>
            <w:vAlign w:val="center"/>
            <w:hideMark/>
          </w:tcPr>
          <w:p w14:paraId="340AE36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1,156.55</w:t>
            </w:r>
          </w:p>
        </w:tc>
        <w:tc>
          <w:tcPr>
            <w:tcW w:w="1020" w:type="dxa"/>
            <w:tcBorders>
              <w:top w:val="nil"/>
              <w:left w:val="nil"/>
              <w:bottom w:val="single" w:sz="4" w:space="0" w:color="auto"/>
              <w:right w:val="single" w:sz="4" w:space="0" w:color="auto"/>
            </w:tcBorders>
            <w:shd w:val="clear" w:color="auto" w:fill="auto"/>
            <w:noWrap/>
            <w:vAlign w:val="center"/>
            <w:hideMark/>
          </w:tcPr>
          <w:p w14:paraId="20C201A4"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1,596.89</w:t>
            </w:r>
          </w:p>
        </w:tc>
      </w:tr>
      <w:tr w:rsidR="00E52AC1" w:rsidRPr="003D6707" w14:paraId="3CDCE391"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2FF0D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331</w:t>
            </w:r>
          </w:p>
        </w:tc>
        <w:tc>
          <w:tcPr>
            <w:tcW w:w="3288" w:type="dxa"/>
            <w:tcBorders>
              <w:top w:val="nil"/>
              <w:left w:val="nil"/>
              <w:bottom w:val="single" w:sz="4" w:space="0" w:color="auto"/>
              <w:right w:val="single" w:sz="4" w:space="0" w:color="auto"/>
            </w:tcBorders>
            <w:shd w:val="clear" w:color="auto" w:fill="auto"/>
            <w:vAlign w:val="center"/>
            <w:hideMark/>
          </w:tcPr>
          <w:p w14:paraId="6837890D"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Combustibil, carburanți și lubrifianți</w:t>
            </w:r>
          </w:p>
        </w:tc>
        <w:tc>
          <w:tcPr>
            <w:tcW w:w="1000" w:type="dxa"/>
            <w:tcBorders>
              <w:top w:val="nil"/>
              <w:left w:val="nil"/>
              <w:bottom w:val="single" w:sz="4" w:space="0" w:color="auto"/>
              <w:right w:val="single" w:sz="4" w:space="0" w:color="auto"/>
            </w:tcBorders>
            <w:shd w:val="clear" w:color="auto" w:fill="auto"/>
            <w:noWrap/>
            <w:vAlign w:val="center"/>
            <w:hideMark/>
          </w:tcPr>
          <w:p w14:paraId="359197D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640.07</w:t>
            </w:r>
          </w:p>
        </w:tc>
        <w:tc>
          <w:tcPr>
            <w:tcW w:w="1000" w:type="dxa"/>
            <w:tcBorders>
              <w:top w:val="nil"/>
              <w:left w:val="nil"/>
              <w:bottom w:val="single" w:sz="4" w:space="0" w:color="auto"/>
              <w:right w:val="single" w:sz="4" w:space="0" w:color="auto"/>
            </w:tcBorders>
            <w:shd w:val="clear" w:color="auto" w:fill="auto"/>
            <w:noWrap/>
            <w:vAlign w:val="center"/>
            <w:hideMark/>
          </w:tcPr>
          <w:p w14:paraId="2D7B881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858.64</w:t>
            </w:r>
          </w:p>
        </w:tc>
        <w:tc>
          <w:tcPr>
            <w:tcW w:w="1000" w:type="dxa"/>
            <w:tcBorders>
              <w:top w:val="nil"/>
              <w:left w:val="nil"/>
              <w:bottom w:val="single" w:sz="4" w:space="0" w:color="auto"/>
              <w:right w:val="single" w:sz="4" w:space="0" w:color="auto"/>
            </w:tcBorders>
            <w:shd w:val="clear" w:color="auto" w:fill="auto"/>
            <w:noWrap/>
            <w:vAlign w:val="center"/>
            <w:hideMark/>
          </w:tcPr>
          <w:p w14:paraId="7721E5C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834.20</w:t>
            </w:r>
          </w:p>
        </w:tc>
        <w:tc>
          <w:tcPr>
            <w:tcW w:w="1000" w:type="dxa"/>
            <w:tcBorders>
              <w:top w:val="nil"/>
              <w:left w:val="nil"/>
              <w:bottom w:val="single" w:sz="4" w:space="0" w:color="auto"/>
              <w:right w:val="single" w:sz="4" w:space="0" w:color="auto"/>
            </w:tcBorders>
            <w:shd w:val="clear" w:color="auto" w:fill="auto"/>
            <w:noWrap/>
            <w:vAlign w:val="center"/>
            <w:hideMark/>
          </w:tcPr>
          <w:p w14:paraId="6A77E47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1,092.03</w:t>
            </w:r>
          </w:p>
        </w:tc>
        <w:tc>
          <w:tcPr>
            <w:tcW w:w="1000" w:type="dxa"/>
            <w:tcBorders>
              <w:top w:val="nil"/>
              <w:left w:val="nil"/>
              <w:bottom w:val="single" w:sz="4" w:space="0" w:color="auto"/>
              <w:right w:val="single" w:sz="4" w:space="0" w:color="auto"/>
            </w:tcBorders>
            <w:shd w:val="clear" w:color="auto" w:fill="auto"/>
            <w:noWrap/>
            <w:vAlign w:val="center"/>
            <w:hideMark/>
          </w:tcPr>
          <w:p w14:paraId="1483C04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1,504.78</w:t>
            </w:r>
          </w:p>
        </w:tc>
        <w:tc>
          <w:tcPr>
            <w:tcW w:w="1379" w:type="dxa"/>
            <w:tcBorders>
              <w:top w:val="nil"/>
              <w:left w:val="nil"/>
              <w:bottom w:val="single" w:sz="4" w:space="0" w:color="auto"/>
              <w:right w:val="single" w:sz="4" w:space="0" w:color="auto"/>
            </w:tcBorders>
            <w:shd w:val="clear" w:color="auto" w:fill="auto"/>
            <w:noWrap/>
            <w:vAlign w:val="center"/>
            <w:hideMark/>
          </w:tcPr>
          <w:p w14:paraId="1D736B76"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0%</w:t>
            </w:r>
          </w:p>
        </w:tc>
        <w:tc>
          <w:tcPr>
            <w:tcW w:w="1100" w:type="dxa"/>
            <w:tcBorders>
              <w:top w:val="nil"/>
              <w:left w:val="nil"/>
              <w:bottom w:val="single" w:sz="4" w:space="0" w:color="auto"/>
              <w:right w:val="single" w:sz="4" w:space="0" w:color="auto"/>
            </w:tcBorders>
            <w:shd w:val="clear" w:color="auto" w:fill="auto"/>
            <w:noWrap/>
            <w:vAlign w:val="center"/>
            <w:hideMark/>
          </w:tcPr>
          <w:p w14:paraId="6FEE4C4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218.57</w:t>
            </w:r>
          </w:p>
        </w:tc>
        <w:tc>
          <w:tcPr>
            <w:tcW w:w="1060" w:type="dxa"/>
            <w:tcBorders>
              <w:top w:val="nil"/>
              <w:left w:val="nil"/>
              <w:bottom w:val="single" w:sz="4" w:space="0" w:color="auto"/>
              <w:right w:val="single" w:sz="4" w:space="0" w:color="auto"/>
            </w:tcBorders>
            <w:shd w:val="clear" w:color="auto" w:fill="auto"/>
            <w:noWrap/>
            <w:vAlign w:val="center"/>
            <w:hideMark/>
          </w:tcPr>
          <w:p w14:paraId="23F14BC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-24.44</w:t>
            </w:r>
          </w:p>
        </w:tc>
        <w:tc>
          <w:tcPr>
            <w:tcW w:w="1080" w:type="dxa"/>
            <w:tcBorders>
              <w:top w:val="nil"/>
              <w:left w:val="nil"/>
              <w:bottom w:val="single" w:sz="4" w:space="0" w:color="auto"/>
              <w:right w:val="single" w:sz="4" w:space="0" w:color="auto"/>
            </w:tcBorders>
            <w:shd w:val="clear" w:color="auto" w:fill="auto"/>
            <w:noWrap/>
            <w:vAlign w:val="center"/>
            <w:hideMark/>
          </w:tcPr>
          <w:p w14:paraId="7AF4370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257.83</w:t>
            </w:r>
          </w:p>
        </w:tc>
        <w:tc>
          <w:tcPr>
            <w:tcW w:w="1020" w:type="dxa"/>
            <w:tcBorders>
              <w:top w:val="nil"/>
              <w:left w:val="nil"/>
              <w:bottom w:val="single" w:sz="4" w:space="0" w:color="auto"/>
              <w:right w:val="single" w:sz="4" w:space="0" w:color="auto"/>
            </w:tcBorders>
            <w:shd w:val="clear" w:color="auto" w:fill="auto"/>
            <w:noWrap/>
            <w:vAlign w:val="center"/>
            <w:hideMark/>
          </w:tcPr>
          <w:p w14:paraId="05EEFFE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412.75</w:t>
            </w:r>
          </w:p>
        </w:tc>
      </w:tr>
      <w:tr w:rsidR="00E52AC1" w:rsidRPr="003D6707" w14:paraId="617250B4"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12FB8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332</w:t>
            </w:r>
          </w:p>
        </w:tc>
        <w:tc>
          <w:tcPr>
            <w:tcW w:w="3288" w:type="dxa"/>
            <w:tcBorders>
              <w:top w:val="nil"/>
              <w:left w:val="nil"/>
              <w:bottom w:val="single" w:sz="4" w:space="0" w:color="auto"/>
              <w:right w:val="single" w:sz="4" w:space="0" w:color="auto"/>
            </w:tcBorders>
            <w:shd w:val="clear" w:color="auto" w:fill="auto"/>
            <w:vAlign w:val="center"/>
            <w:hideMark/>
          </w:tcPr>
          <w:p w14:paraId="5049542C"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Piese de schimb</w:t>
            </w:r>
          </w:p>
        </w:tc>
        <w:tc>
          <w:tcPr>
            <w:tcW w:w="1000" w:type="dxa"/>
            <w:tcBorders>
              <w:top w:val="nil"/>
              <w:left w:val="nil"/>
              <w:bottom w:val="single" w:sz="4" w:space="0" w:color="auto"/>
              <w:right w:val="single" w:sz="4" w:space="0" w:color="auto"/>
            </w:tcBorders>
            <w:shd w:val="clear" w:color="auto" w:fill="auto"/>
            <w:noWrap/>
            <w:vAlign w:val="center"/>
            <w:hideMark/>
          </w:tcPr>
          <w:p w14:paraId="282EF0CE"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3,659.18</w:t>
            </w:r>
          </w:p>
        </w:tc>
        <w:tc>
          <w:tcPr>
            <w:tcW w:w="1000" w:type="dxa"/>
            <w:tcBorders>
              <w:top w:val="nil"/>
              <w:left w:val="nil"/>
              <w:bottom w:val="single" w:sz="4" w:space="0" w:color="auto"/>
              <w:right w:val="single" w:sz="4" w:space="0" w:color="auto"/>
            </w:tcBorders>
            <w:shd w:val="clear" w:color="auto" w:fill="auto"/>
            <w:noWrap/>
            <w:vAlign w:val="center"/>
            <w:hideMark/>
          </w:tcPr>
          <w:p w14:paraId="2BD8E574"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3,559.60</w:t>
            </w:r>
          </w:p>
        </w:tc>
        <w:tc>
          <w:tcPr>
            <w:tcW w:w="1000" w:type="dxa"/>
            <w:tcBorders>
              <w:top w:val="nil"/>
              <w:left w:val="nil"/>
              <w:bottom w:val="single" w:sz="4" w:space="0" w:color="auto"/>
              <w:right w:val="single" w:sz="4" w:space="0" w:color="auto"/>
            </w:tcBorders>
            <w:shd w:val="clear" w:color="auto" w:fill="auto"/>
            <w:noWrap/>
            <w:vAlign w:val="center"/>
            <w:hideMark/>
          </w:tcPr>
          <w:p w14:paraId="3AE76C1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3,492.11</w:t>
            </w:r>
          </w:p>
        </w:tc>
        <w:tc>
          <w:tcPr>
            <w:tcW w:w="1000" w:type="dxa"/>
            <w:tcBorders>
              <w:top w:val="nil"/>
              <w:left w:val="nil"/>
              <w:bottom w:val="single" w:sz="4" w:space="0" w:color="auto"/>
              <w:right w:val="single" w:sz="4" w:space="0" w:color="auto"/>
            </w:tcBorders>
            <w:shd w:val="clear" w:color="auto" w:fill="auto"/>
            <w:noWrap/>
            <w:vAlign w:val="center"/>
            <w:hideMark/>
          </w:tcPr>
          <w:p w14:paraId="5B2A2C6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3,909.01</w:t>
            </w:r>
          </w:p>
        </w:tc>
        <w:tc>
          <w:tcPr>
            <w:tcW w:w="1000" w:type="dxa"/>
            <w:tcBorders>
              <w:top w:val="nil"/>
              <w:left w:val="nil"/>
              <w:bottom w:val="single" w:sz="4" w:space="0" w:color="auto"/>
              <w:right w:val="single" w:sz="4" w:space="0" w:color="auto"/>
            </w:tcBorders>
            <w:shd w:val="clear" w:color="auto" w:fill="auto"/>
            <w:noWrap/>
            <w:vAlign w:val="center"/>
            <w:hideMark/>
          </w:tcPr>
          <w:p w14:paraId="7BF6764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4,412.00</w:t>
            </w:r>
          </w:p>
        </w:tc>
        <w:tc>
          <w:tcPr>
            <w:tcW w:w="1379" w:type="dxa"/>
            <w:tcBorders>
              <w:top w:val="nil"/>
              <w:left w:val="nil"/>
              <w:bottom w:val="single" w:sz="4" w:space="0" w:color="auto"/>
              <w:right w:val="single" w:sz="4" w:space="0" w:color="auto"/>
            </w:tcBorders>
            <w:shd w:val="clear" w:color="auto" w:fill="auto"/>
            <w:noWrap/>
            <w:vAlign w:val="center"/>
            <w:hideMark/>
          </w:tcPr>
          <w:p w14:paraId="3923B212"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1%</w:t>
            </w:r>
          </w:p>
        </w:tc>
        <w:tc>
          <w:tcPr>
            <w:tcW w:w="1100" w:type="dxa"/>
            <w:tcBorders>
              <w:top w:val="nil"/>
              <w:left w:val="nil"/>
              <w:bottom w:val="single" w:sz="4" w:space="0" w:color="auto"/>
              <w:right w:val="single" w:sz="4" w:space="0" w:color="auto"/>
            </w:tcBorders>
            <w:shd w:val="clear" w:color="auto" w:fill="auto"/>
            <w:noWrap/>
            <w:vAlign w:val="center"/>
            <w:hideMark/>
          </w:tcPr>
          <w:p w14:paraId="29732C3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-99.58</w:t>
            </w:r>
          </w:p>
        </w:tc>
        <w:tc>
          <w:tcPr>
            <w:tcW w:w="1060" w:type="dxa"/>
            <w:tcBorders>
              <w:top w:val="nil"/>
              <w:left w:val="nil"/>
              <w:bottom w:val="single" w:sz="4" w:space="0" w:color="auto"/>
              <w:right w:val="single" w:sz="4" w:space="0" w:color="auto"/>
            </w:tcBorders>
            <w:shd w:val="clear" w:color="auto" w:fill="auto"/>
            <w:noWrap/>
            <w:vAlign w:val="center"/>
            <w:hideMark/>
          </w:tcPr>
          <w:p w14:paraId="42730A8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-67.49</w:t>
            </w:r>
          </w:p>
        </w:tc>
        <w:tc>
          <w:tcPr>
            <w:tcW w:w="1080" w:type="dxa"/>
            <w:tcBorders>
              <w:top w:val="nil"/>
              <w:left w:val="nil"/>
              <w:bottom w:val="single" w:sz="4" w:space="0" w:color="auto"/>
              <w:right w:val="single" w:sz="4" w:space="0" w:color="auto"/>
            </w:tcBorders>
            <w:shd w:val="clear" w:color="auto" w:fill="auto"/>
            <w:noWrap/>
            <w:vAlign w:val="center"/>
            <w:hideMark/>
          </w:tcPr>
          <w:p w14:paraId="52669AE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416.90</w:t>
            </w:r>
          </w:p>
        </w:tc>
        <w:tc>
          <w:tcPr>
            <w:tcW w:w="1020" w:type="dxa"/>
            <w:tcBorders>
              <w:top w:val="nil"/>
              <w:left w:val="nil"/>
              <w:bottom w:val="single" w:sz="4" w:space="0" w:color="auto"/>
              <w:right w:val="single" w:sz="4" w:space="0" w:color="auto"/>
            </w:tcBorders>
            <w:shd w:val="clear" w:color="auto" w:fill="auto"/>
            <w:noWrap/>
            <w:vAlign w:val="center"/>
            <w:hideMark/>
          </w:tcPr>
          <w:p w14:paraId="455177E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502.99</w:t>
            </w:r>
          </w:p>
        </w:tc>
      </w:tr>
      <w:tr w:rsidR="00E52AC1" w:rsidRPr="003D6707" w14:paraId="3F4538E2"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8EFD8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333</w:t>
            </w:r>
          </w:p>
        </w:tc>
        <w:tc>
          <w:tcPr>
            <w:tcW w:w="3288" w:type="dxa"/>
            <w:tcBorders>
              <w:top w:val="nil"/>
              <w:left w:val="nil"/>
              <w:bottom w:val="single" w:sz="4" w:space="0" w:color="auto"/>
              <w:right w:val="single" w:sz="4" w:space="0" w:color="auto"/>
            </w:tcBorders>
            <w:shd w:val="clear" w:color="auto" w:fill="auto"/>
            <w:vAlign w:val="center"/>
            <w:hideMark/>
          </w:tcPr>
          <w:p w14:paraId="7DA112B5"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Produse alimentare</w:t>
            </w:r>
          </w:p>
        </w:tc>
        <w:tc>
          <w:tcPr>
            <w:tcW w:w="1000" w:type="dxa"/>
            <w:tcBorders>
              <w:top w:val="nil"/>
              <w:left w:val="nil"/>
              <w:bottom w:val="single" w:sz="4" w:space="0" w:color="auto"/>
              <w:right w:val="single" w:sz="4" w:space="0" w:color="auto"/>
            </w:tcBorders>
            <w:shd w:val="clear" w:color="auto" w:fill="auto"/>
            <w:noWrap/>
            <w:vAlign w:val="center"/>
            <w:hideMark/>
          </w:tcPr>
          <w:p w14:paraId="2757B4E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32.09</w:t>
            </w:r>
          </w:p>
        </w:tc>
        <w:tc>
          <w:tcPr>
            <w:tcW w:w="1000" w:type="dxa"/>
            <w:tcBorders>
              <w:top w:val="nil"/>
              <w:left w:val="nil"/>
              <w:bottom w:val="single" w:sz="4" w:space="0" w:color="auto"/>
              <w:right w:val="single" w:sz="4" w:space="0" w:color="auto"/>
            </w:tcBorders>
            <w:shd w:val="clear" w:color="auto" w:fill="auto"/>
            <w:noWrap/>
            <w:vAlign w:val="center"/>
            <w:hideMark/>
          </w:tcPr>
          <w:p w14:paraId="6AC39ADE"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2.96</w:t>
            </w:r>
          </w:p>
        </w:tc>
        <w:tc>
          <w:tcPr>
            <w:tcW w:w="1000" w:type="dxa"/>
            <w:tcBorders>
              <w:top w:val="nil"/>
              <w:left w:val="nil"/>
              <w:bottom w:val="single" w:sz="4" w:space="0" w:color="auto"/>
              <w:right w:val="single" w:sz="4" w:space="0" w:color="auto"/>
            </w:tcBorders>
            <w:shd w:val="clear" w:color="auto" w:fill="auto"/>
            <w:noWrap/>
            <w:vAlign w:val="center"/>
            <w:hideMark/>
          </w:tcPr>
          <w:p w14:paraId="6D192324"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82.89</w:t>
            </w:r>
          </w:p>
        </w:tc>
        <w:tc>
          <w:tcPr>
            <w:tcW w:w="1000" w:type="dxa"/>
            <w:tcBorders>
              <w:top w:val="nil"/>
              <w:left w:val="nil"/>
              <w:bottom w:val="single" w:sz="4" w:space="0" w:color="auto"/>
              <w:right w:val="single" w:sz="4" w:space="0" w:color="auto"/>
            </w:tcBorders>
            <w:shd w:val="clear" w:color="auto" w:fill="auto"/>
            <w:noWrap/>
            <w:vAlign w:val="center"/>
            <w:hideMark/>
          </w:tcPr>
          <w:p w14:paraId="78661CE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53.60</w:t>
            </w:r>
          </w:p>
        </w:tc>
        <w:tc>
          <w:tcPr>
            <w:tcW w:w="1000" w:type="dxa"/>
            <w:tcBorders>
              <w:top w:val="nil"/>
              <w:left w:val="nil"/>
              <w:bottom w:val="single" w:sz="4" w:space="0" w:color="auto"/>
              <w:right w:val="single" w:sz="4" w:space="0" w:color="auto"/>
            </w:tcBorders>
            <w:shd w:val="clear" w:color="auto" w:fill="auto"/>
            <w:noWrap/>
            <w:vAlign w:val="center"/>
            <w:hideMark/>
          </w:tcPr>
          <w:p w14:paraId="006EC6D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104.40</w:t>
            </w:r>
          </w:p>
        </w:tc>
        <w:tc>
          <w:tcPr>
            <w:tcW w:w="1379" w:type="dxa"/>
            <w:tcBorders>
              <w:top w:val="nil"/>
              <w:left w:val="nil"/>
              <w:bottom w:val="single" w:sz="4" w:space="0" w:color="auto"/>
              <w:right w:val="single" w:sz="4" w:space="0" w:color="auto"/>
            </w:tcBorders>
            <w:shd w:val="clear" w:color="auto" w:fill="auto"/>
            <w:noWrap/>
            <w:vAlign w:val="center"/>
            <w:hideMark/>
          </w:tcPr>
          <w:p w14:paraId="34D0187A"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0%</w:t>
            </w:r>
          </w:p>
        </w:tc>
        <w:tc>
          <w:tcPr>
            <w:tcW w:w="1100" w:type="dxa"/>
            <w:tcBorders>
              <w:top w:val="nil"/>
              <w:left w:val="nil"/>
              <w:bottom w:val="single" w:sz="4" w:space="0" w:color="auto"/>
              <w:right w:val="single" w:sz="4" w:space="0" w:color="auto"/>
            </w:tcBorders>
            <w:shd w:val="clear" w:color="auto" w:fill="auto"/>
            <w:noWrap/>
            <w:vAlign w:val="center"/>
            <w:hideMark/>
          </w:tcPr>
          <w:p w14:paraId="2E47D464"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-29.13</w:t>
            </w:r>
          </w:p>
        </w:tc>
        <w:tc>
          <w:tcPr>
            <w:tcW w:w="1060" w:type="dxa"/>
            <w:tcBorders>
              <w:top w:val="nil"/>
              <w:left w:val="nil"/>
              <w:bottom w:val="single" w:sz="4" w:space="0" w:color="auto"/>
              <w:right w:val="single" w:sz="4" w:space="0" w:color="auto"/>
            </w:tcBorders>
            <w:shd w:val="clear" w:color="auto" w:fill="auto"/>
            <w:noWrap/>
            <w:vAlign w:val="center"/>
            <w:hideMark/>
          </w:tcPr>
          <w:p w14:paraId="14ABDE0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79.93</w:t>
            </w:r>
          </w:p>
        </w:tc>
        <w:tc>
          <w:tcPr>
            <w:tcW w:w="1080" w:type="dxa"/>
            <w:tcBorders>
              <w:top w:val="nil"/>
              <w:left w:val="nil"/>
              <w:bottom w:val="single" w:sz="4" w:space="0" w:color="auto"/>
              <w:right w:val="single" w:sz="4" w:space="0" w:color="auto"/>
            </w:tcBorders>
            <w:shd w:val="clear" w:color="auto" w:fill="auto"/>
            <w:noWrap/>
            <w:vAlign w:val="center"/>
            <w:hideMark/>
          </w:tcPr>
          <w:p w14:paraId="20717EA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-29.29</w:t>
            </w:r>
          </w:p>
        </w:tc>
        <w:tc>
          <w:tcPr>
            <w:tcW w:w="1020" w:type="dxa"/>
            <w:tcBorders>
              <w:top w:val="nil"/>
              <w:left w:val="nil"/>
              <w:bottom w:val="single" w:sz="4" w:space="0" w:color="auto"/>
              <w:right w:val="single" w:sz="4" w:space="0" w:color="auto"/>
            </w:tcBorders>
            <w:shd w:val="clear" w:color="auto" w:fill="auto"/>
            <w:noWrap/>
            <w:vAlign w:val="center"/>
            <w:hideMark/>
          </w:tcPr>
          <w:p w14:paraId="3D13E50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50.80</w:t>
            </w:r>
          </w:p>
        </w:tc>
      </w:tr>
      <w:tr w:rsidR="00E52AC1" w:rsidRPr="003D6707" w14:paraId="6BE2E247"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A40C4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334</w:t>
            </w:r>
          </w:p>
        </w:tc>
        <w:tc>
          <w:tcPr>
            <w:tcW w:w="3288" w:type="dxa"/>
            <w:tcBorders>
              <w:top w:val="nil"/>
              <w:left w:val="nil"/>
              <w:bottom w:val="single" w:sz="4" w:space="0" w:color="auto"/>
              <w:right w:val="single" w:sz="4" w:space="0" w:color="auto"/>
            </w:tcBorders>
            <w:shd w:val="clear" w:color="auto" w:fill="auto"/>
            <w:vAlign w:val="center"/>
            <w:hideMark/>
          </w:tcPr>
          <w:p w14:paraId="7977888E"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Medicamente și materiale sanitare</w:t>
            </w:r>
          </w:p>
        </w:tc>
        <w:tc>
          <w:tcPr>
            <w:tcW w:w="1000" w:type="dxa"/>
            <w:tcBorders>
              <w:top w:val="nil"/>
              <w:left w:val="nil"/>
              <w:bottom w:val="single" w:sz="4" w:space="0" w:color="auto"/>
              <w:right w:val="single" w:sz="4" w:space="0" w:color="auto"/>
            </w:tcBorders>
            <w:shd w:val="clear" w:color="auto" w:fill="auto"/>
            <w:noWrap/>
            <w:vAlign w:val="center"/>
            <w:hideMark/>
          </w:tcPr>
          <w:p w14:paraId="79BEB97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20.32</w:t>
            </w:r>
          </w:p>
        </w:tc>
        <w:tc>
          <w:tcPr>
            <w:tcW w:w="1000" w:type="dxa"/>
            <w:tcBorders>
              <w:top w:val="nil"/>
              <w:left w:val="nil"/>
              <w:bottom w:val="single" w:sz="4" w:space="0" w:color="auto"/>
              <w:right w:val="single" w:sz="4" w:space="0" w:color="auto"/>
            </w:tcBorders>
            <w:shd w:val="clear" w:color="auto" w:fill="auto"/>
            <w:noWrap/>
            <w:vAlign w:val="center"/>
            <w:hideMark/>
          </w:tcPr>
          <w:p w14:paraId="24DD796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13.55</w:t>
            </w:r>
          </w:p>
        </w:tc>
        <w:tc>
          <w:tcPr>
            <w:tcW w:w="1000" w:type="dxa"/>
            <w:tcBorders>
              <w:top w:val="nil"/>
              <w:left w:val="nil"/>
              <w:bottom w:val="single" w:sz="4" w:space="0" w:color="auto"/>
              <w:right w:val="single" w:sz="4" w:space="0" w:color="auto"/>
            </w:tcBorders>
            <w:shd w:val="clear" w:color="auto" w:fill="auto"/>
            <w:noWrap/>
            <w:vAlign w:val="center"/>
            <w:hideMark/>
          </w:tcPr>
          <w:p w14:paraId="5F86107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11.11</w:t>
            </w:r>
          </w:p>
        </w:tc>
        <w:tc>
          <w:tcPr>
            <w:tcW w:w="1000" w:type="dxa"/>
            <w:tcBorders>
              <w:top w:val="nil"/>
              <w:left w:val="nil"/>
              <w:bottom w:val="single" w:sz="4" w:space="0" w:color="auto"/>
              <w:right w:val="single" w:sz="4" w:space="0" w:color="auto"/>
            </w:tcBorders>
            <w:shd w:val="clear" w:color="auto" w:fill="auto"/>
            <w:noWrap/>
            <w:vAlign w:val="center"/>
            <w:hideMark/>
          </w:tcPr>
          <w:p w14:paraId="3531C49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18.57</w:t>
            </w:r>
          </w:p>
        </w:tc>
        <w:tc>
          <w:tcPr>
            <w:tcW w:w="1000" w:type="dxa"/>
            <w:tcBorders>
              <w:top w:val="nil"/>
              <w:left w:val="nil"/>
              <w:bottom w:val="single" w:sz="4" w:space="0" w:color="auto"/>
              <w:right w:val="single" w:sz="4" w:space="0" w:color="auto"/>
            </w:tcBorders>
            <w:shd w:val="clear" w:color="auto" w:fill="auto"/>
            <w:noWrap/>
            <w:vAlign w:val="center"/>
            <w:hideMark/>
          </w:tcPr>
          <w:p w14:paraId="514F091A"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29.27</w:t>
            </w:r>
          </w:p>
        </w:tc>
        <w:tc>
          <w:tcPr>
            <w:tcW w:w="1379" w:type="dxa"/>
            <w:tcBorders>
              <w:top w:val="nil"/>
              <w:left w:val="nil"/>
              <w:bottom w:val="single" w:sz="4" w:space="0" w:color="auto"/>
              <w:right w:val="single" w:sz="4" w:space="0" w:color="auto"/>
            </w:tcBorders>
            <w:shd w:val="clear" w:color="auto" w:fill="auto"/>
            <w:noWrap/>
            <w:vAlign w:val="center"/>
            <w:hideMark/>
          </w:tcPr>
          <w:p w14:paraId="601D1225"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0%</w:t>
            </w:r>
          </w:p>
        </w:tc>
        <w:tc>
          <w:tcPr>
            <w:tcW w:w="1100" w:type="dxa"/>
            <w:tcBorders>
              <w:top w:val="nil"/>
              <w:left w:val="nil"/>
              <w:bottom w:val="single" w:sz="4" w:space="0" w:color="auto"/>
              <w:right w:val="single" w:sz="4" w:space="0" w:color="auto"/>
            </w:tcBorders>
            <w:shd w:val="clear" w:color="auto" w:fill="auto"/>
            <w:noWrap/>
            <w:vAlign w:val="center"/>
            <w:hideMark/>
          </w:tcPr>
          <w:p w14:paraId="564DFE44"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-6.77</w:t>
            </w:r>
          </w:p>
        </w:tc>
        <w:tc>
          <w:tcPr>
            <w:tcW w:w="1060" w:type="dxa"/>
            <w:tcBorders>
              <w:top w:val="nil"/>
              <w:left w:val="nil"/>
              <w:bottom w:val="single" w:sz="4" w:space="0" w:color="auto"/>
              <w:right w:val="single" w:sz="4" w:space="0" w:color="auto"/>
            </w:tcBorders>
            <w:shd w:val="clear" w:color="auto" w:fill="auto"/>
            <w:noWrap/>
            <w:vAlign w:val="center"/>
            <w:hideMark/>
          </w:tcPr>
          <w:p w14:paraId="092054F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-2.44</w:t>
            </w:r>
          </w:p>
        </w:tc>
        <w:tc>
          <w:tcPr>
            <w:tcW w:w="1080" w:type="dxa"/>
            <w:tcBorders>
              <w:top w:val="nil"/>
              <w:left w:val="nil"/>
              <w:bottom w:val="single" w:sz="4" w:space="0" w:color="auto"/>
              <w:right w:val="single" w:sz="4" w:space="0" w:color="auto"/>
            </w:tcBorders>
            <w:shd w:val="clear" w:color="auto" w:fill="auto"/>
            <w:noWrap/>
            <w:vAlign w:val="center"/>
            <w:hideMark/>
          </w:tcPr>
          <w:p w14:paraId="38684E8A"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7.47</w:t>
            </w:r>
          </w:p>
        </w:tc>
        <w:tc>
          <w:tcPr>
            <w:tcW w:w="1020" w:type="dxa"/>
            <w:tcBorders>
              <w:top w:val="nil"/>
              <w:left w:val="nil"/>
              <w:bottom w:val="single" w:sz="4" w:space="0" w:color="auto"/>
              <w:right w:val="single" w:sz="4" w:space="0" w:color="auto"/>
            </w:tcBorders>
            <w:shd w:val="clear" w:color="auto" w:fill="auto"/>
            <w:noWrap/>
            <w:vAlign w:val="center"/>
            <w:hideMark/>
          </w:tcPr>
          <w:p w14:paraId="1499D09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10.70</w:t>
            </w:r>
          </w:p>
        </w:tc>
      </w:tr>
      <w:tr w:rsidR="00E52AC1" w:rsidRPr="003D6707" w14:paraId="6E99310F"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0F9FF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335</w:t>
            </w:r>
          </w:p>
        </w:tc>
        <w:tc>
          <w:tcPr>
            <w:tcW w:w="3288" w:type="dxa"/>
            <w:tcBorders>
              <w:top w:val="nil"/>
              <w:left w:val="nil"/>
              <w:bottom w:val="single" w:sz="4" w:space="0" w:color="auto"/>
              <w:right w:val="single" w:sz="4" w:space="0" w:color="auto"/>
            </w:tcBorders>
            <w:shd w:val="clear" w:color="auto" w:fill="auto"/>
            <w:vAlign w:val="center"/>
            <w:hideMark/>
          </w:tcPr>
          <w:p w14:paraId="44780551"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Materiale pentru scopuri didactice, științifice și alte scopuri</w:t>
            </w:r>
          </w:p>
        </w:tc>
        <w:tc>
          <w:tcPr>
            <w:tcW w:w="1000" w:type="dxa"/>
            <w:tcBorders>
              <w:top w:val="nil"/>
              <w:left w:val="nil"/>
              <w:bottom w:val="single" w:sz="4" w:space="0" w:color="auto"/>
              <w:right w:val="single" w:sz="4" w:space="0" w:color="auto"/>
            </w:tcBorders>
            <w:shd w:val="clear" w:color="auto" w:fill="auto"/>
            <w:noWrap/>
            <w:vAlign w:val="center"/>
            <w:hideMark/>
          </w:tcPr>
          <w:p w14:paraId="4B70DEC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441E3BE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56EDB43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78274F8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1723256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379" w:type="dxa"/>
            <w:tcBorders>
              <w:top w:val="nil"/>
              <w:left w:val="nil"/>
              <w:bottom w:val="single" w:sz="4" w:space="0" w:color="auto"/>
              <w:right w:val="single" w:sz="4" w:space="0" w:color="auto"/>
            </w:tcBorders>
            <w:shd w:val="clear" w:color="auto" w:fill="auto"/>
            <w:noWrap/>
            <w:vAlign w:val="center"/>
            <w:hideMark/>
          </w:tcPr>
          <w:p w14:paraId="3A5E5973"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0%</w:t>
            </w:r>
          </w:p>
        </w:tc>
        <w:tc>
          <w:tcPr>
            <w:tcW w:w="1100" w:type="dxa"/>
            <w:tcBorders>
              <w:top w:val="nil"/>
              <w:left w:val="nil"/>
              <w:bottom w:val="single" w:sz="4" w:space="0" w:color="auto"/>
              <w:right w:val="single" w:sz="4" w:space="0" w:color="auto"/>
            </w:tcBorders>
            <w:shd w:val="clear" w:color="auto" w:fill="auto"/>
            <w:noWrap/>
            <w:vAlign w:val="center"/>
            <w:hideMark/>
          </w:tcPr>
          <w:p w14:paraId="509A6EB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4F9719F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80" w:type="dxa"/>
            <w:tcBorders>
              <w:top w:val="nil"/>
              <w:left w:val="nil"/>
              <w:bottom w:val="single" w:sz="4" w:space="0" w:color="auto"/>
              <w:right w:val="single" w:sz="4" w:space="0" w:color="auto"/>
            </w:tcBorders>
            <w:shd w:val="clear" w:color="auto" w:fill="auto"/>
            <w:noWrap/>
            <w:vAlign w:val="center"/>
            <w:hideMark/>
          </w:tcPr>
          <w:p w14:paraId="72CBA8EA"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0A1BFBD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r>
      <w:tr w:rsidR="00E52AC1" w:rsidRPr="003D6707" w14:paraId="76C0CA26"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FBF10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336</w:t>
            </w:r>
          </w:p>
        </w:tc>
        <w:tc>
          <w:tcPr>
            <w:tcW w:w="3288" w:type="dxa"/>
            <w:tcBorders>
              <w:top w:val="nil"/>
              <w:left w:val="nil"/>
              <w:bottom w:val="single" w:sz="4" w:space="0" w:color="auto"/>
              <w:right w:val="single" w:sz="4" w:space="0" w:color="auto"/>
            </w:tcBorders>
            <w:shd w:val="clear" w:color="auto" w:fill="auto"/>
            <w:vAlign w:val="center"/>
            <w:hideMark/>
          </w:tcPr>
          <w:p w14:paraId="2D598436"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Materiale de uz gospodăresc și rechizite de birou</w:t>
            </w:r>
          </w:p>
        </w:tc>
        <w:tc>
          <w:tcPr>
            <w:tcW w:w="1000" w:type="dxa"/>
            <w:tcBorders>
              <w:top w:val="nil"/>
              <w:left w:val="nil"/>
              <w:bottom w:val="single" w:sz="4" w:space="0" w:color="auto"/>
              <w:right w:val="single" w:sz="4" w:space="0" w:color="auto"/>
            </w:tcBorders>
            <w:shd w:val="clear" w:color="auto" w:fill="auto"/>
            <w:noWrap/>
            <w:vAlign w:val="center"/>
            <w:hideMark/>
          </w:tcPr>
          <w:p w14:paraId="5E31E514"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2,899.50</w:t>
            </w:r>
          </w:p>
        </w:tc>
        <w:tc>
          <w:tcPr>
            <w:tcW w:w="1000" w:type="dxa"/>
            <w:tcBorders>
              <w:top w:val="nil"/>
              <w:left w:val="nil"/>
              <w:bottom w:val="single" w:sz="4" w:space="0" w:color="auto"/>
              <w:right w:val="single" w:sz="4" w:space="0" w:color="auto"/>
            </w:tcBorders>
            <w:shd w:val="clear" w:color="auto" w:fill="auto"/>
            <w:noWrap/>
            <w:vAlign w:val="center"/>
            <w:hideMark/>
          </w:tcPr>
          <w:p w14:paraId="3B2E2BD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2,751.61</w:t>
            </w:r>
          </w:p>
        </w:tc>
        <w:tc>
          <w:tcPr>
            <w:tcW w:w="1000" w:type="dxa"/>
            <w:tcBorders>
              <w:top w:val="nil"/>
              <w:left w:val="nil"/>
              <w:bottom w:val="single" w:sz="4" w:space="0" w:color="auto"/>
              <w:right w:val="single" w:sz="4" w:space="0" w:color="auto"/>
            </w:tcBorders>
            <w:shd w:val="clear" w:color="auto" w:fill="auto"/>
            <w:noWrap/>
            <w:vAlign w:val="center"/>
            <w:hideMark/>
          </w:tcPr>
          <w:p w14:paraId="7554054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3,046.69</w:t>
            </w:r>
          </w:p>
        </w:tc>
        <w:tc>
          <w:tcPr>
            <w:tcW w:w="1000" w:type="dxa"/>
            <w:tcBorders>
              <w:top w:val="nil"/>
              <w:left w:val="nil"/>
              <w:bottom w:val="single" w:sz="4" w:space="0" w:color="auto"/>
              <w:right w:val="single" w:sz="4" w:space="0" w:color="auto"/>
            </w:tcBorders>
            <w:shd w:val="clear" w:color="auto" w:fill="auto"/>
            <w:noWrap/>
            <w:vAlign w:val="center"/>
            <w:hideMark/>
          </w:tcPr>
          <w:p w14:paraId="335B8DD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3,442.53</w:t>
            </w:r>
          </w:p>
        </w:tc>
        <w:tc>
          <w:tcPr>
            <w:tcW w:w="1000" w:type="dxa"/>
            <w:tcBorders>
              <w:top w:val="nil"/>
              <w:left w:val="nil"/>
              <w:bottom w:val="single" w:sz="4" w:space="0" w:color="auto"/>
              <w:right w:val="single" w:sz="4" w:space="0" w:color="auto"/>
            </w:tcBorders>
            <w:shd w:val="clear" w:color="auto" w:fill="auto"/>
            <w:noWrap/>
            <w:vAlign w:val="center"/>
            <w:hideMark/>
          </w:tcPr>
          <w:p w14:paraId="5A5E817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3,752.71</w:t>
            </w:r>
          </w:p>
        </w:tc>
        <w:tc>
          <w:tcPr>
            <w:tcW w:w="1379" w:type="dxa"/>
            <w:tcBorders>
              <w:top w:val="nil"/>
              <w:left w:val="nil"/>
              <w:bottom w:val="single" w:sz="4" w:space="0" w:color="auto"/>
              <w:right w:val="single" w:sz="4" w:space="0" w:color="auto"/>
            </w:tcBorders>
            <w:shd w:val="clear" w:color="auto" w:fill="auto"/>
            <w:noWrap/>
            <w:vAlign w:val="center"/>
            <w:hideMark/>
          </w:tcPr>
          <w:p w14:paraId="7698DFA8"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1%</w:t>
            </w:r>
          </w:p>
        </w:tc>
        <w:tc>
          <w:tcPr>
            <w:tcW w:w="1100" w:type="dxa"/>
            <w:tcBorders>
              <w:top w:val="nil"/>
              <w:left w:val="nil"/>
              <w:bottom w:val="single" w:sz="4" w:space="0" w:color="auto"/>
              <w:right w:val="single" w:sz="4" w:space="0" w:color="auto"/>
            </w:tcBorders>
            <w:shd w:val="clear" w:color="auto" w:fill="auto"/>
            <w:noWrap/>
            <w:vAlign w:val="center"/>
            <w:hideMark/>
          </w:tcPr>
          <w:p w14:paraId="61C929CA"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-147.88</w:t>
            </w:r>
          </w:p>
        </w:tc>
        <w:tc>
          <w:tcPr>
            <w:tcW w:w="1060" w:type="dxa"/>
            <w:tcBorders>
              <w:top w:val="nil"/>
              <w:left w:val="nil"/>
              <w:bottom w:val="single" w:sz="4" w:space="0" w:color="auto"/>
              <w:right w:val="single" w:sz="4" w:space="0" w:color="auto"/>
            </w:tcBorders>
            <w:shd w:val="clear" w:color="auto" w:fill="auto"/>
            <w:noWrap/>
            <w:vAlign w:val="center"/>
            <w:hideMark/>
          </w:tcPr>
          <w:p w14:paraId="7D550AAA"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295.08</w:t>
            </w:r>
          </w:p>
        </w:tc>
        <w:tc>
          <w:tcPr>
            <w:tcW w:w="1080" w:type="dxa"/>
            <w:tcBorders>
              <w:top w:val="nil"/>
              <w:left w:val="nil"/>
              <w:bottom w:val="single" w:sz="4" w:space="0" w:color="auto"/>
              <w:right w:val="single" w:sz="4" w:space="0" w:color="auto"/>
            </w:tcBorders>
            <w:shd w:val="clear" w:color="auto" w:fill="auto"/>
            <w:noWrap/>
            <w:vAlign w:val="center"/>
            <w:hideMark/>
          </w:tcPr>
          <w:p w14:paraId="4287054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395.84</w:t>
            </w:r>
          </w:p>
        </w:tc>
        <w:tc>
          <w:tcPr>
            <w:tcW w:w="1020" w:type="dxa"/>
            <w:tcBorders>
              <w:top w:val="nil"/>
              <w:left w:val="nil"/>
              <w:bottom w:val="single" w:sz="4" w:space="0" w:color="auto"/>
              <w:right w:val="single" w:sz="4" w:space="0" w:color="auto"/>
            </w:tcBorders>
            <w:shd w:val="clear" w:color="auto" w:fill="auto"/>
            <w:noWrap/>
            <w:vAlign w:val="center"/>
            <w:hideMark/>
          </w:tcPr>
          <w:p w14:paraId="50E1853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310.17</w:t>
            </w:r>
          </w:p>
        </w:tc>
      </w:tr>
      <w:tr w:rsidR="00E52AC1" w:rsidRPr="003D6707" w14:paraId="0DEE4022"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1809F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337</w:t>
            </w:r>
          </w:p>
        </w:tc>
        <w:tc>
          <w:tcPr>
            <w:tcW w:w="3288" w:type="dxa"/>
            <w:tcBorders>
              <w:top w:val="nil"/>
              <w:left w:val="nil"/>
              <w:bottom w:val="single" w:sz="4" w:space="0" w:color="auto"/>
              <w:right w:val="single" w:sz="4" w:space="0" w:color="auto"/>
            </w:tcBorders>
            <w:shd w:val="clear" w:color="auto" w:fill="auto"/>
            <w:vAlign w:val="center"/>
            <w:hideMark/>
          </w:tcPr>
          <w:p w14:paraId="7E4333CD"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Materiale de construcție</w:t>
            </w:r>
          </w:p>
        </w:tc>
        <w:tc>
          <w:tcPr>
            <w:tcW w:w="1000" w:type="dxa"/>
            <w:tcBorders>
              <w:top w:val="nil"/>
              <w:left w:val="nil"/>
              <w:bottom w:val="single" w:sz="4" w:space="0" w:color="auto"/>
              <w:right w:val="single" w:sz="4" w:space="0" w:color="auto"/>
            </w:tcBorders>
            <w:shd w:val="clear" w:color="auto" w:fill="auto"/>
            <w:noWrap/>
            <w:vAlign w:val="center"/>
            <w:hideMark/>
          </w:tcPr>
          <w:p w14:paraId="73272EF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1,326.14</w:t>
            </w:r>
          </w:p>
        </w:tc>
        <w:tc>
          <w:tcPr>
            <w:tcW w:w="1000" w:type="dxa"/>
            <w:tcBorders>
              <w:top w:val="nil"/>
              <w:left w:val="nil"/>
              <w:bottom w:val="single" w:sz="4" w:space="0" w:color="auto"/>
              <w:right w:val="single" w:sz="4" w:space="0" w:color="auto"/>
            </w:tcBorders>
            <w:shd w:val="clear" w:color="auto" w:fill="auto"/>
            <w:noWrap/>
            <w:vAlign w:val="center"/>
            <w:hideMark/>
          </w:tcPr>
          <w:p w14:paraId="41419E5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1,548.95</w:t>
            </w:r>
          </w:p>
        </w:tc>
        <w:tc>
          <w:tcPr>
            <w:tcW w:w="1000" w:type="dxa"/>
            <w:tcBorders>
              <w:top w:val="nil"/>
              <w:left w:val="nil"/>
              <w:bottom w:val="single" w:sz="4" w:space="0" w:color="auto"/>
              <w:right w:val="single" w:sz="4" w:space="0" w:color="auto"/>
            </w:tcBorders>
            <w:shd w:val="clear" w:color="auto" w:fill="auto"/>
            <w:noWrap/>
            <w:vAlign w:val="center"/>
            <w:hideMark/>
          </w:tcPr>
          <w:p w14:paraId="0D65072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1,372.12</w:t>
            </w:r>
          </w:p>
        </w:tc>
        <w:tc>
          <w:tcPr>
            <w:tcW w:w="1000" w:type="dxa"/>
            <w:tcBorders>
              <w:top w:val="nil"/>
              <w:left w:val="nil"/>
              <w:bottom w:val="single" w:sz="4" w:space="0" w:color="auto"/>
              <w:right w:val="single" w:sz="4" w:space="0" w:color="auto"/>
            </w:tcBorders>
            <w:shd w:val="clear" w:color="auto" w:fill="auto"/>
            <w:noWrap/>
            <w:vAlign w:val="center"/>
            <w:hideMark/>
          </w:tcPr>
          <w:p w14:paraId="77D0A4A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911.46</w:t>
            </w:r>
          </w:p>
        </w:tc>
        <w:tc>
          <w:tcPr>
            <w:tcW w:w="1000" w:type="dxa"/>
            <w:tcBorders>
              <w:top w:val="nil"/>
              <w:left w:val="nil"/>
              <w:bottom w:val="single" w:sz="4" w:space="0" w:color="auto"/>
              <w:right w:val="single" w:sz="4" w:space="0" w:color="auto"/>
            </w:tcBorders>
            <w:shd w:val="clear" w:color="auto" w:fill="auto"/>
            <w:noWrap/>
            <w:vAlign w:val="center"/>
            <w:hideMark/>
          </w:tcPr>
          <w:p w14:paraId="1A48B48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843.42</w:t>
            </w:r>
          </w:p>
        </w:tc>
        <w:tc>
          <w:tcPr>
            <w:tcW w:w="1379" w:type="dxa"/>
            <w:tcBorders>
              <w:top w:val="nil"/>
              <w:left w:val="nil"/>
              <w:bottom w:val="single" w:sz="4" w:space="0" w:color="auto"/>
              <w:right w:val="single" w:sz="4" w:space="0" w:color="auto"/>
            </w:tcBorders>
            <w:shd w:val="clear" w:color="auto" w:fill="auto"/>
            <w:noWrap/>
            <w:vAlign w:val="center"/>
            <w:hideMark/>
          </w:tcPr>
          <w:p w14:paraId="7242FC4E"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0%</w:t>
            </w:r>
          </w:p>
        </w:tc>
        <w:tc>
          <w:tcPr>
            <w:tcW w:w="1100" w:type="dxa"/>
            <w:tcBorders>
              <w:top w:val="nil"/>
              <w:left w:val="nil"/>
              <w:bottom w:val="single" w:sz="4" w:space="0" w:color="auto"/>
              <w:right w:val="single" w:sz="4" w:space="0" w:color="auto"/>
            </w:tcBorders>
            <w:shd w:val="clear" w:color="auto" w:fill="auto"/>
            <w:noWrap/>
            <w:vAlign w:val="center"/>
            <w:hideMark/>
          </w:tcPr>
          <w:p w14:paraId="0ED624F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222.81</w:t>
            </w:r>
          </w:p>
        </w:tc>
        <w:tc>
          <w:tcPr>
            <w:tcW w:w="1060" w:type="dxa"/>
            <w:tcBorders>
              <w:top w:val="nil"/>
              <w:left w:val="nil"/>
              <w:bottom w:val="single" w:sz="4" w:space="0" w:color="auto"/>
              <w:right w:val="single" w:sz="4" w:space="0" w:color="auto"/>
            </w:tcBorders>
            <w:shd w:val="clear" w:color="auto" w:fill="auto"/>
            <w:noWrap/>
            <w:vAlign w:val="center"/>
            <w:hideMark/>
          </w:tcPr>
          <w:p w14:paraId="4853D48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-176.83</w:t>
            </w:r>
          </w:p>
        </w:tc>
        <w:tc>
          <w:tcPr>
            <w:tcW w:w="1080" w:type="dxa"/>
            <w:tcBorders>
              <w:top w:val="nil"/>
              <w:left w:val="nil"/>
              <w:bottom w:val="single" w:sz="4" w:space="0" w:color="auto"/>
              <w:right w:val="single" w:sz="4" w:space="0" w:color="auto"/>
            </w:tcBorders>
            <w:shd w:val="clear" w:color="auto" w:fill="auto"/>
            <w:noWrap/>
            <w:vAlign w:val="center"/>
            <w:hideMark/>
          </w:tcPr>
          <w:p w14:paraId="530DABAA"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-460.66</w:t>
            </w:r>
          </w:p>
        </w:tc>
        <w:tc>
          <w:tcPr>
            <w:tcW w:w="1020" w:type="dxa"/>
            <w:tcBorders>
              <w:top w:val="nil"/>
              <w:left w:val="nil"/>
              <w:bottom w:val="single" w:sz="4" w:space="0" w:color="auto"/>
              <w:right w:val="single" w:sz="4" w:space="0" w:color="auto"/>
            </w:tcBorders>
            <w:shd w:val="clear" w:color="auto" w:fill="auto"/>
            <w:noWrap/>
            <w:vAlign w:val="center"/>
            <w:hideMark/>
          </w:tcPr>
          <w:p w14:paraId="4E7F8A6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-68.04</w:t>
            </w:r>
          </w:p>
        </w:tc>
      </w:tr>
      <w:tr w:rsidR="00E52AC1" w:rsidRPr="003D6707" w14:paraId="49F0C6DD"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1F053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338</w:t>
            </w:r>
          </w:p>
        </w:tc>
        <w:tc>
          <w:tcPr>
            <w:tcW w:w="3288" w:type="dxa"/>
            <w:tcBorders>
              <w:top w:val="nil"/>
              <w:left w:val="nil"/>
              <w:bottom w:val="single" w:sz="4" w:space="0" w:color="auto"/>
              <w:right w:val="single" w:sz="4" w:space="0" w:color="auto"/>
            </w:tcBorders>
            <w:shd w:val="clear" w:color="auto" w:fill="auto"/>
            <w:vAlign w:val="center"/>
            <w:hideMark/>
          </w:tcPr>
          <w:p w14:paraId="2918A112"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Accesorii de pat, îmbrăcăminte, încălțăminte</w:t>
            </w:r>
          </w:p>
        </w:tc>
        <w:tc>
          <w:tcPr>
            <w:tcW w:w="1000" w:type="dxa"/>
            <w:tcBorders>
              <w:top w:val="nil"/>
              <w:left w:val="nil"/>
              <w:bottom w:val="single" w:sz="4" w:space="0" w:color="auto"/>
              <w:right w:val="single" w:sz="4" w:space="0" w:color="auto"/>
            </w:tcBorders>
            <w:shd w:val="clear" w:color="auto" w:fill="auto"/>
            <w:noWrap/>
            <w:vAlign w:val="center"/>
            <w:hideMark/>
          </w:tcPr>
          <w:p w14:paraId="30E7F3F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720.29</w:t>
            </w:r>
          </w:p>
        </w:tc>
        <w:tc>
          <w:tcPr>
            <w:tcW w:w="1000" w:type="dxa"/>
            <w:tcBorders>
              <w:top w:val="nil"/>
              <w:left w:val="nil"/>
              <w:bottom w:val="single" w:sz="4" w:space="0" w:color="auto"/>
              <w:right w:val="single" w:sz="4" w:space="0" w:color="auto"/>
            </w:tcBorders>
            <w:shd w:val="clear" w:color="auto" w:fill="auto"/>
            <w:noWrap/>
            <w:vAlign w:val="center"/>
            <w:hideMark/>
          </w:tcPr>
          <w:p w14:paraId="4D8684E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802.10</w:t>
            </w:r>
          </w:p>
        </w:tc>
        <w:tc>
          <w:tcPr>
            <w:tcW w:w="1000" w:type="dxa"/>
            <w:tcBorders>
              <w:top w:val="nil"/>
              <w:left w:val="nil"/>
              <w:bottom w:val="single" w:sz="4" w:space="0" w:color="auto"/>
              <w:right w:val="single" w:sz="4" w:space="0" w:color="auto"/>
            </w:tcBorders>
            <w:shd w:val="clear" w:color="auto" w:fill="auto"/>
            <w:noWrap/>
            <w:vAlign w:val="center"/>
            <w:hideMark/>
          </w:tcPr>
          <w:p w14:paraId="3CA53A4E"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881.69</w:t>
            </w:r>
          </w:p>
        </w:tc>
        <w:tc>
          <w:tcPr>
            <w:tcW w:w="1000" w:type="dxa"/>
            <w:tcBorders>
              <w:top w:val="nil"/>
              <w:left w:val="nil"/>
              <w:bottom w:val="single" w:sz="4" w:space="0" w:color="auto"/>
              <w:right w:val="single" w:sz="4" w:space="0" w:color="auto"/>
            </w:tcBorders>
            <w:shd w:val="clear" w:color="auto" w:fill="auto"/>
            <w:noWrap/>
            <w:vAlign w:val="center"/>
            <w:hideMark/>
          </w:tcPr>
          <w:p w14:paraId="29BA988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937.98</w:t>
            </w:r>
          </w:p>
        </w:tc>
        <w:tc>
          <w:tcPr>
            <w:tcW w:w="1000" w:type="dxa"/>
            <w:tcBorders>
              <w:top w:val="nil"/>
              <w:left w:val="nil"/>
              <w:bottom w:val="single" w:sz="4" w:space="0" w:color="auto"/>
              <w:right w:val="single" w:sz="4" w:space="0" w:color="auto"/>
            </w:tcBorders>
            <w:shd w:val="clear" w:color="auto" w:fill="auto"/>
            <w:noWrap/>
            <w:vAlign w:val="center"/>
            <w:hideMark/>
          </w:tcPr>
          <w:p w14:paraId="7679625A"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1,229.96</w:t>
            </w:r>
          </w:p>
        </w:tc>
        <w:tc>
          <w:tcPr>
            <w:tcW w:w="1379" w:type="dxa"/>
            <w:tcBorders>
              <w:top w:val="nil"/>
              <w:left w:val="nil"/>
              <w:bottom w:val="single" w:sz="4" w:space="0" w:color="auto"/>
              <w:right w:val="single" w:sz="4" w:space="0" w:color="auto"/>
            </w:tcBorders>
            <w:shd w:val="clear" w:color="auto" w:fill="auto"/>
            <w:noWrap/>
            <w:vAlign w:val="center"/>
            <w:hideMark/>
          </w:tcPr>
          <w:p w14:paraId="29BF2091"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0%</w:t>
            </w:r>
          </w:p>
        </w:tc>
        <w:tc>
          <w:tcPr>
            <w:tcW w:w="1100" w:type="dxa"/>
            <w:tcBorders>
              <w:top w:val="nil"/>
              <w:left w:val="nil"/>
              <w:bottom w:val="single" w:sz="4" w:space="0" w:color="auto"/>
              <w:right w:val="single" w:sz="4" w:space="0" w:color="auto"/>
            </w:tcBorders>
            <w:shd w:val="clear" w:color="auto" w:fill="auto"/>
            <w:noWrap/>
            <w:vAlign w:val="center"/>
            <w:hideMark/>
          </w:tcPr>
          <w:p w14:paraId="2451168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81.81</w:t>
            </w:r>
          </w:p>
        </w:tc>
        <w:tc>
          <w:tcPr>
            <w:tcW w:w="1060" w:type="dxa"/>
            <w:tcBorders>
              <w:top w:val="nil"/>
              <w:left w:val="nil"/>
              <w:bottom w:val="single" w:sz="4" w:space="0" w:color="auto"/>
              <w:right w:val="single" w:sz="4" w:space="0" w:color="auto"/>
            </w:tcBorders>
            <w:shd w:val="clear" w:color="auto" w:fill="auto"/>
            <w:noWrap/>
            <w:vAlign w:val="center"/>
            <w:hideMark/>
          </w:tcPr>
          <w:p w14:paraId="55DAB15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79.59</w:t>
            </w:r>
          </w:p>
        </w:tc>
        <w:tc>
          <w:tcPr>
            <w:tcW w:w="1080" w:type="dxa"/>
            <w:tcBorders>
              <w:top w:val="nil"/>
              <w:left w:val="nil"/>
              <w:bottom w:val="single" w:sz="4" w:space="0" w:color="auto"/>
              <w:right w:val="single" w:sz="4" w:space="0" w:color="auto"/>
            </w:tcBorders>
            <w:shd w:val="clear" w:color="auto" w:fill="auto"/>
            <w:noWrap/>
            <w:vAlign w:val="center"/>
            <w:hideMark/>
          </w:tcPr>
          <w:p w14:paraId="41D2C84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56.29</w:t>
            </w:r>
          </w:p>
        </w:tc>
        <w:tc>
          <w:tcPr>
            <w:tcW w:w="1020" w:type="dxa"/>
            <w:tcBorders>
              <w:top w:val="nil"/>
              <w:left w:val="nil"/>
              <w:bottom w:val="single" w:sz="4" w:space="0" w:color="auto"/>
              <w:right w:val="single" w:sz="4" w:space="0" w:color="auto"/>
            </w:tcBorders>
            <w:shd w:val="clear" w:color="auto" w:fill="auto"/>
            <w:noWrap/>
            <w:vAlign w:val="center"/>
            <w:hideMark/>
          </w:tcPr>
          <w:p w14:paraId="4E59111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291.98</w:t>
            </w:r>
          </w:p>
        </w:tc>
      </w:tr>
      <w:tr w:rsidR="00E52AC1" w:rsidRPr="003D6707" w14:paraId="5D748BEA"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09F8A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339</w:t>
            </w:r>
          </w:p>
        </w:tc>
        <w:tc>
          <w:tcPr>
            <w:tcW w:w="3288" w:type="dxa"/>
            <w:tcBorders>
              <w:top w:val="nil"/>
              <w:left w:val="nil"/>
              <w:bottom w:val="single" w:sz="4" w:space="0" w:color="auto"/>
              <w:right w:val="single" w:sz="4" w:space="0" w:color="auto"/>
            </w:tcBorders>
            <w:shd w:val="clear" w:color="auto" w:fill="auto"/>
            <w:vAlign w:val="center"/>
            <w:hideMark/>
          </w:tcPr>
          <w:p w14:paraId="5A942B5A"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Alte materiale</w:t>
            </w:r>
          </w:p>
        </w:tc>
        <w:tc>
          <w:tcPr>
            <w:tcW w:w="1000" w:type="dxa"/>
            <w:tcBorders>
              <w:top w:val="nil"/>
              <w:left w:val="nil"/>
              <w:bottom w:val="single" w:sz="4" w:space="0" w:color="auto"/>
              <w:right w:val="single" w:sz="4" w:space="0" w:color="auto"/>
            </w:tcBorders>
            <w:shd w:val="clear" w:color="auto" w:fill="auto"/>
            <w:noWrap/>
            <w:vAlign w:val="center"/>
            <w:hideMark/>
          </w:tcPr>
          <w:p w14:paraId="015006F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2,756.63</w:t>
            </w:r>
          </w:p>
        </w:tc>
        <w:tc>
          <w:tcPr>
            <w:tcW w:w="1000" w:type="dxa"/>
            <w:tcBorders>
              <w:top w:val="nil"/>
              <w:left w:val="nil"/>
              <w:bottom w:val="single" w:sz="4" w:space="0" w:color="auto"/>
              <w:right w:val="single" w:sz="4" w:space="0" w:color="auto"/>
            </w:tcBorders>
            <w:shd w:val="clear" w:color="auto" w:fill="auto"/>
            <w:noWrap/>
            <w:vAlign w:val="center"/>
            <w:hideMark/>
          </w:tcPr>
          <w:p w14:paraId="76291C4E"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2,507.41</w:t>
            </w:r>
          </w:p>
        </w:tc>
        <w:tc>
          <w:tcPr>
            <w:tcW w:w="1000" w:type="dxa"/>
            <w:tcBorders>
              <w:top w:val="nil"/>
              <w:left w:val="nil"/>
              <w:bottom w:val="single" w:sz="4" w:space="0" w:color="auto"/>
              <w:right w:val="single" w:sz="4" w:space="0" w:color="auto"/>
            </w:tcBorders>
            <w:shd w:val="clear" w:color="auto" w:fill="auto"/>
            <w:noWrap/>
            <w:vAlign w:val="center"/>
            <w:hideMark/>
          </w:tcPr>
          <w:p w14:paraId="222FDAF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2,329.75</w:t>
            </w:r>
          </w:p>
        </w:tc>
        <w:tc>
          <w:tcPr>
            <w:tcW w:w="1000" w:type="dxa"/>
            <w:tcBorders>
              <w:top w:val="nil"/>
              <w:left w:val="nil"/>
              <w:bottom w:val="single" w:sz="4" w:space="0" w:color="auto"/>
              <w:right w:val="single" w:sz="4" w:space="0" w:color="auto"/>
            </w:tcBorders>
            <w:shd w:val="clear" w:color="auto" w:fill="auto"/>
            <w:noWrap/>
            <w:vAlign w:val="center"/>
            <w:hideMark/>
          </w:tcPr>
          <w:p w14:paraId="20F01A1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2,841.92</w:t>
            </w:r>
          </w:p>
        </w:tc>
        <w:tc>
          <w:tcPr>
            <w:tcW w:w="1000" w:type="dxa"/>
            <w:tcBorders>
              <w:top w:val="nil"/>
              <w:left w:val="nil"/>
              <w:bottom w:val="single" w:sz="4" w:space="0" w:color="auto"/>
              <w:right w:val="single" w:sz="4" w:space="0" w:color="auto"/>
            </w:tcBorders>
            <w:shd w:val="clear" w:color="auto" w:fill="auto"/>
            <w:noWrap/>
            <w:vAlign w:val="center"/>
            <w:hideMark/>
          </w:tcPr>
          <w:p w14:paraId="3624939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2,927.46</w:t>
            </w:r>
          </w:p>
        </w:tc>
        <w:tc>
          <w:tcPr>
            <w:tcW w:w="1379" w:type="dxa"/>
            <w:tcBorders>
              <w:top w:val="nil"/>
              <w:left w:val="nil"/>
              <w:bottom w:val="single" w:sz="4" w:space="0" w:color="auto"/>
              <w:right w:val="single" w:sz="4" w:space="0" w:color="auto"/>
            </w:tcBorders>
            <w:shd w:val="clear" w:color="auto" w:fill="auto"/>
            <w:noWrap/>
            <w:vAlign w:val="center"/>
            <w:hideMark/>
          </w:tcPr>
          <w:p w14:paraId="343F7933"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1%</w:t>
            </w:r>
          </w:p>
        </w:tc>
        <w:tc>
          <w:tcPr>
            <w:tcW w:w="1100" w:type="dxa"/>
            <w:tcBorders>
              <w:top w:val="nil"/>
              <w:left w:val="nil"/>
              <w:bottom w:val="single" w:sz="4" w:space="0" w:color="auto"/>
              <w:right w:val="single" w:sz="4" w:space="0" w:color="auto"/>
            </w:tcBorders>
            <w:shd w:val="clear" w:color="auto" w:fill="auto"/>
            <w:noWrap/>
            <w:vAlign w:val="center"/>
            <w:hideMark/>
          </w:tcPr>
          <w:p w14:paraId="021975D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-249.22</w:t>
            </w:r>
          </w:p>
        </w:tc>
        <w:tc>
          <w:tcPr>
            <w:tcW w:w="1060" w:type="dxa"/>
            <w:tcBorders>
              <w:top w:val="nil"/>
              <w:left w:val="nil"/>
              <w:bottom w:val="single" w:sz="4" w:space="0" w:color="auto"/>
              <w:right w:val="single" w:sz="4" w:space="0" w:color="auto"/>
            </w:tcBorders>
            <w:shd w:val="clear" w:color="auto" w:fill="auto"/>
            <w:noWrap/>
            <w:vAlign w:val="center"/>
            <w:hideMark/>
          </w:tcPr>
          <w:p w14:paraId="25CA8A8E"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-177.66</w:t>
            </w:r>
          </w:p>
        </w:tc>
        <w:tc>
          <w:tcPr>
            <w:tcW w:w="1080" w:type="dxa"/>
            <w:tcBorders>
              <w:top w:val="nil"/>
              <w:left w:val="nil"/>
              <w:bottom w:val="single" w:sz="4" w:space="0" w:color="auto"/>
              <w:right w:val="single" w:sz="4" w:space="0" w:color="auto"/>
            </w:tcBorders>
            <w:shd w:val="clear" w:color="auto" w:fill="auto"/>
            <w:noWrap/>
            <w:vAlign w:val="center"/>
            <w:hideMark/>
          </w:tcPr>
          <w:p w14:paraId="66322E1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512.17</w:t>
            </w:r>
          </w:p>
        </w:tc>
        <w:tc>
          <w:tcPr>
            <w:tcW w:w="1020" w:type="dxa"/>
            <w:tcBorders>
              <w:top w:val="nil"/>
              <w:left w:val="nil"/>
              <w:bottom w:val="single" w:sz="4" w:space="0" w:color="auto"/>
              <w:right w:val="single" w:sz="4" w:space="0" w:color="auto"/>
            </w:tcBorders>
            <w:shd w:val="clear" w:color="auto" w:fill="auto"/>
            <w:noWrap/>
            <w:vAlign w:val="center"/>
            <w:hideMark/>
          </w:tcPr>
          <w:p w14:paraId="2E1E5A2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85.53</w:t>
            </w:r>
          </w:p>
        </w:tc>
      </w:tr>
      <w:tr w:rsidR="00E52AC1" w:rsidRPr="003D6707" w14:paraId="60B8CA52"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28675F"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34</w:t>
            </w:r>
          </w:p>
        </w:tc>
        <w:tc>
          <w:tcPr>
            <w:tcW w:w="3288" w:type="dxa"/>
            <w:tcBorders>
              <w:top w:val="nil"/>
              <w:left w:val="nil"/>
              <w:bottom w:val="single" w:sz="4" w:space="0" w:color="auto"/>
              <w:right w:val="single" w:sz="4" w:space="0" w:color="auto"/>
            </w:tcBorders>
            <w:shd w:val="clear" w:color="auto" w:fill="auto"/>
            <w:vAlign w:val="center"/>
            <w:hideMark/>
          </w:tcPr>
          <w:p w14:paraId="38129FC6" w14:textId="77777777" w:rsidR="00E52AC1" w:rsidRPr="003D6707" w:rsidRDefault="00E52AC1" w:rsidP="00E52AC1">
            <w:pPr>
              <w:spacing w:after="0" w:line="240" w:lineRule="auto"/>
              <w:rPr>
                <w:rFonts w:ascii="Calibri Light" w:eastAsia="Times New Roman" w:hAnsi="Calibri Light" w:cs="Calibri Light"/>
                <w:b/>
                <w:bCs/>
                <w:color w:val="000000"/>
                <w:sz w:val="14"/>
                <w:szCs w:val="14"/>
              </w:rPr>
            </w:pPr>
            <w:r w:rsidRPr="003D6707">
              <w:rPr>
                <w:rFonts w:ascii="Calibri Light" w:eastAsia="Times New Roman" w:hAnsi="Calibri Light" w:cs="Calibri Light"/>
                <w:b/>
                <w:bCs/>
                <w:color w:val="000000"/>
                <w:sz w:val="14"/>
                <w:szCs w:val="14"/>
              </w:rPr>
              <w:t>Producție în curs de execuție</w:t>
            </w:r>
          </w:p>
        </w:tc>
        <w:tc>
          <w:tcPr>
            <w:tcW w:w="1000" w:type="dxa"/>
            <w:tcBorders>
              <w:top w:val="nil"/>
              <w:left w:val="nil"/>
              <w:bottom w:val="single" w:sz="4" w:space="0" w:color="auto"/>
              <w:right w:val="single" w:sz="4" w:space="0" w:color="auto"/>
            </w:tcBorders>
            <w:shd w:val="clear" w:color="auto" w:fill="auto"/>
            <w:noWrap/>
            <w:vAlign w:val="center"/>
            <w:hideMark/>
          </w:tcPr>
          <w:p w14:paraId="3D8836DC"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2.70</w:t>
            </w:r>
          </w:p>
        </w:tc>
        <w:tc>
          <w:tcPr>
            <w:tcW w:w="1000" w:type="dxa"/>
            <w:tcBorders>
              <w:top w:val="nil"/>
              <w:left w:val="nil"/>
              <w:bottom w:val="single" w:sz="4" w:space="0" w:color="auto"/>
              <w:right w:val="single" w:sz="4" w:space="0" w:color="auto"/>
            </w:tcBorders>
            <w:shd w:val="clear" w:color="auto" w:fill="auto"/>
            <w:noWrap/>
            <w:vAlign w:val="center"/>
            <w:hideMark/>
          </w:tcPr>
          <w:p w14:paraId="2DAD7E26"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2.70</w:t>
            </w:r>
          </w:p>
        </w:tc>
        <w:tc>
          <w:tcPr>
            <w:tcW w:w="1000" w:type="dxa"/>
            <w:tcBorders>
              <w:top w:val="nil"/>
              <w:left w:val="nil"/>
              <w:bottom w:val="single" w:sz="4" w:space="0" w:color="auto"/>
              <w:right w:val="single" w:sz="4" w:space="0" w:color="auto"/>
            </w:tcBorders>
            <w:shd w:val="clear" w:color="auto" w:fill="auto"/>
            <w:noWrap/>
            <w:vAlign w:val="center"/>
            <w:hideMark/>
          </w:tcPr>
          <w:p w14:paraId="73CD44AE"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2.70</w:t>
            </w:r>
          </w:p>
        </w:tc>
        <w:tc>
          <w:tcPr>
            <w:tcW w:w="1000" w:type="dxa"/>
            <w:tcBorders>
              <w:top w:val="nil"/>
              <w:left w:val="nil"/>
              <w:bottom w:val="single" w:sz="4" w:space="0" w:color="auto"/>
              <w:right w:val="single" w:sz="4" w:space="0" w:color="auto"/>
            </w:tcBorders>
            <w:shd w:val="clear" w:color="auto" w:fill="auto"/>
            <w:noWrap/>
            <w:vAlign w:val="center"/>
            <w:hideMark/>
          </w:tcPr>
          <w:p w14:paraId="24D0AEFD"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11.70</w:t>
            </w:r>
          </w:p>
        </w:tc>
        <w:tc>
          <w:tcPr>
            <w:tcW w:w="1000" w:type="dxa"/>
            <w:tcBorders>
              <w:top w:val="nil"/>
              <w:left w:val="nil"/>
              <w:bottom w:val="single" w:sz="4" w:space="0" w:color="auto"/>
              <w:right w:val="single" w:sz="4" w:space="0" w:color="auto"/>
            </w:tcBorders>
            <w:shd w:val="clear" w:color="auto" w:fill="auto"/>
            <w:noWrap/>
            <w:vAlign w:val="center"/>
            <w:hideMark/>
          </w:tcPr>
          <w:p w14:paraId="74D5E969"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0.00</w:t>
            </w:r>
          </w:p>
        </w:tc>
        <w:tc>
          <w:tcPr>
            <w:tcW w:w="1379" w:type="dxa"/>
            <w:tcBorders>
              <w:top w:val="nil"/>
              <w:left w:val="nil"/>
              <w:bottom w:val="single" w:sz="4" w:space="0" w:color="auto"/>
              <w:right w:val="single" w:sz="4" w:space="0" w:color="auto"/>
            </w:tcBorders>
            <w:shd w:val="clear" w:color="auto" w:fill="auto"/>
            <w:noWrap/>
            <w:vAlign w:val="center"/>
            <w:hideMark/>
          </w:tcPr>
          <w:p w14:paraId="4D68689D"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0%</w:t>
            </w:r>
          </w:p>
        </w:tc>
        <w:tc>
          <w:tcPr>
            <w:tcW w:w="1100" w:type="dxa"/>
            <w:tcBorders>
              <w:top w:val="nil"/>
              <w:left w:val="nil"/>
              <w:bottom w:val="single" w:sz="4" w:space="0" w:color="auto"/>
              <w:right w:val="single" w:sz="4" w:space="0" w:color="auto"/>
            </w:tcBorders>
            <w:shd w:val="clear" w:color="auto" w:fill="auto"/>
            <w:noWrap/>
            <w:vAlign w:val="center"/>
            <w:hideMark/>
          </w:tcPr>
          <w:p w14:paraId="3982387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53BCD02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80" w:type="dxa"/>
            <w:tcBorders>
              <w:top w:val="nil"/>
              <w:left w:val="nil"/>
              <w:bottom w:val="single" w:sz="4" w:space="0" w:color="auto"/>
              <w:right w:val="single" w:sz="4" w:space="0" w:color="auto"/>
            </w:tcBorders>
            <w:shd w:val="clear" w:color="auto" w:fill="auto"/>
            <w:noWrap/>
            <w:vAlign w:val="center"/>
            <w:hideMark/>
          </w:tcPr>
          <w:p w14:paraId="0D8A0E0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9.00</w:t>
            </w:r>
          </w:p>
        </w:tc>
        <w:tc>
          <w:tcPr>
            <w:tcW w:w="1020" w:type="dxa"/>
            <w:tcBorders>
              <w:top w:val="nil"/>
              <w:left w:val="nil"/>
              <w:bottom w:val="single" w:sz="4" w:space="0" w:color="auto"/>
              <w:right w:val="single" w:sz="4" w:space="0" w:color="auto"/>
            </w:tcBorders>
            <w:shd w:val="clear" w:color="auto" w:fill="auto"/>
            <w:noWrap/>
            <w:vAlign w:val="center"/>
            <w:hideMark/>
          </w:tcPr>
          <w:p w14:paraId="0448322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-11.70</w:t>
            </w:r>
          </w:p>
        </w:tc>
      </w:tr>
      <w:tr w:rsidR="00E52AC1" w:rsidRPr="003D6707" w14:paraId="53A9328C"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36A8E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342</w:t>
            </w:r>
          </w:p>
        </w:tc>
        <w:tc>
          <w:tcPr>
            <w:tcW w:w="3288" w:type="dxa"/>
            <w:tcBorders>
              <w:top w:val="nil"/>
              <w:left w:val="nil"/>
              <w:bottom w:val="single" w:sz="4" w:space="0" w:color="auto"/>
              <w:right w:val="single" w:sz="4" w:space="0" w:color="auto"/>
            </w:tcBorders>
            <w:shd w:val="clear" w:color="auto" w:fill="auto"/>
            <w:vAlign w:val="center"/>
            <w:hideMark/>
          </w:tcPr>
          <w:p w14:paraId="47FB263F"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Animale tinere și la îngrășat</w:t>
            </w:r>
          </w:p>
        </w:tc>
        <w:tc>
          <w:tcPr>
            <w:tcW w:w="1000" w:type="dxa"/>
            <w:tcBorders>
              <w:top w:val="nil"/>
              <w:left w:val="nil"/>
              <w:bottom w:val="single" w:sz="4" w:space="0" w:color="auto"/>
              <w:right w:val="single" w:sz="4" w:space="0" w:color="auto"/>
            </w:tcBorders>
            <w:shd w:val="clear" w:color="auto" w:fill="auto"/>
            <w:noWrap/>
            <w:vAlign w:val="center"/>
            <w:hideMark/>
          </w:tcPr>
          <w:p w14:paraId="08F727CA"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2.70</w:t>
            </w:r>
          </w:p>
        </w:tc>
        <w:tc>
          <w:tcPr>
            <w:tcW w:w="1000" w:type="dxa"/>
            <w:tcBorders>
              <w:top w:val="nil"/>
              <w:left w:val="nil"/>
              <w:bottom w:val="single" w:sz="4" w:space="0" w:color="auto"/>
              <w:right w:val="single" w:sz="4" w:space="0" w:color="auto"/>
            </w:tcBorders>
            <w:shd w:val="clear" w:color="auto" w:fill="auto"/>
            <w:noWrap/>
            <w:vAlign w:val="center"/>
            <w:hideMark/>
          </w:tcPr>
          <w:p w14:paraId="0CBE2F4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2.70</w:t>
            </w:r>
          </w:p>
        </w:tc>
        <w:tc>
          <w:tcPr>
            <w:tcW w:w="1000" w:type="dxa"/>
            <w:tcBorders>
              <w:top w:val="nil"/>
              <w:left w:val="nil"/>
              <w:bottom w:val="single" w:sz="4" w:space="0" w:color="auto"/>
              <w:right w:val="single" w:sz="4" w:space="0" w:color="auto"/>
            </w:tcBorders>
            <w:shd w:val="clear" w:color="auto" w:fill="auto"/>
            <w:noWrap/>
            <w:vAlign w:val="center"/>
            <w:hideMark/>
          </w:tcPr>
          <w:p w14:paraId="77276CE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2.70</w:t>
            </w:r>
          </w:p>
        </w:tc>
        <w:tc>
          <w:tcPr>
            <w:tcW w:w="1000" w:type="dxa"/>
            <w:tcBorders>
              <w:top w:val="nil"/>
              <w:left w:val="nil"/>
              <w:bottom w:val="single" w:sz="4" w:space="0" w:color="auto"/>
              <w:right w:val="single" w:sz="4" w:space="0" w:color="auto"/>
            </w:tcBorders>
            <w:shd w:val="clear" w:color="auto" w:fill="auto"/>
            <w:noWrap/>
            <w:vAlign w:val="center"/>
            <w:hideMark/>
          </w:tcPr>
          <w:p w14:paraId="3E8AFFF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11.70</w:t>
            </w:r>
          </w:p>
        </w:tc>
        <w:tc>
          <w:tcPr>
            <w:tcW w:w="1000" w:type="dxa"/>
            <w:tcBorders>
              <w:top w:val="nil"/>
              <w:left w:val="nil"/>
              <w:bottom w:val="single" w:sz="4" w:space="0" w:color="auto"/>
              <w:right w:val="single" w:sz="4" w:space="0" w:color="auto"/>
            </w:tcBorders>
            <w:shd w:val="clear" w:color="auto" w:fill="auto"/>
            <w:noWrap/>
            <w:vAlign w:val="center"/>
            <w:hideMark/>
          </w:tcPr>
          <w:p w14:paraId="758B6DCA"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379" w:type="dxa"/>
            <w:tcBorders>
              <w:top w:val="nil"/>
              <w:left w:val="nil"/>
              <w:bottom w:val="single" w:sz="4" w:space="0" w:color="auto"/>
              <w:right w:val="single" w:sz="4" w:space="0" w:color="auto"/>
            </w:tcBorders>
            <w:shd w:val="clear" w:color="auto" w:fill="auto"/>
            <w:noWrap/>
            <w:vAlign w:val="center"/>
            <w:hideMark/>
          </w:tcPr>
          <w:p w14:paraId="00FFD945"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0%</w:t>
            </w:r>
          </w:p>
        </w:tc>
        <w:tc>
          <w:tcPr>
            <w:tcW w:w="1100" w:type="dxa"/>
            <w:tcBorders>
              <w:top w:val="nil"/>
              <w:left w:val="nil"/>
              <w:bottom w:val="single" w:sz="4" w:space="0" w:color="auto"/>
              <w:right w:val="single" w:sz="4" w:space="0" w:color="auto"/>
            </w:tcBorders>
            <w:shd w:val="clear" w:color="auto" w:fill="auto"/>
            <w:noWrap/>
            <w:vAlign w:val="center"/>
            <w:hideMark/>
          </w:tcPr>
          <w:p w14:paraId="723EDB5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7071B06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80" w:type="dxa"/>
            <w:tcBorders>
              <w:top w:val="nil"/>
              <w:left w:val="nil"/>
              <w:bottom w:val="single" w:sz="4" w:space="0" w:color="auto"/>
              <w:right w:val="single" w:sz="4" w:space="0" w:color="auto"/>
            </w:tcBorders>
            <w:shd w:val="clear" w:color="auto" w:fill="auto"/>
            <w:noWrap/>
            <w:vAlign w:val="center"/>
            <w:hideMark/>
          </w:tcPr>
          <w:p w14:paraId="548991A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9.00</w:t>
            </w:r>
          </w:p>
        </w:tc>
        <w:tc>
          <w:tcPr>
            <w:tcW w:w="1020" w:type="dxa"/>
            <w:tcBorders>
              <w:top w:val="nil"/>
              <w:left w:val="nil"/>
              <w:bottom w:val="single" w:sz="4" w:space="0" w:color="auto"/>
              <w:right w:val="single" w:sz="4" w:space="0" w:color="auto"/>
            </w:tcBorders>
            <w:shd w:val="clear" w:color="auto" w:fill="auto"/>
            <w:noWrap/>
            <w:vAlign w:val="center"/>
            <w:hideMark/>
          </w:tcPr>
          <w:p w14:paraId="3CA6521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-11.70</w:t>
            </w:r>
          </w:p>
        </w:tc>
      </w:tr>
      <w:tr w:rsidR="00E52AC1" w:rsidRPr="003D6707" w14:paraId="76C9CBA0"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05030C"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37</w:t>
            </w:r>
          </w:p>
        </w:tc>
        <w:tc>
          <w:tcPr>
            <w:tcW w:w="3288" w:type="dxa"/>
            <w:tcBorders>
              <w:top w:val="nil"/>
              <w:left w:val="nil"/>
              <w:bottom w:val="single" w:sz="4" w:space="0" w:color="auto"/>
              <w:right w:val="single" w:sz="4" w:space="0" w:color="auto"/>
            </w:tcBorders>
            <w:shd w:val="clear" w:color="auto" w:fill="auto"/>
            <w:vAlign w:val="center"/>
            <w:hideMark/>
          </w:tcPr>
          <w:p w14:paraId="6452A332" w14:textId="77777777" w:rsidR="00E52AC1" w:rsidRPr="003D6707" w:rsidRDefault="00E52AC1" w:rsidP="00E52AC1">
            <w:pPr>
              <w:spacing w:after="0" w:line="240" w:lineRule="auto"/>
              <w:rPr>
                <w:rFonts w:ascii="Calibri Light" w:eastAsia="Times New Roman" w:hAnsi="Calibri Light" w:cs="Calibri Light"/>
                <w:b/>
                <w:bCs/>
                <w:color w:val="000000"/>
                <w:sz w:val="14"/>
                <w:szCs w:val="14"/>
              </w:rPr>
            </w:pPr>
            <w:r w:rsidRPr="003D6707">
              <w:rPr>
                <w:rFonts w:ascii="Calibri Light" w:eastAsia="Times New Roman" w:hAnsi="Calibri Light" w:cs="Calibri Light"/>
                <w:b/>
                <w:bCs/>
                <w:color w:val="000000"/>
                <w:sz w:val="14"/>
                <w:szCs w:val="14"/>
              </w:rPr>
              <w:t>ACTIVE NEPRODUCTIVE</w:t>
            </w:r>
          </w:p>
        </w:tc>
        <w:tc>
          <w:tcPr>
            <w:tcW w:w="1000" w:type="dxa"/>
            <w:tcBorders>
              <w:top w:val="nil"/>
              <w:left w:val="nil"/>
              <w:bottom w:val="single" w:sz="4" w:space="0" w:color="auto"/>
              <w:right w:val="single" w:sz="4" w:space="0" w:color="auto"/>
            </w:tcBorders>
            <w:shd w:val="clear" w:color="auto" w:fill="auto"/>
            <w:noWrap/>
            <w:vAlign w:val="center"/>
            <w:hideMark/>
          </w:tcPr>
          <w:p w14:paraId="514BAC13"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70,960.30</w:t>
            </w:r>
          </w:p>
        </w:tc>
        <w:tc>
          <w:tcPr>
            <w:tcW w:w="1000" w:type="dxa"/>
            <w:tcBorders>
              <w:top w:val="nil"/>
              <w:left w:val="nil"/>
              <w:bottom w:val="single" w:sz="4" w:space="0" w:color="auto"/>
              <w:right w:val="single" w:sz="4" w:space="0" w:color="auto"/>
            </w:tcBorders>
            <w:shd w:val="clear" w:color="auto" w:fill="auto"/>
            <w:noWrap/>
            <w:vAlign w:val="center"/>
            <w:hideMark/>
          </w:tcPr>
          <w:p w14:paraId="5F1538DB"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65,445.06</w:t>
            </w:r>
          </w:p>
        </w:tc>
        <w:tc>
          <w:tcPr>
            <w:tcW w:w="1000" w:type="dxa"/>
            <w:tcBorders>
              <w:top w:val="nil"/>
              <w:left w:val="nil"/>
              <w:bottom w:val="single" w:sz="4" w:space="0" w:color="auto"/>
              <w:right w:val="single" w:sz="4" w:space="0" w:color="auto"/>
            </w:tcBorders>
            <w:shd w:val="clear" w:color="auto" w:fill="auto"/>
            <w:noWrap/>
            <w:vAlign w:val="center"/>
            <w:hideMark/>
          </w:tcPr>
          <w:p w14:paraId="4C330F3C"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65,116.59</w:t>
            </w:r>
          </w:p>
        </w:tc>
        <w:tc>
          <w:tcPr>
            <w:tcW w:w="1000" w:type="dxa"/>
            <w:tcBorders>
              <w:top w:val="nil"/>
              <w:left w:val="nil"/>
              <w:bottom w:val="single" w:sz="4" w:space="0" w:color="auto"/>
              <w:right w:val="single" w:sz="4" w:space="0" w:color="auto"/>
            </w:tcBorders>
            <w:shd w:val="clear" w:color="auto" w:fill="auto"/>
            <w:noWrap/>
            <w:vAlign w:val="center"/>
            <w:hideMark/>
          </w:tcPr>
          <w:p w14:paraId="5DDC5D4B"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63,306.86</w:t>
            </w:r>
          </w:p>
        </w:tc>
        <w:tc>
          <w:tcPr>
            <w:tcW w:w="1000" w:type="dxa"/>
            <w:tcBorders>
              <w:top w:val="nil"/>
              <w:left w:val="nil"/>
              <w:bottom w:val="single" w:sz="4" w:space="0" w:color="auto"/>
              <w:right w:val="single" w:sz="4" w:space="0" w:color="auto"/>
            </w:tcBorders>
            <w:shd w:val="clear" w:color="auto" w:fill="auto"/>
            <w:noWrap/>
            <w:vAlign w:val="center"/>
            <w:hideMark/>
          </w:tcPr>
          <w:p w14:paraId="69F3E0AF"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53,067.92</w:t>
            </w:r>
          </w:p>
        </w:tc>
        <w:tc>
          <w:tcPr>
            <w:tcW w:w="1379" w:type="dxa"/>
            <w:tcBorders>
              <w:top w:val="nil"/>
              <w:left w:val="nil"/>
              <w:bottom w:val="single" w:sz="4" w:space="0" w:color="auto"/>
              <w:right w:val="single" w:sz="4" w:space="0" w:color="auto"/>
            </w:tcBorders>
            <w:shd w:val="clear" w:color="auto" w:fill="auto"/>
            <w:noWrap/>
            <w:vAlign w:val="center"/>
            <w:hideMark/>
          </w:tcPr>
          <w:p w14:paraId="4BFF7CA1"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9%</w:t>
            </w:r>
          </w:p>
        </w:tc>
        <w:tc>
          <w:tcPr>
            <w:tcW w:w="1100" w:type="dxa"/>
            <w:tcBorders>
              <w:top w:val="nil"/>
              <w:left w:val="nil"/>
              <w:bottom w:val="single" w:sz="4" w:space="0" w:color="auto"/>
              <w:right w:val="single" w:sz="4" w:space="0" w:color="auto"/>
            </w:tcBorders>
            <w:shd w:val="clear" w:color="auto" w:fill="auto"/>
            <w:noWrap/>
            <w:vAlign w:val="center"/>
            <w:hideMark/>
          </w:tcPr>
          <w:p w14:paraId="235D0B4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-5,515.24</w:t>
            </w:r>
          </w:p>
        </w:tc>
        <w:tc>
          <w:tcPr>
            <w:tcW w:w="1060" w:type="dxa"/>
            <w:tcBorders>
              <w:top w:val="nil"/>
              <w:left w:val="nil"/>
              <w:bottom w:val="single" w:sz="4" w:space="0" w:color="auto"/>
              <w:right w:val="single" w:sz="4" w:space="0" w:color="auto"/>
            </w:tcBorders>
            <w:shd w:val="clear" w:color="auto" w:fill="auto"/>
            <w:noWrap/>
            <w:vAlign w:val="center"/>
            <w:hideMark/>
          </w:tcPr>
          <w:p w14:paraId="43864DA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-328.47</w:t>
            </w:r>
          </w:p>
        </w:tc>
        <w:tc>
          <w:tcPr>
            <w:tcW w:w="1080" w:type="dxa"/>
            <w:tcBorders>
              <w:top w:val="nil"/>
              <w:left w:val="nil"/>
              <w:bottom w:val="single" w:sz="4" w:space="0" w:color="auto"/>
              <w:right w:val="single" w:sz="4" w:space="0" w:color="auto"/>
            </w:tcBorders>
            <w:shd w:val="clear" w:color="auto" w:fill="auto"/>
            <w:noWrap/>
            <w:vAlign w:val="center"/>
            <w:hideMark/>
          </w:tcPr>
          <w:p w14:paraId="125DD59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-1,809.73</w:t>
            </w:r>
          </w:p>
        </w:tc>
        <w:tc>
          <w:tcPr>
            <w:tcW w:w="1020" w:type="dxa"/>
            <w:tcBorders>
              <w:top w:val="nil"/>
              <w:left w:val="nil"/>
              <w:bottom w:val="single" w:sz="4" w:space="0" w:color="auto"/>
              <w:right w:val="single" w:sz="4" w:space="0" w:color="auto"/>
            </w:tcBorders>
            <w:shd w:val="clear" w:color="auto" w:fill="auto"/>
            <w:noWrap/>
            <w:vAlign w:val="center"/>
            <w:hideMark/>
          </w:tcPr>
          <w:p w14:paraId="34D8A8A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-10,238.93</w:t>
            </w:r>
          </w:p>
        </w:tc>
      </w:tr>
      <w:tr w:rsidR="00E52AC1" w:rsidRPr="003D6707" w14:paraId="1EBD81D4"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95C09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371</w:t>
            </w:r>
          </w:p>
        </w:tc>
        <w:tc>
          <w:tcPr>
            <w:tcW w:w="3288" w:type="dxa"/>
            <w:tcBorders>
              <w:top w:val="nil"/>
              <w:left w:val="nil"/>
              <w:bottom w:val="single" w:sz="4" w:space="0" w:color="auto"/>
              <w:right w:val="single" w:sz="4" w:space="0" w:color="auto"/>
            </w:tcBorders>
            <w:shd w:val="clear" w:color="auto" w:fill="auto"/>
            <w:vAlign w:val="center"/>
            <w:hideMark/>
          </w:tcPr>
          <w:p w14:paraId="2A0A70A5"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Terenuri</w:t>
            </w:r>
          </w:p>
        </w:tc>
        <w:tc>
          <w:tcPr>
            <w:tcW w:w="1000" w:type="dxa"/>
            <w:tcBorders>
              <w:top w:val="nil"/>
              <w:left w:val="nil"/>
              <w:bottom w:val="single" w:sz="4" w:space="0" w:color="auto"/>
              <w:right w:val="single" w:sz="4" w:space="0" w:color="auto"/>
            </w:tcBorders>
            <w:shd w:val="clear" w:color="auto" w:fill="auto"/>
            <w:noWrap/>
            <w:vAlign w:val="center"/>
            <w:hideMark/>
          </w:tcPr>
          <w:p w14:paraId="6D90333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70,960.30</w:t>
            </w:r>
          </w:p>
        </w:tc>
        <w:tc>
          <w:tcPr>
            <w:tcW w:w="1000" w:type="dxa"/>
            <w:tcBorders>
              <w:top w:val="nil"/>
              <w:left w:val="nil"/>
              <w:bottom w:val="single" w:sz="4" w:space="0" w:color="auto"/>
              <w:right w:val="single" w:sz="4" w:space="0" w:color="auto"/>
            </w:tcBorders>
            <w:shd w:val="clear" w:color="auto" w:fill="auto"/>
            <w:noWrap/>
            <w:vAlign w:val="center"/>
            <w:hideMark/>
          </w:tcPr>
          <w:p w14:paraId="5009DDE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65,445.06</w:t>
            </w:r>
          </w:p>
        </w:tc>
        <w:tc>
          <w:tcPr>
            <w:tcW w:w="1000" w:type="dxa"/>
            <w:tcBorders>
              <w:top w:val="nil"/>
              <w:left w:val="nil"/>
              <w:bottom w:val="single" w:sz="4" w:space="0" w:color="auto"/>
              <w:right w:val="single" w:sz="4" w:space="0" w:color="auto"/>
            </w:tcBorders>
            <w:shd w:val="clear" w:color="auto" w:fill="auto"/>
            <w:noWrap/>
            <w:vAlign w:val="center"/>
            <w:hideMark/>
          </w:tcPr>
          <w:p w14:paraId="2593032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65,116.59</w:t>
            </w:r>
          </w:p>
        </w:tc>
        <w:tc>
          <w:tcPr>
            <w:tcW w:w="1000" w:type="dxa"/>
            <w:tcBorders>
              <w:top w:val="nil"/>
              <w:left w:val="nil"/>
              <w:bottom w:val="single" w:sz="4" w:space="0" w:color="auto"/>
              <w:right w:val="single" w:sz="4" w:space="0" w:color="auto"/>
            </w:tcBorders>
            <w:shd w:val="clear" w:color="auto" w:fill="auto"/>
            <w:noWrap/>
            <w:vAlign w:val="center"/>
            <w:hideMark/>
          </w:tcPr>
          <w:p w14:paraId="13EC719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63,306.86</w:t>
            </w:r>
          </w:p>
        </w:tc>
        <w:tc>
          <w:tcPr>
            <w:tcW w:w="1000" w:type="dxa"/>
            <w:tcBorders>
              <w:top w:val="nil"/>
              <w:left w:val="nil"/>
              <w:bottom w:val="single" w:sz="4" w:space="0" w:color="auto"/>
              <w:right w:val="single" w:sz="4" w:space="0" w:color="auto"/>
            </w:tcBorders>
            <w:shd w:val="clear" w:color="auto" w:fill="auto"/>
            <w:noWrap/>
            <w:vAlign w:val="center"/>
            <w:hideMark/>
          </w:tcPr>
          <w:p w14:paraId="70CD9A5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53,067.92</w:t>
            </w:r>
          </w:p>
        </w:tc>
        <w:tc>
          <w:tcPr>
            <w:tcW w:w="1379" w:type="dxa"/>
            <w:tcBorders>
              <w:top w:val="nil"/>
              <w:left w:val="nil"/>
              <w:bottom w:val="single" w:sz="4" w:space="0" w:color="auto"/>
              <w:right w:val="single" w:sz="4" w:space="0" w:color="auto"/>
            </w:tcBorders>
            <w:shd w:val="clear" w:color="auto" w:fill="auto"/>
            <w:noWrap/>
            <w:vAlign w:val="center"/>
            <w:hideMark/>
          </w:tcPr>
          <w:p w14:paraId="1AA6230B"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9%</w:t>
            </w:r>
          </w:p>
        </w:tc>
        <w:tc>
          <w:tcPr>
            <w:tcW w:w="1100" w:type="dxa"/>
            <w:tcBorders>
              <w:top w:val="nil"/>
              <w:left w:val="nil"/>
              <w:bottom w:val="single" w:sz="4" w:space="0" w:color="auto"/>
              <w:right w:val="single" w:sz="4" w:space="0" w:color="auto"/>
            </w:tcBorders>
            <w:shd w:val="clear" w:color="auto" w:fill="auto"/>
            <w:noWrap/>
            <w:vAlign w:val="center"/>
            <w:hideMark/>
          </w:tcPr>
          <w:p w14:paraId="729B1C2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-5,515.24</w:t>
            </w:r>
          </w:p>
        </w:tc>
        <w:tc>
          <w:tcPr>
            <w:tcW w:w="1060" w:type="dxa"/>
            <w:tcBorders>
              <w:top w:val="nil"/>
              <w:left w:val="nil"/>
              <w:bottom w:val="single" w:sz="4" w:space="0" w:color="auto"/>
              <w:right w:val="single" w:sz="4" w:space="0" w:color="auto"/>
            </w:tcBorders>
            <w:shd w:val="clear" w:color="auto" w:fill="auto"/>
            <w:noWrap/>
            <w:vAlign w:val="center"/>
            <w:hideMark/>
          </w:tcPr>
          <w:p w14:paraId="43942F74"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-328.47</w:t>
            </w:r>
          </w:p>
        </w:tc>
        <w:tc>
          <w:tcPr>
            <w:tcW w:w="1080" w:type="dxa"/>
            <w:tcBorders>
              <w:top w:val="nil"/>
              <w:left w:val="nil"/>
              <w:bottom w:val="single" w:sz="4" w:space="0" w:color="auto"/>
              <w:right w:val="single" w:sz="4" w:space="0" w:color="auto"/>
            </w:tcBorders>
            <w:shd w:val="clear" w:color="auto" w:fill="auto"/>
            <w:noWrap/>
            <w:vAlign w:val="center"/>
            <w:hideMark/>
          </w:tcPr>
          <w:p w14:paraId="26ED57F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-1,809.73</w:t>
            </w:r>
          </w:p>
        </w:tc>
        <w:tc>
          <w:tcPr>
            <w:tcW w:w="1020" w:type="dxa"/>
            <w:tcBorders>
              <w:top w:val="nil"/>
              <w:left w:val="nil"/>
              <w:bottom w:val="single" w:sz="4" w:space="0" w:color="auto"/>
              <w:right w:val="single" w:sz="4" w:space="0" w:color="auto"/>
            </w:tcBorders>
            <w:shd w:val="clear" w:color="auto" w:fill="auto"/>
            <w:noWrap/>
            <w:vAlign w:val="center"/>
            <w:hideMark/>
          </w:tcPr>
          <w:p w14:paraId="7A54B55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-10,238.93</w:t>
            </w:r>
          </w:p>
        </w:tc>
      </w:tr>
      <w:tr w:rsidR="00E52AC1" w:rsidRPr="003D6707" w14:paraId="6E588F8F"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2A76E8"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4</w:t>
            </w:r>
          </w:p>
        </w:tc>
        <w:tc>
          <w:tcPr>
            <w:tcW w:w="3288" w:type="dxa"/>
            <w:tcBorders>
              <w:top w:val="nil"/>
              <w:left w:val="nil"/>
              <w:bottom w:val="single" w:sz="4" w:space="0" w:color="auto"/>
              <w:right w:val="single" w:sz="4" w:space="0" w:color="auto"/>
            </w:tcBorders>
            <w:shd w:val="clear" w:color="auto" w:fill="auto"/>
            <w:vAlign w:val="center"/>
            <w:hideMark/>
          </w:tcPr>
          <w:p w14:paraId="63209AC4" w14:textId="77777777" w:rsidR="00E52AC1" w:rsidRPr="003D6707" w:rsidRDefault="00E52AC1" w:rsidP="00E52AC1">
            <w:pPr>
              <w:spacing w:after="0" w:line="240" w:lineRule="auto"/>
              <w:rPr>
                <w:rFonts w:ascii="Calibri Light" w:eastAsia="Times New Roman" w:hAnsi="Calibri Light" w:cs="Calibri Light"/>
                <w:b/>
                <w:bCs/>
                <w:color w:val="000000"/>
                <w:sz w:val="14"/>
                <w:szCs w:val="14"/>
              </w:rPr>
            </w:pPr>
            <w:r w:rsidRPr="003D6707">
              <w:rPr>
                <w:rFonts w:ascii="Calibri Light" w:eastAsia="Times New Roman" w:hAnsi="Calibri Light" w:cs="Calibri Light"/>
                <w:b/>
                <w:bCs/>
                <w:color w:val="000000"/>
                <w:sz w:val="14"/>
                <w:szCs w:val="14"/>
              </w:rPr>
              <w:t>ACTIVE FINANCIARE, total</w:t>
            </w:r>
          </w:p>
        </w:tc>
        <w:tc>
          <w:tcPr>
            <w:tcW w:w="1000" w:type="dxa"/>
            <w:tcBorders>
              <w:top w:val="nil"/>
              <w:left w:val="nil"/>
              <w:bottom w:val="single" w:sz="4" w:space="0" w:color="auto"/>
              <w:right w:val="single" w:sz="4" w:space="0" w:color="auto"/>
            </w:tcBorders>
            <w:shd w:val="clear" w:color="auto" w:fill="auto"/>
            <w:noWrap/>
            <w:vAlign w:val="center"/>
            <w:hideMark/>
          </w:tcPr>
          <w:p w14:paraId="74DE2E09"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412,801.51</w:t>
            </w:r>
          </w:p>
        </w:tc>
        <w:tc>
          <w:tcPr>
            <w:tcW w:w="1000" w:type="dxa"/>
            <w:tcBorders>
              <w:top w:val="nil"/>
              <w:left w:val="nil"/>
              <w:bottom w:val="single" w:sz="4" w:space="0" w:color="auto"/>
              <w:right w:val="single" w:sz="4" w:space="0" w:color="auto"/>
            </w:tcBorders>
            <w:shd w:val="clear" w:color="auto" w:fill="auto"/>
            <w:noWrap/>
            <w:vAlign w:val="center"/>
            <w:hideMark/>
          </w:tcPr>
          <w:p w14:paraId="0A991180"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414,866.16</w:t>
            </w:r>
          </w:p>
        </w:tc>
        <w:tc>
          <w:tcPr>
            <w:tcW w:w="1000" w:type="dxa"/>
            <w:tcBorders>
              <w:top w:val="nil"/>
              <w:left w:val="nil"/>
              <w:bottom w:val="single" w:sz="4" w:space="0" w:color="auto"/>
              <w:right w:val="single" w:sz="4" w:space="0" w:color="auto"/>
            </w:tcBorders>
            <w:shd w:val="clear" w:color="auto" w:fill="auto"/>
            <w:noWrap/>
            <w:vAlign w:val="center"/>
            <w:hideMark/>
          </w:tcPr>
          <w:p w14:paraId="2D41034A"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415,521.95</w:t>
            </w:r>
          </w:p>
        </w:tc>
        <w:tc>
          <w:tcPr>
            <w:tcW w:w="1000" w:type="dxa"/>
            <w:tcBorders>
              <w:top w:val="nil"/>
              <w:left w:val="nil"/>
              <w:bottom w:val="single" w:sz="4" w:space="0" w:color="auto"/>
              <w:right w:val="single" w:sz="4" w:space="0" w:color="auto"/>
            </w:tcBorders>
            <w:shd w:val="clear" w:color="auto" w:fill="auto"/>
            <w:noWrap/>
            <w:vAlign w:val="center"/>
            <w:hideMark/>
          </w:tcPr>
          <w:p w14:paraId="3227F2AB"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420,388.82</w:t>
            </w:r>
          </w:p>
        </w:tc>
        <w:tc>
          <w:tcPr>
            <w:tcW w:w="1000" w:type="dxa"/>
            <w:tcBorders>
              <w:top w:val="nil"/>
              <w:left w:val="nil"/>
              <w:bottom w:val="single" w:sz="4" w:space="0" w:color="auto"/>
              <w:right w:val="single" w:sz="4" w:space="0" w:color="auto"/>
            </w:tcBorders>
            <w:shd w:val="clear" w:color="auto" w:fill="auto"/>
            <w:noWrap/>
            <w:vAlign w:val="center"/>
            <w:hideMark/>
          </w:tcPr>
          <w:p w14:paraId="41955A38"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261,913.08</w:t>
            </w:r>
          </w:p>
        </w:tc>
        <w:tc>
          <w:tcPr>
            <w:tcW w:w="1379" w:type="dxa"/>
            <w:tcBorders>
              <w:top w:val="nil"/>
              <w:left w:val="nil"/>
              <w:bottom w:val="single" w:sz="4" w:space="0" w:color="auto"/>
              <w:right w:val="single" w:sz="4" w:space="0" w:color="auto"/>
            </w:tcBorders>
            <w:shd w:val="clear" w:color="auto" w:fill="auto"/>
            <w:noWrap/>
            <w:vAlign w:val="center"/>
            <w:hideMark/>
          </w:tcPr>
          <w:p w14:paraId="19B2F6DB"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45%</w:t>
            </w:r>
          </w:p>
        </w:tc>
        <w:tc>
          <w:tcPr>
            <w:tcW w:w="1100" w:type="dxa"/>
            <w:tcBorders>
              <w:top w:val="nil"/>
              <w:left w:val="nil"/>
              <w:bottom w:val="single" w:sz="4" w:space="0" w:color="auto"/>
              <w:right w:val="single" w:sz="4" w:space="0" w:color="auto"/>
            </w:tcBorders>
            <w:shd w:val="clear" w:color="auto" w:fill="auto"/>
            <w:noWrap/>
            <w:vAlign w:val="center"/>
            <w:hideMark/>
          </w:tcPr>
          <w:p w14:paraId="01B4E13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2,064.65</w:t>
            </w:r>
          </w:p>
        </w:tc>
        <w:tc>
          <w:tcPr>
            <w:tcW w:w="1060" w:type="dxa"/>
            <w:tcBorders>
              <w:top w:val="nil"/>
              <w:left w:val="nil"/>
              <w:bottom w:val="single" w:sz="4" w:space="0" w:color="auto"/>
              <w:right w:val="single" w:sz="4" w:space="0" w:color="auto"/>
            </w:tcBorders>
            <w:shd w:val="clear" w:color="auto" w:fill="auto"/>
            <w:noWrap/>
            <w:vAlign w:val="center"/>
            <w:hideMark/>
          </w:tcPr>
          <w:p w14:paraId="1331A50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655.79</w:t>
            </w:r>
          </w:p>
        </w:tc>
        <w:tc>
          <w:tcPr>
            <w:tcW w:w="1080" w:type="dxa"/>
            <w:tcBorders>
              <w:top w:val="nil"/>
              <w:left w:val="nil"/>
              <w:bottom w:val="single" w:sz="4" w:space="0" w:color="auto"/>
              <w:right w:val="single" w:sz="4" w:space="0" w:color="auto"/>
            </w:tcBorders>
            <w:shd w:val="clear" w:color="auto" w:fill="auto"/>
            <w:noWrap/>
            <w:vAlign w:val="center"/>
            <w:hideMark/>
          </w:tcPr>
          <w:p w14:paraId="7295869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4,866.87</w:t>
            </w:r>
          </w:p>
        </w:tc>
        <w:tc>
          <w:tcPr>
            <w:tcW w:w="1020" w:type="dxa"/>
            <w:tcBorders>
              <w:top w:val="nil"/>
              <w:left w:val="nil"/>
              <w:bottom w:val="single" w:sz="4" w:space="0" w:color="auto"/>
              <w:right w:val="single" w:sz="4" w:space="0" w:color="auto"/>
            </w:tcBorders>
            <w:shd w:val="clear" w:color="auto" w:fill="auto"/>
            <w:noWrap/>
            <w:vAlign w:val="center"/>
            <w:hideMark/>
          </w:tcPr>
          <w:p w14:paraId="6D5844E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-158,475.74</w:t>
            </w:r>
          </w:p>
        </w:tc>
      </w:tr>
      <w:tr w:rsidR="00E52AC1" w:rsidRPr="003D6707" w14:paraId="344D2931"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8856F6"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41</w:t>
            </w:r>
          </w:p>
        </w:tc>
        <w:tc>
          <w:tcPr>
            <w:tcW w:w="3288" w:type="dxa"/>
            <w:tcBorders>
              <w:top w:val="nil"/>
              <w:left w:val="nil"/>
              <w:bottom w:val="single" w:sz="4" w:space="0" w:color="auto"/>
              <w:right w:val="single" w:sz="4" w:space="0" w:color="auto"/>
            </w:tcBorders>
            <w:shd w:val="clear" w:color="auto" w:fill="auto"/>
            <w:vAlign w:val="center"/>
            <w:hideMark/>
          </w:tcPr>
          <w:p w14:paraId="477CF881" w14:textId="77777777" w:rsidR="00E52AC1" w:rsidRPr="003D6707" w:rsidRDefault="00E52AC1" w:rsidP="00E52AC1">
            <w:pPr>
              <w:spacing w:after="0" w:line="240" w:lineRule="auto"/>
              <w:rPr>
                <w:rFonts w:ascii="Calibri Light" w:eastAsia="Times New Roman" w:hAnsi="Calibri Light" w:cs="Calibri Light"/>
                <w:b/>
                <w:bCs/>
                <w:color w:val="000000"/>
                <w:sz w:val="14"/>
                <w:szCs w:val="14"/>
              </w:rPr>
            </w:pPr>
            <w:r w:rsidRPr="003D6707">
              <w:rPr>
                <w:rFonts w:ascii="Calibri Light" w:eastAsia="Times New Roman" w:hAnsi="Calibri Light" w:cs="Calibri Light"/>
                <w:b/>
                <w:bCs/>
                <w:color w:val="000000"/>
                <w:sz w:val="14"/>
                <w:szCs w:val="14"/>
              </w:rPr>
              <w:t>CREANȚE INTERNE</w:t>
            </w:r>
          </w:p>
        </w:tc>
        <w:tc>
          <w:tcPr>
            <w:tcW w:w="1000" w:type="dxa"/>
            <w:tcBorders>
              <w:top w:val="nil"/>
              <w:left w:val="nil"/>
              <w:bottom w:val="single" w:sz="4" w:space="0" w:color="auto"/>
              <w:right w:val="single" w:sz="4" w:space="0" w:color="auto"/>
            </w:tcBorders>
            <w:shd w:val="clear" w:color="auto" w:fill="auto"/>
            <w:noWrap/>
            <w:vAlign w:val="center"/>
            <w:hideMark/>
          </w:tcPr>
          <w:p w14:paraId="20563E3D"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407,363.78</w:t>
            </w:r>
          </w:p>
        </w:tc>
        <w:tc>
          <w:tcPr>
            <w:tcW w:w="1000" w:type="dxa"/>
            <w:tcBorders>
              <w:top w:val="nil"/>
              <w:left w:val="nil"/>
              <w:bottom w:val="single" w:sz="4" w:space="0" w:color="auto"/>
              <w:right w:val="single" w:sz="4" w:space="0" w:color="auto"/>
            </w:tcBorders>
            <w:shd w:val="clear" w:color="auto" w:fill="auto"/>
            <w:noWrap/>
            <w:vAlign w:val="center"/>
            <w:hideMark/>
          </w:tcPr>
          <w:p w14:paraId="279E67AE"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400,735.40</w:t>
            </w:r>
          </w:p>
        </w:tc>
        <w:tc>
          <w:tcPr>
            <w:tcW w:w="1000" w:type="dxa"/>
            <w:tcBorders>
              <w:top w:val="nil"/>
              <w:left w:val="nil"/>
              <w:bottom w:val="single" w:sz="4" w:space="0" w:color="auto"/>
              <w:right w:val="single" w:sz="4" w:space="0" w:color="auto"/>
            </w:tcBorders>
            <w:shd w:val="clear" w:color="auto" w:fill="auto"/>
            <w:noWrap/>
            <w:vAlign w:val="center"/>
            <w:hideMark/>
          </w:tcPr>
          <w:p w14:paraId="02FC3690"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406,644.27</w:t>
            </w:r>
          </w:p>
        </w:tc>
        <w:tc>
          <w:tcPr>
            <w:tcW w:w="1000" w:type="dxa"/>
            <w:tcBorders>
              <w:top w:val="nil"/>
              <w:left w:val="nil"/>
              <w:bottom w:val="single" w:sz="4" w:space="0" w:color="auto"/>
              <w:right w:val="single" w:sz="4" w:space="0" w:color="auto"/>
            </w:tcBorders>
            <w:shd w:val="clear" w:color="auto" w:fill="auto"/>
            <w:noWrap/>
            <w:vAlign w:val="center"/>
            <w:hideMark/>
          </w:tcPr>
          <w:p w14:paraId="20C5D635"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406,629.05</w:t>
            </w:r>
          </w:p>
        </w:tc>
        <w:tc>
          <w:tcPr>
            <w:tcW w:w="1000" w:type="dxa"/>
            <w:tcBorders>
              <w:top w:val="nil"/>
              <w:left w:val="nil"/>
              <w:bottom w:val="single" w:sz="4" w:space="0" w:color="auto"/>
              <w:right w:val="single" w:sz="4" w:space="0" w:color="auto"/>
            </w:tcBorders>
            <w:shd w:val="clear" w:color="auto" w:fill="auto"/>
            <w:noWrap/>
            <w:vAlign w:val="center"/>
            <w:hideMark/>
          </w:tcPr>
          <w:p w14:paraId="60B762F5"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257,858.82</w:t>
            </w:r>
          </w:p>
        </w:tc>
        <w:tc>
          <w:tcPr>
            <w:tcW w:w="1379" w:type="dxa"/>
            <w:tcBorders>
              <w:top w:val="nil"/>
              <w:left w:val="nil"/>
              <w:bottom w:val="single" w:sz="4" w:space="0" w:color="auto"/>
              <w:right w:val="single" w:sz="4" w:space="0" w:color="auto"/>
            </w:tcBorders>
            <w:shd w:val="clear" w:color="auto" w:fill="auto"/>
            <w:noWrap/>
            <w:vAlign w:val="center"/>
            <w:hideMark/>
          </w:tcPr>
          <w:p w14:paraId="765C2838"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45%</w:t>
            </w:r>
          </w:p>
        </w:tc>
        <w:tc>
          <w:tcPr>
            <w:tcW w:w="1100" w:type="dxa"/>
            <w:tcBorders>
              <w:top w:val="nil"/>
              <w:left w:val="nil"/>
              <w:bottom w:val="single" w:sz="4" w:space="0" w:color="auto"/>
              <w:right w:val="single" w:sz="4" w:space="0" w:color="auto"/>
            </w:tcBorders>
            <w:shd w:val="clear" w:color="auto" w:fill="auto"/>
            <w:noWrap/>
            <w:vAlign w:val="center"/>
            <w:hideMark/>
          </w:tcPr>
          <w:p w14:paraId="487FD6A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-6,628.39</w:t>
            </w:r>
          </w:p>
        </w:tc>
        <w:tc>
          <w:tcPr>
            <w:tcW w:w="1060" w:type="dxa"/>
            <w:tcBorders>
              <w:top w:val="nil"/>
              <w:left w:val="nil"/>
              <w:bottom w:val="single" w:sz="4" w:space="0" w:color="auto"/>
              <w:right w:val="single" w:sz="4" w:space="0" w:color="auto"/>
            </w:tcBorders>
            <w:shd w:val="clear" w:color="auto" w:fill="auto"/>
            <w:noWrap/>
            <w:vAlign w:val="center"/>
            <w:hideMark/>
          </w:tcPr>
          <w:p w14:paraId="6B5B2E5E"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5,908.87</w:t>
            </w:r>
          </w:p>
        </w:tc>
        <w:tc>
          <w:tcPr>
            <w:tcW w:w="1080" w:type="dxa"/>
            <w:tcBorders>
              <w:top w:val="nil"/>
              <w:left w:val="nil"/>
              <w:bottom w:val="single" w:sz="4" w:space="0" w:color="auto"/>
              <w:right w:val="single" w:sz="4" w:space="0" w:color="auto"/>
            </w:tcBorders>
            <w:shd w:val="clear" w:color="auto" w:fill="auto"/>
            <w:noWrap/>
            <w:vAlign w:val="center"/>
            <w:hideMark/>
          </w:tcPr>
          <w:p w14:paraId="240EBA9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-15.23</w:t>
            </w:r>
          </w:p>
        </w:tc>
        <w:tc>
          <w:tcPr>
            <w:tcW w:w="1020" w:type="dxa"/>
            <w:tcBorders>
              <w:top w:val="nil"/>
              <w:left w:val="nil"/>
              <w:bottom w:val="single" w:sz="4" w:space="0" w:color="auto"/>
              <w:right w:val="single" w:sz="4" w:space="0" w:color="auto"/>
            </w:tcBorders>
            <w:shd w:val="clear" w:color="auto" w:fill="auto"/>
            <w:noWrap/>
            <w:vAlign w:val="center"/>
            <w:hideMark/>
          </w:tcPr>
          <w:p w14:paraId="6419292A"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-148,770.22</w:t>
            </w:r>
          </w:p>
        </w:tc>
      </w:tr>
      <w:tr w:rsidR="00E52AC1" w:rsidRPr="003D6707" w14:paraId="20959828"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321D1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415</w:t>
            </w:r>
          </w:p>
        </w:tc>
        <w:tc>
          <w:tcPr>
            <w:tcW w:w="3288" w:type="dxa"/>
            <w:tcBorders>
              <w:top w:val="nil"/>
              <w:left w:val="nil"/>
              <w:bottom w:val="single" w:sz="4" w:space="0" w:color="auto"/>
              <w:right w:val="single" w:sz="4" w:space="0" w:color="auto"/>
            </w:tcBorders>
            <w:shd w:val="clear" w:color="auto" w:fill="auto"/>
            <w:vAlign w:val="center"/>
            <w:hideMark/>
          </w:tcPr>
          <w:p w14:paraId="10929822"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Acțiuni și alte forme de participare în capital în interiorul țării</w:t>
            </w:r>
          </w:p>
        </w:tc>
        <w:tc>
          <w:tcPr>
            <w:tcW w:w="1000" w:type="dxa"/>
            <w:tcBorders>
              <w:top w:val="nil"/>
              <w:left w:val="nil"/>
              <w:bottom w:val="single" w:sz="4" w:space="0" w:color="auto"/>
              <w:right w:val="single" w:sz="4" w:space="0" w:color="auto"/>
            </w:tcBorders>
            <w:shd w:val="clear" w:color="auto" w:fill="auto"/>
            <w:noWrap/>
            <w:vAlign w:val="center"/>
            <w:hideMark/>
          </w:tcPr>
          <w:p w14:paraId="62E2FA3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389,939.75</w:t>
            </w:r>
          </w:p>
        </w:tc>
        <w:tc>
          <w:tcPr>
            <w:tcW w:w="1000" w:type="dxa"/>
            <w:tcBorders>
              <w:top w:val="nil"/>
              <w:left w:val="nil"/>
              <w:bottom w:val="single" w:sz="4" w:space="0" w:color="auto"/>
              <w:right w:val="single" w:sz="4" w:space="0" w:color="auto"/>
            </w:tcBorders>
            <w:shd w:val="clear" w:color="auto" w:fill="auto"/>
            <w:noWrap/>
            <w:vAlign w:val="center"/>
            <w:hideMark/>
          </w:tcPr>
          <w:p w14:paraId="38A6BE3E"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385,023.45</w:t>
            </w:r>
          </w:p>
        </w:tc>
        <w:tc>
          <w:tcPr>
            <w:tcW w:w="1000" w:type="dxa"/>
            <w:tcBorders>
              <w:top w:val="nil"/>
              <w:left w:val="nil"/>
              <w:bottom w:val="single" w:sz="4" w:space="0" w:color="auto"/>
              <w:right w:val="single" w:sz="4" w:space="0" w:color="auto"/>
            </w:tcBorders>
            <w:shd w:val="clear" w:color="auto" w:fill="auto"/>
            <w:noWrap/>
            <w:vAlign w:val="center"/>
            <w:hideMark/>
          </w:tcPr>
          <w:p w14:paraId="6FDD205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386,834.23</w:t>
            </w:r>
          </w:p>
        </w:tc>
        <w:tc>
          <w:tcPr>
            <w:tcW w:w="1000" w:type="dxa"/>
            <w:tcBorders>
              <w:top w:val="nil"/>
              <w:left w:val="nil"/>
              <w:bottom w:val="single" w:sz="4" w:space="0" w:color="auto"/>
              <w:right w:val="single" w:sz="4" w:space="0" w:color="auto"/>
            </w:tcBorders>
            <w:shd w:val="clear" w:color="auto" w:fill="auto"/>
            <w:noWrap/>
            <w:vAlign w:val="center"/>
            <w:hideMark/>
          </w:tcPr>
          <w:p w14:paraId="112DD4CA"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386,834.23</w:t>
            </w:r>
          </w:p>
        </w:tc>
        <w:tc>
          <w:tcPr>
            <w:tcW w:w="1000" w:type="dxa"/>
            <w:tcBorders>
              <w:top w:val="nil"/>
              <w:left w:val="nil"/>
              <w:bottom w:val="single" w:sz="4" w:space="0" w:color="auto"/>
              <w:right w:val="single" w:sz="4" w:space="0" w:color="auto"/>
            </w:tcBorders>
            <w:shd w:val="clear" w:color="auto" w:fill="auto"/>
            <w:noWrap/>
            <w:vAlign w:val="center"/>
            <w:hideMark/>
          </w:tcPr>
          <w:p w14:paraId="26490B8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230,423.45</w:t>
            </w:r>
          </w:p>
        </w:tc>
        <w:tc>
          <w:tcPr>
            <w:tcW w:w="1379" w:type="dxa"/>
            <w:tcBorders>
              <w:top w:val="nil"/>
              <w:left w:val="nil"/>
              <w:bottom w:val="single" w:sz="4" w:space="0" w:color="auto"/>
              <w:right w:val="single" w:sz="4" w:space="0" w:color="auto"/>
            </w:tcBorders>
            <w:shd w:val="clear" w:color="auto" w:fill="auto"/>
            <w:noWrap/>
            <w:vAlign w:val="center"/>
            <w:hideMark/>
          </w:tcPr>
          <w:p w14:paraId="5B4CBC3F"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40%</w:t>
            </w:r>
          </w:p>
        </w:tc>
        <w:tc>
          <w:tcPr>
            <w:tcW w:w="1100" w:type="dxa"/>
            <w:tcBorders>
              <w:top w:val="nil"/>
              <w:left w:val="nil"/>
              <w:bottom w:val="single" w:sz="4" w:space="0" w:color="auto"/>
              <w:right w:val="single" w:sz="4" w:space="0" w:color="auto"/>
            </w:tcBorders>
            <w:shd w:val="clear" w:color="auto" w:fill="auto"/>
            <w:noWrap/>
            <w:vAlign w:val="center"/>
            <w:hideMark/>
          </w:tcPr>
          <w:p w14:paraId="29DE942E"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-4,916.30</w:t>
            </w:r>
          </w:p>
        </w:tc>
        <w:tc>
          <w:tcPr>
            <w:tcW w:w="1060" w:type="dxa"/>
            <w:tcBorders>
              <w:top w:val="nil"/>
              <w:left w:val="nil"/>
              <w:bottom w:val="single" w:sz="4" w:space="0" w:color="auto"/>
              <w:right w:val="single" w:sz="4" w:space="0" w:color="auto"/>
            </w:tcBorders>
            <w:shd w:val="clear" w:color="auto" w:fill="auto"/>
            <w:noWrap/>
            <w:vAlign w:val="center"/>
            <w:hideMark/>
          </w:tcPr>
          <w:p w14:paraId="5AE773A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1,810.78</w:t>
            </w:r>
          </w:p>
        </w:tc>
        <w:tc>
          <w:tcPr>
            <w:tcW w:w="1080" w:type="dxa"/>
            <w:tcBorders>
              <w:top w:val="nil"/>
              <w:left w:val="nil"/>
              <w:bottom w:val="single" w:sz="4" w:space="0" w:color="auto"/>
              <w:right w:val="single" w:sz="4" w:space="0" w:color="auto"/>
            </w:tcBorders>
            <w:shd w:val="clear" w:color="auto" w:fill="auto"/>
            <w:noWrap/>
            <w:vAlign w:val="center"/>
            <w:hideMark/>
          </w:tcPr>
          <w:p w14:paraId="7C4C26A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1072D65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-156,410.78</w:t>
            </w:r>
          </w:p>
        </w:tc>
      </w:tr>
      <w:tr w:rsidR="00E52AC1" w:rsidRPr="003D6707" w14:paraId="12C74E21"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FAF42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419</w:t>
            </w:r>
          </w:p>
        </w:tc>
        <w:tc>
          <w:tcPr>
            <w:tcW w:w="3288" w:type="dxa"/>
            <w:tcBorders>
              <w:top w:val="nil"/>
              <w:left w:val="nil"/>
              <w:bottom w:val="single" w:sz="4" w:space="0" w:color="auto"/>
              <w:right w:val="single" w:sz="4" w:space="0" w:color="auto"/>
            </w:tcBorders>
            <w:shd w:val="clear" w:color="auto" w:fill="auto"/>
            <w:vAlign w:val="center"/>
            <w:hideMark/>
          </w:tcPr>
          <w:p w14:paraId="27742EF1"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Alte creanțe ale instituțiilor bugetare</w:t>
            </w:r>
          </w:p>
        </w:tc>
        <w:tc>
          <w:tcPr>
            <w:tcW w:w="1000" w:type="dxa"/>
            <w:tcBorders>
              <w:top w:val="nil"/>
              <w:left w:val="nil"/>
              <w:bottom w:val="single" w:sz="4" w:space="0" w:color="auto"/>
              <w:right w:val="single" w:sz="4" w:space="0" w:color="auto"/>
            </w:tcBorders>
            <w:shd w:val="clear" w:color="auto" w:fill="auto"/>
            <w:noWrap/>
            <w:vAlign w:val="center"/>
            <w:hideMark/>
          </w:tcPr>
          <w:p w14:paraId="2F3999A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17,424.04</w:t>
            </w:r>
          </w:p>
        </w:tc>
        <w:tc>
          <w:tcPr>
            <w:tcW w:w="1000" w:type="dxa"/>
            <w:tcBorders>
              <w:top w:val="nil"/>
              <w:left w:val="nil"/>
              <w:bottom w:val="single" w:sz="4" w:space="0" w:color="auto"/>
              <w:right w:val="single" w:sz="4" w:space="0" w:color="auto"/>
            </w:tcBorders>
            <w:shd w:val="clear" w:color="auto" w:fill="auto"/>
            <w:noWrap/>
            <w:vAlign w:val="center"/>
            <w:hideMark/>
          </w:tcPr>
          <w:p w14:paraId="4FC9A90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15,711.95</w:t>
            </w:r>
          </w:p>
        </w:tc>
        <w:tc>
          <w:tcPr>
            <w:tcW w:w="1000" w:type="dxa"/>
            <w:tcBorders>
              <w:top w:val="nil"/>
              <w:left w:val="nil"/>
              <w:bottom w:val="single" w:sz="4" w:space="0" w:color="auto"/>
              <w:right w:val="single" w:sz="4" w:space="0" w:color="auto"/>
            </w:tcBorders>
            <w:shd w:val="clear" w:color="auto" w:fill="auto"/>
            <w:noWrap/>
            <w:vAlign w:val="center"/>
            <w:hideMark/>
          </w:tcPr>
          <w:p w14:paraId="0665BB2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19,810.04</w:t>
            </w:r>
          </w:p>
        </w:tc>
        <w:tc>
          <w:tcPr>
            <w:tcW w:w="1000" w:type="dxa"/>
            <w:tcBorders>
              <w:top w:val="nil"/>
              <w:left w:val="nil"/>
              <w:bottom w:val="single" w:sz="4" w:space="0" w:color="auto"/>
              <w:right w:val="single" w:sz="4" w:space="0" w:color="auto"/>
            </w:tcBorders>
            <w:shd w:val="clear" w:color="auto" w:fill="auto"/>
            <w:noWrap/>
            <w:vAlign w:val="center"/>
            <w:hideMark/>
          </w:tcPr>
          <w:p w14:paraId="07C9593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19,794.82</w:t>
            </w:r>
          </w:p>
        </w:tc>
        <w:tc>
          <w:tcPr>
            <w:tcW w:w="1000" w:type="dxa"/>
            <w:tcBorders>
              <w:top w:val="nil"/>
              <w:left w:val="nil"/>
              <w:bottom w:val="single" w:sz="4" w:space="0" w:color="auto"/>
              <w:right w:val="single" w:sz="4" w:space="0" w:color="auto"/>
            </w:tcBorders>
            <w:shd w:val="clear" w:color="auto" w:fill="auto"/>
            <w:noWrap/>
            <w:vAlign w:val="center"/>
            <w:hideMark/>
          </w:tcPr>
          <w:p w14:paraId="5270D74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27,435.38</w:t>
            </w:r>
          </w:p>
        </w:tc>
        <w:tc>
          <w:tcPr>
            <w:tcW w:w="1379" w:type="dxa"/>
            <w:tcBorders>
              <w:top w:val="nil"/>
              <w:left w:val="nil"/>
              <w:bottom w:val="single" w:sz="4" w:space="0" w:color="auto"/>
              <w:right w:val="single" w:sz="4" w:space="0" w:color="auto"/>
            </w:tcBorders>
            <w:shd w:val="clear" w:color="auto" w:fill="auto"/>
            <w:noWrap/>
            <w:vAlign w:val="center"/>
            <w:hideMark/>
          </w:tcPr>
          <w:p w14:paraId="4E002E30"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5%</w:t>
            </w:r>
          </w:p>
        </w:tc>
        <w:tc>
          <w:tcPr>
            <w:tcW w:w="1100" w:type="dxa"/>
            <w:tcBorders>
              <w:top w:val="nil"/>
              <w:left w:val="nil"/>
              <w:bottom w:val="single" w:sz="4" w:space="0" w:color="auto"/>
              <w:right w:val="single" w:sz="4" w:space="0" w:color="auto"/>
            </w:tcBorders>
            <w:shd w:val="clear" w:color="auto" w:fill="auto"/>
            <w:noWrap/>
            <w:vAlign w:val="center"/>
            <w:hideMark/>
          </w:tcPr>
          <w:p w14:paraId="77F8CE6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-1,712.09</w:t>
            </w:r>
          </w:p>
        </w:tc>
        <w:tc>
          <w:tcPr>
            <w:tcW w:w="1060" w:type="dxa"/>
            <w:tcBorders>
              <w:top w:val="nil"/>
              <w:left w:val="nil"/>
              <w:bottom w:val="single" w:sz="4" w:space="0" w:color="auto"/>
              <w:right w:val="single" w:sz="4" w:space="0" w:color="auto"/>
            </w:tcBorders>
            <w:shd w:val="clear" w:color="auto" w:fill="auto"/>
            <w:noWrap/>
            <w:vAlign w:val="center"/>
            <w:hideMark/>
          </w:tcPr>
          <w:p w14:paraId="1F129BD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4,098.09</w:t>
            </w:r>
          </w:p>
        </w:tc>
        <w:tc>
          <w:tcPr>
            <w:tcW w:w="1080" w:type="dxa"/>
            <w:tcBorders>
              <w:top w:val="nil"/>
              <w:left w:val="nil"/>
              <w:bottom w:val="single" w:sz="4" w:space="0" w:color="auto"/>
              <w:right w:val="single" w:sz="4" w:space="0" w:color="auto"/>
            </w:tcBorders>
            <w:shd w:val="clear" w:color="auto" w:fill="auto"/>
            <w:noWrap/>
            <w:vAlign w:val="center"/>
            <w:hideMark/>
          </w:tcPr>
          <w:p w14:paraId="27F11B9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-15.23</w:t>
            </w:r>
          </w:p>
        </w:tc>
        <w:tc>
          <w:tcPr>
            <w:tcW w:w="1020" w:type="dxa"/>
            <w:tcBorders>
              <w:top w:val="nil"/>
              <w:left w:val="nil"/>
              <w:bottom w:val="single" w:sz="4" w:space="0" w:color="auto"/>
              <w:right w:val="single" w:sz="4" w:space="0" w:color="auto"/>
            </w:tcBorders>
            <w:shd w:val="clear" w:color="auto" w:fill="auto"/>
            <w:noWrap/>
            <w:vAlign w:val="center"/>
            <w:hideMark/>
          </w:tcPr>
          <w:p w14:paraId="67BB2D5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7,640.56</w:t>
            </w:r>
          </w:p>
        </w:tc>
      </w:tr>
      <w:tr w:rsidR="00E52AC1" w:rsidRPr="003D6707" w14:paraId="728C799D"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0D1492"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42</w:t>
            </w:r>
          </w:p>
        </w:tc>
        <w:tc>
          <w:tcPr>
            <w:tcW w:w="3288" w:type="dxa"/>
            <w:tcBorders>
              <w:top w:val="nil"/>
              <w:left w:val="nil"/>
              <w:bottom w:val="single" w:sz="4" w:space="0" w:color="auto"/>
              <w:right w:val="single" w:sz="4" w:space="0" w:color="auto"/>
            </w:tcBorders>
            <w:shd w:val="clear" w:color="auto" w:fill="auto"/>
            <w:vAlign w:val="center"/>
            <w:hideMark/>
          </w:tcPr>
          <w:p w14:paraId="27DACA94" w14:textId="77777777" w:rsidR="00E52AC1" w:rsidRPr="003D6707" w:rsidRDefault="00E52AC1" w:rsidP="00E52AC1">
            <w:pPr>
              <w:spacing w:after="0" w:line="240" w:lineRule="auto"/>
              <w:rPr>
                <w:rFonts w:ascii="Calibri Light" w:eastAsia="Times New Roman" w:hAnsi="Calibri Light" w:cs="Calibri Light"/>
                <w:b/>
                <w:bCs/>
                <w:color w:val="000000"/>
                <w:sz w:val="14"/>
                <w:szCs w:val="14"/>
              </w:rPr>
            </w:pPr>
            <w:r w:rsidRPr="003D6707">
              <w:rPr>
                <w:rFonts w:ascii="Calibri Light" w:eastAsia="Times New Roman" w:hAnsi="Calibri Light" w:cs="Calibri Light"/>
                <w:b/>
                <w:bCs/>
                <w:color w:val="000000"/>
                <w:sz w:val="14"/>
                <w:szCs w:val="14"/>
              </w:rPr>
              <w:t>DIFERENȚA DE CURS VALUTAR</w:t>
            </w:r>
          </w:p>
        </w:tc>
        <w:tc>
          <w:tcPr>
            <w:tcW w:w="1000" w:type="dxa"/>
            <w:tcBorders>
              <w:top w:val="nil"/>
              <w:left w:val="nil"/>
              <w:bottom w:val="single" w:sz="4" w:space="0" w:color="auto"/>
              <w:right w:val="single" w:sz="4" w:space="0" w:color="auto"/>
            </w:tcBorders>
            <w:shd w:val="clear" w:color="auto" w:fill="auto"/>
            <w:noWrap/>
            <w:vAlign w:val="center"/>
            <w:hideMark/>
          </w:tcPr>
          <w:p w14:paraId="0F9A69AF"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-174.73</w:t>
            </w:r>
          </w:p>
        </w:tc>
        <w:tc>
          <w:tcPr>
            <w:tcW w:w="1000" w:type="dxa"/>
            <w:tcBorders>
              <w:top w:val="nil"/>
              <w:left w:val="nil"/>
              <w:bottom w:val="single" w:sz="4" w:space="0" w:color="auto"/>
              <w:right w:val="single" w:sz="4" w:space="0" w:color="auto"/>
            </w:tcBorders>
            <w:shd w:val="clear" w:color="auto" w:fill="auto"/>
            <w:noWrap/>
            <w:vAlign w:val="center"/>
            <w:hideMark/>
          </w:tcPr>
          <w:p w14:paraId="31D527DB"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-93.85</w:t>
            </w:r>
          </w:p>
        </w:tc>
        <w:tc>
          <w:tcPr>
            <w:tcW w:w="1000" w:type="dxa"/>
            <w:tcBorders>
              <w:top w:val="nil"/>
              <w:left w:val="nil"/>
              <w:bottom w:val="single" w:sz="4" w:space="0" w:color="auto"/>
              <w:right w:val="single" w:sz="4" w:space="0" w:color="auto"/>
            </w:tcBorders>
            <w:shd w:val="clear" w:color="auto" w:fill="auto"/>
            <w:noWrap/>
            <w:vAlign w:val="center"/>
            <w:hideMark/>
          </w:tcPr>
          <w:p w14:paraId="5966C8C2"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-119.49</w:t>
            </w:r>
          </w:p>
        </w:tc>
        <w:tc>
          <w:tcPr>
            <w:tcW w:w="1000" w:type="dxa"/>
            <w:tcBorders>
              <w:top w:val="nil"/>
              <w:left w:val="nil"/>
              <w:bottom w:val="single" w:sz="4" w:space="0" w:color="auto"/>
              <w:right w:val="single" w:sz="4" w:space="0" w:color="auto"/>
            </w:tcBorders>
            <w:shd w:val="clear" w:color="auto" w:fill="auto"/>
            <w:noWrap/>
            <w:vAlign w:val="center"/>
            <w:hideMark/>
          </w:tcPr>
          <w:p w14:paraId="5730B043"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250.35</w:t>
            </w:r>
          </w:p>
        </w:tc>
        <w:tc>
          <w:tcPr>
            <w:tcW w:w="1000" w:type="dxa"/>
            <w:tcBorders>
              <w:top w:val="nil"/>
              <w:left w:val="nil"/>
              <w:bottom w:val="single" w:sz="4" w:space="0" w:color="auto"/>
              <w:right w:val="single" w:sz="4" w:space="0" w:color="auto"/>
            </w:tcBorders>
            <w:shd w:val="clear" w:color="auto" w:fill="auto"/>
            <w:noWrap/>
            <w:vAlign w:val="center"/>
            <w:hideMark/>
          </w:tcPr>
          <w:p w14:paraId="01E6E8DD"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-1,493.61</w:t>
            </w:r>
          </w:p>
        </w:tc>
        <w:tc>
          <w:tcPr>
            <w:tcW w:w="1379" w:type="dxa"/>
            <w:tcBorders>
              <w:top w:val="nil"/>
              <w:left w:val="nil"/>
              <w:bottom w:val="single" w:sz="4" w:space="0" w:color="auto"/>
              <w:right w:val="single" w:sz="4" w:space="0" w:color="auto"/>
            </w:tcBorders>
            <w:shd w:val="clear" w:color="auto" w:fill="auto"/>
            <w:noWrap/>
            <w:vAlign w:val="center"/>
            <w:hideMark/>
          </w:tcPr>
          <w:p w14:paraId="128016B1"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0%</w:t>
            </w:r>
          </w:p>
        </w:tc>
        <w:tc>
          <w:tcPr>
            <w:tcW w:w="1100" w:type="dxa"/>
            <w:tcBorders>
              <w:top w:val="nil"/>
              <w:left w:val="nil"/>
              <w:bottom w:val="single" w:sz="4" w:space="0" w:color="auto"/>
              <w:right w:val="single" w:sz="4" w:space="0" w:color="auto"/>
            </w:tcBorders>
            <w:shd w:val="clear" w:color="auto" w:fill="auto"/>
            <w:noWrap/>
            <w:vAlign w:val="center"/>
            <w:hideMark/>
          </w:tcPr>
          <w:p w14:paraId="56F344D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80.88</w:t>
            </w:r>
          </w:p>
        </w:tc>
        <w:tc>
          <w:tcPr>
            <w:tcW w:w="1060" w:type="dxa"/>
            <w:tcBorders>
              <w:top w:val="nil"/>
              <w:left w:val="nil"/>
              <w:bottom w:val="single" w:sz="4" w:space="0" w:color="auto"/>
              <w:right w:val="single" w:sz="4" w:space="0" w:color="auto"/>
            </w:tcBorders>
            <w:shd w:val="clear" w:color="auto" w:fill="auto"/>
            <w:noWrap/>
            <w:vAlign w:val="center"/>
            <w:hideMark/>
          </w:tcPr>
          <w:p w14:paraId="4DA3DF7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-25.64</w:t>
            </w:r>
          </w:p>
        </w:tc>
        <w:tc>
          <w:tcPr>
            <w:tcW w:w="1080" w:type="dxa"/>
            <w:tcBorders>
              <w:top w:val="nil"/>
              <w:left w:val="nil"/>
              <w:bottom w:val="single" w:sz="4" w:space="0" w:color="auto"/>
              <w:right w:val="single" w:sz="4" w:space="0" w:color="auto"/>
            </w:tcBorders>
            <w:shd w:val="clear" w:color="auto" w:fill="auto"/>
            <w:noWrap/>
            <w:vAlign w:val="center"/>
            <w:hideMark/>
          </w:tcPr>
          <w:p w14:paraId="22C0B46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369.84</w:t>
            </w:r>
          </w:p>
        </w:tc>
        <w:tc>
          <w:tcPr>
            <w:tcW w:w="1020" w:type="dxa"/>
            <w:tcBorders>
              <w:top w:val="nil"/>
              <w:left w:val="nil"/>
              <w:bottom w:val="single" w:sz="4" w:space="0" w:color="auto"/>
              <w:right w:val="single" w:sz="4" w:space="0" w:color="auto"/>
            </w:tcBorders>
            <w:shd w:val="clear" w:color="auto" w:fill="auto"/>
            <w:noWrap/>
            <w:vAlign w:val="center"/>
            <w:hideMark/>
          </w:tcPr>
          <w:p w14:paraId="55D54A3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-1,743.95</w:t>
            </w:r>
          </w:p>
        </w:tc>
      </w:tr>
      <w:tr w:rsidR="00E52AC1" w:rsidRPr="003D6707" w14:paraId="469D1FCA"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227C3E"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421</w:t>
            </w:r>
          </w:p>
        </w:tc>
        <w:tc>
          <w:tcPr>
            <w:tcW w:w="3288" w:type="dxa"/>
            <w:tcBorders>
              <w:top w:val="nil"/>
              <w:left w:val="nil"/>
              <w:bottom w:val="single" w:sz="4" w:space="0" w:color="auto"/>
              <w:right w:val="single" w:sz="4" w:space="0" w:color="auto"/>
            </w:tcBorders>
            <w:shd w:val="clear" w:color="auto" w:fill="auto"/>
            <w:vAlign w:val="center"/>
            <w:hideMark/>
          </w:tcPr>
          <w:p w14:paraId="500501E8"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Diferența de curs pozitivă</w:t>
            </w:r>
          </w:p>
        </w:tc>
        <w:tc>
          <w:tcPr>
            <w:tcW w:w="1000" w:type="dxa"/>
            <w:tcBorders>
              <w:top w:val="nil"/>
              <w:left w:val="nil"/>
              <w:bottom w:val="single" w:sz="4" w:space="0" w:color="auto"/>
              <w:right w:val="single" w:sz="4" w:space="0" w:color="auto"/>
            </w:tcBorders>
            <w:shd w:val="clear" w:color="auto" w:fill="auto"/>
            <w:noWrap/>
            <w:vAlign w:val="center"/>
            <w:hideMark/>
          </w:tcPr>
          <w:p w14:paraId="6B2701A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-760.08</w:t>
            </w:r>
          </w:p>
        </w:tc>
        <w:tc>
          <w:tcPr>
            <w:tcW w:w="1000" w:type="dxa"/>
            <w:tcBorders>
              <w:top w:val="nil"/>
              <w:left w:val="nil"/>
              <w:bottom w:val="single" w:sz="4" w:space="0" w:color="auto"/>
              <w:right w:val="single" w:sz="4" w:space="0" w:color="auto"/>
            </w:tcBorders>
            <w:shd w:val="clear" w:color="auto" w:fill="auto"/>
            <w:noWrap/>
            <w:vAlign w:val="center"/>
            <w:hideMark/>
          </w:tcPr>
          <w:p w14:paraId="5276BAAE"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-999.56</w:t>
            </w:r>
          </w:p>
        </w:tc>
        <w:tc>
          <w:tcPr>
            <w:tcW w:w="1000" w:type="dxa"/>
            <w:tcBorders>
              <w:top w:val="nil"/>
              <w:left w:val="nil"/>
              <w:bottom w:val="single" w:sz="4" w:space="0" w:color="auto"/>
              <w:right w:val="single" w:sz="4" w:space="0" w:color="auto"/>
            </w:tcBorders>
            <w:shd w:val="clear" w:color="auto" w:fill="auto"/>
            <w:noWrap/>
            <w:vAlign w:val="center"/>
            <w:hideMark/>
          </w:tcPr>
          <w:p w14:paraId="2FE497C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-2,466.63</w:t>
            </w:r>
          </w:p>
        </w:tc>
        <w:tc>
          <w:tcPr>
            <w:tcW w:w="1000" w:type="dxa"/>
            <w:tcBorders>
              <w:top w:val="nil"/>
              <w:left w:val="nil"/>
              <w:bottom w:val="single" w:sz="4" w:space="0" w:color="auto"/>
              <w:right w:val="single" w:sz="4" w:space="0" w:color="auto"/>
            </w:tcBorders>
            <w:shd w:val="clear" w:color="auto" w:fill="auto"/>
            <w:noWrap/>
            <w:vAlign w:val="center"/>
            <w:hideMark/>
          </w:tcPr>
          <w:p w14:paraId="6F9F7CB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-2,197.43</w:t>
            </w:r>
          </w:p>
        </w:tc>
        <w:tc>
          <w:tcPr>
            <w:tcW w:w="1000" w:type="dxa"/>
            <w:tcBorders>
              <w:top w:val="nil"/>
              <w:left w:val="nil"/>
              <w:bottom w:val="single" w:sz="4" w:space="0" w:color="auto"/>
              <w:right w:val="single" w:sz="4" w:space="0" w:color="auto"/>
            </w:tcBorders>
            <w:shd w:val="clear" w:color="auto" w:fill="auto"/>
            <w:noWrap/>
            <w:vAlign w:val="center"/>
            <w:hideMark/>
          </w:tcPr>
          <w:p w14:paraId="5480670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-4,692.81</w:t>
            </w:r>
          </w:p>
        </w:tc>
        <w:tc>
          <w:tcPr>
            <w:tcW w:w="1379" w:type="dxa"/>
            <w:tcBorders>
              <w:top w:val="nil"/>
              <w:left w:val="nil"/>
              <w:bottom w:val="single" w:sz="4" w:space="0" w:color="auto"/>
              <w:right w:val="single" w:sz="4" w:space="0" w:color="auto"/>
            </w:tcBorders>
            <w:shd w:val="clear" w:color="auto" w:fill="auto"/>
            <w:noWrap/>
            <w:vAlign w:val="center"/>
            <w:hideMark/>
          </w:tcPr>
          <w:p w14:paraId="5CFC41D7"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-1%</w:t>
            </w:r>
          </w:p>
        </w:tc>
        <w:tc>
          <w:tcPr>
            <w:tcW w:w="1100" w:type="dxa"/>
            <w:tcBorders>
              <w:top w:val="nil"/>
              <w:left w:val="nil"/>
              <w:bottom w:val="single" w:sz="4" w:space="0" w:color="auto"/>
              <w:right w:val="single" w:sz="4" w:space="0" w:color="auto"/>
            </w:tcBorders>
            <w:shd w:val="clear" w:color="auto" w:fill="auto"/>
            <w:noWrap/>
            <w:vAlign w:val="center"/>
            <w:hideMark/>
          </w:tcPr>
          <w:p w14:paraId="5476C2F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-239.48</w:t>
            </w:r>
          </w:p>
        </w:tc>
        <w:tc>
          <w:tcPr>
            <w:tcW w:w="1060" w:type="dxa"/>
            <w:tcBorders>
              <w:top w:val="nil"/>
              <w:left w:val="nil"/>
              <w:bottom w:val="single" w:sz="4" w:space="0" w:color="auto"/>
              <w:right w:val="single" w:sz="4" w:space="0" w:color="auto"/>
            </w:tcBorders>
            <w:shd w:val="clear" w:color="auto" w:fill="auto"/>
            <w:noWrap/>
            <w:vAlign w:val="center"/>
            <w:hideMark/>
          </w:tcPr>
          <w:p w14:paraId="6B21C90E"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-1,467.07</w:t>
            </w:r>
          </w:p>
        </w:tc>
        <w:tc>
          <w:tcPr>
            <w:tcW w:w="1080" w:type="dxa"/>
            <w:tcBorders>
              <w:top w:val="nil"/>
              <w:left w:val="nil"/>
              <w:bottom w:val="single" w:sz="4" w:space="0" w:color="auto"/>
              <w:right w:val="single" w:sz="4" w:space="0" w:color="auto"/>
            </w:tcBorders>
            <w:shd w:val="clear" w:color="auto" w:fill="auto"/>
            <w:noWrap/>
            <w:vAlign w:val="center"/>
            <w:hideMark/>
          </w:tcPr>
          <w:p w14:paraId="0A2B03B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269.20</w:t>
            </w:r>
          </w:p>
        </w:tc>
        <w:tc>
          <w:tcPr>
            <w:tcW w:w="1020" w:type="dxa"/>
            <w:tcBorders>
              <w:top w:val="nil"/>
              <w:left w:val="nil"/>
              <w:bottom w:val="single" w:sz="4" w:space="0" w:color="auto"/>
              <w:right w:val="single" w:sz="4" w:space="0" w:color="auto"/>
            </w:tcBorders>
            <w:shd w:val="clear" w:color="auto" w:fill="auto"/>
            <w:noWrap/>
            <w:vAlign w:val="center"/>
            <w:hideMark/>
          </w:tcPr>
          <w:p w14:paraId="2F395C7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-2,495.38</w:t>
            </w:r>
          </w:p>
        </w:tc>
      </w:tr>
      <w:tr w:rsidR="00E52AC1" w:rsidRPr="003D6707" w14:paraId="1C400D9D"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D96B1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422</w:t>
            </w:r>
          </w:p>
        </w:tc>
        <w:tc>
          <w:tcPr>
            <w:tcW w:w="3288" w:type="dxa"/>
            <w:tcBorders>
              <w:top w:val="nil"/>
              <w:left w:val="nil"/>
              <w:bottom w:val="single" w:sz="4" w:space="0" w:color="auto"/>
              <w:right w:val="single" w:sz="4" w:space="0" w:color="auto"/>
            </w:tcBorders>
            <w:shd w:val="clear" w:color="auto" w:fill="auto"/>
            <w:vAlign w:val="center"/>
            <w:hideMark/>
          </w:tcPr>
          <w:p w14:paraId="73ED271E"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Diferența de curs negativa</w:t>
            </w:r>
          </w:p>
        </w:tc>
        <w:tc>
          <w:tcPr>
            <w:tcW w:w="1000" w:type="dxa"/>
            <w:tcBorders>
              <w:top w:val="nil"/>
              <w:left w:val="nil"/>
              <w:bottom w:val="single" w:sz="4" w:space="0" w:color="auto"/>
              <w:right w:val="single" w:sz="4" w:space="0" w:color="auto"/>
            </w:tcBorders>
            <w:shd w:val="clear" w:color="auto" w:fill="auto"/>
            <w:noWrap/>
            <w:vAlign w:val="center"/>
            <w:hideMark/>
          </w:tcPr>
          <w:p w14:paraId="6C028FB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585.35</w:t>
            </w:r>
          </w:p>
        </w:tc>
        <w:tc>
          <w:tcPr>
            <w:tcW w:w="1000" w:type="dxa"/>
            <w:tcBorders>
              <w:top w:val="nil"/>
              <w:left w:val="nil"/>
              <w:bottom w:val="single" w:sz="4" w:space="0" w:color="auto"/>
              <w:right w:val="single" w:sz="4" w:space="0" w:color="auto"/>
            </w:tcBorders>
            <w:shd w:val="clear" w:color="auto" w:fill="auto"/>
            <w:noWrap/>
            <w:vAlign w:val="center"/>
            <w:hideMark/>
          </w:tcPr>
          <w:p w14:paraId="3950A6B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905.71</w:t>
            </w:r>
          </w:p>
        </w:tc>
        <w:tc>
          <w:tcPr>
            <w:tcW w:w="1000" w:type="dxa"/>
            <w:tcBorders>
              <w:top w:val="nil"/>
              <w:left w:val="nil"/>
              <w:bottom w:val="single" w:sz="4" w:space="0" w:color="auto"/>
              <w:right w:val="single" w:sz="4" w:space="0" w:color="auto"/>
            </w:tcBorders>
            <w:shd w:val="clear" w:color="auto" w:fill="auto"/>
            <w:noWrap/>
            <w:vAlign w:val="center"/>
            <w:hideMark/>
          </w:tcPr>
          <w:p w14:paraId="661893B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2,347.14</w:t>
            </w:r>
          </w:p>
        </w:tc>
        <w:tc>
          <w:tcPr>
            <w:tcW w:w="1000" w:type="dxa"/>
            <w:tcBorders>
              <w:top w:val="nil"/>
              <w:left w:val="nil"/>
              <w:bottom w:val="single" w:sz="4" w:space="0" w:color="auto"/>
              <w:right w:val="single" w:sz="4" w:space="0" w:color="auto"/>
            </w:tcBorders>
            <w:shd w:val="clear" w:color="auto" w:fill="auto"/>
            <w:noWrap/>
            <w:vAlign w:val="center"/>
            <w:hideMark/>
          </w:tcPr>
          <w:p w14:paraId="57E7E07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2,447.78</w:t>
            </w:r>
          </w:p>
        </w:tc>
        <w:tc>
          <w:tcPr>
            <w:tcW w:w="1000" w:type="dxa"/>
            <w:tcBorders>
              <w:top w:val="nil"/>
              <w:left w:val="nil"/>
              <w:bottom w:val="single" w:sz="4" w:space="0" w:color="auto"/>
              <w:right w:val="single" w:sz="4" w:space="0" w:color="auto"/>
            </w:tcBorders>
            <w:shd w:val="clear" w:color="auto" w:fill="auto"/>
            <w:noWrap/>
            <w:vAlign w:val="center"/>
            <w:hideMark/>
          </w:tcPr>
          <w:p w14:paraId="759C3C2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3,199.21</w:t>
            </w:r>
          </w:p>
        </w:tc>
        <w:tc>
          <w:tcPr>
            <w:tcW w:w="1379" w:type="dxa"/>
            <w:tcBorders>
              <w:top w:val="nil"/>
              <w:left w:val="nil"/>
              <w:bottom w:val="single" w:sz="4" w:space="0" w:color="auto"/>
              <w:right w:val="single" w:sz="4" w:space="0" w:color="auto"/>
            </w:tcBorders>
            <w:shd w:val="clear" w:color="auto" w:fill="auto"/>
            <w:noWrap/>
            <w:vAlign w:val="center"/>
            <w:hideMark/>
          </w:tcPr>
          <w:p w14:paraId="05BBAF95"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1%</w:t>
            </w:r>
          </w:p>
        </w:tc>
        <w:tc>
          <w:tcPr>
            <w:tcW w:w="1100" w:type="dxa"/>
            <w:tcBorders>
              <w:top w:val="nil"/>
              <w:left w:val="nil"/>
              <w:bottom w:val="single" w:sz="4" w:space="0" w:color="auto"/>
              <w:right w:val="single" w:sz="4" w:space="0" w:color="auto"/>
            </w:tcBorders>
            <w:shd w:val="clear" w:color="auto" w:fill="auto"/>
            <w:noWrap/>
            <w:vAlign w:val="center"/>
            <w:hideMark/>
          </w:tcPr>
          <w:p w14:paraId="0C4BA8B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320.36</w:t>
            </w:r>
          </w:p>
        </w:tc>
        <w:tc>
          <w:tcPr>
            <w:tcW w:w="1060" w:type="dxa"/>
            <w:tcBorders>
              <w:top w:val="nil"/>
              <w:left w:val="nil"/>
              <w:bottom w:val="single" w:sz="4" w:space="0" w:color="auto"/>
              <w:right w:val="single" w:sz="4" w:space="0" w:color="auto"/>
            </w:tcBorders>
            <w:shd w:val="clear" w:color="auto" w:fill="auto"/>
            <w:noWrap/>
            <w:vAlign w:val="center"/>
            <w:hideMark/>
          </w:tcPr>
          <w:p w14:paraId="4D9365A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1,441.43</w:t>
            </w:r>
          </w:p>
        </w:tc>
        <w:tc>
          <w:tcPr>
            <w:tcW w:w="1080" w:type="dxa"/>
            <w:tcBorders>
              <w:top w:val="nil"/>
              <w:left w:val="nil"/>
              <w:bottom w:val="single" w:sz="4" w:space="0" w:color="auto"/>
              <w:right w:val="single" w:sz="4" w:space="0" w:color="auto"/>
            </w:tcBorders>
            <w:shd w:val="clear" w:color="auto" w:fill="auto"/>
            <w:noWrap/>
            <w:vAlign w:val="center"/>
            <w:hideMark/>
          </w:tcPr>
          <w:p w14:paraId="2AB0230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100.64</w:t>
            </w:r>
          </w:p>
        </w:tc>
        <w:tc>
          <w:tcPr>
            <w:tcW w:w="1020" w:type="dxa"/>
            <w:tcBorders>
              <w:top w:val="nil"/>
              <w:left w:val="nil"/>
              <w:bottom w:val="single" w:sz="4" w:space="0" w:color="auto"/>
              <w:right w:val="single" w:sz="4" w:space="0" w:color="auto"/>
            </w:tcBorders>
            <w:shd w:val="clear" w:color="auto" w:fill="auto"/>
            <w:noWrap/>
            <w:vAlign w:val="center"/>
            <w:hideMark/>
          </w:tcPr>
          <w:p w14:paraId="423C3EB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751.43</w:t>
            </w:r>
          </w:p>
        </w:tc>
      </w:tr>
      <w:tr w:rsidR="00E52AC1" w:rsidRPr="003D6707" w14:paraId="48447415"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570CE9"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43</w:t>
            </w:r>
          </w:p>
        </w:tc>
        <w:tc>
          <w:tcPr>
            <w:tcW w:w="3288" w:type="dxa"/>
            <w:tcBorders>
              <w:top w:val="nil"/>
              <w:left w:val="nil"/>
              <w:bottom w:val="single" w:sz="4" w:space="0" w:color="auto"/>
              <w:right w:val="single" w:sz="4" w:space="0" w:color="auto"/>
            </w:tcBorders>
            <w:shd w:val="clear" w:color="auto" w:fill="auto"/>
            <w:vAlign w:val="center"/>
            <w:hideMark/>
          </w:tcPr>
          <w:p w14:paraId="06972E6D" w14:textId="77777777" w:rsidR="00E52AC1" w:rsidRPr="003D6707" w:rsidRDefault="00E52AC1" w:rsidP="00E52AC1">
            <w:pPr>
              <w:spacing w:after="0" w:line="240" w:lineRule="auto"/>
              <w:rPr>
                <w:rFonts w:ascii="Calibri Light" w:eastAsia="Times New Roman" w:hAnsi="Calibri Light" w:cs="Calibri Light"/>
                <w:b/>
                <w:bCs/>
                <w:color w:val="000000"/>
                <w:sz w:val="14"/>
                <w:szCs w:val="14"/>
              </w:rPr>
            </w:pPr>
            <w:r w:rsidRPr="003D6707">
              <w:rPr>
                <w:rFonts w:ascii="Calibri Light" w:eastAsia="Times New Roman" w:hAnsi="Calibri Light" w:cs="Calibri Light"/>
                <w:b/>
                <w:bCs/>
                <w:color w:val="000000"/>
                <w:sz w:val="14"/>
                <w:szCs w:val="14"/>
              </w:rPr>
              <w:t>MIJLOACE BĂNEȘTI</w:t>
            </w:r>
          </w:p>
        </w:tc>
        <w:tc>
          <w:tcPr>
            <w:tcW w:w="1000" w:type="dxa"/>
            <w:tcBorders>
              <w:top w:val="nil"/>
              <w:left w:val="nil"/>
              <w:bottom w:val="single" w:sz="4" w:space="0" w:color="auto"/>
              <w:right w:val="single" w:sz="4" w:space="0" w:color="auto"/>
            </w:tcBorders>
            <w:shd w:val="clear" w:color="auto" w:fill="auto"/>
            <w:noWrap/>
            <w:vAlign w:val="center"/>
            <w:hideMark/>
          </w:tcPr>
          <w:p w14:paraId="70DCAEA9"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5,612.46</w:t>
            </w:r>
          </w:p>
        </w:tc>
        <w:tc>
          <w:tcPr>
            <w:tcW w:w="1000" w:type="dxa"/>
            <w:tcBorders>
              <w:top w:val="nil"/>
              <w:left w:val="nil"/>
              <w:bottom w:val="single" w:sz="4" w:space="0" w:color="auto"/>
              <w:right w:val="single" w:sz="4" w:space="0" w:color="auto"/>
            </w:tcBorders>
            <w:shd w:val="clear" w:color="auto" w:fill="auto"/>
            <w:noWrap/>
            <w:vAlign w:val="center"/>
            <w:hideMark/>
          </w:tcPr>
          <w:p w14:paraId="5D2589E5"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14,224.61</w:t>
            </w:r>
          </w:p>
        </w:tc>
        <w:tc>
          <w:tcPr>
            <w:tcW w:w="1000" w:type="dxa"/>
            <w:tcBorders>
              <w:top w:val="nil"/>
              <w:left w:val="nil"/>
              <w:bottom w:val="single" w:sz="4" w:space="0" w:color="auto"/>
              <w:right w:val="single" w:sz="4" w:space="0" w:color="auto"/>
            </w:tcBorders>
            <w:shd w:val="clear" w:color="auto" w:fill="auto"/>
            <w:noWrap/>
            <w:vAlign w:val="center"/>
            <w:hideMark/>
          </w:tcPr>
          <w:p w14:paraId="042803D1"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8,997.17</w:t>
            </w:r>
          </w:p>
        </w:tc>
        <w:tc>
          <w:tcPr>
            <w:tcW w:w="1000" w:type="dxa"/>
            <w:tcBorders>
              <w:top w:val="nil"/>
              <w:left w:val="nil"/>
              <w:bottom w:val="single" w:sz="4" w:space="0" w:color="auto"/>
              <w:right w:val="single" w:sz="4" w:space="0" w:color="auto"/>
            </w:tcBorders>
            <w:shd w:val="clear" w:color="auto" w:fill="auto"/>
            <w:noWrap/>
            <w:vAlign w:val="center"/>
            <w:hideMark/>
          </w:tcPr>
          <w:p w14:paraId="0E271270"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13,509.43</w:t>
            </w:r>
          </w:p>
        </w:tc>
        <w:tc>
          <w:tcPr>
            <w:tcW w:w="1000" w:type="dxa"/>
            <w:tcBorders>
              <w:top w:val="nil"/>
              <w:left w:val="nil"/>
              <w:bottom w:val="single" w:sz="4" w:space="0" w:color="auto"/>
              <w:right w:val="single" w:sz="4" w:space="0" w:color="auto"/>
            </w:tcBorders>
            <w:shd w:val="clear" w:color="auto" w:fill="auto"/>
            <w:noWrap/>
            <w:vAlign w:val="center"/>
            <w:hideMark/>
          </w:tcPr>
          <w:p w14:paraId="0BFB1E4B"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5,547.87</w:t>
            </w:r>
          </w:p>
        </w:tc>
        <w:tc>
          <w:tcPr>
            <w:tcW w:w="1379" w:type="dxa"/>
            <w:tcBorders>
              <w:top w:val="nil"/>
              <w:left w:val="nil"/>
              <w:bottom w:val="single" w:sz="4" w:space="0" w:color="auto"/>
              <w:right w:val="single" w:sz="4" w:space="0" w:color="auto"/>
            </w:tcBorders>
            <w:shd w:val="clear" w:color="auto" w:fill="auto"/>
            <w:noWrap/>
            <w:vAlign w:val="center"/>
            <w:hideMark/>
          </w:tcPr>
          <w:p w14:paraId="3BC5E14A"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1%</w:t>
            </w:r>
          </w:p>
        </w:tc>
        <w:tc>
          <w:tcPr>
            <w:tcW w:w="1100" w:type="dxa"/>
            <w:tcBorders>
              <w:top w:val="nil"/>
              <w:left w:val="nil"/>
              <w:bottom w:val="single" w:sz="4" w:space="0" w:color="auto"/>
              <w:right w:val="single" w:sz="4" w:space="0" w:color="auto"/>
            </w:tcBorders>
            <w:shd w:val="clear" w:color="auto" w:fill="auto"/>
            <w:noWrap/>
            <w:vAlign w:val="center"/>
            <w:hideMark/>
          </w:tcPr>
          <w:p w14:paraId="316096A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8,612.15</w:t>
            </w:r>
          </w:p>
        </w:tc>
        <w:tc>
          <w:tcPr>
            <w:tcW w:w="1060" w:type="dxa"/>
            <w:tcBorders>
              <w:top w:val="nil"/>
              <w:left w:val="nil"/>
              <w:bottom w:val="single" w:sz="4" w:space="0" w:color="auto"/>
              <w:right w:val="single" w:sz="4" w:space="0" w:color="auto"/>
            </w:tcBorders>
            <w:shd w:val="clear" w:color="auto" w:fill="auto"/>
            <w:noWrap/>
            <w:vAlign w:val="center"/>
            <w:hideMark/>
          </w:tcPr>
          <w:p w14:paraId="61800BB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-5,227.44</w:t>
            </w:r>
          </w:p>
        </w:tc>
        <w:tc>
          <w:tcPr>
            <w:tcW w:w="1080" w:type="dxa"/>
            <w:tcBorders>
              <w:top w:val="nil"/>
              <w:left w:val="nil"/>
              <w:bottom w:val="single" w:sz="4" w:space="0" w:color="auto"/>
              <w:right w:val="single" w:sz="4" w:space="0" w:color="auto"/>
            </w:tcBorders>
            <w:shd w:val="clear" w:color="auto" w:fill="auto"/>
            <w:noWrap/>
            <w:vAlign w:val="center"/>
            <w:hideMark/>
          </w:tcPr>
          <w:p w14:paraId="084E21C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4,512.26</w:t>
            </w:r>
          </w:p>
        </w:tc>
        <w:tc>
          <w:tcPr>
            <w:tcW w:w="1020" w:type="dxa"/>
            <w:tcBorders>
              <w:top w:val="nil"/>
              <w:left w:val="nil"/>
              <w:bottom w:val="single" w:sz="4" w:space="0" w:color="auto"/>
              <w:right w:val="single" w:sz="4" w:space="0" w:color="auto"/>
            </w:tcBorders>
            <w:shd w:val="clear" w:color="auto" w:fill="auto"/>
            <w:noWrap/>
            <w:vAlign w:val="center"/>
            <w:hideMark/>
          </w:tcPr>
          <w:p w14:paraId="3873A9C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-7,961.56</w:t>
            </w:r>
          </w:p>
        </w:tc>
      </w:tr>
      <w:tr w:rsidR="00E52AC1" w:rsidRPr="003D6707" w14:paraId="46C21CAE"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26261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431</w:t>
            </w:r>
          </w:p>
        </w:tc>
        <w:tc>
          <w:tcPr>
            <w:tcW w:w="3288" w:type="dxa"/>
            <w:tcBorders>
              <w:top w:val="nil"/>
              <w:left w:val="nil"/>
              <w:bottom w:val="single" w:sz="4" w:space="0" w:color="auto"/>
              <w:right w:val="single" w:sz="4" w:space="0" w:color="auto"/>
            </w:tcBorders>
            <w:shd w:val="clear" w:color="auto" w:fill="auto"/>
            <w:vAlign w:val="center"/>
            <w:hideMark/>
          </w:tcPr>
          <w:p w14:paraId="23901FBE"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Conturi curente în sistemul trezorerial</w:t>
            </w:r>
          </w:p>
        </w:tc>
        <w:tc>
          <w:tcPr>
            <w:tcW w:w="1000" w:type="dxa"/>
            <w:tcBorders>
              <w:top w:val="nil"/>
              <w:left w:val="nil"/>
              <w:bottom w:val="single" w:sz="4" w:space="0" w:color="auto"/>
              <w:right w:val="single" w:sz="4" w:space="0" w:color="auto"/>
            </w:tcBorders>
            <w:shd w:val="clear" w:color="auto" w:fill="auto"/>
            <w:noWrap/>
            <w:vAlign w:val="center"/>
            <w:hideMark/>
          </w:tcPr>
          <w:p w14:paraId="6B1E784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5,608.83</w:t>
            </w:r>
          </w:p>
        </w:tc>
        <w:tc>
          <w:tcPr>
            <w:tcW w:w="1000" w:type="dxa"/>
            <w:tcBorders>
              <w:top w:val="nil"/>
              <w:left w:val="nil"/>
              <w:bottom w:val="single" w:sz="4" w:space="0" w:color="auto"/>
              <w:right w:val="single" w:sz="4" w:space="0" w:color="auto"/>
            </w:tcBorders>
            <w:shd w:val="clear" w:color="auto" w:fill="auto"/>
            <w:noWrap/>
            <w:vAlign w:val="center"/>
            <w:hideMark/>
          </w:tcPr>
          <w:p w14:paraId="0AF8A40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14,221.80</w:t>
            </w:r>
          </w:p>
        </w:tc>
        <w:tc>
          <w:tcPr>
            <w:tcW w:w="1000" w:type="dxa"/>
            <w:tcBorders>
              <w:top w:val="nil"/>
              <w:left w:val="nil"/>
              <w:bottom w:val="single" w:sz="4" w:space="0" w:color="auto"/>
              <w:right w:val="single" w:sz="4" w:space="0" w:color="auto"/>
            </w:tcBorders>
            <w:shd w:val="clear" w:color="auto" w:fill="auto"/>
            <w:noWrap/>
            <w:vAlign w:val="center"/>
            <w:hideMark/>
          </w:tcPr>
          <w:p w14:paraId="7FB9FDA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8,996.82</w:t>
            </w:r>
          </w:p>
        </w:tc>
        <w:tc>
          <w:tcPr>
            <w:tcW w:w="1000" w:type="dxa"/>
            <w:tcBorders>
              <w:top w:val="nil"/>
              <w:left w:val="nil"/>
              <w:bottom w:val="single" w:sz="4" w:space="0" w:color="auto"/>
              <w:right w:val="single" w:sz="4" w:space="0" w:color="auto"/>
            </w:tcBorders>
            <w:shd w:val="clear" w:color="auto" w:fill="auto"/>
            <w:noWrap/>
            <w:vAlign w:val="center"/>
            <w:hideMark/>
          </w:tcPr>
          <w:p w14:paraId="1D44F0B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13,509.08</w:t>
            </w:r>
          </w:p>
        </w:tc>
        <w:tc>
          <w:tcPr>
            <w:tcW w:w="1000" w:type="dxa"/>
            <w:tcBorders>
              <w:top w:val="nil"/>
              <w:left w:val="nil"/>
              <w:bottom w:val="single" w:sz="4" w:space="0" w:color="auto"/>
              <w:right w:val="single" w:sz="4" w:space="0" w:color="auto"/>
            </w:tcBorders>
            <w:shd w:val="clear" w:color="auto" w:fill="auto"/>
            <w:noWrap/>
            <w:vAlign w:val="center"/>
            <w:hideMark/>
          </w:tcPr>
          <w:p w14:paraId="78D2AE6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5,547.53</w:t>
            </w:r>
          </w:p>
        </w:tc>
        <w:tc>
          <w:tcPr>
            <w:tcW w:w="1379" w:type="dxa"/>
            <w:tcBorders>
              <w:top w:val="nil"/>
              <w:left w:val="nil"/>
              <w:bottom w:val="single" w:sz="4" w:space="0" w:color="auto"/>
              <w:right w:val="single" w:sz="4" w:space="0" w:color="auto"/>
            </w:tcBorders>
            <w:shd w:val="clear" w:color="auto" w:fill="auto"/>
            <w:noWrap/>
            <w:vAlign w:val="center"/>
            <w:hideMark/>
          </w:tcPr>
          <w:p w14:paraId="4579D281"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1%</w:t>
            </w:r>
          </w:p>
        </w:tc>
        <w:tc>
          <w:tcPr>
            <w:tcW w:w="1100" w:type="dxa"/>
            <w:tcBorders>
              <w:top w:val="nil"/>
              <w:left w:val="nil"/>
              <w:bottom w:val="single" w:sz="4" w:space="0" w:color="auto"/>
              <w:right w:val="single" w:sz="4" w:space="0" w:color="auto"/>
            </w:tcBorders>
            <w:shd w:val="clear" w:color="auto" w:fill="auto"/>
            <w:noWrap/>
            <w:vAlign w:val="center"/>
            <w:hideMark/>
          </w:tcPr>
          <w:p w14:paraId="6D8D691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8,612.97</w:t>
            </w:r>
          </w:p>
        </w:tc>
        <w:tc>
          <w:tcPr>
            <w:tcW w:w="1060" w:type="dxa"/>
            <w:tcBorders>
              <w:top w:val="nil"/>
              <w:left w:val="nil"/>
              <w:bottom w:val="single" w:sz="4" w:space="0" w:color="auto"/>
              <w:right w:val="single" w:sz="4" w:space="0" w:color="auto"/>
            </w:tcBorders>
            <w:shd w:val="clear" w:color="auto" w:fill="auto"/>
            <w:noWrap/>
            <w:vAlign w:val="center"/>
            <w:hideMark/>
          </w:tcPr>
          <w:p w14:paraId="65067DF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-5,224.98</w:t>
            </w:r>
          </w:p>
        </w:tc>
        <w:tc>
          <w:tcPr>
            <w:tcW w:w="1080" w:type="dxa"/>
            <w:tcBorders>
              <w:top w:val="nil"/>
              <w:left w:val="nil"/>
              <w:bottom w:val="single" w:sz="4" w:space="0" w:color="auto"/>
              <w:right w:val="single" w:sz="4" w:space="0" w:color="auto"/>
            </w:tcBorders>
            <w:shd w:val="clear" w:color="auto" w:fill="auto"/>
            <w:noWrap/>
            <w:vAlign w:val="center"/>
            <w:hideMark/>
          </w:tcPr>
          <w:p w14:paraId="451B2D1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4,512.26</w:t>
            </w:r>
          </w:p>
        </w:tc>
        <w:tc>
          <w:tcPr>
            <w:tcW w:w="1020" w:type="dxa"/>
            <w:tcBorders>
              <w:top w:val="nil"/>
              <w:left w:val="nil"/>
              <w:bottom w:val="single" w:sz="4" w:space="0" w:color="auto"/>
              <w:right w:val="single" w:sz="4" w:space="0" w:color="auto"/>
            </w:tcBorders>
            <w:shd w:val="clear" w:color="auto" w:fill="auto"/>
            <w:noWrap/>
            <w:vAlign w:val="center"/>
            <w:hideMark/>
          </w:tcPr>
          <w:p w14:paraId="3E9DCCA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-7,961.54</w:t>
            </w:r>
          </w:p>
        </w:tc>
      </w:tr>
      <w:tr w:rsidR="00E52AC1" w:rsidRPr="003D6707" w14:paraId="7E2755CC"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D3278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439</w:t>
            </w:r>
          </w:p>
        </w:tc>
        <w:tc>
          <w:tcPr>
            <w:tcW w:w="3288" w:type="dxa"/>
            <w:tcBorders>
              <w:top w:val="nil"/>
              <w:left w:val="nil"/>
              <w:bottom w:val="single" w:sz="4" w:space="0" w:color="auto"/>
              <w:right w:val="single" w:sz="4" w:space="0" w:color="auto"/>
            </w:tcBorders>
            <w:shd w:val="clear" w:color="auto" w:fill="auto"/>
            <w:vAlign w:val="center"/>
            <w:hideMark/>
          </w:tcPr>
          <w:p w14:paraId="029FA070"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Alte valori și mijloace bănești</w:t>
            </w:r>
          </w:p>
        </w:tc>
        <w:tc>
          <w:tcPr>
            <w:tcW w:w="1000" w:type="dxa"/>
            <w:tcBorders>
              <w:top w:val="nil"/>
              <w:left w:val="nil"/>
              <w:bottom w:val="single" w:sz="4" w:space="0" w:color="auto"/>
              <w:right w:val="single" w:sz="4" w:space="0" w:color="auto"/>
            </w:tcBorders>
            <w:shd w:val="clear" w:color="auto" w:fill="auto"/>
            <w:noWrap/>
            <w:vAlign w:val="center"/>
            <w:hideMark/>
          </w:tcPr>
          <w:p w14:paraId="40DAA5F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3.63</w:t>
            </w:r>
          </w:p>
        </w:tc>
        <w:tc>
          <w:tcPr>
            <w:tcW w:w="1000" w:type="dxa"/>
            <w:tcBorders>
              <w:top w:val="nil"/>
              <w:left w:val="nil"/>
              <w:bottom w:val="single" w:sz="4" w:space="0" w:color="auto"/>
              <w:right w:val="single" w:sz="4" w:space="0" w:color="auto"/>
            </w:tcBorders>
            <w:shd w:val="clear" w:color="auto" w:fill="auto"/>
            <w:noWrap/>
            <w:vAlign w:val="center"/>
            <w:hideMark/>
          </w:tcPr>
          <w:p w14:paraId="1F1E57FE"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2.81</w:t>
            </w:r>
          </w:p>
        </w:tc>
        <w:tc>
          <w:tcPr>
            <w:tcW w:w="1000" w:type="dxa"/>
            <w:tcBorders>
              <w:top w:val="nil"/>
              <w:left w:val="nil"/>
              <w:bottom w:val="single" w:sz="4" w:space="0" w:color="auto"/>
              <w:right w:val="single" w:sz="4" w:space="0" w:color="auto"/>
            </w:tcBorders>
            <w:shd w:val="clear" w:color="auto" w:fill="auto"/>
            <w:noWrap/>
            <w:vAlign w:val="center"/>
            <w:hideMark/>
          </w:tcPr>
          <w:p w14:paraId="6A22728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0.35</w:t>
            </w:r>
          </w:p>
        </w:tc>
        <w:tc>
          <w:tcPr>
            <w:tcW w:w="1000" w:type="dxa"/>
            <w:tcBorders>
              <w:top w:val="nil"/>
              <w:left w:val="nil"/>
              <w:bottom w:val="single" w:sz="4" w:space="0" w:color="auto"/>
              <w:right w:val="single" w:sz="4" w:space="0" w:color="auto"/>
            </w:tcBorders>
            <w:shd w:val="clear" w:color="auto" w:fill="auto"/>
            <w:noWrap/>
            <w:vAlign w:val="center"/>
            <w:hideMark/>
          </w:tcPr>
          <w:p w14:paraId="46909B4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0.35</w:t>
            </w:r>
          </w:p>
        </w:tc>
        <w:tc>
          <w:tcPr>
            <w:tcW w:w="1000" w:type="dxa"/>
            <w:tcBorders>
              <w:top w:val="nil"/>
              <w:left w:val="nil"/>
              <w:bottom w:val="single" w:sz="4" w:space="0" w:color="auto"/>
              <w:right w:val="single" w:sz="4" w:space="0" w:color="auto"/>
            </w:tcBorders>
            <w:shd w:val="clear" w:color="auto" w:fill="auto"/>
            <w:noWrap/>
            <w:vAlign w:val="center"/>
            <w:hideMark/>
          </w:tcPr>
          <w:p w14:paraId="34A1E4C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0.33</w:t>
            </w:r>
          </w:p>
        </w:tc>
        <w:tc>
          <w:tcPr>
            <w:tcW w:w="1379" w:type="dxa"/>
            <w:tcBorders>
              <w:top w:val="nil"/>
              <w:left w:val="nil"/>
              <w:bottom w:val="single" w:sz="4" w:space="0" w:color="auto"/>
              <w:right w:val="single" w:sz="4" w:space="0" w:color="auto"/>
            </w:tcBorders>
            <w:shd w:val="clear" w:color="auto" w:fill="auto"/>
            <w:noWrap/>
            <w:vAlign w:val="center"/>
            <w:hideMark/>
          </w:tcPr>
          <w:p w14:paraId="41D1CAE1"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0%</w:t>
            </w:r>
          </w:p>
        </w:tc>
        <w:tc>
          <w:tcPr>
            <w:tcW w:w="1100" w:type="dxa"/>
            <w:tcBorders>
              <w:top w:val="nil"/>
              <w:left w:val="nil"/>
              <w:bottom w:val="single" w:sz="4" w:space="0" w:color="auto"/>
              <w:right w:val="single" w:sz="4" w:space="0" w:color="auto"/>
            </w:tcBorders>
            <w:shd w:val="clear" w:color="auto" w:fill="auto"/>
            <w:noWrap/>
            <w:vAlign w:val="center"/>
            <w:hideMark/>
          </w:tcPr>
          <w:p w14:paraId="286102D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-0.81</w:t>
            </w:r>
          </w:p>
        </w:tc>
        <w:tc>
          <w:tcPr>
            <w:tcW w:w="1060" w:type="dxa"/>
            <w:tcBorders>
              <w:top w:val="nil"/>
              <w:left w:val="nil"/>
              <w:bottom w:val="single" w:sz="4" w:space="0" w:color="auto"/>
              <w:right w:val="single" w:sz="4" w:space="0" w:color="auto"/>
            </w:tcBorders>
            <w:shd w:val="clear" w:color="auto" w:fill="auto"/>
            <w:noWrap/>
            <w:vAlign w:val="center"/>
            <w:hideMark/>
          </w:tcPr>
          <w:p w14:paraId="2CB7AC0E"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-2.46</w:t>
            </w:r>
          </w:p>
        </w:tc>
        <w:tc>
          <w:tcPr>
            <w:tcW w:w="1080" w:type="dxa"/>
            <w:tcBorders>
              <w:top w:val="nil"/>
              <w:left w:val="nil"/>
              <w:bottom w:val="single" w:sz="4" w:space="0" w:color="auto"/>
              <w:right w:val="single" w:sz="4" w:space="0" w:color="auto"/>
            </w:tcBorders>
            <w:shd w:val="clear" w:color="auto" w:fill="auto"/>
            <w:noWrap/>
            <w:vAlign w:val="center"/>
            <w:hideMark/>
          </w:tcPr>
          <w:p w14:paraId="1D5071C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322986D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-0.02</w:t>
            </w:r>
          </w:p>
        </w:tc>
      </w:tr>
      <w:tr w:rsidR="00E52AC1" w:rsidRPr="003D6707" w14:paraId="581E411E" w14:textId="77777777" w:rsidTr="00E52AC1">
        <w:trPr>
          <w:trHeight w:val="288"/>
        </w:trPr>
        <w:tc>
          <w:tcPr>
            <w:tcW w:w="960" w:type="dxa"/>
            <w:tcBorders>
              <w:top w:val="nil"/>
              <w:left w:val="single" w:sz="4" w:space="0" w:color="auto"/>
              <w:bottom w:val="single" w:sz="4" w:space="0" w:color="auto"/>
              <w:right w:val="single" w:sz="4" w:space="0" w:color="auto"/>
            </w:tcBorders>
            <w:shd w:val="clear" w:color="000000" w:fill="E2EFDA"/>
            <w:noWrap/>
            <w:vAlign w:val="center"/>
            <w:hideMark/>
          </w:tcPr>
          <w:p w14:paraId="461375EF" w14:textId="77777777" w:rsidR="00E52AC1" w:rsidRPr="003D6707" w:rsidRDefault="00E52AC1" w:rsidP="00E52AC1">
            <w:pPr>
              <w:spacing w:after="0" w:line="240" w:lineRule="auto"/>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 </w:t>
            </w:r>
          </w:p>
        </w:tc>
        <w:tc>
          <w:tcPr>
            <w:tcW w:w="3288" w:type="dxa"/>
            <w:tcBorders>
              <w:top w:val="nil"/>
              <w:left w:val="nil"/>
              <w:bottom w:val="single" w:sz="4" w:space="0" w:color="auto"/>
              <w:right w:val="single" w:sz="4" w:space="0" w:color="auto"/>
            </w:tcBorders>
            <w:shd w:val="clear" w:color="000000" w:fill="E2EFDA"/>
            <w:vAlign w:val="center"/>
            <w:hideMark/>
          </w:tcPr>
          <w:p w14:paraId="73A0315B" w14:textId="77777777" w:rsidR="00E52AC1" w:rsidRPr="003D6707" w:rsidRDefault="00E52AC1" w:rsidP="00E52AC1">
            <w:pPr>
              <w:spacing w:after="0" w:line="240" w:lineRule="auto"/>
              <w:rPr>
                <w:rFonts w:ascii="Calibri Light" w:eastAsia="Times New Roman" w:hAnsi="Calibri Light" w:cs="Calibri Light"/>
                <w:b/>
                <w:bCs/>
                <w:color w:val="000000"/>
                <w:sz w:val="14"/>
                <w:szCs w:val="14"/>
              </w:rPr>
            </w:pPr>
            <w:r w:rsidRPr="003D6707">
              <w:rPr>
                <w:rFonts w:ascii="Calibri Light" w:eastAsia="Times New Roman" w:hAnsi="Calibri Light" w:cs="Calibri Light"/>
                <w:b/>
                <w:bCs/>
                <w:color w:val="000000"/>
                <w:sz w:val="14"/>
                <w:szCs w:val="14"/>
              </w:rPr>
              <w:t>TOTAL ACTIV (5=2+4)</w:t>
            </w:r>
          </w:p>
        </w:tc>
        <w:tc>
          <w:tcPr>
            <w:tcW w:w="1000" w:type="dxa"/>
            <w:tcBorders>
              <w:top w:val="nil"/>
              <w:left w:val="nil"/>
              <w:bottom w:val="single" w:sz="4" w:space="0" w:color="auto"/>
              <w:right w:val="single" w:sz="4" w:space="0" w:color="auto"/>
            </w:tcBorders>
            <w:shd w:val="clear" w:color="000000" w:fill="E2EFDA"/>
            <w:noWrap/>
            <w:vAlign w:val="center"/>
            <w:hideMark/>
          </w:tcPr>
          <w:p w14:paraId="63926099"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783,679.92</w:t>
            </w:r>
          </w:p>
        </w:tc>
        <w:tc>
          <w:tcPr>
            <w:tcW w:w="1000" w:type="dxa"/>
            <w:tcBorders>
              <w:top w:val="nil"/>
              <w:left w:val="nil"/>
              <w:bottom w:val="single" w:sz="4" w:space="0" w:color="auto"/>
              <w:right w:val="single" w:sz="4" w:space="0" w:color="auto"/>
            </w:tcBorders>
            <w:shd w:val="clear" w:color="000000" w:fill="E2EFDA"/>
            <w:noWrap/>
            <w:vAlign w:val="center"/>
            <w:hideMark/>
          </w:tcPr>
          <w:p w14:paraId="0190C732"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729,692.71</w:t>
            </w:r>
          </w:p>
        </w:tc>
        <w:tc>
          <w:tcPr>
            <w:tcW w:w="1000" w:type="dxa"/>
            <w:tcBorders>
              <w:top w:val="nil"/>
              <w:left w:val="nil"/>
              <w:bottom w:val="single" w:sz="4" w:space="0" w:color="auto"/>
              <w:right w:val="single" w:sz="4" w:space="0" w:color="auto"/>
            </w:tcBorders>
            <w:shd w:val="clear" w:color="000000" w:fill="E2EFDA"/>
            <w:noWrap/>
            <w:vAlign w:val="center"/>
            <w:hideMark/>
          </w:tcPr>
          <w:p w14:paraId="2A367513"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736,968.11</w:t>
            </w:r>
          </w:p>
        </w:tc>
        <w:tc>
          <w:tcPr>
            <w:tcW w:w="1000" w:type="dxa"/>
            <w:tcBorders>
              <w:top w:val="nil"/>
              <w:left w:val="nil"/>
              <w:bottom w:val="single" w:sz="4" w:space="0" w:color="auto"/>
              <w:right w:val="single" w:sz="4" w:space="0" w:color="auto"/>
            </w:tcBorders>
            <w:shd w:val="clear" w:color="000000" w:fill="E2EFDA"/>
            <w:noWrap/>
            <w:vAlign w:val="center"/>
            <w:hideMark/>
          </w:tcPr>
          <w:p w14:paraId="06361E51"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736,214.66</w:t>
            </w:r>
          </w:p>
        </w:tc>
        <w:tc>
          <w:tcPr>
            <w:tcW w:w="1000" w:type="dxa"/>
            <w:tcBorders>
              <w:top w:val="nil"/>
              <w:left w:val="nil"/>
              <w:bottom w:val="single" w:sz="4" w:space="0" w:color="auto"/>
              <w:right w:val="single" w:sz="4" w:space="0" w:color="auto"/>
            </w:tcBorders>
            <w:shd w:val="clear" w:color="000000" w:fill="E2EFDA"/>
            <w:noWrap/>
            <w:vAlign w:val="center"/>
            <w:hideMark/>
          </w:tcPr>
          <w:p w14:paraId="6535C22F"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577,935.31</w:t>
            </w:r>
          </w:p>
        </w:tc>
        <w:tc>
          <w:tcPr>
            <w:tcW w:w="1379" w:type="dxa"/>
            <w:tcBorders>
              <w:top w:val="nil"/>
              <w:left w:val="nil"/>
              <w:bottom w:val="single" w:sz="4" w:space="0" w:color="auto"/>
              <w:right w:val="single" w:sz="4" w:space="0" w:color="auto"/>
            </w:tcBorders>
            <w:shd w:val="clear" w:color="000000" w:fill="E2EFDA"/>
            <w:noWrap/>
            <w:vAlign w:val="center"/>
            <w:hideMark/>
          </w:tcPr>
          <w:p w14:paraId="5A676279" w14:textId="77777777" w:rsidR="00E52AC1" w:rsidRPr="003D6707" w:rsidRDefault="00E52AC1" w:rsidP="00E52AC1">
            <w:pPr>
              <w:spacing w:after="0" w:line="240" w:lineRule="auto"/>
              <w:jc w:val="center"/>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100%</w:t>
            </w:r>
          </w:p>
        </w:tc>
        <w:tc>
          <w:tcPr>
            <w:tcW w:w="1100" w:type="dxa"/>
            <w:tcBorders>
              <w:top w:val="nil"/>
              <w:left w:val="nil"/>
              <w:bottom w:val="single" w:sz="4" w:space="0" w:color="auto"/>
              <w:right w:val="single" w:sz="4" w:space="0" w:color="auto"/>
            </w:tcBorders>
            <w:shd w:val="clear" w:color="000000" w:fill="E2EFDA"/>
            <w:noWrap/>
            <w:vAlign w:val="center"/>
            <w:hideMark/>
          </w:tcPr>
          <w:p w14:paraId="4B39929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-53,987.21</w:t>
            </w:r>
          </w:p>
        </w:tc>
        <w:tc>
          <w:tcPr>
            <w:tcW w:w="1060" w:type="dxa"/>
            <w:tcBorders>
              <w:top w:val="nil"/>
              <w:left w:val="nil"/>
              <w:bottom w:val="single" w:sz="4" w:space="0" w:color="auto"/>
              <w:right w:val="single" w:sz="4" w:space="0" w:color="auto"/>
            </w:tcBorders>
            <w:shd w:val="clear" w:color="000000" w:fill="E2EFDA"/>
            <w:noWrap/>
            <w:vAlign w:val="center"/>
            <w:hideMark/>
          </w:tcPr>
          <w:p w14:paraId="7AB8EA5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7,275.41</w:t>
            </w:r>
          </w:p>
        </w:tc>
        <w:tc>
          <w:tcPr>
            <w:tcW w:w="1080" w:type="dxa"/>
            <w:tcBorders>
              <w:top w:val="nil"/>
              <w:left w:val="nil"/>
              <w:bottom w:val="single" w:sz="4" w:space="0" w:color="auto"/>
              <w:right w:val="single" w:sz="4" w:space="0" w:color="auto"/>
            </w:tcBorders>
            <w:shd w:val="clear" w:color="000000" w:fill="E2EFDA"/>
            <w:noWrap/>
            <w:vAlign w:val="center"/>
            <w:hideMark/>
          </w:tcPr>
          <w:p w14:paraId="2302FCC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-753.45</w:t>
            </w:r>
          </w:p>
        </w:tc>
        <w:tc>
          <w:tcPr>
            <w:tcW w:w="1020" w:type="dxa"/>
            <w:tcBorders>
              <w:top w:val="nil"/>
              <w:left w:val="nil"/>
              <w:bottom w:val="single" w:sz="4" w:space="0" w:color="auto"/>
              <w:right w:val="single" w:sz="4" w:space="0" w:color="auto"/>
            </w:tcBorders>
            <w:shd w:val="clear" w:color="000000" w:fill="E2EFDA"/>
            <w:noWrap/>
            <w:vAlign w:val="center"/>
            <w:hideMark/>
          </w:tcPr>
          <w:p w14:paraId="44A71004"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-158,279.36</w:t>
            </w:r>
          </w:p>
        </w:tc>
      </w:tr>
      <w:tr w:rsidR="00E52AC1" w:rsidRPr="003D6707" w14:paraId="66FE64B8"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B509AC"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5</w:t>
            </w:r>
          </w:p>
        </w:tc>
        <w:tc>
          <w:tcPr>
            <w:tcW w:w="3288" w:type="dxa"/>
            <w:tcBorders>
              <w:top w:val="nil"/>
              <w:left w:val="nil"/>
              <w:bottom w:val="single" w:sz="4" w:space="0" w:color="auto"/>
              <w:right w:val="single" w:sz="4" w:space="0" w:color="auto"/>
            </w:tcBorders>
            <w:shd w:val="clear" w:color="auto" w:fill="auto"/>
            <w:vAlign w:val="center"/>
            <w:hideMark/>
          </w:tcPr>
          <w:p w14:paraId="0B40C2EF" w14:textId="77777777" w:rsidR="00E52AC1" w:rsidRPr="003D6707" w:rsidRDefault="00E52AC1" w:rsidP="00E52AC1">
            <w:pPr>
              <w:spacing w:after="0" w:line="240" w:lineRule="auto"/>
              <w:rPr>
                <w:rFonts w:ascii="Calibri Light" w:eastAsia="Times New Roman" w:hAnsi="Calibri Light" w:cs="Calibri Light"/>
                <w:b/>
                <w:bCs/>
                <w:color w:val="000000"/>
                <w:sz w:val="14"/>
                <w:szCs w:val="14"/>
              </w:rPr>
            </w:pPr>
            <w:r w:rsidRPr="003D6707">
              <w:rPr>
                <w:rFonts w:ascii="Calibri Light" w:eastAsia="Times New Roman" w:hAnsi="Calibri Light" w:cs="Calibri Light"/>
                <w:b/>
                <w:bCs/>
                <w:color w:val="000000"/>
                <w:sz w:val="14"/>
                <w:szCs w:val="14"/>
              </w:rPr>
              <w:t>DATORII</w:t>
            </w:r>
          </w:p>
        </w:tc>
        <w:tc>
          <w:tcPr>
            <w:tcW w:w="1000" w:type="dxa"/>
            <w:tcBorders>
              <w:top w:val="nil"/>
              <w:left w:val="nil"/>
              <w:bottom w:val="single" w:sz="4" w:space="0" w:color="auto"/>
              <w:right w:val="single" w:sz="4" w:space="0" w:color="auto"/>
            </w:tcBorders>
            <w:shd w:val="clear" w:color="auto" w:fill="auto"/>
            <w:noWrap/>
            <w:vAlign w:val="center"/>
            <w:hideMark/>
          </w:tcPr>
          <w:p w14:paraId="4E830E2F"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22,050.42</w:t>
            </w:r>
          </w:p>
        </w:tc>
        <w:tc>
          <w:tcPr>
            <w:tcW w:w="1000" w:type="dxa"/>
            <w:tcBorders>
              <w:top w:val="nil"/>
              <w:left w:val="nil"/>
              <w:bottom w:val="single" w:sz="4" w:space="0" w:color="auto"/>
              <w:right w:val="single" w:sz="4" w:space="0" w:color="auto"/>
            </w:tcBorders>
            <w:shd w:val="clear" w:color="auto" w:fill="auto"/>
            <w:noWrap/>
            <w:vAlign w:val="center"/>
            <w:hideMark/>
          </w:tcPr>
          <w:p w14:paraId="14C4063B"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32,384.27</w:t>
            </w:r>
          </w:p>
        </w:tc>
        <w:tc>
          <w:tcPr>
            <w:tcW w:w="1000" w:type="dxa"/>
            <w:tcBorders>
              <w:top w:val="nil"/>
              <w:left w:val="nil"/>
              <w:bottom w:val="single" w:sz="4" w:space="0" w:color="auto"/>
              <w:right w:val="single" w:sz="4" w:space="0" w:color="auto"/>
            </w:tcBorders>
            <w:shd w:val="clear" w:color="auto" w:fill="auto"/>
            <w:noWrap/>
            <w:vAlign w:val="center"/>
            <w:hideMark/>
          </w:tcPr>
          <w:p w14:paraId="3F2FC127"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57,776.87</w:t>
            </w:r>
          </w:p>
        </w:tc>
        <w:tc>
          <w:tcPr>
            <w:tcW w:w="1000" w:type="dxa"/>
            <w:tcBorders>
              <w:top w:val="nil"/>
              <w:left w:val="nil"/>
              <w:bottom w:val="single" w:sz="4" w:space="0" w:color="auto"/>
              <w:right w:val="single" w:sz="4" w:space="0" w:color="auto"/>
            </w:tcBorders>
            <w:shd w:val="clear" w:color="auto" w:fill="auto"/>
            <w:noWrap/>
            <w:vAlign w:val="center"/>
            <w:hideMark/>
          </w:tcPr>
          <w:p w14:paraId="2611C618"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65,494.38</w:t>
            </w:r>
          </w:p>
        </w:tc>
        <w:tc>
          <w:tcPr>
            <w:tcW w:w="1000" w:type="dxa"/>
            <w:tcBorders>
              <w:top w:val="nil"/>
              <w:left w:val="nil"/>
              <w:bottom w:val="single" w:sz="4" w:space="0" w:color="auto"/>
              <w:right w:val="single" w:sz="4" w:space="0" w:color="auto"/>
            </w:tcBorders>
            <w:shd w:val="clear" w:color="auto" w:fill="auto"/>
            <w:noWrap/>
            <w:vAlign w:val="center"/>
            <w:hideMark/>
          </w:tcPr>
          <w:p w14:paraId="12E940CB"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83,555.59</w:t>
            </w:r>
          </w:p>
        </w:tc>
        <w:tc>
          <w:tcPr>
            <w:tcW w:w="1379" w:type="dxa"/>
            <w:tcBorders>
              <w:top w:val="nil"/>
              <w:left w:val="nil"/>
              <w:bottom w:val="single" w:sz="4" w:space="0" w:color="auto"/>
              <w:right w:val="single" w:sz="4" w:space="0" w:color="auto"/>
            </w:tcBorders>
            <w:shd w:val="clear" w:color="auto" w:fill="auto"/>
            <w:noWrap/>
            <w:vAlign w:val="center"/>
            <w:hideMark/>
          </w:tcPr>
          <w:p w14:paraId="19675675" w14:textId="77777777" w:rsidR="00E52AC1" w:rsidRPr="003D6707" w:rsidRDefault="00E52AC1" w:rsidP="00E52AC1">
            <w:pPr>
              <w:spacing w:after="0" w:line="240" w:lineRule="auto"/>
              <w:jc w:val="center"/>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14%</w:t>
            </w:r>
          </w:p>
        </w:tc>
        <w:tc>
          <w:tcPr>
            <w:tcW w:w="1100" w:type="dxa"/>
            <w:tcBorders>
              <w:top w:val="nil"/>
              <w:left w:val="nil"/>
              <w:bottom w:val="single" w:sz="4" w:space="0" w:color="auto"/>
              <w:right w:val="single" w:sz="4" w:space="0" w:color="auto"/>
            </w:tcBorders>
            <w:shd w:val="clear" w:color="auto" w:fill="auto"/>
            <w:noWrap/>
            <w:vAlign w:val="center"/>
            <w:hideMark/>
          </w:tcPr>
          <w:p w14:paraId="2C6C8E8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10,333.86</w:t>
            </w:r>
          </w:p>
        </w:tc>
        <w:tc>
          <w:tcPr>
            <w:tcW w:w="1060" w:type="dxa"/>
            <w:tcBorders>
              <w:top w:val="nil"/>
              <w:left w:val="nil"/>
              <w:bottom w:val="single" w:sz="4" w:space="0" w:color="auto"/>
              <w:right w:val="single" w:sz="4" w:space="0" w:color="auto"/>
            </w:tcBorders>
            <w:shd w:val="clear" w:color="auto" w:fill="auto"/>
            <w:noWrap/>
            <w:vAlign w:val="center"/>
            <w:hideMark/>
          </w:tcPr>
          <w:p w14:paraId="5BA4006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25,392.60</w:t>
            </w:r>
          </w:p>
        </w:tc>
        <w:tc>
          <w:tcPr>
            <w:tcW w:w="1080" w:type="dxa"/>
            <w:tcBorders>
              <w:top w:val="nil"/>
              <w:left w:val="nil"/>
              <w:bottom w:val="single" w:sz="4" w:space="0" w:color="auto"/>
              <w:right w:val="single" w:sz="4" w:space="0" w:color="auto"/>
            </w:tcBorders>
            <w:shd w:val="clear" w:color="auto" w:fill="auto"/>
            <w:noWrap/>
            <w:vAlign w:val="center"/>
            <w:hideMark/>
          </w:tcPr>
          <w:p w14:paraId="3DB0F7F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7,717.51</w:t>
            </w:r>
          </w:p>
        </w:tc>
        <w:tc>
          <w:tcPr>
            <w:tcW w:w="1020" w:type="dxa"/>
            <w:tcBorders>
              <w:top w:val="nil"/>
              <w:left w:val="nil"/>
              <w:bottom w:val="single" w:sz="4" w:space="0" w:color="auto"/>
              <w:right w:val="single" w:sz="4" w:space="0" w:color="auto"/>
            </w:tcBorders>
            <w:shd w:val="clear" w:color="auto" w:fill="auto"/>
            <w:noWrap/>
            <w:vAlign w:val="center"/>
            <w:hideMark/>
          </w:tcPr>
          <w:p w14:paraId="49268D0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18,061.21</w:t>
            </w:r>
          </w:p>
        </w:tc>
      </w:tr>
      <w:tr w:rsidR="00E52AC1" w:rsidRPr="003D6707" w14:paraId="5E9ED505"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6AD2BE"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51</w:t>
            </w:r>
          </w:p>
        </w:tc>
        <w:tc>
          <w:tcPr>
            <w:tcW w:w="3288" w:type="dxa"/>
            <w:tcBorders>
              <w:top w:val="nil"/>
              <w:left w:val="nil"/>
              <w:bottom w:val="single" w:sz="4" w:space="0" w:color="auto"/>
              <w:right w:val="single" w:sz="4" w:space="0" w:color="auto"/>
            </w:tcBorders>
            <w:shd w:val="clear" w:color="auto" w:fill="auto"/>
            <w:vAlign w:val="center"/>
            <w:hideMark/>
          </w:tcPr>
          <w:p w14:paraId="45238C14" w14:textId="77777777" w:rsidR="00E52AC1" w:rsidRPr="003D6707" w:rsidRDefault="00E52AC1" w:rsidP="00E52AC1">
            <w:pPr>
              <w:spacing w:after="0" w:line="240" w:lineRule="auto"/>
              <w:rPr>
                <w:rFonts w:ascii="Calibri Light" w:eastAsia="Times New Roman" w:hAnsi="Calibri Light" w:cs="Calibri Light"/>
                <w:b/>
                <w:bCs/>
                <w:color w:val="000000"/>
                <w:sz w:val="14"/>
                <w:szCs w:val="14"/>
              </w:rPr>
            </w:pPr>
            <w:r w:rsidRPr="003D6707">
              <w:rPr>
                <w:rFonts w:ascii="Calibri Light" w:eastAsia="Times New Roman" w:hAnsi="Calibri Light" w:cs="Calibri Light"/>
                <w:b/>
                <w:bCs/>
                <w:color w:val="000000"/>
                <w:sz w:val="14"/>
                <w:szCs w:val="14"/>
              </w:rPr>
              <w:t>DATORII INTERNE</w:t>
            </w:r>
          </w:p>
        </w:tc>
        <w:tc>
          <w:tcPr>
            <w:tcW w:w="1000" w:type="dxa"/>
            <w:tcBorders>
              <w:top w:val="nil"/>
              <w:left w:val="nil"/>
              <w:bottom w:val="single" w:sz="4" w:space="0" w:color="auto"/>
              <w:right w:val="single" w:sz="4" w:space="0" w:color="auto"/>
            </w:tcBorders>
            <w:shd w:val="clear" w:color="auto" w:fill="auto"/>
            <w:noWrap/>
            <w:vAlign w:val="center"/>
            <w:hideMark/>
          </w:tcPr>
          <w:p w14:paraId="7FC1B8EC"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13,694.04</w:t>
            </w:r>
          </w:p>
        </w:tc>
        <w:tc>
          <w:tcPr>
            <w:tcW w:w="1000" w:type="dxa"/>
            <w:tcBorders>
              <w:top w:val="nil"/>
              <w:left w:val="nil"/>
              <w:bottom w:val="single" w:sz="4" w:space="0" w:color="auto"/>
              <w:right w:val="single" w:sz="4" w:space="0" w:color="auto"/>
            </w:tcBorders>
            <w:shd w:val="clear" w:color="auto" w:fill="auto"/>
            <w:noWrap/>
            <w:vAlign w:val="center"/>
            <w:hideMark/>
          </w:tcPr>
          <w:p w14:paraId="45E037E3"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8,285.94</w:t>
            </w:r>
          </w:p>
        </w:tc>
        <w:tc>
          <w:tcPr>
            <w:tcW w:w="1000" w:type="dxa"/>
            <w:tcBorders>
              <w:top w:val="nil"/>
              <w:left w:val="nil"/>
              <w:bottom w:val="single" w:sz="4" w:space="0" w:color="auto"/>
              <w:right w:val="single" w:sz="4" w:space="0" w:color="auto"/>
            </w:tcBorders>
            <w:shd w:val="clear" w:color="auto" w:fill="auto"/>
            <w:noWrap/>
            <w:vAlign w:val="center"/>
            <w:hideMark/>
          </w:tcPr>
          <w:p w14:paraId="45CCC692"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8,719.26</w:t>
            </w:r>
          </w:p>
        </w:tc>
        <w:tc>
          <w:tcPr>
            <w:tcW w:w="1000" w:type="dxa"/>
            <w:tcBorders>
              <w:top w:val="nil"/>
              <w:left w:val="nil"/>
              <w:bottom w:val="single" w:sz="4" w:space="0" w:color="auto"/>
              <w:right w:val="single" w:sz="4" w:space="0" w:color="auto"/>
            </w:tcBorders>
            <w:shd w:val="clear" w:color="auto" w:fill="auto"/>
            <w:noWrap/>
            <w:vAlign w:val="center"/>
            <w:hideMark/>
          </w:tcPr>
          <w:p w14:paraId="5BEAB756"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11,642.51</w:t>
            </w:r>
          </w:p>
        </w:tc>
        <w:tc>
          <w:tcPr>
            <w:tcW w:w="1000" w:type="dxa"/>
            <w:tcBorders>
              <w:top w:val="nil"/>
              <w:left w:val="nil"/>
              <w:bottom w:val="single" w:sz="4" w:space="0" w:color="auto"/>
              <w:right w:val="single" w:sz="4" w:space="0" w:color="auto"/>
            </w:tcBorders>
            <w:shd w:val="clear" w:color="auto" w:fill="auto"/>
            <w:noWrap/>
            <w:vAlign w:val="center"/>
            <w:hideMark/>
          </w:tcPr>
          <w:p w14:paraId="56885873"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9,561.10</w:t>
            </w:r>
          </w:p>
        </w:tc>
        <w:tc>
          <w:tcPr>
            <w:tcW w:w="1379" w:type="dxa"/>
            <w:tcBorders>
              <w:top w:val="nil"/>
              <w:left w:val="nil"/>
              <w:bottom w:val="single" w:sz="4" w:space="0" w:color="auto"/>
              <w:right w:val="single" w:sz="4" w:space="0" w:color="auto"/>
            </w:tcBorders>
            <w:shd w:val="clear" w:color="auto" w:fill="auto"/>
            <w:noWrap/>
            <w:vAlign w:val="center"/>
            <w:hideMark/>
          </w:tcPr>
          <w:p w14:paraId="47B6176F" w14:textId="77777777" w:rsidR="00E52AC1" w:rsidRPr="003D6707" w:rsidRDefault="00E52AC1" w:rsidP="00E52AC1">
            <w:pPr>
              <w:spacing w:after="0" w:line="240" w:lineRule="auto"/>
              <w:jc w:val="center"/>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2%</w:t>
            </w:r>
          </w:p>
        </w:tc>
        <w:tc>
          <w:tcPr>
            <w:tcW w:w="1100" w:type="dxa"/>
            <w:tcBorders>
              <w:top w:val="nil"/>
              <w:left w:val="nil"/>
              <w:bottom w:val="single" w:sz="4" w:space="0" w:color="auto"/>
              <w:right w:val="single" w:sz="4" w:space="0" w:color="auto"/>
            </w:tcBorders>
            <w:shd w:val="clear" w:color="auto" w:fill="auto"/>
            <w:noWrap/>
            <w:vAlign w:val="center"/>
            <w:hideMark/>
          </w:tcPr>
          <w:p w14:paraId="2FADC72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-5,408.10</w:t>
            </w:r>
          </w:p>
        </w:tc>
        <w:tc>
          <w:tcPr>
            <w:tcW w:w="1060" w:type="dxa"/>
            <w:tcBorders>
              <w:top w:val="nil"/>
              <w:left w:val="nil"/>
              <w:bottom w:val="single" w:sz="4" w:space="0" w:color="auto"/>
              <w:right w:val="single" w:sz="4" w:space="0" w:color="auto"/>
            </w:tcBorders>
            <w:shd w:val="clear" w:color="auto" w:fill="auto"/>
            <w:noWrap/>
            <w:vAlign w:val="center"/>
            <w:hideMark/>
          </w:tcPr>
          <w:p w14:paraId="38BD139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433.32</w:t>
            </w:r>
          </w:p>
        </w:tc>
        <w:tc>
          <w:tcPr>
            <w:tcW w:w="1080" w:type="dxa"/>
            <w:tcBorders>
              <w:top w:val="nil"/>
              <w:left w:val="nil"/>
              <w:bottom w:val="single" w:sz="4" w:space="0" w:color="auto"/>
              <w:right w:val="single" w:sz="4" w:space="0" w:color="auto"/>
            </w:tcBorders>
            <w:shd w:val="clear" w:color="auto" w:fill="auto"/>
            <w:noWrap/>
            <w:vAlign w:val="center"/>
            <w:hideMark/>
          </w:tcPr>
          <w:p w14:paraId="48A5FA4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2,923.25</w:t>
            </w:r>
          </w:p>
        </w:tc>
        <w:tc>
          <w:tcPr>
            <w:tcW w:w="1020" w:type="dxa"/>
            <w:tcBorders>
              <w:top w:val="nil"/>
              <w:left w:val="nil"/>
              <w:bottom w:val="single" w:sz="4" w:space="0" w:color="auto"/>
              <w:right w:val="single" w:sz="4" w:space="0" w:color="auto"/>
            </w:tcBorders>
            <w:shd w:val="clear" w:color="auto" w:fill="auto"/>
            <w:noWrap/>
            <w:vAlign w:val="center"/>
            <w:hideMark/>
          </w:tcPr>
          <w:p w14:paraId="227E340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-2,081.41</w:t>
            </w:r>
          </w:p>
        </w:tc>
      </w:tr>
      <w:tr w:rsidR="00E52AC1" w:rsidRPr="003D6707" w14:paraId="09E9DCA8"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5F10EA"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518</w:t>
            </w:r>
          </w:p>
        </w:tc>
        <w:tc>
          <w:tcPr>
            <w:tcW w:w="3288" w:type="dxa"/>
            <w:tcBorders>
              <w:top w:val="nil"/>
              <w:left w:val="nil"/>
              <w:bottom w:val="single" w:sz="4" w:space="0" w:color="auto"/>
              <w:right w:val="single" w:sz="4" w:space="0" w:color="auto"/>
            </w:tcBorders>
            <w:shd w:val="clear" w:color="auto" w:fill="auto"/>
            <w:noWrap/>
            <w:vAlign w:val="center"/>
            <w:hideMark/>
          </w:tcPr>
          <w:p w14:paraId="70188A4A" w14:textId="77777777" w:rsidR="00E52AC1" w:rsidRPr="003D6707" w:rsidRDefault="00E52AC1" w:rsidP="00E52AC1">
            <w:pPr>
              <w:spacing w:after="0" w:line="240" w:lineRule="auto"/>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Alte datorii interne ale bugetului</w:t>
            </w:r>
          </w:p>
        </w:tc>
        <w:tc>
          <w:tcPr>
            <w:tcW w:w="1000" w:type="dxa"/>
            <w:tcBorders>
              <w:top w:val="nil"/>
              <w:left w:val="nil"/>
              <w:bottom w:val="single" w:sz="4" w:space="0" w:color="auto"/>
              <w:right w:val="single" w:sz="4" w:space="0" w:color="auto"/>
            </w:tcBorders>
            <w:shd w:val="clear" w:color="auto" w:fill="auto"/>
            <w:noWrap/>
            <w:vAlign w:val="center"/>
            <w:hideMark/>
          </w:tcPr>
          <w:p w14:paraId="787E3C4E"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111.30</w:t>
            </w:r>
          </w:p>
        </w:tc>
        <w:tc>
          <w:tcPr>
            <w:tcW w:w="1000" w:type="dxa"/>
            <w:tcBorders>
              <w:top w:val="nil"/>
              <w:left w:val="nil"/>
              <w:bottom w:val="single" w:sz="4" w:space="0" w:color="auto"/>
              <w:right w:val="single" w:sz="4" w:space="0" w:color="auto"/>
            </w:tcBorders>
            <w:shd w:val="clear" w:color="auto" w:fill="auto"/>
            <w:noWrap/>
            <w:vAlign w:val="center"/>
            <w:hideMark/>
          </w:tcPr>
          <w:p w14:paraId="1DDC6D4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2C58264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90.70</w:t>
            </w:r>
          </w:p>
        </w:tc>
        <w:tc>
          <w:tcPr>
            <w:tcW w:w="1000" w:type="dxa"/>
            <w:tcBorders>
              <w:top w:val="nil"/>
              <w:left w:val="nil"/>
              <w:bottom w:val="single" w:sz="4" w:space="0" w:color="auto"/>
              <w:right w:val="single" w:sz="4" w:space="0" w:color="auto"/>
            </w:tcBorders>
            <w:shd w:val="clear" w:color="auto" w:fill="auto"/>
            <w:noWrap/>
            <w:vAlign w:val="center"/>
            <w:hideMark/>
          </w:tcPr>
          <w:p w14:paraId="4CC0B56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56.49</w:t>
            </w:r>
          </w:p>
        </w:tc>
        <w:tc>
          <w:tcPr>
            <w:tcW w:w="1000" w:type="dxa"/>
            <w:tcBorders>
              <w:top w:val="nil"/>
              <w:left w:val="nil"/>
              <w:bottom w:val="single" w:sz="4" w:space="0" w:color="auto"/>
              <w:right w:val="single" w:sz="4" w:space="0" w:color="auto"/>
            </w:tcBorders>
            <w:shd w:val="clear" w:color="auto" w:fill="auto"/>
            <w:noWrap/>
            <w:vAlign w:val="center"/>
            <w:hideMark/>
          </w:tcPr>
          <w:p w14:paraId="17FBFAD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221.35</w:t>
            </w:r>
          </w:p>
        </w:tc>
        <w:tc>
          <w:tcPr>
            <w:tcW w:w="1379" w:type="dxa"/>
            <w:tcBorders>
              <w:top w:val="nil"/>
              <w:left w:val="nil"/>
              <w:bottom w:val="single" w:sz="4" w:space="0" w:color="auto"/>
              <w:right w:val="single" w:sz="4" w:space="0" w:color="auto"/>
            </w:tcBorders>
            <w:shd w:val="clear" w:color="auto" w:fill="auto"/>
            <w:noWrap/>
            <w:vAlign w:val="center"/>
            <w:hideMark/>
          </w:tcPr>
          <w:p w14:paraId="38D2324A" w14:textId="77777777" w:rsidR="00E52AC1" w:rsidRPr="003D6707" w:rsidRDefault="00E52AC1" w:rsidP="00E52AC1">
            <w:pPr>
              <w:spacing w:after="0" w:line="240" w:lineRule="auto"/>
              <w:jc w:val="center"/>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w:t>
            </w:r>
          </w:p>
        </w:tc>
        <w:tc>
          <w:tcPr>
            <w:tcW w:w="1100" w:type="dxa"/>
            <w:tcBorders>
              <w:top w:val="nil"/>
              <w:left w:val="nil"/>
              <w:bottom w:val="single" w:sz="4" w:space="0" w:color="auto"/>
              <w:right w:val="single" w:sz="4" w:space="0" w:color="auto"/>
            </w:tcBorders>
            <w:shd w:val="clear" w:color="auto" w:fill="auto"/>
            <w:noWrap/>
            <w:vAlign w:val="center"/>
            <w:hideMark/>
          </w:tcPr>
          <w:p w14:paraId="72E01F3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-111.30</w:t>
            </w:r>
          </w:p>
        </w:tc>
        <w:tc>
          <w:tcPr>
            <w:tcW w:w="1060" w:type="dxa"/>
            <w:tcBorders>
              <w:top w:val="nil"/>
              <w:left w:val="nil"/>
              <w:bottom w:val="single" w:sz="4" w:space="0" w:color="auto"/>
              <w:right w:val="single" w:sz="4" w:space="0" w:color="auto"/>
            </w:tcBorders>
            <w:shd w:val="clear" w:color="auto" w:fill="auto"/>
            <w:noWrap/>
            <w:vAlign w:val="center"/>
            <w:hideMark/>
          </w:tcPr>
          <w:p w14:paraId="1B1A751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90.70</w:t>
            </w:r>
          </w:p>
        </w:tc>
        <w:tc>
          <w:tcPr>
            <w:tcW w:w="1080" w:type="dxa"/>
            <w:tcBorders>
              <w:top w:val="nil"/>
              <w:left w:val="nil"/>
              <w:bottom w:val="single" w:sz="4" w:space="0" w:color="auto"/>
              <w:right w:val="single" w:sz="4" w:space="0" w:color="auto"/>
            </w:tcBorders>
            <w:shd w:val="clear" w:color="auto" w:fill="auto"/>
            <w:noWrap/>
            <w:vAlign w:val="center"/>
            <w:hideMark/>
          </w:tcPr>
          <w:p w14:paraId="610BEEB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-34.22</w:t>
            </w:r>
          </w:p>
        </w:tc>
        <w:tc>
          <w:tcPr>
            <w:tcW w:w="1020" w:type="dxa"/>
            <w:tcBorders>
              <w:top w:val="nil"/>
              <w:left w:val="nil"/>
              <w:bottom w:val="single" w:sz="4" w:space="0" w:color="auto"/>
              <w:right w:val="single" w:sz="4" w:space="0" w:color="auto"/>
            </w:tcBorders>
            <w:shd w:val="clear" w:color="auto" w:fill="auto"/>
            <w:noWrap/>
            <w:vAlign w:val="center"/>
            <w:hideMark/>
          </w:tcPr>
          <w:p w14:paraId="21D1D51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164.86</w:t>
            </w:r>
          </w:p>
        </w:tc>
      </w:tr>
      <w:tr w:rsidR="00E52AC1" w:rsidRPr="003D6707" w14:paraId="73E364B7"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C2DD1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519</w:t>
            </w:r>
          </w:p>
        </w:tc>
        <w:tc>
          <w:tcPr>
            <w:tcW w:w="3288" w:type="dxa"/>
            <w:tcBorders>
              <w:top w:val="nil"/>
              <w:left w:val="nil"/>
              <w:bottom w:val="single" w:sz="4" w:space="0" w:color="auto"/>
              <w:right w:val="single" w:sz="4" w:space="0" w:color="auto"/>
            </w:tcBorders>
            <w:shd w:val="clear" w:color="auto" w:fill="auto"/>
            <w:vAlign w:val="center"/>
            <w:hideMark/>
          </w:tcPr>
          <w:p w14:paraId="2DA7AC52"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Alte datorii ale instituțiilor bugetare</w:t>
            </w:r>
          </w:p>
        </w:tc>
        <w:tc>
          <w:tcPr>
            <w:tcW w:w="1000" w:type="dxa"/>
            <w:tcBorders>
              <w:top w:val="nil"/>
              <w:left w:val="nil"/>
              <w:bottom w:val="single" w:sz="4" w:space="0" w:color="auto"/>
              <w:right w:val="single" w:sz="4" w:space="0" w:color="auto"/>
            </w:tcBorders>
            <w:shd w:val="clear" w:color="auto" w:fill="auto"/>
            <w:noWrap/>
            <w:vAlign w:val="center"/>
            <w:hideMark/>
          </w:tcPr>
          <w:p w14:paraId="148A82D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13,582.73</w:t>
            </w:r>
          </w:p>
        </w:tc>
        <w:tc>
          <w:tcPr>
            <w:tcW w:w="1000" w:type="dxa"/>
            <w:tcBorders>
              <w:top w:val="nil"/>
              <w:left w:val="nil"/>
              <w:bottom w:val="single" w:sz="4" w:space="0" w:color="auto"/>
              <w:right w:val="single" w:sz="4" w:space="0" w:color="auto"/>
            </w:tcBorders>
            <w:shd w:val="clear" w:color="auto" w:fill="auto"/>
            <w:noWrap/>
            <w:vAlign w:val="center"/>
            <w:hideMark/>
          </w:tcPr>
          <w:p w14:paraId="20CAE6D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8,285.94</w:t>
            </w:r>
          </w:p>
        </w:tc>
        <w:tc>
          <w:tcPr>
            <w:tcW w:w="1000" w:type="dxa"/>
            <w:tcBorders>
              <w:top w:val="nil"/>
              <w:left w:val="nil"/>
              <w:bottom w:val="single" w:sz="4" w:space="0" w:color="auto"/>
              <w:right w:val="single" w:sz="4" w:space="0" w:color="auto"/>
            </w:tcBorders>
            <w:shd w:val="clear" w:color="auto" w:fill="auto"/>
            <w:noWrap/>
            <w:vAlign w:val="center"/>
            <w:hideMark/>
          </w:tcPr>
          <w:p w14:paraId="2305E94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8,628.56</w:t>
            </w:r>
          </w:p>
        </w:tc>
        <w:tc>
          <w:tcPr>
            <w:tcW w:w="1000" w:type="dxa"/>
            <w:tcBorders>
              <w:top w:val="nil"/>
              <w:left w:val="nil"/>
              <w:bottom w:val="single" w:sz="4" w:space="0" w:color="auto"/>
              <w:right w:val="single" w:sz="4" w:space="0" w:color="auto"/>
            </w:tcBorders>
            <w:shd w:val="clear" w:color="auto" w:fill="auto"/>
            <w:noWrap/>
            <w:vAlign w:val="center"/>
            <w:hideMark/>
          </w:tcPr>
          <w:p w14:paraId="34D2D3E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11,586.03</w:t>
            </w:r>
          </w:p>
        </w:tc>
        <w:tc>
          <w:tcPr>
            <w:tcW w:w="1000" w:type="dxa"/>
            <w:tcBorders>
              <w:top w:val="nil"/>
              <w:left w:val="nil"/>
              <w:bottom w:val="single" w:sz="4" w:space="0" w:color="auto"/>
              <w:right w:val="single" w:sz="4" w:space="0" w:color="auto"/>
            </w:tcBorders>
            <w:shd w:val="clear" w:color="auto" w:fill="auto"/>
            <w:noWrap/>
            <w:vAlign w:val="center"/>
            <w:hideMark/>
          </w:tcPr>
          <w:p w14:paraId="17175A7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9,339.75</w:t>
            </w:r>
          </w:p>
        </w:tc>
        <w:tc>
          <w:tcPr>
            <w:tcW w:w="1379" w:type="dxa"/>
            <w:tcBorders>
              <w:top w:val="nil"/>
              <w:left w:val="nil"/>
              <w:bottom w:val="single" w:sz="4" w:space="0" w:color="auto"/>
              <w:right w:val="single" w:sz="4" w:space="0" w:color="auto"/>
            </w:tcBorders>
            <w:shd w:val="clear" w:color="auto" w:fill="auto"/>
            <w:noWrap/>
            <w:vAlign w:val="center"/>
            <w:hideMark/>
          </w:tcPr>
          <w:p w14:paraId="75F59CFB" w14:textId="77777777" w:rsidR="00E52AC1" w:rsidRPr="003D6707" w:rsidRDefault="00E52AC1" w:rsidP="00E52AC1">
            <w:pPr>
              <w:spacing w:after="0" w:line="240" w:lineRule="auto"/>
              <w:jc w:val="center"/>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w:t>
            </w:r>
          </w:p>
        </w:tc>
        <w:tc>
          <w:tcPr>
            <w:tcW w:w="1100" w:type="dxa"/>
            <w:tcBorders>
              <w:top w:val="nil"/>
              <w:left w:val="nil"/>
              <w:bottom w:val="single" w:sz="4" w:space="0" w:color="auto"/>
              <w:right w:val="single" w:sz="4" w:space="0" w:color="auto"/>
            </w:tcBorders>
            <w:shd w:val="clear" w:color="auto" w:fill="auto"/>
            <w:noWrap/>
            <w:vAlign w:val="center"/>
            <w:hideMark/>
          </w:tcPr>
          <w:p w14:paraId="6A9433A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-5,296.79</w:t>
            </w:r>
          </w:p>
        </w:tc>
        <w:tc>
          <w:tcPr>
            <w:tcW w:w="1060" w:type="dxa"/>
            <w:tcBorders>
              <w:top w:val="nil"/>
              <w:left w:val="nil"/>
              <w:bottom w:val="single" w:sz="4" w:space="0" w:color="auto"/>
              <w:right w:val="single" w:sz="4" w:space="0" w:color="auto"/>
            </w:tcBorders>
            <w:shd w:val="clear" w:color="auto" w:fill="auto"/>
            <w:noWrap/>
            <w:vAlign w:val="center"/>
            <w:hideMark/>
          </w:tcPr>
          <w:p w14:paraId="528E923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342.62</w:t>
            </w:r>
          </w:p>
        </w:tc>
        <w:tc>
          <w:tcPr>
            <w:tcW w:w="1080" w:type="dxa"/>
            <w:tcBorders>
              <w:top w:val="nil"/>
              <w:left w:val="nil"/>
              <w:bottom w:val="single" w:sz="4" w:space="0" w:color="auto"/>
              <w:right w:val="single" w:sz="4" w:space="0" w:color="auto"/>
            </w:tcBorders>
            <w:shd w:val="clear" w:color="auto" w:fill="auto"/>
            <w:noWrap/>
            <w:vAlign w:val="center"/>
            <w:hideMark/>
          </w:tcPr>
          <w:p w14:paraId="428C2E2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2,957.47</w:t>
            </w:r>
          </w:p>
        </w:tc>
        <w:tc>
          <w:tcPr>
            <w:tcW w:w="1020" w:type="dxa"/>
            <w:tcBorders>
              <w:top w:val="nil"/>
              <w:left w:val="nil"/>
              <w:bottom w:val="single" w:sz="4" w:space="0" w:color="auto"/>
              <w:right w:val="single" w:sz="4" w:space="0" w:color="auto"/>
            </w:tcBorders>
            <w:shd w:val="clear" w:color="auto" w:fill="auto"/>
            <w:noWrap/>
            <w:vAlign w:val="center"/>
            <w:hideMark/>
          </w:tcPr>
          <w:p w14:paraId="16D491A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-2,246.27</w:t>
            </w:r>
          </w:p>
        </w:tc>
      </w:tr>
      <w:tr w:rsidR="00E52AC1" w:rsidRPr="003D6707" w14:paraId="5C5B9B3C"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9BA628"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59</w:t>
            </w:r>
          </w:p>
        </w:tc>
        <w:tc>
          <w:tcPr>
            <w:tcW w:w="3288" w:type="dxa"/>
            <w:tcBorders>
              <w:top w:val="nil"/>
              <w:left w:val="nil"/>
              <w:bottom w:val="single" w:sz="4" w:space="0" w:color="auto"/>
              <w:right w:val="single" w:sz="4" w:space="0" w:color="auto"/>
            </w:tcBorders>
            <w:shd w:val="clear" w:color="auto" w:fill="auto"/>
            <w:noWrap/>
            <w:vAlign w:val="center"/>
            <w:hideMark/>
          </w:tcPr>
          <w:p w14:paraId="6F42391A" w14:textId="77777777" w:rsidR="00E52AC1" w:rsidRPr="003D6707" w:rsidRDefault="00E52AC1" w:rsidP="00E52AC1">
            <w:pPr>
              <w:spacing w:after="0" w:line="240" w:lineRule="auto"/>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ÎMPRUMUTURI EXTERNE</w:t>
            </w:r>
          </w:p>
        </w:tc>
        <w:tc>
          <w:tcPr>
            <w:tcW w:w="1000" w:type="dxa"/>
            <w:tcBorders>
              <w:top w:val="nil"/>
              <w:left w:val="nil"/>
              <w:bottom w:val="single" w:sz="4" w:space="0" w:color="auto"/>
              <w:right w:val="single" w:sz="4" w:space="0" w:color="auto"/>
            </w:tcBorders>
            <w:shd w:val="clear" w:color="auto" w:fill="auto"/>
            <w:noWrap/>
            <w:vAlign w:val="center"/>
            <w:hideMark/>
          </w:tcPr>
          <w:p w14:paraId="5A957BED"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8,356.38</w:t>
            </w:r>
          </w:p>
        </w:tc>
        <w:tc>
          <w:tcPr>
            <w:tcW w:w="1000" w:type="dxa"/>
            <w:tcBorders>
              <w:top w:val="nil"/>
              <w:left w:val="nil"/>
              <w:bottom w:val="single" w:sz="4" w:space="0" w:color="auto"/>
              <w:right w:val="single" w:sz="4" w:space="0" w:color="auto"/>
            </w:tcBorders>
            <w:shd w:val="clear" w:color="auto" w:fill="auto"/>
            <w:noWrap/>
            <w:vAlign w:val="center"/>
            <w:hideMark/>
          </w:tcPr>
          <w:p w14:paraId="33C01913"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24,098.34</w:t>
            </w:r>
          </w:p>
        </w:tc>
        <w:tc>
          <w:tcPr>
            <w:tcW w:w="1000" w:type="dxa"/>
            <w:tcBorders>
              <w:top w:val="nil"/>
              <w:left w:val="nil"/>
              <w:bottom w:val="single" w:sz="4" w:space="0" w:color="auto"/>
              <w:right w:val="single" w:sz="4" w:space="0" w:color="auto"/>
            </w:tcBorders>
            <w:shd w:val="clear" w:color="auto" w:fill="auto"/>
            <w:noWrap/>
            <w:vAlign w:val="center"/>
            <w:hideMark/>
          </w:tcPr>
          <w:p w14:paraId="6B8ECFE8"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49,057.62</w:t>
            </w:r>
          </w:p>
        </w:tc>
        <w:tc>
          <w:tcPr>
            <w:tcW w:w="1000" w:type="dxa"/>
            <w:tcBorders>
              <w:top w:val="nil"/>
              <w:left w:val="nil"/>
              <w:bottom w:val="single" w:sz="4" w:space="0" w:color="auto"/>
              <w:right w:val="single" w:sz="4" w:space="0" w:color="auto"/>
            </w:tcBorders>
            <w:shd w:val="clear" w:color="auto" w:fill="auto"/>
            <w:noWrap/>
            <w:vAlign w:val="center"/>
            <w:hideMark/>
          </w:tcPr>
          <w:p w14:paraId="60CAE799"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53,851.87</w:t>
            </w:r>
          </w:p>
        </w:tc>
        <w:tc>
          <w:tcPr>
            <w:tcW w:w="1000" w:type="dxa"/>
            <w:tcBorders>
              <w:top w:val="nil"/>
              <w:left w:val="nil"/>
              <w:bottom w:val="single" w:sz="4" w:space="0" w:color="auto"/>
              <w:right w:val="single" w:sz="4" w:space="0" w:color="auto"/>
            </w:tcBorders>
            <w:shd w:val="clear" w:color="auto" w:fill="auto"/>
            <w:noWrap/>
            <w:vAlign w:val="center"/>
            <w:hideMark/>
          </w:tcPr>
          <w:p w14:paraId="6323BD35"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73,994.49</w:t>
            </w:r>
          </w:p>
        </w:tc>
        <w:tc>
          <w:tcPr>
            <w:tcW w:w="1379" w:type="dxa"/>
            <w:tcBorders>
              <w:top w:val="nil"/>
              <w:left w:val="nil"/>
              <w:bottom w:val="single" w:sz="4" w:space="0" w:color="auto"/>
              <w:right w:val="single" w:sz="4" w:space="0" w:color="auto"/>
            </w:tcBorders>
            <w:shd w:val="clear" w:color="auto" w:fill="auto"/>
            <w:noWrap/>
            <w:vAlign w:val="center"/>
            <w:hideMark/>
          </w:tcPr>
          <w:p w14:paraId="6D1E9848" w14:textId="77777777" w:rsidR="00E52AC1" w:rsidRPr="003D6707" w:rsidRDefault="00E52AC1" w:rsidP="00E52AC1">
            <w:pPr>
              <w:spacing w:after="0" w:line="240" w:lineRule="auto"/>
              <w:jc w:val="center"/>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13%</w:t>
            </w:r>
          </w:p>
        </w:tc>
        <w:tc>
          <w:tcPr>
            <w:tcW w:w="1100" w:type="dxa"/>
            <w:tcBorders>
              <w:top w:val="nil"/>
              <w:left w:val="nil"/>
              <w:bottom w:val="single" w:sz="4" w:space="0" w:color="auto"/>
              <w:right w:val="single" w:sz="4" w:space="0" w:color="auto"/>
            </w:tcBorders>
            <w:shd w:val="clear" w:color="auto" w:fill="auto"/>
            <w:noWrap/>
            <w:vAlign w:val="center"/>
            <w:hideMark/>
          </w:tcPr>
          <w:p w14:paraId="49C4EFE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15,741.96</w:t>
            </w:r>
          </w:p>
        </w:tc>
        <w:tc>
          <w:tcPr>
            <w:tcW w:w="1060" w:type="dxa"/>
            <w:tcBorders>
              <w:top w:val="nil"/>
              <w:left w:val="nil"/>
              <w:bottom w:val="single" w:sz="4" w:space="0" w:color="auto"/>
              <w:right w:val="single" w:sz="4" w:space="0" w:color="auto"/>
            </w:tcBorders>
            <w:shd w:val="clear" w:color="auto" w:fill="auto"/>
            <w:noWrap/>
            <w:vAlign w:val="center"/>
            <w:hideMark/>
          </w:tcPr>
          <w:p w14:paraId="233534F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24,959.28</w:t>
            </w:r>
          </w:p>
        </w:tc>
        <w:tc>
          <w:tcPr>
            <w:tcW w:w="1080" w:type="dxa"/>
            <w:tcBorders>
              <w:top w:val="nil"/>
              <w:left w:val="nil"/>
              <w:bottom w:val="single" w:sz="4" w:space="0" w:color="auto"/>
              <w:right w:val="single" w:sz="4" w:space="0" w:color="auto"/>
            </w:tcBorders>
            <w:shd w:val="clear" w:color="auto" w:fill="auto"/>
            <w:noWrap/>
            <w:vAlign w:val="center"/>
            <w:hideMark/>
          </w:tcPr>
          <w:p w14:paraId="4B3E71E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4,794.25</w:t>
            </w:r>
          </w:p>
        </w:tc>
        <w:tc>
          <w:tcPr>
            <w:tcW w:w="1020" w:type="dxa"/>
            <w:tcBorders>
              <w:top w:val="nil"/>
              <w:left w:val="nil"/>
              <w:bottom w:val="single" w:sz="4" w:space="0" w:color="auto"/>
              <w:right w:val="single" w:sz="4" w:space="0" w:color="auto"/>
            </w:tcBorders>
            <w:shd w:val="clear" w:color="auto" w:fill="auto"/>
            <w:noWrap/>
            <w:vAlign w:val="center"/>
            <w:hideMark/>
          </w:tcPr>
          <w:p w14:paraId="35A37F6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20,142.62</w:t>
            </w:r>
          </w:p>
        </w:tc>
      </w:tr>
      <w:tr w:rsidR="00E52AC1" w:rsidRPr="003D6707" w14:paraId="7F145021"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5F409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595</w:t>
            </w:r>
          </w:p>
        </w:tc>
        <w:tc>
          <w:tcPr>
            <w:tcW w:w="3288" w:type="dxa"/>
            <w:tcBorders>
              <w:top w:val="nil"/>
              <w:left w:val="nil"/>
              <w:bottom w:val="single" w:sz="4" w:space="0" w:color="auto"/>
              <w:right w:val="single" w:sz="4" w:space="0" w:color="auto"/>
            </w:tcBorders>
            <w:shd w:val="clear" w:color="auto" w:fill="auto"/>
            <w:vAlign w:val="center"/>
            <w:hideMark/>
          </w:tcPr>
          <w:p w14:paraId="7E3CA023"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împrumuturi externe</w:t>
            </w:r>
          </w:p>
        </w:tc>
        <w:tc>
          <w:tcPr>
            <w:tcW w:w="1000" w:type="dxa"/>
            <w:tcBorders>
              <w:top w:val="nil"/>
              <w:left w:val="nil"/>
              <w:bottom w:val="single" w:sz="4" w:space="0" w:color="auto"/>
              <w:right w:val="single" w:sz="4" w:space="0" w:color="auto"/>
            </w:tcBorders>
            <w:shd w:val="clear" w:color="auto" w:fill="auto"/>
            <w:noWrap/>
            <w:vAlign w:val="center"/>
            <w:hideMark/>
          </w:tcPr>
          <w:p w14:paraId="76D8580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8,356.38</w:t>
            </w:r>
          </w:p>
        </w:tc>
        <w:tc>
          <w:tcPr>
            <w:tcW w:w="1000" w:type="dxa"/>
            <w:tcBorders>
              <w:top w:val="nil"/>
              <w:left w:val="nil"/>
              <w:bottom w:val="single" w:sz="4" w:space="0" w:color="auto"/>
              <w:right w:val="single" w:sz="4" w:space="0" w:color="auto"/>
            </w:tcBorders>
            <w:shd w:val="clear" w:color="auto" w:fill="auto"/>
            <w:noWrap/>
            <w:vAlign w:val="center"/>
            <w:hideMark/>
          </w:tcPr>
          <w:p w14:paraId="64B5BB04"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24,098.34</w:t>
            </w:r>
          </w:p>
        </w:tc>
        <w:tc>
          <w:tcPr>
            <w:tcW w:w="1000" w:type="dxa"/>
            <w:tcBorders>
              <w:top w:val="nil"/>
              <w:left w:val="nil"/>
              <w:bottom w:val="single" w:sz="4" w:space="0" w:color="auto"/>
              <w:right w:val="single" w:sz="4" w:space="0" w:color="auto"/>
            </w:tcBorders>
            <w:shd w:val="clear" w:color="auto" w:fill="auto"/>
            <w:noWrap/>
            <w:vAlign w:val="center"/>
            <w:hideMark/>
          </w:tcPr>
          <w:p w14:paraId="2AD46464"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49,057.62</w:t>
            </w:r>
          </w:p>
        </w:tc>
        <w:tc>
          <w:tcPr>
            <w:tcW w:w="1000" w:type="dxa"/>
            <w:tcBorders>
              <w:top w:val="nil"/>
              <w:left w:val="nil"/>
              <w:bottom w:val="single" w:sz="4" w:space="0" w:color="auto"/>
              <w:right w:val="single" w:sz="4" w:space="0" w:color="auto"/>
            </w:tcBorders>
            <w:shd w:val="clear" w:color="auto" w:fill="auto"/>
            <w:noWrap/>
            <w:vAlign w:val="center"/>
            <w:hideMark/>
          </w:tcPr>
          <w:p w14:paraId="311C254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53,851.87</w:t>
            </w:r>
          </w:p>
        </w:tc>
        <w:tc>
          <w:tcPr>
            <w:tcW w:w="1000" w:type="dxa"/>
            <w:tcBorders>
              <w:top w:val="nil"/>
              <w:left w:val="nil"/>
              <w:bottom w:val="single" w:sz="4" w:space="0" w:color="auto"/>
              <w:right w:val="single" w:sz="4" w:space="0" w:color="auto"/>
            </w:tcBorders>
            <w:shd w:val="clear" w:color="auto" w:fill="auto"/>
            <w:noWrap/>
            <w:vAlign w:val="center"/>
            <w:hideMark/>
          </w:tcPr>
          <w:p w14:paraId="1FCFADB4"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73,994.49</w:t>
            </w:r>
          </w:p>
        </w:tc>
        <w:tc>
          <w:tcPr>
            <w:tcW w:w="1379" w:type="dxa"/>
            <w:tcBorders>
              <w:top w:val="nil"/>
              <w:left w:val="nil"/>
              <w:bottom w:val="single" w:sz="4" w:space="0" w:color="auto"/>
              <w:right w:val="single" w:sz="4" w:space="0" w:color="auto"/>
            </w:tcBorders>
            <w:shd w:val="clear" w:color="auto" w:fill="auto"/>
            <w:noWrap/>
            <w:vAlign w:val="center"/>
            <w:hideMark/>
          </w:tcPr>
          <w:p w14:paraId="7D4784BD" w14:textId="77777777" w:rsidR="00E52AC1" w:rsidRPr="003D6707" w:rsidRDefault="00E52AC1" w:rsidP="00E52AC1">
            <w:pPr>
              <w:spacing w:after="0" w:line="240" w:lineRule="auto"/>
              <w:jc w:val="center"/>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13%</w:t>
            </w:r>
          </w:p>
        </w:tc>
        <w:tc>
          <w:tcPr>
            <w:tcW w:w="1100" w:type="dxa"/>
            <w:tcBorders>
              <w:top w:val="nil"/>
              <w:left w:val="nil"/>
              <w:bottom w:val="single" w:sz="4" w:space="0" w:color="auto"/>
              <w:right w:val="single" w:sz="4" w:space="0" w:color="auto"/>
            </w:tcBorders>
            <w:shd w:val="clear" w:color="auto" w:fill="auto"/>
            <w:noWrap/>
            <w:vAlign w:val="center"/>
            <w:hideMark/>
          </w:tcPr>
          <w:p w14:paraId="3BBC494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15,741.96</w:t>
            </w:r>
          </w:p>
        </w:tc>
        <w:tc>
          <w:tcPr>
            <w:tcW w:w="1060" w:type="dxa"/>
            <w:tcBorders>
              <w:top w:val="nil"/>
              <w:left w:val="nil"/>
              <w:bottom w:val="single" w:sz="4" w:space="0" w:color="auto"/>
              <w:right w:val="single" w:sz="4" w:space="0" w:color="auto"/>
            </w:tcBorders>
            <w:shd w:val="clear" w:color="auto" w:fill="auto"/>
            <w:noWrap/>
            <w:vAlign w:val="center"/>
            <w:hideMark/>
          </w:tcPr>
          <w:p w14:paraId="415359E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24,959.28</w:t>
            </w:r>
          </w:p>
        </w:tc>
        <w:tc>
          <w:tcPr>
            <w:tcW w:w="1080" w:type="dxa"/>
            <w:tcBorders>
              <w:top w:val="nil"/>
              <w:left w:val="nil"/>
              <w:bottom w:val="single" w:sz="4" w:space="0" w:color="auto"/>
              <w:right w:val="single" w:sz="4" w:space="0" w:color="auto"/>
            </w:tcBorders>
            <w:shd w:val="clear" w:color="auto" w:fill="auto"/>
            <w:noWrap/>
            <w:vAlign w:val="center"/>
            <w:hideMark/>
          </w:tcPr>
          <w:p w14:paraId="35AC75C4"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4,794.25</w:t>
            </w:r>
          </w:p>
        </w:tc>
        <w:tc>
          <w:tcPr>
            <w:tcW w:w="1020" w:type="dxa"/>
            <w:tcBorders>
              <w:top w:val="nil"/>
              <w:left w:val="nil"/>
              <w:bottom w:val="single" w:sz="4" w:space="0" w:color="auto"/>
              <w:right w:val="single" w:sz="4" w:space="0" w:color="auto"/>
            </w:tcBorders>
            <w:shd w:val="clear" w:color="auto" w:fill="auto"/>
            <w:noWrap/>
            <w:vAlign w:val="center"/>
            <w:hideMark/>
          </w:tcPr>
          <w:p w14:paraId="342EB64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20,142.62</w:t>
            </w:r>
          </w:p>
        </w:tc>
      </w:tr>
      <w:tr w:rsidR="00E52AC1" w:rsidRPr="003D6707" w14:paraId="08D5640C"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530FFA"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72</w:t>
            </w:r>
          </w:p>
        </w:tc>
        <w:tc>
          <w:tcPr>
            <w:tcW w:w="3288" w:type="dxa"/>
            <w:tcBorders>
              <w:top w:val="nil"/>
              <w:left w:val="nil"/>
              <w:bottom w:val="single" w:sz="4" w:space="0" w:color="auto"/>
              <w:right w:val="single" w:sz="4" w:space="0" w:color="auto"/>
            </w:tcBorders>
            <w:shd w:val="clear" w:color="auto" w:fill="auto"/>
            <w:vAlign w:val="center"/>
            <w:hideMark/>
          </w:tcPr>
          <w:p w14:paraId="1298CBC1" w14:textId="77777777" w:rsidR="00E52AC1" w:rsidRPr="003D6707" w:rsidRDefault="00E52AC1" w:rsidP="00E52AC1">
            <w:pPr>
              <w:spacing w:after="0" w:line="240" w:lineRule="auto"/>
              <w:rPr>
                <w:rFonts w:ascii="Calibri Light" w:eastAsia="Times New Roman" w:hAnsi="Calibri Light" w:cs="Calibri Light"/>
                <w:b/>
                <w:bCs/>
                <w:color w:val="000000"/>
                <w:sz w:val="14"/>
                <w:szCs w:val="14"/>
              </w:rPr>
            </w:pPr>
            <w:r w:rsidRPr="003D6707">
              <w:rPr>
                <w:rFonts w:ascii="Calibri Light" w:eastAsia="Times New Roman" w:hAnsi="Calibri Light" w:cs="Calibri Light"/>
                <w:b/>
                <w:bCs/>
                <w:color w:val="000000"/>
                <w:sz w:val="14"/>
                <w:szCs w:val="14"/>
              </w:rPr>
              <w:t>REZULTATUL FINANCIAR AL INSTITUȚIEI BUGETARE</w:t>
            </w:r>
          </w:p>
        </w:tc>
        <w:tc>
          <w:tcPr>
            <w:tcW w:w="1000" w:type="dxa"/>
            <w:tcBorders>
              <w:top w:val="nil"/>
              <w:left w:val="nil"/>
              <w:bottom w:val="single" w:sz="4" w:space="0" w:color="auto"/>
              <w:right w:val="single" w:sz="4" w:space="0" w:color="auto"/>
            </w:tcBorders>
            <w:shd w:val="clear" w:color="auto" w:fill="auto"/>
            <w:noWrap/>
            <w:vAlign w:val="center"/>
            <w:hideMark/>
          </w:tcPr>
          <w:p w14:paraId="0ACD6E1A"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761,629.54</w:t>
            </w:r>
          </w:p>
        </w:tc>
        <w:tc>
          <w:tcPr>
            <w:tcW w:w="1000" w:type="dxa"/>
            <w:tcBorders>
              <w:top w:val="nil"/>
              <w:left w:val="nil"/>
              <w:bottom w:val="single" w:sz="4" w:space="0" w:color="auto"/>
              <w:right w:val="single" w:sz="4" w:space="0" w:color="auto"/>
            </w:tcBorders>
            <w:shd w:val="clear" w:color="auto" w:fill="auto"/>
            <w:noWrap/>
            <w:vAlign w:val="center"/>
            <w:hideMark/>
          </w:tcPr>
          <w:p w14:paraId="06059DC3"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697,308.47</w:t>
            </w:r>
          </w:p>
        </w:tc>
        <w:tc>
          <w:tcPr>
            <w:tcW w:w="1000" w:type="dxa"/>
            <w:tcBorders>
              <w:top w:val="nil"/>
              <w:left w:val="nil"/>
              <w:bottom w:val="single" w:sz="4" w:space="0" w:color="auto"/>
              <w:right w:val="single" w:sz="4" w:space="0" w:color="auto"/>
            </w:tcBorders>
            <w:shd w:val="clear" w:color="auto" w:fill="auto"/>
            <w:noWrap/>
            <w:vAlign w:val="center"/>
            <w:hideMark/>
          </w:tcPr>
          <w:p w14:paraId="2081EBCD"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679,191.28</w:t>
            </w:r>
          </w:p>
        </w:tc>
        <w:tc>
          <w:tcPr>
            <w:tcW w:w="1000" w:type="dxa"/>
            <w:tcBorders>
              <w:top w:val="nil"/>
              <w:left w:val="nil"/>
              <w:bottom w:val="single" w:sz="4" w:space="0" w:color="auto"/>
              <w:right w:val="single" w:sz="4" w:space="0" w:color="auto"/>
            </w:tcBorders>
            <w:shd w:val="clear" w:color="auto" w:fill="auto"/>
            <w:noWrap/>
            <w:vAlign w:val="center"/>
            <w:hideMark/>
          </w:tcPr>
          <w:p w14:paraId="333FE686"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670,720.28</w:t>
            </w:r>
          </w:p>
        </w:tc>
        <w:tc>
          <w:tcPr>
            <w:tcW w:w="1000" w:type="dxa"/>
            <w:tcBorders>
              <w:top w:val="nil"/>
              <w:left w:val="nil"/>
              <w:bottom w:val="single" w:sz="4" w:space="0" w:color="auto"/>
              <w:right w:val="single" w:sz="4" w:space="0" w:color="auto"/>
            </w:tcBorders>
            <w:shd w:val="clear" w:color="auto" w:fill="auto"/>
            <w:noWrap/>
            <w:vAlign w:val="center"/>
            <w:hideMark/>
          </w:tcPr>
          <w:p w14:paraId="357B6E5C"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494,379.72</w:t>
            </w:r>
          </w:p>
        </w:tc>
        <w:tc>
          <w:tcPr>
            <w:tcW w:w="1379" w:type="dxa"/>
            <w:tcBorders>
              <w:top w:val="nil"/>
              <w:left w:val="nil"/>
              <w:bottom w:val="single" w:sz="4" w:space="0" w:color="auto"/>
              <w:right w:val="single" w:sz="4" w:space="0" w:color="auto"/>
            </w:tcBorders>
            <w:shd w:val="clear" w:color="auto" w:fill="auto"/>
            <w:noWrap/>
            <w:vAlign w:val="center"/>
            <w:hideMark/>
          </w:tcPr>
          <w:p w14:paraId="5B45846E" w14:textId="77777777" w:rsidR="00E52AC1" w:rsidRPr="003D6707" w:rsidRDefault="00E52AC1" w:rsidP="00E52AC1">
            <w:pPr>
              <w:spacing w:after="0" w:line="240" w:lineRule="auto"/>
              <w:jc w:val="center"/>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86%</w:t>
            </w:r>
          </w:p>
        </w:tc>
        <w:tc>
          <w:tcPr>
            <w:tcW w:w="1100" w:type="dxa"/>
            <w:tcBorders>
              <w:top w:val="nil"/>
              <w:left w:val="nil"/>
              <w:bottom w:val="single" w:sz="4" w:space="0" w:color="auto"/>
              <w:right w:val="single" w:sz="4" w:space="0" w:color="auto"/>
            </w:tcBorders>
            <w:shd w:val="clear" w:color="auto" w:fill="auto"/>
            <w:noWrap/>
            <w:vAlign w:val="center"/>
            <w:hideMark/>
          </w:tcPr>
          <w:p w14:paraId="14F654F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-64,321.07</w:t>
            </w:r>
          </w:p>
        </w:tc>
        <w:tc>
          <w:tcPr>
            <w:tcW w:w="1060" w:type="dxa"/>
            <w:tcBorders>
              <w:top w:val="nil"/>
              <w:left w:val="nil"/>
              <w:bottom w:val="single" w:sz="4" w:space="0" w:color="auto"/>
              <w:right w:val="single" w:sz="4" w:space="0" w:color="auto"/>
            </w:tcBorders>
            <w:shd w:val="clear" w:color="auto" w:fill="auto"/>
            <w:noWrap/>
            <w:vAlign w:val="center"/>
            <w:hideMark/>
          </w:tcPr>
          <w:p w14:paraId="49265BE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-18,117.19</w:t>
            </w:r>
          </w:p>
        </w:tc>
        <w:tc>
          <w:tcPr>
            <w:tcW w:w="1080" w:type="dxa"/>
            <w:tcBorders>
              <w:top w:val="nil"/>
              <w:left w:val="nil"/>
              <w:bottom w:val="single" w:sz="4" w:space="0" w:color="auto"/>
              <w:right w:val="single" w:sz="4" w:space="0" w:color="auto"/>
            </w:tcBorders>
            <w:shd w:val="clear" w:color="auto" w:fill="auto"/>
            <w:noWrap/>
            <w:vAlign w:val="center"/>
            <w:hideMark/>
          </w:tcPr>
          <w:p w14:paraId="5F9F798A"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-8,471.00</w:t>
            </w:r>
          </w:p>
        </w:tc>
        <w:tc>
          <w:tcPr>
            <w:tcW w:w="1020" w:type="dxa"/>
            <w:tcBorders>
              <w:top w:val="nil"/>
              <w:left w:val="nil"/>
              <w:bottom w:val="single" w:sz="4" w:space="0" w:color="auto"/>
              <w:right w:val="single" w:sz="4" w:space="0" w:color="auto"/>
            </w:tcBorders>
            <w:shd w:val="clear" w:color="auto" w:fill="auto"/>
            <w:noWrap/>
            <w:vAlign w:val="center"/>
            <w:hideMark/>
          </w:tcPr>
          <w:p w14:paraId="040682D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-176,340.56</w:t>
            </w:r>
          </w:p>
        </w:tc>
      </w:tr>
      <w:tr w:rsidR="00E52AC1" w:rsidRPr="003D6707" w14:paraId="6E42305B"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6BC4D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721</w:t>
            </w:r>
          </w:p>
        </w:tc>
        <w:tc>
          <w:tcPr>
            <w:tcW w:w="3288" w:type="dxa"/>
            <w:tcBorders>
              <w:top w:val="nil"/>
              <w:left w:val="nil"/>
              <w:bottom w:val="single" w:sz="4" w:space="0" w:color="auto"/>
              <w:right w:val="single" w:sz="4" w:space="0" w:color="auto"/>
            </w:tcBorders>
            <w:shd w:val="clear" w:color="auto" w:fill="auto"/>
            <w:vAlign w:val="center"/>
            <w:hideMark/>
          </w:tcPr>
          <w:p w14:paraId="2A6BA448"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Rezultatul financiar al instituției publice pe anul curent</w:t>
            </w:r>
          </w:p>
        </w:tc>
        <w:tc>
          <w:tcPr>
            <w:tcW w:w="1000" w:type="dxa"/>
            <w:tcBorders>
              <w:top w:val="nil"/>
              <w:left w:val="nil"/>
              <w:bottom w:val="single" w:sz="4" w:space="0" w:color="auto"/>
              <w:right w:val="single" w:sz="4" w:space="0" w:color="auto"/>
            </w:tcBorders>
            <w:shd w:val="clear" w:color="auto" w:fill="auto"/>
            <w:noWrap/>
            <w:vAlign w:val="center"/>
            <w:hideMark/>
          </w:tcPr>
          <w:p w14:paraId="7E8A23E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167,292.26</w:t>
            </w:r>
          </w:p>
        </w:tc>
        <w:tc>
          <w:tcPr>
            <w:tcW w:w="1000" w:type="dxa"/>
            <w:tcBorders>
              <w:top w:val="nil"/>
              <w:left w:val="nil"/>
              <w:bottom w:val="single" w:sz="4" w:space="0" w:color="auto"/>
              <w:right w:val="single" w:sz="4" w:space="0" w:color="auto"/>
            </w:tcBorders>
            <w:shd w:val="clear" w:color="auto" w:fill="auto"/>
            <w:noWrap/>
            <w:vAlign w:val="center"/>
            <w:hideMark/>
          </w:tcPr>
          <w:p w14:paraId="1490A5F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-71,506.86</w:t>
            </w:r>
          </w:p>
        </w:tc>
        <w:tc>
          <w:tcPr>
            <w:tcW w:w="1000" w:type="dxa"/>
            <w:tcBorders>
              <w:top w:val="nil"/>
              <w:left w:val="nil"/>
              <w:bottom w:val="single" w:sz="4" w:space="0" w:color="auto"/>
              <w:right w:val="single" w:sz="4" w:space="0" w:color="auto"/>
            </w:tcBorders>
            <w:shd w:val="clear" w:color="auto" w:fill="auto"/>
            <w:noWrap/>
            <w:vAlign w:val="center"/>
            <w:hideMark/>
          </w:tcPr>
          <w:p w14:paraId="0C3BEC8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-41,192.49</w:t>
            </w:r>
          </w:p>
        </w:tc>
        <w:tc>
          <w:tcPr>
            <w:tcW w:w="1000" w:type="dxa"/>
            <w:tcBorders>
              <w:top w:val="nil"/>
              <w:left w:val="nil"/>
              <w:bottom w:val="single" w:sz="4" w:space="0" w:color="auto"/>
              <w:right w:val="single" w:sz="4" w:space="0" w:color="auto"/>
            </w:tcBorders>
            <w:shd w:val="clear" w:color="auto" w:fill="auto"/>
            <w:noWrap/>
            <w:vAlign w:val="center"/>
            <w:hideMark/>
          </w:tcPr>
          <w:p w14:paraId="71EE54FA"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-65,119.07</w:t>
            </w:r>
          </w:p>
        </w:tc>
        <w:tc>
          <w:tcPr>
            <w:tcW w:w="1000" w:type="dxa"/>
            <w:tcBorders>
              <w:top w:val="nil"/>
              <w:left w:val="nil"/>
              <w:bottom w:val="single" w:sz="4" w:space="0" w:color="auto"/>
              <w:right w:val="single" w:sz="4" w:space="0" w:color="auto"/>
            </w:tcBorders>
            <w:shd w:val="clear" w:color="auto" w:fill="auto"/>
            <w:noWrap/>
            <w:vAlign w:val="center"/>
            <w:hideMark/>
          </w:tcPr>
          <w:p w14:paraId="5F3EFBC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-232,152.52</w:t>
            </w:r>
          </w:p>
        </w:tc>
        <w:tc>
          <w:tcPr>
            <w:tcW w:w="1379" w:type="dxa"/>
            <w:tcBorders>
              <w:top w:val="nil"/>
              <w:left w:val="nil"/>
              <w:bottom w:val="single" w:sz="4" w:space="0" w:color="auto"/>
              <w:right w:val="single" w:sz="4" w:space="0" w:color="auto"/>
            </w:tcBorders>
            <w:shd w:val="clear" w:color="auto" w:fill="auto"/>
            <w:noWrap/>
            <w:vAlign w:val="center"/>
            <w:hideMark/>
          </w:tcPr>
          <w:p w14:paraId="0E4DA5A3" w14:textId="77777777" w:rsidR="00E52AC1" w:rsidRPr="003D6707" w:rsidRDefault="00E52AC1" w:rsidP="00E52AC1">
            <w:pPr>
              <w:spacing w:after="0" w:line="240" w:lineRule="auto"/>
              <w:jc w:val="center"/>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-40%</w:t>
            </w:r>
          </w:p>
        </w:tc>
        <w:tc>
          <w:tcPr>
            <w:tcW w:w="1100" w:type="dxa"/>
            <w:tcBorders>
              <w:top w:val="nil"/>
              <w:left w:val="nil"/>
              <w:bottom w:val="single" w:sz="4" w:space="0" w:color="auto"/>
              <w:right w:val="single" w:sz="4" w:space="0" w:color="auto"/>
            </w:tcBorders>
            <w:shd w:val="clear" w:color="auto" w:fill="auto"/>
            <w:noWrap/>
            <w:vAlign w:val="center"/>
            <w:hideMark/>
          </w:tcPr>
          <w:p w14:paraId="53D8155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-238,799.12</w:t>
            </w:r>
          </w:p>
        </w:tc>
        <w:tc>
          <w:tcPr>
            <w:tcW w:w="1060" w:type="dxa"/>
            <w:tcBorders>
              <w:top w:val="nil"/>
              <w:left w:val="nil"/>
              <w:bottom w:val="single" w:sz="4" w:space="0" w:color="auto"/>
              <w:right w:val="single" w:sz="4" w:space="0" w:color="auto"/>
            </w:tcBorders>
            <w:shd w:val="clear" w:color="auto" w:fill="auto"/>
            <w:noWrap/>
            <w:vAlign w:val="center"/>
            <w:hideMark/>
          </w:tcPr>
          <w:p w14:paraId="23B85EA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30,314.38</w:t>
            </w:r>
          </w:p>
        </w:tc>
        <w:tc>
          <w:tcPr>
            <w:tcW w:w="1080" w:type="dxa"/>
            <w:tcBorders>
              <w:top w:val="nil"/>
              <w:left w:val="nil"/>
              <w:bottom w:val="single" w:sz="4" w:space="0" w:color="auto"/>
              <w:right w:val="single" w:sz="4" w:space="0" w:color="auto"/>
            </w:tcBorders>
            <w:shd w:val="clear" w:color="auto" w:fill="auto"/>
            <w:noWrap/>
            <w:vAlign w:val="center"/>
            <w:hideMark/>
          </w:tcPr>
          <w:p w14:paraId="7313627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-23,926.58</w:t>
            </w:r>
          </w:p>
        </w:tc>
        <w:tc>
          <w:tcPr>
            <w:tcW w:w="1020" w:type="dxa"/>
            <w:tcBorders>
              <w:top w:val="nil"/>
              <w:left w:val="nil"/>
              <w:bottom w:val="single" w:sz="4" w:space="0" w:color="auto"/>
              <w:right w:val="single" w:sz="4" w:space="0" w:color="auto"/>
            </w:tcBorders>
            <w:shd w:val="clear" w:color="auto" w:fill="auto"/>
            <w:noWrap/>
            <w:vAlign w:val="center"/>
            <w:hideMark/>
          </w:tcPr>
          <w:p w14:paraId="49B635FE"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-167,033.45</w:t>
            </w:r>
          </w:p>
        </w:tc>
      </w:tr>
      <w:tr w:rsidR="00E52AC1" w:rsidRPr="003D6707" w14:paraId="449F236F"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46002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722</w:t>
            </w:r>
          </w:p>
        </w:tc>
        <w:tc>
          <w:tcPr>
            <w:tcW w:w="3288" w:type="dxa"/>
            <w:tcBorders>
              <w:top w:val="nil"/>
              <w:left w:val="nil"/>
              <w:bottom w:val="single" w:sz="4" w:space="0" w:color="auto"/>
              <w:right w:val="single" w:sz="4" w:space="0" w:color="auto"/>
            </w:tcBorders>
            <w:shd w:val="clear" w:color="auto" w:fill="auto"/>
            <w:vAlign w:val="center"/>
            <w:hideMark/>
          </w:tcPr>
          <w:p w14:paraId="2480C3FE"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Rezultatul financiar al instituției publice din anii precedenți</w:t>
            </w:r>
          </w:p>
        </w:tc>
        <w:tc>
          <w:tcPr>
            <w:tcW w:w="1000" w:type="dxa"/>
            <w:tcBorders>
              <w:top w:val="nil"/>
              <w:left w:val="nil"/>
              <w:bottom w:val="single" w:sz="4" w:space="0" w:color="auto"/>
              <w:right w:val="single" w:sz="4" w:space="0" w:color="auto"/>
            </w:tcBorders>
            <w:shd w:val="clear" w:color="auto" w:fill="auto"/>
            <w:noWrap/>
            <w:vAlign w:val="center"/>
            <w:hideMark/>
          </w:tcPr>
          <w:p w14:paraId="7AEBA96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596,434.13</w:t>
            </w:r>
          </w:p>
        </w:tc>
        <w:tc>
          <w:tcPr>
            <w:tcW w:w="1000" w:type="dxa"/>
            <w:tcBorders>
              <w:top w:val="nil"/>
              <w:left w:val="nil"/>
              <w:bottom w:val="single" w:sz="4" w:space="0" w:color="auto"/>
              <w:right w:val="single" w:sz="4" w:space="0" w:color="auto"/>
            </w:tcBorders>
            <w:shd w:val="clear" w:color="auto" w:fill="auto"/>
            <w:noWrap/>
            <w:vAlign w:val="center"/>
            <w:hideMark/>
          </w:tcPr>
          <w:p w14:paraId="3DCFF01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770,160.65</w:t>
            </w:r>
          </w:p>
        </w:tc>
        <w:tc>
          <w:tcPr>
            <w:tcW w:w="1000" w:type="dxa"/>
            <w:tcBorders>
              <w:top w:val="nil"/>
              <w:left w:val="nil"/>
              <w:bottom w:val="single" w:sz="4" w:space="0" w:color="auto"/>
              <w:right w:val="single" w:sz="4" w:space="0" w:color="auto"/>
            </w:tcBorders>
            <w:shd w:val="clear" w:color="auto" w:fill="auto"/>
            <w:noWrap/>
            <w:vAlign w:val="center"/>
            <w:hideMark/>
          </w:tcPr>
          <w:p w14:paraId="6D39E05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721,500.66</w:t>
            </w:r>
          </w:p>
        </w:tc>
        <w:tc>
          <w:tcPr>
            <w:tcW w:w="1000" w:type="dxa"/>
            <w:tcBorders>
              <w:top w:val="nil"/>
              <w:left w:val="nil"/>
              <w:bottom w:val="single" w:sz="4" w:space="0" w:color="auto"/>
              <w:right w:val="single" w:sz="4" w:space="0" w:color="auto"/>
            </w:tcBorders>
            <w:shd w:val="clear" w:color="auto" w:fill="auto"/>
            <w:noWrap/>
            <w:vAlign w:val="center"/>
            <w:hideMark/>
          </w:tcPr>
          <w:p w14:paraId="606068D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728,368.39</w:t>
            </w:r>
          </w:p>
        </w:tc>
        <w:tc>
          <w:tcPr>
            <w:tcW w:w="1000" w:type="dxa"/>
            <w:tcBorders>
              <w:top w:val="nil"/>
              <w:left w:val="nil"/>
              <w:bottom w:val="single" w:sz="4" w:space="0" w:color="auto"/>
              <w:right w:val="single" w:sz="4" w:space="0" w:color="auto"/>
            </w:tcBorders>
            <w:shd w:val="clear" w:color="auto" w:fill="auto"/>
            <w:noWrap/>
            <w:vAlign w:val="center"/>
            <w:hideMark/>
          </w:tcPr>
          <w:p w14:paraId="6DA29DB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724,321.80</w:t>
            </w:r>
          </w:p>
        </w:tc>
        <w:tc>
          <w:tcPr>
            <w:tcW w:w="1379" w:type="dxa"/>
            <w:tcBorders>
              <w:top w:val="nil"/>
              <w:left w:val="nil"/>
              <w:bottom w:val="single" w:sz="4" w:space="0" w:color="auto"/>
              <w:right w:val="single" w:sz="4" w:space="0" w:color="auto"/>
            </w:tcBorders>
            <w:shd w:val="clear" w:color="auto" w:fill="auto"/>
            <w:noWrap/>
            <w:vAlign w:val="center"/>
            <w:hideMark/>
          </w:tcPr>
          <w:p w14:paraId="1288D291" w14:textId="77777777" w:rsidR="00E52AC1" w:rsidRPr="003D6707" w:rsidRDefault="00E52AC1" w:rsidP="00E52AC1">
            <w:pPr>
              <w:spacing w:after="0" w:line="240" w:lineRule="auto"/>
              <w:jc w:val="center"/>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125%</w:t>
            </w:r>
          </w:p>
        </w:tc>
        <w:tc>
          <w:tcPr>
            <w:tcW w:w="1100" w:type="dxa"/>
            <w:tcBorders>
              <w:top w:val="nil"/>
              <w:left w:val="nil"/>
              <w:bottom w:val="single" w:sz="4" w:space="0" w:color="auto"/>
              <w:right w:val="single" w:sz="4" w:space="0" w:color="auto"/>
            </w:tcBorders>
            <w:shd w:val="clear" w:color="auto" w:fill="auto"/>
            <w:noWrap/>
            <w:vAlign w:val="center"/>
            <w:hideMark/>
          </w:tcPr>
          <w:p w14:paraId="2602C5F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173,726.52</w:t>
            </w:r>
          </w:p>
        </w:tc>
        <w:tc>
          <w:tcPr>
            <w:tcW w:w="1060" w:type="dxa"/>
            <w:tcBorders>
              <w:top w:val="nil"/>
              <w:left w:val="nil"/>
              <w:bottom w:val="single" w:sz="4" w:space="0" w:color="auto"/>
              <w:right w:val="single" w:sz="4" w:space="0" w:color="auto"/>
            </w:tcBorders>
            <w:shd w:val="clear" w:color="auto" w:fill="auto"/>
            <w:noWrap/>
            <w:vAlign w:val="center"/>
            <w:hideMark/>
          </w:tcPr>
          <w:p w14:paraId="53706A0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-48,659.99</w:t>
            </w:r>
          </w:p>
        </w:tc>
        <w:tc>
          <w:tcPr>
            <w:tcW w:w="1080" w:type="dxa"/>
            <w:tcBorders>
              <w:top w:val="nil"/>
              <w:left w:val="nil"/>
              <w:bottom w:val="single" w:sz="4" w:space="0" w:color="auto"/>
              <w:right w:val="single" w:sz="4" w:space="0" w:color="auto"/>
            </w:tcBorders>
            <w:shd w:val="clear" w:color="auto" w:fill="auto"/>
            <w:noWrap/>
            <w:vAlign w:val="center"/>
            <w:hideMark/>
          </w:tcPr>
          <w:p w14:paraId="1AA10A6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6,867.73</w:t>
            </w:r>
          </w:p>
        </w:tc>
        <w:tc>
          <w:tcPr>
            <w:tcW w:w="1020" w:type="dxa"/>
            <w:tcBorders>
              <w:top w:val="nil"/>
              <w:left w:val="nil"/>
              <w:bottom w:val="single" w:sz="4" w:space="0" w:color="auto"/>
              <w:right w:val="single" w:sz="4" w:space="0" w:color="auto"/>
            </w:tcBorders>
            <w:shd w:val="clear" w:color="auto" w:fill="auto"/>
            <w:noWrap/>
            <w:vAlign w:val="center"/>
            <w:hideMark/>
          </w:tcPr>
          <w:p w14:paraId="2F17F1A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-4,046.58</w:t>
            </w:r>
          </w:p>
        </w:tc>
      </w:tr>
      <w:tr w:rsidR="00E52AC1" w:rsidRPr="003D6707" w14:paraId="6DC3EFDD"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1F2BE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723</w:t>
            </w:r>
          </w:p>
        </w:tc>
        <w:tc>
          <w:tcPr>
            <w:tcW w:w="3288" w:type="dxa"/>
            <w:tcBorders>
              <w:top w:val="nil"/>
              <w:left w:val="nil"/>
              <w:bottom w:val="single" w:sz="4" w:space="0" w:color="auto"/>
              <w:right w:val="single" w:sz="4" w:space="0" w:color="auto"/>
            </w:tcBorders>
            <w:shd w:val="clear" w:color="auto" w:fill="auto"/>
            <w:vAlign w:val="center"/>
            <w:hideMark/>
          </w:tcPr>
          <w:p w14:paraId="4EE3D079"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Corectarea rezultatelor anilor precedenți ale instituției bugetare</w:t>
            </w:r>
          </w:p>
        </w:tc>
        <w:tc>
          <w:tcPr>
            <w:tcW w:w="1000" w:type="dxa"/>
            <w:tcBorders>
              <w:top w:val="nil"/>
              <w:left w:val="nil"/>
              <w:bottom w:val="single" w:sz="4" w:space="0" w:color="auto"/>
              <w:right w:val="single" w:sz="4" w:space="0" w:color="auto"/>
            </w:tcBorders>
            <w:shd w:val="clear" w:color="auto" w:fill="auto"/>
            <w:noWrap/>
            <w:vAlign w:val="center"/>
            <w:hideMark/>
          </w:tcPr>
          <w:p w14:paraId="14C19B7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-2,096.84</w:t>
            </w:r>
          </w:p>
        </w:tc>
        <w:tc>
          <w:tcPr>
            <w:tcW w:w="1000" w:type="dxa"/>
            <w:tcBorders>
              <w:top w:val="nil"/>
              <w:left w:val="nil"/>
              <w:bottom w:val="single" w:sz="4" w:space="0" w:color="auto"/>
              <w:right w:val="single" w:sz="4" w:space="0" w:color="auto"/>
            </w:tcBorders>
            <w:shd w:val="clear" w:color="auto" w:fill="auto"/>
            <w:noWrap/>
            <w:vAlign w:val="center"/>
            <w:hideMark/>
          </w:tcPr>
          <w:p w14:paraId="6275A7C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-1,345.31</w:t>
            </w:r>
          </w:p>
        </w:tc>
        <w:tc>
          <w:tcPr>
            <w:tcW w:w="1000" w:type="dxa"/>
            <w:tcBorders>
              <w:top w:val="nil"/>
              <w:left w:val="nil"/>
              <w:bottom w:val="single" w:sz="4" w:space="0" w:color="auto"/>
              <w:right w:val="single" w:sz="4" w:space="0" w:color="auto"/>
            </w:tcBorders>
            <w:shd w:val="clear" w:color="auto" w:fill="auto"/>
            <w:noWrap/>
            <w:vAlign w:val="center"/>
            <w:hideMark/>
          </w:tcPr>
          <w:p w14:paraId="56B15F3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-1,116.89</w:t>
            </w:r>
          </w:p>
        </w:tc>
        <w:tc>
          <w:tcPr>
            <w:tcW w:w="1000" w:type="dxa"/>
            <w:tcBorders>
              <w:top w:val="nil"/>
              <w:left w:val="nil"/>
              <w:bottom w:val="single" w:sz="4" w:space="0" w:color="auto"/>
              <w:right w:val="single" w:sz="4" w:space="0" w:color="auto"/>
            </w:tcBorders>
            <w:shd w:val="clear" w:color="auto" w:fill="auto"/>
            <w:noWrap/>
            <w:vAlign w:val="center"/>
            <w:hideMark/>
          </w:tcPr>
          <w:p w14:paraId="6D9DD0F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7,470.96</w:t>
            </w:r>
          </w:p>
        </w:tc>
        <w:tc>
          <w:tcPr>
            <w:tcW w:w="1000" w:type="dxa"/>
            <w:tcBorders>
              <w:top w:val="nil"/>
              <w:left w:val="nil"/>
              <w:bottom w:val="single" w:sz="4" w:space="0" w:color="auto"/>
              <w:right w:val="single" w:sz="4" w:space="0" w:color="auto"/>
            </w:tcBorders>
            <w:shd w:val="clear" w:color="auto" w:fill="auto"/>
            <w:noWrap/>
            <w:vAlign w:val="center"/>
            <w:hideMark/>
          </w:tcPr>
          <w:p w14:paraId="5A66585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2,210.43</w:t>
            </w:r>
          </w:p>
        </w:tc>
        <w:tc>
          <w:tcPr>
            <w:tcW w:w="1379" w:type="dxa"/>
            <w:tcBorders>
              <w:top w:val="nil"/>
              <w:left w:val="nil"/>
              <w:bottom w:val="single" w:sz="4" w:space="0" w:color="auto"/>
              <w:right w:val="single" w:sz="4" w:space="0" w:color="auto"/>
            </w:tcBorders>
            <w:shd w:val="clear" w:color="auto" w:fill="auto"/>
            <w:noWrap/>
            <w:vAlign w:val="center"/>
            <w:hideMark/>
          </w:tcPr>
          <w:p w14:paraId="2358D050" w14:textId="77777777" w:rsidR="00E52AC1" w:rsidRPr="003D6707" w:rsidRDefault="00E52AC1" w:rsidP="00E52AC1">
            <w:pPr>
              <w:spacing w:after="0" w:line="240" w:lineRule="auto"/>
              <w:jc w:val="center"/>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w:t>
            </w:r>
          </w:p>
        </w:tc>
        <w:tc>
          <w:tcPr>
            <w:tcW w:w="1100" w:type="dxa"/>
            <w:tcBorders>
              <w:top w:val="nil"/>
              <w:left w:val="nil"/>
              <w:bottom w:val="single" w:sz="4" w:space="0" w:color="auto"/>
              <w:right w:val="single" w:sz="4" w:space="0" w:color="auto"/>
            </w:tcBorders>
            <w:shd w:val="clear" w:color="auto" w:fill="auto"/>
            <w:noWrap/>
            <w:vAlign w:val="center"/>
            <w:hideMark/>
          </w:tcPr>
          <w:p w14:paraId="213C4F74"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751.53</w:t>
            </w:r>
          </w:p>
        </w:tc>
        <w:tc>
          <w:tcPr>
            <w:tcW w:w="1060" w:type="dxa"/>
            <w:tcBorders>
              <w:top w:val="nil"/>
              <w:left w:val="nil"/>
              <w:bottom w:val="single" w:sz="4" w:space="0" w:color="auto"/>
              <w:right w:val="single" w:sz="4" w:space="0" w:color="auto"/>
            </w:tcBorders>
            <w:shd w:val="clear" w:color="auto" w:fill="auto"/>
            <w:noWrap/>
            <w:vAlign w:val="center"/>
            <w:hideMark/>
          </w:tcPr>
          <w:p w14:paraId="21C0C61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228.42</w:t>
            </w:r>
          </w:p>
        </w:tc>
        <w:tc>
          <w:tcPr>
            <w:tcW w:w="1080" w:type="dxa"/>
            <w:tcBorders>
              <w:top w:val="nil"/>
              <w:left w:val="nil"/>
              <w:bottom w:val="single" w:sz="4" w:space="0" w:color="auto"/>
              <w:right w:val="single" w:sz="4" w:space="0" w:color="auto"/>
            </w:tcBorders>
            <w:shd w:val="clear" w:color="auto" w:fill="auto"/>
            <w:noWrap/>
            <w:vAlign w:val="center"/>
            <w:hideMark/>
          </w:tcPr>
          <w:p w14:paraId="7B7B6B7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8,587.85</w:t>
            </w:r>
          </w:p>
        </w:tc>
        <w:tc>
          <w:tcPr>
            <w:tcW w:w="1020" w:type="dxa"/>
            <w:tcBorders>
              <w:top w:val="nil"/>
              <w:left w:val="nil"/>
              <w:bottom w:val="single" w:sz="4" w:space="0" w:color="auto"/>
              <w:right w:val="single" w:sz="4" w:space="0" w:color="auto"/>
            </w:tcBorders>
            <w:shd w:val="clear" w:color="auto" w:fill="auto"/>
            <w:noWrap/>
            <w:vAlign w:val="center"/>
            <w:hideMark/>
          </w:tcPr>
          <w:p w14:paraId="48D6A6A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-5,260.53</w:t>
            </w:r>
          </w:p>
        </w:tc>
      </w:tr>
      <w:tr w:rsidR="00E52AC1" w:rsidRPr="003D6707" w14:paraId="3EEE4484" w14:textId="77777777" w:rsidTr="00E52AC1">
        <w:trPr>
          <w:trHeight w:val="288"/>
        </w:trPr>
        <w:tc>
          <w:tcPr>
            <w:tcW w:w="960" w:type="dxa"/>
            <w:tcBorders>
              <w:top w:val="nil"/>
              <w:left w:val="single" w:sz="4" w:space="0" w:color="auto"/>
              <w:bottom w:val="single" w:sz="4" w:space="0" w:color="auto"/>
              <w:right w:val="single" w:sz="4" w:space="0" w:color="auto"/>
            </w:tcBorders>
            <w:shd w:val="clear" w:color="000000" w:fill="E2EFDA"/>
            <w:noWrap/>
            <w:vAlign w:val="center"/>
            <w:hideMark/>
          </w:tcPr>
          <w:p w14:paraId="10D5EF05" w14:textId="77777777" w:rsidR="00E52AC1" w:rsidRPr="003D6707" w:rsidRDefault="00E52AC1" w:rsidP="00E52AC1">
            <w:pPr>
              <w:spacing w:after="0" w:line="240" w:lineRule="auto"/>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 </w:t>
            </w:r>
          </w:p>
        </w:tc>
        <w:tc>
          <w:tcPr>
            <w:tcW w:w="3288" w:type="dxa"/>
            <w:tcBorders>
              <w:top w:val="nil"/>
              <w:left w:val="nil"/>
              <w:bottom w:val="single" w:sz="4" w:space="0" w:color="auto"/>
              <w:right w:val="single" w:sz="4" w:space="0" w:color="auto"/>
            </w:tcBorders>
            <w:shd w:val="clear" w:color="000000" w:fill="E2EFDA"/>
            <w:vAlign w:val="center"/>
            <w:hideMark/>
          </w:tcPr>
          <w:p w14:paraId="7A3F3E7F" w14:textId="77777777" w:rsidR="00E52AC1" w:rsidRPr="003D6707" w:rsidRDefault="00E52AC1" w:rsidP="00E52AC1">
            <w:pPr>
              <w:spacing w:after="0" w:line="240" w:lineRule="auto"/>
              <w:rPr>
                <w:rFonts w:ascii="Calibri Light" w:eastAsia="Times New Roman" w:hAnsi="Calibri Light" w:cs="Calibri Light"/>
                <w:b/>
                <w:bCs/>
                <w:color w:val="000000"/>
                <w:sz w:val="14"/>
                <w:szCs w:val="14"/>
              </w:rPr>
            </w:pPr>
            <w:r w:rsidRPr="003D6707">
              <w:rPr>
                <w:rFonts w:ascii="Calibri Light" w:eastAsia="Times New Roman" w:hAnsi="Calibri Light" w:cs="Calibri Light"/>
                <w:b/>
                <w:bCs/>
                <w:color w:val="000000"/>
                <w:sz w:val="14"/>
                <w:szCs w:val="14"/>
              </w:rPr>
              <w:t>TOTAL PASIV (12=7+9+11) (12=5)</w:t>
            </w:r>
          </w:p>
        </w:tc>
        <w:tc>
          <w:tcPr>
            <w:tcW w:w="1000" w:type="dxa"/>
            <w:tcBorders>
              <w:top w:val="nil"/>
              <w:left w:val="nil"/>
              <w:bottom w:val="single" w:sz="4" w:space="0" w:color="auto"/>
              <w:right w:val="single" w:sz="4" w:space="0" w:color="auto"/>
            </w:tcBorders>
            <w:shd w:val="clear" w:color="000000" w:fill="E2EFDA"/>
            <w:noWrap/>
            <w:vAlign w:val="center"/>
            <w:hideMark/>
          </w:tcPr>
          <w:p w14:paraId="674D8A5E"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783,679.96</w:t>
            </w:r>
          </w:p>
        </w:tc>
        <w:tc>
          <w:tcPr>
            <w:tcW w:w="1000" w:type="dxa"/>
            <w:tcBorders>
              <w:top w:val="nil"/>
              <w:left w:val="nil"/>
              <w:bottom w:val="single" w:sz="4" w:space="0" w:color="auto"/>
              <w:right w:val="single" w:sz="4" w:space="0" w:color="auto"/>
            </w:tcBorders>
            <w:shd w:val="clear" w:color="000000" w:fill="E2EFDA"/>
            <w:noWrap/>
            <w:vAlign w:val="center"/>
            <w:hideMark/>
          </w:tcPr>
          <w:p w14:paraId="24C21849"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729,692.75</w:t>
            </w:r>
          </w:p>
        </w:tc>
        <w:tc>
          <w:tcPr>
            <w:tcW w:w="1000" w:type="dxa"/>
            <w:tcBorders>
              <w:top w:val="nil"/>
              <w:left w:val="nil"/>
              <w:bottom w:val="single" w:sz="4" w:space="0" w:color="auto"/>
              <w:right w:val="single" w:sz="4" w:space="0" w:color="auto"/>
            </w:tcBorders>
            <w:shd w:val="clear" w:color="000000" w:fill="E2EFDA"/>
            <w:noWrap/>
            <w:vAlign w:val="center"/>
            <w:hideMark/>
          </w:tcPr>
          <w:p w14:paraId="452A5DB8"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736,968.15</w:t>
            </w:r>
          </w:p>
        </w:tc>
        <w:tc>
          <w:tcPr>
            <w:tcW w:w="1000" w:type="dxa"/>
            <w:tcBorders>
              <w:top w:val="nil"/>
              <w:left w:val="nil"/>
              <w:bottom w:val="single" w:sz="4" w:space="0" w:color="auto"/>
              <w:right w:val="single" w:sz="4" w:space="0" w:color="auto"/>
            </w:tcBorders>
            <w:shd w:val="clear" w:color="000000" w:fill="E2EFDA"/>
            <w:noWrap/>
            <w:vAlign w:val="center"/>
            <w:hideMark/>
          </w:tcPr>
          <w:p w14:paraId="055A3457"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736,214.66</w:t>
            </w:r>
          </w:p>
        </w:tc>
        <w:tc>
          <w:tcPr>
            <w:tcW w:w="1000" w:type="dxa"/>
            <w:tcBorders>
              <w:top w:val="nil"/>
              <w:left w:val="nil"/>
              <w:bottom w:val="single" w:sz="4" w:space="0" w:color="auto"/>
              <w:right w:val="single" w:sz="4" w:space="0" w:color="auto"/>
            </w:tcBorders>
            <w:shd w:val="clear" w:color="000000" w:fill="E2EFDA"/>
            <w:noWrap/>
            <w:vAlign w:val="center"/>
            <w:hideMark/>
          </w:tcPr>
          <w:p w14:paraId="70968E92"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577,935.31</w:t>
            </w:r>
          </w:p>
        </w:tc>
        <w:tc>
          <w:tcPr>
            <w:tcW w:w="1379" w:type="dxa"/>
            <w:tcBorders>
              <w:top w:val="nil"/>
              <w:left w:val="nil"/>
              <w:bottom w:val="single" w:sz="4" w:space="0" w:color="auto"/>
              <w:right w:val="single" w:sz="4" w:space="0" w:color="auto"/>
            </w:tcBorders>
            <w:shd w:val="clear" w:color="000000" w:fill="E2EFDA"/>
            <w:noWrap/>
            <w:vAlign w:val="center"/>
            <w:hideMark/>
          </w:tcPr>
          <w:p w14:paraId="5AE8743E" w14:textId="77777777" w:rsidR="00E52AC1" w:rsidRPr="003D6707" w:rsidRDefault="00E52AC1" w:rsidP="00E52AC1">
            <w:pPr>
              <w:spacing w:after="0" w:line="240" w:lineRule="auto"/>
              <w:jc w:val="center"/>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100%</w:t>
            </w:r>
          </w:p>
        </w:tc>
        <w:tc>
          <w:tcPr>
            <w:tcW w:w="1100" w:type="dxa"/>
            <w:tcBorders>
              <w:top w:val="nil"/>
              <w:left w:val="nil"/>
              <w:bottom w:val="single" w:sz="4" w:space="0" w:color="auto"/>
              <w:right w:val="single" w:sz="4" w:space="0" w:color="auto"/>
            </w:tcBorders>
            <w:shd w:val="clear" w:color="000000" w:fill="E2EFDA"/>
            <w:noWrap/>
            <w:vAlign w:val="center"/>
            <w:hideMark/>
          </w:tcPr>
          <w:p w14:paraId="22C05C7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-53,987.21</w:t>
            </w:r>
          </w:p>
        </w:tc>
        <w:tc>
          <w:tcPr>
            <w:tcW w:w="1060" w:type="dxa"/>
            <w:tcBorders>
              <w:top w:val="nil"/>
              <w:left w:val="nil"/>
              <w:bottom w:val="single" w:sz="4" w:space="0" w:color="auto"/>
              <w:right w:val="single" w:sz="4" w:space="0" w:color="auto"/>
            </w:tcBorders>
            <w:shd w:val="clear" w:color="000000" w:fill="E2EFDA"/>
            <w:noWrap/>
            <w:vAlign w:val="center"/>
            <w:hideMark/>
          </w:tcPr>
          <w:p w14:paraId="48A746C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7,275.41</w:t>
            </w:r>
          </w:p>
        </w:tc>
        <w:tc>
          <w:tcPr>
            <w:tcW w:w="1080" w:type="dxa"/>
            <w:tcBorders>
              <w:top w:val="nil"/>
              <w:left w:val="nil"/>
              <w:bottom w:val="single" w:sz="4" w:space="0" w:color="auto"/>
              <w:right w:val="single" w:sz="4" w:space="0" w:color="auto"/>
            </w:tcBorders>
            <w:shd w:val="clear" w:color="000000" w:fill="E2EFDA"/>
            <w:noWrap/>
            <w:vAlign w:val="center"/>
            <w:hideMark/>
          </w:tcPr>
          <w:p w14:paraId="5453E19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-753.49</w:t>
            </w:r>
          </w:p>
        </w:tc>
        <w:tc>
          <w:tcPr>
            <w:tcW w:w="1020" w:type="dxa"/>
            <w:tcBorders>
              <w:top w:val="nil"/>
              <w:left w:val="nil"/>
              <w:bottom w:val="single" w:sz="4" w:space="0" w:color="auto"/>
              <w:right w:val="single" w:sz="4" w:space="0" w:color="auto"/>
            </w:tcBorders>
            <w:shd w:val="clear" w:color="000000" w:fill="E2EFDA"/>
            <w:noWrap/>
            <w:vAlign w:val="center"/>
            <w:hideMark/>
          </w:tcPr>
          <w:p w14:paraId="310243C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-158,279.36</w:t>
            </w:r>
          </w:p>
        </w:tc>
      </w:tr>
      <w:tr w:rsidR="00E52AC1" w:rsidRPr="003D6707" w14:paraId="3CC45F4D"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C74A07"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8</w:t>
            </w:r>
          </w:p>
        </w:tc>
        <w:tc>
          <w:tcPr>
            <w:tcW w:w="3288" w:type="dxa"/>
            <w:tcBorders>
              <w:top w:val="nil"/>
              <w:left w:val="nil"/>
              <w:bottom w:val="single" w:sz="4" w:space="0" w:color="auto"/>
              <w:right w:val="single" w:sz="4" w:space="0" w:color="auto"/>
            </w:tcBorders>
            <w:shd w:val="clear" w:color="auto" w:fill="auto"/>
            <w:vAlign w:val="center"/>
            <w:hideMark/>
          </w:tcPr>
          <w:p w14:paraId="596FD2B9" w14:textId="77777777" w:rsidR="00E52AC1" w:rsidRPr="003D6707" w:rsidRDefault="00E52AC1" w:rsidP="00E52AC1">
            <w:pPr>
              <w:spacing w:after="0" w:line="240" w:lineRule="auto"/>
              <w:rPr>
                <w:rFonts w:ascii="Calibri Light" w:eastAsia="Times New Roman" w:hAnsi="Calibri Light" w:cs="Calibri Light"/>
                <w:b/>
                <w:bCs/>
                <w:color w:val="000000"/>
                <w:sz w:val="14"/>
                <w:szCs w:val="14"/>
              </w:rPr>
            </w:pPr>
            <w:r w:rsidRPr="003D6707">
              <w:rPr>
                <w:rFonts w:ascii="Calibri Light" w:eastAsia="Times New Roman" w:hAnsi="Calibri Light" w:cs="Calibri Light"/>
                <w:b/>
                <w:bCs/>
                <w:color w:val="000000"/>
                <w:sz w:val="14"/>
                <w:szCs w:val="14"/>
              </w:rPr>
              <w:t>CONTURI EXTRABILANȚIERE</w:t>
            </w:r>
          </w:p>
        </w:tc>
        <w:tc>
          <w:tcPr>
            <w:tcW w:w="1000" w:type="dxa"/>
            <w:tcBorders>
              <w:top w:val="nil"/>
              <w:left w:val="nil"/>
              <w:bottom w:val="single" w:sz="4" w:space="0" w:color="auto"/>
              <w:right w:val="single" w:sz="4" w:space="0" w:color="auto"/>
            </w:tcBorders>
            <w:shd w:val="clear" w:color="auto" w:fill="auto"/>
            <w:noWrap/>
            <w:vAlign w:val="center"/>
            <w:hideMark/>
          </w:tcPr>
          <w:p w14:paraId="31F3D76D"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2,338.99</w:t>
            </w:r>
          </w:p>
        </w:tc>
        <w:tc>
          <w:tcPr>
            <w:tcW w:w="1000" w:type="dxa"/>
            <w:tcBorders>
              <w:top w:val="nil"/>
              <w:left w:val="nil"/>
              <w:bottom w:val="single" w:sz="4" w:space="0" w:color="auto"/>
              <w:right w:val="single" w:sz="4" w:space="0" w:color="auto"/>
            </w:tcBorders>
            <w:shd w:val="clear" w:color="auto" w:fill="auto"/>
            <w:noWrap/>
            <w:vAlign w:val="center"/>
            <w:hideMark/>
          </w:tcPr>
          <w:p w14:paraId="729C50BA"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2,321.50</w:t>
            </w:r>
          </w:p>
        </w:tc>
        <w:tc>
          <w:tcPr>
            <w:tcW w:w="1000" w:type="dxa"/>
            <w:tcBorders>
              <w:top w:val="nil"/>
              <w:left w:val="nil"/>
              <w:bottom w:val="single" w:sz="4" w:space="0" w:color="auto"/>
              <w:right w:val="single" w:sz="4" w:space="0" w:color="auto"/>
            </w:tcBorders>
            <w:shd w:val="clear" w:color="auto" w:fill="auto"/>
            <w:noWrap/>
            <w:vAlign w:val="center"/>
            <w:hideMark/>
          </w:tcPr>
          <w:p w14:paraId="71D1F17E"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2,391.68</w:t>
            </w:r>
          </w:p>
        </w:tc>
        <w:tc>
          <w:tcPr>
            <w:tcW w:w="1000" w:type="dxa"/>
            <w:tcBorders>
              <w:top w:val="nil"/>
              <w:left w:val="nil"/>
              <w:bottom w:val="single" w:sz="4" w:space="0" w:color="auto"/>
              <w:right w:val="single" w:sz="4" w:space="0" w:color="auto"/>
            </w:tcBorders>
            <w:shd w:val="clear" w:color="auto" w:fill="auto"/>
            <w:noWrap/>
            <w:vAlign w:val="center"/>
            <w:hideMark/>
          </w:tcPr>
          <w:p w14:paraId="1E2A6DC7"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2,413.28</w:t>
            </w:r>
          </w:p>
        </w:tc>
        <w:tc>
          <w:tcPr>
            <w:tcW w:w="1000" w:type="dxa"/>
            <w:tcBorders>
              <w:top w:val="nil"/>
              <w:left w:val="nil"/>
              <w:bottom w:val="single" w:sz="4" w:space="0" w:color="auto"/>
              <w:right w:val="single" w:sz="4" w:space="0" w:color="auto"/>
            </w:tcBorders>
            <w:shd w:val="clear" w:color="auto" w:fill="auto"/>
            <w:noWrap/>
            <w:vAlign w:val="center"/>
            <w:hideMark/>
          </w:tcPr>
          <w:p w14:paraId="5CC240A3"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2,282.61</w:t>
            </w:r>
          </w:p>
        </w:tc>
        <w:tc>
          <w:tcPr>
            <w:tcW w:w="1379" w:type="dxa"/>
            <w:tcBorders>
              <w:top w:val="nil"/>
              <w:left w:val="nil"/>
              <w:bottom w:val="single" w:sz="4" w:space="0" w:color="auto"/>
              <w:right w:val="single" w:sz="4" w:space="0" w:color="auto"/>
            </w:tcBorders>
            <w:shd w:val="clear" w:color="auto" w:fill="auto"/>
            <w:noWrap/>
            <w:vAlign w:val="center"/>
            <w:hideMark/>
          </w:tcPr>
          <w:p w14:paraId="233682C9" w14:textId="77777777" w:rsidR="00E52AC1" w:rsidRPr="003D6707" w:rsidRDefault="00E52AC1" w:rsidP="00E52AC1">
            <w:pPr>
              <w:spacing w:after="0" w:line="240" w:lineRule="auto"/>
              <w:jc w:val="center"/>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14:paraId="7D441D2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-17.48</w:t>
            </w:r>
          </w:p>
        </w:tc>
        <w:tc>
          <w:tcPr>
            <w:tcW w:w="1060" w:type="dxa"/>
            <w:tcBorders>
              <w:top w:val="nil"/>
              <w:left w:val="nil"/>
              <w:bottom w:val="single" w:sz="4" w:space="0" w:color="auto"/>
              <w:right w:val="single" w:sz="4" w:space="0" w:color="auto"/>
            </w:tcBorders>
            <w:shd w:val="clear" w:color="auto" w:fill="auto"/>
            <w:noWrap/>
            <w:vAlign w:val="center"/>
            <w:hideMark/>
          </w:tcPr>
          <w:p w14:paraId="391E591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70.18</w:t>
            </w:r>
          </w:p>
        </w:tc>
        <w:tc>
          <w:tcPr>
            <w:tcW w:w="1080" w:type="dxa"/>
            <w:tcBorders>
              <w:top w:val="nil"/>
              <w:left w:val="nil"/>
              <w:bottom w:val="single" w:sz="4" w:space="0" w:color="auto"/>
              <w:right w:val="single" w:sz="4" w:space="0" w:color="auto"/>
            </w:tcBorders>
            <w:shd w:val="clear" w:color="auto" w:fill="auto"/>
            <w:noWrap/>
            <w:vAlign w:val="center"/>
            <w:hideMark/>
          </w:tcPr>
          <w:p w14:paraId="5C4CF35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21.60</w:t>
            </w:r>
          </w:p>
        </w:tc>
        <w:tc>
          <w:tcPr>
            <w:tcW w:w="1020" w:type="dxa"/>
            <w:tcBorders>
              <w:top w:val="nil"/>
              <w:left w:val="nil"/>
              <w:bottom w:val="single" w:sz="4" w:space="0" w:color="auto"/>
              <w:right w:val="single" w:sz="4" w:space="0" w:color="auto"/>
            </w:tcBorders>
            <w:shd w:val="clear" w:color="auto" w:fill="auto"/>
            <w:noWrap/>
            <w:vAlign w:val="center"/>
            <w:hideMark/>
          </w:tcPr>
          <w:p w14:paraId="0F1F3F1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-130.67</w:t>
            </w:r>
          </w:p>
        </w:tc>
      </w:tr>
      <w:tr w:rsidR="00E52AC1" w:rsidRPr="003D6707" w14:paraId="3D275C9B"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88CFC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822100</w:t>
            </w:r>
          </w:p>
        </w:tc>
        <w:tc>
          <w:tcPr>
            <w:tcW w:w="3288" w:type="dxa"/>
            <w:tcBorders>
              <w:top w:val="nil"/>
              <w:left w:val="nil"/>
              <w:bottom w:val="single" w:sz="4" w:space="0" w:color="auto"/>
              <w:right w:val="single" w:sz="4" w:space="0" w:color="auto"/>
            </w:tcBorders>
            <w:shd w:val="clear" w:color="auto" w:fill="auto"/>
            <w:noWrap/>
            <w:vAlign w:val="center"/>
            <w:hideMark/>
          </w:tcPr>
          <w:p w14:paraId="1F9912F1" w14:textId="77777777" w:rsidR="00E52AC1" w:rsidRPr="003D6707" w:rsidRDefault="00E52AC1" w:rsidP="00E52AC1">
            <w:pPr>
              <w:spacing w:after="0" w:line="240" w:lineRule="auto"/>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Active luate în locațiune/arendă</w:t>
            </w:r>
          </w:p>
        </w:tc>
        <w:tc>
          <w:tcPr>
            <w:tcW w:w="1000" w:type="dxa"/>
            <w:tcBorders>
              <w:top w:val="nil"/>
              <w:left w:val="nil"/>
              <w:bottom w:val="single" w:sz="4" w:space="0" w:color="auto"/>
              <w:right w:val="single" w:sz="4" w:space="0" w:color="auto"/>
            </w:tcBorders>
            <w:shd w:val="clear" w:color="auto" w:fill="auto"/>
            <w:noWrap/>
            <w:vAlign w:val="center"/>
            <w:hideMark/>
          </w:tcPr>
          <w:p w14:paraId="4E7859C1" w14:textId="77777777" w:rsidR="00E52AC1" w:rsidRPr="003D6707" w:rsidRDefault="00E52AC1" w:rsidP="00E52AC1">
            <w:pPr>
              <w:spacing w:after="0" w:line="240" w:lineRule="auto"/>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 </w:t>
            </w:r>
          </w:p>
        </w:tc>
        <w:tc>
          <w:tcPr>
            <w:tcW w:w="1000" w:type="dxa"/>
            <w:tcBorders>
              <w:top w:val="nil"/>
              <w:left w:val="nil"/>
              <w:bottom w:val="nil"/>
              <w:right w:val="nil"/>
            </w:tcBorders>
            <w:shd w:val="clear" w:color="auto" w:fill="auto"/>
            <w:noWrap/>
            <w:vAlign w:val="bottom"/>
            <w:hideMark/>
          </w:tcPr>
          <w:p w14:paraId="7A180F69" w14:textId="77777777" w:rsidR="00E52AC1" w:rsidRPr="003D6707" w:rsidRDefault="00E52AC1" w:rsidP="00E52AC1">
            <w:pPr>
              <w:spacing w:after="0" w:line="240" w:lineRule="auto"/>
              <w:rPr>
                <w:rFonts w:ascii="Calibri Light" w:eastAsia="Times New Roman" w:hAnsi="Calibri Light" w:cs="Calibri Light"/>
                <w:color w:val="000000"/>
                <w:sz w:val="16"/>
                <w:szCs w:val="16"/>
              </w:rPr>
            </w:pP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814283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64.54</w:t>
            </w:r>
          </w:p>
        </w:tc>
        <w:tc>
          <w:tcPr>
            <w:tcW w:w="1000" w:type="dxa"/>
            <w:tcBorders>
              <w:top w:val="nil"/>
              <w:left w:val="nil"/>
              <w:bottom w:val="single" w:sz="4" w:space="0" w:color="auto"/>
              <w:right w:val="single" w:sz="4" w:space="0" w:color="auto"/>
            </w:tcBorders>
            <w:shd w:val="clear" w:color="auto" w:fill="auto"/>
            <w:noWrap/>
            <w:vAlign w:val="center"/>
            <w:hideMark/>
          </w:tcPr>
          <w:p w14:paraId="0858274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64.54</w:t>
            </w:r>
          </w:p>
        </w:tc>
        <w:tc>
          <w:tcPr>
            <w:tcW w:w="1000" w:type="dxa"/>
            <w:tcBorders>
              <w:top w:val="nil"/>
              <w:left w:val="nil"/>
              <w:bottom w:val="single" w:sz="4" w:space="0" w:color="auto"/>
              <w:right w:val="single" w:sz="4" w:space="0" w:color="auto"/>
            </w:tcBorders>
            <w:shd w:val="clear" w:color="auto" w:fill="auto"/>
            <w:noWrap/>
            <w:vAlign w:val="center"/>
            <w:hideMark/>
          </w:tcPr>
          <w:p w14:paraId="38E82324"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64.54</w:t>
            </w:r>
          </w:p>
        </w:tc>
        <w:tc>
          <w:tcPr>
            <w:tcW w:w="1379" w:type="dxa"/>
            <w:tcBorders>
              <w:top w:val="nil"/>
              <w:left w:val="nil"/>
              <w:bottom w:val="single" w:sz="4" w:space="0" w:color="auto"/>
              <w:right w:val="single" w:sz="4" w:space="0" w:color="auto"/>
            </w:tcBorders>
            <w:shd w:val="clear" w:color="auto" w:fill="auto"/>
            <w:noWrap/>
            <w:vAlign w:val="center"/>
            <w:hideMark/>
          </w:tcPr>
          <w:p w14:paraId="3C98ED13" w14:textId="77777777" w:rsidR="00E52AC1" w:rsidRPr="003D6707" w:rsidRDefault="00E52AC1" w:rsidP="00E52AC1">
            <w:pPr>
              <w:spacing w:after="0" w:line="240" w:lineRule="auto"/>
              <w:jc w:val="center"/>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14:paraId="51CBD94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145C524A"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64.54</w:t>
            </w:r>
          </w:p>
        </w:tc>
        <w:tc>
          <w:tcPr>
            <w:tcW w:w="1080" w:type="dxa"/>
            <w:tcBorders>
              <w:top w:val="nil"/>
              <w:left w:val="nil"/>
              <w:bottom w:val="single" w:sz="4" w:space="0" w:color="auto"/>
              <w:right w:val="single" w:sz="4" w:space="0" w:color="auto"/>
            </w:tcBorders>
            <w:shd w:val="clear" w:color="auto" w:fill="auto"/>
            <w:noWrap/>
            <w:vAlign w:val="center"/>
            <w:hideMark/>
          </w:tcPr>
          <w:p w14:paraId="34CDA944"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50E35B0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r>
      <w:tr w:rsidR="00E52AC1" w:rsidRPr="003D6707" w14:paraId="70ACC962"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1869F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822300</w:t>
            </w:r>
          </w:p>
        </w:tc>
        <w:tc>
          <w:tcPr>
            <w:tcW w:w="3288" w:type="dxa"/>
            <w:tcBorders>
              <w:top w:val="nil"/>
              <w:left w:val="nil"/>
              <w:bottom w:val="single" w:sz="4" w:space="0" w:color="auto"/>
              <w:right w:val="single" w:sz="4" w:space="0" w:color="auto"/>
            </w:tcBorders>
            <w:shd w:val="clear" w:color="auto" w:fill="auto"/>
            <w:noWrap/>
            <w:vAlign w:val="center"/>
            <w:hideMark/>
          </w:tcPr>
          <w:p w14:paraId="05A629C3" w14:textId="77777777" w:rsidR="00E52AC1" w:rsidRPr="003D6707" w:rsidRDefault="00E52AC1" w:rsidP="00E52AC1">
            <w:pPr>
              <w:spacing w:after="0" w:line="240" w:lineRule="auto"/>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Formulare de valori</w:t>
            </w:r>
          </w:p>
        </w:tc>
        <w:tc>
          <w:tcPr>
            <w:tcW w:w="1000" w:type="dxa"/>
            <w:tcBorders>
              <w:top w:val="nil"/>
              <w:left w:val="nil"/>
              <w:bottom w:val="single" w:sz="4" w:space="0" w:color="auto"/>
              <w:right w:val="single" w:sz="4" w:space="0" w:color="auto"/>
            </w:tcBorders>
            <w:shd w:val="clear" w:color="auto" w:fill="auto"/>
            <w:noWrap/>
            <w:vAlign w:val="center"/>
            <w:hideMark/>
          </w:tcPr>
          <w:p w14:paraId="529CC91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4.33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63DAB05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244.93</w:t>
            </w:r>
          </w:p>
        </w:tc>
        <w:tc>
          <w:tcPr>
            <w:tcW w:w="1000" w:type="dxa"/>
            <w:tcBorders>
              <w:top w:val="nil"/>
              <w:left w:val="nil"/>
              <w:bottom w:val="single" w:sz="4" w:space="0" w:color="auto"/>
              <w:right w:val="single" w:sz="4" w:space="0" w:color="auto"/>
            </w:tcBorders>
            <w:shd w:val="clear" w:color="auto" w:fill="auto"/>
            <w:noWrap/>
            <w:vAlign w:val="center"/>
            <w:hideMark/>
          </w:tcPr>
          <w:p w14:paraId="57AB327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258.07</w:t>
            </w:r>
          </w:p>
        </w:tc>
        <w:tc>
          <w:tcPr>
            <w:tcW w:w="1000" w:type="dxa"/>
            <w:tcBorders>
              <w:top w:val="nil"/>
              <w:left w:val="nil"/>
              <w:bottom w:val="single" w:sz="4" w:space="0" w:color="auto"/>
              <w:right w:val="single" w:sz="4" w:space="0" w:color="auto"/>
            </w:tcBorders>
            <w:shd w:val="clear" w:color="auto" w:fill="auto"/>
            <w:noWrap/>
            <w:vAlign w:val="center"/>
            <w:hideMark/>
          </w:tcPr>
          <w:p w14:paraId="5DBD23E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279.67</w:t>
            </w:r>
          </w:p>
        </w:tc>
        <w:tc>
          <w:tcPr>
            <w:tcW w:w="1000" w:type="dxa"/>
            <w:tcBorders>
              <w:top w:val="nil"/>
              <w:left w:val="nil"/>
              <w:bottom w:val="single" w:sz="4" w:space="0" w:color="auto"/>
              <w:right w:val="single" w:sz="4" w:space="0" w:color="auto"/>
            </w:tcBorders>
            <w:shd w:val="clear" w:color="auto" w:fill="auto"/>
            <w:noWrap/>
            <w:vAlign w:val="center"/>
            <w:hideMark/>
          </w:tcPr>
          <w:p w14:paraId="3C163E3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281.17</w:t>
            </w:r>
          </w:p>
        </w:tc>
        <w:tc>
          <w:tcPr>
            <w:tcW w:w="1379" w:type="dxa"/>
            <w:tcBorders>
              <w:top w:val="nil"/>
              <w:left w:val="nil"/>
              <w:bottom w:val="single" w:sz="4" w:space="0" w:color="auto"/>
              <w:right w:val="single" w:sz="4" w:space="0" w:color="auto"/>
            </w:tcBorders>
            <w:shd w:val="clear" w:color="auto" w:fill="auto"/>
            <w:noWrap/>
            <w:vAlign w:val="center"/>
            <w:hideMark/>
          </w:tcPr>
          <w:p w14:paraId="3C5E7949" w14:textId="77777777" w:rsidR="00E52AC1" w:rsidRPr="003D6707" w:rsidRDefault="00E52AC1" w:rsidP="00E52AC1">
            <w:pPr>
              <w:spacing w:after="0" w:line="240" w:lineRule="auto"/>
              <w:jc w:val="center"/>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14:paraId="0F5FB82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240.60</w:t>
            </w:r>
          </w:p>
        </w:tc>
        <w:tc>
          <w:tcPr>
            <w:tcW w:w="1060" w:type="dxa"/>
            <w:tcBorders>
              <w:top w:val="nil"/>
              <w:left w:val="nil"/>
              <w:bottom w:val="single" w:sz="4" w:space="0" w:color="auto"/>
              <w:right w:val="single" w:sz="4" w:space="0" w:color="auto"/>
            </w:tcBorders>
            <w:shd w:val="clear" w:color="auto" w:fill="auto"/>
            <w:noWrap/>
            <w:vAlign w:val="center"/>
            <w:hideMark/>
          </w:tcPr>
          <w:p w14:paraId="66290A8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13.14</w:t>
            </w:r>
          </w:p>
        </w:tc>
        <w:tc>
          <w:tcPr>
            <w:tcW w:w="1080" w:type="dxa"/>
            <w:tcBorders>
              <w:top w:val="nil"/>
              <w:left w:val="nil"/>
              <w:bottom w:val="single" w:sz="4" w:space="0" w:color="auto"/>
              <w:right w:val="single" w:sz="4" w:space="0" w:color="auto"/>
            </w:tcBorders>
            <w:shd w:val="clear" w:color="auto" w:fill="auto"/>
            <w:noWrap/>
            <w:vAlign w:val="center"/>
            <w:hideMark/>
          </w:tcPr>
          <w:p w14:paraId="4F85029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21.60</w:t>
            </w:r>
          </w:p>
        </w:tc>
        <w:tc>
          <w:tcPr>
            <w:tcW w:w="1020" w:type="dxa"/>
            <w:tcBorders>
              <w:top w:val="nil"/>
              <w:left w:val="nil"/>
              <w:bottom w:val="single" w:sz="4" w:space="0" w:color="auto"/>
              <w:right w:val="single" w:sz="4" w:space="0" w:color="auto"/>
            </w:tcBorders>
            <w:shd w:val="clear" w:color="auto" w:fill="auto"/>
            <w:noWrap/>
            <w:vAlign w:val="center"/>
            <w:hideMark/>
          </w:tcPr>
          <w:p w14:paraId="3CC1C4E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1.50</w:t>
            </w:r>
          </w:p>
        </w:tc>
      </w:tr>
      <w:tr w:rsidR="00E52AC1" w:rsidRPr="003D6707" w14:paraId="6A3DA319"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B6962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822900</w:t>
            </w:r>
          </w:p>
        </w:tc>
        <w:tc>
          <w:tcPr>
            <w:tcW w:w="3288" w:type="dxa"/>
            <w:tcBorders>
              <w:top w:val="nil"/>
              <w:left w:val="nil"/>
              <w:bottom w:val="single" w:sz="4" w:space="0" w:color="auto"/>
              <w:right w:val="single" w:sz="4" w:space="0" w:color="auto"/>
            </w:tcBorders>
            <w:shd w:val="clear" w:color="auto" w:fill="auto"/>
            <w:noWrap/>
            <w:vAlign w:val="center"/>
            <w:hideMark/>
          </w:tcPr>
          <w:p w14:paraId="0AAB698E" w14:textId="77777777" w:rsidR="00E52AC1" w:rsidRPr="003D6707" w:rsidRDefault="00E52AC1" w:rsidP="00E52AC1">
            <w:pPr>
              <w:spacing w:after="0" w:line="240" w:lineRule="auto"/>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Alte conturi extrabilanțiere</w:t>
            </w:r>
          </w:p>
        </w:tc>
        <w:tc>
          <w:tcPr>
            <w:tcW w:w="1000" w:type="dxa"/>
            <w:tcBorders>
              <w:top w:val="nil"/>
              <w:left w:val="nil"/>
              <w:bottom w:val="single" w:sz="4" w:space="0" w:color="auto"/>
              <w:right w:val="single" w:sz="4" w:space="0" w:color="auto"/>
            </w:tcBorders>
            <w:shd w:val="clear" w:color="auto" w:fill="auto"/>
            <w:noWrap/>
            <w:vAlign w:val="center"/>
            <w:hideMark/>
          </w:tcPr>
          <w:p w14:paraId="6CFD2B1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2,334.66</w:t>
            </w:r>
          </w:p>
        </w:tc>
        <w:tc>
          <w:tcPr>
            <w:tcW w:w="1000" w:type="dxa"/>
            <w:tcBorders>
              <w:top w:val="nil"/>
              <w:left w:val="nil"/>
              <w:bottom w:val="single" w:sz="4" w:space="0" w:color="auto"/>
              <w:right w:val="single" w:sz="4" w:space="0" w:color="auto"/>
            </w:tcBorders>
            <w:shd w:val="clear" w:color="auto" w:fill="auto"/>
            <w:noWrap/>
            <w:vAlign w:val="center"/>
            <w:hideMark/>
          </w:tcPr>
          <w:p w14:paraId="476A647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2,076.57</w:t>
            </w:r>
          </w:p>
        </w:tc>
        <w:tc>
          <w:tcPr>
            <w:tcW w:w="1000" w:type="dxa"/>
            <w:tcBorders>
              <w:top w:val="nil"/>
              <w:left w:val="nil"/>
              <w:bottom w:val="single" w:sz="4" w:space="0" w:color="auto"/>
              <w:right w:val="single" w:sz="4" w:space="0" w:color="auto"/>
            </w:tcBorders>
            <w:shd w:val="clear" w:color="auto" w:fill="auto"/>
            <w:noWrap/>
            <w:vAlign w:val="center"/>
            <w:hideMark/>
          </w:tcPr>
          <w:p w14:paraId="579D577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2,069.07</w:t>
            </w:r>
          </w:p>
        </w:tc>
        <w:tc>
          <w:tcPr>
            <w:tcW w:w="1000" w:type="dxa"/>
            <w:tcBorders>
              <w:top w:val="nil"/>
              <w:left w:val="nil"/>
              <w:bottom w:val="single" w:sz="4" w:space="0" w:color="auto"/>
              <w:right w:val="single" w:sz="4" w:space="0" w:color="auto"/>
            </w:tcBorders>
            <w:shd w:val="clear" w:color="auto" w:fill="auto"/>
            <w:noWrap/>
            <w:vAlign w:val="center"/>
            <w:hideMark/>
          </w:tcPr>
          <w:p w14:paraId="4A30499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2,069.07</w:t>
            </w:r>
          </w:p>
        </w:tc>
        <w:tc>
          <w:tcPr>
            <w:tcW w:w="1000" w:type="dxa"/>
            <w:tcBorders>
              <w:top w:val="nil"/>
              <w:left w:val="nil"/>
              <w:bottom w:val="single" w:sz="4" w:space="0" w:color="auto"/>
              <w:right w:val="single" w:sz="4" w:space="0" w:color="auto"/>
            </w:tcBorders>
            <w:shd w:val="clear" w:color="auto" w:fill="auto"/>
            <w:noWrap/>
            <w:vAlign w:val="center"/>
            <w:hideMark/>
          </w:tcPr>
          <w:p w14:paraId="398400E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1,936.90</w:t>
            </w:r>
          </w:p>
        </w:tc>
        <w:tc>
          <w:tcPr>
            <w:tcW w:w="1379" w:type="dxa"/>
            <w:tcBorders>
              <w:top w:val="nil"/>
              <w:left w:val="nil"/>
              <w:bottom w:val="single" w:sz="4" w:space="0" w:color="auto"/>
              <w:right w:val="single" w:sz="4" w:space="0" w:color="auto"/>
            </w:tcBorders>
            <w:shd w:val="clear" w:color="auto" w:fill="auto"/>
            <w:noWrap/>
            <w:vAlign w:val="center"/>
            <w:hideMark/>
          </w:tcPr>
          <w:p w14:paraId="18231F45" w14:textId="77777777" w:rsidR="00E52AC1" w:rsidRPr="003D6707" w:rsidRDefault="00E52AC1" w:rsidP="00E52AC1">
            <w:pPr>
              <w:spacing w:after="0" w:line="240" w:lineRule="auto"/>
              <w:jc w:val="center"/>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14:paraId="167357E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-258.08</w:t>
            </w:r>
          </w:p>
        </w:tc>
        <w:tc>
          <w:tcPr>
            <w:tcW w:w="1060" w:type="dxa"/>
            <w:tcBorders>
              <w:top w:val="nil"/>
              <w:left w:val="nil"/>
              <w:bottom w:val="single" w:sz="4" w:space="0" w:color="auto"/>
              <w:right w:val="single" w:sz="4" w:space="0" w:color="auto"/>
            </w:tcBorders>
            <w:shd w:val="clear" w:color="auto" w:fill="auto"/>
            <w:noWrap/>
            <w:vAlign w:val="center"/>
            <w:hideMark/>
          </w:tcPr>
          <w:p w14:paraId="61FF4D5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-7.50</w:t>
            </w:r>
          </w:p>
        </w:tc>
        <w:tc>
          <w:tcPr>
            <w:tcW w:w="1080" w:type="dxa"/>
            <w:tcBorders>
              <w:top w:val="nil"/>
              <w:left w:val="nil"/>
              <w:bottom w:val="single" w:sz="4" w:space="0" w:color="auto"/>
              <w:right w:val="single" w:sz="4" w:space="0" w:color="auto"/>
            </w:tcBorders>
            <w:shd w:val="clear" w:color="auto" w:fill="auto"/>
            <w:noWrap/>
            <w:vAlign w:val="center"/>
            <w:hideMark/>
          </w:tcPr>
          <w:p w14:paraId="1A4622E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0FB6934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-132.17</w:t>
            </w:r>
          </w:p>
        </w:tc>
      </w:tr>
    </w:tbl>
    <w:p w14:paraId="6A6B85EA" w14:textId="11EA2AFD" w:rsidR="009701EA" w:rsidRPr="00000D4A" w:rsidRDefault="009701EA" w:rsidP="009701EA">
      <w:pPr>
        <w:pStyle w:val="af0"/>
        <w:tabs>
          <w:tab w:val="left" w:pos="5869"/>
        </w:tabs>
        <w:spacing w:after="360" w:line="276" w:lineRule="auto"/>
        <w:rPr>
          <w:rFonts w:eastAsia="Times New Roman"/>
          <w:i/>
          <w:sz w:val="16"/>
          <w:szCs w:val="16"/>
          <w:lang w:eastAsia="ro-MD"/>
        </w:rPr>
      </w:pPr>
      <w:r w:rsidRPr="00000D4A">
        <w:rPr>
          <w:rFonts w:eastAsia="Times New Roman"/>
          <w:b/>
          <w:i/>
          <w:sz w:val="16"/>
          <w:szCs w:val="16"/>
          <w:lang w:eastAsia="ro-MD"/>
        </w:rPr>
        <w:t>Sursă:</w:t>
      </w:r>
      <w:r w:rsidRPr="00000D4A">
        <w:rPr>
          <w:rFonts w:eastAsia="Times New Roman"/>
          <w:i/>
          <w:sz w:val="16"/>
          <w:szCs w:val="16"/>
          <w:lang w:eastAsia="ro-MD"/>
        </w:rPr>
        <w:t xml:space="preserve"> Elabora</w:t>
      </w:r>
      <w:r>
        <w:rPr>
          <w:rFonts w:eastAsia="Times New Roman"/>
          <w:i/>
          <w:sz w:val="16"/>
          <w:szCs w:val="16"/>
          <w:lang w:eastAsia="ro-MD"/>
        </w:rPr>
        <w:t>tă în baza Balanțelor consolidate (Forma FD-041) pe anii 2018-2022 prezentate de CS</w:t>
      </w:r>
    </w:p>
    <w:p w14:paraId="4546A632" w14:textId="3DF1AF9B" w:rsidR="00E52AC1" w:rsidRPr="00DA73B7" w:rsidRDefault="00E52AC1" w:rsidP="00E52AC1">
      <w:pPr>
        <w:shd w:val="clear" w:color="auto" w:fill="FFFFFF"/>
        <w:tabs>
          <w:tab w:val="left" w:pos="0"/>
          <w:tab w:val="left" w:pos="450"/>
          <w:tab w:val="left" w:pos="990"/>
        </w:tabs>
        <w:spacing w:after="120" w:line="276" w:lineRule="auto"/>
        <w:ind w:right="11"/>
        <w:jc w:val="both"/>
        <w:rPr>
          <w:rFonts w:ascii="Times New Roman" w:eastAsia="Times New Roman" w:hAnsi="Times New Roman" w:cs="Times New Roman"/>
          <w:b/>
          <w:bCs/>
          <w:iCs/>
          <w:color w:val="0070C0"/>
          <w:sz w:val="24"/>
          <w:szCs w:val="24"/>
        </w:rPr>
      </w:pPr>
      <w:r>
        <w:rPr>
          <w:rFonts w:ascii="Times New Roman" w:eastAsia="Times New Roman" w:hAnsi="Times New Roman" w:cs="Times New Roman"/>
          <w:b/>
          <w:bCs/>
          <w:iCs/>
          <w:color w:val="0070C0"/>
          <w:sz w:val="24"/>
          <w:szCs w:val="24"/>
        </w:rPr>
        <w:t>Anexa nr. 4</w:t>
      </w:r>
      <w:r w:rsidRPr="00DA73B7">
        <w:rPr>
          <w:rFonts w:ascii="Times New Roman" w:eastAsia="Times New Roman" w:hAnsi="Times New Roman" w:cs="Times New Roman"/>
          <w:b/>
          <w:bCs/>
          <w:iCs/>
          <w:color w:val="0070C0"/>
          <w:sz w:val="24"/>
          <w:szCs w:val="24"/>
        </w:rPr>
        <w:t xml:space="preserve"> Datele privind numărul și valoarea</w:t>
      </w:r>
      <w:r w:rsidR="00BA69A9">
        <w:rPr>
          <w:rFonts w:ascii="Times New Roman" w:eastAsia="Times New Roman" w:hAnsi="Times New Roman" w:cs="Times New Roman"/>
          <w:b/>
          <w:bCs/>
          <w:iCs/>
          <w:color w:val="0070C0"/>
          <w:sz w:val="24"/>
          <w:szCs w:val="24"/>
        </w:rPr>
        <w:t xml:space="preserve"> </w:t>
      </w:r>
      <w:r w:rsidRPr="00DA73B7">
        <w:rPr>
          <w:rFonts w:ascii="Times New Roman" w:eastAsia="Times New Roman" w:hAnsi="Times New Roman" w:cs="Times New Roman"/>
          <w:b/>
          <w:bCs/>
          <w:iCs/>
          <w:color w:val="0070C0"/>
          <w:sz w:val="24"/>
          <w:szCs w:val="24"/>
        </w:rPr>
        <w:t xml:space="preserve">procedurilor de achiziții publice desfășurate de CS în anii 2018-2022 </w:t>
      </w:r>
    </w:p>
    <w:p w14:paraId="4262B118" w14:textId="77777777" w:rsidR="00E52AC1" w:rsidRDefault="00E52AC1" w:rsidP="00E52AC1">
      <w:pPr>
        <w:jc w:val="right"/>
        <w:rPr>
          <w:rFonts w:ascii="Times New Roman" w:hAnsi="Times New Roman" w:cs="Times New Roman"/>
          <w:sz w:val="24"/>
          <w:szCs w:val="24"/>
        </w:rPr>
      </w:pPr>
      <w:r>
        <w:rPr>
          <w:rFonts w:ascii="Times New Roman" w:hAnsi="Times New Roman" w:cs="Times New Roman"/>
          <w:sz w:val="24"/>
          <w:szCs w:val="24"/>
        </w:rPr>
        <w:t>Tabelul nr. 1</w:t>
      </w:r>
    </w:p>
    <w:tbl>
      <w:tblPr>
        <w:tblW w:w="15989" w:type="dxa"/>
        <w:tblInd w:w="-714" w:type="dxa"/>
        <w:tblLayout w:type="fixed"/>
        <w:tblLook w:val="04A0" w:firstRow="1" w:lastRow="0" w:firstColumn="1" w:lastColumn="0" w:noHBand="0" w:noVBand="1"/>
      </w:tblPr>
      <w:tblGrid>
        <w:gridCol w:w="851"/>
        <w:gridCol w:w="851"/>
        <w:gridCol w:w="1134"/>
        <w:gridCol w:w="850"/>
        <w:gridCol w:w="709"/>
        <w:gridCol w:w="567"/>
        <w:gridCol w:w="811"/>
        <w:gridCol w:w="606"/>
        <w:gridCol w:w="811"/>
        <w:gridCol w:w="10"/>
        <w:gridCol w:w="597"/>
        <w:gridCol w:w="812"/>
        <w:gridCol w:w="16"/>
        <w:gridCol w:w="589"/>
        <w:gridCol w:w="812"/>
        <w:gridCol w:w="19"/>
        <w:gridCol w:w="587"/>
        <w:gridCol w:w="812"/>
        <w:gridCol w:w="26"/>
        <w:gridCol w:w="657"/>
        <w:gridCol w:w="812"/>
        <w:gridCol w:w="41"/>
        <w:gridCol w:w="771"/>
        <w:gridCol w:w="812"/>
        <w:gridCol w:w="41"/>
        <w:gridCol w:w="691"/>
        <w:gridCol w:w="672"/>
        <w:gridCol w:w="22"/>
      </w:tblGrid>
      <w:tr w:rsidR="001078DB" w:rsidRPr="0050758F" w14:paraId="1657F3E4" w14:textId="77777777" w:rsidTr="001078DB">
        <w:trPr>
          <w:trHeight w:val="184"/>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DB2F56A" w14:textId="77777777" w:rsidR="001078DB" w:rsidRPr="00BD2C46" w:rsidRDefault="001078DB" w:rsidP="0050758F">
            <w:pPr>
              <w:spacing w:after="0" w:line="240" w:lineRule="auto"/>
              <w:jc w:val="center"/>
              <w:rPr>
                <w:rFonts w:ascii="Times New Roman" w:eastAsia="Times New Roman" w:hAnsi="Times New Roman" w:cs="Times New Roman"/>
                <w:b/>
                <w:bCs/>
                <w:color w:val="000000"/>
                <w:sz w:val="16"/>
                <w:szCs w:val="16"/>
              </w:rPr>
            </w:pPr>
            <w:r w:rsidRPr="00BD2C46">
              <w:rPr>
                <w:rFonts w:ascii="Times New Roman" w:eastAsia="Times New Roman" w:hAnsi="Times New Roman" w:cs="Times New Roman"/>
                <w:b/>
                <w:bCs/>
                <w:color w:val="000000"/>
                <w:sz w:val="16"/>
                <w:szCs w:val="16"/>
              </w:rPr>
              <w:t>Procedura de achiziție</w:t>
            </w:r>
          </w:p>
        </w:tc>
        <w:tc>
          <w:tcPr>
            <w:tcW w:w="851" w:type="dxa"/>
            <w:vMerge w:val="restart"/>
            <w:tcBorders>
              <w:top w:val="single" w:sz="4" w:space="0" w:color="auto"/>
              <w:left w:val="nil"/>
              <w:right w:val="single" w:sz="4" w:space="0" w:color="auto"/>
            </w:tcBorders>
            <w:vAlign w:val="center"/>
          </w:tcPr>
          <w:p w14:paraId="06F6809E" w14:textId="0684266A" w:rsidR="001078DB" w:rsidRPr="0050758F" w:rsidRDefault="001078DB" w:rsidP="0050758F">
            <w:pPr>
              <w:spacing w:after="0" w:line="240" w:lineRule="auto"/>
              <w:jc w:val="center"/>
              <w:rPr>
                <w:rFonts w:ascii="Times New Roman" w:eastAsia="Times New Roman" w:hAnsi="Times New Roman" w:cs="Times New Roman"/>
                <w:b/>
                <w:bCs/>
                <w:color w:val="000000"/>
                <w:sz w:val="16"/>
                <w:szCs w:val="16"/>
              </w:rPr>
            </w:pPr>
            <w:r w:rsidRPr="00E234E0">
              <w:rPr>
                <w:rFonts w:ascii="Times New Roman" w:eastAsia="Times New Roman" w:hAnsi="Times New Roman" w:cs="Times New Roman"/>
                <w:b/>
                <w:bCs/>
                <w:color w:val="000000"/>
                <w:sz w:val="16"/>
                <w:szCs w:val="16"/>
              </w:rPr>
              <w:t xml:space="preserve">Numărul contractelor de achiziții </w:t>
            </w:r>
          </w:p>
        </w:tc>
        <w:tc>
          <w:tcPr>
            <w:tcW w:w="1134" w:type="dxa"/>
            <w:vMerge w:val="restart"/>
            <w:tcBorders>
              <w:top w:val="single" w:sz="4" w:space="0" w:color="auto"/>
              <w:left w:val="single" w:sz="4" w:space="0" w:color="auto"/>
              <w:right w:val="single" w:sz="4" w:space="0" w:color="auto"/>
            </w:tcBorders>
            <w:vAlign w:val="center"/>
          </w:tcPr>
          <w:p w14:paraId="736F64F9" w14:textId="16C26A95" w:rsidR="001078DB" w:rsidRPr="0050758F" w:rsidRDefault="001078DB" w:rsidP="0050758F">
            <w:pPr>
              <w:spacing w:after="0" w:line="240" w:lineRule="auto"/>
              <w:jc w:val="center"/>
              <w:rPr>
                <w:rFonts w:ascii="Times New Roman" w:eastAsia="Times New Roman" w:hAnsi="Times New Roman" w:cs="Times New Roman"/>
                <w:b/>
                <w:bCs/>
                <w:color w:val="000000"/>
                <w:sz w:val="16"/>
                <w:szCs w:val="16"/>
              </w:rPr>
            </w:pPr>
            <w:r w:rsidRPr="00E234E0">
              <w:rPr>
                <w:rFonts w:ascii="Times New Roman" w:eastAsia="Times New Roman" w:hAnsi="Times New Roman" w:cs="Times New Roman"/>
                <w:b/>
                <w:bCs/>
                <w:color w:val="000000"/>
                <w:sz w:val="16"/>
                <w:szCs w:val="16"/>
              </w:rPr>
              <w:t xml:space="preserve">Valoare contractelor </w:t>
            </w:r>
            <w:r w:rsidRPr="00E234E0">
              <w:rPr>
                <w:rFonts w:ascii="Times New Roman" w:eastAsia="Times New Roman" w:hAnsi="Times New Roman" w:cs="Times New Roman"/>
                <w:b/>
                <w:bCs/>
                <w:color w:val="000000"/>
                <w:sz w:val="16"/>
                <w:szCs w:val="16"/>
              </w:rPr>
              <w:br/>
              <w:t>(mil. lei)</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63552776" w14:textId="68031A93" w:rsidR="001078DB" w:rsidRPr="00BD2C46" w:rsidRDefault="001078DB" w:rsidP="0050758F">
            <w:pPr>
              <w:spacing w:after="0" w:line="240" w:lineRule="auto"/>
              <w:jc w:val="center"/>
              <w:rPr>
                <w:rFonts w:ascii="Times New Roman" w:eastAsia="Times New Roman" w:hAnsi="Times New Roman" w:cs="Times New Roman"/>
                <w:b/>
                <w:bCs/>
                <w:color w:val="000000"/>
                <w:sz w:val="16"/>
                <w:szCs w:val="16"/>
              </w:rPr>
            </w:pPr>
            <w:r w:rsidRPr="00E234E0">
              <w:rPr>
                <w:rFonts w:ascii="Times New Roman" w:eastAsia="Times New Roman" w:hAnsi="Times New Roman" w:cs="Times New Roman"/>
                <w:b/>
                <w:bCs/>
                <w:color w:val="000000"/>
                <w:sz w:val="16"/>
                <w:szCs w:val="16"/>
              </w:rPr>
              <w:t>Ponderea în totalul achizițiilor</w:t>
            </w:r>
            <w:r w:rsidRPr="00E234E0">
              <w:rPr>
                <w:rFonts w:ascii="Times New Roman" w:eastAsia="Times New Roman" w:hAnsi="Times New Roman" w:cs="Times New Roman"/>
                <w:b/>
                <w:bCs/>
                <w:color w:val="000000"/>
                <w:sz w:val="16"/>
                <w:szCs w:val="16"/>
              </w:rPr>
              <w:br/>
              <w:t>%</w:t>
            </w:r>
          </w:p>
        </w:tc>
        <w:tc>
          <w:tcPr>
            <w:tcW w:w="1378"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57DD985" w14:textId="2C5210A4" w:rsidR="001078DB" w:rsidRPr="00BD2C46" w:rsidRDefault="001078DB" w:rsidP="0050758F">
            <w:pPr>
              <w:spacing w:after="0" w:line="240" w:lineRule="auto"/>
              <w:jc w:val="center"/>
              <w:rPr>
                <w:rFonts w:ascii="Times New Roman" w:eastAsia="Times New Roman" w:hAnsi="Times New Roman" w:cs="Times New Roman"/>
                <w:b/>
                <w:bCs/>
                <w:color w:val="000000"/>
                <w:sz w:val="16"/>
                <w:szCs w:val="16"/>
              </w:rPr>
            </w:pPr>
            <w:r w:rsidRPr="00BD2C46">
              <w:rPr>
                <w:rFonts w:ascii="Times New Roman" w:eastAsia="Times New Roman" w:hAnsi="Times New Roman" w:cs="Times New Roman"/>
                <w:b/>
                <w:bCs/>
                <w:color w:val="000000"/>
                <w:sz w:val="16"/>
                <w:szCs w:val="16"/>
              </w:rPr>
              <w:t>CS</w:t>
            </w:r>
          </w:p>
        </w:tc>
        <w:tc>
          <w:tcPr>
            <w:tcW w:w="1427" w:type="dxa"/>
            <w:gridSpan w:val="3"/>
            <w:tcBorders>
              <w:top w:val="single" w:sz="4" w:space="0" w:color="auto"/>
              <w:left w:val="nil"/>
              <w:bottom w:val="single" w:sz="4" w:space="0" w:color="auto"/>
              <w:right w:val="single" w:sz="4" w:space="0" w:color="auto"/>
            </w:tcBorders>
            <w:shd w:val="clear" w:color="auto" w:fill="auto"/>
            <w:hideMark/>
          </w:tcPr>
          <w:p w14:paraId="380EA061" w14:textId="77777777" w:rsidR="001078DB" w:rsidRPr="00BD2C46" w:rsidRDefault="001078DB" w:rsidP="0050758F">
            <w:pPr>
              <w:spacing w:after="0" w:line="240" w:lineRule="auto"/>
              <w:jc w:val="center"/>
              <w:rPr>
                <w:rFonts w:ascii="Times New Roman" w:eastAsia="Times New Roman" w:hAnsi="Times New Roman" w:cs="Times New Roman"/>
                <w:b/>
                <w:bCs/>
                <w:color w:val="000000"/>
                <w:sz w:val="16"/>
                <w:szCs w:val="16"/>
              </w:rPr>
            </w:pPr>
            <w:r w:rsidRPr="00BD2C46">
              <w:rPr>
                <w:rFonts w:ascii="Times New Roman" w:eastAsia="Times New Roman" w:hAnsi="Times New Roman" w:cs="Times New Roman"/>
                <w:b/>
                <w:bCs/>
                <w:color w:val="000000"/>
                <w:sz w:val="16"/>
                <w:szCs w:val="16"/>
              </w:rPr>
              <w:t>IP AGE</w:t>
            </w:r>
          </w:p>
        </w:tc>
        <w:tc>
          <w:tcPr>
            <w:tcW w:w="1425" w:type="dxa"/>
            <w:gridSpan w:val="3"/>
            <w:tcBorders>
              <w:top w:val="single" w:sz="4" w:space="0" w:color="auto"/>
              <w:left w:val="nil"/>
              <w:bottom w:val="single" w:sz="4" w:space="0" w:color="auto"/>
              <w:right w:val="single" w:sz="4" w:space="0" w:color="auto"/>
            </w:tcBorders>
            <w:shd w:val="clear" w:color="auto" w:fill="auto"/>
            <w:noWrap/>
            <w:hideMark/>
          </w:tcPr>
          <w:p w14:paraId="242B73A5" w14:textId="77777777" w:rsidR="001078DB" w:rsidRPr="00BD2C46" w:rsidRDefault="001078DB" w:rsidP="0050758F">
            <w:pPr>
              <w:spacing w:after="0" w:line="240" w:lineRule="auto"/>
              <w:jc w:val="center"/>
              <w:rPr>
                <w:rFonts w:ascii="Times New Roman" w:eastAsia="Times New Roman" w:hAnsi="Times New Roman" w:cs="Times New Roman"/>
                <w:b/>
                <w:bCs/>
                <w:color w:val="000000"/>
                <w:sz w:val="16"/>
                <w:szCs w:val="16"/>
              </w:rPr>
            </w:pPr>
            <w:r w:rsidRPr="00BD2C46">
              <w:rPr>
                <w:rFonts w:ascii="Times New Roman" w:eastAsia="Times New Roman" w:hAnsi="Times New Roman" w:cs="Times New Roman"/>
                <w:b/>
                <w:bCs/>
                <w:color w:val="000000"/>
                <w:sz w:val="16"/>
                <w:szCs w:val="16"/>
              </w:rPr>
              <w:t>IP ASP</w:t>
            </w:r>
          </w:p>
        </w:tc>
        <w:tc>
          <w:tcPr>
            <w:tcW w:w="1420" w:type="dxa"/>
            <w:gridSpan w:val="3"/>
            <w:tcBorders>
              <w:top w:val="single" w:sz="4" w:space="0" w:color="auto"/>
              <w:left w:val="nil"/>
              <w:bottom w:val="single" w:sz="4" w:space="0" w:color="auto"/>
              <w:right w:val="single" w:sz="4" w:space="0" w:color="auto"/>
            </w:tcBorders>
            <w:shd w:val="clear" w:color="auto" w:fill="auto"/>
            <w:noWrap/>
            <w:hideMark/>
          </w:tcPr>
          <w:p w14:paraId="32004294" w14:textId="77777777" w:rsidR="001078DB" w:rsidRPr="00BD2C46" w:rsidRDefault="001078DB" w:rsidP="0050758F">
            <w:pPr>
              <w:spacing w:after="0" w:line="240" w:lineRule="auto"/>
              <w:jc w:val="center"/>
              <w:rPr>
                <w:rFonts w:ascii="Times New Roman" w:eastAsia="Times New Roman" w:hAnsi="Times New Roman" w:cs="Times New Roman"/>
                <w:b/>
                <w:bCs/>
                <w:color w:val="000000"/>
                <w:sz w:val="16"/>
                <w:szCs w:val="16"/>
              </w:rPr>
            </w:pPr>
            <w:r w:rsidRPr="00BD2C46">
              <w:rPr>
                <w:rFonts w:ascii="Times New Roman" w:eastAsia="Times New Roman" w:hAnsi="Times New Roman" w:cs="Times New Roman"/>
                <w:b/>
                <w:bCs/>
                <w:color w:val="000000"/>
                <w:sz w:val="16"/>
                <w:szCs w:val="16"/>
              </w:rPr>
              <w:t>IP DGACG</w:t>
            </w:r>
          </w:p>
        </w:tc>
        <w:tc>
          <w:tcPr>
            <w:tcW w:w="1425" w:type="dxa"/>
            <w:gridSpan w:val="3"/>
            <w:tcBorders>
              <w:top w:val="single" w:sz="4" w:space="0" w:color="auto"/>
              <w:left w:val="nil"/>
              <w:bottom w:val="single" w:sz="4" w:space="0" w:color="auto"/>
              <w:right w:val="single" w:sz="4" w:space="0" w:color="auto"/>
            </w:tcBorders>
            <w:shd w:val="clear" w:color="auto" w:fill="auto"/>
            <w:noWrap/>
            <w:hideMark/>
          </w:tcPr>
          <w:p w14:paraId="4F07061A" w14:textId="77777777" w:rsidR="001078DB" w:rsidRPr="00BD2C46" w:rsidRDefault="001078DB" w:rsidP="0050758F">
            <w:pPr>
              <w:spacing w:after="0" w:line="240" w:lineRule="auto"/>
              <w:jc w:val="center"/>
              <w:rPr>
                <w:rFonts w:ascii="Times New Roman" w:eastAsia="Times New Roman" w:hAnsi="Times New Roman" w:cs="Times New Roman"/>
                <w:b/>
                <w:bCs/>
                <w:color w:val="000000"/>
                <w:sz w:val="16"/>
                <w:szCs w:val="16"/>
              </w:rPr>
            </w:pPr>
            <w:r w:rsidRPr="00BD2C46">
              <w:rPr>
                <w:rFonts w:ascii="Times New Roman" w:eastAsia="Times New Roman" w:hAnsi="Times New Roman" w:cs="Times New Roman"/>
                <w:b/>
                <w:bCs/>
                <w:color w:val="000000"/>
                <w:sz w:val="16"/>
                <w:szCs w:val="16"/>
              </w:rPr>
              <w:t>IP Pensiunea din Holercani</w:t>
            </w:r>
          </w:p>
        </w:tc>
        <w:tc>
          <w:tcPr>
            <w:tcW w:w="1510" w:type="dxa"/>
            <w:gridSpan w:val="3"/>
            <w:tcBorders>
              <w:top w:val="single" w:sz="4" w:space="0" w:color="auto"/>
              <w:left w:val="nil"/>
              <w:bottom w:val="single" w:sz="4" w:space="0" w:color="auto"/>
              <w:right w:val="single" w:sz="4" w:space="0" w:color="auto"/>
            </w:tcBorders>
            <w:shd w:val="clear" w:color="auto" w:fill="auto"/>
            <w:noWrap/>
            <w:hideMark/>
          </w:tcPr>
          <w:p w14:paraId="5B81E138" w14:textId="77777777" w:rsidR="001078DB" w:rsidRPr="00BD2C46" w:rsidRDefault="001078DB" w:rsidP="0050758F">
            <w:pPr>
              <w:spacing w:after="0" w:line="240" w:lineRule="auto"/>
              <w:jc w:val="center"/>
              <w:rPr>
                <w:rFonts w:ascii="Times New Roman" w:eastAsia="Times New Roman" w:hAnsi="Times New Roman" w:cs="Times New Roman"/>
                <w:b/>
                <w:bCs/>
                <w:color w:val="000000"/>
                <w:sz w:val="16"/>
                <w:szCs w:val="16"/>
              </w:rPr>
            </w:pPr>
            <w:r w:rsidRPr="00BD2C46">
              <w:rPr>
                <w:rFonts w:ascii="Times New Roman" w:eastAsia="Times New Roman" w:hAnsi="Times New Roman" w:cs="Times New Roman"/>
                <w:b/>
                <w:bCs/>
                <w:color w:val="000000"/>
                <w:sz w:val="16"/>
                <w:szCs w:val="16"/>
              </w:rPr>
              <w:t>IP STISC</w:t>
            </w:r>
          </w:p>
        </w:tc>
        <w:tc>
          <w:tcPr>
            <w:tcW w:w="1624" w:type="dxa"/>
            <w:gridSpan w:val="3"/>
            <w:tcBorders>
              <w:top w:val="single" w:sz="4" w:space="0" w:color="auto"/>
              <w:left w:val="nil"/>
              <w:bottom w:val="single" w:sz="4" w:space="0" w:color="auto"/>
              <w:right w:val="single" w:sz="4" w:space="0" w:color="auto"/>
            </w:tcBorders>
            <w:shd w:val="clear" w:color="auto" w:fill="auto"/>
            <w:noWrap/>
            <w:hideMark/>
          </w:tcPr>
          <w:p w14:paraId="20AA1004" w14:textId="77777777" w:rsidR="001078DB" w:rsidRPr="00BD2C46" w:rsidRDefault="001078DB" w:rsidP="0050758F">
            <w:pPr>
              <w:spacing w:after="0" w:line="240" w:lineRule="auto"/>
              <w:jc w:val="center"/>
              <w:rPr>
                <w:rFonts w:ascii="Times New Roman" w:eastAsia="Times New Roman" w:hAnsi="Times New Roman" w:cs="Times New Roman"/>
                <w:b/>
                <w:bCs/>
                <w:color w:val="000000"/>
                <w:sz w:val="16"/>
                <w:szCs w:val="16"/>
              </w:rPr>
            </w:pPr>
            <w:r w:rsidRPr="00BD2C46">
              <w:rPr>
                <w:rFonts w:ascii="Times New Roman" w:eastAsia="Times New Roman" w:hAnsi="Times New Roman" w:cs="Times New Roman"/>
                <w:b/>
                <w:bCs/>
                <w:color w:val="000000"/>
                <w:sz w:val="16"/>
                <w:szCs w:val="16"/>
              </w:rPr>
              <w:t>IP Baza auto a CS</w:t>
            </w:r>
          </w:p>
        </w:tc>
        <w:tc>
          <w:tcPr>
            <w:tcW w:w="1385" w:type="dxa"/>
            <w:gridSpan w:val="3"/>
            <w:tcBorders>
              <w:top w:val="single" w:sz="4" w:space="0" w:color="auto"/>
              <w:left w:val="nil"/>
              <w:bottom w:val="single" w:sz="4" w:space="0" w:color="auto"/>
              <w:right w:val="single" w:sz="4" w:space="0" w:color="auto"/>
            </w:tcBorders>
            <w:shd w:val="clear" w:color="auto" w:fill="auto"/>
            <w:noWrap/>
            <w:hideMark/>
          </w:tcPr>
          <w:p w14:paraId="0D447562" w14:textId="5A33D712" w:rsidR="001078DB" w:rsidRPr="00BD2C46" w:rsidRDefault="001078DB" w:rsidP="0050758F">
            <w:pPr>
              <w:spacing w:after="0" w:line="240" w:lineRule="auto"/>
              <w:rPr>
                <w:rFonts w:ascii="Times New Roman" w:eastAsia="Times New Roman" w:hAnsi="Times New Roman" w:cs="Times New Roman"/>
                <w:b/>
                <w:bCs/>
                <w:color w:val="000000"/>
                <w:sz w:val="16"/>
                <w:szCs w:val="16"/>
              </w:rPr>
            </w:pPr>
            <w:r w:rsidRPr="00BD2C46">
              <w:rPr>
                <w:rFonts w:ascii="Times New Roman" w:eastAsia="Times New Roman" w:hAnsi="Times New Roman" w:cs="Times New Roman"/>
                <w:b/>
                <w:bCs/>
                <w:color w:val="000000"/>
                <w:sz w:val="16"/>
                <w:szCs w:val="16"/>
              </w:rPr>
              <w:t>IP Platul Republicii</w:t>
            </w:r>
          </w:p>
        </w:tc>
      </w:tr>
      <w:tr w:rsidR="001078DB" w:rsidRPr="0050758F" w14:paraId="33DA7FED" w14:textId="77777777" w:rsidTr="001078DB">
        <w:trPr>
          <w:gridAfter w:val="1"/>
          <w:wAfter w:w="22" w:type="dxa"/>
          <w:trHeight w:val="245"/>
        </w:trPr>
        <w:tc>
          <w:tcPr>
            <w:tcW w:w="851" w:type="dxa"/>
            <w:vMerge/>
            <w:tcBorders>
              <w:top w:val="single" w:sz="4" w:space="0" w:color="auto"/>
              <w:left w:val="single" w:sz="4" w:space="0" w:color="auto"/>
              <w:bottom w:val="single" w:sz="4" w:space="0" w:color="auto"/>
              <w:right w:val="single" w:sz="4" w:space="0" w:color="auto"/>
            </w:tcBorders>
            <w:hideMark/>
          </w:tcPr>
          <w:p w14:paraId="473429A6" w14:textId="77777777" w:rsidR="001078DB" w:rsidRPr="00BD2C46" w:rsidRDefault="001078DB" w:rsidP="0050758F">
            <w:pPr>
              <w:spacing w:after="0" w:line="240" w:lineRule="auto"/>
              <w:rPr>
                <w:rFonts w:ascii="Times New Roman" w:eastAsia="Times New Roman" w:hAnsi="Times New Roman" w:cs="Times New Roman"/>
                <w:b/>
                <w:bCs/>
                <w:color w:val="000000"/>
                <w:sz w:val="16"/>
                <w:szCs w:val="16"/>
              </w:rPr>
            </w:pPr>
          </w:p>
        </w:tc>
        <w:tc>
          <w:tcPr>
            <w:tcW w:w="851" w:type="dxa"/>
            <w:vMerge/>
            <w:tcBorders>
              <w:left w:val="nil"/>
              <w:bottom w:val="single" w:sz="4" w:space="0" w:color="auto"/>
              <w:right w:val="single" w:sz="4" w:space="0" w:color="auto"/>
            </w:tcBorders>
          </w:tcPr>
          <w:p w14:paraId="5198C415" w14:textId="77777777" w:rsidR="001078DB" w:rsidRPr="0050758F" w:rsidRDefault="001078DB" w:rsidP="0050758F">
            <w:pPr>
              <w:spacing w:after="0" w:line="240" w:lineRule="auto"/>
              <w:ind w:right="-45"/>
              <w:rPr>
                <w:rFonts w:ascii="Times New Roman" w:eastAsia="Times New Roman" w:hAnsi="Times New Roman" w:cs="Times New Roman"/>
                <w:b/>
                <w:bCs/>
                <w:color w:val="000000"/>
                <w:sz w:val="16"/>
                <w:szCs w:val="16"/>
              </w:rPr>
            </w:pPr>
          </w:p>
        </w:tc>
        <w:tc>
          <w:tcPr>
            <w:tcW w:w="1134" w:type="dxa"/>
            <w:vMerge/>
            <w:tcBorders>
              <w:left w:val="single" w:sz="4" w:space="0" w:color="auto"/>
              <w:bottom w:val="single" w:sz="4" w:space="0" w:color="auto"/>
              <w:right w:val="single" w:sz="4" w:space="0" w:color="auto"/>
            </w:tcBorders>
          </w:tcPr>
          <w:p w14:paraId="6C2160F9" w14:textId="39B0E047" w:rsidR="001078DB" w:rsidRPr="0050758F" w:rsidRDefault="001078DB" w:rsidP="0050758F">
            <w:pPr>
              <w:spacing w:after="0" w:line="240" w:lineRule="auto"/>
              <w:ind w:right="-45"/>
              <w:rPr>
                <w:rFonts w:ascii="Times New Roman" w:eastAsia="Times New Roman" w:hAnsi="Times New Roman" w:cs="Times New Roman"/>
                <w:b/>
                <w:bCs/>
                <w:color w:val="000000"/>
                <w:sz w:val="16"/>
                <w:szCs w:val="16"/>
              </w:rPr>
            </w:pPr>
          </w:p>
        </w:tc>
        <w:tc>
          <w:tcPr>
            <w:tcW w:w="850" w:type="dxa"/>
            <w:tcBorders>
              <w:top w:val="single" w:sz="4" w:space="0" w:color="auto"/>
              <w:left w:val="single" w:sz="4" w:space="0" w:color="auto"/>
              <w:bottom w:val="single" w:sz="4" w:space="0" w:color="auto"/>
              <w:right w:val="single" w:sz="4" w:space="0" w:color="auto"/>
            </w:tcBorders>
          </w:tcPr>
          <w:p w14:paraId="51234C73" w14:textId="0218A199" w:rsidR="001078DB" w:rsidRPr="0050758F" w:rsidRDefault="00912D1B" w:rsidP="0050758F">
            <w:pPr>
              <w:spacing w:after="0" w:line="240" w:lineRule="auto"/>
              <w:ind w:right="-45"/>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Mil.lei</w:t>
            </w:r>
          </w:p>
        </w:tc>
        <w:tc>
          <w:tcPr>
            <w:tcW w:w="709" w:type="dxa"/>
            <w:tcBorders>
              <w:top w:val="single" w:sz="4" w:space="0" w:color="auto"/>
              <w:left w:val="single" w:sz="4" w:space="0" w:color="auto"/>
              <w:bottom w:val="single" w:sz="4" w:space="0" w:color="auto"/>
              <w:right w:val="single" w:sz="4" w:space="0" w:color="auto"/>
            </w:tcBorders>
          </w:tcPr>
          <w:p w14:paraId="755792EB" w14:textId="4F594726" w:rsidR="001078DB" w:rsidRPr="00BD2C46" w:rsidRDefault="00912D1B" w:rsidP="0050758F">
            <w:pPr>
              <w:spacing w:after="0" w:line="240" w:lineRule="auto"/>
              <w:ind w:right="-45"/>
              <w:rPr>
                <w:rFonts w:ascii="Times New Roman" w:eastAsia="Times New Roman" w:hAnsi="Times New Roman" w:cs="Times New Roman"/>
                <w:b/>
                <w:bCs/>
                <w:color w:val="000000"/>
                <w:sz w:val="14"/>
                <w:szCs w:val="14"/>
              </w:rPr>
            </w:pPr>
            <w:r>
              <w:rPr>
                <w:rFonts w:ascii="Times New Roman" w:eastAsia="Times New Roman" w:hAnsi="Times New Roman" w:cs="Times New Roman"/>
                <w:b/>
                <w:bCs/>
                <w:color w:val="000000"/>
                <w:sz w:val="14"/>
                <w:szCs w:val="14"/>
              </w:rPr>
              <w:t>Nr. de contracte</w:t>
            </w:r>
          </w:p>
        </w:tc>
        <w:tc>
          <w:tcPr>
            <w:tcW w:w="567" w:type="dxa"/>
            <w:tcBorders>
              <w:top w:val="nil"/>
              <w:left w:val="single" w:sz="4" w:space="0" w:color="auto"/>
              <w:bottom w:val="single" w:sz="4" w:space="0" w:color="auto"/>
              <w:right w:val="single" w:sz="4" w:space="0" w:color="auto"/>
            </w:tcBorders>
            <w:shd w:val="clear" w:color="auto" w:fill="auto"/>
            <w:hideMark/>
          </w:tcPr>
          <w:p w14:paraId="372EAB82" w14:textId="54D7C96F" w:rsidR="001078DB" w:rsidRPr="00BD2C46" w:rsidRDefault="001078DB" w:rsidP="0050758F">
            <w:pPr>
              <w:spacing w:after="0" w:line="240" w:lineRule="auto"/>
              <w:ind w:right="-45"/>
              <w:rPr>
                <w:rFonts w:ascii="Times New Roman" w:eastAsia="Times New Roman" w:hAnsi="Times New Roman" w:cs="Times New Roman"/>
                <w:b/>
                <w:bCs/>
                <w:color w:val="000000"/>
                <w:sz w:val="14"/>
                <w:szCs w:val="14"/>
              </w:rPr>
            </w:pPr>
            <w:r w:rsidRPr="00BD2C46">
              <w:rPr>
                <w:rFonts w:ascii="Times New Roman" w:eastAsia="Times New Roman" w:hAnsi="Times New Roman" w:cs="Times New Roman"/>
                <w:b/>
                <w:bCs/>
                <w:color w:val="000000"/>
                <w:sz w:val="14"/>
                <w:szCs w:val="14"/>
              </w:rPr>
              <w:t xml:space="preserve">nr. contracte </w:t>
            </w:r>
          </w:p>
        </w:tc>
        <w:tc>
          <w:tcPr>
            <w:tcW w:w="811" w:type="dxa"/>
            <w:tcBorders>
              <w:top w:val="nil"/>
              <w:left w:val="nil"/>
              <w:bottom w:val="single" w:sz="4" w:space="0" w:color="auto"/>
              <w:right w:val="single" w:sz="4" w:space="0" w:color="auto"/>
            </w:tcBorders>
            <w:shd w:val="clear" w:color="auto" w:fill="auto"/>
            <w:hideMark/>
          </w:tcPr>
          <w:p w14:paraId="14766AC7" w14:textId="4A1A5616" w:rsidR="001078DB" w:rsidRPr="00BD2C46" w:rsidRDefault="001078DB" w:rsidP="0050758F">
            <w:pPr>
              <w:spacing w:after="0" w:line="240" w:lineRule="auto"/>
              <w:ind w:right="-45"/>
              <w:rPr>
                <w:rFonts w:ascii="Times New Roman" w:eastAsia="Times New Roman" w:hAnsi="Times New Roman" w:cs="Times New Roman"/>
                <w:b/>
                <w:bCs/>
                <w:color w:val="000000"/>
                <w:sz w:val="14"/>
                <w:szCs w:val="14"/>
              </w:rPr>
            </w:pPr>
            <w:r w:rsidRPr="00BD2C46">
              <w:rPr>
                <w:rFonts w:ascii="Times New Roman" w:eastAsia="Times New Roman" w:hAnsi="Times New Roman" w:cs="Times New Roman"/>
                <w:b/>
                <w:bCs/>
                <w:color w:val="000000"/>
                <w:sz w:val="14"/>
                <w:szCs w:val="14"/>
              </w:rPr>
              <w:t>Valoare contracte</w:t>
            </w:r>
            <w:r w:rsidRPr="0050758F">
              <w:rPr>
                <w:rFonts w:ascii="Times New Roman" w:eastAsia="Times New Roman" w:hAnsi="Times New Roman" w:cs="Times New Roman"/>
                <w:b/>
                <w:bCs/>
                <w:color w:val="000000"/>
                <w:sz w:val="14"/>
                <w:szCs w:val="14"/>
              </w:rPr>
              <w:t xml:space="preserve"> (mil.lei)</w:t>
            </w:r>
          </w:p>
        </w:tc>
        <w:tc>
          <w:tcPr>
            <w:tcW w:w="606" w:type="dxa"/>
            <w:tcBorders>
              <w:top w:val="nil"/>
              <w:left w:val="nil"/>
              <w:bottom w:val="single" w:sz="4" w:space="0" w:color="auto"/>
              <w:right w:val="single" w:sz="4" w:space="0" w:color="auto"/>
            </w:tcBorders>
            <w:shd w:val="clear" w:color="auto" w:fill="auto"/>
            <w:hideMark/>
          </w:tcPr>
          <w:p w14:paraId="1DEB11E3" w14:textId="669A4712" w:rsidR="001078DB" w:rsidRPr="00BD2C46" w:rsidRDefault="001078DB" w:rsidP="0050758F">
            <w:pPr>
              <w:spacing w:after="0" w:line="240" w:lineRule="auto"/>
              <w:ind w:right="-45"/>
              <w:rPr>
                <w:rFonts w:ascii="Times New Roman" w:eastAsia="Times New Roman" w:hAnsi="Times New Roman" w:cs="Times New Roman"/>
                <w:b/>
                <w:bCs/>
                <w:color w:val="000000"/>
                <w:sz w:val="14"/>
                <w:szCs w:val="14"/>
              </w:rPr>
            </w:pPr>
            <w:r w:rsidRPr="00BD2C46">
              <w:rPr>
                <w:rFonts w:ascii="Times New Roman" w:eastAsia="Times New Roman" w:hAnsi="Times New Roman" w:cs="Times New Roman"/>
                <w:b/>
                <w:bCs/>
                <w:color w:val="000000"/>
                <w:sz w:val="14"/>
                <w:szCs w:val="14"/>
              </w:rPr>
              <w:t xml:space="preserve">nr. contracte </w:t>
            </w:r>
          </w:p>
        </w:tc>
        <w:tc>
          <w:tcPr>
            <w:tcW w:w="811" w:type="dxa"/>
            <w:tcBorders>
              <w:top w:val="nil"/>
              <w:left w:val="nil"/>
              <w:bottom w:val="single" w:sz="4" w:space="0" w:color="auto"/>
              <w:right w:val="single" w:sz="4" w:space="0" w:color="auto"/>
            </w:tcBorders>
            <w:shd w:val="clear" w:color="auto" w:fill="auto"/>
            <w:hideMark/>
          </w:tcPr>
          <w:p w14:paraId="5E19F0C7" w14:textId="32E9D2CB" w:rsidR="001078DB" w:rsidRPr="00BD2C46" w:rsidRDefault="001078DB" w:rsidP="0050758F">
            <w:pPr>
              <w:spacing w:after="0" w:line="240" w:lineRule="auto"/>
              <w:ind w:right="-45"/>
              <w:rPr>
                <w:rFonts w:ascii="Times New Roman" w:eastAsia="Times New Roman" w:hAnsi="Times New Roman" w:cs="Times New Roman"/>
                <w:b/>
                <w:bCs/>
                <w:color w:val="000000"/>
                <w:sz w:val="14"/>
                <w:szCs w:val="14"/>
              </w:rPr>
            </w:pPr>
            <w:r w:rsidRPr="00BD2C46">
              <w:rPr>
                <w:rFonts w:ascii="Times New Roman" w:eastAsia="Times New Roman" w:hAnsi="Times New Roman" w:cs="Times New Roman"/>
                <w:b/>
                <w:bCs/>
                <w:color w:val="000000"/>
                <w:sz w:val="14"/>
                <w:szCs w:val="14"/>
              </w:rPr>
              <w:t>Valoare contracte</w:t>
            </w:r>
            <w:r w:rsidRPr="0050758F">
              <w:rPr>
                <w:rFonts w:ascii="Times New Roman" w:eastAsia="Times New Roman" w:hAnsi="Times New Roman" w:cs="Times New Roman"/>
                <w:b/>
                <w:bCs/>
                <w:color w:val="000000"/>
                <w:sz w:val="14"/>
                <w:szCs w:val="14"/>
              </w:rPr>
              <w:t xml:space="preserve"> (mil.lei)</w:t>
            </w:r>
          </w:p>
        </w:tc>
        <w:tc>
          <w:tcPr>
            <w:tcW w:w="607" w:type="dxa"/>
            <w:gridSpan w:val="2"/>
            <w:tcBorders>
              <w:top w:val="nil"/>
              <w:left w:val="nil"/>
              <w:bottom w:val="single" w:sz="4" w:space="0" w:color="auto"/>
              <w:right w:val="single" w:sz="4" w:space="0" w:color="auto"/>
            </w:tcBorders>
            <w:shd w:val="clear" w:color="auto" w:fill="auto"/>
            <w:hideMark/>
          </w:tcPr>
          <w:p w14:paraId="2436EECB" w14:textId="295551BB" w:rsidR="001078DB" w:rsidRPr="00BD2C46" w:rsidRDefault="001078DB" w:rsidP="0050758F">
            <w:pPr>
              <w:spacing w:after="0" w:line="240" w:lineRule="auto"/>
              <w:ind w:right="-45"/>
              <w:rPr>
                <w:rFonts w:ascii="Times New Roman" w:eastAsia="Times New Roman" w:hAnsi="Times New Roman" w:cs="Times New Roman"/>
                <w:b/>
                <w:bCs/>
                <w:color w:val="000000"/>
                <w:sz w:val="14"/>
                <w:szCs w:val="14"/>
              </w:rPr>
            </w:pPr>
            <w:r w:rsidRPr="00BD2C46">
              <w:rPr>
                <w:rFonts w:ascii="Times New Roman" w:eastAsia="Times New Roman" w:hAnsi="Times New Roman" w:cs="Times New Roman"/>
                <w:b/>
                <w:bCs/>
                <w:color w:val="000000"/>
                <w:sz w:val="14"/>
                <w:szCs w:val="14"/>
              </w:rPr>
              <w:t xml:space="preserve">nr. contracte </w:t>
            </w:r>
          </w:p>
        </w:tc>
        <w:tc>
          <w:tcPr>
            <w:tcW w:w="812" w:type="dxa"/>
            <w:tcBorders>
              <w:top w:val="nil"/>
              <w:left w:val="nil"/>
              <w:bottom w:val="single" w:sz="4" w:space="0" w:color="auto"/>
              <w:right w:val="single" w:sz="4" w:space="0" w:color="auto"/>
            </w:tcBorders>
            <w:shd w:val="clear" w:color="auto" w:fill="auto"/>
            <w:hideMark/>
          </w:tcPr>
          <w:p w14:paraId="6A7395D2" w14:textId="69D8BA3F" w:rsidR="001078DB" w:rsidRPr="00BD2C46" w:rsidRDefault="001078DB" w:rsidP="0050758F">
            <w:pPr>
              <w:spacing w:after="0" w:line="240" w:lineRule="auto"/>
              <w:ind w:right="-45"/>
              <w:rPr>
                <w:rFonts w:ascii="Times New Roman" w:eastAsia="Times New Roman" w:hAnsi="Times New Roman" w:cs="Times New Roman"/>
                <w:b/>
                <w:bCs/>
                <w:color w:val="000000"/>
                <w:sz w:val="14"/>
                <w:szCs w:val="14"/>
              </w:rPr>
            </w:pPr>
            <w:r w:rsidRPr="00BD2C46">
              <w:rPr>
                <w:rFonts w:ascii="Times New Roman" w:eastAsia="Times New Roman" w:hAnsi="Times New Roman" w:cs="Times New Roman"/>
                <w:b/>
                <w:bCs/>
                <w:color w:val="000000"/>
                <w:sz w:val="14"/>
                <w:szCs w:val="14"/>
              </w:rPr>
              <w:t>Valoare contracte</w:t>
            </w:r>
            <w:r w:rsidRPr="0050758F">
              <w:rPr>
                <w:rFonts w:ascii="Times New Roman" w:eastAsia="Times New Roman" w:hAnsi="Times New Roman" w:cs="Times New Roman"/>
                <w:b/>
                <w:bCs/>
                <w:color w:val="000000"/>
                <w:sz w:val="14"/>
                <w:szCs w:val="14"/>
              </w:rPr>
              <w:t xml:space="preserve"> (mil.lei)</w:t>
            </w:r>
          </w:p>
        </w:tc>
        <w:tc>
          <w:tcPr>
            <w:tcW w:w="605" w:type="dxa"/>
            <w:gridSpan w:val="2"/>
            <w:tcBorders>
              <w:top w:val="nil"/>
              <w:left w:val="nil"/>
              <w:bottom w:val="single" w:sz="4" w:space="0" w:color="auto"/>
              <w:right w:val="single" w:sz="4" w:space="0" w:color="auto"/>
            </w:tcBorders>
            <w:shd w:val="clear" w:color="auto" w:fill="auto"/>
            <w:hideMark/>
          </w:tcPr>
          <w:p w14:paraId="6F477C57" w14:textId="26BEDA75" w:rsidR="001078DB" w:rsidRPr="00BD2C46" w:rsidRDefault="001078DB" w:rsidP="0050758F">
            <w:pPr>
              <w:spacing w:after="0" w:line="240" w:lineRule="auto"/>
              <w:ind w:right="-45"/>
              <w:rPr>
                <w:rFonts w:ascii="Times New Roman" w:eastAsia="Times New Roman" w:hAnsi="Times New Roman" w:cs="Times New Roman"/>
                <w:b/>
                <w:bCs/>
                <w:color w:val="000000"/>
                <w:sz w:val="14"/>
                <w:szCs w:val="14"/>
              </w:rPr>
            </w:pPr>
            <w:r w:rsidRPr="00BD2C46">
              <w:rPr>
                <w:rFonts w:ascii="Times New Roman" w:eastAsia="Times New Roman" w:hAnsi="Times New Roman" w:cs="Times New Roman"/>
                <w:b/>
                <w:bCs/>
                <w:color w:val="000000"/>
                <w:sz w:val="14"/>
                <w:szCs w:val="14"/>
              </w:rPr>
              <w:t xml:space="preserve">nr. contracte </w:t>
            </w:r>
          </w:p>
        </w:tc>
        <w:tc>
          <w:tcPr>
            <w:tcW w:w="812" w:type="dxa"/>
            <w:tcBorders>
              <w:top w:val="nil"/>
              <w:left w:val="nil"/>
              <w:bottom w:val="single" w:sz="4" w:space="0" w:color="auto"/>
              <w:right w:val="single" w:sz="4" w:space="0" w:color="auto"/>
            </w:tcBorders>
            <w:shd w:val="clear" w:color="auto" w:fill="auto"/>
            <w:hideMark/>
          </w:tcPr>
          <w:p w14:paraId="247A1AC1" w14:textId="6B4221C6" w:rsidR="001078DB" w:rsidRPr="00BD2C46" w:rsidRDefault="001078DB" w:rsidP="0050758F">
            <w:pPr>
              <w:spacing w:after="0" w:line="240" w:lineRule="auto"/>
              <w:ind w:right="-45"/>
              <w:rPr>
                <w:rFonts w:ascii="Times New Roman" w:eastAsia="Times New Roman" w:hAnsi="Times New Roman" w:cs="Times New Roman"/>
                <w:b/>
                <w:bCs/>
                <w:color w:val="000000"/>
                <w:sz w:val="14"/>
                <w:szCs w:val="14"/>
              </w:rPr>
            </w:pPr>
            <w:r w:rsidRPr="00BD2C46">
              <w:rPr>
                <w:rFonts w:ascii="Times New Roman" w:eastAsia="Times New Roman" w:hAnsi="Times New Roman" w:cs="Times New Roman"/>
                <w:b/>
                <w:bCs/>
                <w:color w:val="000000"/>
                <w:sz w:val="14"/>
                <w:szCs w:val="14"/>
              </w:rPr>
              <w:t>Valoare contracte</w:t>
            </w:r>
            <w:r w:rsidRPr="0050758F">
              <w:rPr>
                <w:rFonts w:ascii="Times New Roman" w:eastAsia="Times New Roman" w:hAnsi="Times New Roman" w:cs="Times New Roman"/>
                <w:b/>
                <w:bCs/>
                <w:color w:val="000000"/>
                <w:sz w:val="14"/>
                <w:szCs w:val="14"/>
              </w:rPr>
              <w:t xml:space="preserve"> (mil.lei)</w:t>
            </w:r>
          </w:p>
        </w:tc>
        <w:tc>
          <w:tcPr>
            <w:tcW w:w="606" w:type="dxa"/>
            <w:gridSpan w:val="2"/>
            <w:tcBorders>
              <w:top w:val="nil"/>
              <w:left w:val="nil"/>
              <w:bottom w:val="single" w:sz="4" w:space="0" w:color="auto"/>
              <w:right w:val="single" w:sz="4" w:space="0" w:color="auto"/>
            </w:tcBorders>
            <w:shd w:val="clear" w:color="auto" w:fill="auto"/>
            <w:hideMark/>
          </w:tcPr>
          <w:p w14:paraId="7B612F68" w14:textId="770A4A1B" w:rsidR="001078DB" w:rsidRPr="00BD2C46" w:rsidRDefault="001078DB" w:rsidP="0050758F">
            <w:pPr>
              <w:spacing w:after="0" w:line="240" w:lineRule="auto"/>
              <w:ind w:right="-45"/>
              <w:rPr>
                <w:rFonts w:ascii="Times New Roman" w:eastAsia="Times New Roman" w:hAnsi="Times New Roman" w:cs="Times New Roman"/>
                <w:b/>
                <w:bCs/>
                <w:color w:val="000000"/>
                <w:sz w:val="14"/>
                <w:szCs w:val="14"/>
              </w:rPr>
            </w:pPr>
            <w:r w:rsidRPr="00BD2C46">
              <w:rPr>
                <w:rFonts w:ascii="Times New Roman" w:eastAsia="Times New Roman" w:hAnsi="Times New Roman" w:cs="Times New Roman"/>
                <w:b/>
                <w:bCs/>
                <w:color w:val="000000"/>
                <w:sz w:val="14"/>
                <w:szCs w:val="14"/>
              </w:rPr>
              <w:t xml:space="preserve">nr. contracte </w:t>
            </w:r>
          </w:p>
        </w:tc>
        <w:tc>
          <w:tcPr>
            <w:tcW w:w="812" w:type="dxa"/>
            <w:tcBorders>
              <w:top w:val="nil"/>
              <w:left w:val="nil"/>
              <w:bottom w:val="single" w:sz="4" w:space="0" w:color="auto"/>
              <w:right w:val="single" w:sz="4" w:space="0" w:color="auto"/>
            </w:tcBorders>
            <w:shd w:val="clear" w:color="auto" w:fill="auto"/>
            <w:hideMark/>
          </w:tcPr>
          <w:p w14:paraId="5A64AC0E" w14:textId="3F40C974" w:rsidR="001078DB" w:rsidRPr="00BD2C46" w:rsidRDefault="001078DB" w:rsidP="0050758F">
            <w:pPr>
              <w:spacing w:after="0" w:line="240" w:lineRule="auto"/>
              <w:ind w:right="-45"/>
              <w:rPr>
                <w:rFonts w:ascii="Times New Roman" w:eastAsia="Times New Roman" w:hAnsi="Times New Roman" w:cs="Times New Roman"/>
                <w:b/>
                <w:bCs/>
                <w:color w:val="000000"/>
                <w:sz w:val="14"/>
                <w:szCs w:val="14"/>
              </w:rPr>
            </w:pPr>
            <w:r w:rsidRPr="00BD2C46">
              <w:rPr>
                <w:rFonts w:ascii="Times New Roman" w:eastAsia="Times New Roman" w:hAnsi="Times New Roman" w:cs="Times New Roman"/>
                <w:b/>
                <w:bCs/>
                <w:color w:val="000000"/>
                <w:sz w:val="14"/>
                <w:szCs w:val="14"/>
              </w:rPr>
              <w:t>Valoare contracte</w:t>
            </w:r>
            <w:r w:rsidRPr="0050758F">
              <w:rPr>
                <w:rFonts w:ascii="Times New Roman" w:eastAsia="Times New Roman" w:hAnsi="Times New Roman" w:cs="Times New Roman"/>
                <w:b/>
                <w:bCs/>
                <w:color w:val="000000"/>
                <w:sz w:val="14"/>
                <w:szCs w:val="14"/>
              </w:rPr>
              <w:t xml:space="preserve"> (mil.lei)</w:t>
            </w:r>
          </w:p>
        </w:tc>
        <w:tc>
          <w:tcPr>
            <w:tcW w:w="683" w:type="dxa"/>
            <w:gridSpan w:val="2"/>
            <w:tcBorders>
              <w:top w:val="nil"/>
              <w:left w:val="nil"/>
              <w:bottom w:val="single" w:sz="4" w:space="0" w:color="auto"/>
              <w:right w:val="single" w:sz="4" w:space="0" w:color="auto"/>
            </w:tcBorders>
            <w:shd w:val="clear" w:color="auto" w:fill="auto"/>
            <w:hideMark/>
          </w:tcPr>
          <w:p w14:paraId="632977EA" w14:textId="665558D0" w:rsidR="001078DB" w:rsidRPr="00BD2C46" w:rsidRDefault="001078DB" w:rsidP="0050758F">
            <w:pPr>
              <w:spacing w:after="0" w:line="240" w:lineRule="auto"/>
              <w:ind w:right="-45"/>
              <w:rPr>
                <w:rFonts w:ascii="Times New Roman" w:eastAsia="Times New Roman" w:hAnsi="Times New Roman" w:cs="Times New Roman"/>
                <w:b/>
                <w:bCs/>
                <w:color w:val="000000"/>
                <w:sz w:val="14"/>
                <w:szCs w:val="14"/>
              </w:rPr>
            </w:pPr>
            <w:r w:rsidRPr="00BD2C46">
              <w:rPr>
                <w:rFonts w:ascii="Times New Roman" w:eastAsia="Times New Roman" w:hAnsi="Times New Roman" w:cs="Times New Roman"/>
                <w:b/>
                <w:bCs/>
                <w:color w:val="000000"/>
                <w:sz w:val="14"/>
                <w:szCs w:val="14"/>
              </w:rPr>
              <w:t xml:space="preserve">nr. contracte </w:t>
            </w:r>
          </w:p>
        </w:tc>
        <w:tc>
          <w:tcPr>
            <w:tcW w:w="812" w:type="dxa"/>
            <w:tcBorders>
              <w:top w:val="nil"/>
              <w:left w:val="nil"/>
              <w:bottom w:val="single" w:sz="4" w:space="0" w:color="auto"/>
              <w:right w:val="single" w:sz="4" w:space="0" w:color="auto"/>
            </w:tcBorders>
            <w:shd w:val="clear" w:color="auto" w:fill="auto"/>
            <w:hideMark/>
          </w:tcPr>
          <w:p w14:paraId="48EA3C40" w14:textId="075078E5" w:rsidR="001078DB" w:rsidRPr="00BD2C46" w:rsidRDefault="001078DB" w:rsidP="0050758F">
            <w:pPr>
              <w:spacing w:after="0" w:line="240" w:lineRule="auto"/>
              <w:ind w:right="-45"/>
              <w:rPr>
                <w:rFonts w:ascii="Times New Roman" w:eastAsia="Times New Roman" w:hAnsi="Times New Roman" w:cs="Times New Roman"/>
                <w:b/>
                <w:bCs/>
                <w:color w:val="000000"/>
                <w:sz w:val="14"/>
                <w:szCs w:val="14"/>
              </w:rPr>
            </w:pPr>
            <w:r w:rsidRPr="00BD2C46">
              <w:rPr>
                <w:rFonts w:ascii="Times New Roman" w:eastAsia="Times New Roman" w:hAnsi="Times New Roman" w:cs="Times New Roman"/>
                <w:b/>
                <w:bCs/>
                <w:color w:val="000000"/>
                <w:sz w:val="14"/>
                <w:szCs w:val="14"/>
              </w:rPr>
              <w:t>Valoare contracte</w:t>
            </w:r>
            <w:r w:rsidRPr="0050758F">
              <w:rPr>
                <w:rFonts w:ascii="Times New Roman" w:eastAsia="Times New Roman" w:hAnsi="Times New Roman" w:cs="Times New Roman"/>
                <w:b/>
                <w:bCs/>
                <w:color w:val="000000"/>
                <w:sz w:val="14"/>
                <w:szCs w:val="14"/>
              </w:rPr>
              <w:t xml:space="preserve"> (mil.lei)</w:t>
            </w:r>
          </w:p>
        </w:tc>
        <w:tc>
          <w:tcPr>
            <w:tcW w:w="812" w:type="dxa"/>
            <w:gridSpan w:val="2"/>
            <w:tcBorders>
              <w:top w:val="nil"/>
              <w:left w:val="nil"/>
              <w:bottom w:val="single" w:sz="4" w:space="0" w:color="auto"/>
              <w:right w:val="single" w:sz="4" w:space="0" w:color="auto"/>
            </w:tcBorders>
            <w:shd w:val="clear" w:color="auto" w:fill="auto"/>
            <w:hideMark/>
          </w:tcPr>
          <w:p w14:paraId="5D1640D6" w14:textId="22E43174" w:rsidR="001078DB" w:rsidRPr="00BD2C46" w:rsidRDefault="001078DB" w:rsidP="0050758F">
            <w:pPr>
              <w:spacing w:after="0" w:line="240" w:lineRule="auto"/>
              <w:ind w:right="-45"/>
              <w:rPr>
                <w:rFonts w:ascii="Times New Roman" w:eastAsia="Times New Roman" w:hAnsi="Times New Roman" w:cs="Times New Roman"/>
                <w:b/>
                <w:bCs/>
                <w:color w:val="000000"/>
                <w:sz w:val="14"/>
                <w:szCs w:val="14"/>
              </w:rPr>
            </w:pPr>
            <w:r w:rsidRPr="00BD2C46">
              <w:rPr>
                <w:rFonts w:ascii="Times New Roman" w:eastAsia="Times New Roman" w:hAnsi="Times New Roman" w:cs="Times New Roman"/>
                <w:b/>
                <w:bCs/>
                <w:color w:val="000000"/>
                <w:sz w:val="14"/>
                <w:szCs w:val="14"/>
              </w:rPr>
              <w:t xml:space="preserve">nr. contracte </w:t>
            </w:r>
          </w:p>
        </w:tc>
        <w:tc>
          <w:tcPr>
            <w:tcW w:w="812" w:type="dxa"/>
            <w:tcBorders>
              <w:top w:val="nil"/>
              <w:left w:val="nil"/>
              <w:bottom w:val="single" w:sz="4" w:space="0" w:color="auto"/>
              <w:right w:val="single" w:sz="4" w:space="0" w:color="auto"/>
            </w:tcBorders>
            <w:shd w:val="clear" w:color="auto" w:fill="auto"/>
            <w:hideMark/>
          </w:tcPr>
          <w:p w14:paraId="39C22690" w14:textId="5A59441E" w:rsidR="001078DB" w:rsidRPr="00BD2C46" w:rsidRDefault="001078DB" w:rsidP="0050758F">
            <w:pPr>
              <w:spacing w:after="0" w:line="240" w:lineRule="auto"/>
              <w:ind w:right="-45"/>
              <w:rPr>
                <w:rFonts w:ascii="Times New Roman" w:eastAsia="Times New Roman" w:hAnsi="Times New Roman" w:cs="Times New Roman"/>
                <w:b/>
                <w:bCs/>
                <w:color w:val="000000"/>
                <w:sz w:val="14"/>
                <w:szCs w:val="14"/>
              </w:rPr>
            </w:pPr>
            <w:r w:rsidRPr="00BD2C46">
              <w:rPr>
                <w:rFonts w:ascii="Times New Roman" w:eastAsia="Times New Roman" w:hAnsi="Times New Roman" w:cs="Times New Roman"/>
                <w:b/>
                <w:bCs/>
                <w:color w:val="000000"/>
                <w:sz w:val="14"/>
                <w:szCs w:val="14"/>
              </w:rPr>
              <w:t>Valoare contracte</w:t>
            </w:r>
            <w:r w:rsidRPr="0050758F">
              <w:rPr>
                <w:rFonts w:ascii="Times New Roman" w:eastAsia="Times New Roman" w:hAnsi="Times New Roman" w:cs="Times New Roman"/>
                <w:b/>
                <w:bCs/>
                <w:color w:val="000000"/>
                <w:sz w:val="14"/>
                <w:szCs w:val="14"/>
              </w:rPr>
              <w:t xml:space="preserve"> (mil.lei)</w:t>
            </w:r>
          </w:p>
        </w:tc>
        <w:tc>
          <w:tcPr>
            <w:tcW w:w="732" w:type="dxa"/>
            <w:gridSpan w:val="2"/>
            <w:tcBorders>
              <w:top w:val="nil"/>
              <w:left w:val="nil"/>
              <w:bottom w:val="single" w:sz="4" w:space="0" w:color="auto"/>
              <w:right w:val="single" w:sz="4" w:space="0" w:color="auto"/>
            </w:tcBorders>
            <w:shd w:val="clear" w:color="auto" w:fill="auto"/>
            <w:hideMark/>
          </w:tcPr>
          <w:p w14:paraId="684E2D77" w14:textId="1A2ED989" w:rsidR="001078DB" w:rsidRPr="00BD2C46" w:rsidRDefault="001078DB" w:rsidP="0050758F">
            <w:pPr>
              <w:spacing w:after="0" w:line="240" w:lineRule="auto"/>
              <w:ind w:right="-45"/>
              <w:rPr>
                <w:rFonts w:ascii="Times New Roman" w:eastAsia="Times New Roman" w:hAnsi="Times New Roman" w:cs="Times New Roman"/>
                <w:b/>
                <w:bCs/>
                <w:color w:val="000000"/>
                <w:sz w:val="14"/>
                <w:szCs w:val="14"/>
              </w:rPr>
            </w:pPr>
            <w:r w:rsidRPr="00BD2C46">
              <w:rPr>
                <w:rFonts w:ascii="Times New Roman" w:eastAsia="Times New Roman" w:hAnsi="Times New Roman" w:cs="Times New Roman"/>
                <w:b/>
                <w:bCs/>
                <w:color w:val="000000"/>
                <w:sz w:val="14"/>
                <w:szCs w:val="14"/>
              </w:rPr>
              <w:t xml:space="preserve">nr. contracte </w:t>
            </w:r>
          </w:p>
        </w:tc>
        <w:tc>
          <w:tcPr>
            <w:tcW w:w="672" w:type="dxa"/>
            <w:tcBorders>
              <w:top w:val="nil"/>
              <w:left w:val="nil"/>
              <w:bottom w:val="single" w:sz="4" w:space="0" w:color="auto"/>
              <w:right w:val="single" w:sz="4" w:space="0" w:color="auto"/>
            </w:tcBorders>
            <w:shd w:val="clear" w:color="auto" w:fill="auto"/>
            <w:hideMark/>
          </w:tcPr>
          <w:p w14:paraId="1A330F31" w14:textId="7549201E" w:rsidR="001078DB" w:rsidRPr="00BD2C46" w:rsidRDefault="001078DB" w:rsidP="0050758F">
            <w:pPr>
              <w:spacing w:after="0" w:line="240" w:lineRule="auto"/>
              <w:ind w:right="-45"/>
              <w:rPr>
                <w:rFonts w:ascii="Times New Roman" w:eastAsia="Times New Roman" w:hAnsi="Times New Roman" w:cs="Times New Roman"/>
                <w:b/>
                <w:bCs/>
                <w:color w:val="000000"/>
                <w:sz w:val="14"/>
                <w:szCs w:val="14"/>
              </w:rPr>
            </w:pPr>
            <w:r w:rsidRPr="00BD2C46">
              <w:rPr>
                <w:rFonts w:ascii="Times New Roman" w:eastAsia="Times New Roman" w:hAnsi="Times New Roman" w:cs="Times New Roman"/>
                <w:b/>
                <w:bCs/>
                <w:color w:val="000000"/>
                <w:sz w:val="14"/>
                <w:szCs w:val="14"/>
              </w:rPr>
              <w:t>Valoare contracte</w:t>
            </w:r>
            <w:r w:rsidRPr="0050758F">
              <w:rPr>
                <w:rFonts w:ascii="Times New Roman" w:eastAsia="Times New Roman" w:hAnsi="Times New Roman" w:cs="Times New Roman"/>
                <w:b/>
                <w:bCs/>
                <w:color w:val="000000"/>
                <w:sz w:val="14"/>
                <w:szCs w:val="14"/>
              </w:rPr>
              <w:t xml:space="preserve"> (mil.lei)</w:t>
            </w:r>
          </w:p>
        </w:tc>
      </w:tr>
      <w:tr w:rsidR="001078DB" w:rsidRPr="0050758F" w14:paraId="4D4DA705" w14:textId="77777777" w:rsidTr="00E81BA9">
        <w:trPr>
          <w:gridAfter w:val="1"/>
          <w:wAfter w:w="22" w:type="dxa"/>
          <w:trHeight w:val="288"/>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606A789E" w14:textId="77777777" w:rsidR="001078DB" w:rsidRPr="00BD2C46" w:rsidRDefault="001078DB" w:rsidP="001078DB">
            <w:pPr>
              <w:spacing w:after="0" w:line="240" w:lineRule="auto"/>
              <w:rPr>
                <w:rFonts w:ascii="Times New Roman" w:eastAsia="Times New Roman" w:hAnsi="Times New Roman" w:cs="Times New Roman"/>
                <w:b/>
                <w:bCs/>
                <w:color w:val="000000"/>
                <w:sz w:val="16"/>
                <w:szCs w:val="16"/>
              </w:rPr>
            </w:pPr>
            <w:r w:rsidRPr="00BD2C46">
              <w:rPr>
                <w:rFonts w:ascii="Times New Roman" w:eastAsia="Times New Roman" w:hAnsi="Times New Roman" w:cs="Times New Roman"/>
                <w:b/>
                <w:bCs/>
                <w:color w:val="000000"/>
                <w:sz w:val="16"/>
                <w:szCs w:val="16"/>
              </w:rPr>
              <w:t>Licitație publică</w:t>
            </w:r>
          </w:p>
        </w:tc>
        <w:tc>
          <w:tcPr>
            <w:tcW w:w="851" w:type="dxa"/>
            <w:tcBorders>
              <w:top w:val="single" w:sz="4" w:space="0" w:color="auto"/>
              <w:left w:val="nil"/>
              <w:bottom w:val="single" w:sz="4" w:space="0" w:color="auto"/>
              <w:right w:val="single" w:sz="4" w:space="0" w:color="auto"/>
            </w:tcBorders>
            <w:vAlign w:val="center"/>
          </w:tcPr>
          <w:p w14:paraId="648E1E5A" w14:textId="019D9A31"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488</w:t>
            </w:r>
          </w:p>
        </w:tc>
        <w:tc>
          <w:tcPr>
            <w:tcW w:w="1134" w:type="dxa"/>
            <w:tcBorders>
              <w:top w:val="single" w:sz="4" w:space="0" w:color="auto"/>
              <w:left w:val="single" w:sz="4" w:space="0" w:color="auto"/>
              <w:bottom w:val="single" w:sz="4" w:space="0" w:color="auto"/>
              <w:right w:val="single" w:sz="4" w:space="0" w:color="auto"/>
            </w:tcBorders>
            <w:vAlign w:val="center"/>
          </w:tcPr>
          <w:p w14:paraId="1A1A667E" w14:textId="6FB966BE"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784.78</w:t>
            </w:r>
          </w:p>
        </w:tc>
        <w:tc>
          <w:tcPr>
            <w:tcW w:w="850" w:type="dxa"/>
            <w:tcBorders>
              <w:top w:val="single" w:sz="4" w:space="0" w:color="auto"/>
              <w:left w:val="single" w:sz="4" w:space="0" w:color="auto"/>
              <w:bottom w:val="single" w:sz="4" w:space="0" w:color="auto"/>
              <w:right w:val="single" w:sz="4" w:space="0" w:color="auto"/>
            </w:tcBorders>
            <w:vAlign w:val="center"/>
          </w:tcPr>
          <w:p w14:paraId="635653D4" w14:textId="41EE1FE4" w:rsidR="001078DB" w:rsidRPr="00B94FE5" w:rsidRDefault="00912D1B" w:rsidP="001078DB">
            <w:pPr>
              <w:spacing w:after="0" w:line="240" w:lineRule="auto"/>
              <w:jc w:val="right"/>
              <w:rPr>
                <w:rFonts w:ascii="Times New Roman" w:eastAsia="Times New Roman" w:hAnsi="Times New Roman" w:cs="Times New Roman"/>
                <w:i/>
                <w:color w:val="000000"/>
                <w:sz w:val="18"/>
                <w:szCs w:val="18"/>
              </w:rPr>
            </w:pPr>
            <w:r>
              <w:rPr>
                <w:rFonts w:ascii="Times New Roman" w:hAnsi="Times New Roman" w:cs="Times New Roman"/>
                <w:i/>
                <w:color w:val="000000"/>
                <w:sz w:val="18"/>
                <w:szCs w:val="18"/>
              </w:rPr>
              <w:t>67%</w:t>
            </w:r>
          </w:p>
        </w:tc>
        <w:tc>
          <w:tcPr>
            <w:tcW w:w="709" w:type="dxa"/>
            <w:tcBorders>
              <w:top w:val="single" w:sz="4" w:space="0" w:color="auto"/>
              <w:left w:val="single" w:sz="4" w:space="0" w:color="auto"/>
              <w:bottom w:val="single" w:sz="4" w:space="0" w:color="auto"/>
              <w:right w:val="single" w:sz="4" w:space="0" w:color="auto"/>
            </w:tcBorders>
            <w:vAlign w:val="bottom"/>
          </w:tcPr>
          <w:p w14:paraId="596B0103" w14:textId="6D6B3A4C" w:rsidR="001078DB" w:rsidRPr="001078DB" w:rsidRDefault="001078DB" w:rsidP="001078DB">
            <w:pPr>
              <w:spacing w:after="0" w:line="240" w:lineRule="auto"/>
              <w:jc w:val="right"/>
              <w:rPr>
                <w:rFonts w:ascii="Times New Roman" w:hAnsi="Times New Roman" w:cs="Times New Roman"/>
                <w:i/>
                <w:color w:val="000000"/>
                <w:sz w:val="18"/>
                <w:szCs w:val="18"/>
              </w:rPr>
            </w:pPr>
            <w:r w:rsidRPr="001078DB">
              <w:rPr>
                <w:rFonts w:ascii="Times New Roman" w:hAnsi="Times New Roman" w:cs="Times New Roman"/>
                <w:i/>
                <w:color w:val="000000"/>
                <w:sz w:val="18"/>
                <w:szCs w:val="18"/>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23736" w14:textId="3BAC3B48"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9</w:t>
            </w:r>
          </w:p>
        </w:tc>
        <w:tc>
          <w:tcPr>
            <w:tcW w:w="811" w:type="dxa"/>
            <w:tcBorders>
              <w:top w:val="nil"/>
              <w:left w:val="nil"/>
              <w:bottom w:val="single" w:sz="4" w:space="0" w:color="auto"/>
              <w:right w:val="single" w:sz="4" w:space="0" w:color="auto"/>
            </w:tcBorders>
            <w:shd w:val="clear" w:color="auto" w:fill="auto"/>
            <w:noWrap/>
            <w:vAlign w:val="bottom"/>
            <w:hideMark/>
          </w:tcPr>
          <w:p w14:paraId="3D2D0F73" w14:textId="6ADB231B"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12.10</w:t>
            </w:r>
          </w:p>
        </w:tc>
        <w:tc>
          <w:tcPr>
            <w:tcW w:w="606" w:type="dxa"/>
            <w:tcBorders>
              <w:top w:val="nil"/>
              <w:left w:val="nil"/>
              <w:bottom w:val="single" w:sz="4" w:space="0" w:color="auto"/>
              <w:right w:val="single" w:sz="4" w:space="0" w:color="auto"/>
            </w:tcBorders>
            <w:shd w:val="clear" w:color="auto" w:fill="auto"/>
            <w:noWrap/>
            <w:vAlign w:val="bottom"/>
            <w:hideMark/>
          </w:tcPr>
          <w:p w14:paraId="04B679EF" w14:textId="415139D7"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4</w:t>
            </w:r>
          </w:p>
        </w:tc>
        <w:tc>
          <w:tcPr>
            <w:tcW w:w="811" w:type="dxa"/>
            <w:tcBorders>
              <w:top w:val="nil"/>
              <w:left w:val="nil"/>
              <w:bottom w:val="single" w:sz="4" w:space="0" w:color="auto"/>
              <w:right w:val="single" w:sz="4" w:space="0" w:color="auto"/>
            </w:tcBorders>
            <w:shd w:val="clear" w:color="auto" w:fill="auto"/>
            <w:noWrap/>
            <w:vAlign w:val="bottom"/>
            <w:hideMark/>
          </w:tcPr>
          <w:p w14:paraId="6770806B" w14:textId="727AFD60"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3.60</w:t>
            </w:r>
          </w:p>
        </w:tc>
        <w:tc>
          <w:tcPr>
            <w:tcW w:w="607" w:type="dxa"/>
            <w:gridSpan w:val="2"/>
            <w:tcBorders>
              <w:top w:val="nil"/>
              <w:left w:val="nil"/>
              <w:bottom w:val="single" w:sz="4" w:space="0" w:color="auto"/>
              <w:right w:val="single" w:sz="4" w:space="0" w:color="auto"/>
            </w:tcBorders>
            <w:shd w:val="clear" w:color="auto" w:fill="auto"/>
            <w:noWrap/>
            <w:vAlign w:val="bottom"/>
            <w:hideMark/>
          </w:tcPr>
          <w:p w14:paraId="61FB645B" w14:textId="76173822"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300</w:t>
            </w:r>
          </w:p>
        </w:tc>
        <w:tc>
          <w:tcPr>
            <w:tcW w:w="812" w:type="dxa"/>
            <w:tcBorders>
              <w:top w:val="nil"/>
              <w:left w:val="nil"/>
              <w:bottom w:val="single" w:sz="4" w:space="0" w:color="auto"/>
              <w:right w:val="single" w:sz="4" w:space="0" w:color="auto"/>
            </w:tcBorders>
            <w:shd w:val="clear" w:color="auto" w:fill="auto"/>
            <w:noWrap/>
            <w:vAlign w:val="bottom"/>
            <w:hideMark/>
          </w:tcPr>
          <w:p w14:paraId="0445EEF3" w14:textId="4173B064"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481.50</w:t>
            </w:r>
          </w:p>
        </w:tc>
        <w:tc>
          <w:tcPr>
            <w:tcW w:w="605" w:type="dxa"/>
            <w:gridSpan w:val="2"/>
            <w:tcBorders>
              <w:top w:val="nil"/>
              <w:left w:val="nil"/>
              <w:bottom w:val="single" w:sz="4" w:space="0" w:color="auto"/>
              <w:right w:val="single" w:sz="4" w:space="0" w:color="auto"/>
            </w:tcBorders>
            <w:shd w:val="clear" w:color="auto" w:fill="auto"/>
            <w:noWrap/>
            <w:vAlign w:val="bottom"/>
            <w:hideMark/>
          </w:tcPr>
          <w:p w14:paraId="09EC855F" w14:textId="30800AE7"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34</w:t>
            </w:r>
          </w:p>
        </w:tc>
        <w:tc>
          <w:tcPr>
            <w:tcW w:w="812" w:type="dxa"/>
            <w:tcBorders>
              <w:top w:val="nil"/>
              <w:left w:val="nil"/>
              <w:bottom w:val="single" w:sz="4" w:space="0" w:color="auto"/>
              <w:right w:val="single" w:sz="4" w:space="0" w:color="auto"/>
            </w:tcBorders>
            <w:shd w:val="clear" w:color="auto" w:fill="auto"/>
            <w:noWrap/>
            <w:vAlign w:val="bottom"/>
            <w:hideMark/>
          </w:tcPr>
          <w:p w14:paraId="51C53D9D" w14:textId="14B7AA4C"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51.50</w:t>
            </w:r>
          </w:p>
        </w:tc>
        <w:tc>
          <w:tcPr>
            <w:tcW w:w="606" w:type="dxa"/>
            <w:gridSpan w:val="2"/>
            <w:tcBorders>
              <w:top w:val="nil"/>
              <w:left w:val="nil"/>
              <w:bottom w:val="single" w:sz="4" w:space="0" w:color="auto"/>
              <w:right w:val="single" w:sz="4" w:space="0" w:color="auto"/>
            </w:tcBorders>
            <w:shd w:val="clear" w:color="auto" w:fill="auto"/>
            <w:noWrap/>
            <w:vAlign w:val="bottom"/>
            <w:hideMark/>
          </w:tcPr>
          <w:p w14:paraId="16D9A168" w14:textId="37D73F57"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4</w:t>
            </w:r>
          </w:p>
        </w:tc>
        <w:tc>
          <w:tcPr>
            <w:tcW w:w="812" w:type="dxa"/>
            <w:tcBorders>
              <w:top w:val="nil"/>
              <w:left w:val="nil"/>
              <w:bottom w:val="single" w:sz="4" w:space="0" w:color="auto"/>
              <w:right w:val="single" w:sz="4" w:space="0" w:color="auto"/>
            </w:tcBorders>
            <w:shd w:val="clear" w:color="auto" w:fill="auto"/>
            <w:noWrap/>
            <w:vAlign w:val="bottom"/>
            <w:hideMark/>
          </w:tcPr>
          <w:p w14:paraId="3611BF70" w14:textId="0AF1F52A"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11.10</w:t>
            </w:r>
          </w:p>
        </w:tc>
        <w:tc>
          <w:tcPr>
            <w:tcW w:w="683" w:type="dxa"/>
            <w:gridSpan w:val="2"/>
            <w:tcBorders>
              <w:top w:val="nil"/>
              <w:left w:val="nil"/>
              <w:bottom w:val="single" w:sz="4" w:space="0" w:color="auto"/>
              <w:right w:val="single" w:sz="4" w:space="0" w:color="auto"/>
            </w:tcBorders>
            <w:shd w:val="clear" w:color="auto" w:fill="auto"/>
            <w:noWrap/>
            <w:vAlign w:val="bottom"/>
            <w:hideMark/>
          </w:tcPr>
          <w:p w14:paraId="61EA0F6A" w14:textId="457B798A"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102</w:t>
            </w:r>
          </w:p>
        </w:tc>
        <w:tc>
          <w:tcPr>
            <w:tcW w:w="812" w:type="dxa"/>
            <w:tcBorders>
              <w:top w:val="nil"/>
              <w:left w:val="nil"/>
              <w:bottom w:val="single" w:sz="4" w:space="0" w:color="auto"/>
              <w:right w:val="single" w:sz="4" w:space="0" w:color="auto"/>
            </w:tcBorders>
            <w:shd w:val="clear" w:color="auto" w:fill="auto"/>
            <w:noWrap/>
            <w:vAlign w:val="bottom"/>
            <w:hideMark/>
          </w:tcPr>
          <w:p w14:paraId="6B5E4CA4" w14:textId="6FFB93BE"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165.48</w:t>
            </w:r>
          </w:p>
        </w:tc>
        <w:tc>
          <w:tcPr>
            <w:tcW w:w="812" w:type="dxa"/>
            <w:gridSpan w:val="2"/>
            <w:tcBorders>
              <w:top w:val="nil"/>
              <w:left w:val="nil"/>
              <w:bottom w:val="single" w:sz="4" w:space="0" w:color="auto"/>
              <w:right w:val="single" w:sz="4" w:space="0" w:color="auto"/>
            </w:tcBorders>
            <w:shd w:val="clear" w:color="auto" w:fill="auto"/>
            <w:noWrap/>
            <w:vAlign w:val="bottom"/>
            <w:hideMark/>
          </w:tcPr>
          <w:p w14:paraId="1BAF2871" w14:textId="76971DE6"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29</w:t>
            </w:r>
          </w:p>
        </w:tc>
        <w:tc>
          <w:tcPr>
            <w:tcW w:w="812" w:type="dxa"/>
            <w:tcBorders>
              <w:top w:val="nil"/>
              <w:left w:val="nil"/>
              <w:bottom w:val="single" w:sz="4" w:space="0" w:color="auto"/>
              <w:right w:val="single" w:sz="4" w:space="0" w:color="auto"/>
            </w:tcBorders>
            <w:shd w:val="clear" w:color="auto" w:fill="auto"/>
            <w:noWrap/>
            <w:vAlign w:val="bottom"/>
            <w:hideMark/>
          </w:tcPr>
          <w:p w14:paraId="29AF2A14" w14:textId="57A23E54"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43.60</w:t>
            </w:r>
          </w:p>
        </w:tc>
        <w:tc>
          <w:tcPr>
            <w:tcW w:w="732" w:type="dxa"/>
            <w:gridSpan w:val="2"/>
            <w:tcBorders>
              <w:top w:val="nil"/>
              <w:left w:val="nil"/>
              <w:bottom w:val="single" w:sz="4" w:space="0" w:color="auto"/>
              <w:right w:val="single" w:sz="4" w:space="0" w:color="auto"/>
            </w:tcBorders>
            <w:shd w:val="clear" w:color="auto" w:fill="auto"/>
            <w:noWrap/>
            <w:vAlign w:val="bottom"/>
            <w:hideMark/>
          </w:tcPr>
          <w:p w14:paraId="3FEE0F7E" w14:textId="1303E884"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6</w:t>
            </w:r>
          </w:p>
        </w:tc>
        <w:tc>
          <w:tcPr>
            <w:tcW w:w="672" w:type="dxa"/>
            <w:tcBorders>
              <w:top w:val="nil"/>
              <w:left w:val="nil"/>
              <w:bottom w:val="single" w:sz="4" w:space="0" w:color="auto"/>
              <w:right w:val="single" w:sz="4" w:space="0" w:color="auto"/>
            </w:tcBorders>
            <w:shd w:val="clear" w:color="auto" w:fill="auto"/>
            <w:noWrap/>
            <w:vAlign w:val="bottom"/>
            <w:hideMark/>
          </w:tcPr>
          <w:p w14:paraId="2AD52087" w14:textId="3367E366"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15.90</w:t>
            </w:r>
          </w:p>
        </w:tc>
      </w:tr>
      <w:tr w:rsidR="001078DB" w:rsidRPr="0050758F" w14:paraId="1FFD4141" w14:textId="77777777" w:rsidTr="00E81BA9">
        <w:trPr>
          <w:gridAfter w:val="1"/>
          <w:wAfter w:w="22" w:type="dxa"/>
          <w:trHeight w:val="288"/>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70D4BB3" w14:textId="77777777" w:rsidR="001078DB" w:rsidRPr="00BD2C46" w:rsidRDefault="001078DB" w:rsidP="001078DB">
            <w:pPr>
              <w:spacing w:after="0" w:line="240" w:lineRule="auto"/>
              <w:rPr>
                <w:rFonts w:ascii="Times New Roman" w:eastAsia="Times New Roman" w:hAnsi="Times New Roman" w:cs="Times New Roman"/>
                <w:b/>
                <w:bCs/>
                <w:color w:val="000000"/>
                <w:sz w:val="16"/>
                <w:szCs w:val="16"/>
              </w:rPr>
            </w:pPr>
            <w:r w:rsidRPr="00BD2C46">
              <w:rPr>
                <w:rFonts w:ascii="Times New Roman" w:eastAsia="Times New Roman" w:hAnsi="Times New Roman" w:cs="Times New Roman"/>
                <w:b/>
                <w:bCs/>
                <w:color w:val="000000"/>
                <w:sz w:val="16"/>
                <w:szCs w:val="16"/>
              </w:rPr>
              <w:t>COP</w:t>
            </w:r>
          </w:p>
        </w:tc>
        <w:tc>
          <w:tcPr>
            <w:tcW w:w="851" w:type="dxa"/>
            <w:tcBorders>
              <w:top w:val="single" w:sz="4" w:space="0" w:color="auto"/>
              <w:left w:val="nil"/>
              <w:bottom w:val="single" w:sz="4" w:space="0" w:color="auto"/>
              <w:right w:val="single" w:sz="4" w:space="0" w:color="auto"/>
            </w:tcBorders>
            <w:vAlign w:val="center"/>
          </w:tcPr>
          <w:p w14:paraId="204E8D21" w14:textId="4F2BD545"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296</w:t>
            </w:r>
          </w:p>
        </w:tc>
        <w:tc>
          <w:tcPr>
            <w:tcW w:w="1134" w:type="dxa"/>
            <w:tcBorders>
              <w:top w:val="single" w:sz="4" w:space="0" w:color="auto"/>
              <w:left w:val="single" w:sz="4" w:space="0" w:color="auto"/>
              <w:bottom w:val="single" w:sz="4" w:space="0" w:color="auto"/>
              <w:right w:val="single" w:sz="4" w:space="0" w:color="auto"/>
            </w:tcBorders>
            <w:vAlign w:val="center"/>
          </w:tcPr>
          <w:p w14:paraId="3D50AD6E" w14:textId="56138FAF"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73.99</w:t>
            </w:r>
          </w:p>
        </w:tc>
        <w:tc>
          <w:tcPr>
            <w:tcW w:w="850" w:type="dxa"/>
            <w:tcBorders>
              <w:top w:val="single" w:sz="4" w:space="0" w:color="auto"/>
              <w:left w:val="single" w:sz="4" w:space="0" w:color="auto"/>
              <w:bottom w:val="single" w:sz="4" w:space="0" w:color="auto"/>
              <w:right w:val="single" w:sz="4" w:space="0" w:color="auto"/>
            </w:tcBorders>
            <w:vAlign w:val="center"/>
          </w:tcPr>
          <w:p w14:paraId="43635785" w14:textId="3420A4BA" w:rsidR="001078DB" w:rsidRPr="00B94FE5" w:rsidRDefault="00912D1B" w:rsidP="001078DB">
            <w:pPr>
              <w:spacing w:after="0" w:line="240" w:lineRule="auto"/>
              <w:jc w:val="right"/>
              <w:rPr>
                <w:rFonts w:ascii="Times New Roman" w:eastAsia="Times New Roman" w:hAnsi="Times New Roman" w:cs="Times New Roman"/>
                <w:i/>
                <w:color w:val="000000"/>
                <w:sz w:val="18"/>
                <w:szCs w:val="18"/>
              </w:rPr>
            </w:pPr>
            <w:r>
              <w:rPr>
                <w:rFonts w:ascii="Times New Roman" w:hAnsi="Times New Roman" w:cs="Times New Roman"/>
                <w:i/>
                <w:color w:val="000000"/>
                <w:sz w:val="18"/>
                <w:szCs w:val="18"/>
              </w:rPr>
              <w:t>6%</w:t>
            </w:r>
          </w:p>
        </w:tc>
        <w:tc>
          <w:tcPr>
            <w:tcW w:w="709" w:type="dxa"/>
            <w:tcBorders>
              <w:top w:val="single" w:sz="4" w:space="0" w:color="auto"/>
              <w:left w:val="single" w:sz="4" w:space="0" w:color="auto"/>
              <w:bottom w:val="single" w:sz="4" w:space="0" w:color="auto"/>
              <w:right w:val="single" w:sz="4" w:space="0" w:color="auto"/>
            </w:tcBorders>
            <w:vAlign w:val="bottom"/>
          </w:tcPr>
          <w:p w14:paraId="5D2A7454" w14:textId="45A85E95" w:rsidR="001078DB" w:rsidRPr="001078DB" w:rsidRDefault="001078DB" w:rsidP="001078DB">
            <w:pPr>
              <w:spacing w:after="0" w:line="240" w:lineRule="auto"/>
              <w:jc w:val="right"/>
              <w:rPr>
                <w:rFonts w:ascii="Times New Roman" w:hAnsi="Times New Roman" w:cs="Times New Roman"/>
                <w:i/>
                <w:color w:val="000000"/>
                <w:sz w:val="18"/>
                <w:szCs w:val="18"/>
              </w:rPr>
            </w:pPr>
            <w:r w:rsidRPr="001078DB">
              <w:rPr>
                <w:rFonts w:ascii="Times New Roman" w:hAnsi="Times New Roman" w:cs="Times New Roman"/>
                <w:i/>
                <w:color w:val="000000"/>
                <w:sz w:val="18"/>
                <w:szCs w:val="18"/>
              </w:rPr>
              <w:t>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DE68D" w14:textId="7912B158"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17</w:t>
            </w:r>
          </w:p>
        </w:tc>
        <w:tc>
          <w:tcPr>
            <w:tcW w:w="811" w:type="dxa"/>
            <w:tcBorders>
              <w:top w:val="nil"/>
              <w:left w:val="nil"/>
              <w:bottom w:val="single" w:sz="4" w:space="0" w:color="auto"/>
              <w:right w:val="single" w:sz="4" w:space="0" w:color="auto"/>
            </w:tcBorders>
            <w:shd w:val="clear" w:color="auto" w:fill="auto"/>
            <w:noWrap/>
            <w:vAlign w:val="bottom"/>
            <w:hideMark/>
          </w:tcPr>
          <w:p w14:paraId="5A225E80" w14:textId="6661D4CB" w:rsidR="001078DB" w:rsidRPr="00B94FE5" w:rsidRDefault="001078DB" w:rsidP="001078DB">
            <w:pPr>
              <w:spacing w:after="0" w:line="240" w:lineRule="auto"/>
              <w:jc w:val="right"/>
              <w:rPr>
                <w:rFonts w:ascii="Times New Roman" w:eastAsia="Times New Roman" w:hAnsi="Times New Roman" w:cs="Times New Roman"/>
                <w:color w:val="000000"/>
                <w:sz w:val="18"/>
                <w:szCs w:val="18"/>
                <w:highlight w:val="yellow"/>
              </w:rPr>
            </w:pPr>
            <w:r w:rsidRPr="00B94FE5">
              <w:rPr>
                <w:rFonts w:ascii="Times New Roman" w:hAnsi="Times New Roman" w:cs="Times New Roman"/>
                <w:color w:val="000000"/>
                <w:sz w:val="18"/>
                <w:szCs w:val="18"/>
              </w:rPr>
              <w:t>4.90</w:t>
            </w:r>
          </w:p>
        </w:tc>
        <w:tc>
          <w:tcPr>
            <w:tcW w:w="606" w:type="dxa"/>
            <w:tcBorders>
              <w:top w:val="nil"/>
              <w:left w:val="nil"/>
              <w:bottom w:val="single" w:sz="4" w:space="0" w:color="auto"/>
              <w:right w:val="single" w:sz="4" w:space="0" w:color="auto"/>
            </w:tcBorders>
            <w:shd w:val="clear" w:color="auto" w:fill="auto"/>
            <w:noWrap/>
            <w:vAlign w:val="bottom"/>
            <w:hideMark/>
          </w:tcPr>
          <w:p w14:paraId="739045F0" w14:textId="32A2C0AB"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27</w:t>
            </w:r>
          </w:p>
        </w:tc>
        <w:tc>
          <w:tcPr>
            <w:tcW w:w="811" w:type="dxa"/>
            <w:tcBorders>
              <w:top w:val="nil"/>
              <w:left w:val="nil"/>
              <w:bottom w:val="single" w:sz="4" w:space="0" w:color="auto"/>
              <w:right w:val="single" w:sz="4" w:space="0" w:color="auto"/>
            </w:tcBorders>
            <w:shd w:val="clear" w:color="auto" w:fill="auto"/>
            <w:noWrap/>
            <w:vAlign w:val="bottom"/>
            <w:hideMark/>
          </w:tcPr>
          <w:p w14:paraId="00D8088B" w14:textId="55F85791"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7.90</w:t>
            </w:r>
          </w:p>
        </w:tc>
        <w:tc>
          <w:tcPr>
            <w:tcW w:w="607" w:type="dxa"/>
            <w:gridSpan w:val="2"/>
            <w:tcBorders>
              <w:top w:val="nil"/>
              <w:left w:val="nil"/>
              <w:bottom w:val="single" w:sz="4" w:space="0" w:color="auto"/>
              <w:right w:val="single" w:sz="4" w:space="0" w:color="auto"/>
            </w:tcBorders>
            <w:shd w:val="clear" w:color="auto" w:fill="auto"/>
            <w:noWrap/>
            <w:vAlign w:val="bottom"/>
            <w:hideMark/>
          </w:tcPr>
          <w:p w14:paraId="7ACC75D0" w14:textId="5B133EC9"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200</w:t>
            </w:r>
          </w:p>
        </w:tc>
        <w:tc>
          <w:tcPr>
            <w:tcW w:w="812" w:type="dxa"/>
            <w:tcBorders>
              <w:top w:val="nil"/>
              <w:left w:val="nil"/>
              <w:bottom w:val="single" w:sz="4" w:space="0" w:color="auto"/>
              <w:right w:val="single" w:sz="4" w:space="0" w:color="auto"/>
            </w:tcBorders>
            <w:shd w:val="clear" w:color="auto" w:fill="auto"/>
            <w:noWrap/>
            <w:vAlign w:val="bottom"/>
            <w:hideMark/>
          </w:tcPr>
          <w:p w14:paraId="10D0AB0C" w14:textId="5652CEE0"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42.30</w:t>
            </w:r>
          </w:p>
        </w:tc>
        <w:tc>
          <w:tcPr>
            <w:tcW w:w="605" w:type="dxa"/>
            <w:gridSpan w:val="2"/>
            <w:tcBorders>
              <w:top w:val="nil"/>
              <w:left w:val="nil"/>
              <w:bottom w:val="single" w:sz="4" w:space="0" w:color="auto"/>
              <w:right w:val="single" w:sz="4" w:space="0" w:color="auto"/>
            </w:tcBorders>
            <w:shd w:val="clear" w:color="auto" w:fill="auto"/>
            <w:noWrap/>
            <w:vAlign w:val="bottom"/>
            <w:hideMark/>
          </w:tcPr>
          <w:p w14:paraId="303E9B64" w14:textId="78D6D932"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34</w:t>
            </w:r>
          </w:p>
        </w:tc>
        <w:tc>
          <w:tcPr>
            <w:tcW w:w="812" w:type="dxa"/>
            <w:tcBorders>
              <w:top w:val="nil"/>
              <w:left w:val="nil"/>
              <w:bottom w:val="single" w:sz="4" w:space="0" w:color="auto"/>
              <w:right w:val="single" w:sz="4" w:space="0" w:color="auto"/>
            </w:tcBorders>
            <w:shd w:val="clear" w:color="auto" w:fill="auto"/>
            <w:noWrap/>
            <w:vAlign w:val="bottom"/>
            <w:hideMark/>
          </w:tcPr>
          <w:p w14:paraId="6CDC0F5C" w14:textId="5EBF1601"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12.30</w:t>
            </w:r>
          </w:p>
        </w:tc>
        <w:tc>
          <w:tcPr>
            <w:tcW w:w="606" w:type="dxa"/>
            <w:gridSpan w:val="2"/>
            <w:tcBorders>
              <w:top w:val="nil"/>
              <w:left w:val="nil"/>
              <w:bottom w:val="single" w:sz="4" w:space="0" w:color="auto"/>
              <w:right w:val="single" w:sz="4" w:space="0" w:color="auto"/>
            </w:tcBorders>
            <w:shd w:val="clear" w:color="auto" w:fill="auto"/>
            <w:noWrap/>
            <w:vAlign w:val="bottom"/>
            <w:hideMark/>
          </w:tcPr>
          <w:p w14:paraId="514639ED" w14:textId="412A5F00"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5</w:t>
            </w:r>
          </w:p>
        </w:tc>
        <w:tc>
          <w:tcPr>
            <w:tcW w:w="812" w:type="dxa"/>
            <w:tcBorders>
              <w:top w:val="nil"/>
              <w:left w:val="nil"/>
              <w:bottom w:val="single" w:sz="4" w:space="0" w:color="auto"/>
              <w:right w:val="single" w:sz="4" w:space="0" w:color="auto"/>
            </w:tcBorders>
            <w:shd w:val="clear" w:color="auto" w:fill="auto"/>
            <w:noWrap/>
            <w:vAlign w:val="bottom"/>
            <w:hideMark/>
          </w:tcPr>
          <w:p w14:paraId="0E291C88" w14:textId="2747FA61"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3.50</w:t>
            </w:r>
          </w:p>
        </w:tc>
        <w:tc>
          <w:tcPr>
            <w:tcW w:w="683" w:type="dxa"/>
            <w:gridSpan w:val="2"/>
            <w:tcBorders>
              <w:top w:val="nil"/>
              <w:left w:val="nil"/>
              <w:bottom w:val="single" w:sz="4" w:space="0" w:color="auto"/>
              <w:right w:val="single" w:sz="4" w:space="0" w:color="auto"/>
            </w:tcBorders>
            <w:shd w:val="clear" w:color="auto" w:fill="auto"/>
            <w:noWrap/>
            <w:vAlign w:val="bottom"/>
            <w:hideMark/>
          </w:tcPr>
          <w:p w14:paraId="5A38424E" w14:textId="02465A6C"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5</w:t>
            </w:r>
          </w:p>
        </w:tc>
        <w:tc>
          <w:tcPr>
            <w:tcW w:w="812" w:type="dxa"/>
            <w:tcBorders>
              <w:top w:val="nil"/>
              <w:left w:val="nil"/>
              <w:bottom w:val="single" w:sz="4" w:space="0" w:color="auto"/>
              <w:right w:val="single" w:sz="4" w:space="0" w:color="auto"/>
            </w:tcBorders>
            <w:shd w:val="clear" w:color="auto" w:fill="auto"/>
            <w:noWrap/>
            <w:vAlign w:val="bottom"/>
            <w:hideMark/>
          </w:tcPr>
          <w:p w14:paraId="3B548D51" w14:textId="1BA4D588"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1.49</w:t>
            </w:r>
          </w:p>
        </w:tc>
        <w:tc>
          <w:tcPr>
            <w:tcW w:w="812" w:type="dxa"/>
            <w:gridSpan w:val="2"/>
            <w:tcBorders>
              <w:top w:val="nil"/>
              <w:left w:val="nil"/>
              <w:bottom w:val="single" w:sz="4" w:space="0" w:color="auto"/>
              <w:right w:val="single" w:sz="4" w:space="0" w:color="auto"/>
            </w:tcBorders>
            <w:shd w:val="clear" w:color="auto" w:fill="auto"/>
            <w:noWrap/>
            <w:vAlign w:val="bottom"/>
            <w:hideMark/>
          </w:tcPr>
          <w:p w14:paraId="35BE343E" w14:textId="2FA3731A"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8</w:t>
            </w:r>
          </w:p>
        </w:tc>
        <w:tc>
          <w:tcPr>
            <w:tcW w:w="812" w:type="dxa"/>
            <w:tcBorders>
              <w:top w:val="nil"/>
              <w:left w:val="nil"/>
              <w:bottom w:val="single" w:sz="4" w:space="0" w:color="auto"/>
              <w:right w:val="single" w:sz="4" w:space="0" w:color="auto"/>
            </w:tcBorders>
            <w:shd w:val="clear" w:color="auto" w:fill="auto"/>
            <w:noWrap/>
            <w:vAlign w:val="bottom"/>
            <w:hideMark/>
          </w:tcPr>
          <w:p w14:paraId="5CE703DE" w14:textId="4C50755D"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1.60</w:t>
            </w:r>
          </w:p>
        </w:tc>
        <w:tc>
          <w:tcPr>
            <w:tcW w:w="732" w:type="dxa"/>
            <w:gridSpan w:val="2"/>
            <w:tcBorders>
              <w:top w:val="nil"/>
              <w:left w:val="nil"/>
              <w:bottom w:val="single" w:sz="4" w:space="0" w:color="auto"/>
              <w:right w:val="single" w:sz="4" w:space="0" w:color="auto"/>
            </w:tcBorders>
            <w:shd w:val="clear" w:color="auto" w:fill="auto"/>
            <w:noWrap/>
            <w:vAlign w:val="bottom"/>
            <w:hideMark/>
          </w:tcPr>
          <w:p w14:paraId="258C3138" w14:textId="0BE65AEB" w:rsidR="001078DB" w:rsidRPr="00B94FE5" w:rsidRDefault="001078DB" w:rsidP="001078DB">
            <w:pPr>
              <w:spacing w:after="0" w:line="240" w:lineRule="auto"/>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 </w:t>
            </w:r>
          </w:p>
        </w:tc>
        <w:tc>
          <w:tcPr>
            <w:tcW w:w="672" w:type="dxa"/>
            <w:tcBorders>
              <w:top w:val="nil"/>
              <w:left w:val="nil"/>
              <w:bottom w:val="single" w:sz="4" w:space="0" w:color="auto"/>
              <w:right w:val="single" w:sz="4" w:space="0" w:color="auto"/>
            </w:tcBorders>
            <w:shd w:val="clear" w:color="auto" w:fill="auto"/>
            <w:noWrap/>
            <w:vAlign w:val="bottom"/>
            <w:hideMark/>
          </w:tcPr>
          <w:p w14:paraId="0E48F575" w14:textId="28606E55" w:rsidR="001078DB" w:rsidRPr="00B94FE5" w:rsidRDefault="001078DB" w:rsidP="001078DB">
            <w:pPr>
              <w:spacing w:after="0" w:line="240" w:lineRule="auto"/>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 </w:t>
            </w:r>
          </w:p>
        </w:tc>
      </w:tr>
      <w:tr w:rsidR="001078DB" w:rsidRPr="0050758F" w14:paraId="761CAE33" w14:textId="77777777" w:rsidTr="00E81BA9">
        <w:trPr>
          <w:gridAfter w:val="1"/>
          <w:wAfter w:w="22" w:type="dxa"/>
          <w:trHeight w:val="288"/>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1BD137C" w14:textId="77777777" w:rsidR="001078DB" w:rsidRPr="00BD2C46" w:rsidRDefault="001078DB" w:rsidP="001078DB">
            <w:pPr>
              <w:spacing w:after="0" w:line="240" w:lineRule="auto"/>
              <w:rPr>
                <w:rFonts w:ascii="Times New Roman" w:eastAsia="Times New Roman" w:hAnsi="Times New Roman" w:cs="Times New Roman"/>
                <w:b/>
                <w:bCs/>
                <w:color w:val="000000"/>
                <w:sz w:val="16"/>
                <w:szCs w:val="16"/>
              </w:rPr>
            </w:pPr>
            <w:r w:rsidRPr="00BD2C46">
              <w:rPr>
                <w:rFonts w:ascii="Times New Roman" w:eastAsia="Times New Roman" w:hAnsi="Times New Roman" w:cs="Times New Roman"/>
                <w:b/>
                <w:bCs/>
                <w:color w:val="000000"/>
                <w:sz w:val="16"/>
                <w:szCs w:val="16"/>
              </w:rPr>
              <w:t>NFP</w:t>
            </w:r>
          </w:p>
        </w:tc>
        <w:tc>
          <w:tcPr>
            <w:tcW w:w="851" w:type="dxa"/>
            <w:tcBorders>
              <w:top w:val="single" w:sz="4" w:space="0" w:color="auto"/>
              <w:left w:val="nil"/>
              <w:bottom w:val="single" w:sz="4" w:space="0" w:color="auto"/>
              <w:right w:val="single" w:sz="4" w:space="0" w:color="auto"/>
            </w:tcBorders>
            <w:vAlign w:val="center"/>
          </w:tcPr>
          <w:p w14:paraId="225A5866" w14:textId="7BF50357"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148</w:t>
            </w:r>
          </w:p>
        </w:tc>
        <w:tc>
          <w:tcPr>
            <w:tcW w:w="1134" w:type="dxa"/>
            <w:tcBorders>
              <w:top w:val="single" w:sz="4" w:space="0" w:color="auto"/>
              <w:left w:val="single" w:sz="4" w:space="0" w:color="auto"/>
              <w:bottom w:val="single" w:sz="4" w:space="0" w:color="auto"/>
              <w:right w:val="single" w:sz="4" w:space="0" w:color="auto"/>
            </w:tcBorders>
            <w:vAlign w:val="center"/>
          </w:tcPr>
          <w:p w14:paraId="145D4FDA" w14:textId="444B59D8"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165.17</w:t>
            </w:r>
          </w:p>
        </w:tc>
        <w:tc>
          <w:tcPr>
            <w:tcW w:w="850" w:type="dxa"/>
            <w:tcBorders>
              <w:top w:val="single" w:sz="4" w:space="0" w:color="auto"/>
              <w:left w:val="single" w:sz="4" w:space="0" w:color="auto"/>
              <w:bottom w:val="single" w:sz="4" w:space="0" w:color="auto"/>
              <w:right w:val="single" w:sz="4" w:space="0" w:color="auto"/>
            </w:tcBorders>
            <w:vAlign w:val="center"/>
          </w:tcPr>
          <w:p w14:paraId="7DB4D4E4" w14:textId="16A4A714" w:rsidR="001078DB" w:rsidRPr="00B94FE5" w:rsidRDefault="00912D1B" w:rsidP="001078DB">
            <w:pPr>
              <w:spacing w:after="0" w:line="240" w:lineRule="auto"/>
              <w:jc w:val="right"/>
              <w:rPr>
                <w:rFonts w:ascii="Times New Roman" w:eastAsia="Times New Roman" w:hAnsi="Times New Roman" w:cs="Times New Roman"/>
                <w:i/>
                <w:color w:val="000000"/>
                <w:sz w:val="18"/>
                <w:szCs w:val="18"/>
              </w:rPr>
            </w:pPr>
            <w:r>
              <w:rPr>
                <w:rFonts w:ascii="Times New Roman" w:hAnsi="Times New Roman" w:cs="Times New Roman"/>
                <w:i/>
                <w:color w:val="000000"/>
                <w:sz w:val="18"/>
                <w:szCs w:val="18"/>
              </w:rPr>
              <w:t>14%</w:t>
            </w:r>
          </w:p>
        </w:tc>
        <w:tc>
          <w:tcPr>
            <w:tcW w:w="709" w:type="dxa"/>
            <w:tcBorders>
              <w:top w:val="single" w:sz="4" w:space="0" w:color="auto"/>
              <w:left w:val="single" w:sz="4" w:space="0" w:color="auto"/>
              <w:bottom w:val="single" w:sz="4" w:space="0" w:color="auto"/>
              <w:right w:val="single" w:sz="4" w:space="0" w:color="auto"/>
            </w:tcBorders>
            <w:vAlign w:val="bottom"/>
          </w:tcPr>
          <w:p w14:paraId="45FC6131" w14:textId="67416666" w:rsidR="001078DB" w:rsidRPr="001078DB" w:rsidRDefault="001078DB" w:rsidP="001078DB">
            <w:pPr>
              <w:spacing w:after="0" w:line="240" w:lineRule="auto"/>
              <w:jc w:val="right"/>
              <w:rPr>
                <w:rFonts w:ascii="Times New Roman" w:hAnsi="Times New Roman" w:cs="Times New Roman"/>
                <w:i/>
                <w:color w:val="000000"/>
                <w:sz w:val="18"/>
                <w:szCs w:val="18"/>
              </w:rPr>
            </w:pPr>
            <w:r w:rsidRPr="001078DB">
              <w:rPr>
                <w:rFonts w:ascii="Times New Roman" w:hAnsi="Times New Roman" w:cs="Times New Roman"/>
                <w:i/>
                <w:color w:val="000000"/>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150B7" w14:textId="40BDA1FE"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17</w:t>
            </w:r>
          </w:p>
        </w:tc>
        <w:tc>
          <w:tcPr>
            <w:tcW w:w="811" w:type="dxa"/>
            <w:tcBorders>
              <w:top w:val="nil"/>
              <w:left w:val="nil"/>
              <w:bottom w:val="single" w:sz="4" w:space="0" w:color="auto"/>
              <w:right w:val="single" w:sz="4" w:space="0" w:color="auto"/>
            </w:tcBorders>
            <w:shd w:val="clear" w:color="auto" w:fill="auto"/>
            <w:noWrap/>
            <w:vAlign w:val="bottom"/>
            <w:hideMark/>
          </w:tcPr>
          <w:p w14:paraId="10A26010" w14:textId="249D4B4E" w:rsidR="001078DB" w:rsidRPr="00B94FE5" w:rsidRDefault="001078DB" w:rsidP="001078DB">
            <w:pPr>
              <w:spacing w:after="0" w:line="240" w:lineRule="auto"/>
              <w:jc w:val="right"/>
              <w:rPr>
                <w:rFonts w:ascii="Times New Roman" w:eastAsia="Times New Roman" w:hAnsi="Times New Roman" w:cs="Times New Roman"/>
                <w:color w:val="000000"/>
                <w:sz w:val="18"/>
                <w:szCs w:val="18"/>
                <w:highlight w:val="yellow"/>
              </w:rPr>
            </w:pPr>
            <w:r w:rsidRPr="00B94FE5">
              <w:rPr>
                <w:rFonts w:ascii="Times New Roman" w:hAnsi="Times New Roman" w:cs="Times New Roman"/>
                <w:color w:val="000000"/>
                <w:sz w:val="18"/>
                <w:szCs w:val="18"/>
              </w:rPr>
              <w:t>104.40</w:t>
            </w:r>
          </w:p>
        </w:tc>
        <w:tc>
          <w:tcPr>
            <w:tcW w:w="606" w:type="dxa"/>
            <w:tcBorders>
              <w:top w:val="nil"/>
              <w:left w:val="nil"/>
              <w:bottom w:val="single" w:sz="4" w:space="0" w:color="auto"/>
              <w:right w:val="single" w:sz="4" w:space="0" w:color="auto"/>
            </w:tcBorders>
            <w:shd w:val="clear" w:color="auto" w:fill="auto"/>
            <w:noWrap/>
            <w:vAlign w:val="bottom"/>
            <w:hideMark/>
          </w:tcPr>
          <w:p w14:paraId="404C08A6" w14:textId="6B336235"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12</w:t>
            </w:r>
          </w:p>
        </w:tc>
        <w:tc>
          <w:tcPr>
            <w:tcW w:w="811" w:type="dxa"/>
            <w:tcBorders>
              <w:top w:val="nil"/>
              <w:left w:val="nil"/>
              <w:bottom w:val="single" w:sz="4" w:space="0" w:color="auto"/>
              <w:right w:val="single" w:sz="4" w:space="0" w:color="auto"/>
            </w:tcBorders>
            <w:shd w:val="clear" w:color="auto" w:fill="auto"/>
            <w:noWrap/>
            <w:vAlign w:val="bottom"/>
            <w:hideMark/>
          </w:tcPr>
          <w:p w14:paraId="3FF4A30B" w14:textId="45E15CDF"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9.30</w:t>
            </w:r>
          </w:p>
        </w:tc>
        <w:tc>
          <w:tcPr>
            <w:tcW w:w="607" w:type="dxa"/>
            <w:gridSpan w:val="2"/>
            <w:tcBorders>
              <w:top w:val="nil"/>
              <w:left w:val="nil"/>
              <w:bottom w:val="single" w:sz="4" w:space="0" w:color="auto"/>
              <w:right w:val="single" w:sz="4" w:space="0" w:color="auto"/>
            </w:tcBorders>
            <w:shd w:val="clear" w:color="auto" w:fill="auto"/>
            <w:noWrap/>
            <w:vAlign w:val="bottom"/>
            <w:hideMark/>
          </w:tcPr>
          <w:p w14:paraId="271FB590" w14:textId="3CF70119"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101</w:t>
            </w:r>
          </w:p>
        </w:tc>
        <w:tc>
          <w:tcPr>
            <w:tcW w:w="812" w:type="dxa"/>
            <w:tcBorders>
              <w:top w:val="nil"/>
              <w:left w:val="nil"/>
              <w:bottom w:val="single" w:sz="4" w:space="0" w:color="auto"/>
              <w:right w:val="single" w:sz="4" w:space="0" w:color="auto"/>
            </w:tcBorders>
            <w:shd w:val="clear" w:color="auto" w:fill="auto"/>
            <w:noWrap/>
            <w:vAlign w:val="bottom"/>
            <w:hideMark/>
          </w:tcPr>
          <w:p w14:paraId="0685239E" w14:textId="60B0622E"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39.40</w:t>
            </w:r>
          </w:p>
        </w:tc>
        <w:tc>
          <w:tcPr>
            <w:tcW w:w="605" w:type="dxa"/>
            <w:gridSpan w:val="2"/>
            <w:tcBorders>
              <w:top w:val="nil"/>
              <w:left w:val="nil"/>
              <w:bottom w:val="single" w:sz="4" w:space="0" w:color="auto"/>
              <w:right w:val="single" w:sz="4" w:space="0" w:color="auto"/>
            </w:tcBorders>
            <w:shd w:val="clear" w:color="auto" w:fill="auto"/>
            <w:noWrap/>
            <w:vAlign w:val="bottom"/>
            <w:hideMark/>
          </w:tcPr>
          <w:p w14:paraId="3CB410C2" w14:textId="2155DF84"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6</w:t>
            </w:r>
          </w:p>
        </w:tc>
        <w:tc>
          <w:tcPr>
            <w:tcW w:w="812" w:type="dxa"/>
            <w:tcBorders>
              <w:top w:val="nil"/>
              <w:left w:val="nil"/>
              <w:bottom w:val="single" w:sz="4" w:space="0" w:color="auto"/>
              <w:right w:val="single" w:sz="4" w:space="0" w:color="auto"/>
            </w:tcBorders>
            <w:shd w:val="clear" w:color="auto" w:fill="auto"/>
            <w:noWrap/>
            <w:vAlign w:val="bottom"/>
            <w:hideMark/>
          </w:tcPr>
          <w:p w14:paraId="62F3AA55" w14:textId="3E4EB033"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2.20</w:t>
            </w:r>
          </w:p>
        </w:tc>
        <w:tc>
          <w:tcPr>
            <w:tcW w:w="606" w:type="dxa"/>
            <w:gridSpan w:val="2"/>
            <w:tcBorders>
              <w:top w:val="nil"/>
              <w:left w:val="nil"/>
              <w:bottom w:val="single" w:sz="4" w:space="0" w:color="auto"/>
              <w:right w:val="single" w:sz="4" w:space="0" w:color="auto"/>
            </w:tcBorders>
            <w:shd w:val="clear" w:color="auto" w:fill="auto"/>
            <w:noWrap/>
            <w:vAlign w:val="bottom"/>
            <w:hideMark/>
          </w:tcPr>
          <w:p w14:paraId="38DA6023" w14:textId="4D697B4E"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w:t>
            </w:r>
          </w:p>
        </w:tc>
        <w:tc>
          <w:tcPr>
            <w:tcW w:w="812" w:type="dxa"/>
            <w:tcBorders>
              <w:top w:val="nil"/>
              <w:left w:val="nil"/>
              <w:bottom w:val="single" w:sz="4" w:space="0" w:color="auto"/>
              <w:right w:val="single" w:sz="4" w:space="0" w:color="auto"/>
            </w:tcBorders>
            <w:shd w:val="clear" w:color="auto" w:fill="auto"/>
            <w:noWrap/>
            <w:vAlign w:val="bottom"/>
            <w:hideMark/>
          </w:tcPr>
          <w:p w14:paraId="2CA6EFB7" w14:textId="06E324F3"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1.00</w:t>
            </w:r>
          </w:p>
        </w:tc>
        <w:tc>
          <w:tcPr>
            <w:tcW w:w="683" w:type="dxa"/>
            <w:gridSpan w:val="2"/>
            <w:tcBorders>
              <w:top w:val="nil"/>
              <w:left w:val="nil"/>
              <w:bottom w:val="single" w:sz="4" w:space="0" w:color="auto"/>
              <w:right w:val="single" w:sz="4" w:space="0" w:color="auto"/>
            </w:tcBorders>
            <w:shd w:val="clear" w:color="auto" w:fill="auto"/>
            <w:noWrap/>
            <w:vAlign w:val="bottom"/>
            <w:hideMark/>
          </w:tcPr>
          <w:p w14:paraId="1B470085" w14:textId="3E3A33C4"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10</w:t>
            </w:r>
          </w:p>
        </w:tc>
        <w:tc>
          <w:tcPr>
            <w:tcW w:w="812" w:type="dxa"/>
            <w:tcBorders>
              <w:top w:val="nil"/>
              <w:left w:val="nil"/>
              <w:bottom w:val="single" w:sz="4" w:space="0" w:color="auto"/>
              <w:right w:val="single" w:sz="4" w:space="0" w:color="auto"/>
            </w:tcBorders>
            <w:shd w:val="clear" w:color="auto" w:fill="auto"/>
            <w:noWrap/>
            <w:vAlign w:val="bottom"/>
            <w:hideMark/>
          </w:tcPr>
          <w:p w14:paraId="0DEBBB45" w14:textId="1D70C077"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8.67</w:t>
            </w:r>
          </w:p>
        </w:tc>
        <w:tc>
          <w:tcPr>
            <w:tcW w:w="812" w:type="dxa"/>
            <w:gridSpan w:val="2"/>
            <w:tcBorders>
              <w:top w:val="nil"/>
              <w:left w:val="nil"/>
              <w:bottom w:val="single" w:sz="4" w:space="0" w:color="auto"/>
              <w:right w:val="single" w:sz="4" w:space="0" w:color="auto"/>
            </w:tcBorders>
            <w:shd w:val="clear" w:color="auto" w:fill="auto"/>
            <w:noWrap/>
            <w:vAlign w:val="bottom"/>
            <w:hideMark/>
          </w:tcPr>
          <w:p w14:paraId="277C0E73" w14:textId="1A654608"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w:t>
            </w:r>
          </w:p>
        </w:tc>
        <w:tc>
          <w:tcPr>
            <w:tcW w:w="812" w:type="dxa"/>
            <w:tcBorders>
              <w:top w:val="nil"/>
              <w:left w:val="nil"/>
              <w:bottom w:val="single" w:sz="4" w:space="0" w:color="auto"/>
              <w:right w:val="single" w:sz="4" w:space="0" w:color="auto"/>
            </w:tcBorders>
            <w:shd w:val="clear" w:color="auto" w:fill="auto"/>
            <w:noWrap/>
            <w:vAlign w:val="bottom"/>
            <w:hideMark/>
          </w:tcPr>
          <w:p w14:paraId="5D431716" w14:textId="36C60D8D"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0.20</w:t>
            </w:r>
          </w:p>
        </w:tc>
        <w:tc>
          <w:tcPr>
            <w:tcW w:w="732" w:type="dxa"/>
            <w:gridSpan w:val="2"/>
            <w:tcBorders>
              <w:top w:val="nil"/>
              <w:left w:val="nil"/>
              <w:bottom w:val="single" w:sz="4" w:space="0" w:color="auto"/>
              <w:right w:val="single" w:sz="4" w:space="0" w:color="auto"/>
            </w:tcBorders>
            <w:shd w:val="clear" w:color="auto" w:fill="auto"/>
            <w:noWrap/>
            <w:vAlign w:val="bottom"/>
            <w:hideMark/>
          </w:tcPr>
          <w:p w14:paraId="71D98181" w14:textId="6CF96489" w:rsidR="001078DB" w:rsidRPr="00B94FE5" w:rsidRDefault="001078DB" w:rsidP="001078DB">
            <w:pPr>
              <w:spacing w:after="0" w:line="240" w:lineRule="auto"/>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 </w:t>
            </w:r>
          </w:p>
        </w:tc>
        <w:tc>
          <w:tcPr>
            <w:tcW w:w="672" w:type="dxa"/>
            <w:tcBorders>
              <w:top w:val="nil"/>
              <w:left w:val="nil"/>
              <w:bottom w:val="single" w:sz="4" w:space="0" w:color="auto"/>
              <w:right w:val="single" w:sz="4" w:space="0" w:color="auto"/>
            </w:tcBorders>
            <w:shd w:val="clear" w:color="auto" w:fill="auto"/>
            <w:noWrap/>
            <w:vAlign w:val="bottom"/>
            <w:hideMark/>
          </w:tcPr>
          <w:p w14:paraId="404A1BE3" w14:textId="383951CB" w:rsidR="001078DB" w:rsidRPr="00B94FE5" w:rsidRDefault="001078DB" w:rsidP="001078DB">
            <w:pPr>
              <w:spacing w:after="0" w:line="240" w:lineRule="auto"/>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 </w:t>
            </w:r>
          </w:p>
        </w:tc>
      </w:tr>
      <w:tr w:rsidR="001078DB" w:rsidRPr="0050758F" w14:paraId="7E437DEB" w14:textId="77777777" w:rsidTr="001078DB">
        <w:trPr>
          <w:gridAfter w:val="1"/>
          <w:wAfter w:w="22" w:type="dxa"/>
          <w:trHeight w:val="288"/>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4553D975" w14:textId="77777777" w:rsidR="001078DB" w:rsidRPr="00BD2C46" w:rsidRDefault="001078DB" w:rsidP="001078DB">
            <w:pPr>
              <w:spacing w:after="0" w:line="240" w:lineRule="auto"/>
              <w:rPr>
                <w:rFonts w:ascii="Times New Roman" w:eastAsia="Times New Roman" w:hAnsi="Times New Roman" w:cs="Times New Roman"/>
                <w:b/>
                <w:bCs/>
                <w:color w:val="000000"/>
                <w:sz w:val="16"/>
                <w:szCs w:val="16"/>
              </w:rPr>
            </w:pPr>
            <w:r w:rsidRPr="00BD2C46">
              <w:rPr>
                <w:rFonts w:ascii="Times New Roman" w:eastAsia="Times New Roman" w:hAnsi="Times New Roman" w:cs="Times New Roman"/>
                <w:b/>
                <w:bCs/>
                <w:color w:val="000000"/>
                <w:sz w:val="16"/>
                <w:szCs w:val="16"/>
              </w:rPr>
              <w:t>MV</w:t>
            </w:r>
          </w:p>
        </w:tc>
        <w:tc>
          <w:tcPr>
            <w:tcW w:w="851" w:type="dxa"/>
            <w:tcBorders>
              <w:top w:val="single" w:sz="4" w:space="0" w:color="auto"/>
              <w:left w:val="nil"/>
              <w:bottom w:val="single" w:sz="4" w:space="0" w:color="auto"/>
              <w:right w:val="single" w:sz="4" w:space="0" w:color="auto"/>
            </w:tcBorders>
            <w:vAlign w:val="center"/>
          </w:tcPr>
          <w:p w14:paraId="71C2C9BF" w14:textId="5A576E71"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3862</w:t>
            </w:r>
          </w:p>
        </w:tc>
        <w:tc>
          <w:tcPr>
            <w:tcW w:w="1134" w:type="dxa"/>
            <w:tcBorders>
              <w:top w:val="single" w:sz="4" w:space="0" w:color="auto"/>
              <w:left w:val="single" w:sz="4" w:space="0" w:color="auto"/>
              <w:bottom w:val="single" w:sz="4" w:space="0" w:color="auto"/>
              <w:right w:val="single" w:sz="4" w:space="0" w:color="auto"/>
            </w:tcBorders>
            <w:vAlign w:val="center"/>
          </w:tcPr>
          <w:p w14:paraId="09B87350" w14:textId="709F9F10"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145.15</w:t>
            </w:r>
          </w:p>
        </w:tc>
        <w:tc>
          <w:tcPr>
            <w:tcW w:w="850" w:type="dxa"/>
            <w:tcBorders>
              <w:top w:val="single" w:sz="4" w:space="0" w:color="auto"/>
              <w:left w:val="single" w:sz="4" w:space="0" w:color="auto"/>
              <w:bottom w:val="single" w:sz="4" w:space="0" w:color="auto"/>
              <w:right w:val="single" w:sz="4" w:space="0" w:color="auto"/>
            </w:tcBorders>
            <w:vAlign w:val="center"/>
          </w:tcPr>
          <w:p w14:paraId="5B2AF66A" w14:textId="79826DC8" w:rsidR="001078DB" w:rsidRPr="00B94FE5" w:rsidRDefault="00D93C64" w:rsidP="001078DB">
            <w:pPr>
              <w:spacing w:after="0" w:line="240" w:lineRule="auto"/>
              <w:jc w:val="right"/>
              <w:rPr>
                <w:rFonts w:ascii="Times New Roman" w:eastAsia="Times New Roman" w:hAnsi="Times New Roman" w:cs="Times New Roman"/>
                <w:i/>
                <w:color w:val="000000"/>
                <w:sz w:val="18"/>
                <w:szCs w:val="18"/>
              </w:rPr>
            </w:pPr>
            <w:r>
              <w:rPr>
                <w:rFonts w:ascii="Times New Roman" w:hAnsi="Times New Roman" w:cs="Times New Roman"/>
                <w:i/>
                <w:color w:val="000000"/>
                <w:sz w:val="18"/>
                <w:szCs w:val="18"/>
              </w:rPr>
              <w:t>13</w:t>
            </w:r>
            <w:r w:rsidR="00912D1B">
              <w:rPr>
                <w:rFonts w:ascii="Times New Roman" w:hAnsi="Times New Roman" w:cs="Times New Roman"/>
                <w:i/>
                <w:color w:val="000000"/>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190A3E49" w14:textId="530242F3" w:rsidR="001078DB" w:rsidRPr="001078DB" w:rsidRDefault="001078DB" w:rsidP="001078DB">
            <w:pPr>
              <w:spacing w:after="0" w:line="240" w:lineRule="auto"/>
              <w:jc w:val="right"/>
              <w:rPr>
                <w:rFonts w:ascii="Times New Roman" w:hAnsi="Times New Roman" w:cs="Times New Roman"/>
                <w:i/>
                <w:color w:val="000000"/>
                <w:sz w:val="18"/>
                <w:szCs w:val="18"/>
              </w:rPr>
            </w:pPr>
            <w:r w:rsidRPr="001078DB">
              <w:rPr>
                <w:rFonts w:ascii="Times New Roman" w:hAnsi="Times New Roman" w:cs="Times New Roman"/>
                <w:i/>
                <w:color w:val="000000"/>
                <w:sz w:val="18"/>
                <w:szCs w:val="18"/>
              </w:rPr>
              <w:t>81%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A2BF4" w14:textId="7E297F6C"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568</w:t>
            </w:r>
          </w:p>
        </w:tc>
        <w:tc>
          <w:tcPr>
            <w:tcW w:w="811" w:type="dxa"/>
            <w:tcBorders>
              <w:top w:val="nil"/>
              <w:left w:val="nil"/>
              <w:bottom w:val="single" w:sz="4" w:space="0" w:color="auto"/>
              <w:right w:val="single" w:sz="4" w:space="0" w:color="auto"/>
            </w:tcBorders>
            <w:shd w:val="clear" w:color="auto" w:fill="auto"/>
            <w:noWrap/>
            <w:vAlign w:val="bottom"/>
            <w:hideMark/>
          </w:tcPr>
          <w:p w14:paraId="3305104D" w14:textId="3B117179" w:rsidR="001078DB" w:rsidRPr="00B94FE5" w:rsidRDefault="001078DB" w:rsidP="001078DB">
            <w:pPr>
              <w:spacing w:after="0" w:line="240" w:lineRule="auto"/>
              <w:jc w:val="right"/>
              <w:rPr>
                <w:rFonts w:ascii="Times New Roman" w:eastAsia="Times New Roman" w:hAnsi="Times New Roman" w:cs="Times New Roman"/>
                <w:color w:val="000000"/>
                <w:sz w:val="18"/>
                <w:szCs w:val="18"/>
                <w:highlight w:val="yellow"/>
              </w:rPr>
            </w:pPr>
            <w:r w:rsidRPr="00B94FE5">
              <w:rPr>
                <w:rFonts w:ascii="Times New Roman" w:hAnsi="Times New Roman" w:cs="Times New Roman"/>
                <w:color w:val="000000"/>
                <w:sz w:val="18"/>
                <w:szCs w:val="18"/>
              </w:rPr>
              <w:t>21.80</w:t>
            </w:r>
          </w:p>
        </w:tc>
        <w:tc>
          <w:tcPr>
            <w:tcW w:w="606" w:type="dxa"/>
            <w:tcBorders>
              <w:top w:val="nil"/>
              <w:left w:val="nil"/>
              <w:bottom w:val="single" w:sz="4" w:space="0" w:color="auto"/>
              <w:right w:val="single" w:sz="4" w:space="0" w:color="auto"/>
            </w:tcBorders>
            <w:shd w:val="clear" w:color="auto" w:fill="auto"/>
            <w:noWrap/>
            <w:vAlign w:val="bottom"/>
            <w:hideMark/>
          </w:tcPr>
          <w:p w14:paraId="644F1996" w14:textId="1B04975E"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155</w:t>
            </w:r>
          </w:p>
        </w:tc>
        <w:tc>
          <w:tcPr>
            <w:tcW w:w="811" w:type="dxa"/>
            <w:tcBorders>
              <w:top w:val="nil"/>
              <w:left w:val="nil"/>
              <w:bottom w:val="single" w:sz="4" w:space="0" w:color="auto"/>
              <w:right w:val="single" w:sz="4" w:space="0" w:color="auto"/>
            </w:tcBorders>
            <w:shd w:val="clear" w:color="auto" w:fill="auto"/>
            <w:noWrap/>
            <w:vAlign w:val="bottom"/>
            <w:hideMark/>
          </w:tcPr>
          <w:p w14:paraId="49957180" w14:textId="31E23341"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4.80</w:t>
            </w:r>
          </w:p>
        </w:tc>
        <w:tc>
          <w:tcPr>
            <w:tcW w:w="607" w:type="dxa"/>
            <w:gridSpan w:val="2"/>
            <w:tcBorders>
              <w:top w:val="nil"/>
              <w:left w:val="nil"/>
              <w:bottom w:val="single" w:sz="4" w:space="0" w:color="auto"/>
              <w:right w:val="single" w:sz="4" w:space="0" w:color="auto"/>
            </w:tcBorders>
            <w:shd w:val="clear" w:color="auto" w:fill="auto"/>
            <w:noWrap/>
            <w:vAlign w:val="bottom"/>
            <w:hideMark/>
          </w:tcPr>
          <w:p w14:paraId="05300575" w14:textId="0182D666"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1100</w:t>
            </w:r>
          </w:p>
        </w:tc>
        <w:tc>
          <w:tcPr>
            <w:tcW w:w="812" w:type="dxa"/>
            <w:tcBorders>
              <w:top w:val="nil"/>
              <w:left w:val="nil"/>
              <w:bottom w:val="single" w:sz="4" w:space="0" w:color="auto"/>
              <w:right w:val="single" w:sz="4" w:space="0" w:color="auto"/>
            </w:tcBorders>
            <w:shd w:val="clear" w:color="auto" w:fill="auto"/>
            <w:noWrap/>
            <w:vAlign w:val="bottom"/>
            <w:hideMark/>
          </w:tcPr>
          <w:p w14:paraId="1E4E17B2" w14:textId="0BDC370F"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29.91</w:t>
            </w:r>
          </w:p>
        </w:tc>
        <w:tc>
          <w:tcPr>
            <w:tcW w:w="605" w:type="dxa"/>
            <w:gridSpan w:val="2"/>
            <w:tcBorders>
              <w:top w:val="nil"/>
              <w:left w:val="nil"/>
              <w:bottom w:val="single" w:sz="4" w:space="0" w:color="auto"/>
              <w:right w:val="single" w:sz="4" w:space="0" w:color="auto"/>
            </w:tcBorders>
            <w:shd w:val="clear" w:color="auto" w:fill="auto"/>
            <w:noWrap/>
            <w:vAlign w:val="bottom"/>
            <w:hideMark/>
          </w:tcPr>
          <w:p w14:paraId="34EFD85D" w14:textId="164FD039"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639</w:t>
            </w:r>
          </w:p>
        </w:tc>
        <w:tc>
          <w:tcPr>
            <w:tcW w:w="812" w:type="dxa"/>
            <w:tcBorders>
              <w:top w:val="nil"/>
              <w:left w:val="nil"/>
              <w:bottom w:val="single" w:sz="4" w:space="0" w:color="auto"/>
              <w:right w:val="single" w:sz="4" w:space="0" w:color="auto"/>
            </w:tcBorders>
            <w:shd w:val="clear" w:color="auto" w:fill="auto"/>
            <w:noWrap/>
            <w:vAlign w:val="bottom"/>
            <w:hideMark/>
          </w:tcPr>
          <w:p w14:paraId="704C334F" w14:textId="3C8B480A"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38.80</w:t>
            </w:r>
          </w:p>
        </w:tc>
        <w:tc>
          <w:tcPr>
            <w:tcW w:w="606" w:type="dxa"/>
            <w:gridSpan w:val="2"/>
            <w:tcBorders>
              <w:top w:val="nil"/>
              <w:left w:val="nil"/>
              <w:bottom w:val="single" w:sz="4" w:space="0" w:color="auto"/>
              <w:right w:val="single" w:sz="4" w:space="0" w:color="auto"/>
            </w:tcBorders>
            <w:shd w:val="clear" w:color="auto" w:fill="auto"/>
            <w:noWrap/>
            <w:vAlign w:val="bottom"/>
            <w:hideMark/>
          </w:tcPr>
          <w:p w14:paraId="36596180" w14:textId="27D0AC5B"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31</w:t>
            </w:r>
          </w:p>
        </w:tc>
        <w:tc>
          <w:tcPr>
            <w:tcW w:w="812" w:type="dxa"/>
            <w:tcBorders>
              <w:top w:val="nil"/>
              <w:left w:val="nil"/>
              <w:bottom w:val="single" w:sz="4" w:space="0" w:color="auto"/>
              <w:right w:val="single" w:sz="4" w:space="0" w:color="auto"/>
            </w:tcBorders>
            <w:shd w:val="clear" w:color="auto" w:fill="auto"/>
            <w:noWrap/>
            <w:vAlign w:val="bottom"/>
            <w:hideMark/>
          </w:tcPr>
          <w:p w14:paraId="1DFE3276" w14:textId="02C81DC1"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3.60</w:t>
            </w:r>
          </w:p>
        </w:tc>
        <w:tc>
          <w:tcPr>
            <w:tcW w:w="683" w:type="dxa"/>
            <w:gridSpan w:val="2"/>
            <w:tcBorders>
              <w:top w:val="nil"/>
              <w:left w:val="nil"/>
              <w:bottom w:val="single" w:sz="4" w:space="0" w:color="auto"/>
              <w:right w:val="single" w:sz="4" w:space="0" w:color="auto"/>
            </w:tcBorders>
            <w:shd w:val="clear" w:color="auto" w:fill="auto"/>
            <w:noWrap/>
            <w:vAlign w:val="bottom"/>
            <w:hideMark/>
          </w:tcPr>
          <w:p w14:paraId="3BE28CDE" w14:textId="37E52933"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940</w:t>
            </w:r>
          </w:p>
        </w:tc>
        <w:tc>
          <w:tcPr>
            <w:tcW w:w="812" w:type="dxa"/>
            <w:tcBorders>
              <w:top w:val="nil"/>
              <w:left w:val="nil"/>
              <w:bottom w:val="single" w:sz="4" w:space="0" w:color="auto"/>
              <w:right w:val="single" w:sz="4" w:space="0" w:color="auto"/>
            </w:tcBorders>
            <w:shd w:val="clear" w:color="auto" w:fill="auto"/>
            <w:noWrap/>
            <w:vAlign w:val="bottom"/>
            <w:hideMark/>
          </w:tcPr>
          <w:p w14:paraId="7D42FCBB" w14:textId="268F7205"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24.04</w:t>
            </w:r>
          </w:p>
        </w:tc>
        <w:tc>
          <w:tcPr>
            <w:tcW w:w="812" w:type="dxa"/>
            <w:gridSpan w:val="2"/>
            <w:tcBorders>
              <w:top w:val="nil"/>
              <w:left w:val="nil"/>
              <w:bottom w:val="single" w:sz="4" w:space="0" w:color="auto"/>
              <w:right w:val="single" w:sz="4" w:space="0" w:color="auto"/>
            </w:tcBorders>
            <w:shd w:val="clear" w:color="auto" w:fill="auto"/>
            <w:noWrap/>
            <w:vAlign w:val="bottom"/>
            <w:hideMark/>
          </w:tcPr>
          <w:p w14:paraId="0DE69B35" w14:textId="2BE28062"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269</w:t>
            </w:r>
          </w:p>
        </w:tc>
        <w:tc>
          <w:tcPr>
            <w:tcW w:w="812" w:type="dxa"/>
            <w:tcBorders>
              <w:top w:val="nil"/>
              <w:left w:val="nil"/>
              <w:bottom w:val="single" w:sz="4" w:space="0" w:color="auto"/>
              <w:right w:val="single" w:sz="4" w:space="0" w:color="auto"/>
            </w:tcBorders>
            <w:shd w:val="clear" w:color="auto" w:fill="auto"/>
            <w:noWrap/>
            <w:vAlign w:val="bottom"/>
            <w:hideMark/>
          </w:tcPr>
          <w:p w14:paraId="62DCEABD" w14:textId="348F2AF8"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14.50</w:t>
            </w:r>
          </w:p>
        </w:tc>
        <w:tc>
          <w:tcPr>
            <w:tcW w:w="732" w:type="dxa"/>
            <w:gridSpan w:val="2"/>
            <w:tcBorders>
              <w:top w:val="nil"/>
              <w:left w:val="nil"/>
              <w:bottom w:val="single" w:sz="4" w:space="0" w:color="auto"/>
              <w:right w:val="single" w:sz="4" w:space="0" w:color="auto"/>
            </w:tcBorders>
            <w:shd w:val="clear" w:color="auto" w:fill="auto"/>
            <w:noWrap/>
            <w:vAlign w:val="bottom"/>
            <w:hideMark/>
          </w:tcPr>
          <w:p w14:paraId="50262E20" w14:textId="34CA7869"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160</w:t>
            </w:r>
          </w:p>
        </w:tc>
        <w:tc>
          <w:tcPr>
            <w:tcW w:w="672" w:type="dxa"/>
            <w:tcBorders>
              <w:top w:val="nil"/>
              <w:left w:val="nil"/>
              <w:bottom w:val="single" w:sz="4" w:space="0" w:color="auto"/>
              <w:right w:val="single" w:sz="4" w:space="0" w:color="auto"/>
            </w:tcBorders>
            <w:shd w:val="clear" w:color="auto" w:fill="auto"/>
            <w:noWrap/>
            <w:vAlign w:val="bottom"/>
            <w:hideMark/>
          </w:tcPr>
          <w:p w14:paraId="63C456D1" w14:textId="28AA6991"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7.70</w:t>
            </w:r>
          </w:p>
        </w:tc>
      </w:tr>
      <w:tr w:rsidR="001078DB" w:rsidRPr="0050758F" w14:paraId="282029B0" w14:textId="77777777" w:rsidTr="001078DB">
        <w:trPr>
          <w:gridAfter w:val="1"/>
          <w:wAfter w:w="22" w:type="dxa"/>
          <w:trHeight w:val="288"/>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E429315" w14:textId="77777777" w:rsidR="001078DB" w:rsidRPr="00BD2C46" w:rsidRDefault="001078DB" w:rsidP="00B94FE5">
            <w:pPr>
              <w:spacing w:after="0" w:line="240" w:lineRule="auto"/>
              <w:rPr>
                <w:rFonts w:ascii="Times New Roman" w:eastAsia="Times New Roman" w:hAnsi="Times New Roman" w:cs="Times New Roman"/>
                <w:b/>
                <w:bCs/>
                <w:color w:val="000000"/>
                <w:sz w:val="16"/>
                <w:szCs w:val="16"/>
              </w:rPr>
            </w:pPr>
            <w:r w:rsidRPr="00BD2C46">
              <w:rPr>
                <w:rFonts w:ascii="Times New Roman" w:eastAsia="Times New Roman" w:hAnsi="Times New Roman" w:cs="Times New Roman"/>
                <w:b/>
                <w:bCs/>
                <w:color w:val="000000"/>
                <w:sz w:val="16"/>
                <w:szCs w:val="16"/>
              </w:rPr>
              <w:t xml:space="preserve">Total </w:t>
            </w:r>
          </w:p>
        </w:tc>
        <w:tc>
          <w:tcPr>
            <w:tcW w:w="851" w:type="dxa"/>
            <w:tcBorders>
              <w:top w:val="single" w:sz="4" w:space="0" w:color="auto"/>
              <w:left w:val="nil"/>
              <w:bottom w:val="single" w:sz="4" w:space="0" w:color="auto"/>
              <w:right w:val="single" w:sz="4" w:space="0" w:color="auto"/>
            </w:tcBorders>
            <w:vAlign w:val="center"/>
          </w:tcPr>
          <w:p w14:paraId="3CBB576A" w14:textId="1CF0EDB0" w:rsidR="001078DB" w:rsidRPr="00B94FE5" w:rsidRDefault="001078DB" w:rsidP="00B94FE5">
            <w:pPr>
              <w:spacing w:after="0" w:line="240" w:lineRule="auto"/>
              <w:jc w:val="right"/>
              <w:rPr>
                <w:rFonts w:ascii="Times New Roman" w:eastAsia="Times New Roman" w:hAnsi="Times New Roman" w:cs="Times New Roman"/>
                <w:b/>
                <w:bCs/>
                <w:color w:val="000000"/>
                <w:sz w:val="18"/>
                <w:szCs w:val="18"/>
              </w:rPr>
            </w:pPr>
            <w:r w:rsidRPr="00B94FE5">
              <w:rPr>
                <w:rFonts w:ascii="Times New Roman" w:hAnsi="Times New Roman" w:cs="Times New Roman"/>
                <w:b/>
                <w:bCs/>
                <w:i/>
                <w:iCs/>
                <w:color w:val="000000"/>
                <w:sz w:val="18"/>
                <w:szCs w:val="18"/>
              </w:rPr>
              <w:t>4794</w:t>
            </w:r>
          </w:p>
        </w:tc>
        <w:tc>
          <w:tcPr>
            <w:tcW w:w="1134" w:type="dxa"/>
            <w:tcBorders>
              <w:top w:val="single" w:sz="4" w:space="0" w:color="auto"/>
              <w:left w:val="single" w:sz="4" w:space="0" w:color="auto"/>
              <w:bottom w:val="single" w:sz="4" w:space="0" w:color="auto"/>
              <w:right w:val="single" w:sz="4" w:space="0" w:color="auto"/>
            </w:tcBorders>
            <w:vAlign w:val="center"/>
          </w:tcPr>
          <w:p w14:paraId="39E42FF1" w14:textId="34122457" w:rsidR="001078DB" w:rsidRPr="00B94FE5" w:rsidRDefault="001078DB" w:rsidP="00B94FE5">
            <w:pPr>
              <w:spacing w:after="0" w:line="240" w:lineRule="auto"/>
              <w:jc w:val="right"/>
              <w:rPr>
                <w:rFonts w:ascii="Times New Roman" w:eastAsia="Times New Roman" w:hAnsi="Times New Roman" w:cs="Times New Roman"/>
                <w:b/>
                <w:bCs/>
                <w:color w:val="000000"/>
                <w:sz w:val="18"/>
                <w:szCs w:val="18"/>
              </w:rPr>
            </w:pPr>
            <w:r w:rsidRPr="00B94FE5">
              <w:rPr>
                <w:rFonts w:ascii="Times New Roman" w:hAnsi="Times New Roman" w:cs="Times New Roman"/>
                <w:b/>
                <w:bCs/>
                <w:i/>
                <w:iCs/>
                <w:color w:val="000000"/>
                <w:sz w:val="18"/>
                <w:szCs w:val="18"/>
              </w:rPr>
              <w:t>1,169.08</w:t>
            </w:r>
          </w:p>
        </w:tc>
        <w:tc>
          <w:tcPr>
            <w:tcW w:w="850" w:type="dxa"/>
            <w:tcBorders>
              <w:top w:val="single" w:sz="4" w:space="0" w:color="auto"/>
              <w:left w:val="single" w:sz="4" w:space="0" w:color="auto"/>
              <w:bottom w:val="single" w:sz="4" w:space="0" w:color="auto"/>
              <w:right w:val="single" w:sz="4" w:space="0" w:color="auto"/>
            </w:tcBorders>
            <w:vAlign w:val="center"/>
          </w:tcPr>
          <w:p w14:paraId="0EEB3896" w14:textId="7D4B2B58" w:rsidR="001078DB" w:rsidRPr="0050758F" w:rsidRDefault="001078DB" w:rsidP="001078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100%</w:t>
            </w:r>
          </w:p>
        </w:tc>
        <w:tc>
          <w:tcPr>
            <w:tcW w:w="709" w:type="dxa"/>
            <w:tcBorders>
              <w:top w:val="single" w:sz="4" w:space="0" w:color="auto"/>
              <w:left w:val="single" w:sz="4" w:space="0" w:color="auto"/>
              <w:bottom w:val="single" w:sz="4" w:space="0" w:color="auto"/>
              <w:right w:val="single" w:sz="4" w:space="0" w:color="auto"/>
            </w:tcBorders>
          </w:tcPr>
          <w:p w14:paraId="6F6471F6" w14:textId="7DEEA3D8" w:rsidR="001078DB" w:rsidRPr="00B94FE5" w:rsidRDefault="001078DB" w:rsidP="00B94FE5">
            <w:pPr>
              <w:spacing w:after="0" w:line="240" w:lineRule="auto"/>
              <w:jc w:val="right"/>
              <w:rPr>
                <w:rFonts w:ascii="Times New Roman" w:hAnsi="Times New Roman" w:cs="Times New Roman"/>
                <w:b/>
                <w:bCs/>
                <w:color w:val="000000"/>
                <w:sz w:val="18"/>
                <w:szCs w:val="18"/>
              </w:rPr>
            </w:pPr>
            <w:r>
              <w:rPr>
                <w:rFonts w:ascii="Times New Roman" w:hAnsi="Times New Roman" w:cs="Times New Roman"/>
                <w:b/>
                <w:bCs/>
                <w:color w:val="000000"/>
                <w:sz w:val="18"/>
                <w:szCs w:val="18"/>
              </w:rPr>
              <w:t>100%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1906D" w14:textId="3904274C" w:rsidR="001078DB" w:rsidRPr="00B94FE5" w:rsidRDefault="001078DB" w:rsidP="00B94FE5">
            <w:pPr>
              <w:spacing w:after="0" w:line="240" w:lineRule="auto"/>
              <w:jc w:val="right"/>
              <w:rPr>
                <w:rFonts w:ascii="Times New Roman" w:eastAsia="Times New Roman" w:hAnsi="Times New Roman" w:cs="Times New Roman"/>
                <w:b/>
                <w:bCs/>
                <w:color w:val="000000"/>
                <w:sz w:val="18"/>
                <w:szCs w:val="18"/>
              </w:rPr>
            </w:pPr>
            <w:r w:rsidRPr="00B94FE5">
              <w:rPr>
                <w:rFonts w:ascii="Times New Roman" w:hAnsi="Times New Roman" w:cs="Times New Roman"/>
                <w:b/>
                <w:bCs/>
                <w:color w:val="000000"/>
                <w:sz w:val="18"/>
                <w:szCs w:val="18"/>
              </w:rPr>
              <w:t>611</w:t>
            </w:r>
          </w:p>
        </w:tc>
        <w:tc>
          <w:tcPr>
            <w:tcW w:w="811" w:type="dxa"/>
            <w:tcBorders>
              <w:top w:val="nil"/>
              <w:left w:val="nil"/>
              <w:bottom w:val="single" w:sz="4" w:space="0" w:color="auto"/>
              <w:right w:val="single" w:sz="4" w:space="0" w:color="auto"/>
            </w:tcBorders>
            <w:shd w:val="clear" w:color="auto" w:fill="auto"/>
            <w:noWrap/>
            <w:vAlign w:val="bottom"/>
            <w:hideMark/>
          </w:tcPr>
          <w:p w14:paraId="4BDE92EB" w14:textId="59D39891" w:rsidR="001078DB" w:rsidRPr="00B94FE5" w:rsidRDefault="001078DB" w:rsidP="00B94FE5">
            <w:pPr>
              <w:spacing w:after="0" w:line="240" w:lineRule="auto"/>
              <w:jc w:val="right"/>
              <w:rPr>
                <w:rFonts w:ascii="Times New Roman" w:eastAsia="Times New Roman" w:hAnsi="Times New Roman" w:cs="Times New Roman"/>
                <w:b/>
                <w:bCs/>
                <w:color w:val="000000"/>
                <w:sz w:val="18"/>
                <w:szCs w:val="18"/>
                <w:highlight w:val="yellow"/>
              </w:rPr>
            </w:pPr>
            <w:r w:rsidRPr="00B94FE5">
              <w:rPr>
                <w:rFonts w:ascii="Times New Roman" w:hAnsi="Times New Roman" w:cs="Times New Roman"/>
                <w:b/>
                <w:bCs/>
                <w:color w:val="000000"/>
                <w:sz w:val="18"/>
                <w:szCs w:val="18"/>
              </w:rPr>
              <w:t>143.20</w:t>
            </w:r>
          </w:p>
        </w:tc>
        <w:tc>
          <w:tcPr>
            <w:tcW w:w="606" w:type="dxa"/>
            <w:tcBorders>
              <w:top w:val="nil"/>
              <w:left w:val="nil"/>
              <w:bottom w:val="single" w:sz="4" w:space="0" w:color="auto"/>
              <w:right w:val="single" w:sz="4" w:space="0" w:color="auto"/>
            </w:tcBorders>
            <w:shd w:val="clear" w:color="auto" w:fill="auto"/>
            <w:noWrap/>
            <w:vAlign w:val="bottom"/>
            <w:hideMark/>
          </w:tcPr>
          <w:p w14:paraId="34B71BBC" w14:textId="40F9BEFE" w:rsidR="001078DB" w:rsidRPr="00B94FE5" w:rsidRDefault="001078DB" w:rsidP="00B94FE5">
            <w:pPr>
              <w:spacing w:after="0" w:line="240" w:lineRule="auto"/>
              <w:jc w:val="right"/>
              <w:rPr>
                <w:rFonts w:ascii="Times New Roman" w:eastAsia="Times New Roman" w:hAnsi="Times New Roman" w:cs="Times New Roman"/>
                <w:b/>
                <w:bCs/>
                <w:color w:val="000000"/>
                <w:sz w:val="18"/>
                <w:szCs w:val="18"/>
              </w:rPr>
            </w:pPr>
            <w:r w:rsidRPr="00B94FE5">
              <w:rPr>
                <w:rFonts w:ascii="Times New Roman" w:hAnsi="Times New Roman" w:cs="Times New Roman"/>
                <w:b/>
                <w:bCs/>
                <w:color w:val="000000"/>
                <w:sz w:val="18"/>
                <w:szCs w:val="18"/>
              </w:rPr>
              <w:t>198</w:t>
            </w:r>
          </w:p>
        </w:tc>
        <w:tc>
          <w:tcPr>
            <w:tcW w:w="811" w:type="dxa"/>
            <w:tcBorders>
              <w:top w:val="nil"/>
              <w:left w:val="nil"/>
              <w:bottom w:val="single" w:sz="4" w:space="0" w:color="auto"/>
              <w:right w:val="single" w:sz="4" w:space="0" w:color="auto"/>
            </w:tcBorders>
            <w:shd w:val="clear" w:color="auto" w:fill="auto"/>
            <w:noWrap/>
            <w:vAlign w:val="bottom"/>
            <w:hideMark/>
          </w:tcPr>
          <w:p w14:paraId="6FAFD762" w14:textId="33BF2DAA" w:rsidR="001078DB" w:rsidRPr="00B94FE5" w:rsidRDefault="001078DB" w:rsidP="00B94FE5">
            <w:pPr>
              <w:spacing w:after="0" w:line="240" w:lineRule="auto"/>
              <w:jc w:val="right"/>
              <w:rPr>
                <w:rFonts w:ascii="Times New Roman" w:eastAsia="Times New Roman" w:hAnsi="Times New Roman" w:cs="Times New Roman"/>
                <w:b/>
                <w:bCs/>
                <w:color w:val="000000"/>
                <w:sz w:val="18"/>
                <w:szCs w:val="18"/>
              </w:rPr>
            </w:pPr>
            <w:r w:rsidRPr="00B94FE5">
              <w:rPr>
                <w:rFonts w:ascii="Times New Roman" w:hAnsi="Times New Roman" w:cs="Times New Roman"/>
                <w:b/>
                <w:bCs/>
                <w:color w:val="000000"/>
                <w:sz w:val="18"/>
                <w:szCs w:val="18"/>
              </w:rPr>
              <w:t>25.60</w:t>
            </w:r>
          </w:p>
        </w:tc>
        <w:tc>
          <w:tcPr>
            <w:tcW w:w="607" w:type="dxa"/>
            <w:gridSpan w:val="2"/>
            <w:tcBorders>
              <w:top w:val="nil"/>
              <w:left w:val="nil"/>
              <w:bottom w:val="single" w:sz="4" w:space="0" w:color="auto"/>
              <w:right w:val="single" w:sz="4" w:space="0" w:color="auto"/>
            </w:tcBorders>
            <w:shd w:val="clear" w:color="auto" w:fill="auto"/>
            <w:noWrap/>
            <w:vAlign w:val="bottom"/>
            <w:hideMark/>
          </w:tcPr>
          <w:p w14:paraId="47E6AD82" w14:textId="7E39F7D5" w:rsidR="001078DB" w:rsidRPr="00B94FE5" w:rsidRDefault="001078DB" w:rsidP="00B94FE5">
            <w:pPr>
              <w:spacing w:after="0" w:line="240" w:lineRule="auto"/>
              <w:jc w:val="right"/>
              <w:rPr>
                <w:rFonts w:ascii="Times New Roman" w:eastAsia="Times New Roman" w:hAnsi="Times New Roman" w:cs="Times New Roman"/>
                <w:b/>
                <w:bCs/>
                <w:color w:val="000000"/>
                <w:sz w:val="18"/>
                <w:szCs w:val="18"/>
              </w:rPr>
            </w:pPr>
            <w:r w:rsidRPr="00B94FE5">
              <w:rPr>
                <w:rFonts w:ascii="Times New Roman" w:hAnsi="Times New Roman" w:cs="Times New Roman"/>
                <w:b/>
                <w:bCs/>
                <w:color w:val="000000"/>
                <w:sz w:val="18"/>
                <w:szCs w:val="18"/>
              </w:rPr>
              <w:t>1701</w:t>
            </w:r>
          </w:p>
        </w:tc>
        <w:tc>
          <w:tcPr>
            <w:tcW w:w="812" w:type="dxa"/>
            <w:tcBorders>
              <w:top w:val="nil"/>
              <w:left w:val="nil"/>
              <w:bottom w:val="single" w:sz="4" w:space="0" w:color="auto"/>
              <w:right w:val="single" w:sz="4" w:space="0" w:color="auto"/>
            </w:tcBorders>
            <w:shd w:val="clear" w:color="auto" w:fill="auto"/>
            <w:noWrap/>
            <w:vAlign w:val="bottom"/>
            <w:hideMark/>
          </w:tcPr>
          <w:p w14:paraId="779B2512" w14:textId="53A4E5C7" w:rsidR="001078DB" w:rsidRPr="00B94FE5" w:rsidRDefault="001078DB" w:rsidP="00B94FE5">
            <w:pPr>
              <w:spacing w:after="0" w:line="240" w:lineRule="auto"/>
              <w:jc w:val="right"/>
              <w:rPr>
                <w:rFonts w:ascii="Times New Roman" w:eastAsia="Times New Roman" w:hAnsi="Times New Roman" w:cs="Times New Roman"/>
                <w:b/>
                <w:bCs/>
                <w:color w:val="000000"/>
                <w:sz w:val="18"/>
                <w:szCs w:val="18"/>
              </w:rPr>
            </w:pPr>
            <w:r w:rsidRPr="00B94FE5">
              <w:rPr>
                <w:rFonts w:ascii="Times New Roman" w:hAnsi="Times New Roman" w:cs="Times New Roman"/>
                <w:b/>
                <w:bCs/>
                <w:color w:val="000000"/>
                <w:sz w:val="18"/>
                <w:szCs w:val="18"/>
              </w:rPr>
              <w:t>593.11</w:t>
            </w:r>
          </w:p>
        </w:tc>
        <w:tc>
          <w:tcPr>
            <w:tcW w:w="605" w:type="dxa"/>
            <w:gridSpan w:val="2"/>
            <w:tcBorders>
              <w:top w:val="nil"/>
              <w:left w:val="nil"/>
              <w:bottom w:val="single" w:sz="4" w:space="0" w:color="auto"/>
              <w:right w:val="single" w:sz="4" w:space="0" w:color="auto"/>
            </w:tcBorders>
            <w:shd w:val="clear" w:color="auto" w:fill="auto"/>
            <w:noWrap/>
            <w:vAlign w:val="bottom"/>
            <w:hideMark/>
          </w:tcPr>
          <w:p w14:paraId="15EA235F" w14:textId="132D5854" w:rsidR="001078DB" w:rsidRPr="00B94FE5" w:rsidRDefault="001078DB" w:rsidP="00B94FE5">
            <w:pPr>
              <w:spacing w:after="0" w:line="240" w:lineRule="auto"/>
              <w:jc w:val="right"/>
              <w:rPr>
                <w:rFonts w:ascii="Times New Roman" w:eastAsia="Times New Roman" w:hAnsi="Times New Roman" w:cs="Times New Roman"/>
                <w:b/>
                <w:bCs/>
                <w:color w:val="000000"/>
                <w:sz w:val="18"/>
                <w:szCs w:val="18"/>
              </w:rPr>
            </w:pPr>
            <w:r w:rsidRPr="00B94FE5">
              <w:rPr>
                <w:rFonts w:ascii="Times New Roman" w:hAnsi="Times New Roman" w:cs="Times New Roman"/>
                <w:b/>
                <w:bCs/>
                <w:color w:val="000000"/>
                <w:sz w:val="18"/>
                <w:szCs w:val="18"/>
              </w:rPr>
              <w:t>713</w:t>
            </w:r>
          </w:p>
        </w:tc>
        <w:tc>
          <w:tcPr>
            <w:tcW w:w="812" w:type="dxa"/>
            <w:tcBorders>
              <w:top w:val="nil"/>
              <w:left w:val="nil"/>
              <w:bottom w:val="single" w:sz="4" w:space="0" w:color="auto"/>
              <w:right w:val="single" w:sz="4" w:space="0" w:color="auto"/>
            </w:tcBorders>
            <w:shd w:val="clear" w:color="auto" w:fill="auto"/>
            <w:noWrap/>
            <w:vAlign w:val="bottom"/>
            <w:hideMark/>
          </w:tcPr>
          <w:p w14:paraId="525BA27E" w14:textId="670F24D2" w:rsidR="001078DB" w:rsidRPr="00B94FE5" w:rsidRDefault="001078DB" w:rsidP="00B94FE5">
            <w:pPr>
              <w:spacing w:after="0" w:line="240" w:lineRule="auto"/>
              <w:jc w:val="right"/>
              <w:rPr>
                <w:rFonts w:ascii="Times New Roman" w:eastAsia="Times New Roman" w:hAnsi="Times New Roman" w:cs="Times New Roman"/>
                <w:b/>
                <w:bCs/>
                <w:color w:val="000000"/>
                <w:sz w:val="18"/>
                <w:szCs w:val="18"/>
              </w:rPr>
            </w:pPr>
            <w:r w:rsidRPr="00B94FE5">
              <w:rPr>
                <w:rFonts w:ascii="Times New Roman" w:hAnsi="Times New Roman" w:cs="Times New Roman"/>
                <w:b/>
                <w:bCs/>
                <w:color w:val="000000"/>
                <w:sz w:val="18"/>
                <w:szCs w:val="18"/>
              </w:rPr>
              <w:t>104.80</w:t>
            </w:r>
          </w:p>
        </w:tc>
        <w:tc>
          <w:tcPr>
            <w:tcW w:w="606" w:type="dxa"/>
            <w:gridSpan w:val="2"/>
            <w:tcBorders>
              <w:top w:val="nil"/>
              <w:left w:val="nil"/>
              <w:bottom w:val="single" w:sz="4" w:space="0" w:color="auto"/>
              <w:right w:val="single" w:sz="4" w:space="0" w:color="auto"/>
            </w:tcBorders>
            <w:shd w:val="clear" w:color="auto" w:fill="auto"/>
            <w:noWrap/>
            <w:vAlign w:val="bottom"/>
            <w:hideMark/>
          </w:tcPr>
          <w:p w14:paraId="20759158" w14:textId="04783E86" w:rsidR="001078DB" w:rsidRPr="00B94FE5" w:rsidRDefault="001078DB" w:rsidP="00B94FE5">
            <w:pPr>
              <w:spacing w:after="0" w:line="240" w:lineRule="auto"/>
              <w:jc w:val="right"/>
              <w:rPr>
                <w:rFonts w:ascii="Times New Roman" w:eastAsia="Times New Roman" w:hAnsi="Times New Roman" w:cs="Times New Roman"/>
                <w:b/>
                <w:bCs/>
                <w:color w:val="000000"/>
                <w:sz w:val="18"/>
                <w:szCs w:val="18"/>
              </w:rPr>
            </w:pPr>
            <w:r w:rsidRPr="00B94FE5">
              <w:rPr>
                <w:rFonts w:ascii="Times New Roman" w:hAnsi="Times New Roman" w:cs="Times New Roman"/>
                <w:b/>
                <w:bCs/>
                <w:color w:val="000000"/>
                <w:sz w:val="18"/>
                <w:szCs w:val="18"/>
              </w:rPr>
              <w:t>41</w:t>
            </w:r>
          </w:p>
        </w:tc>
        <w:tc>
          <w:tcPr>
            <w:tcW w:w="812" w:type="dxa"/>
            <w:tcBorders>
              <w:top w:val="nil"/>
              <w:left w:val="nil"/>
              <w:bottom w:val="single" w:sz="4" w:space="0" w:color="auto"/>
              <w:right w:val="single" w:sz="4" w:space="0" w:color="auto"/>
            </w:tcBorders>
            <w:shd w:val="clear" w:color="auto" w:fill="auto"/>
            <w:noWrap/>
            <w:vAlign w:val="bottom"/>
            <w:hideMark/>
          </w:tcPr>
          <w:p w14:paraId="5955A114" w14:textId="5E5E6041" w:rsidR="001078DB" w:rsidRPr="00B94FE5" w:rsidRDefault="001078DB" w:rsidP="00B94FE5">
            <w:pPr>
              <w:spacing w:after="0" w:line="240" w:lineRule="auto"/>
              <w:jc w:val="right"/>
              <w:rPr>
                <w:rFonts w:ascii="Times New Roman" w:eastAsia="Times New Roman" w:hAnsi="Times New Roman" w:cs="Times New Roman"/>
                <w:b/>
                <w:bCs/>
                <w:color w:val="000000"/>
                <w:sz w:val="18"/>
                <w:szCs w:val="18"/>
              </w:rPr>
            </w:pPr>
            <w:r w:rsidRPr="00B94FE5">
              <w:rPr>
                <w:rFonts w:ascii="Times New Roman" w:hAnsi="Times New Roman" w:cs="Times New Roman"/>
                <w:b/>
                <w:bCs/>
                <w:color w:val="000000"/>
                <w:sz w:val="18"/>
                <w:szCs w:val="18"/>
              </w:rPr>
              <w:t>19.20</w:t>
            </w:r>
          </w:p>
        </w:tc>
        <w:tc>
          <w:tcPr>
            <w:tcW w:w="683" w:type="dxa"/>
            <w:gridSpan w:val="2"/>
            <w:tcBorders>
              <w:top w:val="nil"/>
              <w:left w:val="nil"/>
              <w:bottom w:val="single" w:sz="4" w:space="0" w:color="auto"/>
              <w:right w:val="single" w:sz="4" w:space="0" w:color="auto"/>
            </w:tcBorders>
            <w:shd w:val="clear" w:color="auto" w:fill="auto"/>
            <w:noWrap/>
            <w:vAlign w:val="bottom"/>
            <w:hideMark/>
          </w:tcPr>
          <w:p w14:paraId="45115A60" w14:textId="31FB6BB6" w:rsidR="001078DB" w:rsidRPr="00B94FE5" w:rsidRDefault="001078DB" w:rsidP="00B94FE5">
            <w:pPr>
              <w:spacing w:after="0" w:line="240" w:lineRule="auto"/>
              <w:jc w:val="right"/>
              <w:rPr>
                <w:rFonts w:ascii="Times New Roman" w:eastAsia="Times New Roman" w:hAnsi="Times New Roman" w:cs="Times New Roman"/>
                <w:b/>
                <w:bCs/>
                <w:color w:val="000000"/>
                <w:sz w:val="18"/>
                <w:szCs w:val="18"/>
              </w:rPr>
            </w:pPr>
            <w:r w:rsidRPr="00B94FE5">
              <w:rPr>
                <w:rFonts w:ascii="Times New Roman" w:hAnsi="Times New Roman" w:cs="Times New Roman"/>
                <w:b/>
                <w:bCs/>
                <w:color w:val="000000"/>
                <w:sz w:val="18"/>
                <w:szCs w:val="18"/>
              </w:rPr>
              <w:t>1057</w:t>
            </w:r>
          </w:p>
        </w:tc>
        <w:tc>
          <w:tcPr>
            <w:tcW w:w="812" w:type="dxa"/>
            <w:tcBorders>
              <w:top w:val="nil"/>
              <w:left w:val="nil"/>
              <w:bottom w:val="single" w:sz="4" w:space="0" w:color="auto"/>
              <w:right w:val="single" w:sz="4" w:space="0" w:color="auto"/>
            </w:tcBorders>
            <w:shd w:val="clear" w:color="auto" w:fill="auto"/>
            <w:noWrap/>
            <w:vAlign w:val="bottom"/>
            <w:hideMark/>
          </w:tcPr>
          <w:p w14:paraId="45C4F41C" w14:textId="1B60B5BC" w:rsidR="001078DB" w:rsidRPr="00B94FE5" w:rsidRDefault="001078DB" w:rsidP="00B94FE5">
            <w:pPr>
              <w:spacing w:after="0" w:line="240" w:lineRule="auto"/>
              <w:jc w:val="right"/>
              <w:rPr>
                <w:rFonts w:ascii="Times New Roman" w:eastAsia="Times New Roman" w:hAnsi="Times New Roman" w:cs="Times New Roman"/>
                <w:b/>
                <w:bCs/>
                <w:color w:val="000000"/>
                <w:sz w:val="18"/>
                <w:szCs w:val="18"/>
              </w:rPr>
            </w:pPr>
            <w:r w:rsidRPr="00B94FE5">
              <w:rPr>
                <w:rFonts w:ascii="Times New Roman" w:hAnsi="Times New Roman" w:cs="Times New Roman"/>
                <w:b/>
                <w:bCs/>
                <w:color w:val="000000"/>
                <w:sz w:val="18"/>
                <w:szCs w:val="18"/>
              </w:rPr>
              <w:t>199.67</w:t>
            </w:r>
          </w:p>
        </w:tc>
        <w:tc>
          <w:tcPr>
            <w:tcW w:w="812" w:type="dxa"/>
            <w:gridSpan w:val="2"/>
            <w:tcBorders>
              <w:top w:val="nil"/>
              <w:left w:val="nil"/>
              <w:bottom w:val="single" w:sz="4" w:space="0" w:color="auto"/>
              <w:right w:val="single" w:sz="4" w:space="0" w:color="auto"/>
            </w:tcBorders>
            <w:shd w:val="clear" w:color="auto" w:fill="auto"/>
            <w:noWrap/>
            <w:vAlign w:val="bottom"/>
            <w:hideMark/>
          </w:tcPr>
          <w:p w14:paraId="2FD5AAD8" w14:textId="7C250126" w:rsidR="001078DB" w:rsidRPr="00B94FE5" w:rsidRDefault="001078DB" w:rsidP="00B94FE5">
            <w:pPr>
              <w:spacing w:after="0" w:line="240" w:lineRule="auto"/>
              <w:jc w:val="right"/>
              <w:rPr>
                <w:rFonts w:ascii="Times New Roman" w:eastAsia="Times New Roman" w:hAnsi="Times New Roman" w:cs="Times New Roman"/>
                <w:b/>
                <w:bCs/>
                <w:color w:val="000000"/>
                <w:sz w:val="18"/>
                <w:szCs w:val="18"/>
              </w:rPr>
            </w:pPr>
            <w:r w:rsidRPr="00B94FE5">
              <w:rPr>
                <w:rFonts w:ascii="Times New Roman" w:hAnsi="Times New Roman" w:cs="Times New Roman"/>
                <w:b/>
                <w:bCs/>
                <w:color w:val="000000"/>
                <w:sz w:val="18"/>
                <w:szCs w:val="18"/>
              </w:rPr>
              <w:t>307</w:t>
            </w:r>
          </w:p>
        </w:tc>
        <w:tc>
          <w:tcPr>
            <w:tcW w:w="812" w:type="dxa"/>
            <w:tcBorders>
              <w:top w:val="nil"/>
              <w:left w:val="nil"/>
              <w:bottom w:val="single" w:sz="4" w:space="0" w:color="auto"/>
              <w:right w:val="single" w:sz="4" w:space="0" w:color="auto"/>
            </w:tcBorders>
            <w:shd w:val="clear" w:color="auto" w:fill="auto"/>
            <w:noWrap/>
            <w:vAlign w:val="bottom"/>
            <w:hideMark/>
          </w:tcPr>
          <w:p w14:paraId="3307DDB0" w14:textId="3D59FC27" w:rsidR="001078DB" w:rsidRPr="00B94FE5" w:rsidRDefault="001078DB" w:rsidP="00B94FE5">
            <w:pPr>
              <w:spacing w:after="0" w:line="240" w:lineRule="auto"/>
              <w:jc w:val="right"/>
              <w:rPr>
                <w:rFonts w:ascii="Times New Roman" w:eastAsia="Times New Roman" w:hAnsi="Times New Roman" w:cs="Times New Roman"/>
                <w:b/>
                <w:bCs/>
                <w:color w:val="000000"/>
                <w:sz w:val="18"/>
                <w:szCs w:val="18"/>
              </w:rPr>
            </w:pPr>
            <w:r w:rsidRPr="00B94FE5">
              <w:rPr>
                <w:rFonts w:ascii="Times New Roman" w:hAnsi="Times New Roman" w:cs="Times New Roman"/>
                <w:b/>
                <w:bCs/>
                <w:color w:val="000000"/>
                <w:sz w:val="18"/>
                <w:szCs w:val="18"/>
              </w:rPr>
              <w:t>59.90</w:t>
            </w:r>
          </w:p>
        </w:tc>
        <w:tc>
          <w:tcPr>
            <w:tcW w:w="732" w:type="dxa"/>
            <w:gridSpan w:val="2"/>
            <w:tcBorders>
              <w:top w:val="nil"/>
              <w:left w:val="nil"/>
              <w:bottom w:val="single" w:sz="4" w:space="0" w:color="auto"/>
              <w:right w:val="single" w:sz="4" w:space="0" w:color="auto"/>
            </w:tcBorders>
            <w:shd w:val="clear" w:color="auto" w:fill="auto"/>
            <w:noWrap/>
            <w:vAlign w:val="bottom"/>
            <w:hideMark/>
          </w:tcPr>
          <w:p w14:paraId="4FD06BC6" w14:textId="53C61D9E" w:rsidR="001078DB" w:rsidRPr="00B94FE5" w:rsidRDefault="001078DB" w:rsidP="00B94FE5">
            <w:pPr>
              <w:spacing w:after="0" w:line="240" w:lineRule="auto"/>
              <w:jc w:val="right"/>
              <w:rPr>
                <w:rFonts w:ascii="Times New Roman" w:eastAsia="Times New Roman" w:hAnsi="Times New Roman" w:cs="Times New Roman"/>
                <w:b/>
                <w:bCs/>
                <w:color w:val="000000"/>
                <w:sz w:val="18"/>
                <w:szCs w:val="18"/>
              </w:rPr>
            </w:pPr>
            <w:r w:rsidRPr="00B94FE5">
              <w:rPr>
                <w:rFonts w:ascii="Times New Roman" w:hAnsi="Times New Roman" w:cs="Times New Roman"/>
                <w:b/>
                <w:bCs/>
                <w:color w:val="000000"/>
                <w:sz w:val="18"/>
                <w:szCs w:val="18"/>
              </w:rPr>
              <w:t>166</w:t>
            </w:r>
          </w:p>
        </w:tc>
        <w:tc>
          <w:tcPr>
            <w:tcW w:w="672" w:type="dxa"/>
            <w:tcBorders>
              <w:top w:val="nil"/>
              <w:left w:val="nil"/>
              <w:bottom w:val="single" w:sz="4" w:space="0" w:color="auto"/>
              <w:right w:val="single" w:sz="4" w:space="0" w:color="auto"/>
            </w:tcBorders>
            <w:shd w:val="clear" w:color="auto" w:fill="auto"/>
            <w:noWrap/>
            <w:vAlign w:val="bottom"/>
            <w:hideMark/>
          </w:tcPr>
          <w:p w14:paraId="09C365AC" w14:textId="0FFBEA1A" w:rsidR="001078DB" w:rsidRPr="00B94FE5" w:rsidRDefault="001078DB" w:rsidP="00B94FE5">
            <w:pPr>
              <w:spacing w:after="0" w:line="240" w:lineRule="auto"/>
              <w:jc w:val="right"/>
              <w:rPr>
                <w:rFonts w:ascii="Times New Roman" w:eastAsia="Times New Roman" w:hAnsi="Times New Roman" w:cs="Times New Roman"/>
                <w:b/>
                <w:bCs/>
                <w:color w:val="000000"/>
                <w:sz w:val="18"/>
                <w:szCs w:val="18"/>
              </w:rPr>
            </w:pPr>
            <w:r w:rsidRPr="00B94FE5">
              <w:rPr>
                <w:rFonts w:ascii="Times New Roman" w:hAnsi="Times New Roman" w:cs="Times New Roman"/>
                <w:b/>
                <w:bCs/>
                <w:color w:val="000000"/>
                <w:sz w:val="18"/>
                <w:szCs w:val="18"/>
              </w:rPr>
              <w:t>23.60</w:t>
            </w:r>
          </w:p>
        </w:tc>
      </w:tr>
    </w:tbl>
    <w:p w14:paraId="17F4876D" w14:textId="1004459D" w:rsidR="003C7E08" w:rsidRPr="00000D4A" w:rsidRDefault="003C7E08" w:rsidP="003C7E08">
      <w:pPr>
        <w:pStyle w:val="af0"/>
        <w:tabs>
          <w:tab w:val="left" w:pos="5869"/>
        </w:tabs>
        <w:spacing w:after="360" w:line="276" w:lineRule="auto"/>
        <w:rPr>
          <w:rFonts w:eastAsia="Times New Roman"/>
          <w:i/>
          <w:sz w:val="16"/>
          <w:szCs w:val="16"/>
          <w:lang w:eastAsia="ro-MD"/>
        </w:rPr>
      </w:pPr>
      <w:r w:rsidRPr="003C7E08">
        <w:rPr>
          <w:rFonts w:eastAsia="Times New Roman"/>
          <w:lang w:eastAsia="ro-MD"/>
        </w:rPr>
        <w:t>Datele</w:t>
      </w:r>
      <w:r>
        <w:rPr>
          <w:rFonts w:eastAsia="Times New Roman"/>
          <w:lang w:eastAsia="ro-MD"/>
        </w:rPr>
        <w:t xml:space="preserve"> din tabel</w:t>
      </w:r>
      <w:r w:rsidRPr="003C7E08">
        <w:rPr>
          <w:rFonts w:eastAsia="Times New Roman"/>
          <w:lang w:eastAsia="ro-MD"/>
        </w:rPr>
        <w:t xml:space="preserve"> denotă că</w:t>
      </w:r>
      <w:r w:rsidR="00BA69A9">
        <w:rPr>
          <w:rFonts w:eastAsia="Times New Roman"/>
          <w:lang w:eastAsia="ro-MD"/>
        </w:rPr>
        <w:t xml:space="preserve"> </w:t>
      </w:r>
      <w:r w:rsidRPr="003C0F3C">
        <w:t>ponderea majoră o deține ASP de 593,1 mil.</w:t>
      </w:r>
      <w:r>
        <w:t xml:space="preserve"> lei </w:t>
      </w:r>
      <w:r w:rsidRPr="00785EB6">
        <w:rPr>
          <w:i/>
        </w:rPr>
        <w:t>(51,8%),</w:t>
      </w:r>
      <w:r w:rsidRPr="003C0F3C">
        <w:t xml:space="preserve"> </w:t>
      </w:r>
      <w:r>
        <w:t xml:space="preserve">urmat de </w:t>
      </w:r>
      <w:r w:rsidRPr="003C0F3C">
        <w:t>STISC – de 199,7 mil. lei</w:t>
      </w:r>
      <w:r>
        <w:t xml:space="preserve"> </w:t>
      </w:r>
      <w:r w:rsidRPr="00785EB6">
        <w:rPr>
          <w:i/>
        </w:rPr>
        <w:t>(17,4%)</w:t>
      </w:r>
      <w:r w:rsidRPr="003C0F3C">
        <w:t>, CS – de 14</w:t>
      </w:r>
      <w:r w:rsidR="00B94FE5">
        <w:t>3,2</w:t>
      </w:r>
      <w:r w:rsidRPr="003C0F3C">
        <w:t xml:space="preserve"> mil. lei</w:t>
      </w:r>
      <w:r>
        <w:t xml:space="preserve"> (</w:t>
      </w:r>
      <w:r w:rsidRPr="00785EB6">
        <w:rPr>
          <w:i/>
        </w:rPr>
        <w:t>12,5%)</w:t>
      </w:r>
      <w:r>
        <w:t>,</w:t>
      </w:r>
      <w:r w:rsidR="00BA69A9">
        <w:t xml:space="preserve"> </w:t>
      </w:r>
      <w:r w:rsidRPr="003C0F3C">
        <w:t>DGACG – de 104,8 mil.</w:t>
      </w:r>
      <w:r>
        <w:t xml:space="preserve"> lei </w:t>
      </w:r>
      <w:r w:rsidRPr="00785EB6">
        <w:rPr>
          <w:i/>
        </w:rPr>
        <w:t>(9,1%)</w:t>
      </w:r>
      <w:r>
        <w:t xml:space="preserve">, </w:t>
      </w:r>
      <w:r w:rsidRPr="003C0F3C">
        <w:t>Baza auto a CS – de 59,9 m</w:t>
      </w:r>
      <w:r>
        <w:t>i</w:t>
      </w:r>
      <w:r w:rsidRPr="003C0F3C">
        <w:t>l</w:t>
      </w:r>
      <w:r>
        <w:t>.</w:t>
      </w:r>
      <w:r w:rsidRPr="003C0F3C">
        <w:t xml:space="preserve"> lei</w:t>
      </w:r>
      <w:r>
        <w:t xml:space="preserve"> </w:t>
      </w:r>
      <w:r w:rsidRPr="00785EB6">
        <w:rPr>
          <w:i/>
        </w:rPr>
        <w:t>(5,2 %)</w:t>
      </w:r>
      <w:r w:rsidRPr="003C0F3C">
        <w:t>, Palatul Republicii – de 37,5 mil. lei</w:t>
      </w:r>
      <w:r>
        <w:t xml:space="preserve"> </w:t>
      </w:r>
      <w:r w:rsidRPr="00785EB6">
        <w:rPr>
          <w:i/>
        </w:rPr>
        <w:t>(3,2%)</w:t>
      </w:r>
      <w:r w:rsidRPr="003C0F3C">
        <w:t>, AGE – de 25,6 mil.</w:t>
      </w:r>
      <w:r>
        <w:t xml:space="preserve"> lei </w:t>
      </w:r>
      <w:r w:rsidRPr="00785EB6">
        <w:rPr>
          <w:i/>
        </w:rPr>
        <w:t>(2,2%)</w:t>
      </w:r>
      <w:r>
        <w:t xml:space="preserve"> și</w:t>
      </w:r>
      <w:r w:rsidRPr="003C0F3C">
        <w:t xml:space="preserve"> Pensiunea de la Holercani – de 19,2 mil.</w:t>
      </w:r>
      <w:r>
        <w:t xml:space="preserve"> lei </w:t>
      </w:r>
      <w:r w:rsidRPr="00785EB6">
        <w:rPr>
          <w:i/>
        </w:rPr>
        <w:t>(1,7%)</w:t>
      </w:r>
      <w:r w:rsidR="00B94FE5">
        <w:rPr>
          <w:i/>
        </w:rPr>
        <w:t>.</w:t>
      </w:r>
    </w:p>
    <w:p w14:paraId="59BD444C" w14:textId="77777777" w:rsidR="00B94FE5" w:rsidRDefault="00B94FE5" w:rsidP="00B94FE5">
      <w:pPr>
        <w:spacing w:after="120"/>
        <w:rPr>
          <w:rFonts w:ascii="Times New Roman" w:eastAsia="Times New Roman" w:hAnsi="Times New Roman" w:cs="Times New Roman"/>
          <w:b/>
          <w:bCs/>
          <w:iCs/>
          <w:color w:val="0070C0"/>
          <w:sz w:val="24"/>
          <w:szCs w:val="24"/>
        </w:rPr>
      </w:pPr>
    </w:p>
    <w:p w14:paraId="0CEF410D" w14:textId="77777777" w:rsidR="00B94FE5" w:rsidRDefault="00B94FE5" w:rsidP="00B94FE5">
      <w:pPr>
        <w:spacing w:after="120"/>
        <w:rPr>
          <w:rFonts w:ascii="Times New Roman" w:eastAsia="Times New Roman" w:hAnsi="Times New Roman" w:cs="Times New Roman"/>
          <w:b/>
          <w:bCs/>
          <w:iCs/>
          <w:color w:val="0070C0"/>
          <w:sz w:val="24"/>
          <w:szCs w:val="24"/>
        </w:rPr>
      </w:pPr>
    </w:p>
    <w:p w14:paraId="789131E5" w14:textId="77777777" w:rsidR="00B94FE5" w:rsidRDefault="00B94FE5" w:rsidP="00B94FE5">
      <w:pPr>
        <w:spacing w:after="120"/>
        <w:rPr>
          <w:rFonts w:ascii="Times New Roman" w:eastAsia="Times New Roman" w:hAnsi="Times New Roman" w:cs="Times New Roman"/>
          <w:b/>
          <w:bCs/>
          <w:iCs/>
          <w:color w:val="0070C0"/>
          <w:sz w:val="24"/>
          <w:szCs w:val="24"/>
        </w:rPr>
      </w:pPr>
    </w:p>
    <w:p w14:paraId="3E0A32C8" w14:textId="77777777" w:rsidR="00B94FE5" w:rsidRDefault="00B94FE5" w:rsidP="00B94FE5">
      <w:pPr>
        <w:spacing w:after="120"/>
        <w:rPr>
          <w:rFonts w:ascii="Times New Roman" w:eastAsia="Times New Roman" w:hAnsi="Times New Roman" w:cs="Times New Roman"/>
          <w:b/>
          <w:bCs/>
          <w:iCs/>
          <w:color w:val="0070C0"/>
          <w:sz w:val="24"/>
          <w:szCs w:val="24"/>
        </w:rPr>
      </w:pPr>
    </w:p>
    <w:p w14:paraId="0880068A" w14:textId="77777777" w:rsidR="00B94FE5" w:rsidRDefault="00B94FE5" w:rsidP="00B94FE5">
      <w:pPr>
        <w:spacing w:after="120"/>
        <w:rPr>
          <w:rFonts w:ascii="Times New Roman" w:eastAsia="Times New Roman" w:hAnsi="Times New Roman" w:cs="Times New Roman"/>
          <w:b/>
          <w:bCs/>
          <w:iCs/>
          <w:color w:val="0070C0"/>
          <w:sz w:val="24"/>
          <w:szCs w:val="24"/>
        </w:rPr>
      </w:pPr>
    </w:p>
    <w:p w14:paraId="27267E1C" w14:textId="77777777" w:rsidR="00B94FE5" w:rsidRDefault="00B94FE5" w:rsidP="00B94FE5">
      <w:pPr>
        <w:spacing w:after="120"/>
        <w:rPr>
          <w:rFonts w:ascii="Times New Roman" w:eastAsia="Times New Roman" w:hAnsi="Times New Roman" w:cs="Times New Roman"/>
          <w:b/>
          <w:bCs/>
          <w:iCs/>
          <w:color w:val="0070C0"/>
          <w:sz w:val="24"/>
          <w:szCs w:val="24"/>
        </w:rPr>
      </w:pPr>
    </w:p>
    <w:p w14:paraId="44E3E479" w14:textId="77777777" w:rsidR="001078DB" w:rsidRDefault="001078DB" w:rsidP="00B94FE5">
      <w:pPr>
        <w:spacing w:after="120"/>
        <w:rPr>
          <w:rFonts w:ascii="Times New Roman" w:eastAsia="Times New Roman" w:hAnsi="Times New Roman" w:cs="Times New Roman"/>
          <w:b/>
          <w:bCs/>
          <w:iCs/>
          <w:color w:val="0070C0"/>
          <w:sz w:val="24"/>
          <w:szCs w:val="24"/>
        </w:rPr>
        <w:sectPr w:rsidR="001078DB" w:rsidSect="00E52AC1">
          <w:pgSz w:w="16838" w:h="11906" w:orient="landscape" w:code="9"/>
          <w:pgMar w:top="1701" w:right="1140" w:bottom="284" w:left="1140" w:header="720" w:footer="720" w:gutter="0"/>
          <w:cols w:space="720"/>
          <w:docGrid w:linePitch="360"/>
        </w:sectPr>
      </w:pPr>
    </w:p>
    <w:p w14:paraId="0AAE692C" w14:textId="23164E25" w:rsidR="00E52AC1" w:rsidRDefault="00E52AC1" w:rsidP="00B94FE5">
      <w:pPr>
        <w:spacing w:after="120"/>
        <w:rPr>
          <w:rFonts w:ascii="Times New Roman" w:eastAsia="Times New Roman" w:hAnsi="Times New Roman" w:cs="Times New Roman"/>
          <w:b/>
          <w:bCs/>
          <w:iCs/>
          <w:color w:val="0070C0"/>
          <w:sz w:val="24"/>
          <w:szCs w:val="24"/>
        </w:rPr>
      </w:pPr>
      <w:r w:rsidRPr="00EC6E2F">
        <w:rPr>
          <w:rFonts w:ascii="Times New Roman" w:eastAsia="Times New Roman" w:hAnsi="Times New Roman" w:cs="Times New Roman"/>
          <w:b/>
          <w:bCs/>
          <w:iCs/>
          <w:color w:val="0070C0"/>
          <w:sz w:val="24"/>
          <w:szCs w:val="24"/>
        </w:rPr>
        <w:t>Informația privind nivelul de realizare a achizițiilor planificate de către CS și I</w:t>
      </w:r>
      <w:r w:rsidR="003C5DF4">
        <w:rPr>
          <w:rFonts w:ascii="Times New Roman" w:eastAsia="Times New Roman" w:hAnsi="Times New Roman" w:cs="Times New Roman"/>
          <w:b/>
          <w:bCs/>
          <w:iCs/>
          <w:color w:val="0070C0"/>
          <w:sz w:val="24"/>
          <w:szCs w:val="24"/>
        </w:rPr>
        <w:t>.</w:t>
      </w:r>
      <w:r w:rsidR="004B2BF1">
        <w:rPr>
          <w:rFonts w:ascii="Times New Roman" w:eastAsia="Times New Roman" w:hAnsi="Times New Roman" w:cs="Times New Roman"/>
          <w:b/>
          <w:bCs/>
          <w:iCs/>
          <w:color w:val="0070C0"/>
          <w:sz w:val="24"/>
          <w:szCs w:val="24"/>
        </w:rPr>
        <w:t>P</w:t>
      </w:r>
      <w:r w:rsidR="003C5DF4">
        <w:rPr>
          <w:rFonts w:ascii="Times New Roman" w:eastAsia="Times New Roman" w:hAnsi="Times New Roman" w:cs="Times New Roman"/>
          <w:b/>
          <w:bCs/>
          <w:iCs/>
          <w:color w:val="0070C0"/>
          <w:sz w:val="24"/>
          <w:szCs w:val="24"/>
        </w:rPr>
        <w:t>.</w:t>
      </w:r>
      <w:r w:rsidRPr="00EC6E2F">
        <w:rPr>
          <w:rFonts w:ascii="Times New Roman" w:eastAsia="Times New Roman" w:hAnsi="Times New Roman" w:cs="Times New Roman"/>
          <w:b/>
          <w:bCs/>
          <w:iCs/>
          <w:color w:val="0070C0"/>
          <w:sz w:val="24"/>
          <w:szCs w:val="24"/>
        </w:rPr>
        <w:t xml:space="preserve"> fondate în perioada anilor 2018-2022</w:t>
      </w:r>
    </w:p>
    <w:p w14:paraId="600579C0" w14:textId="77777777" w:rsidR="00E52AC1" w:rsidRPr="00EC6E2F" w:rsidRDefault="00E52AC1" w:rsidP="00E52AC1">
      <w:pPr>
        <w:ind w:right="2367"/>
        <w:jc w:val="right"/>
        <w:rPr>
          <w:rFonts w:ascii="Times New Roman" w:eastAsia="Times New Roman" w:hAnsi="Times New Roman" w:cs="Times New Roman"/>
          <w:bCs/>
          <w:iCs/>
          <w:sz w:val="24"/>
          <w:szCs w:val="24"/>
        </w:rPr>
      </w:pPr>
      <w:r w:rsidRPr="00EC6E2F">
        <w:rPr>
          <w:rFonts w:ascii="Times New Roman" w:eastAsia="Times New Roman" w:hAnsi="Times New Roman" w:cs="Times New Roman"/>
          <w:bCs/>
          <w:iCs/>
          <w:sz w:val="24"/>
          <w:szCs w:val="24"/>
        </w:rPr>
        <w:t>Tabelul nr. 2</w:t>
      </w:r>
    </w:p>
    <w:tbl>
      <w:tblPr>
        <w:tblW w:w="9820" w:type="dxa"/>
        <w:tblCellMar>
          <w:left w:w="0" w:type="dxa"/>
          <w:right w:w="0" w:type="dxa"/>
        </w:tblCellMar>
        <w:tblLook w:val="04A0" w:firstRow="1" w:lastRow="0" w:firstColumn="1" w:lastColumn="0" w:noHBand="0" w:noVBand="1"/>
      </w:tblPr>
      <w:tblGrid>
        <w:gridCol w:w="1980"/>
        <w:gridCol w:w="1180"/>
        <w:gridCol w:w="1240"/>
        <w:gridCol w:w="1180"/>
        <w:gridCol w:w="1420"/>
        <w:gridCol w:w="1180"/>
        <w:gridCol w:w="1640"/>
      </w:tblGrid>
      <w:tr w:rsidR="00B94FE5" w:rsidRPr="00B94FE5" w14:paraId="336744B5" w14:textId="77777777" w:rsidTr="001078DB">
        <w:trPr>
          <w:trHeight w:val="312"/>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3D4719E" w14:textId="77777777" w:rsidR="00B94FE5" w:rsidRPr="00B94FE5" w:rsidRDefault="00B94FE5">
            <w:pPr>
              <w:jc w:val="center"/>
              <w:rPr>
                <w:rFonts w:ascii="Times New Roman" w:hAnsi="Times New Roman" w:cs="Times New Roman"/>
                <w:b/>
                <w:bCs/>
                <w:color w:val="000000"/>
                <w:sz w:val="18"/>
                <w:szCs w:val="18"/>
                <w:lang w:val="en-US"/>
              </w:rPr>
            </w:pPr>
            <w:r w:rsidRPr="00B94FE5">
              <w:rPr>
                <w:rFonts w:ascii="Times New Roman" w:hAnsi="Times New Roman" w:cs="Times New Roman"/>
                <w:b/>
                <w:bCs/>
                <w:color w:val="000000"/>
                <w:sz w:val="18"/>
                <w:szCs w:val="18"/>
              </w:rPr>
              <w:t>Autoritatea contractantă</w:t>
            </w:r>
          </w:p>
        </w:tc>
        <w:tc>
          <w:tcPr>
            <w:tcW w:w="242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178CF9" w14:textId="77777777" w:rsidR="00B94FE5" w:rsidRPr="00B94FE5" w:rsidRDefault="00B94FE5">
            <w:pPr>
              <w:jc w:val="center"/>
              <w:rPr>
                <w:rFonts w:ascii="Times New Roman" w:hAnsi="Times New Roman" w:cs="Times New Roman"/>
                <w:b/>
                <w:bCs/>
                <w:color w:val="000000"/>
                <w:sz w:val="18"/>
                <w:szCs w:val="18"/>
              </w:rPr>
            </w:pPr>
            <w:r w:rsidRPr="00B94FE5">
              <w:rPr>
                <w:rFonts w:ascii="Times New Roman" w:hAnsi="Times New Roman" w:cs="Times New Roman"/>
                <w:b/>
                <w:bCs/>
                <w:color w:val="000000"/>
                <w:sz w:val="18"/>
                <w:szCs w:val="18"/>
              </w:rPr>
              <w:t>Planificat</w:t>
            </w:r>
          </w:p>
        </w:tc>
        <w:tc>
          <w:tcPr>
            <w:tcW w:w="26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87E661" w14:textId="77777777" w:rsidR="00B94FE5" w:rsidRPr="00B94FE5" w:rsidRDefault="00B94FE5">
            <w:pPr>
              <w:jc w:val="center"/>
              <w:rPr>
                <w:rFonts w:ascii="Times New Roman" w:hAnsi="Times New Roman" w:cs="Times New Roman"/>
                <w:b/>
                <w:bCs/>
                <w:color w:val="000000"/>
                <w:sz w:val="18"/>
                <w:szCs w:val="18"/>
              </w:rPr>
            </w:pPr>
            <w:r w:rsidRPr="00B94FE5">
              <w:rPr>
                <w:rFonts w:ascii="Times New Roman" w:hAnsi="Times New Roman" w:cs="Times New Roman"/>
                <w:b/>
                <w:bCs/>
                <w:color w:val="000000"/>
                <w:sz w:val="18"/>
                <w:szCs w:val="18"/>
              </w:rPr>
              <w:t>Executat</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A9DDA60" w14:textId="77777777" w:rsidR="00B94FE5" w:rsidRPr="00B94FE5" w:rsidRDefault="00B94FE5">
            <w:pPr>
              <w:jc w:val="center"/>
              <w:rPr>
                <w:rFonts w:ascii="Times New Roman" w:hAnsi="Times New Roman" w:cs="Times New Roman"/>
                <w:b/>
                <w:bCs/>
                <w:color w:val="000000"/>
                <w:sz w:val="18"/>
                <w:szCs w:val="18"/>
              </w:rPr>
            </w:pPr>
            <w:r w:rsidRPr="00B94FE5">
              <w:rPr>
                <w:rFonts w:ascii="Times New Roman" w:hAnsi="Times New Roman" w:cs="Times New Roman"/>
                <w:b/>
                <w:bCs/>
                <w:color w:val="000000"/>
                <w:sz w:val="18"/>
                <w:szCs w:val="18"/>
              </w:rPr>
              <w:t>Ponderea în total contracte executate, %</w:t>
            </w:r>
          </w:p>
        </w:tc>
        <w:tc>
          <w:tcPr>
            <w:tcW w:w="164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4CF651F" w14:textId="5A202194" w:rsidR="00B94FE5" w:rsidRPr="00B94FE5" w:rsidRDefault="00B94FE5" w:rsidP="001078DB">
            <w:pPr>
              <w:jc w:val="center"/>
              <w:rPr>
                <w:rFonts w:ascii="Times New Roman" w:hAnsi="Times New Roman" w:cs="Times New Roman"/>
                <w:b/>
                <w:bCs/>
                <w:color w:val="000000"/>
                <w:sz w:val="18"/>
                <w:szCs w:val="18"/>
              </w:rPr>
            </w:pPr>
            <w:r w:rsidRPr="00B94FE5">
              <w:rPr>
                <w:rFonts w:ascii="Times New Roman" w:hAnsi="Times New Roman" w:cs="Times New Roman"/>
                <w:b/>
                <w:bCs/>
                <w:color w:val="000000"/>
                <w:sz w:val="18"/>
                <w:szCs w:val="18"/>
              </w:rPr>
              <w:t>Diferența nr. contracte execu</w:t>
            </w:r>
            <w:r w:rsidR="001078DB">
              <w:rPr>
                <w:rFonts w:ascii="Times New Roman" w:hAnsi="Times New Roman" w:cs="Times New Roman"/>
                <w:b/>
                <w:bCs/>
                <w:color w:val="000000"/>
                <w:sz w:val="18"/>
                <w:szCs w:val="18"/>
              </w:rPr>
              <w:t>t</w:t>
            </w:r>
            <w:r w:rsidRPr="00B94FE5">
              <w:rPr>
                <w:rFonts w:ascii="Times New Roman" w:hAnsi="Times New Roman" w:cs="Times New Roman"/>
                <w:b/>
                <w:bCs/>
                <w:color w:val="000000"/>
                <w:sz w:val="18"/>
                <w:szCs w:val="18"/>
              </w:rPr>
              <w:t>ate față d</w:t>
            </w:r>
            <w:r w:rsidR="001078DB">
              <w:rPr>
                <w:rFonts w:ascii="Times New Roman" w:hAnsi="Times New Roman" w:cs="Times New Roman"/>
                <w:b/>
                <w:bCs/>
                <w:color w:val="000000"/>
                <w:sz w:val="18"/>
                <w:szCs w:val="18"/>
              </w:rPr>
              <w:t xml:space="preserve">e nr. contracte planificate, </w:t>
            </w:r>
            <w:r w:rsidR="001078DB">
              <w:rPr>
                <w:rFonts w:ascii="Times New Roman" w:hAnsi="Times New Roman" w:cs="Times New Roman"/>
                <w:b/>
                <w:bCs/>
                <w:color w:val="000000"/>
                <w:sz w:val="18"/>
                <w:szCs w:val="18"/>
              </w:rPr>
              <w:br/>
              <w:t>mil.</w:t>
            </w:r>
            <w:r w:rsidRPr="00B94FE5">
              <w:rPr>
                <w:rFonts w:ascii="Times New Roman" w:hAnsi="Times New Roman" w:cs="Times New Roman"/>
                <w:b/>
                <w:bCs/>
                <w:color w:val="000000"/>
                <w:sz w:val="18"/>
                <w:szCs w:val="18"/>
              </w:rPr>
              <w:t xml:space="preserve"> lei</w:t>
            </w:r>
          </w:p>
        </w:tc>
      </w:tr>
      <w:tr w:rsidR="00B94FE5" w:rsidRPr="00B94FE5" w14:paraId="5D5ACF41" w14:textId="77777777" w:rsidTr="001078DB">
        <w:trPr>
          <w:trHeight w:val="694"/>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1BC3A38E" w14:textId="77777777" w:rsidR="00B94FE5" w:rsidRPr="00B94FE5" w:rsidRDefault="00B94FE5">
            <w:pPr>
              <w:rPr>
                <w:rFonts w:ascii="Times New Roman" w:hAnsi="Times New Roman" w:cs="Times New Roman"/>
                <w:b/>
                <w:bCs/>
                <w:color w:val="000000"/>
                <w:sz w:val="18"/>
                <w:szCs w:val="18"/>
              </w:rPr>
            </w:pP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664339" w14:textId="77777777" w:rsidR="00B94FE5" w:rsidRPr="00B94FE5" w:rsidRDefault="00B94FE5">
            <w:pPr>
              <w:jc w:val="center"/>
              <w:rPr>
                <w:rFonts w:ascii="Times New Roman" w:hAnsi="Times New Roman" w:cs="Times New Roman"/>
                <w:b/>
                <w:bCs/>
                <w:color w:val="000000"/>
                <w:sz w:val="18"/>
                <w:szCs w:val="18"/>
              </w:rPr>
            </w:pPr>
            <w:r w:rsidRPr="00B94FE5">
              <w:rPr>
                <w:rFonts w:ascii="Times New Roman" w:hAnsi="Times New Roman" w:cs="Times New Roman"/>
                <w:b/>
                <w:bCs/>
                <w:color w:val="000000"/>
                <w:sz w:val="18"/>
                <w:szCs w:val="18"/>
              </w:rPr>
              <w:t>Număr contracte</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2DA3DE" w14:textId="5C359D6F" w:rsidR="00B94FE5" w:rsidRPr="00B94FE5" w:rsidRDefault="00B94FE5" w:rsidP="001078DB">
            <w:pPr>
              <w:jc w:val="center"/>
              <w:rPr>
                <w:rFonts w:ascii="Times New Roman" w:hAnsi="Times New Roman" w:cs="Times New Roman"/>
                <w:b/>
                <w:bCs/>
                <w:color w:val="000000"/>
                <w:sz w:val="18"/>
                <w:szCs w:val="18"/>
              </w:rPr>
            </w:pPr>
            <w:r w:rsidRPr="00B94FE5">
              <w:rPr>
                <w:rFonts w:ascii="Times New Roman" w:hAnsi="Times New Roman" w:cs="Times New Roman"/>
                <w:b/>
                <w:bCs/>
                <w:color w:val="000000"/>
                <w:sz w:val="18"/>
                <w:szCs w:val="18"/>
              </w:rPr>
              <w:t>Valoare contracte,</w:t>
            </w:r>
            <w:r w:rsidRPr="00B94FE5">
              <w:rPr>
                <w:rFonts w:ascii="Times New Roman" w:hAnsi="Times New Roman" w:cs="Times New Roman"/>
                <w:b/>
                <w:bCs/>
                <w:color w:val="000000"/>
                <w:sz w:val="18"/>
                <w:szCs w:val="18"/>
              </w:rPr>
              <w:br/>
              <w:t xml:space="preserve"> </w:t>
            </w:r>
            <w:r w:rsidR="001078DB">
              <w:rPr>
                <w:rFonts w:ascii="Times New Roman" w:hAnsi="Times New Roman" w:cs="Times New Roman"/>
                <w:b/>
                <w:bCs/>
                <w:i/>
                <w:iCs/>
                <w:color w:val="000000"/>
                <w:sz w:val="18"/>
                <w:szCs w:val="18"/>
              </w:rPr>
              <w:t>mil.</w:t>
            </w:r>
            <w:r w:rsidRPr="00B94FE5">
              <w:rPr>
                <w:rFonts w:ascii="Times New Roman" w:hAnsi="Times New Roman" w:cs="Times New Roman"/>
                <w:b/>
                <w:bCs/>
                <w:i/>
                <w:iCs/>
                <w:color w:val="000000"/>
                <w:sz w:val="18"/>
                <w:szCs w:val="18"/>
              </w:rPr>
              <w:t xml:space="preserve"> lei</w:t>
            </w: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F46466" w14:textId="77777777" w:rsidR="00B94FE5" w:rsidRPr="00B94FE5" w:rsidRDefault="00B94FE5">
            <w:pPr>
              <w:jc w:val="center"/>
              <w:rPr>
                <w:rFonts w:ascii="Times New Roman" w:hAnsi="Times New Roman" w:cs="Times New Roman"/>
                <w:b/>
                <w:bCs/>
                <w:color w:val="000000"/>
                <w:sz w:val="18"/>
                <w:szCs w:val="18"/>
              </w:rPr>
            </w:pPr>
            <w:r w:rsidRPr="00B94FE5">
              <w:rPr>
                <w:rFonts w:ascii="Times New Roman" w:hAnsi="Times New Roman" w:cs="Times New Roman"/>
                <w:b/>
                <w:bCs/>
                <w:color w:val="000000"/>
                <w:sz w:val="18"/>
                <w:szCs w:val="18"/>
              </w:rPr>
              <w:t>Număr contracte</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BC7458" w14:textId="7501582C" w:rsidR="00B94FE5" w:rsidRPr="00B94FE5" w:rsidRDefault="00B94FE5">
            <w:pPr>
              <w:jc w:val="center"/>
              <w:rPr>
                <w:rFonts w:ascii="Times New Roman" w:hAnsi="Times New Roman" w:cs="Times New Roman"/>
                <w:b/>
                <w:bCs/>
                <w:color w:val="000000"/>
                <w:sz w:val="18"/>
                <w:szCs w:val="18"/>
              </w:rPr>
            </w:pPr>
            <w:r w:rsidRPr="00B94FE5">
              <w:rPr>
                <w:rFonts w:ascii="Times New Roman" w:hAnsi="Times New Roman" w:cs="Times New Roman"/>
                <w:b/>
                <w:bCs/>
                <w:color w:val="000000"/>
                <w:sz w:val="18"/>
                <w:szCs w:val="18"/>
              </w:rPr>
              <w:t xml:space="preserve">Valoare contracte, </w:t>
            </w:r>
            <w:r w:rsidRPr="00B94FE5">
              <w:rPr>
                <w:rFonts w:ascii="Times New Roman" w:hAnsi="Times New Roman" w:cs="Times New Roman"/>
                <w:b/>
                <w:bCs/>
                <w:color w:val="000000"/>
                <w:sz w:val="18"/>
                <w:szCs w:val="18"/>
              </w:rPr>
              <w:br/>
            </w:r>
            <w:r w:rsidR="001078DB">
              <w:rPr>
                <w:rFonts w:ascii="Times New Roman" w:hAnsi="Times New Roman" w:cs="Times New Roman"/>
                <w:b/>
                <w:bCs/>
                <w:i/>
                <w:iCs/>
                <w:color w:val="000000"/>
                <w:sz w:val="18"/>
                <w:szCs w:val="18"/>
              </w:rPr>
              <w:t>mil.</w:t>
            </w:r>
            <w:r w:rsidRPr="00B94FE5">
              <w:rPr>
                <w:rFonts w:ascii="Times New Roman" w:hAnsi="Times New Roman" w:cs="Times New Roman"/>
                <w:b/>
                <w:bCs/>
                <w:i/>
                <w:iCs/>
                <w:color w:val="000000"/>
                <w:sz w:val="18"/>
                <w:szCs w:val="18"/>
              </w:rPr>
              <w:t xml:space="preserve"> lei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C84542" w14:textId="77777777" w:rsidR="00B94FE5" w:rsidRPr="00B94FE5" w:rsidRDefault="00B94FE5">
            <w:pPr>
              <w:rPr>
                <w:rFonts w:ascii="Times New Roman" w:hAnsi="Times New Roman" w:cs="Times New Roman"/>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15E764" w14:textId="77777777" w:rsidR="00B94FE5" w:rsidRPr="00B94FE5" w:rsidRDefault="00B94FE5">
            <w:pPr>
              <w:rPr>
                <w:rFonts w:ascii="Times New Roman" w:hAnsi="Times New Roman" w:cs="Times New Roman"/>
                <w:b/>
                <w:bCs/>
                <w:color w:val="000000"/>
                <w:sz w:val="18"/>
                <w:szCs w:val="18"/>
              </w:rPr>
            </w:pPr>
          </w:p>
        </w:tc>
      </w:tr>
      <w:tr w:rsidR="00B94FE5" w:rsidRPr="00B94FE5" w14:paraId="2EF2F742" w14:textId="77777777" w:rsidTr="001078DB">
        <w:trPr>
          <w:trHeight w:val="83"/>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CDC7FA" w14:textId="5FFF4D58" w:rsidR="00B94FE5" w:rsidRPr="00B94FE5" w:rsidRDefault="00B94FE5" w:rsidP="001078DB">
            <w:pPr>
              <w:spacing w:after="0"/>
              <w:jc w:val="center"/>
              <w:rPr>
                <w:rFonts w:ascii="Times New Roman" w:hAnsi="Times New Roman" w:cs="Times New Roman"/>
                <w:i/>
                <w:iCs/>
                <w:color w:val="000000"/>
                <w:sz w:val="18"/>
                <w:szCs w:val="18"/>
              </w:rPr>
            </w:pPr>
            <w:r w:rsidRPr="00B94FE5">
              <w:rPr>
                <w:rFonts w:ascii="Times New Roman" w:hAnsi="Times New Roman" w:cs="Times New Roman"/>
                <w:i/>
                <w:iCs/>
                <w:color w:val="000000"/>
                <w:sz w:val="18"/>
                <w:szCs w:val="18"/>
              </w:rPr>
              <w:t> </w:t>
            </w:r>
            <w:r w:rsidR="001078DB">
              <w:rPr>
                <w:rFonts w:ascii="Times New Roman" w:hAnsi="Times New Roman" w:cs="Times New Roman"/>
                <w:i/>
                <w:iCs/>
                <w:color w:val="000000"/>
                <w:sz w:val="18"/>
                <w:szCs w:val="18"/>
              </w:rPr>
              <w:t>x</w:t>
            </w: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7DBA15" w14:textId="77777777" w:rsidR="00B94FE5" w:rsidRPr="00B94FE5" w:rsidRDefault="00B94FE5" w:rsidP="001078DB">
            <w:pPr>
              <w:spacing w:after="0"/>
              <w:jc w:val="center"/>
              <w:rPr>
                <w:rFonts w:ascii="Times New Roman" w:hAnsi="Times New Roman" w:cs="Times New Roman"/>
                <w:i/>
                <w:iCs/>
                <w:color w:val="000000"/>
                <w:sz w:val="18"/>
                <w:szCs w:val="18"/>
              </w:rPr>
            </w:pPr>
            <w:r w:rsidRPr="00B94FE5">
              <w:rPr>
                <w:rFonts w:ascii="Times New Roman" w:hAnsi="Times New Roman" w:cs="Times New Roman"/>
                <w:i/>
                <w:iCs/>
                <w:color w:val="000000"/>
                <w:sz w:val="18"/>
                <w:szCs w:val="18"/>
              </w:rPr>
              <w:t>1</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587FA3" w14:textId="77777777" w:rsidR="00B94FE5" w:rsidRPr="00B94FE5" w:rsidRDefault="00B94FE5" w:rsidP="001078DB">
            <w:pPr>
              <w:spacing w:after="0"/>
              <w:jc w:val="center"/>
              <w:rPr>
                <w:rFonts w:ascii="Times New Roman" w:hAnsi="Times New Roman" w:cs="Times New Roman"/>
                <w:i/>
                <w:iCs/>
                <w:color w:val="000000"/>
                <w:sz w:val="18"/>
                <w:szCs w:val="18"/>
              </w:rPr>
            </w:pPr>
            <w:r w:rsidRPr="00B94FE5">
              <w:rPr>
                <w:rFonts w:ascii="Times New Roman" w:hAnsi="Times New Roman" w:cs="Times New Roman"/>
                <w:i/>
                <w:iCs/>
                <w:color w:val="000000"/>
                <w:sz w:val="18"/>
                <w:szCs w:val="18"/>
              </w:rPr>
              <w:t>2</w:t>
            </w: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25590B" w14:textId="77777777" w:rsidR="00B94FE5" w:rsidRPr="00B94FE5" w:rsidRDefault="00B94FE5" w:rsidP="001078DB">
            <w:pPr>
              <w:spacing w:after="0"/>
              <w:jc w:val="center"/>
              <w:rPr>
                <w:rFonts w:ascii="Times New Roman" w:hAnsi="Times New Roman" w:cs="Times New Roman"/>
                <w:i/>
                <w:iCs/>
                <w:color w:val="000000"/>
                <w:sz w:val="18"/>
                <w:szCs w:val="18"/>
              </w:rPr>
            </w:pPr>
            <w:r w:rsidRPr="00B94FE5">
              <w:rPr>
                <w:rFonts w:ascii="Times New Roman" w:hAnsi="Times New Roman" w:cs="Times New Roman"/>
                <w:i/>
                <w:iCs/>
                <w:color w:val="000000"/>
                <w:sz w:val="18"/>
                <w:szCs w:val="18"/>
              </w:rPr>
              <w:t>3</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D5EA1D" w14:textId="77777777" w:rsidR="00B94FE5" w:rsidRPr="00B94FE5" w:rsidRDefault="00B94FE5" w:rsidP="001078DB">
            <w:pPr>
              <w:spacing w:after="0"/>
              <w:jc w:val="center"/>
              <w:rPr>
                <w:rFonts w:ascii="Times New Roman" w:hAnsi="Times New Roman" w:cs="Times New Roman"/>
                <w:i/>
                <w:iCs/>
                <w:color w:val="000000"/>
                <w:sz w:val="18"/>
                <w:szCs w:val="18"/>
              </w:rPr>
            </w:pPr>
            <w:r w:rsidRPr="00B94FE5">
              <w:rPr>
                <w:rFonts w:ascii="Times New Roman" w:hAnsi="Times New Roman" w:cs="Times New Roman"/>
                <w:i/>
                <w:iCs/>
                <w:color w:val="000000"/>
                <w:sz w:val="18"/>
                <w:szCs w:val="18"/>
              </w:rPr>
              <w:t>4</w:t>
            </w: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8342C4" w14:textId="77777777" w:rsidR="00B94FE5" w:rsidRPr="00B94FE5" w:rsidRDefault="00B94FE5" w:rsidP="001078DB">
            <w:pPr>
              <w:spacing w:after="0"/>
              <w:jc w:val="center"/>
              <w:rPr>
                <w:rFonts w:ascii="Times New Roman" w:hAnsi="Times New Roman" w:cs="Times New Roman"/>
                <w:i/>
                <w:iCs/>
                <w:color w:val="000000"/>
                <w:sz w:val="18"/>
                <w:szCs w:val="18"/>
              </w:rPr>
            </w:pPr>
            <w:r w:rsidRPr="00B94FE5">
              <w:rPr>
                <w:rFonts w:ascii="Times New Roman" w:hAnsi="Times New Roman" w:cs="Times New Roman"/>
                <w:i/>
                <w:iCs/>
                <w:color w:val="000000"/>
                <w:sz w:val="18"/>
                <w:szCs w:val="18"/>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A4FFB8" w14:textId="77777777" w:rsidR="00B94FE5" w:rsidRPr="00B94FE5" w:rsidRDefault="00B94FE5" w:rsidP="001078DB">
            <w:pPr>
              <w:spacing w:after="0"/>
              <w:jc w:val="center"/>
              <w:rPr>
                <w:rFonts w:ascii="Times New Roman" w:hAnsi="Times New Roman" w:cs="Times New Roman"/>
                <w:color w:val="000000"/>
                <w:sz w:val="18"/>
                <w:szCs w:val="18"/>
              </w:rPr>
            </w:pPr>
            <w:r w:rsidRPr="00B94FE5">
              <w:rPr>
                <w:rFonts w:ascii="Times New Roman" w:hAnsi="Times New Roman" w:cs="Times New Roman"/>
                <w:color w:val="000000"/>
                <w:sz w:val="18"/>
                <w:szCs w:val="18"/>
              </w:rPr>
              <w:t>6=3-1</w:t>
            </w:r>
          </w:p>
        </w:tc>
      </w:tr>
      <w:tr w:rsidR="00B94FE5" w:rsidRPr="00B94FE5" w14:paraId="28ADA764" w14:textId="77777777" w:rsidTr="001078DB">
        <w:trPr>
          <w:trHeight w:val="288"/>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46868" w14:textId="77777777" w:rsidR="00B94FE5" w:rsidRPr="00B94FE5" w:rsidRDefault="00B94FE5">
            <w:pPr>
              <w:rPr>
                <w:rFonts w:ascii="Times New Roman" w:hAnsi="Times New Roman" w:cs="Times New Roman"/>
                <w:color w:val="000000"/>
                <w:sz w:val="18"/>
                <w:szCs w:val="18"/>
              </w:rPr>
            </w:pPr>
            <w:r w:rsidRPr="00B94FE5">
              <w:rPr>
                <w:rFonts w:ascii="Times New Roman" w:hAnsi="Times New Roman" w:cs="Times New Roman"/>
                <w:color w:val="000000"/>
                <w:sz w:val="18"/>
                <w:szCs w:val="18"/>
              </w:rPr>
              <w:t>Cancelaria de Stat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637EB"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287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C1FEB"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150.60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14348"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611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ECA84"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143.20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C0DFC"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12.10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142D3"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324.00</w:t>
            </w:r>
          </w:p>
        </w:tc>
      </w:tr>
      <w:tr w:rsidR="00B94FE5" w:rsidRPr="00B94FE5" w14:paraId="6D622042" w14:textId="77777777" w:rsidTr="001078DB">
        <w:trPr>
          <w:trHeight w:val="288"/>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B8238" w14:textId="77777777" w:rsidR="00B94FE5" w:rsidRPr="00B94FE5" w:rsidRDefault="00B94FE5">
            <w:pPr>
              <w:rPr>
                <w:rFonts w:ascii="Times New Roman" w:hAnsi="Times New Roman" w:cs="Times New Roman"/>
                <w:color w:val="000000"/>
                <w:sz w:val="18"/>
                <w:szCs w:val="18"/>
              </w:rPr>
            </w:pPr>
            <w:r w:rsidRPr="00B94FE5">
              <w:rPr>
                <w:rFonts w:ascii="Times New Roman" w:hAnsi="Times New Roman" w:cs="Times New Roman"/>
                <w:color w:val="000000"/>
                <w:sz w:val="18"/>
                <w:szCs w:val="18"/>
              </w:rPr>
              <w:t>IP AGE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F5E7B"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179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98811A"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35.10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DBC47"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198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CD71E"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25.60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5863F"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2.16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BEB63"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19.00</w:t>
            </w:r>
          </w:p>
        </w:tc>
      </w:tr>
      <w:tr w:rsidR="00B94FE5" w:rsidRPr="00B94FE5" w14:paraId="37C01B4E" w14:textId="77777777" w:rsidTr="001078DB">
        <w:trPr>
          <w:trHeight w:val="288"/>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7C885F" w14:textId="77777777" w:rsidR="00B94FE5" w:rsidRPr="00B94FE5" w:rsidRDefault="00B94FE5">
            <w:pPr>
              <w:rPr>
                <w:rFonts w:ascii="Times New Roman" w:hAnsi="Times New Roman" w:cs="Times New Roman"/>
                <w:color w:val="000000"/>
                <w:sz w:val="18"/>
                <w:szCs w:val="18"/>
              </w:rPr>
            </w:pPr>
            <w:r w:rsidRPr="00B94FE5">
              <w:rPr>
                <w:rFonts w:ascii="Times New Roman" w:hAnsi="Times New Roman" w:cs="Times New Roman"/>
                <w:color w:val="000000"/>
                <w:sz w:val="18"/>
                <w:szCs w:val="18"/>
              </w:rPr>
              <w:t>IP ASP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8A338"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1938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A54BC"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776.60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1B5BE"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1701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62731"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593.11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A7597"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50.14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E0630"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-237.00</w:t>
            </w:r>
          </w:p>
        </w:tc>
      </w:tr>
      <w:tr w:rsidR="00B94FE5" w:rsidRPr="00B94FE5" w14:paraId="404B7283" w14:textId="77777777" w:rsidTr="001078DB">
        <w:trPr>
          <w:trHeight w:val="288"/>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E45E32" w14:textId="77777777" w:rsidR="00B94FE5" w:rsidRPr="00B94FE5" w:rsidRDefault="00B94FE5">
            <w:pPr>
              <w:rPr>
                <w:rFonts w:ascii="Times New Roman" w:hAnsi="Times New Roman" w:cs="Times New Roman"/>
                <w:color w:val="000000"/>
                <w:sz w:val="18"/>
                <w:szCs w:val="18"/>
              </w:rPr>
            </w:pPr>
            <w:r w:rsidRPr="00B94FE5">
              <w:rPr>
                <w:rFonts w:ascii="Times New Roman" w:hAnsi="Times New Roman" w:cs="Times New Roman"/>
                <w:color w:val="000000"/>
                <w:sz w:val="18"/>
                <w:szCs w:val="18"/>
              </w:rPr>
              <w:t>IP DGACG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E935B"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753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7F92C"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156.70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CF1B7F"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713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EC38E"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104.80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1186B"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8.86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2A833"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-40.00</w:t>
            </w:r>
          </w:p>
        </w:tc>
      </w:tr>
      <w:tr w:rsidR="00B94FE5" w:rsidRPr="00B94FE5" w14:paraId="6BF1E35D" w14:textId="77777777" w:rsidTr="001078DB">
        <w:trPr>
          <w:trHeight w:val="288"/>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4D818" w14:textId="5AB4A33C" w:rsidR="00B94FE5" w:rsidRPr="00B94FE5" w:rsidRDefault="001078DB">
            <w:pPr>
              <w:rPr>
                <w:rFonts w:ascii="Times New Roman" w:hAnsi="Times New Roman" w:cs="Times New Roman"/>
                <w:color w:val="000000"/>
                <w:sz w:val="18"/>
                <w:szCs w:val="18"/>
              </w:rPr>
            </w:pPr>
            <w:r>
              <w:rPr>
                <w:rFonts w:ascii="Times New Roman" w:hAnsi="Times New Roman" w:cs="Times New Roman"/>
                <w:color w:val="000000"/>
                <w:sz w:val="18"/>
                <w:szCs w:val="18"/>
              </w:rPr>
              <w:t xml:space="preserve">IP Pensiunea din </w:t>
            </w:r>
            <w:r w:rsidR="00B94FE5" w:rsidRPr="00B94FE5">
              <w:rPr>
                <w:rFonts w:ascii="Times New Roman" w:hAnsi="Times New Roman" w:cs="Times New Roman"/>
                <w:color w:val="000000"/>
                <w:sz w:val="18"/>
                <w:szCs w:val="18"/>
              </w:rPr>
              <w:t>Holercani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2D5A8"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B45B4"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19.20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DE2A8"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41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D36D4"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19.20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D16CB"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1.62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030EE"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-4.00</w:t>
            </w:r>
          </w:p>
        </w:tc>
      </w:tr>
      <w:tr w:rsidR="00B94FE5" w:rsidRPr="00B94FE5" w14:paraId="371882B1" w14:textId="77777777" w:rsidTr="001078DB">
        <w:trPr>
          <w:trHeight w:val="288"/>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C5CDF" w14:textId="77777777" w:rsidR="00B94FE5" w:rsidRPr="00B94FE5" w:rsidRDefault="00B94FE5">
            <w:pPr>
              <w:rPr>
                <w:rFonts w:ascii="Times New Roman" w:hAnsi="Times New Roman" w:cs="Times New Roman"/>
                <w:color w:val="000000"/>
                <w:sz w:val="18"/>
                <w:szCs w:val="18"/>
              </w:rPr>
            </w:pPr>
            <w:r w:rsidRPr="00B94FE5">
              <w:rPr>
                <w:rFonts w:ascii="Times New Roman" w:hAnsi="Times New Roman" w:cs="Times New Roman"/>
                <w:color w:val="000000"/>
                <w:sz w:val="18"/>
                <w:szCs w:val="18"/>
              </w:rPr>
              <w:t>IP STISC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3BB0B"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555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B5B48"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330.34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499B2B"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1057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29B70"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199.67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1D0DB"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16.88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D6521B"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502.00</w:t>
            </w:r>
          </w:p>
        </w:tc>
      </w:tr>
      <w:tr w:rsidR="00B94FE5" w:rsidRPr="00B94FE5" w14:paraId="79C0B51F" w14:textId="77777777" w:rsidTr="001078DB">
        <w:trPr>
          <w:trHeight w:val="288"/>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A9292" w14:textId="31B9F591" w:rsidR="00B94FE5" w:rsidRPr="00B94FE5" w:rsidRDefault="001078DB">
            <w:pPr>
              <w:rPr>
                <w:rFonts w:ascii="Times New Roman" w:hAnsi="Times New Roman" w:cs="Times New Roman"/>
                <w:color w:val="000000"/>
                <w:sz w:val="18"/>
                <w:szCs w:val="18"/>
              </w:rPr>
            </w:pPr>
            <w:r>
              <w:rPr>
                <w:rFonts w:ascii="Times New Roman" w:hAnsi="Times New Roman" w:cs="Times New Roman"/>
                <w:color w:val="000000"/>
                <w:sz w:val="18"/>
                <w:szCs w:val="18"/>
              </w:rPr>
              <w:t>IP Baza A</w:t>
            </w:r>
            <w:r w:rsidR="00B94FE5" w:rsidRPr="00B94FE5">
              <w:rPr>
                <w:rFonts w:ascii="Times New Roman" w:hAnsi="Times New Roman" w:cs="Times New Roman"/>
                <w:color w:val="000000"/>
                <w:sz w:val="18"/>
                <w:szCs w:val="18"/>
              </w:rPr>
              <w:t>uto a CS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5D5D0"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176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86030"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26.90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EB9D3"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307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BA9D2"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59.90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EB2C9"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5.06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6D8628"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131.00</w:t>
            </w:r>
          </w:p>
        </w:tc>
      </w:tr>
      <w:tr w:rsidR="00B94FE5" w:rsidRPr="00B94FE5" w14:paraId="7DAEEB25" w14:textId="77777777" w:rsidTr="001078DB">
        <w:trPr>
          <w:trHeight w:val="288"/>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F16B8E" w14:textId="77777777" w:rsidR="00B94FE5" w:rsidRPr="00B94FE5" w:rsidRDefault="00B94FE5">
            <w:pPr>
              <w:rPr>
                <w:rFonts w:ascii="Times New Roman" w:hAnsi="Times New Roman" w:cs="Times New Roman"/>
                <w:color w:val="000000"/>
                <w:sz w:val="18"/>
                <w:szCs w:val="18"/>
              </w:rPr>
            </w:pPr>
            <w:r w:rsidRPr="00B94FE5">
              <w:rPr>
                <w:rFonts w:ascii="Times New Roman" w:hAnsi="Times New Roman" w:cs="Times New Roman"/>
                <w:color w:val="000000"/>
                <w:sz w:val="18"/>
                <w:szCs w:val="18"/>
              </w:rPr>
              <w:t>IP Platul Republicii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B82C2E"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3DBD1"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4.00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4CB8C"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166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1A5E8"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37.50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68C6C"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3.17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55EE96"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137.00</w:t>
            </w:r>
          </w:p>
        </w:tc>
      </w:tr>
      <w:tr w:rsidR="00B94FE5" w:rsidRPr="00B94FE5" w14:paraId="452DE755" w14:textId="77777777" w:rsidTr="001078DB">
        <w:trPr>
          <w:trHeight w:val="288"/>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FF7E8" w14:textId="77777777" w:rsidR="00B94FE5" w:rsidRPr="00B94FE5" w:rsidRDefault="00B94FE5">
            <w:pPr>
              <w:rPr>
                <w:rFonts w:ascii="Times New Roman" w:hAnsi="Times New Roman" w:cs="Times New Roman"/>
                <w:b/>
                <w:bCs/>
                <w:color w:val="000000"/>
                <w:sz w:val="18"/>
                <w:szCs w:val="18"/>
              </w:rPr>
            </w:pPr>
            <w:r w:rsidRPr="00B94FE5">
              <w:rPr>
                <w:rFonts w:ascii="Times New Roman" w:hAnsi="Times New Roman" w:cs="Times New Roman"/>
                <w:b/>
                <w:bCs/>
                <w:color w:val="000000"/>
                <w:sz w:val="18"/>
                <w:szCs w:val="18"/>
              </w:rPr>
              <w:t>Total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656B9" w14:textId="77777777" w:rsidR="00B94FE5" w:rsidRPr="00B94FE5" w:rsidRDefault="00B94FE5" w:rsidP="001078DB">
            <w:pPr>
              <w:ind w:right="171"/>
              <w:jc w:val="right"/>
              <w:rPr>
                <w:rFonts w:ascii="Times New Roman" w:hAnsi="Times New Roman" w:cs="Times New Roman"/>
                <w:b/>
                <w:bCs/>
                <w:color w:val="000000"/>
                <w:sz w:val="18"/>
                <w:szCs w:val="18"/>
              </w:rPr>
            </w:pPr>
            <w:r w:rsidRPr="00B94FE5">
              <w:rPr>
                <w:rFonts w:ascii="Times New Roman" w:hAnsi="Times New Roman" w:cs="Times New Roman"/>
                <w:b/>
                <w:bCs/>
                <w:color w:val="000000"/>
                <w:sz w:val="18"/>
                <w:szCs w:val="18"/>
              </w:rPr>
              <w:t>3962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9D013" w14:textId="77777777" w:rsidR="00B94FE5" w:rsidRPr="00B94FE5" w:rsidRDefault="00B94FE5" w:rsidP="001078DB">
            <w:pPr>
              <w:ind w:right="171"/>
              <w:jc w:val="right"/>
              <w:rPr>
                <w:rFonts w:ascii="Times New Roman" w:hAnsi="Times New Roman" w:cs="Times New Roman"/>
                <w:b/>
                <w:bCs/>
                <w:color w:val="000000"/>
                <w:sz w:val="18"/>
                <w:szCs w:val="18"/>
              </w:rPr>
            </w:pPr>
            <w:r w:rsidRPr="00B94FE5">
              <w:rPr>
                <w:rFonts w:ascii="Times New Roman" w:hAnsi="Times New Roman" w:cs="Times New Roman"/>
                <w:b/>
                <w:bCs/>
                <w:color w:val="000000"/>
                <w:sz w:val="18"/>
                <w:szCs w:val="18"/>
              </w:rPr>
              <w:t>1,499.44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02CB6" w14:textId="77777777" w:rsidR="00B94FE5" w:rsidRPr="00B94FE5" w:rsidRDefault="00B94FE5" w:rsidP="001078DB">
            <w:pPr>
              <w:ind w:right="171"/>
              <w:jc w:val="right"/>
              <w:rPr>
                <w:rFonts w:ascii="Times New Roman" w:hAnsi="Times New Roman" w:cs="Times New Roman"/>
                <w:b/>
                <w:bCs/>
                <w:color w:val="000000"/>
                <w:sz w:val="18"/>
                <w:szCs w:val="18"/>
              </w:rPr>
            </w:pPr>
            <w:r w:rsidRPr="00B94FE5">
              <w:rPr>
                <w:rFonts w:ascii="Times New Roman" w:hAnsi="Times New Roman" w:cs="Times New Roman"/>
                <w:b/>
                <w:bCs/>
                <w:color w:val="000000"/>
                <w:sz w:val="18"/>
                <w:szCs w:val="18"/>
              </w:rPr>
              <w:t>4794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02AB8" w14:textId="77777777" w:rsidR="00B94FE5" w:rsidRPr="00B94FE5" w:rsidRDefault="00B94FE5" w:rsidP="001078DB">
            <w:pPr>
              <w:ind w:right="171"/>
              <w:jc w:val="right"/>
              <w:rPr>
                <w:rFonts w:ascii="Times New Roman" w:hAnsi="Times New Roman" w:cs="Times New Roman"/>
                <w:b/>
                <w:bCs/>
                <w:color w:val="000000"/>
                <w:sz w:val="18"/>
                <w:szCs w:val="18"/>
              </w:rPr>
            </w:pPr>
            <w:r w:rsidRPr="00B94FE5">
              <w:rPr>
                <w:rFonts w:ascii="Times New Roman" w:hAnsi="Times New Roman" w:cs="Times New Roman"/>
                <w:b/>
                <w:bCs/>
                <w:color w:val="000000"/>
                <w:sz w:val="18"/>
                <w:szCs w:val="18"/>
              </w:rPr>
              <w:t>1,182.98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39E32" w14:textId="77777777" w:rsidR="00B94FE5" w:rsidRPr="00B94FE5" w:rsidRDefault="00B94FE5" w:rsidP="001078DB">
            <w:pPr>
              <w:ind w:right="171"/>
              <w:jc w:val="right"/>
              <w:rPr>
                <w:rFonts w:ascii="Times New Roman" w:hAnsi="Times New Roman" w:cs="Times New Roman"/>
                <w:b/>
                <w:bCs/>
                <w:color w:val="000000"/>
                <w:sz w:val="18"/>
                <w:szCs w:val="18"/>
              </w:rPr>
            </w:pPr>
            <w:r w:rsidRPr="00B94FE5">
              <w:rPr>
                <w:rFonts w:ascii="Times New Roman" w:hAnsi="Times New Roman" w:cs="Times New Roman"/>
                <w:b/>
                <w:bCs/>
                <w:color w:val="000000"/>
                <w:sz w:val="18"/>
                <w:szCs w:val="18"/>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8DDB2"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832.00</w:t>
            </w:r>
          </w:p>
        </w:tc>
      </w:tr>
    </w:tbl>
    <w:p w14:paraId="10F60E77" w14:textId="7A5FDC5A" w:rsidR="009701EA" w:rsidRDefault="00B94FE5" w:rsidP="009701EA">
      <w:pPr>
        <w:pStyle w:val="af0"/>
        <w:tabs>
          <w:tab w:val="left" w:pos="5869"/>
        </w:tabs>
        <w:spacing w:after="360" w:line="276" w:lineRule="auto"/>
        <w:rPr>
          <w:rFonts w:eastAsia="Times New Roman"/>
          <w:i/>
          <w:sz w:val="16"/>
          <w:szCs w:val="16"/>
          <w:lang w:eastAsia="ro-MD"/>
        </w:rPr>
      </w:pPr>
      <w:r w:rsidRPr="00000D4A">
        <w:rPr>
          <w:rFonts w:eastAsia="Times New Roman"/>
          <w:b/>
          <w:i/>
          <w:sz w:val="16"/>
          <w:szCs w:val="16"/>
          <w:lang w:eastAsia="ro-MD"/>
        </w:rPr>
        <w:t xml:space="preserve"> </w:t>
      </w:r>
      <w:r w:rsidR="009701EA" w:rsidRPr="00000D4A">
        <w:rPr>
          <w:rFonts w:eastAsia="Times New Roman"/>
          <w:b/>
          <w:i/>
          <w:sz w:val="16"/>
          <w:szCs w:val="16"/>
          <w:lang w:eastAsia="ro-MD"/>
        </w:rPr>
        <w:t>Sursă:</w:t>
      </w:r>
      <w:r w:rsidR="009701EA" w:rsidRPr="00000D4A">
        <w:rPr>
          <w:rFonts w:eastAsia="Times New Roman"/>
          <w:i/>
          <w:sz w:val="16"/>
          <w:szCs w:val="16"/>
          <w:lang w:eastAsia="ro-MD"/>
        </w:rPr>
        <w:t xml:space="preserve"> Elaborată în baza</w:t>
      </w:r>
      <w:r w:rsidR="00BA69A9">
        <w:rPr>
          <w:rFonts w:eastAsia="Times New Roman"/>
          <w:i/>
          <w:sz w:val="16"/>
          <w:szCs w:val="16"/>
          <w:lang w:eastAsia="ro-MD"/>
        </w:rPr>
        <w:t xml:space="preserve"> </w:t>
      </w:r>
      <w:r w:rsidR="009701EA">
        <w:rPr>
          <w:rFonts w:eastAsia="Times New Roman"/>
          <w:i/>
          <w:sz w:val="16"/>
          <w:szCs w:val="16"/>
          <w:lang w:eastAsia="ro-MD"/>
        </w:rPr>
        <w:t>informațiilor prezentate de CS și I</w:t>
      </w:r>
      <w:r w:rsidR="003C5DF4">
        <w:rPr>
          <w:rFonts w:eastAsia="Times New Roman"/>
          <w:i/>
          <w:sz w:val="16"/>
          <w:szCs w:val="16"/>
          <w:lang w:eastAsia="ro-MD"/>
        </w:rPr>
        <w:t>.</w:t>
      </w:r>
      <w:r w:rsidR="009701EA">
        <w:rPr>
          <w:rFonts w:eastAsia="Times New Roman"/>
          <w:i/>
          <w:sz w:val="16"/>
          <w:szCs w:val="16"/>
          <w:lang w:eastAsia="ro-MD"/>
        </w:rPr>
        <w:t>P</w:t>
      </w:r>
      <w:r w:rsidR="003C5DF4">
        <w:rPr>
          <w:rFonts w:eastAsia="Times New Roman"/>
          <w:i/>
          <w:sz w:val="16"/>
          <w:szCs w:val="16"/>
          <w:lang w:eastAsia="ro-MD"/>
        </w:rPr>
        <w:t>.</w:t>
      </w:r>
      <w:r w:rsidR="009701EA">
        <w:rPr>
          <w:rFonts w:eastAsia="Times New Roman"/>
          <w:i/>
          <w:sz w:val="16"/>
          <w:szCs w:val="16"/>
          <w:lang w:eastAsia="ro-MD"/>
        </w:rPr>
        <w:t xml:space="preserve"> monitorizate</w:t>
      </w:r>
    </w:p>
    <w:p w14:paraId="461D340B" w14:textId="77777777" w:rsidR="004E5799" w:rsidRPr="00967F6A" w:rsidRDefault="004E5799" w:rsidP="004E5799">
      <w:pPr>
        <w:shd w:val="clear" w:color="auto" w:fill="FFFFFF"/>
        <w:spacing w:after="120" w:line="240" w:lineRule="auto"/>
        <w:ind w:right="-331" w:firstLine="533"/>
        <w:rPr>
          <w:rFonts w:asciiTheme="majorHAnsi" w:eastAsia="Times New Roman" w:hAnsiTheme="majorHAnsi" w:cstheme="majorHAnsi"/>
          <w:b/>
        </w:rPr>
      </w:pPr>
      <w:r w:rsidRPr="00CE68BA">
        <w:rPr>
          <w:rFonts w:ascii="Calibri Light" w:eastAsia="Times New Roman" w:hAnsi="Calibri Light" w:cs="Times New Roman"/>
          <w:b/>
          <w:lang w:val="ro-RO"/>
        </w:rPr>
        <w:t xml:space="preserve">Diagrama nr.2: </w:t>
      </w:r>
      <w:r w:rsidRPr="00CE68BA">
        <w:rPr>
          <w:rFonts w:asciiTheme="majorHAnsi" w:hAnsiTheme="majorHAnsi" w:cstheme="majorHAnsi"/>
          <w:b/>
        </w:rPr>
        <w:t>Evoluția în dinamică a cheltuielilor pentru achiziții publice în anii 2018 - 2022</w:t>
      </w:r>
    </w:p>
    <w:p w14:paraId="69626375" w14:textId="7E41C4E8" w:rsidR="004E5799" w:rsidRPr="00967F6A" w:rsidRDefault="00BA69A9" w:rsidP="004E5799">
      <w:pPr>
        <w:shd w:val="clear" w:color="auto" w:fill="FFFFFF"/>
        <w:spacing w:after="0" w:line="240" w:lineRule="auto"/>
        <w:ind w:right="-334" w:firstLine="539"/>
        <w:jc w:val="center"/>
        <w:rPr>
          <w:rFonts w:ascii="Calibri Light" w:eastAsia="Times New Roman" w:hAnsi="Calibri Light" w:cs="Times New Roman"/>
          <w:sz w:val="24"/>
          <w:szCs w:val="24"/>
          <w:lang w:val="ro-RO"/>
        </w:rPr>
      </w:pPr>
      <w:r>
        <w:rPr>
          <w:rFonts w:ascii="Calibri Light" w:eastAsia="Times New Roman" w:hAnsi="Calibri Light" w:cs="Times New Roman"/>
          <w:sz w:val="24"/>
          <w:szCs w:val="24"/>
          <w:lang w:val="ro-RO"/>
        </w:rPr>
        <w:t xml:space="preserve">                   </w:t>
      </w:r>
      <w:r w:rsidR="004E5799">
        <w:rPr>
          <w:rFonts w:ascii="Calibri Light" w:eastAsia="Times New Roman" w:hAnsi="Calibri Light" w:cs="Times New Roman"/>
          <w:sz w:val="24"/>
          <w:szCs w:val="24"/>
          <w:lang w:val="ro-RO"/>
        </w:rPr>
        <w:t xml:space="preserve">Mil. </w:t>
      </w:r>
      <w:r w:rsidR="004E5799" w:rsidRPr="00967F6A">
        <w:rPr>
          <w:rFonts w:ascii="Calibri Light" w:eastAsia="Times New Roman" w:hAnsi="Calibri Light" w:cs="Times New Roman"/>
          <w:sz w:val="24"/>
          <w:szCs w:val="24"/>
          <w:lang w:val="ro-RO"/>
        </w:rPr>
        <w:t>lei</w:t>
      </w:r>
    </w:p>
    <w:p w14:paraId="7E8E7B0F" w14:textId="77777777" w:rsidR="004E5799" w:rsidRPr="00967F6A" w:rsidRDefault="004E5799" w:rsidP="004E5799">
      <w:pPr>
        <w:spacing w:line="276" w:lineRule="auto"/>
        <w:rPr>
          <w:lang w:val="en-US"/>
        </w:rPr>
      </w:pPr>
      <w:r w:rsidRPr="00967F6A">
        <w:rPr>
          <w:noProof/>
          <w:lang w:val="ru-RU" w:eastAsia="ru-RU"/>
        </w:rPr>
        <w:drawing>
          <wp:inline distT="0" distB="0" distL="0" distR="0" wp14:anchorId="146EB591" wp14:editId="76383B96">
            <wp:extent cx="5928360" cy="2941320"/>
            <wp:effectExtent l="0" t="0" r="15240" b="1143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B13DC72" w14:textId="77777777" w:rsidR="004E5799" w:rsidRPr="00A36A43" w:rsidRDefault="004E5799" w:rsidP="004E5799">
      <w:pPr>
        <w:spacing w:line="276" w:lineRule="auto"/>
        <w:rPr>
          <w:rFonts w:asciiTheme="majorHAnsi" w:hAnsiTheme="majorHAnsi" w:cstheme="majorHAnsi"/>
          <w:sz w:val="24"/>
          <w:szCs w:val="24"/>
          <w:lang w:val="ro-RO"/>
        </w:rPr>
      </w:pPr>
      <w:r w:rsidRPr="00967F6A">
        <w:rPr>
          <w:sz w:val="18"/>
          <w:szCs w:val="18"/>
        </w:rPr>
        <w:t>Sursa: Registrele</w:t>
      </w:r>
      <w:r w:rsidRPr="00967F6A">
        <w:rPr>
          <w:sz w:val="18"/>
          <w:szCs w:val="18"/>
          <w:lang w:val="ro-RO"/>
        </w:rPr>
        <w:t xml:space="preserve"> contra</w:t>
      </w:r>
      <w:r>
        <w:rPr>
          <w:sz w:val="18"/>
          <w:szCs w:val="18"/>
          <w:lang w:val="ro-RO"/>
        </w:rPr>
        <w:t>ctelor de achiziții pe anii 2018-2022</w:t>
      </w:r>
    </w:p>
    <w:p w14:paraId="03FCCDC5" w14:textId="77777777" w:rsidR="004E5799" w:rsidRPr="00CE68BA" w:rsidRDefault="004E5799" w:rsidP="004E5799">
      <w:pPr>
        <w:shd w:val="clear" w:color="auto" w:fill="FFFFFF"/>
        <w:tabs>
          <w:tab w:val="left" w:pos="0"/>
          <w:tab w:val="left" w:pos="450"/>
          <w:tab w:val="left" w:pos="990"/>
        </w:tabs>
        <w:spacing w:after="240" w:line="276" w:lineRule="auto"/>
        <w:ind w:right="11"/>
        <w:jc w:val="both"/>
        <w:rPr>
          <w:rFonts w:asciiTheme="majorHAnsi" w:hAnsiTheme="majorHAnsi" w:cstheme="majorHAnsi"/>
          <w:sz w:val="24"/>
          <w:szCs w:val="24"/>
          <w:lang w:val="ro-RO"/>
        </w:rPr>
      </w:pPr>
    </w:p>
    <w:p w14:paraId="5D4AFF8A" w14:textId="6CACDCA0" w:rsidR="004E5799" w:rsidRDefault="004E5799" w:rsidP="00E52AC1">
      <w:pPr>
        <w:rPr>
          <w:rFonts w:ascii="Times New Roman" w:hAnsi="Times New Roman" w:cs="Times New Roman"/>
          <w:sz w:val="24"/>
          <w:szCs w:val="24"/>
        </w:rPr>
        <w:sectPr w:rsidR="004E5799" w:rsidSect="001078DB">
          <w:pgSz w:w="11906" w:h="16838" w:code="9"/>
          <w:pgMar w:top="1140" w:right="284" w:bottom="1140" w:left="1701" w:header="720" w:footer="720" w:gutter="0"/>
          <w:cols w:space="720"/>
          <w:docGrid w:linePitch="360"/>
        </w:sectPr>
      </w:pPr>
    </w:p>
    <w:p w14:paraId="7179D319" w14:textId="77777777" w:rsidR="00E52AC1" w:rsidRPr="00FA5F31" w:rsidRDefault="00E52AC1" w:rsidP="00E52AC1">
      <w:pPr>
        <w:spacing w:after="0"/>
        <w:rPr>
          <w:rFonts w:ascii="Times New Roman" w:eastAsia="Times New Roman" w:hAnsi="Times New Roman" w:cs="Times New Roman"/>
          <w:b/>
          <w:bCs/>
          <w:iCs/>
          <w:color w:val="0070C0"/>
          <w:sz w:val="24"/>
          <w:szCs w:val="24"/>
        </w:rPr>
      </w:pPr>
      <w:bookmarkStart w:id="48" w:name="_Toc131660932"/>
      <w:r w:rsidRPr="00FA5F31">
        <w:rPr>
          <w:rFonts w:ascii="Times New Roman" w:eastAsia="Times New Roman" w:hAnsi="Times New Roman" w:cs="Times New Roman"/>
          <w:b/>
          <w:bCs/>
          <w:iCs/>
          <w:color w:val="0070C0"/>
          <w:sz w:val="24"/>
          <w:szCs w:val="24"/>
        </w:rPr>
        <w:t>Anexa nr.5</w:t>
      </w:r>
    </w:p>
    <w:p w14:paraId="69A44CA8" w14:textId="77777777" w:rsidR="00E52AC1" w:rsidRPr="00FA5F31" w:rsidRDefault="00E52AC1" w:rsidP="00E52AC1">
      <w:pPr>
        <w:jc w:val="center"/>
        <w:rPr>
          <w:rFonts w:ascii="Times New Roman" w:hAnsi="Times New Roman" w:cs="Times New Roman"/>
          <w:b/>
          <w:color w:val="002060"/>
          <w:sz w:val="24"/>
          <w:szCs w:val="24"/>
        </w:rPr>
      </w:pPr>
      <w:r w:rsidRPr="00FA5F31">
        <w:rPr>
          <w:rFonts w:ascii="Times New Roman" w:hAnsi="Times New Roman" w:cs="Times New Roman"/>
          <w:b/>
          <w:color w:val="002060"/>
          <w:sz w:val="24"/>
          <w:szCs w:val="24"/>
        </w:rPr>
        <w:t>Sfera și abordarea auditului</w:t>
      </w:r>
      <w:bookmarkEnd w:id="48"/>
    </w:p>
    <w:p w14:paraId="5F1DBC7F" w14:textId="77777777" w:rsidR="00E52AC1" w:rsidRPr="00FA5F31" w:rsidRDefault="00E52AC1" w:rsidP="00E52AC1">
      <w:pPr>
        <w:spacing w:after="80" w:line="276" w:lineRule="auto"/>
        <w:rPr>
          <w:rFonts w:ascii="Times New Roman" w:hAnsi="Times New Roman" w:cs="Times New Roman"/>
          <w:b/>
          <w:bCs/>
          <w:color w:val="2E74B5" w:themeColor="accent1" w:themeShade="BF"/>
          <w:sz w:val="24"/>
          <w:szCs w:val="24"/>
        </w:rPr>
      </w:pPr>
      <w:r w:rsidRPr="00FA5F31">
        <w:rPr>
          <w:rFonts w:ascii="Times New Roman" w:hAnsi="Times New Roman" w:cs="Times New Roman"/>
          <w:b/>
          <w:bCs/>
          <w:color w:val="2E74B5" w:themeColor="accent1" w:themeShade="BF"/>
          <w:sz w:val="24"/>
          <w:szCs w:val="24"/>
        </w:rPr>
        <w:t>Mandatul legal și scopul auditului</w:t>
      </w:r>
    </w:p>
    <w:p w14:paraId="12D52A75" w14:textId="77777777" w:rsidR="00E52AC1" w:rsidRPr="00FA5F31" w:rsidRDefault="00E52AC1" w:rsidP="00E52AC1">
      <w:pPr>
        <w:spacing w:line="276" w:lineRule="auto"/>
        <w:jc w:val="both"/>
        <w:rPr>
          <w:rFonts w:ascii="Times New Roman" w:hAnsi="Times New Roman" w:cs="Times New Roman"/>
          <w:color w:val="000000"/>
          <w:sz w:val="24"/>
          <w:szCs w:val="24"/>
          <w:shd w:val="clear" w:color="auto" w:fill="FFFFFF"/>
        </w:rPr>
      </w:pPr>
      <w:r w:rsidRPr="00FA5F31">
        <w:rPr>
          <w:rFonts w:ascii="Times New Roman" w:hAnsi="Times New Roman" w:cs="Times New Roman"/>
          <w:sz w:val="24"/>
          <w:szCs w:val="24"/>
          <w:shd w:val="clear" w:color="auto" w:fill="FFFFFF"/>
        </w:rPr>
        <w:t>Misiunea de audit public extern s-a desfășurat în temeiul art.5, art.31 și art.32 din Legea privind organizarea și funcționarea Curții de Conturi a Republicii Moldova nr.260 din 07.12.2017, având drept scop evaluarea conformității modului de formare, administrare și întrebuințare a resurselor financiare publice și a patrimoniului public de către Cancelaria de Stat în perioada 2018-2022, în raport cu prevederile cadrului normativ aplicabil.</w:t>
      </w:r>
    </w:p>
    <w:p w14:paraId="4E9163D5" w14:textId="77777777" w:rsidR="00FA5F31" w:rsidRPr="003B329E" w:rsidRDefault="00FA5F31" w:rsidP="00FA5F31">
      <w:pPr>
        <w:spacing w:after="0" w:line="276" w:lineRule="auto"/>
        <w:jc w:val="both"/>
        <w:rPr>
          <w:rFonts w:ascii="Times New Roman" w:hAnsi="Times New Roman" w:cs="Times New Roman"/>
          <w:color w:val="000000"/>
          <w:sz w:val="24"/>
          <w:szCs w:val="24"/>
          <w:shd w:val="clear" w:color="auto" w:fill="FFFFFF"/>
        </w:rPr>
      </w:pPr>
      <w:bookmarkStart w:id="49" w:name="_Toc154738586"/>
      <w:bookmarkStart w:id="50" w:name="_Toc156251109"/>
      <w:r w:rsidRPr="003B329E">
        <w:rPr>
          <w:rFonts w:ascii="Times New Roman" w:hAnsi="Times New Roman" w:cs="Times New Roman"/>
          <w:color w:val="000000"/>
          <w:sz w:val="24"/>
          <w:szCs w:val="24"/>
          <w:shd w:val="clear" w:color="auto" w:fill="FFFFFF"/>
        </w:rPr>
        <w:t>În acest sens, au fost determinate următoarele obiective specifice:</w:t>
      </w:r>
    </w:p>
    <w:p w14:paraId="6E0E07AA" w14:textId="77777777" w:rsidR="005E5AAA" w:rsidRDefault="005E5AAA" w:rsidP="005E5AAA">
      <w:pPr>
        <w:pStyle w:val="a7"/>
        <w:numPr>
          <w:ilvl w:val="1"/>
          <w:numId w:val="1"/>
        </w:numPr>
        <w:tabs>
          <w:tab w:val="left" w:pos="142"/>
          <w:tab w:val="left" w:pos="284"/>
        </w:tabs>
        <w:spacing w:after="120" w:line="276" w:lineRule="auto"/>
        <w:ind w:left="0" w:firstLine="0"/>
        <w:contextualSpacing w:val="0"/>
        <w:jc w:val="both"/>
        <w:rPr>
          <w:rFonts w:ascii="Times New Roman" w:eastAsia="Times New Roman" w:hAnsi="Times New Roman" w:cs="Times New Roman"/>
          <w:i/>
          <w:sz w:val="24"/>
          <w:szCs w:val="24"/>
        </w:rPr>
      </w:pPr>
      <w:r w:rsidRPr="005E5AAA">
        <w:rPr>
          <w:rFonts w:ascii="Times New Roman" w:eastAsia="Times New Roman" w:hAnsi="Times New Roman" w:cs="Times New Roman"/>
          <w:i/>
          <w:sz w:val="24"/>
          <w:szCs w:val="24"/>
        </w:rPr>
        <w:t>Cancelaria de Stat și instituțiile monitorizate au asigurat managementul financiar al resurselor publice potrivit regulilor și procedurilor bugetar-fiscale prestabilite?</w:t>
      </w:r>
    </w:p>
    <w:p w14:paraId="731DF226" w14:textId="77777777" w:rsidR="005E5AAA" w:rsidRDefault="005E5AAA" w:rsidP="005E5AAA">
      <w:pPr>
        <w:pStyle w:val="a7"/>
        <w:numPr>
          <w:ilvl w:val="1"/>
          <w:numId w:val="1"/>
        </w:numPr>
        <w:tabs>
          <w:tab w:val="left" w:pos="142"/>
          <w:tab w:val="left" w:pos="284"/>
        </w:tabs>
        <w:spacing w:after="120" w:line="276" w:lineRule="auto"/>
        <w:ind w:left="0" w:firstLine="0"/>
        <w:contextualSpacing w:val="0"/>
        <w:jc w:val="both"/>
        <w:rPr>
          <w:rFonts w:ascii="Times New Roman" w:eastAsia="Times New Roman" w:hAnsi="Times New Roman" w:cs="Times New Roman"/>
          <w:i/>
          <w:sz w:val="24"/>
          <w:szCs w:val="24"/>
        </w:rPr>
      </w:pPr>
      <w:r w:rsidRPr="005E5AAA">
        <w:rPr>
          <w:rFonts w:ascii="Times New Roman" w:eastAsia="Times New Roman" w:hAnsi="Times New Roman" w:cs="Times New Roman"/>
          <w:i/>
          <w:sz w:val="24"/>
          <w:szCs w:val="24"/>
        </w:rPr>
        <w:t>Politicile și instrumentele existente asigură executarea de către CS a monitoringului activității instituțiilor publice fondate?</w:t>
      </w:r>
    </w:p>
    <w:p w14:paraId="5E357D27" w14:textId="77777777" w:rsidR="005E5AAA" w:rsidRDefault="005E5AAA" w:rsidP="005E5AAA">
      <w:pPr>
        <w:pStyle w:val="a7"/>
        <w:numPr>
          <w:ilvl w:val="1"/>
          <w:numId w:val="1"/>
        </w:numPr>
        <w:tabs>
          <w:tab w:val="left" w:pos="142"/>
          <w:tab w:val="left" w:pos="284"/>
        </w:tabs>
        <w:spacing w:after="120" w:line="276" w:lineRule="auto"/>
        <w:ind w:left="0" w:firstLine="0"/>
        <w:contextualSpacing w:val="0"/>
        <w:jc w:val="both"/>
        <w:rPr>
          <w:rFonts w:ascii="Times New Roman" w:eastAsia="Times New Roman" w:hAnsi="Times New Roman" w:cs="Times New Roman"/>
          <w:i/>
          <w:sz w:val="24"/>
          <w:szCs w:val="24"/>
        </w:rPr>
      </w:pPr>
      <w:r w:rsidRPr="005E5AAA">
        <w:rPr>
          <w:rFonts w:ascii="Times New Roman" w:eastAsia="Times New Roman" w:hAnsi="Times New Roman" w:cs="Times New Roman"/>
          <w:i/>
          <w:sz w:val="24"/>
          <w:szCs w:val="24"/>
        </w:rPr>
        <w:t>Cancelaria de Stat și unele instituții publice fondate au asigurat conformitatea administrării patrimoniului pu</w:t>
      </w:r>
      <w:r>
        <w:rPr>
          <w:rFonts w:ascii="Times New Roman" w:eastAsia="Times New Roman" w:hAnsi="Times New Roman" w:cs="Times New Roman"/>
          <w:i/>
          <w:sz w:val="24"/>
          <w:szCs w:val="24"/>
        </w:rPr>
        <w:t>blic aflat/transmis în gestiune?</w:t>
      </w:r>
    </w:p>
    <w:p w14:paraId="663DA586" w14:textId="7E61395C" w:rsidR="00FA5F31" w:rsidRPr="005E5AAA" w:rsidRDefault="005E5AAA" w:rsidP="005E5AAA">
      <w:pPr>
        <w:pStyle w:val="a7"/>
        <w:numPr>
          <w:ilvl w:val="1"/>
          <w:numId w:val="1"/>
        </w:numPr>
        <w:tabs>
          <w:tab w:val="left" w:pos="142"/>
          <w:tab w:val="left" w:pos="284"/>
        </w:tabs>
        <w:spacing w:after="120" w:line="276" w:lineRule="auto"/>
        <w:ind w:left="0" w:firstLine="0"/>
        <w:contextualSpacing w:val="0"/>
        <w:jc w:val="both"/>
        <w:rPr>
          <w:rFonts w:ascii="Times New Roman" w:eastAsia="Times New Roman" w:hAnsi="Times New Roman" w:cs="Times New Roman"/>
          <w:i/>
          <w:sz w:val="24"/>
          <w:szCs w:val="24"/>
        </w:rPr>
      </w:pPr>
      <w:r w:rsidRPr="005E5AAA">
        <w:rPr>
          <w:rFonts w:ascii="Times New Roman" w:eastAsia="Times New Roman" w:hAnsi="Times New Roman" w:cs="Times New Roman"/>
          <w:i/>
          <w:sz w:val="24"/>
          <w:szCs w:val="24"/>
        </w:rPr>
        <w:t>CS în calitate de autoritate publică centrală, are implementat un sistem de control intern managerial</w:t>
      </w:r>
      <w:r w:rsidR="00BA69A9">
        <w:rPr>
          <w:rFonts w:ascii="Times New Roman" w:eastAsia="Times New Roman" w:hAnsi="Times New Roman" w:cs="Times New Roman"/>
          <w:i/>
          <w:sz w:val="24"/>
          <w:szCs w:val="24"/>
        </w:rPr>
        <w:t xml:space="preserve"> </w:t>
      </w:r>
      <w:r w:rsidRPr="005E5AAA">
        <w:rPr>
          <w:rFonts w:ascii="Times New Roman" w:eastAsia="Times New Roman" w:hAnsi="Times New Roman" w:cs="Times New Roman"/>
          <w:i/>
          <w:sz w:val="24"/>
          <w:szCs w:val="24"/>
        </w:rPr>
        <w:t>funcțional?</w:t>
      </w:r>
    </w:p>
    <w:p w14:paraId="49A3B4B8" w14:textId="77777777" w:rsidR="00E52AC1" w:rsidRPr="00FA5F31" w:rsidRDefault="00E52AC1" w:rsidP="00FA5F31">
      <w:pPr>
        <w:rPr>
          <w:rFonts w:ascii="Times New Roman" w:hAnsi="Times New Roman" w:cs="Times New Roman"/>
          <w:color w:val="0070C0"/>
          <w:sz w:val="24"/>
          <w:szCs w:val="24"/>
          <w:shd w:val="clear" w:color="auto" w:fill="FFFFFF"/>
        </w:rPr>
      </w:pPr>
      <w:r w:rsidRPr="00FA5F31">
        <w:rPr>
          <w:rFonts w:ascii="Times New Roman" w:hAnsi="Times New Roman" w:cs="Times New Roman"/>
          <w:color w:val="0070C0"/>
          <w:sz w:val="24"/>
          <w:szCs w:val="24"/>
        </w:rPr>
        <w:t>Abordarea auditului</w:t>
      </w:r>
      <w:bookmarkEnd w:id="49"/>
      <w:bookmarkEnd w:id="50"/>
    </w:p>
    <w:p w14:paraId="2858C84B" w14:textId="77777777" w:rsidR="00E52AC1" w:rsidRPr="00FA5F31" w:rsidRDefault="00E52AC1" w:rsidP="00E52AC1">
      <w:pPr>
        <w:spacing w:line="276" w:lineRule="auto"/>
        <w:jc w:val="both"/>
        <w:rPr>
          <w:rFonts w:ascii="Times New Roman" w:eastAsia="Times New Roman" w:hAnsi="Times New Roman" w:cs="Times New Roman"/>
          <w:color w:val="000000" w:themeColor="text1"/>
          <w:sz w:val="24"/>
          <w:szCs w:val="24"/>
        </w:rPr>
      </w:pPr>
      <w:r w:rsidRPr="00FA5F31">
        <w:rPr>
          <w:rFonts w:ascii="Times New Roman" w:eastAsia="Times New Roman" w:hAnsi="Times New Roman" w:cs="Times New Roman"/>
          <w:color w:val="000000" w:themeColor="text1"/>
          <w:sz w:val="24"/>
          <w:szCs w:val="24"/>
        </w:rPr>
        <w:t>Misiunea de audit public extern s-a desfășurat la CS și unele instituții monitorizate, în conformitate cu Standardele Internaționale ale Instituțiilor Supreme de Audit (ISSAI 100, ISSAI 400 și ISSAI 4000)</w:t>
      </w:r>
      <w:r w:rsidRPr="00FA5F31">
        <w:rPr>
          <w:rFonts w:ascii="Times New Roman" w:eastAsia="Times New Roman" w:hAnsi="Times New Roman" w:cs="Times New Roman"/>
          <w:color w:val="000000" w:themeColor="text1"/>
          <w:sz w:val="24"/>
          <w:szCs w:val="24"/>
          <w:vertAlign w:val="superscript"/>
        </w:rPr>
        <w:footnoteReference w:id="195"/>
      </w:r>
      <w:r w:rsidRPr="00FA5F31">
        <w:rPr>
          <w:rFonts w:ascii="Times New Roman" w:eastAsia="Times New Roman" w:hAnsi="Times New Roman" w:cs="Times New Roman"/>
          <w:color w:val="000000" w:themeColor="text1"/>
          <w:sz w:val="24"/>
          <w:szCs w:val="24"/>
        </w:rPr>
        <w:t xml:space="preserve"> și cu cadrul normativ-metodologic instituțional aferent, aplicate de Curtea de Conturi.</w:t>
      </w:r>
    </w:p>
    <w:p w14:paraId="7108A9BA" w14:textId="77777777" w:rsidR="00E52AC1" w:rsidRPr="00FA5F31" w:rsidRDefault="00E52AC1" w:rsidP="00E52AC1">
      <w:pPr>
        <w:spacing w:line="276" w:lineRule="auto"/>
        <w:jc w:val="both"/>
        <w:rPr>
          <w:rFonts w:ascii="Times New Roman" w:eastAsia="Times New Roman" w:hAnsi="Times New Roman" w:cs="Times New Roman"/>
          <w:noProof/>
          <w:color w:val="000000" w:themeColor="text1"/>
          <w:sz w:val="24"/>
          <w:szCs w:val="24"/>
        </w:rPr>
      </w:pPr>
      <w:r w:rsidRPr="00FA5F31">
        <w:rPr>
          <w:rFonts w:ascii="Times New Roman" w:hAnsi="Times New Roman" w:cs="Times New Roman"/>
          <w:b/>
          <w:bCs/>
          <w:color w:val="2E74B5" w:themeColor="accent1" w:themeShade="BF"/>
          <w:sz w:val="24"/>
          <w:szCs w:val="24"/>
        </w:rPr>
        <w:t>Abordarea auditului public extern</w:t>
      </w:r>
      <w:r w:rsidRPr="00FA5F31">
        <w:rPr>
          <w:rFonts w:ascii="Times New Roman" w:eastAsia="Times New Roman" w:hAnsi="Times New Roman" w:cs="Times New Roman"/>
          <w:noProof/>
          <w:color w:val="000000" w:themeColor="text1"/>
          <w:sz w:val="24"/>
          <w:szCs w:val="24"/>
        </w:rPr>
        <w:t xml:space="preserve"> s-a bazat pe riscuri, ce presupune orientarea activității de audit asupra acelor procese din cadrul CS, care sunt predispuse unor neconformități semnificative. Angajamentul auditului a fost cel de raportare directă, prin urmare procesele auditate au fost evaluate în raport cu criteriile de audit extrase din prevederile cadrului normativ aplicabil, iar asigurarea limitată oferită, ne permite în baza constatărilor susținute de probele de audit, să formulăm concluzia generală exprimată sub formă de constatări, răspunsuri la obiectivele specifice de audit.</w:t>
      </w:r>
    </w:p>
    <w:p w14:paraId="74644585" w14:textId="77777777" w:rsidR="00E52AC1" w:rsidRPr="00FA5F31" w:rsidRDefault="00E52AC1" w:rsidP="00E52AC1">
      <w:pPr>
        <w:spacing w:after="0" w:line="276" w:lineRule="auto"/>
        <w:jc w:val="both"/>
        <w:rPr>
          <w:rFonts w:ascii="Times New Roman" w:eastAsia="Times New Roman" w:hAnsi="Times New Roman" w:cs="Times New Roman"/>
          <w:color w:val="000000" w:themeColor="text1"/>
          <w:sz w:val="24"/>
          <w:szCs w:val="24"/>
        </w:rPr>
      </w:pPr>
      <w:r w:rsidRPr="00FA5F31">
        <w:rPr>
          <w:rFonts w:ascii="Times New Roman" w:hAnsi="Times New Roman" w:cs="Times New Roman"/>
          <w:b/>
          <w:bCs/>
          <w:color w:val="2E74B5" w:themeColor="accent1" w:themeShade="BF"/>
          <w:sz w:val="24"/>
          <w:szCs w:val="24"/>
        </w:rPr>
        <w:t xml:space="preserve">Probele de audit </w:t>
      </w:r>
      <w:r w:rsidRPr="00FA5F31">
        <w:rPr>
          <w:rFonts w:ascii="Times New Roman" w:eastAsia="Times New Roman" w:hAnsi="Times New Roman" w:cs="Times New Roman"/>
          <w:color w:val="000000" w:themeColor="text1"/>
          <w:sz w:val="24"/>
          <w:szCs w:val="24"/>
        </w:rPr>
        <w:t>au fost colectate la fața locului, prin verificarea tranzacțiilor și documentelor aferente domeniului, contrapunerea și generarea informațiilor din sistemul informațional utilizat de CS, observarea, investigarea, intervievarea și confirmarea, diferite recalcule.</w:t>
      </w:r>
    </w:p>
    <w:tbl>
      <w:tblPr>
        <w:tblStyle w:val="TableGrid12"/>
        <w:tblW w:w="10364" w:type="dxa"/>
        <w:tblInd w:w="-572" w:type="dxa"/>
        <w:tblLayout w:type="fixed"/>
        <w:tblLook w:val="04A0" w:firstRow="1" w:lastRow="0" w:firstColumn="1" w:lastColumn="0" w:noHBand="0" w:noVBand="1"/>
      </w:tblPr>
      <w:tblGrid>
        <w:gridCol w:w="1975"/>
        <w:gridCol w:w="3412"/>
        <w:gridCol w:w="3060"/>
        <w:gridCol w:w="1917"/>
      </w:tblGrid>
      <w:tr w:rsidR="000F4356" w:rsidRPr="008E551C" w14:paraId="208AC450" w14:textId="77777777" w:rsidTr="003D1FA7">
        <w:trPr>
          <w:trHeight w:val="305"/>
        </w:trPr>
        <w:tc>
          <w:tcPr>
            <w:tcW w:w="1975" w:type="dxa"/>
            <w:shd w:val="clear" w:color="auto" w:fill="DEEAF6" w:themeFill="accent1" w:themeFillTint="33"/>
          </w:tcPr>
          <w:p w14:paraId="5C3A5F11" w14:textId="77777777" w:rsidR="000F4356" w:rsidRPr="008E551C" w:rsidRDefault="000F4356" w:rsidP="00CE3DB1">
            <w:pPr>
              <w:spacing w:line="276" w:lineRule="auto"/>
              <w:jc w:val="center"/>
              <w:rPr>
                <w:rFonts w:asciiTheme="majorHAnsi" w:hAnsiTheme="majorHAnsi" w:cstheme="majorHAnsi"/>
                <w:b/>
                <w:bCs/>
                <w:sz w:val="18"/>
                <w:szCs w:val="18"/>
                <w:lang w:val="ro-RO"/>
              </w:rPr>
            </w:pPr>
            <w:r w:rsidRPr="008E551C">
              <w:rPr>
                <w:rFonts w:asciiTheme="majorHAnsi" w:hAnsiTheme="majorHAnsi" w:cstheme="majorHAnsi"/>
                <w:b/>
                <w:bCs/>
                <w:sz w:val="18"/>
                <w:szCs w:val="18"/>
                <w:lang w:val="ro-RO"/>
              </w:rPr>
              <w:t>Referință la paragraful din raport</w:t>
            </w:r>
          </w:p>
        </w:tc>
        <w:tc>
          <w:tcPr>
            <w:tcW w:w="3412" w:type="dxa"/>
            <w:shd w:val="clear" w:color="auto" w:fill="DEEAF6" w:themeFill="accent1" w:themeFillTint="33"/>
          </w:tcPr>
          <w:p w14:paraId="465E04F7" w14:textId="77777777" w:rsidR="000F4356" w:rsidRPr="008E551C" w:rsidRDefault="000F4356" w:rsidP="00CE3DB1">
            <w:pPr>
              <w:spacing w:line="276" w:lineRule="auto"/>
              <w:jc w:val="center"/>
              <w:rPr>
                <w:rFonts w:asciiTheme="majorHAnsi" w:hAnsiTheme="majorHAnsi" w:cstheme="majorHAnsi"/>
                <w:b/>
                <w:bCs/>
                <w:sz w:val="18"/>
                <w:szCs w:val="18"/>
                <w:lang w:val="ro-RO"/>
              </w:rPr>
            </w:pPr>
            <w:r w:rsidRPr="008E551C">
              <w:rPr>
                <w:rFonts w:asciiTheme="majorHAnsi" w:hAnsiTheme="majorHAnsi" w:cstheme="majorHAnsi"/>
                <w:b/>
                <w:bCs/>
                <w:sz w:val="18"/>
                <w:szCs w:val="18"/>
                <w:lang w:val="ro-RO"/>
              </w:rPr>
              <w:t>Criteriile de audit</w:t>
            </w:r>
          </w:p>
        </w:tc>
        <w:tc>
          <w:tcPr>
            <w:tcW w:w="3060" w:type="dxa"/>
            <w:shd w:val="clear" w:color="auto" w:fill="DEEAF6" w:themeFill="accent1" w:themeFillTint="33"/>
          </w:tcPr>
          <w:p w14:paraId="1FF13FE4" w14:textId="77777777" w:rsidR="000F4356" w:rsidRPr="008E551C" w:rsidRDefault="000F4356" w:rsidP="00CE3DB1">
            <w:pPr>
              <w:spacing w:line="276" w:lineRule="auto"/>
              <w:ind w:right="35"/>
              <w:jc w:val="center"/>
              <w:rPr>
                <w:rFonts w:asciiTheme="majorHAnsi" w:hAnsiTheme="majorHAnsi" w:cstheme="majorHAnsi"/>
                <w:b/>
                <w:bCs/>
                <w:sz w:val="18"/>
                <w:szCs w:val="18"/>
                <w:lang w:val="ro-RO"/>
              </w:rPr>
            </w:pPr>
            <w:r w:rsidRPr="008E551C">
              <w:rPr>
                <w:rFonts w:asciiTheme="majorHAnsi" w:hAnsiTheme="majorHAnsi" w:cstheme="majorHAnsi"/>
                <w:b/>
                <w:bCs/>
                <w:sz w:val="18"/>
                <w:szCs w:val="18"/>
                <w:lang w:val="ro-RO"/>
              </w:rPr>
              <w:t>Tehnicile de audit aplicate</w:t>
            </w:r>
          </w:p>
        </w:tc>
        <w:tc>
          <w:tcPr>
            <w:tcW w:w="1917" w:type="dxa"/>
            <w:shd w:val="clear" w:color="auto" w:fill="DEEAF6" w:themeFill="accent1" w:themeFillTint="33"/>
          </w:tcPr>
          <w:p w14:paraId="052CBE3C" w14:textId="77777777" w:rsidR="000F4356" w:rsidRPr="008E551C" w:rsidRDefault="000F4356" w:rsidP="00CE3DB1">
            <w:pPr>
              <w:spacing w:line="276" w:lineRule="auto"/>
              <w:jc w:val="center"/>
              <w:rPr>
                <w:rFonts w:asciiTheme="majorHAnsi" w:hAnsiTheme="majorHAnsi" w:cstheme="majorHAnsi"/>
                <w:b/>
                <w:bCs/>
                <w:sz w:val="18"/>
                <w:szCs w:val="18"/>
                <w:lang w:val="ro-RO"/>
              </w:rPr>
            </w:pPr>
            <w:r w:rsidRPr="008E551C">
              <w:rPr>
                <w:rFonts w:asciiTheme="majorHAnsi" w:hAnsiTheme="majorHAnsi" w:cstheme="majorHAnsi"/>
                <w:b/>
                <w:bCs/>
                <w:sz w:val="18"/>
                <w:szCs w:val="18"/>
                <w:lang w:val="ro-RO"/>
              </w:rPr>
              <w:t>Dimensiunea eșantionului</w:t>
            </w:r>
          </w:p>
        </w:tc>
      </w:tr>
      <w:tr w:rsidR="000F4356" w:rsidRPr="008E551C" w14:paraId="6974829A" w14:textId="77777777" w:rsidTr="003D1FA7">
        <w:trPr>
          <w:trHeight w:val="249"/>
        </w:trPr>
        <w:tc>
          <w:tcPr>
            <w:tcW w:w="1975" w:type="dxa"/>
          </w:tcPr>
          <w:p w14:paraId="0699F39A" w14:textId="77777777" w:rsidR="000F4356" w:rsidRPr="008E551C" w:rsidRDefault="000F4356" w:rsidP="00CE3DB1">
            <w:pPr>
              <w:spacing w:line="276" w:lineRule="auto"/>
              <w:jc w:val="center"/>
              <w:rPr>
                <w:rFonts w:asciiTheme="majorHAnsi" w:hAnsiTheme="majorHAnsi" w:cstheme="majorHAnsi"/>
                <w:b/>
                <w:bCs/>
                <w:sz w:val="18"/>
                <w:szCs w:val="18"/>
                <w:lang w:val="ro-RO"/>
              </w:rPr>
            </w:pPr>
            <w:r w:rsidRPr="008E551C">
              <w:rPr>
                <w:rFonts w:asciiTheme="majorHAnsi" w:hAnsiTheme="majorHAnsi" w:cstheme="majorHAnsi"/>
                <w:b/>
                <w:bCs/>
                <w:sz w:val="18"/>
                <w:szCs w:val="18"/>
                <w:lang w:val="ro-RO"/>
              </w:rPr>
              <w:t>1</w:t>
            </w:r>
          </w:p>
        </w:tc>
        <w:tc>
          <w:tcPr>
            <w:tcW w:w="3412" w:type="dxa"/>
          </w:tcPr>
          <w:p w14:paraId="5B2319CF" w14:textId="77777777" w:rsidR="000F4356" w:rsidRPr="008E551C" w:rsidRDefault="000F4356" w:rsidP="00CE3DB1">
            <w:pPr>
              <w:spacing w:line="276" w:lineRule="auto"/>
              <w:jc w:val="center"/>
              <w:rPr>
                <w:rFonts w:asciiTheme="majorHAnsi" w:hAnsiTheme="majorHAnsi" w:cstheme="majorHAnsi"/>
                <w:b/>
                <w:bCs/>
                <w:sz w:val="18"/>
                <w:szCs w:val="18"/>
                <w:lang w:val="ro-RO"/>
              </w:rPr>
            </w:pPr>
            <w:r w:rsidRPr="008E551C">
              <w:rPr>
                <w:rFonts w:asciiTheme="majorHAnsi" w:hAnsiTheme="majorHAnsi" w:cstheme="majorHAnsi"/>
                <w:b/>
                <w:bCs/>
                <w:sz w:val="18"/>
                <w:szCs w:val="18"/>
                <w:lang w:val="ro-RO"/>
              </w:rPr>
              <w:t>3</w:t>
            </w:r>
          </w:p>
        </w:tc>
        <w:tc>
          <w:tcPr>
            <w:tcW w:w="3060" w:type="dxa"/>
          </w:tcPr>
          <w:p w14:paraId="6CA2033F" w14:textId="77777777" w:rsidR="000F4356" w:rsidRPr="008E551C" w:rsidRDefault="000F4356" w:rsidP="00CE3DB1">
            <w:pPr>
              <w:spacing w:line="276" w:lineRule="auto"/>
              <w:jc w:val="center"/>
              <w:rPr>
                <w:rFonts w:asciiTheme="majorHAnsi" w:hAnsiTheme="majorHAnsi" w:cstheme="majorHAnsi"/>
                <w:b/>
                <w:bCs/>
                <w:sz w:val="18"/>
                <w:szCs w:val="18"/>
                <w:lang w:val="ro-RO"/>
              </w:rPr>
            </w:pPr>
            <w:r w:rsidRPr="008E551C">
              <w:rPr>
                <w:rFonts w:asciiTheme="majorHAnsi" w:hAnsiTheme="majorHAnsi" w:cstheme="majorHAnsi"/>
                <w:b/>
                <w:bCs/>
                <w:sz w:val="18"/>
                <w:szCs w:val="18"/>
                <w:lang w:val="ro-RO"/>
              </w:rPr>
              <w:t>4</w:t>
            </w:r>
          </w:p>
        </w:tc>
        <w:tc>
          <w:tcPr>
            <w:tcW w:w="1917" w:type="dxa"/>
          </w:tcPr>
          <w:p w14:paraId="1E637B0E" w14:textId="77777777" w:rsidR="000F4356" w:rsidRPr="008E551C" w:rsidRDefault="000F4356" w:rsidP="00CE3DB1">
            <w:pPr>
              <w:spacing w:line="276" w:lineRule="auto"/>
              <w:jc w:val="center"/>
              <w:rPr>
                <w:rFonts w:asciiTheme="majorHAnsi" w:hAnsiTheme="majorHAnsi" w:cstheme="majorHAnsi"/>
                <w:b/>
                <w:bCs/>
                <w:sz w:val="18"/>
                <w:szCs w:val="18"/>
                <w:lang w:val="ro-RO"/>
              </w:rPr>
            </w:pPr>
            <w:r w:rsidRPr="008E551C">
              <w:rPr>
                <w:rFonts w:asciiTheme="majorHAnsi" w:hAnsiTheme="majorHAnsi" w:cstheme="majorHAnsi"/>
                <w:b/>
                <w:bCs/>
                <w:sz w:val="18"/>
                <w:szCs w:val="18"/>
                <w:lang w:val="ro-RO"/>
              </w:rPr>
              <w:t>5</w:t>
            </w:r>
          </w:p>
        </w:tc>
      </w:tr>
      <w:tr w:rsidR="000F4356" w:rsidRPr="008E551C" w14:paraId="1FCDC2A9" w14:textId="77777777" w:rsidTr="000F4356">
        <w:trPr>
          <w:trHeight w:val="249"/>
        </w:trPr>
        <w:tc>
          <w:tcPr>
            <w:tcW w:w="10364" w:type="dxa"/>
            <w:gridSpan w:val="4"/>
          </w:tcPr>
          <w:p w14:paraId="35C348D4" w14:textId="77777777" w:rsidR="000F4356" w:rsidRPr="008E551C" w:rsidRDefault="000F4356" w:rsidP="00CE3DB1">
            <w:pPr>
              <w:rPr>
                <w:rFonts w:asciiTheme="majorHAnsi" w:eastAsiaTheme="majorEastAsia" w:hAnsiTheme="majorHAnsi" w:cstheme="majorHAnsi"/>
                <w:b/>
                <w:color w:val="2E74B5" w:themeColor="accent1" w:themeShade="BF"/>
                <w:sz w:val="18"/>
                <w:szCs w:val="18"/>
              </w:rPr>
            </w:pPr>
            <w:r w:rsidRPr="008E551C">
              <w:rPr>
                <w:rFonts w:asciiTheme="majorHAnsi" w:eastAsiaTheme="majorEastAsia" w:hAnsiTheme="majorHAnsi" w:cstheme="majorHAnsi"/>
                <w:b/>
                <w:color w:val="2E74B5" w:themeColor="accent1" w:themeShade="BF"/>
                <w:sz w:val="18"/>
                <w:szCs w:val="18"/>
              </w:rPr>
              <w:t>OBIECTIVUL nr.1: Cancelaria de Stat și instituțiile monitorizate au asigurat managementul financiar al resurselor publice potrivit regulilor și procedurilor bugetar-fiscale prestabilite?</w:t>
            </w:r>
          </w:p>
        </w:tc>
      </w:tr>
      <w:tr w:rsidR="000F4356" w:rsidRPr="008E551C" w14:paraId="0B413EAE" w14:textId="77777777" w:rsidTr="003D1FA7">
        <w:trPr>
          <w:trHeight w:val="249"/>
        </w:trPr>
        <w:tc>
          <w:tcPr>
            <w:tcW w:w="1975" w:type="dxa"/>
          </w:tcPr>
          <w:p w14:paraId="33B19879"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4.1.1.</w:t>
            </w:r>
            <w:r w:rsidRPr="008E551C">
              <w:rPr>
                <w:rFonts w:asciiTheme="majorHAnsi" w:hAnsiTheme="majorHAnsi" w:cstheme="majorHAnsi"/>
                <w:sz w:val="18"/>
                <w:szCs w:val="18"/>
                <w:lang w:val="ro-RO"/>
              </w:rPr>
              <w:tab/>
              <w:t>Deși CS are implementate elemente ale sistemului de control intern managerial, care preponderent au asigurat executarea conformă a resurselor bugetare, totuși se atestă unele procese operaționale vulnerabile</w:t>
            </w:r>
          </w:p>
        </w:tc>
        <w:tc>
          <w:tcPr>
            <w:tcW w:w="3412" w:type="dxa"/>
          </w:tcPr>
          <w:p w14:paraId="3F3333F2" w14:textId="77777777" w:rsidR="000F4356" w:rsidRPr="008E551C" w:rsidRDefault="000F4356" w:rsidP="00CE3DB1">
            <w:pPr>
              <w:contextualSpacing/>
              <w:jc w:val="both"/>
              <w:rPr>
                <w:rFonts w:asciiTheme="majorHAnsi" w:hAnsiTheme="majorHAnsi" w:cstheme="majorHAnsi"/>
                <w:color w:val="333333"/>
                <w:sz w:val="18"/>
                <w:szCs w:val="18"/>
                <w:shd w:val="clear" w:color="auto" w:fill="FFFFFF"/>
              </w:rPr>
            </w:pPr>
            <w:r w:rsidRPr="008E551C">
              <w:rPr>
                <w:rFonts w:asciiTheme="majorHAnsi" w:hAnsiTheme="majorHAnsi" w:cstheme="majorHAnsi"/>
                <w:color w:val="333333"/>
                <w:sz w:val="18"/>
                <w:szCs w:val="18"/>
                <w:shd w:val="clear" w:color="auto" w:fill="FFFFFF"/>
                <w:lang w:val="ro-RO"/>
              </w:rPr>
              <w:t xml:space="preserve">- </w:t>
            </w:r>
            <w:r w:rsidRPr="008E551C">
              <w:rPr>
                <w:rFonts w:asciiTheme="majorHAnsi" w:hAnsiTheme="majorHAnsi" w:cstheme="majorHAnsi"/>
                <w:color w:val="333333"/>
                <w:sz w:val="18"/>
                <w:szCs w:val="18"/>
                <w:shd w:val="clear" w:color="auto" w:fill="FFFFFF"/>
              </w:rPr>
              <w:t>art. 51 din Legea</w:t>
            </w:r>
            <w:r w:rsidRPr="008E551C">
              <w:rPr>
                <w:sz w:val="18"/>
                <w:szCs w:val="18"/>
              </w:rPr>
              <w:t xml:space="preserve"> </w:t>
            </w:r>
            <w:r w:rsidRPr="008E551C">
              <w:rPr>
                <w:rFonts w:asciiTheme="majorHAnsi" w:hAnsiTheme="majorHAnsi" w:cstheme="majorHAnsi"/>
                <w:color w:val="333333"/>
                <w:sz w:val="18"/>
                <w:szCs w:val="18"/>
                <w:shd w:val="clear" w:color="auto" w:fill="FFFFFF"/>
              </w:rPr>
              <w:t>finanțelor publice și responsabilității bugetar-fiscale 181/2014 .</w:t>
            </w:r>
          </w:p>
          <w:p w14:paraId="2A5CAA86" w14:textId="77777777" w:rsidR="000F4356" w:rsidRPr="008E551C" w:rsidRDefault="000F4356" w:rsidP="00CE3DB1">
            <w:pPr>
              <w:tabs>
                <w:tab w:val="left" w:pos="39"/>
              </w:tabs>
              <w:contextualSpacing/>
              <w:jc w:val="both"/>
              <w:rPr>
                <w:rFonts w:asciiTheme="majorHAnsi" w:hAnsiTheme="majorHAnsi" w:cstheme="majorHAnsi"/>
                <w:color w:val="333333"/>
                <w:sz w:val="18"/>
                <w:szCs w:val="18"/>
                <w:shd w:val="clear" w:color="auto" w:fill="FFFFFF"/>
              </w:rPr>
            </w:pPr>
            <w:r w:rsidRPr="008E551C">
              <w:rPr>
                <w:rFonts w:asciiTheme="majorHAnsi" w:hAnsiTheme="majorHAnsi" w:cstheme="majorHAnsi"/>
                <w:color w:val="333333"/>
                <w:sz w:val="18"/>
                <w:szCs w:val="18"/>
                <w:shd w:val="clear" w:color="auto" w:fill="FFFFFF"/>
              </w:rPr>
              <w:t>-Setul metodologic privind elaborarea, aprobarea și modificarea bugetului, aprobat prin Ordinul MF nr. 209/2015 (cu modificările ulterioare).</w:t>
            </w:r>
          </w:p>
        </w:tc>
        <w:tc>
          <w:tcPr>
            <w:tcW w:w="3060" w:type="dxa"/>
          </w:tcPr>
          <w:p w14:paraId="4006A7D4" w14:textId="77777777" w:rsidR="000F4356" w:rsidRPr="008E551C" w:rsidRDefault="000F4356" w:rsidP="00CE3DB1">
            <w:pPr>
              <w:ind w:right="35"/>
              <w:jc w:val="both"/>
              <w:rPr>
                <w:rFonts w:asciiTheme="majorHAnsi" w:hAnsiTheme="majorHAnsi" w:cstheme="majorHAnsi"/>
                <w:sz w:val="18"/>
                <w:szCs w:val="18"/>
              </w:rPr>
            </w:pPr>
            <w:r w:rsidRPr="008E551C">
              <w:rPr>
                <w:rFonts w:asciiTheme="majorHAnsi" w:hAnsiTheme="majorHAnsi" w:cstheme="majorHAnsi"/>
                <w:sz w:val="18"/>
                <w:szCs w:val="18"/>
              </w:rPr>
              <w:t>- analiza procesului de elaborare a proiectului de buget a CS;</w:t>
            </w:r>
          </w:p>
          <w:p w14:paraId="5A613EFD" w14:textId="77777777" w:rsidR="000F4356" w:rsidRPr="008E551C" w:rsidRDefault="000F4356" w:rsidP="00CE3DB1">
            <w:pPr>
              <w:ind w:right="35"/>
              <w:jc w:val="both"/>
              <w:rPr>
                <w:rFonts w:asciiTheme="majorHAnsi" w:hAnsiTheme="majorHAnsi" w:cstheme="majorHAnsi"/>
                <w:sz w:val="18"/>
                <w:szCs w:val="18"/>
              </w:rPr>
            </w:pPr>
            <w:r w:rsidRPr="008E551C">
              <w:rPr>
                <w:rFonts w:asciiTheme="majorHAnsi" w:hAnsiTheme="majorHAnsi" w:cstheme="majorHAnsi"/>
                <w:sz w:val="18"/>
                <w:szCs w:val="18"/>
              </w:rPr>
              <w:t>- analiza procesului de elaborare bugetară, prin analiza propunerilor de buget, inclusiv din partea instituțiilor monitorizate de CS</w:t>
            </w:r>
          </w:p>
        </w:tc>
        <w:tc>
          <w:tcPr>
            <w:tcW w:w="1917" w:type="dxa"/>
          </w:tcPr>
          <w:p w14:paraId="5FBA5AFB" w14:textId="16AD9039" w:rsidR="000F4356" w:rsidRPr="008E551C" w:rsidRDefault="000F4356" w:rsidP="00CE3DB1">
            <w:pPr>
              <w:jc w:val="both"/>
              <w:rPr>
                <w:rFonts w:asciiTheme="majorHAnsi" w:hAnsiTheme="majorHAnsi" w:cstheme="majorHAnsi"/>
                <w:sz w:val="18"/>
                <w:szCs w:val="18"/>
              </w:rPr>
            </w:pPr>
            <w:r w:rsidRPr="008E551C">
              <w:rPr>
                <w:rFonts w:asciiTheme="majorHAnsi" w:hAnsiTheme="majorHAnsi" w:cstheme="majorHAnsi"/>
                <w:sz w:val="18"/>
                <w:szCs w:val="18"/>
              </w:rPr>
              <w:t>Toate documentele aferente propunerilor de buget pentru anii 2018 – 2022 (CS, DGACG, BA a CS, AGE și STISC)</w:t>
            </w:r>
          </w:p>
        </w:tc>
      </w:tr>
      <w:tr w:rsidR="000F4356" w:rsidRPr="008E551C" w14:paraId="35EA0B3B" w14:textId="77777777" w:rsidTr="003D1FA7">
        <w:trPr>
          <w:trHeight w:val="249"/>
        </w:trPr>
        <w:tc>
          <w:tcPr>
            <w:tcW w:w="1975" w:type="dxa"/>
          </w:tcPr>
          <w:p w14:paraId="610E577A"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4.1.2.</w:t>
            </w:r>
            <w:r w:rsidRPr="008E551C">
              <w:rPr>
                <w:rFonts w:asciiTheme="majorHAnsi" w:hAnsiTheme="majorHAnsi" w:cstheme="majorHAnsi"/>
                <w:sz w:val="18"/>
                <w:szCs w:val="18"/>
                <w:lang w:val="ro-RO"/>
              </w:rPr>
              <w:tab/>
              <w:t>Lipsa cadrului normativ care ar reglementa regulile de gestionare a sumelor alocate entităților sub formă de granturi și subvenții, limitează transparența utilizării lor și creează premise de valorificare neconformă a acestora</w:t>
            </w:r>
          </w:p>
        </w:tc>
        <w:tc>
          <w:tcPr>
            <w:tcW w:w="3412" w:type="dxa"/>
          </w:tcPr>
          <w:p w14:paraId="7E3EBAFC" w14:textId="77777777" w:rsidR="000F4356" w:rsidRPr="008E551C" w:rsidRDefault="000F4356" w:rsidP="00CE3DB1">
            <w:pPr>
              <w:contextualSpacing/>
              <w:jc w:val="both"/>
              <w:rPr>
                <w:rFonts w:asciiTheme="majorHAnsi" w:hAnsiTheme="majorHAnsi" w:cstheme="majorHAnsi"/>
                <w:color w:val="333333"/>
                <w:sz w:val="18"/>
                <w:szCs w:val="18"/>
                <w:shd w:val="clear" w:color="auto" w:fill="FFFFFF"/>
              </w:rPr>
            </w:pPr>
            <w:r w:rsidRPr="008E551C">
              <w:rPr>
                <w:rFonts w:asciiTheme="majorHAnsi" w:hAnsiTheme="majorHAnsi" w:cstheme="majorHAnsi"/>
                <w:color w:val="333333"/>
                <w:sz w:val="18"/>
                <w:szCs w:val="18"/>
                <w:shd w:val="clear" w:color="auto" w:fill="FFFFFF"/>
              </w:rPr>
              <w:t>- art. 29 Legea finanțelor publice și responsabilităților bugetar-fiscale 181/2014;</w:t>
            </w:r>
          </w:p>
          <w:p w14:paraId="47984351" w14:textId="77777777" w:rsidR="000F4356" w:rsidRPr="008E551C" w:rsidRDefault="000F4356" w:rsidP="00CE3DB1">
            <w:pPr>
              <w:contextualSpacing/>
              <w:jc w:val="both"/>
              <w:rPr>
                <w:rFonts w:asciiTheme="majorHAnsi" w:hAnsiTheme="majorHAnsi" w:cstheme="majorHAnsi"/>
                <w:color w:val="333333"/>
                <w:sz w:val="18"/>
                <w:szCs w:val="18"/>
                <w:shd w:val="clear" w:color="auto" w:fill="FFFFFF"/>
              </w:rPr>
            </w:pPr>
            <w:r w:rsidRPr="008E551C">
              <w:rPr>
                <w:rFonts w:asciiTheme="majorHAnsi" w:hAnsiTheme="majorHAnsi" w:cstheme="majorHAnsi"/>
                <w:color w:val="333333"/>
                <w:sz w:val="18"/>
                <w:szCs w:val="18"/>
                <w:shd w:val="clear" w:color="auto" w:fill="FFFFFF"/>
              </w:rPr>
              <w:t>- Anexa 1 Ordin MF nr. 164/2016 cu privire la aprobarea Cerințelor la întocmirea Raportului narativ privind executarea bugetelor autorităților/ instituțiilor bugetare;</w:t>
            </w:r>
          </w:p>
          <w:p w14:paraId="375B5850" w14:textId="77777777" w:rsidR="000F4356" w:rsidRPr="008E551C" w:rsidRDefault="000F4356" w:rsidP="00CE3DB1">
            <w:pPr>
              <w:contextualSpacing/>
              <w:jc w:val="both"/>
              <w:rPr>
                <w:rFonts w:asciiTheme="majorHAnsi" w:hAnsiTheme="majorHAnsi" w:cstheme="majorHAnsi"/>
                <w:color w:val="333333"/>
                <w:sz w:val="18"/>
                <w:szCs w:val="18"/>
                <w:shd w:val="clear" w:color="auto" w:fill="FFFFFF"/>
              </w:rPr>
            </w:pPr>
            <w:r w:rsidRPr="008E551C">
              <w:rPr>
                <w:rFonts w:asciiTheme="majorHAnsi" w:hAnsiTheme="majorHAnsi" w:cstheme="majorHAnsi"/>
                <w:color w:val="333333"/>
                <w:sz w:val="18"/>
                <w:szCs w:val="18"/>
                <w:shd w:val="clear" w:color="auto" w:fill="FFFFFF"/>
              </w:rPr>
              <w:t>- pct. 3.2.40</w:t>
            </w:r>
            <w:r w:rsidRPr="008E551C">
              <w:rPr>
                <w:rFonts w:asciiTheme="majorHAnsi" w:hAnsiTheme="majorHAnsi" w:cstheme="majorHAnsi"/>
                <w:color w:val="333333"/>
                <w:sz w:val="18"/>
                <w:szCs w:val="18"/>
                <w:shd w:val="clear" w:color="auto" w:fill="FFFFFF"/>
                <w:vertAlign w:val="superscript"/>
              </w:rPr>
              <w:t xml:space="preserve">1 </w:t>
            </w:r>
            <w:r w:rsidRPr="008E551C">
              <w:rPr>
                <w:rFonts w:asciiTheme="majorHAnsi" w:hAnsiTheme="majorHAnsi" w:cstheme="majorHAnsi"/>
                <w:color w:val="333333"/>
                <w:sz w:val="18"/>
                <w:szCs w:val="18"/>
                <w:shd w:val="clear" w:color="auto" w:fill="FFFFFF"/>
              </w:rPr>
              <w:t>din Ordinul 216/2015 cu privire la aprobarea Planului de conturi contabile în sistemul bugetar și a Normelor metodologice privind evidența contabilă și raportarea financiară în sistemul bugetar.</w:t>
            </w:r>
          </w:p>
        </w:tc>
        <w:tc>
          <w:tcPr>
            <w:tcW w:w="3060" w:type="dxa"/>
          </w:tcPr>
          <w:p w14:paraId="4657BF64" w14:textId="77777777" w:rsidR="000F4356" w:rsidRPr="008E551C" w:rsidRDefault="000F4356" w:rsidP="00CE3DB1">
            <w:pPr>
              <w:ind w:left="39" w:right="35"/>
              <w:jc w:val="both"/>
              <w:rPr>
                <w:rFonts w:asciiTheme="majorHAnsi" w:hAnsiTheme="majorHAnsi" w:cstheme="majorHAnsi"/>
                <w:sz w:val="18"/>
                <w:szCs w:val="18"/>
              </w:rPr>
            </w:pPr>
            <w:r w:rsidRPr="008E551C">
              <w:rPr>
                <w:rFonts w:asciiTheme="majorHAnsi" w:hAnsiTheme="majorHAnsi" w:cstheme="majorHAnsi"/>
                <w:sz w:val="18"/>
                <w:szCs w:val="18"/>
              </w:rPr>
              <w:t>- analiza Anexa 1 Ordin 164/2016 Informația cu privire la executarea subvențiilor/granturilor acordate de CS în anii 2018 – 2022;</w:t>
            </w:r>
          </w:p>
          <w:p w14:paraId="2F56405D" w14:textId="77777777" w:rsidR="000F4356" w:rsidRPr="008E551C" w:rsidRDefault="000F4356" w:rsidP="000F4356">
            <w:pPr>
              <w:pStyle w:val="a7"/>
              <w:numPr>
                <w:ilvl w:val="0"/>
                <w:numId w:val="45"/>
              </w:numPr>
              <w:ind w:left="39" w:right="35" w:firstLine="0"/>
              <w:jc w:val="both"/>
              <w:rPr>
                <w:rFonts w:asciiTheme="majorHAnsi" w:hAnsiTheme="majorHAnsi" w:cstheme="majorHAnsi"/>
                <w:sz w:val="18"/>
                <w:szCs w:val="18"/>
              </w:rPr>
            </w:pPr>
            <w:r w:rsidRPr="008E551C">
              <w:rPr>
                <w:rFonts w:asciiTheme="majorHAnsi" w:hAnsiTheme="majorHAnsi" w:cstheme="majorHAnsi"/>
                <w:sz w:val="18"/>
                <w:szCs w:val="18"/>
              </w:rPr>
              <w:t>Formular nr. 5 Detalierea subvențiilor/granturilor conform clasificației bugetare pe CS;</w:t>
            </w:r>
          </w:p>
          <w:p w14:paraId="1AEFEBE1" w14:textId="77777777" w:rsidR="000F4356" w:rsidRPr="008E551C" w:rsidRDefault="000F4356" w:rsidP="000F4356">
            <w:pPr>
              <w:pStyle w:val="a7"/>
              <w:numPr>
                <w:ilvl w:val="0"/>
                <w:numId w:val="45"/>
              </w:numPr>
              <w:ind w:left="39" w:right="35" w:firstLine="0"/>
              <w:jc w:val="both"/>
              <w:rPr>
                <w:rFonts w:asciiTheme="majorHAnsi" w:hAnsiTheme="majorHAnsi" w:cstheme="majorHAnsi"/>
                <w:sz w:val="18"/>
                <w:szCs w:val="18"/>
              </w:rPr>
            </w:pPr>
            <w:r w:rsidRPr="008E551C">
              <w:rPr>
                <w:rFonts w:asciiTheme="majorHAnsi" w:hAnsiTheme="majorHAnsi" w:cstheme="majorHAnsi"/>
                <w:sz w:val="18"/>
                <w:szCs w:val="18"/>
              </w:rPr>
              <w:t>Formular nr. 9 Solicitări de alocații suplimentare la limitele stabilite.</w:t>
            </w:r>
          </w:p>
        </w:tc>
        <w:tc>
          <w:tcPr>
            <w:tcW w:w="1917" w:type="dxa"/>
          </w:tcPr>
          <w:p w14:paraId="0138E425" w14:textId="77777777" w:rsidR="000F4356" w:rsidRPr="008E551C" w:rsidRDefault="000F4356" w:rsidP="00CE3DB1">
            <w:pPr>
              <w:ind w:left="-44"/>
              <w:jc w:val="both"/>
              <w:rPr>
                <w:rFonts w:asciiTheme="majorHAnsi" w:hAnsiTheme="majorHAnsi" w:cstheme="majorHAnsi"/>
                <w:sz w:val="18"/>
                <w:szCs w:val="18"/>
                <w:lang w:val="ro-RO"/>
              </w:rPr>
            </w:pPr>
          </w:p>
          <w:p w14:paraId="7E9504E7" w14:textId="77777777" w:rsidR="000F4356" w:rsidRPr="008E551C" w:rsidRDefault="000F4356" w:rsidP="00CE3DB1">
            <w:pPr>
              <w:ind w:left="-44" w:right="-73"/>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100% Informația cu privire la executarea subvențiilor/granturilor acordate CS pentru anii 2018-2022</w:t>
            </w:r>
          </w:p>
        </w:tc>
      </w:tr>
      <w:tr w:rsidR="000F4356" w:rsidRPr="008E551C" w14:paraId="1775BE2B" w14:textId="77777777" w:rsidTr="003D1FA7">
        <w:trPr>
          <w:trHeight w:val="249"/>
        </w:trPr>
        <w:tc>
          <w:tcPr>
            <w:tcW w:w="1975" w:type="dxa"/>
          </w:tcPr>
          <w:p w14:paraId="6EBD9871" w14:textId="5D63CE7A"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4.1.3.Nerespectarea de către CS a regulilor de evidență a mijloacelor bugetare alocate sub formă de granturi capitale în sumă totală de 53,3 mil. lei a</w:t>
            </w:r>
            <w:r w:rsidR="00BA69A9" w:rsidRPr="008E551C">
              <w:rPr>
                <w:rFonts w:asciiTheme="majorHAnsi" w:hAnsiTheme="majorHAnsi" w:cstheme="majorHAnsi"/>
                <w:sz w:val="18"/>
                <w:szCs w:val="18"/>
                <w:lang w:val="ro-RO"/>
              </w:rPr>
              <w:t xml:space="preserve"> </w:t>
            </w:r>
            <w:r w:rsidRPr="008E551C">
              <w:rPr>
                <w:rFonts w:asciiTheme="majorHAnsi" w:hAnsiTheme="majorHAnsi" w:cstheme="majorHAnsi"/>
                <w:sz w:val="18"/>
                <w:szCs w:val="18"/>
                <w:lang w:val="ro-RO"/>
              </w:rPr>
              <w:t>determinat trecerea neconformă a acestora la cheltuieli, fiind denaturate rapoartele financiare anuale</w:t>
            </w:r>
          </w:p>
        </w:tc>
        <w:tc>
          <w:tcPr>
            <w:tcW w:w="3412" w:type="dxa"/>
          </w:tcPr>
          <w:p w14:paraId="7A8E2839" w14:textId="77777777" w:rsidR="000F4356" w:rsidRPr="008E551C" w:rsidRDefault="000F4356" w:rsidP="00CE3DB1">
            <w:pPr>
              <w:contextualSpacing/>
              <w:jc w:val="both"/>
              <w:rPr>
                <w:rFonts w:asciiTheme="majorHAnsi" w:hAnsiTheme="majorHAnsi" w:cstheme="majorHAnsi"/>
                <w:color w:val="333333"/>
                <w:sz w:val="18"/>
                <w:szCs w:val="18"/>
                <w:shd w:val="clear" w:color="auto" w:fill="FFFFFF"/>
              </w:rPr>
            </w:pPr>
            <w:r w:rsidRPr="008E551C">
              <w:rPr>
                <w:rFonts w:asciiTheme="majorHAnsi" w:hAnsiTheme="majorHAnsi" w:cstheme="majorHAnsi"/>
                <w:color w:val="333333"/>
                <w:sz w:val="18"/>
                <w:szCs w:val="18"/>
                <w:shd w:val="clear" w:color="auto" w:fill="FFFFFF"/>
              </w:rPr>
              <w:t>- pct. 3.2.40</w:t>
            </w:r>
            <w:r w:rsidRPr="008E551C">
              <w:rPr>
                <w:rFonts w:asciiTheme="majorHAnsi" w:hAnsiTheme="majorHAnsi" w:cstheme="majorHAnsi"/>
                <w:color w:val="333333"/>
                <w:sz w:val="18"/>
                <w:szCs w:val="18"/>
                <w:shd w:val="clear" w:color="auto" w:fill="FFFFFF"/>
                <w:vertAlign w:val="superscript"/>
              </w:rPr>
              <w:t>1</w:t>
            </w:r>
            <w:r w:rsidRPr="008E551C">
              <w:rPr>
                <w:rFonts w:asciiTheme="majorHAnsi" w:hAnsiTheme="majorHAnsi" w:cstheme="majorHAnsi"/>
                <w:color w:val="333333"/>
                <w:sz w:val="18"/>
                <w:szCs w:val="18"/>
                <w:shd w:val="clear" w:color="auto" w:fill="FFFFFF"/>
              </w:rPr>
              <w:t xml:space="preserve"> din ordinul MF 216/2015 și pct. 77 și 80 din SNC „Capital propriu și datorii”.</w:t>
            </w:r>
          </w:p>
        </w:tc>
        <w:tc>
          <w:tcPr>
            <w:tcW w:w="3060" w:type="dxa"/>
          </w:tcPr>
          <w:p w14:paraId="3AAA189B" w14:textId="77777777" w:rsidR="000F4356" w:rsidRPr="008E551C" w:rsidRDefault="000F4356" w:rsidP="00CE3DB1">
            <w:pPr>
              <w:ind w:right="35"/>
              <w:jc w:val="both"/>
              <w:rPr>
                <w:rFonts w:asciiTheme="majorHAnsi" w:hAnsiTheme="majorHAnsi" w:cstheme="majorHAnsi"/>
                <w:sz w:val="18"/>
                <w:szCs w:val="18"/>
              </w:rPr>
            </w:pPr>
            <w:r w:rsidRPr="008E551C">
              <w:rPr>
                <w:rFonts w:asciiTheme="majorHAnsi" w:hAnsiTheme="majorHAnsi" w:cstheme="majorHAnsi"/>
                <w:sz w:val="18"/>
                <w:szCs w:val="18"/>
              </w:rPr>
              <w:t>- analiza Informației înregistrată la contul 415310 „Investiții în părți legate și nelegate” din SI a CS cu privire la executarea granturilor capitale acordate de CS în anii 2021 – 2022 STISC și AGE;</w:t>
            </w:r>
          </w:p>
          <w:p w14:paraId="2A7EBC90" w14:textId="77777777" w:rsidR="000F4356" w:rsidRPr="008E551C" w:rsidRDefault="000F4356" w:rsidP="00CE3DB1">
            <w:pPr>
              <w:ind w:right="35"/>
              <w:jc w:val="both"/>
              <w:rPr>
                <w:rFonts w:asciiTheme="majorHAnsi" w:hAnsiTheme="majorHAnsi" w:cstheme="majorHAnsi"/>
                <w:sz w:val="18"/>
                <w:szCs w:val="18"/>
              </w:rPr>
            </w:pPr>
            <w:r w:rsidRPr="008E551C">
              <w:rPr>
                <w:rFonts w:asciiTheme="majorHAnsi" w:hAnsiTheme="majorHAnsi" w:cstheme="majorHAnsi"/>
                <w:sz w:val="18"/>
                <w:szCs w:val="18"/>
              </w:rPr>
              <w:t>- contrapunerea datelor din evidența CS cu cele reflectate de către AGE și STISC</w:t>
            </w:r>
          </w:p>
          <w:p w14:paraId="5B14BA60" w14:textId="77777777" w:rsidR="000F4356" w:rsidRPr="008E551C" w:rsidRDefault="000F4356" w:rsidP="00CE3DB1">
            <w:pPr>
              <w:ind w:right="35"/>
              <w:jc w:val="both"/>
              <w:rPr>
                <w:rFonts w:asciiTheme="majorHAnsi" w:hAnsiTheme="majorHAnsi" w:cstheme="majorHAnsi"/>
                <w:sz w:val="18"/>
                <w:szCs w:val="18"/>
              </w:rPr>
            </w:pPr>
            <w:r w:rsidRPr="008E551C">
              <w:rPr>
                <w:rFonts w:asciiTheme="majorHAnsi" w:hAnsiTheme="majorHAnsi" w:cstheme="majorHAnsi"/>
                <w:sz w:val="18"/>
                <w:szCs w:val="18"/>
              </w:rPr>
              <w:t>- analiza rapoartelor financiare anuale ale entităților.</w:t>
            </w:r>
          </w:p>
        </w:tc>
        <w:tc>
          <w:tcPr>
            <w:tcW w:w="1917" w:type="dxa"/>
          </w:tcPr>
          <w:p w14:paraId="453EDB74" w14:textId="77777777" w:rsidR="000F4356" w:rsidRPr="008E551C" w:rsidRDefault="000F4356" w:rsidP="00CE3DB1">
            <w:pPr>
              <w:jc w:val="both"/>
              <w:rPr>
                <w:rFonts w:asciiTheme="majorHAnsi" w:hAnsiTheme="majorHAnsi" w:cstheme="majorHAnsi"/>
                <w:sz w:val="18"/>
                <w:szCs w:val="18"/>
              </w:rPr>
            </w:pPr>
            <w:r w:rsidRPr="008E551C">
              <w:rPr>
                <w:rFonts w:asciiTheme="majorHAnsi" w:hAnsiTheme="majorHAnsi" w:cstheme="majorHAnsi"/>
                <w:sz w:val="18"/>
                <w:szCs w:val="18"/>
                <w:lang w:val="ro-RO"/>
              </w:rPr>
              <w:t>100% ceea ce reprezint</w:t>
            </w:r>
            <w:r w:rsidRPr="008E551C">
              <w:rPr>
                <w:rFonts w:asciiTheme="majorHAnsi" w:hAnsiTheme="majorHAnsi" w:cstheme="majorHAnsi"/>
                <w:sz w:val="18"/>
                <w:szCs w:val="18"/>
              </w:rPr>
              <w:t>ă valoarea totală a granturilor capitale care au fost incorect reflectate în evidența contabilă în perioada 2021 – 2022.</w:t>
            </w:r>
          </w:p>
        </w:tc>
      </w:tr>
      <w:tr w:rsidR="000F4356" w:rsidRPr="008E551C" w14:paraId="2D44C74C" w14:textId="77777777" w:rsidTr="003D1FA7">
        <w:trPr>
          <w:trHeight w:val="249"/>
        </w:trPr>
        <w:tc>
          <w:tcPr>
            <w:tcW w:w="1975" w:type="dxa"/>
          </w:tcPr>
          <w:p w14:paraId="1B0D46F9" w14:textId="794EF1E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4.1.4.Neconformități și reguli discreționare în raportarea și rambursarea soldurilor granturilor și subvențiilor primite de I</w:t>
            </w:r>
            <w:r w:rsidR="00685DC8"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P</w:t>
            </w:r>
            <w:r w:rsidR="00685DC8"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 xml:space="preserve"> prin intermediul fondatorului</w:t>
            </w:r>
            <w:r w:rsidR="00BA69A9" w:rsidRPr="008E551C">
              <w:rPr>
                <w:rFonts w:asciiTheme="majorHAnsi" w:hAnsiTheme="majorHAnsi" w:cstheme="majorHAnsi"/>
                <w:sz w:val="18"/>
                <w:szCs w:val="18"/>
                <w:lang w:val="ro-RO"/>
              </w:rPr>
              <w:t xml:space="preserve"> </w:t>
            </w:r>
          </w:p>
        </w:tc>
        <w:tc>
          <w:tcPr>
            <w:tcW w:w="3412" w:type="dxa"/>
          </w:tcPr>
          <w:p w14:paraId="67687FA4" w14:textId="1B892B9A" w:rsidR="000F4356" w:rsidRPr="008E551C" w:rsidRDefault="000F4356" w:rsidP="00CE3DB1">
            <w:pPr>
              <w:contextualSpacing/>
              <w:jc w:val="both"/>
              <w:rPr>
                <w:rFonts w:asciiTheme="majorHAnsi" w:hAnsiTheme="majorHAnsi" w:cstheme="majorHAnsi"/>
                <w:color w:val="333333"/>
                <w:sz w:val="18"/>
                <w:szCs w:val="18"/>
                <w:shd w:val="clear" w:color="auto" w:fill="FFFFFF"/>
              </w:rPr>
            </w:pPr>
            <w:r w:rsidRPr="008E551C">
              <w:rPr>
                <w:rFonts w:asciiTheme="majorHAnsi" w:hAnsiTheme="majorHAnsi" w:cstheme="majorHAnsi"/>
                <w:color w:val="333333"/>
                <w:sz w:val="18"/>
                <w:szCs w:val="18"/>
                <w:shd w:val="clear" w:color="auto" w:fill="FFFFFF"/>
              </w:rPr>
              <w:t>pct. 35 Anexa 1 Statutul I</w:t>
            </w:r>
            <w:r w:rsidR="003C5DF4" w:rsidRPr="008E551C">
              <w:rPr>
                <w:rFonts w:asciiTheme="majorHAnsi" w:hAnsiTheme="majorHAnsi" w:cstheme="majorHAnsi"/>
                <w:color w:val="333333"/>
                <w:sz w:val="18"/>
                <w:szCs w:val="18"/>
                <w:shd w:val="clear" w:color="auto" w:fill="FFFFFF"/>
              </w:rPr>
              <w:t>.</w:t>
            </w:r>
            <w:r w:rsidRPr="008E551C">
              <w:rPr>
                <w:rFonts w:asciiTheme="majorHAnsi" w:hAnsiTheme="majorHAnsi" w:cstheme="majorHAnsi"/>
                <w:color w:val="333333"/>
                <w:sz w:val="18"/>
                <w:szCs w:val="18"/>
                <w:shd w:val="clear" w:color="auto" w:fill="FFFFFF"/>
              </w:rPr>
              <w:t>P</w:t>
            </w:r>
            <w:r w:rsidR="003C5DF4" w:rsidRPr="008E551C">
              <w:rPr>
                <w:rFonts w:asciiTheme="majorHAnsi" w:hAnsiTheme="majorHAnsi" w:cstheme="majorHAnsi"/>
                <w:color w:val="333333"/>
                <w:sz w:val="18"/>
                <w:szCs w:val="18"/>
                <w:shd w:val="clear" w:color="auto" w:fill="FFFFFF"/>
              </w:rPr>
              <w:t>.</w:t>
            </w:r>
            <w:r w:rsidR="00B10CF8" w:rsidRPr="008E551C">
              <w:rPr>
                <w:rFonts w:asciiTheme="majorHAnsi" w:hAnsiTheme="majorHAnsi" w:cstheme="majorHAnsi"/>
                <w:color w:val="333333"/>
                <w:sz w:val="18"/>
                <w:szCs w:val="18"/>
                <w:shd w:val="clear" w:color="auto" w:fill="FFFFFF"/>
              </w:rPr>
              <w:t xml:space="preserve"> „</w:t>
            </w:r>
            <w:r w:rsidRPr="008E551C">
              <w:rPr>
                <w:rFonts w:asciiTheme="majorHAnsi" w:hAnsiTheme="majorHAnsi" w:cstheme="majorHAnsi"/>
                <w:color w:val="333333"/>
                <w:sz w:val="18"/>
                <w:szCs w:val="18"/>
                <w:shd w:val="clear" w:color="auto" w:fill="FFFFFF"/>
              </w:rPr>
              <w:t>AGE</w:t>
            </w:r>
            <w:r w:rsidR="00B10CF8" w:rsidRPr="008E551C">
              <w:rPr>
                <w:rFonts w:asciiTheme="majorHAnsi" w:hAnsiTheme="majorHAnsi" w:cstheme="majorHAnsi"/>
                <w:color w:val="333333"/>
                <w:sz w:val="18"/>
                <w:szCs w:val="18"/>
                <w:shd w:val="clear" w:color="auto" w:fill="FFFFFF"/>
              </w:rPr>
              <w:t>”,</w:t>
            </w:r>
            <w:r w:rsidRPr="008E551C">
              <w:rPr>
                <w:rFonts w:asciiTheme="majorHAnsi" w:hAnsiTheme="majorHAnsi" w:cstheme="majorHAnsi"/>
                <w:color w:val="333333"/>
                <w:sz w:val="18"/>
                <w:szCs w:val="18"/>
                <w:shd w:val="clear" w:color="auto" w:fill="FFFFFF"/>
              </w:rPr>
              <w:t xml:space="preserve"> HG 760/2010 cu privire la Instituția publică „Agenția de Guvernare Electronică”;</w:t>
            </w:r>
          </w:p>
          <w:p w14:paraId="2EF5B7D5" w14:textId="77777777" w:rsidR="000F4356" w:rsidRPr="008E551C" w:rsidRDefault="000F4356" w:rsidP="00CE3DB1">
            <w:pPr>
              <w:contextualSpacing/>
              <w:jc w:val="both"/>
              <w:rPr>
                <w:rFonts w:asciiTheme="majorHAnsi" w:hAnsiTheme="majorHAnsi" w:cstheme="majorHAnsi"/>
                <w:color w:val="333333"/>
                <w:sz w:val="18"/>
                <w:szCs w:val="18"/>
                <w:shd w:val="clear" w:color="auto" w:fill="FFFFFF"/>
              </w:rPr>
            </w:pPr>
            <w:r w:rsidRPr="008E551C">
              <w:rPr>
                <w:rFonts w:asciiTheme="majorHAnsi" w:hAnsiTheme="majorHAnsi" w:cstheme="majorHAnsi"/>
                <w:color w:val="333333"/>
                <w:sz w:val="18"/>
                <w:szCs w:val="18"/>
                <w:shd w:val="clear" w:color="auto" w:fill="FFFFFF"/>
              </w:rPr>
              <w:t>pct. 30 Anexa 1 Statutul STISC HG 414/2018 cu privire la măsurile de consolidare a centrelor de date în sectorul public și de raționalizare a administrării sistemelor informaționale de stat.</w:t>
            </w:r>
          </w:p>
        </w:tc>
        <w:tc>
          <w:tcPr>
            <w:tcW w:w="3060" w:type="dxa"/>
          </w:tcPr>
          <w:p w14:paraId="239A2685" w14:textId="77777777" w:rsidR="000F4356" w:rsidRPr="008E551C" w:rsidRDefault="000F4356" w:rsidP="00CE3DB1">
            <w:pPr>
              <w:ind w:right="35"/>
              <w:jc w:val="both"/>
              <w:rPr>
                <w:rFonts w:asciiTheme="majorHAnsi" w:hAnsiTheme="majorHAnsi" w:cstheme="majorHAnsi"/>
                <w:sz w:val="18"/>
                <w:szCs w:val="18"/>
              </w:rPr>
            </w:pPr>
            <w:r w:rsidRPr="008E551C">
              <w:rPr>
                <w:rFonts w:asciiTheme="majorHAnsi" w:hAnsiTheme="majorHAnsi" w:cstheme="majorHAnsi"/>
                <w:sz w:val="18"/>
                <w:szCs w:val="18"/>
              </w:rPr>
              <w:t>- Darea de seamă Informația cu privire la executarea subvențiilor/granturilor acordate de CS în anii 2018 – 2022.</w:t>
            </w:r>
          </w:p>
          <w:p w14:paraId="6BC4825F" w14:textId="77777777" w:rsidR="000F4356" w:rsidRPr="008E551C" w:rsidRDefault="000F4356" w:rsidP="00CE3DB1">
            <w:pPr>
              <w:ind w:right="35"/>
              <w:jc w:val="both"/>
              <w:rPr>
                <w:rFonts w:asciiTheme="majorHAnsi" w:hAnsiTheme="majorHAnsi" w:cstheme="majorHAnsi"/>
                <w:sz w:val="18"/>
                <w:szCs w:val="18"/>
              </w:rPr>
            </w:pPr>
          </w:p>
        </w:tc>
        <w:tc>
          <w:tcPr>
            <w:tcW w:w="1917" w:type="dxa"/>
          </w:tcPr>
          <w:p w14:paraId="6CCA7058"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100% Informația cu privire la executarea subvențiilor/granturilor acordate CS pentru anii 2018-2022.</w:t>
            </w:r>
          </w:p>
        </w:tc>
      </w:tr>
      <w:tr w:rsidR="000F4356" w:rsidRPr="008E551C" w14:paraId="035878A3" w14:textId="77777777" w:rsidTr="003D1FA7">
        <w:trPr>
          <w:trHeight w:val="249"/>
        </w:trPr>
        <w:tc>
          <w:tcPr>
            <w:tcW w:w="1975" w:type="dxa"/>
          </w:tcPr>
          <w:p w14:paraId="429E74AB" w14:textId="685B7DEE"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4.1.5.</w:t>
            </w:r>
            <w:r w:rsidRPr="008E551C">
              <w:rPr>
                <w:rFonts w:asciiTheme="majorHAnsi" w:hAnsiTheme="majorHAnsi" w:cstheme="majorHAnsi"/>
                <w:sz w:val="18"/>
                <w:szCs w:val="18"/>
                <w:lang w:val="ro-RO"/>
              </w:rPr>
              <w:tab/>
              <w:t>Unele I</w:t>
            </w:r>
            <w:r w:rsidR="00685DC8"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P</w:t>
            </w:r>
            <w:r w:rsidR="00685DC8"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 xml:space="preserve"> fondate de CS nu și-au instituit un proces conform de valorificare a resurselor financiare publice aliniat rigorilor bunei guvernări:</w:t>
            </w:r>
          </w:p>
          <w:p w14:paraId="53EE9797"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(i)</w:t>
            </w:r>
            <w:r w:rsidRPr="008E551C">
              <w:rPr>
                <w:rFonts w:asciiTheme="majorHAnsi" w:hAnsiTheme="majorHAnsi" w:cstheme="majorHAnsi"/>
                <w:sz w:val="18"/>
                <w:szCs w:val="18"/>
                <w:lang w:val="ro-RO"/>
              </w:rPr>
              <w:tab/>
              <w:t>Cazuri de utilizare defectuoasă și suspiciuni de fraudă la valorificarea resurselor financiare de către STISC</w:t>
            </w:r>
          </w:p>
        </w:tc>
        <w:tc>
          <w:tcPr>
            <w:tcW w:w="3412" w:type="dxa"/>
          </w:tcPr>
          <w:p w14:paraId="033A6309" w14:textId="77777777" w:rsidR="000F4356" w:rsidRPr="008E551C" w:rsidRDefault="000F4356" w:rsidP="00CE3DB1">
            <w:pPr>
              <w:contextualSpacing/>
              <w:jc w:val="both"/>
              <w:rPr>
                <w:rFonts w:asciiTheme="majorHAnsi" w:hAnsiTheme="majorHAnsi" w:cstheme="majorHAnsi"/>
                <w:color w:val="333333"/>
                <w:sz w:val="18"/>
                <w:szCs w:val="18"/>
                <w:shd w:val="clear" w:color="auto" w:fill="FFFFFF"/>
              </w:rPr>
            </w:pPr>
            <w:r w:rsidRPr="008E551C">
              <w:rPr>
                <w:rFonts w:asciiTheme="majorHAnsi" w:hAnsiTheme="majorHAnsi" w:cstheme="majorHAnsi"/>
                <w:color w:val="333333"/>
                <w:sz w:val="18"/>
                <w:szCs w:val="18"/>
                <w:shd w:val="clear" w:color="auto" w:fill="FFFFFF"/>
              </w:rPr>
              <w:t>- art. 4 Legea 229/2010 privind controlul financiar public intern;</w:t>
            </w:r>
          </w:p>
          <w:p w14:paraId="06A9E02D" w14:textId="47095E4C" w:rsidR="000F4356" w:rsidRPr="008E551C" w:rsidRDefault="000F4356" w:rsidP="00CE3DB1">
            <w:pPr>
              <w:contextualSpacing/>
              <w:jc w:val="both"/>
              <w:rPr>
                <w:rFonts w:asciiTheme="majorHAnsi" w:hAnsiTheme="majorHAnsi" w:cstheme="majorHAnsi"/>
                <w:color w:val="333333"/>
                <w:sz w:val="18"/>
                <w:szCs w:val="18"/>
                <w:shd w:val="clear" w:color="auto" w:fill="FFFFFF"/>
              </w:rPr>
            </w:pPr>
            <w:r w:rsidRPr="008E551C">
              <w:rPr>
                <w:rFonts w:asciiTheme="majorHAnsi" w:hAnsiTheme="majorHAnsi" w:cstheme="majorHAnsi"/>
                <w:color w:val="333333"/>
                <w:sz w:val="18"/>
                <w:szCs w:val="18"/>
                <w:shd w:val="clear" w:color="auto" w:fill="FFFFFF"/>
              </w:rPr>
              <w:t>- HG 1140/2017 pentru aprobarea Regulamentului privind</w:t>
            </w:r>
            <w:r w:rsidR="00C54D39" w:rsidRPr="008E551C">
              <w:rPr>
                <w:rFonts w:asciiTheme="majorHAnsi" w:hAnsiTheme="majorHAnsi" w:cstheme="majorHAnsi"/>
                <w:color w:val="333333"/>
                <w:sz w:val="18"/>
                <w:szCs w:val="18"/>
                <w:shd w:val="clear" w:color="auto" w:fill="FFFFFF"/>
              </w:rPr>
              <w:t xml:space="preserve"> </w:t>
            </w:r>
            <w:r w:rsidRPr="008E551C">
              <w:rPr>
                <w:rFonts w:asciiTheme="majorHAnsi" w:hAnsiTheme="majorHAnsi" w:cstheme="majorHAnsi"/>
                <w:color w:val="333333"/>
                <w:sz w:val="18"/>
                <w:szCs w:val="18"/>
                <w:shd w:val="clear" w:color="auto" w:fill="FFFFFF"/>
              </w:rPr>
              <w:t>activitatea prestatorilor de servicii de certificare în domeniul aplicării semnăturii electronice;</w:t>
            </w:r>
          </w:p>
          <w:p w14:paraId="3E09D32C" w14:textId="77777777" w:rsidR="000F4356" w:rsidRPr="008E551C" w:rsidRDefault="000F4356" w:rsidP="00CE3DB1">
            <w:pPr>
              <w:contextualSpacing/>
              <w:jc w:val="both"/>
              <w:rPr>
                <w:rFonts w:asciiTheme="majorHAnsi" w:hAnsiTheme="majorHAnsi" w:cstheme="majorHAnsi"/>
                <w:color w:val="333333"/>
                <w:sz w:val="18"/>
                <w:szCs w:val="18"/>
                <w:shd w:val="clear" w:color="auto" w:fill="FFFFFF"/>
              </w:rPr>
            </w:pPr>
            <w:r w:rsidRPr="008E551C">
              <w:rPr>
                <w:rFonts w:asciiTheme="majorHAnsi" w:hAnsiTheme="majorHAnsi" w:cstheme="majorHAnsi"/>
                <w:color w:val="333333"/>
                <w:sz w:val="18"/>
                <w:szCs w:val="18"/>
                <w:shd w:val="clear" w:color="auto" w:fill="FFFFFF"/>
              </w:rPr>
              <w:t>- Ordin SIS nr. 25/2017 cu privire la aprobarea Regulamentului privind procedura de avizare a dispozitivelor de creare și/sau verificare a semnăturii electronice și a produselor asociate semnăturii electronice.</w:t>
            </w:r>
          </w:p>
          <w:p w14:paraId="19F71B00" w14:textId="77777777" w:rsidR="000F4356" w:rsidRPr="008E551C" w:rsidRDefault="000F4356" w:rsidP="00CE3DB1">
            <w:pPr>
              <w:contextualSpacing/>
              <w:jc w:val="both"/>
              <w:rPr>
                <w:rFonts w:asciiTheme="majorHAnsi" w:hAnsiTheme="majorHAnsi" w:cstheme="majorHAnsi"/>
                <w:color w:val="333333"/>
                <w:sz w:val="18"/>
                <w:szCs w:val="18"/>
                <w:shd w:val="clear" w:color="auto" w:fill="FFFFFF"/>
              </w:rPr>
            </w:pPr>
            <w:r w:rsidRPr="008E551C">
              <w:rPr>
                <w:rFonts w:asciiTheme="majorHAnsi" w:hAnsiTheme="majorHAnsi" w:cstheme="majorHAnsi"/>
                <w:color w:val="333333"/>
                <w:sz w:val="18"/>
                <w:szCs w:val="18"/>
                <w:shd w:val="clear" w:color="auto" w:fill="FFFFFF"/>
              </w:rPr>
              <w:t>- art. 19 din Legea contabilității nr. 113/2007.</w:t>
            </w:r>
          </w:p>
        </w:tc>
        <w:tc>
          <w:tcPr>
            <w:tcW w:w="3060" w:type="dxa"/>
          </w:tcPr>
          <w:p w14:paraId="37D38493" w14:textId="74860D02" w:rsidR="000F4356" w:rsidRPr="008E551C" w:rsidRDefault="000F4356" w:rsidP="00CE3DB1">
            <w:pPr>
              <w:ind w:right="35"/>
              <w:jc w:val="both"/>
              <w:rPr>
                <w:rFonts w:asciiTheme="majorHAnsi" w:hAnsiTheme="majorHAnsi" w:cstheme="majorHAnsi"/>
                <w:sz w:val="18"/>
                <w:szCs w:val="18"/>
              </w:rPr>
            </w:pPr>
            <w:r w:rsidRPr="008E551C">
              <w:rPr>
                <w:rFonts w:asciiTheme="majorHAnsi" w:hAnsiTheme="majorHAnsi" w:cstheme="majorHAnsi"/>
                <w:sz w:val="18"/>
                <w:szCs w:val="18"/>
              </w:rPr>
              <w:t>- analiza documentației STISC pentru procurarea dispozitivelor HSM și Sistemului Informațional pentru crearea semnăturii electronice, reîncărcarea și regenerarea cartușelor,</w:t>
            </w:r>
            <w:r w:rsidR="00BA69A9" w:rsidRPr="008E551C">
              <w:rPr>
                <w:rFonts w:asciiTheme="majorHAnsi" w:hAnsiTheme="majorHAnsi" w:cstheme="majorHAnsi"/>
                <w:sz w:val="18"/>
                <w:szCs w:val="18"/>
              </w:rPr>
              <w:t xml:space="preserve"> </w:t>
            </w:r>
            <w:r w:rsidRPr="008E551C">
              <w:rPr>
                <w:rFonts w:asciiTheme="majorHAnsi" w:hAnsiTheme="majorHAnsi" w:cstheme="majorHAnsi"/>
                <w:sz w:val="18"/>
                <w:szCs w:val="18"/>
              </w:rPr>
              <w:t>a unor pachete software și a sistemelor informatice, altor bunuri nespecifice entității;</w:t>
            </w:r>
          </w:p>
          <w:p w14:paraId="4891D05F" w14:textId="77777777" w:rsidR="000F4356" w:rsidRPr="008E551C" w:rsidRDefault="000F4356" w:rsidP="00CE3DB1">
            <w:pPr>
              <w:ind w:right="35"/>
              <w:jc w:val="both"/>
              <w:rPr>
                <w:rFonts w:asciiTheme="majorHAnsi" w:hAnsiTheme="majorHAnsi" w:cstheme="majorHAnsi"/>
                <w:sz w:val="18"/>
                <w:szCs w:val="18"/>
              </w:rPr>
            </w:pPr>
            <w:r w:rsidRPr="008E551C">
              <w:rPr>
                <w:rFonts w:asciiTheme="majorHAnsi" w:hAnsiTheme="majorHAnsi" w:cstheme="majorHAnsi"/>
                <w:sz w:val="18"/>
                <w:szCs w:val="18"/>
              </w:rPr>
              <w:t>- analiza declarații vamale pentru procurarea dispozitivelor HSM;</w:t>
            </w:r>
          </w:p>
          <w:p w14:paraId="1CF3A59B" w14:textId="77777777" w:rsidR="000F4356" w:rsidRPr="008E551C" w:rsidRDefault="000F4356" w:rsidP="00CE3DB1">
            <w:pPr>
              <w:ind w:right="35"/>
              <w:jc w:val="both"/>
              <w:rPr>
                <w:rFonts w:asciiTheme="majorHAnsi" w:hAnsiTheme="majorHAnsi" w:cstheme="majorHAnsi"/>
                <w:sz w:val="18"/>
                <w:szCs w:val="18"/>
              </w:rPr>
            </w:pPr>
            <w:r w:rsidRPr="008E551C">
              <w:rPr>
                <w:rFonts w:asciiTheme="majorHAnsi" w:hAnsiTheme="majorHAnsi" w:cstheme="majorHAnsi"/>
                <w:sz w:val="18"/>
                <w:szCs w:val="18"/>
              </w:rPr>
              <w:t>- contracte de procurare încheiate de STISC cu unii agenți economici.</w:t>
            </w:r>
          </w:p>
        </w:tc>
        <w:tc>
          <w:tcPr>
            <w:tcW w:w="1917" w:type="dxa"/>
          </w:tcPr>
          <w:p w14:paraId="4A24DDA9" w14:textId="77777777" w:rsidR="000F4356" w:rsidRPr="008E551C" w:rsidRDefault="000F4356" w:rsidP="00CE3DB1">
            <w:pPr>
              <w:jc w:val="both"/>
              <w:rPr>
                <w:rFonts w:asciiTheme="majorHAnsi" w:hAnsiTheme="majorHAnsi" w:cstheme="majorHAnsi"/>
                <w:sz w:val="18"/>
                <w:szCs w:val="18"/>
              </w:rPr>
            </w:pPr>
            <w:r w:rsidRPr="008E551C">
              <w:rPr>
                <w:rFonts w:asciiTheme="majorHAnsi" w:hAnsiTheme="majorHAnsi" w:cstheme="majorHAnsi"/>
                <w:sz w:val="18"/>
                <w:szCs w:val="18"/>
                <w:lang w:val="ro-RO"/>
              </w:rPr>
              <w:t xml:space="preserve">Probele de audit au fost colectate reieșind din riscurile identificate în unele procese realizate de către CS în calitate de fondator. </w:t>
            </w:r>
            <w:r w:rsidRPr="008E551C">
              <w:rPr>
                <w:rFonts w:asciiTheme="majorHAnsi" w:hAnsiTheme="majorHAnsi" w:cstheme="majorHAnsi"/>
                <w:sz w:val="18"/>
                <w:szCs w:val="18"/>
              </w:rPr>
              <w:t>Informația privind procurarea bunurilor destinate creării semnăturilor electronice de tip HSM; procurarea serviciilor de prelungire a subscripțiilor la produsele Fortinet, alte achiziții.</w:t>
            </w:r>
          </w:p>
        </w:tc>
      </w:tr>
      <w:tr w:rsidR="000F4356" w:rsidRPr="008E551C" w14:paraId="4EB1FDE2" w14:textId="77777777" w:rsidTr="003D1FA7">
        <w:trPr>
          <w:trHeight w:val="249"/>
        </w:trPr>
        <w:tc>
          <w:tcPr>
            <w:tcW w:w="1975" w:type="dxa"/>
          </w:tcPr>
          <w:p w14:paraId="7418A954" w14:textId="77777777" w:rsidR="000F4356" w:rsidRPr="008E551C" w:rsidRDefault="000F4356" w:rsidP="00CE3DB1">
            <w:pPr>
              <w:tabs>
                <w:tab w:val="left" w:pos="318"/>
              </w:tabs>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(ii)</w:t>
            </w:r>
            <w:r w:rsidRPr="008E551C">
              <w:rPr>
                <w:rFonts w:asciiTheme="majorHAnsi" w:hAnsiTheme="majorHAnsi" w:cstheme="majorHAnsi"/>
                <w:sz w:val="18"/>
                <w:szCs w:val="18"/>
                <w:lang w:val="ro-RO"/>
              </w:rPr>
              <w:tab/>
              <w:t>DGACG a admis nereguli la executarea și contabilizarea mijloacelor financiare utilizate pentru reparații capitale ale clădirilor gestionate</w:t>
            </w:r>
          </w:p>
        </w:tc>
        <w:tc>
          <w:tcPr>
            <w:tcW w:w="3412" w:type="dxa"/>
          </w:tcPr>
          <w:p w14:paraId="7124EA7B" w14:textId="77777777" w:rsidR="000F4356" w:rsidRPr="008E551C" w:rsidRDefault="000F4356" w:rsidP="00CE3DB1">
            <w:pPr>
              <w:contextualSpacing/>
              <w:jc w:val="both"/>
              <w:rPr>
                <w:rFonts w:asciiTheme="majorHAnsi" w:hAnsiTheme="majorHAnsi" w:cstheme="majorHAnsi"/>
                <w:color w:val="333333"/>
                <w:sz w:val="18"/>
                <w:szCs w:val="18"/>
                <w:shd w:val="clear" w:color="auto" w:fill="FFFFFF"/>
              </w:rPr>
            </w:pPr>
            <w:r w:rsidRPr="008E551C">
              <w:rPr>
                <w:rFonts w:asciiTheme="majorHAnsi" w:hAnsiTheme="majorHAnsi" w:cstheme="majorHAnsi"/>
                <w:color w:val="333333"/>
                <w:sz w:val="18"/>
                <w:szCs w:val="18"/>
                <w:shd w:val="clear" w:color="auto" w:fill="FFFFFF"/>
                <w:lang w:val="ro-RO"/>
              </w:rPr>
              <w:t xml:space="preserve">- </w:t>
            </w:r>
            <w:r w:rsidRPr="008E551C">
              <w:rPr>
                <w:rFonts w:asciiTheme="majorHAnsi" w:hAnsiTheme="majorHAnsi" w:cstheme="majorHAnsi"/>
                <w:color w:val="333333"/>
                <w:sz w:val="18"/>
                <w:szCs w:val="18"/>
                <w:shd w:val="clear" w:color="auto" w:fill="FFFFFF"/>
              </w:rPr>
              <w:t>pct. 9.1 din NCM L.01.03:2015, art. 13 alin.(1) și (2) din Legea privind calitatea în construcții nr.721-XIII din 02.02.1996;</w:t>
            </w:r>
          </w:p>
          <w:p w14:paraId="30447156" w14:textId="77777777" w:rsidR="000F4356" w:rsidRPr="008E551C" w:rsidRDefault="000F4356" w:rsidP="00CE3DB1">
            <w:pPr>
              <w:contextualSpacing/>
              <w:jc w:val="both"/>
              <w:rPr>
                <w:rFonts w:asciiTheme="majorHAnsi" w:hAnsiTheme="majorHAnsi" w:cstheme="majorHAnsi"/>
                <w:color w:val="333333"/>
                <w:sz w:val="18"/>
                <w:szCs w:val="18"/>
                <w:shd w:val="clear" w:color="auto" w:fill="FFFFFF"/>
              </w:rPr>
            </w:pPr>
            <w:r w:rsidRPr="008E551C">
              <w:rPr>
                <w:rFonts w:asciiTheme="majorHAnsi" w:hAnsiTheme="majorHAnsi" w:cstheme="majorHAnsi"/>
                <w:color w:val="333333"/>
                <w:sz w:val="18"/>
                <w:szCs w:val="18"/>
                <w:shd w:val="clear" w:color="auto" w:fill="FFFFFF"/>
              </w:rPr>
              <w:t>- pct. 9.6 din NCM L.01.03:2015;</w:t>
            </w:r>
          </w:p>
          <w:p w14:paraId="4CBCC56F" w14:textId="736ECCBA" w:rsidR="000F4356" w:rsidRPr="008E551C" w:rsidRDefault="000F4356" w:rsidP="00CE3DB1">
            <w:pPr>
              <w:contextualSpacing/>
              <w:jc w:val="both"/>
              <w:rPr>
                <w:rFonts w:asciiTheme="majorHAnsi" w:hAnsiTheme="majorHAnsi" w:cstheme="majorHAnsi"/>
                <w:color w:val="333333"/>
                <w:sz w:val="18"/>
                <w:szCs w:val="18"/>
                <w:shd w:val="clear" w:color="auto" w:fill="FFFFFF"/>
              </w:rPr>
            </w:pPr>
            <w:r w:rsidRPr="008E551C">
              <w:rPr>
                <w:rFonts w:asciiTheme="majorHAnsi" w:hAnsiTheme="majorHAnsi" w:cstheme="majorHAnsi"/>
                <w:color w:val="333333"/>
                <w:sz w:val="18"/>
                <w:szCs w:val="18"/>
                <w:shd w:val="clear" w:color="auto" w:fill="FFFFFF"/>
              </w:rPr>
              <w:t>- pct. 20 subpunct (9) din</w:t>
            </w:r>
            <w:r w:rsidR="00BA69A9" w:rsidRPr="008E551C">
              <w:rPr>
                <w:rFonts w:asciiTheme="majorHAnsi" w:hAnsiTheme="majorHAnsi" w:cstheme="majorHAnsi"/>
                <w:color w:val="333333"/>
                <w:sz w:val="18"/>
                <w:szCs w:val="18"/>
                <w:shd w:val="clear" w:color="auto" w:fill="FFFFFF"/>
              </w:rPr>
              <w:t xml:space="preserve"> </w:t>
            </w:r>
            <w:r w:rsidRPr="008E551C">
              <w:rPr>
                <w:rFonts w:asciiTheme="majorHAnsi" w:hAnsiTheme="majorHAnsi" w:cstheme="majorHAnsi"/>
                <w:color w:val="333333"/>
                <w:sz w:val="18"/>
                <w:szCs w:val="18"/>
                <w:shd w:val="clear" w:color="auto" w:fill="FFFFFF"/>
              </w:rPr>
              <w:t>Regulamentul cu privire la activitatea grupului de lucru pentru achiziții, aprobat prin Hotărârea Guvernului nr. 667</w:t>
            </w:r>
            <w:r w:rsidR="00BA69A9" w:rsidRPr="008E551C">
              <w:rPr>
                <w:rFonts w:asciiTheme="majorHAnsi" w:hAnsiTheme="majorHAnsi" w:cstheme="majorHAnsi"/>
                <w:color w:val="333333"/>
                <w:sz w:val="18"/>
                <w:szCs w:val="18"/>
                <w:shd w:val="clear" w:color="auto" w:fill="FFFFFF"/>
              </w:rPr>
              <w:t xml:space="preserve"> </w:t>
            </w:r>
            <w:r w:rsidRPr="008E551C">
              <w:rPr>
                <w:rFonts w:asciiTheme="majorHAnsi" w:hAnsiTheme="majorHAnsi" w:cstheme="majorHAnsi"/>
                <w:color w:val="333333"/>
                <w:sz w:val="18"/>
                <w:szCs w:val="18"/>
                <w:shd w:val="clear" w:color="auto" w:fill="FFFFFF"/>
              </w:rPr>
              <w:t>din</w:t>
            </w:r>
            <w:r w:rsidR="00BA69A9" w:rsidRPr="008E551C">
              <w:rPr>
                <w:rFonts w:asciiTheme="majorHAnsi" w:hAnsiTheme="majorHAnsi" w:cstheme="majorHAnsi"/>
                <w:color w:val="333333"/>
                <w:sz w:val="18"/>
                <w:szCs w:val="18"/>
                <w:shd w:val="clear" w:color="auto" w:fill="FFFFFF"/>
              </w:rPr>
              <w:t xml:space="preserve"> </w:t>
            </w:r>
            <w:r w:rsidRPr="008E551C">
              <w:rPr>
                <w:rFonts w:asciiTheme="majorHAnsi" w:hAnsiTheme="majorHAnsi" w:cstheme="majorHAnsi"/>
                <w:color w:val="333333"/>
                <w:sz w:val="18"/>
                <w:szCs w:val="18"/>
                <w:shd w:val="clear" w:color="auto" w:fill="FFFFFF"/>
              </w:rPr>
              <w:t>27.05.2016;</w:t>
            </w:r>
          </w:p>
          <w:p w14:paraId="00EF2153" w14:textId="77777777" w:rsidR="000F4356" w:rsidRPr="008E551C" w:rsidRDefault="000F4356" w:rsidP="00CE3DB1">
            <w:pPr>
              <w:contextualSpacing/>
              <w:jc w:val="both"/>
              <w:rPr>
                <w:rFonts w:asciiTheme="majorHAnsi" w:hAnsiTheme="majorHAnsi" w:cstheme="majorHAnsi"/>
                <w:color w:val="333333"/>
                <w:sz w:val="18"/>
                <w:szCs w:val="18"/>
                <w:shd w:val="clear" w:color="auto" w:fill="FFFFFF"/>
              </w:rPr>
            </w:pPr>
            <w:r w:rsidRPr="008E551C">
              <w:rPr>
                <w:rFonts w:asciiTheme="majorHAnsi" w:hAnsiTheme="majorHAnsi" w:cstheme="majorHAnsi"/>
                <w:color w:val="333333"/>
                <w:sz w:val="18"/>
                <w:szCs w:val="18"/>
                <w:shd w:val="clear" w:color="auto" w:fill="FFFFFF"/>
              </w:rPr>
              <w:t>- art. 76 lit. (7),alin 4) din Legea privind achizițiile publice nr 131 din 03.07.2015.</w:t>
            </w:r>
          </w:p>
        </w:tc>
        <w:tc>
          <w:tcPr>
            <w:tcW w:w="3060" w:type="dxa"/>
          </w:tcPr>
          <w:p w14:paraId="70DE1323" w14:textId="77777777" w:rsidR="000F4356" w:rsidRPr="008E551C" w:rsidRDefault="000F4356" w:rsidP="00CE3DB1">
            <w:pPr>
              <w:ind w:right="35"/>
              <w:jc w:val="both"/>
              <w:rPr>
                <w:rFonts w:asciiTheme="majorHAnsi" w:hAnsiTheme="majorHAnsi" w:cstheme="majorHAnsi"/>
                <w:sz w:val="18"/>
                <w:szCs w:val="18"/>
              </w:rPr>
            </w:pPr>
            <w:r w:rsidRPr="008E551C">
              <w:rPr>
                <w:rFonts w:asciiTheme="majorHAnsi" w:hAnsiTheme="majorHAnsi" w:cstheme="majorHAnsi"/>
                <w:sz w:val="18"/>
                <w:szCs w:val="18"/>
              </w:rPr>
              <w:t>- analiza documentației de proiect și a devizelor de cheltuieli;</w:t>
            </w:r>
          </w:p>
          <w:p w14:paraId="12912971" w14:textId="77777777" w:rsidR="000F4356" w:rsidRPr="008E551C" w:rsidRDefault="000F4356" w:rsidP="00CE3DB1">
            <w:pPr>
              <w:ind w:right="35"/>
              <w:jc w:val="both"/>
              <w:rPr>
                <w:rFonts w:asciiTheme="majorHAnsi" w:hAnsiTheme="majorHAnsi" w:cstheme="majorHAnsi"/>
                <w:sz w:val="18"/>
                <w:szCs w:val="18"/>
              </w:rPr>
            </w:pPr>
            <w:r w:rsidRPr="008E551C">
              <w:rPr>
                <w:rFonts w:asciiTheme="majorHAnsi" w:hAnsiTheme="majorHAnsi" w:cstheme="majorHAnsi"/>
                <w:sz w:val="18"/>
                <w:szCs w:val="18"/>
              </w:rPr>
              <w:t>- analiza contractelor de procurare a lucrărilor de reparație, acordurilor adiționale;</w:t>
            </w:r>
          </w:p>
          <w:p w14:paraId="65EF9F80" w14:textId="77777777" w:rsidR="000F4356" w:rsidRPr="008E551C" w:rsidRDefault="000F4356" w:rsidP="00CE3DB1">
            <w:pPr>
              <w:ind w:right="35"/>
              <w:jc w:val="both"/>
              <w:rPr>
                <w:rFonts w:asciiTheme="majorHAnsi" w:hAnsiTheme="majorHAnsi" w:cstheme="majorHAnsi"/>
                <w:sz w:val="18"/>
                <w:szCs w:val="18"/>
              </w:rPr>
            </w:pPr>
            <w:r w:rsidRPr="008E551C">
              <w:rPr>
                <w:rFonts w:asciiTheme="majorHAnsi" w:hAnsiTheme="majorHAnsi" w:cstheme="majorHAnsi"/>
                <w:sz w:val="18"/>
                <w:szCs w:val="18"/>
              </w:rPr>
              <w:t>- contrapunerea datelor din devizele de cheltuieli cu informația din actele de primire-predare a lucrărilor de reparații efectuate</w:t>
            </w:r>
          </w:p>
        </w:tc>
        <w:tc>
          <w:tcPr>
            <w:tcW w:w="1917" w:type="dxa"/>
          </w:tcPr>
          <w:p w14:paraId="34C6EE55"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xml:space="preserve">100% analizate documentația de proiect, devizele de cheltuieli, acte primire-predare a lucrărilor de reparații. </w:t>
            </w:r>
          </w:p>
        </w:tc>
      </w:tr>
      <w:tr w:rsidR="000F4356" w:rsidRPr="008E551C" w14:paraId="2483A464" w14:textId="77777777" w:rsidTr="003D1FA7">
        <w:trPr>
          <w:trHeight w:val="249"/>
        </w:trPr>
        <w:tc>
          <w:tcPr>
            <w:tcW w:w="1975" w:type="dxa"/>
          </w:tcPr>
          <w:p w14:paraId="1D659A20" w14:textId="77777777" w:rsidR="000F4356" w:rsidRPr="008E551C" w:rsidRDefault="000F4356" w:rsidP="00CE3DB1">
            <w:pPr>
              <w:tabs>
                <w:tab w:val="left" w:pos="318"/>
              </w:tabs>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(iii)</w:t>
            </w:r>
            <w:r w:rsidRPr="008E551C">
              <w:rPr>
                <w:rFonts w:asciiTheme="majorHAnsi" w:hAnsiTheme="majorHAnsi" w:cstheme="majorHAnsi"/>
                <w:sz w:val="18"/>
                <w:szCs w:val="18"/>
                <w:lang w:val="ro-RO"/>
              </w:rPr>
              <w:tab/>
              <w:t>Se atestă unele neconformități la valorificarea mijloacelor bugetare admise de către I.P. „Baza Auto”</w:t>
            </w:r>
          </w:p>
        </w:tc>
        <w:tc>
          <w:tcPr>
            <w:tcW w:w="3412" w:type="dxa"/>
          </w:tcPr>
          <w:p w14:paraId="5DD67AFD" w14:textId="77777777" w:rsidR="000F4356" w:rsidRPr="008E551C" w:rsidRDefault="000F4356" w:rsidP="00CE3DB1">
            <w:pPr>
              <w:contextualSpacing/>
              <w:jc w:val="both"/>
              <w:rPr>
                <w:rFonts w:asciiTheme="majorHAnsi" w:hAnsiTheme="majorHAnsi" w:cstheme="majorHAnsi"/>
                <w:color w:val="333333"/>
                <w:sz w:val="18"/>
                <w:szCs w:val="18"/>
                <w:shd w:val="clear" w:color="auto" w:fill="FFFFFF"/>
                <w:lang w:val="ro-RO"/>
              </w:rPr>
            </w:pPr>
            <w:r w:rsidRPr="008E551C">
              <w:rPr>
                <w:rFonts w:asciiTheme="majorHAnsi" w:hAnsiTheme="majorHAnsi" w:cstheme="majorHAnsi"/>
                <w:color w:val="333333"/>
                <w:sz w:val="18"/>
                <w:szCs w:val="18"/>
                <w:shd w:val="clear" w:color="auto" w:fill="FFFFFF"/>
                <w:lang w:val="ro-RO"/>
              </w:rPr>
              <w:t>Ordin MTID nr. 172/2005 cu privire la aprobarea Normelor de consum de combustibil și lubrifianți în transportul auto;</w:t>
            </w:r>
          </w:p>
          <w:p w14:paraId="0839330D" w14:textId="77777777" w:rsidR="000F4356" w:rsidRPr="008E551C" w:rsidRDefault="000F4356" w:rsidP="00CE3DB1">
            <w:pPr>
              <w:contextualSpacing/>
              <w:jc w:val="both"/>
              <w:rPr>
                <w:rFonts w:asciiTheme="majorHAnsi" w:hAnsiTheme="majorHAnsi" w:cstheme="majorHAnsi"/>
                <w:color w:val="333333"/>
                <w:sz w:val="18"/>
                <w:szCs w:val="18"/>
                <w:shd w:val="clear" w:color="auto" w:fill="FFFFFF"/>
                <w:lang w:val="ro-RO"/>
              </w:rPr>
            </w:pPr>
            <w:r w:rsidRPr="008E551C">
              <w:rPr>
                <w:rFonts w:asciiTheme="majorHAnsi" w:hAnsiTheme="majorHAnsi" w:cstheme="majorHAnsi"/>
                <w:color w:val="333333"/>
                <w:sz w:val="18"/>
                <w:szCs w:val="18"/>
                <w:shd w:val="clear" w:color="auto" w:fill="FFFFFF"/>
                <w:lang w:val="ro-RO"/>
              </w:rPr>
              <w:t>Ordine interne BA a CS privind consum combustibil.</w:t>
            </w:r>
          </w:p>
        </w:tc>
        <w:tc>
          <w:tcPr>
            <w:tcW w:w="3060" w:type="dxa"/>
          </w:tcPr>
          <w:p w14:paraId="156825DC" w14:textId="77777777" w:rsidR="000F4356" w:rsidRPr="008E551C" w:rsidRDefault="000F4356" w:rsidP="00CE3DB1">
            <w:pPr>
              <w:ind w:right="35"/>
              <w:jc w:val="both"/>
              <w:rPr>
                <w:rFonts w:asciiTheme="majorHAnsi" w:hAnsiTheme="majorHAnsi" w:cstheme="majorHAnsi"/>
                <w:sz w:val="18"/>
                <w:szCs w:val="18"/>
              </w:rPr>
            </w:pPr>
            <w:r w:rsidRPr="008E551C">
              <w:rPr>
                <w:rFonts w:asciiTheme="majorHAnsi" w:hAnsiTheme="majorHAnsi" w:cstheme="majorHAnsi"/>
                <w:sz w:val="18"/>
                <w:szCs w:val="18"/>
              </w:rPr>
              <w:t>- analiza normelor de consum al carburanților aplicate de BA a CS la utilizarea unităților de transport, comparativ cu cele reglementate de Ordin 172/2005;</w:t>
            </w:r>
          </w:p>
          <w:p w14:paraId="57811BDF" w14:textId="77777777" w:rsidR="000F4356" w:rsidRPr="008E551C" w:rsidRDefault="000F4356" w:rsidP="00CE3DB1">
            <w:pPr>
              <w:ind w:right="35"/>
              <w:jc w:val="both"/>
              <w:rPr>
                <w:rFonts w:asciiTheme="majorHAnsi" w:hAnsiTheme="majorHAnsi" w:cstheme="majorHAnsi"/>
                <w:sz w:val="18"/>
                <w:szCs w:val="18"/>
              </w:rPr>
            </w:pPr>
            <w:r w:rsidRPr="008E551C">
              <w:rPr>
                <w:rFonts w:asciiTheme="majorHAnsi" w:hAnsiTheme="majorHAnsi" w:cstheme="majorHAnsi"/>
                <w:sz w:val="18"/>
                <w:szCs w:val="18"/>
              </w:rPr>
              <w:t>- recalculul supraconsumului de carburanți urmare aplicării neconforme a normelor de consum combustibil pentru autovehiculele gestionate de BA a CS;</w:t>
            </w:r>
          </w:p>
          <w:p w14:paraId="0F1727A3" w14:textId="77777777" w:rsidR="000F4356" w:rsidRPr="008E551C" w:rsidRDefault="000F4356" w:rsidP="00CE3DB1">
            <w:pPr>
              <w:ind w:right="35"/>
              <w:jc w:val="both"/>
              <w:rPr>
                <w:rFonts w:asciiTheme="majorHAnsi" w:hAnsiTheme="majorHAnsi" w:cstheme="majorHAnsi"/>
                <w:sz w:val="18"/>
                <w:szCs w:val="18"/>
              </w:rPr>
            </w:pPr>
            <w:r w:rsidRPr="008E551C">
              <w:rPr>
                <w:rFonts w:asciiTheme="majorHAnsi" w:hAnsiTheme="majorHAnsi" w:cstheme="majorHAnsi"/>
                <w:sz w:val="18"/>
                <w:szCs w:val="18"/>
              </w:rPr>
              <w:t>- calcularea cheltuielilor neconforme pentru 55 unități de transport din cele 67 unități verificate.</w:t>
            </w:r>
          </w:p>
        </w:tc>
        <w:tc>
          <w:tcPr>
            <w:tcW w:w="1917" w:type="dxa"/>
          </w:tcPr>
          <w:p w14:paraId="065841BB"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44,2% (67 unități de transport verificate din 155);</w:t>
            </w:r>
          </w:p>
          <w:p w14:paraId="02DE482D"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cheltuieli neconforme constituind suma de 389,6 mii lei.</w:t>
            </w:r>
          </w:p>
        </w:tc>
      </w:tr>
      <w:tr w:rsidR="000F4356" w:rsidRPr="008E551C" w14:paraId="1AE51273" w14:textId="77777777" w:rsidTr="003D1FA7">
        <w:trPr>
          <w:trHeight w:val="249"/>
        </w:trPr>
        <w:tc>
          <w:tcPr>
            <w:tcW w:w="1975" w:type="dxa"/>
          </w:tcPr>
          <w:p w14:paraId="69465317" w14:textId="2C5BB0D1" w:rsidR="000F4356" w:rsidRPr="008E551C" w:rsidRDefault="000F4356" w:rsidP="00CE3DB1">
            <w:pPr>
              <w:tabs>
                <w:tab w:val="left" w:pos="459"/>
              </w:tabs>
              <w:jc w:val="both"/>
              <w:rPr>
                <w:rFonts w:asciiTheme="majorHAnsi" w:hAnsiTheme="majorHAnsi" w:cstheme="majorHAnsi"/>
                <w:b/>
                <w:sz w:val="18"/>
                <w:szCs w:val="18"/>
                <w:lang w:val="ro-RO"/>
              </w:rPr>
            </w:pPr>
            <w:r w:rsidRPr="008E551C">
              <w:rPr>
                <w:rFonts w:asciiTheme="majorHAnsi" w:hAnsiTheme="majorHAnsi" w:cstheme="majorHAnsi"/>
                <w:sz w:val="18"/>
                <w:szCs w:val="18"/>
                <w:lang w:val="ro-RO"/>
              </w:rPr>
              <w:t>4.1.6.</w:t>
            </w:r>
            <w:r w:rsidRPr="008E551C">
              <w:rPr>
                <w:rFonts w:asciiTheme="majorHAnsi" w:hAnsiTheme="majorHAnsi" w:cstheme="majorHAnsi"/>
                <w:sz w:val="18"/>
                <w:szCs w:val="18"/>
                <w:lang w:val="ro-RO"/>
              </w:rPr>
              <w:tab/>
              <w:t>Deficiențe și abateri admise de entitățile verificate la desfășurarea</w:t>
            </w:r>
            <w:r w:rsidR="00BA69A9" w:rsidRPr="008E551C">
              <w:rPr>
                <w:rFonts w:asciiTheme="majorHAnsi" w:hAnsiTheme="majorHAnsi" w:cstheme="majorHAnsi"/>
                <w:sz w:val="18"/>
                <w:szCs w:val="18"/>
                <w:lang w:val="ro-RO"/>
              </w:rPr>
              <w:t xml:space="preserve"> </w:t>
            </w:r>
            <w:r w:rsidRPr="008E551C">
              <w:rPr>
                <w:rFonts w:asciiTheme="majorHAnsi" w:hAnsiTheme="majorHAnsi" w:cstheme="majorHAnsi"/>
                <w:sz w:val="18"/>
                <w:szCs w:val="18"/>
                <w:lang w:val="ro-RO"/>
              </w:rPr>
              <w:t>achizițiilor publice.</w:t>
            </w:r>
          </w:p>
        </w:tc>
        <w:tc>
          <w:tcPr>
            <w:tcW w:w="3412" w:type="dxa"/>
          </w:tcPr>
          <w:p w14:paraId="49EE8421" w14:textId="77777777" w:rsidR="000F4356" w:rsidRPr="008E551C" w:rsidRDefault="000F4356" w:rsidP="00CE3DB1">
            <w:pPr>
              <w:contextualSpacing/>
              <w:jc w:val="both"/>
              <w:rPr>
                <w:rFonts w:asciiTheme="majorHAnsi" w:hAnsiTheme="majorHAnsi" w:cstheme="majorHAnsi"/>
                <w:color w:val="333333"/>
                <w:sz w:val="18"/>
                <w:szCs w:val="18"/>
                <w:shd w:val="clear" w:color="auto" w:fill="FFFFFF"/>
              </w:rPr>
            </w:pPr>
            <w:r w:rsidRPr="008E551C">
              <w:rPr>
                <w:rFonts w:asciiTheme="majorHAnsi" w:hAnsiTheme="majorHAnsi" w:cstheme="majorHAnsi"/>
                <w:color w:val="333333"/>
                <w:sz w:val="18"/>
                <w:szCs w:val="18"/>
                <w:shd w:val="clear" w:color="auto" w:fill="FFFFFF"/>
              </w:rPr>
              <w:t>- art. 74 alin. (1) Legea 131/2015 privind achizițiile publice</w:t>
            </w:r>
          </w:p>
          <w:p w14:paraId="3390646C" w14:textId="6C61C26E" w:rsidR="000F4356" w:rsidRPr="008E551C" w:rsidRDefault="000F4356" w:rsidP="00CE3DB1">
            <w:pPr>
              <w:contextualSpacing/>
              <w:jc w:val="both"/>
              <w:rPr>
                <w:rFonts w:asciiTheme="majorHAnsi" w:hAnsiTheme="majorHAnsi" w:cstheme="majorHAnsi"/>
                <w:color w:val="333333"/>
                <w:sz w:val="18"/>
                <w:szCs w:val="18"/>
                <w:shd w:val="clear" w:color="auto" w:fill="FFFFFF"/>
              </w:rPr>
            </w:pPr>
            <w:r w:rsidRPr="008E551C">
              <w:rPr>
                <w:rFonts w:asciiTheme="majorHAnsi" w:hAnsiTheme="majorHAnsi" w:cstheme="majorHAnsi"/>
                <w:color w:val="333333"/>
                <w:sz w:val="18"/>
                <w:szCs w:val="18"/>
                <w:shd w:val="clear" w:color="auto" w:fill="FFFFFF"/>
              </w:rPr>
              <w:t xml:space="preserve">- pct. 7 </w:t>
            </w:r>
            <w:r w:rsidR="00C54D39" w:rsidRPr="008E551C">
              <w:rPr>
                <w:rFonts w:asciiTheme="majorHAnsi" w:hAnsiTheme="majorHAnsi" w:cstheme="majorHAnsi"/>
                <w:color w:val="333333"/>
                <w:sz w:val="18"/>
                <w:szCs w:val="18"/>
                <w:shd w:val="clear" w:color="auto" w:fill="FFFFFF"/>
              </w:rPr>
              <w:t xml:space="preserve">și pct. 13 </w:t>
            </w:r>
            <w:r w:rsidRPr="008E551C">
              <w:rPr>
                <w:rFonts w:asciiTheme="majorHAnsi" w:hAnsiTheme="majorHAnsi" w:cstheme="majorHAnsi"/>
                <w:color w:val="333333"/>
                <w:sz w:val="18"/>
                <w:szCs w:val="18"/>
                <w:shd w:val="clear" w:color="auto" w:fill="FFFFFF"/>
              </w:rPr>
              <w:t xml:space="preserve">din Regulamentul cu privire la achizițiile publice de valoare mică, aprobat </w:t>
            </w:r>
            <w:r w:rsidR="00C54D39" w:rsidRPr="008E551C">
              <w:rPr>
                <w:rFonts w:asciiTheme="majorHAnsi" w:hAnsiTheme="majorHAnsi" w:cstheme="majorHAnsi"/>
                <w:color w:val="333333"/>
                <w:sz w:val="18"/>
                <w:szCs w:val="18"/>
                <w:shd w:val="clear" w:color="auto" w:fill="FFFFFF"/>
              </w:rPr>
              <w:t>prin HG nr.665/2016;</w:t>
            </w:r>
          </w:p>
          <w:p w14:paraId="45695967" w14:textId="5B4619BD" w:rsidR="000F4356" w:rsidRPr="008E551C" w:rsidRDefault="000F4356" w:rsidP="00CE3DB1">
            <w:pPr>
              <w:contextualSpacing/>
              <w:jc w:val="both"/>
              <w:rPr>
                <w:rFonts w:asciiTheme="majorHAnsi" w:hAnsiTheme="majorHAnsi" w:cstheme="majorHAnsi"/>
                <w:color w:val="333333"/>
                <w:sz w:val="18"/>
                <w:szCs w:val="18"/>
                <w:shd w:val="clear" w:color="auto" w:fill="FFFFFF"/>
              </w:rPr>
            </w:pPr>
            <w:r w:rsidRPr="008E551C">
              <w:rPr>
                <w:rFonts w:asciiTheme="majorHAnsi" w:hAnsiTheme="majorHAnsi" w:cstheme="majorHAnsi"/>
                <w:color w:val="333333"/>
                <w:sz w:val="18"/>
                <w:szCs w:val="18"/>
                <w:shd w:val="clear" w:color="auto" w:fill="FFFFFF"/>
              </w:rPr>
              <w:t>- pct. 5</w:t>
            </w:r>
            <w:r w:rsidR="00BA69A9" w:rsidRPr="008E551C">
              <w:rPr>
                <w:rFonts w:asciiTheme="majorHAnsi" w:hAnsiTheme="majorHAnsi" w:cstheme="majorHAnsi"/>
                <w:color w:val="333333"/>
                <w:sz w:val="18"/>
                <w:szCs w:val="18"/>
                <w:shd w:val="clear" w:color="auto" w:fill="FFFFFF"/>
              </w:rPr>
              <w:t xml:space="preserve"> </w:t>
            </w:r>
            <w:r w:rsidR="00C54D39" w:rsidRPr="008E551C">
              <w:rPr>
                <w:rFonts w:asciiTheme="majorHAnsi" w:hAnsiTheme="majorHAnsi" w:cstheme="majorHAnsi"/>
                <w:color w:val="333333"/>
                <w:sz w:val="18"/>
                <w:szCs w:val="18"/>
                <w:shd w:val="clear" w:color="auto" w:fill="FFFFFF"/>
              </w:rPr>
              <w:t xml:space="preserve">și pct. 13 din </w:t>
            </w:r>
            <w:r w:rsidRPr="008E551C">
              <w:rPr>
                <w:rFonts w:asciiTheme="majorHAnsi" w:hAnsiTheme="majorHAnsi" w:cstheme="majorHAnsi"/>
                <w:color w:val="333333"/>
                <w:sz w:val="18"/>
                <w:szCs w:val="18"/>
                <w:shd w:val="clear" w:color="auto" w:fill="FFFFFF"/>
              </w:rPr>
              <w:t>HG 1419/2016 pentru aprobarea Regulamentului cu privire la modul de planificare a contractelor de achiziții publice;</w:t>
            </w:r>
          </w:p>
          <w:p w14:paraId="759799E9" w14:textId="77777777" w:rsidR="000F4356" w:rsidRPr="008E551C" w:rsidRDefault="000F4356" w:rsidP="00CE3DB1">
            <w:pPr>
              <w:contextualSpacing/>
              <w:jc w:val="both"/>
              <w:rPr>
                <w:rFonts w:asciiTheme="majorHAnsi" w:hAnsiTheme="majorHAnsi" w:cstheme="majorHAnsi"/>
                <w:color w:val="333333"/>
                <w:sz w:val="18"/>
                <w:szCs w:val="18"/>
                <w:shd w:val="clear" w:color="auto" w:fill="FFFFFF"/>
              </w:rPr>
            </w:pPr>
            <w:r w:rsidRPr="008E551C">
              <w:rPr>
                <w:rFonts w:asciiTheme="majorHAnsi" w:hAnsiTheme="majorHAnsi" w:cstheme="majorHAnsi"/>
                <w:color w:val="333333"/>
                <w:sz w:val="18"/>
                <w:szCs w:val="18"/>
                <w:shd w:val="clear" w:color="auto" w:fill="FFFFFF"/>
              </w:rPr>
              <w:t>- art. 4 alin (2) Legea 131/2015 privind achizițiile publice;</w:t>
            </w:r>
          </w:p>
          <w:p w14:paraId="7B008B08" w14:textId="49E8B3E2" w:rsidR="000F4356" w:rsidRPr="008E551C" w:rsidRDefault="000F4356" w:rsidP="00CE3DB1">
            <w:pPr>
              <w:contextualSpacing/>
              <w:jc w:val="both"/>
              <w:rPr>
                <w:rFonts w:asciiTheme="majorHAnsi" w:hAnsiTheme="majorHAnsi" w:cstheme="majorHAnsi"/>
                <w:color w:val="333333"/>
                <w:sz w:val="18"/>
                <w:szCs w:val="18"/>
                <w:shd w:val="clear" w:color="auto" w:fill="FFFFFF"/>
              </w:rPr>
            </w:pPr>
            <w:r w:rsidRPr="008E551C">
              <w:rPr>
                <w:rFonts w:asciiTheme="majorHAnsi" w:hAnsiTheme="majorHAnsi" w:cstheme="majorHAnsi"/>
                <w:color w:val="333333"/>
                <w:sz w:val="18"/>
                <w:szCs w:val="18"/>
                <w:shd w:val="clear" w:color="auto" w:fill="FFFFFF"/>
              </w:rPr>
              <w:t>- art. 28 alin. (1), (3) și (4) Legea 131/2015 privind achizițiile publice;</w:t>
            </w:r>
          </w:p>
          <w:p w14:paraId="5EE2B721" w14:textId="77777777" w:rsidR="000F4356" w:rsidRPr="008E551C" w:rsidRDefault="000F4356" w:rsidP="00CE3DB1">
            <w:pPr>
              <w:contextualSpacing/>
              <w:jc w:val="both"/>
              <w:rPr>
                <w:rFonts w:asciiTheme="majorHAnsi" w:hAnsiTheme="majorHAnsi" w:cstheme="majorHAnsi"/>
                <w:color w:val="333333"/>
                <w:sz w:val="18"/>
                <w:szCs w:val="18"/>
                <w:shd w:val="clear" w:color="auto" w:fill="FFFFFF"/>
              </w:rPr>
            </w:pPr>
            <w:r w:rsidRPr="008E551C">
              <w:rPr>
                <w:rFonts w:asciiTheme="majorHAnsi" w:hAnsiTheme="majorHAnsi" w:cstheme="majorHAnsi"/>
                <w:color w:val="333333"/>
                <w:sz w:val="18"/>
                <w:szCs w:val="18"/>
                <w:shd w:val="clear" w:color="auto" w:fill="FFFFFF"/>
              </w:rPr>
              <w:t>- Anexa nr. 2 la HG nr. 10/2021 pentru aprobarea Regulamentului cu privire</w:t>
            </w:r>
          </w:p>
          <w:p w14:paraId="3A984554" w14:textId="77777777" w:rsidR="000F4356" w:rsidRPr="008E551C" w:rsidRDefault="000F4356" w:rsidP="00CE3DB1">
            <w:pPr>
              <w:contextualSpacing/>
              <w:jc w:val="both"/>
              <w:rPr>
                <w:rFonts w:asciiTheme="majorHAnsi" w:hAnsiTheme="majorHAnsi" w:cstheme="majorHAnsi"/>
                <w:color w:val="333333"/>
                <w:sz w:val="18"/>
                <w:szCs w:val="18"/>
                <w:shd w:val="clear" w:color="auto" w:fill="FFFFFF"/>
              </w:rPr>
            </w:pPr>
            <w:r w:rsidRPr="008E551C">
              <w:rPr>
                <w:rFonts w:asciiTheme="majorHAnsi" w:hAnsiTheme="majorHAnsi" w:cstheme="majorHAnsi"/>
                <w:color w:val="333333"/>
                <w:sz w:val="18"/>
                <w:szCs w:val="18"/>
                <w:shd w:val="clear" w:color="auto" w:fill="FFFFFF"/>
              </w:rPr>
              <w:t>la activitatea grupului de lucru în domeniul achizițiilor publice.</w:t>
            </w:r>
          </w:p>
        </w:tc>
        <w:tc>
          <w:tcPr>
            <w:tcW w:w="3060" w:type="dxa"/>
          </w:tcPr>
          <w:p w14:paraId="7EA88745"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analiza Dărilor de seamă privind realizare achizițiilor publice de valoare mică;</w:t>
            </w:r>
          </w:p>
          <w:p w14:paraId="225A6784"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studierea dosarelor de achiziții publice;</w:t>
            </w:r>
          </w:p>
          <w:p w14:paraId="0141F9C4"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au fost analizate contractele de achiziții de mică valoare și stabilirea dacă pentru același obiect de achiziție au fost încheiate mai multe contracte sau au fost efectuate proceduri de achiziții competitive;</w:t>
            </w:r>
          </w:p>
          <w:p w14:paraId="5B177A44"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studierea Planurilor anuale de achiziții (pentru anii 2018 – 2022) ale CS, BA a CS și DGACG;</w:t>
            </w:r>
          </w:p>
          <w:p w14:paraId="2EBA6709"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analiza planurilor de alocații (conform informației FD 044) și compararea cu achizițiile planificate în Planurile anuale de achiziții;</w:t>
            </w:r>
          </w:p>
          <w:p w14:paraId="400F8B87"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contrapunerea datelor din planurile anuale de achiziții cu achizițiile de facto efectuate;</w:t>
            </w:r>
          </w:p>
          <w:p w14:paraId="2F6889EB"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dosarele achizițiilor publice pentru stabilirea corectitudinii efectuării achizițiilor publice.</w:t>
            </w:r>
          </w:p>
        </w:tc>
        <w:tc>
          <w:tcPr>
            <w:tcW w:w="1917" w:type="dxa"/>
          </w:tcPr>
          <w:p w14:paraId="587FC7F9"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100%, ceea ce reprezintă:</w:t>
            </w:r>
          </w:p>
          <w:p w14:paraId="39277FDD"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toate Planurile de achiziții ale CS, BA a CS și DGACG pentru anii 2018 – 2022;</w:t>
            </w:r>
          </w:p>
          <w:p w14:paraId="3B61040C"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toate contractele de achiziții publice;</w:t>
            </w:r>
          </w:p>
          <w:p w14:paraId="13E51422"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dările de seamă privind realizare achizițiilor publice de valoare mică pentru anii 2018 – 2022;</w:t>
            </w:r>
          </w:p>
          <w:p w14:paraId="564212AC"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anunțurile de intenție;</w:t>
            </w:r>
          </w:p>
          <w:p w14:paraId="3FD344C6"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rapoartele cu privire la monitorizarea contractelor de achiziții pentru anii 2018 – 2022;</w:t>
            </w:r>
          </w:p>
          <w:p w14:paraId="2702362D"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dosarele de achiziții publice aferente perioadei auditate.</w:t>
            </w:r>
          </w:p>
        </w:tc>
      </w:tr>
      <w:tr w:rsidR="000F4356" w:rsidRPr="008E551C" w14:paraId="116A3AB8" w14:textId="77777777" w:rsidTr="008E551C">
        <w:trPr>
          <w:trHeight w:val="309"/>
        </w:trPr>
        <w:tc>
          <w:tcPr>
            <w:tcW w:w="10364" w:type="dxa"/>
            <w:gridSpan w:val="4"/>
          </w:tcPr>
          <w:p w14:paraId="61017ECC" w14:textId="77777777" w:rsidR="000F4356" w:rsidRPr="008E551C" w:rsidRDefault="000F4356" w:rsidP="00CE3DB1">
            <w:pPr>
              <w:jc w:val="both"/>
              <w:rPr>
                <w:rFonts w:asciiTheme="majorHAnsi" w:hAnsiTheme="majorHAnsi" w:cstheme="majorHAnsi"/>
                <w:b/>
                <w:bCs/>
                <w:sz w:val="18"/>
                <w:szCs w:val="18"/>
                <w:lang w:val="ro-RO"/>
              </w:rPr>
            </w:pPr>
            <w:r w:rsidRPr="008E551C">
              <w:rPr>
                <w:rFonts w:asciiTheme="majorHAnsi" w:eastAsiaTheme="majorEastAsia" w:hAnsiTheme="majorHAnsi" w:cstheme="majorHAnsi"/>
                <w:b/>
                <w:color w:val="2E74B5" w:themeColor="accent1" w:themeShade="BF"/>
                <w:sz w:val="18"/>
                <w:szCs w:val="18"/>
              </w:rPr>
              <w:t>OBIECTIVUL nr.2: Politicile și instrumentele existente asigură executarea de către CS a monitoringului activității instituțiilor publice fondate?</w:t>
            </w:r>
          </w:p>
        </w:tc>
      </w:tr>
      <w:tr w:rsidR="000F4356" w:rsidRPr="008E551C" w14:paraId="3FBA4B58" w14:textId="77777777" w:rsidTr="008E551C">
        <w:trPr>
          <w:trHeight w:val="2318"/>
        </w:trPr>
        <w:tc>
          <w:tcPr>
            <w:tcW w:w="1975" w:type="dxa"/>
          </w:tcPr>
          <w:p w14:paraId="335B59D2" w14:textId="77777777" w:rsidR="000F4356" w:rsidRPr="008E551C" w:rsidRDefault="000F4356" w:rsidP="00CE3DB1">
            <w:pPr>
              <w:jc w:val="both"/>
              <w:rPr>
                <w:rFonts w:asciiTheme="majorHAnsi" w:hAnsiTheme="majorHAnsi" w:cstheme="majorHAnsi"/>
                <w:sz w:val="18"/>
                <w:szCs w:val="18"/>
              </w:rPr>
            </w:pPr>
            <w:r w:rsidRPr="008E551C">
              <w:rPr>
                <w:rFonts w:asciiTheme="majorHAnsi" w:hAnsiTheme="majorHAnsi" w:cstheme="majorHAnsi"/>
                <w:sz w:val="18"/>
                <w:szCs w:val="18"/>
              </w:rPr>
              <w:t>4.2.1.</w:t>
            </w:r>
            <w:r w:rsidRPr="008E551C">
              <w:rPr>
                <w:rFonts w:asciiTheme="majorHAnsi" w:hAnsiTheme="majorHAnsi" w:cstheme="majorHAnsi"/>
                <w:sz w:val="18"/>
                <w:szCs w:val="18"/>
              </w:rPr>
              <w:tab/>
              <w:t>Cadrul de reglementare este lacunar și fragmentat în ceea ce privește instituționalizarea și funcționarea instituțiilor publice, problematică abordată și în alte exerciții de audit public extern</w:t>
            </w:r>
          </w:p>
        </w:tc>
        <w:tc>
          <w:tcPr>
            <w:tcW w:w="3412" w:type="dxa"/>
          </w:tcPr>
          <w:p w14:paraId="529190E0" w14:textId="77777777" w:rsidR="000F4356" w:rsidRPr="008E551C" w:rsidRDefault="000F4356" w:rsidP="00CE3DB1">
            <w:pPr>
              <w:contextualSpacing/>
              <w:jc w:val="both"/>
              <w:rPr>
                <w:rFonts w:asciiTheme="majorHAnsi" w:hAnsiTheme="majorHAnsi" w:cstheme="majorHAnsi"/>
                <w:sz w:val="18"/>
                <w:szCs w:val="18"/>
              </w:rPr>
            </w:pPr>
            <w:r w:rsidRPr="008E551C">
              <w:rPr>
                <w:rFonts w:asciiTheme="majorHAnsi" w:hAnsiTheme="majorHAnsi" w:cstheme="majorHAnsi"/>
                <w:sz w:val="18"/>
                <w:szCs w:val="18"/>
              </w:rPr>
              <w:t>- art. 32 din Legea nr. 98/2012 privind administrația publică centrală de specialitate;</w:t>
            </w:r>
          </w:p>
          <w:p w14:paraId="356FB512" w14:textId="77777777" w:rsidR="000F4356" w:rsidRPr="008E551C" w:rsidRDefault="000F4356" w:rsidP="00CE3DB1">
            <w:pPr>
              <w:contextualSpacing/>
              <w:jc w:val="both"/>
              <w:rPr>
                <w:rFonts w:asciiTheme="majorHAnsi" w:hAnsiTheme="majorHAnsi" w:cstheme="majorHAnsi"/>
                <w:sz w:val="18"/>
                <w:szCs w:val="18"/>
              </w:rPr>
            </w:pPr>
            <w:r w:rsidRPr="008E551C">
              <w:rPr>
                <w:rFonts w:asciiTheme="majorHAnsi" w:hAnsiTheme="majorHAnsi" w:cstheme="majorHAnsi"/>
                <w:sz w:val="18"/>
                <w:szCs w:val="18"/>
              </w:rPr>
              <w:t>- art. 307 alin. (3) Codul Civil al RM nr. 1107 din 6.06.2002;</w:t>
            </w:r>
          </w:p>
          <w:p w14:paraId="19824942" w14:textId="77777777" w:rsidR="000F4356" w:rsidRPr="008E551C" w:rsidRDefault="000F4356" w:rsidP="00CE3DB1">
            <w:pPr>
              <w:contextualSpacing/>
              <w:jc w:val="both"/>
              <w:rPr>
                <w:rFonts w:asciiTheme="majorHAnsi" w:hAnsiTheme="majorHAnsi" w:cstheme="majorHAnsi"/>
                <w:sz w:val="18"/>
                <w:szCs w:val="18"/>
                <w:lang w:val="en-US"/>
              </w:rPr>
            </w:pPr>
            <w:r w:rsidRPr="008E551C">
              <w:rPr>
                <w:rFonts w:asciiTheme="majorHAnsi" w:hAnsiTheme="majorHAnsi" w:cstheme="majorHAnsi"/>
                <w:sz w:val="18"/>
                <w:szCs w:val="18"/>
              </w:rPr>
              <w:t>- art. 3 din Legea finanțelor publice și responsabilităților bugetar-fiscale 181/2014.</w:t>
            </w:r>
          </w:p>
        </w:tc>
        <w:tc>
          <w:tcPr>
            <w:tcW w:w="3060" w:type="dxa"/>
          </w:tcPr>
          <w:p w14:paraId="36413B06" w14:textId="77777777" w:rsidR="000F4356" w:rsidRPr="008E551C" w:rsidRDefault="000F4356" w:rsidP="00CE3DB1">
            <w:pPr>
              <w:tabs>
                <w:tab w:val="left" w:pos="426"/>
              </w:tabs>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Analiza cadrului regulator privind instituționalizarea și funcționarea instituțiilor publice, inclusiv a celor la autogestiune.</w:t>
            </w:r>
          </w:p>
        </w:tc>
        <w:tc>
          <w:tcPr>
            <w:tcW w:w="1917" w:type="dxa"/>
          </w:tcPr>
          <w:p w14:paraId="7F822B0B"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Cadrul normativ aferent funcționalității instituțiilor publice, inclusiv instituții publice la autogestiune</w:t>
            </w:r>
          </w:p>
        </w:tc>
      </w:tr>
      <w:tr w:rsidR="000F4356" w:rsidRPr="008E551C" w14:paraId="09C809CD" w14:textId="77777777" w:rsidTr="003D1FA7">
        <w:trPr>
          <w:trHeight w:val="249"/>
        </w:trPr>
        <w:tc>
          <w:tcPr>
            <w:tcW w:w="1975" w:type="dxa"/>
          </w:tcPr>
          <w:p w14:paraId="68E93CAB"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4.2.2.Responsabilitățile CS aferente exercitării monitoring-ului activității instituțiilor publice în care are calitatea de fondator nu sunt definite clar</w:t>
            </w:r>
          </w:p>
        </w:tc>
        <w:tc>
          <w:tcPr>
            <w:tcW w:w="3412" w:type="dxa"/>
          </w:tcPr>
          <w:p w14:paraId="56C953D2" w14:textId="77777777" w:rsidR="000F4356" w:rsidRPr="008E551C" w:rsidRDefault="000F4356" w:rsidP="00CE3DB1">
            <w:pPr>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pct. 7, lit. k2 din Regulamentul privind organizarea și funcționarea Cancelariei de Stat, aprobat prin HG nr. 657 din 06.11.2009;</w:t>
            </w:r>
          </w:p>
          <w:p w14:paraId="04A1881E" w14:textId="77777777" w:rsidR="000F4356" w:rsidRPr="008E551C" w:rsidRDefault="000F4356" w:rsidP="00CE3DB1">
            <w:pPr>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art. 29 din Legea nr. 234 din 23.12.2021 cu privire la serviciile publice.</w:t>
            </w:r>
          </w:p>
        </w:tc>
        <w:tc>
          <w:tcPr>
            <w:tcW w:w="3060" w:type="dxa"/>
          </w:tcPr>
          <w:p w14:paraId="43EF9ECC"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analiza Ordinelor Secretarului general al Guvernului privind aprobarea schemelor/domeniilor de patronare a funcțiilor exercitate de către subdiviziunile autonome ale CS și ale instituțiilor publice monitorizate de autoritatea centrală</w:t>
            </w:r>
          </w:p>
        </w:tc>
        <w:tc>
          <w:tcPr>
            <w:tcW w:w="1917" w:type="dxa"/>
          </w:tcPr>
          <w:p w14:paraId="5AABBEEA"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Toate ordinile interne aferente și Regulamentele subdiviziunilor structurale</w:t>
            </w:r>
          </w:p>
        </w:tc>
      </w:tr>
      <w:tr w:rsidR="000F4356" w:rsidRPr="008E551C" w14:paraId="4FD7C648" w14:textId="77777777" w:rsidTr="003D1FA7">
        <w:trPr>
          <w:trHeight w:val="249"/>
        </w:trPr>
        <w:tc>
          <w:tcPr>
            <w:tcW w:w="1975" w:type="dxa"/>
          </w:tcPr>
          <w:p w14:paraId="5A2CBB70" w14:textId="3440C956"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4.2.3.Deficiențe și neconformități în politica tarifară la prestarea serviciilor de către unele I</w:t>
            </w:r>
            <w:r w:rsidR="00685DC8"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P</w:t>
            </w:r>
            <w:r w:rsidR="00685DC8"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 xml:space="preserve"> monitorizate de CS: </w:t>
            </w:r>
          </w:p>
          <w:p w14:paraId="011F99D9" w14:textId="29D33DE0" w:rsidR="000F4356" w:rsidRPr="008E551C" w:rsidRDefault="000F4356" w:rsidP="00CE3DB1">
            <w:pPr>
              <w:tabs>
                <w:tab w:val="left" w:pos="176"/>
              </w:tabs>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(i)</w:t>
            </w:r>
            <w:r w:rsidRPr="008E551C">
              <w:rPr>
                <w:rFonts w:asciiTheme="majorHAnsi" w:hAnsiTheme="majorHAnsi" w:cstheme="majorHAnsi"/>
                <w:sz w:val="18"/>
                <w:szCs w:val="18"/>
                <w:lang w:val="ro-RO"/>
              </w:rPr>
              <w:tab/>
              <w:t>CS nu a fost preocupată de elaborarea și aprobarea unor politici tarifare pentru serviciile prestate de unele autorități din subordine/monitorizare în vederea asigurării unui proces transparent și conform de gestionare a resurselor financiare</w:t>
            </w:r>
            <w:r w:rsidR="00BA69A9" w:rsidRPr="008E551C">
              <w:rPr>
                <w:rFonts w:asciiTheme="majorHAnsi" w:hAnsiTheme="majorHAnsi" w:cstheme="majorHAnsi"/>
                <w:sz w:val="18"/>
                <w:szCs w:val="18"/>
                <w:lang w:val="ro-RO"/>
              </w:rPr>
              <w:t xml:space="preserve"> </w:t>
            </w:r>
            <w:r w:rsidRPr="008E551C">
              <w:rPr>
                <w:rFonts w:asciiTheme="majorHAnsi" w:hAnsiTheme="majorHAnsi" w:cstheme="majorHAnsi"/>
                <w:sz w:val="18"/>
                <w:szCs w:val="18"/>
                <w:lang w:val="ro-RO"/>
              </w:rPr>
              <w:t>publice</w:t>
            </w:r>
          </w:p>
        </w:tc>
        <w:tc>
          <w:tcPr>
            <w:tcW w:w="3412" w:type="dxa"/>
          </w:tcPr>
          <w:p w14:paraId="345DCB5C" w14:textId="033CB25C" w:rsidR="000F4356" w:rsidRPr="008E551C" w:rsidRDefault="000F4356" w:rsidP="00CE3DB1">
            <w:pPr>
              <w:tabs>
                <w:tab w:val="left" w:pos="252"/>
              </w:tabs>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pct. 8 alin. (2) HG 520/2020 cu privire la organizarea și funcționarea I</w:t>
            </w:r>
            <w:r w:rsidR="00685DC8"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P</w:t>
            </w:r>
            <w:r w:rsidR="00685DC8"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 xml:space="preserve"> „Pensiunea din Holercani”;</w:t>
            </w:r>
          </w:p>
          <w:p w14:paraId="0D4F64BD" w14:textId="3ADC0A1E" w:rsidR="000F4356" w:rsidRPr="008E551C" w:rsidRDefault="000F4356" w:rsidP="00CE3DB1">
            <w:pPr>
              <w:tabs>
                <w:tab w:val="left" w:pos="252"/>
              </w:tabs>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pct. 8 alin. (2) HG 519/2020 cu privire la organizarea și funcționarea I</w:t>
            </w:r>
            <w:r w:rsidR="00685DC8"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P</w:t>
            </w:r>
            <w:r w:rsidR="00685DC8"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 xml:space="preserve"> „Palatul Republicii”;</w:t>
            </w:r>
          </w:p>
          <w:p w14:paraId="39D85D3F" w14:textId="2E7A2F6C" w:rsidR="000F4356" w:rsidRPr="008E551C" w:rsidRDefault="000F4356" w:rsidP="00CE3DB1">
            <w:pPr>
              <w:tabs>
                <w:tab w:val="left" w:pos="252"/>
              </w:tabs>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pct. 8 alin. (2) HG 1208/2008 cu privire la organizarea și funcționarea I</w:t>
            </w:r>
            <w:r w:rsidR="00685DC8"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P</w:t>
            </w:r>
            <w:r w:rsidR="00685DC8"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 xml:space="preserve"> „Agenția Informațională de Stat „Moldpres”.</w:t>
            </w:r>
          </w:p>
          <w:p w14:paraId="3C7E0D05" w14:textId="77777777" w:rsidR="000F4356" w:rsidRPr="008E551C" w:rsidRDefault="000F4356" w:rsidP="00CE3DB1">
            <w:pPr>
              <w:tabs>
                <w:tab w:val="left" w:pos="252"/>
              </w:tabs>
              <w:jc w:val="both"/>
              <w:rPr>
                <w:rFonts w:asciiTheme="majorHAnsi" w:hAnsiTheme="majorHAnsi" w:cstheme="majorHAnsi"/>
                <w:sz w:val="18"/>
                <w:szCs w:val="18"/>
                <w:lang w:val="ro-RO"/>
              </w:rPr>
            </w:pPr>
          </w:p>
          <w:p w14:paraId="4AC653C7" w14:textId="77777777" w:rsidR="000F4356" w:rsidRPr="008E551C" w:rsidRDefault="000F4356" w:rsidP="00CE3DB1">
            <w:pPr>
              <w:pStyle w:val="a7"/>
              <w:tabs>
                <w:tab w:val="left" w:pos="252"/>
              </w:tabs>
              <w:ind w:left="0"/>
              <w:jc w:val="both"/>
              <w:rPr>
                <w:rFonts w:asciiTheme="majorHAnsi" w:hAnsiTheme="majorHAnsi" w:cstheme="majorHAnsi"/>
                <w:sz w:val="18"/>
                <w:szCs w:val="18"/>
                <w:lang w:val="ro-RO"/>
              </w:rPr>
            </w:pPr>
          </w:p>
        </w:tc>
        <w:tc>
          <w:tcPr>
            <w:tcW w:w="3060" w:type="dxa"/>
          </w:tcPr>
          <w:p w14:paraId="3588E6C4" w14:textId="49363300" w:rsidR="000F4356" w:rsidRPr="008E551C" w:rsidRDefault="000F4356" w:rsidP="00CE3DB1">
            <w:pPr>
              <w:tabs>
                <w:tab w:val="left" w:pos="252"/>
              </w:tabs>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analiza Ordinelor interne (ale I.P. AIS „Moldpres”, I.P. „Pensiunea din Holercani”, I.P. „Palatul Republicii”)</w:t>
            </w:r>
            <w:r w:rsidR="00BA69A9" w:rsidRPr="008E551C">
              <w:rPr>
                <w:rFonts w:asciiTheme="majorHAnsi" w:hAnsiTheme="majorHAnsi" w:cstheme="majorHAnsi"/>
                <w:sz w:val="18"/>
                <w:szCs w:val="18"/>
                <w:lang w:val="ro-RO"/>
              </w:rPr>
              <w:t xml:space="preserve"> </w:t>
            </w:r>
            <w:r w:rsidRPr="008E551C">
              <w:rPr>
                <w:rFonts w:asciiTheme="majorHAnsi" w:hAnsiTheme="majorHAnsi" w:cstheme="majorHAnsi"/>
                <w:sz w:val="18"/>
                <w:szCs w:val="18"/>
                <w:lang w:val="ro-RO"/>
              </w:rPr>
              <w:t>în parte ce ține de aprobarea tarifelor privind serviciile prestate de I</w:t>
            </w:r>
            <w:r w:rsidR="00F11CE0"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P</w:t>
            </w:r>
            <w:r w:rsidR="00F11CE0"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w:t>
            </w:r>
          </w:p>
          <w:p w14:paraId="6009AF23" w14:textId="49E6639E" w:rsidR="000F4356" w:rsidRPr="008E551C" w:rsidRDefault="000F4356" w:rsidP="00CE3DB1">
            <w:pPr>
              <w:pStyle w:val="a7"/>
              <w:tabs>
                <w:tab w:val="left" w:pos="252"/>
              </w:tabs>
              <w:ind w:left="0"/>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analiza informației privind veniturile colectate</w:t>
            </w:r>
            <w:r w:rsidR="00BA69A9" w:rsidRPr="008E551C">
              <w:rPr>
                <w:rFonts w:asciiTheme="majorHAnsi" w:hAnsiTheme="majorHAnsi" w:cstheme="majorHAnsi"/>
                <w:sz w:val="18"/>
                <w:szCs w:val="18"/>
                <w:lang w:val="ro-RO"/>
              </w:rPr>
              <w:t xml:space="preserve"> </w:t>
            </w:r>
            <w:r w:rsidRPr="008E551C">
              <w:rPr>
                <w:rFonts w:asciiTheme="majorHAnsi" w:hAnsiTheme="majorHAnsi" w:cstheme="majorHAnsi"/>
                <w:sz w:val="18"/>
                <w:szCs w:val="18"/>
                <w:lang w:val="ro-RO"/>
              </w:rPr>
              <w:t>de I</w:t>
            </w:r>
            <w:r w:rsidR="00A25419"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P</w:t>
            </w:r>
            <w:r w:rsidR="00A25419"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 xml:space="preserve"> (NC 3);</w:t>
            </w:r>
          </w:p>
          <w:p w14:paraId="6E90CBEC" w14:textId="7B652383" w:rsidR="000F4356" w:rsidRPr="008E551C" w:rsidRDefault="000F4356" w:rsidP="00CE3DB1">
            <w:pPr>
              <w:pStyle w:val="a7"/>
              <w:tabs>
                <w:tab w:val="left" w:pos="252"/>
              </w:tabs>
              <w:ind w:left="0"/>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analiza contractelor de prestare servicii cu plată de către I</w:t>
            </w:r>
            <w:r w:rsidR="00F11CE0"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P.</w:t>
            </w:r>
          </w:p>
        </w:tc>
        <w:tc>
          <w:tcPr>
            <w:tcW w:w="1917" w:type="dxa"/>
          </w:tcPr>
          <w:p w14:paraId="43EC0064" w14:textId="59061594" w:rsidR="000F4356" w:rsidRPr="008E551C" w:rsidRDefault="000F4356" w:rsidP="00CE3DB1">
            <w:pPr>
              <w:pStyle w:val="a7"/>
              <w:tabs>
                <w:tab w:val="left" w:pos="252"/>
              </w:tabs>
              <w:ind w:left="0"/>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100% a fost analizată existența normelor</w:t>
            </w:r>
            <w:r w:rsidR="00BA69A9" w:rsidRPr="008E551C">
              <w:rPr>
                <w:rFonts w:asciiTheme="majorHAnsi" w:hAnsiTheme="majorHAnsi" w:cstheme="majorHAnsi"/>
                <w:sz w:val="18"/>
                <w:szCs w:val="18"/>
                <w:lang w:val="ro-RO"/>
              </w:rPr>
              <w:t xml:space="preserve"> </w:t>
            </w:r>
            <w:r w:rsidRPr="008E551C">
              <w:rPr>
                <w:rFonts w:asciiTheme="majorHAnsi" w:hAnsiTheme="majorHAnsi" w:cstheme="majorHAnsi"/>
                <w:sz w:val="18"/>
                <w:szCs w:val="18"/>
                <w:lang w:val="ro-RO"/>
              </w:rPr>
              <w:t>aprobate regulamentar privind prestarea serviciilor cu plată prestate de către toate I</w:t>
            </w:r>
            <w:r w:rsidR="00F11CE0"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P</w:t>
            </w:r>
            <w:r w:rsidR="00F11CE0"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 xml:space="preserve"> monitorizate de CS.</w:t>
            </w:r>
          </w:p>
        </w:tc>
      </w:tr>
      <w:tr w:rsidR="000F4356" w:rsidRPr="008E551C" w14:paraId="7111C1B2" w14:textId="77777777" w:rsidTr="003D1FA7">
        <w:trPr>
          <w:trHeight w:val="249"/>
        </w:trPr>
        <w:tc>
          <w:tcPr>
            <w:tcW w:w="1975" w:type="dxa"/>
          </w:tcPr>
          <w:p w14:paraId="23DE9CB6" w14:textId="77777777" w:rsidR="000F4356" w:rsidRPr="008E551C" w:rsidRDefault="000F4356" w:rsidP="00CE3DB1">
            <w:pPr>
              <w:tabs>
                <w:tab w:val="left" w:pos="318"/>
              </w:tabs>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(ii)</w:t>
            </w:r>
            <w:r w:rsidRPr="008E551C">
              <w:rPr>
                <w:rFonts w:asciiTheme="majorHAnsi" w:hAnsiTheme="majorHAnsi" w:cstheme="majorHAnsi"/>
                <w:sz w:val="18"/>
                <w:szCs w:val="18"/>
                <w:lang w:val="ro-RO"/>
              </w:rPr>
              <w:tab/>
              <w:t>STISC nu au asigurat recalcularea anuală a cuantumului tarifelor serviciilor prestate, conform cerințelor cadrului normativ</w:t>
            </w:r>
          </w:p>
        </w:tc>
        <w:tc>
          <w:tcPr>
            <w:tcW w:w="3412" w:type="dxa"/>
          </w:tcPr>
          <w:p w14:paraId="2E2EC2D1" w14:textId="56AE4EDF" w:rsidR="000F4356" w:rsidRPr="008E551C" w:rsidRDefault="000F4356" w:rsidP="00CE3DB1">
            <w:pPr>
              <w:pStyle w:val="a7"/>
              <w:tabs>
                <w:tab w:val="left" w:pos="252"/>
              </w:tabs>
              <w:ind w:left="0"/>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pct. 4 din Anexa 1 la HG 193/2019 cu privire la aprobarea Metodologiei de calculare a tarifelor la serviciile prestate de I</w:t>
            </w:r>
            <w:r w:rsidR="00F11CE0"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P</w:t>
            </w:r>
            <w:r w:rsidR="00F11CE0"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 xml:space="preserve"> „STISC”, a Nomenclatorului serviciilor prestate</w:t>
            </w:r>
            <w:r w:rsidR="00BA69A9" w:rsidRPr="008E551C">
              <w:rPr>
                <w:rFonts w:asciiTheme="majorHAnsi" w:hAnsiTheme="majorHAnsi" w:cstheme="majorHAnsi"/>
                <w:sz w:val="18"/>
                <w:szCs w:val="18"/>
                <w:lang w:val="ro-RO"/>
              </w:rPr>
              <w:t xml:space="preserve"> </w:t>
            </w:r>
            <w:r w:rsidRPr="008E551C">
              <w:rPr>
                <w:rFonts w:asciiTheme="majorHAnsi" w:hAnsiTheme="majorHAnsi" w:cstheme="majorHAnsi"/>
                <w:sz w:val="18"/>
                <w:szCs w:val="18"/>
                <w:lang w:val="ro-RO"/>
              </w:rPr>
              <w:t>și tarifelor la aceasta.</w:t>
            </w:r>
          </w:p>
        </w:tc>
        <w:tc>
          <w:tcPr>
            <w:tcW w:w="3060" w:type="dxa"/>
          </w:tcPr>
          <w:p w14:paraId="52F49774" w14:textId="77777777" w:rsidR="000F4356" w:rsidRPr="008E551C" w:rsidRDefault="000F4356" w:rsidP="00CE3DB1">
            <w:pPr>
              <w:tabs>
                <w:tab w:val="left" w:pos="252"/>
              </w:tabs>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S-a examinat dacă STISC a recalculat cuantumul tarifelor la serviciile prestate comparativ cu cheltuielile operaționale ale perioadei precedente.</w:t>
            </w:r>
          </w:p>
          <w:p w14:paraId="0C631A94" w14:textId="77777777" w:rsidR="000F4356" w:rsidRPr="008E551C" w:rsidRDefault="000F4356" w:rsidP="00CE3DB1">
            <w:pPr>
              <w:pStyle w:val="a7"/>
              <w:tabs>
                <w:tab w:val="left" w:pos="252"/>
              </w:tabs>
              <w:ind w:left="0"/>
              <w:jc w:val="both"/>
              <w:rPr>
                <w:rFonts w:asciiTheme="majorHAnsi" w:hAnsiTheme="majorHAnsi" w:cstheme="majorHAnsi"/>
                <w:sz w:val="18"/>
                <w:szCs w:val="18"/>
                <w:lang w:val="ro-RO"/>
              </w:rPr>
            </w:pPr>
          </w:p>
        </w:tc>
        <w:tc>
          <w:tcPr>
            <w:tcW w:w="1917" w:type="dxa"/>
          </w:tcPr>
          <w:p w14:paraId="50FF66A6" w14:textId="77777777" w:rsidR="000F4356" w:rsidRPr="008E551C" w:rsidRDefault="000F4356" w:rsidP="00CE3DB1">
            <w:pPr>
              <w:pStyle w:val="a7"/>
              <w:tabs>
                <w:tab w:val="left" w:pos="252"/>
              </w:tabs>
              <w:ind w:left="0"/>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100%</w:t>
            </w:r>
          </w:p>
        </w:tc>
      </w:tr>
      <w:tr w:rsidR="000F4356" w:rsidRPr="008E551C" w14:paraId="3E817054" w14:textId="77777777" w:rsidTr="008E551C">
        <w:trPr>
          <w:trHeight w:val="579"/>
        </w:trPr>
        <w:tc>
          <w:tcPr>
            <w:tcW w:w="10364" w:type="dxa"/>
            <w:gridSpan w:val="4"/>
          </w:tcPr>
          <w:p w14:paraId="5140D03C" w14:textId="1A2A29A2" w:rsidR="000F4356" w:rsidRPr="008E551C" w:rsidRDefault="000F4356" w:rsidP="00CE3DB1">
            <w:pPr>
              <w:jc w:val="both"/>
              <w:rPr>
                <w:rFonts w:asciiTheme="majorHAnsi" w:hAnsiTheme="majorHAnsi" w:cstheme="majorHAnsi"/>
                <w:sz w:val="18"/>
                <w:szCs w:val="18"/>
                <w:lang w:val="ro-RO"/>
              </w:rPr>
            </w:pPr>
            <w:r w:rsidRPr="008E551C">
              <w:rPr>
                <w:rFonts w:asciiTheme="majorHAnsi" w:eastAsiaTheme="majorEastAsia" w:hAnsiTheme="majorHAnsi" w:cstheme="majorHAnsi"/>
                <w:b/>
                <w:color w:val="2E74B5" w:themeColor="accent1" w:themeShade="BF"/>
                <w:sz w:val="18"/>
                <w:szCs w:val="18"/>
              </w:rPr>
              <w:t>OBIECTIVUL nr.3: Cancelaria de Stat și unele instituții publice</w:t>
            </w:r>
            <w:r w:rsidR="00BA69A9" w:rsidRPr="008E551C">
              <w:rPr>
                <w:rFonts w:asciiTheme="majorHAnsi" w:eastAsiaTheme="majorEastAsia" w:hAnsiTheme="majorHAnsi" w:cstheme="majorHAnsi"/>
                <w:b/>
                <w:color w:val="2E74B5" w:themeColor="accent1" w:themeShade="BF"/>
                <w:sz w:val="18"/>
                <w:szCs w:val="18"/>
              </w:rPr>
              <w:t xml:space="preserve"> </w:t>
            </w:r>
            <w:r w:rsidRPr="008E551C">
              <w:rPr>
                <w:rFonts w:asciiTheme="majorHAnsi" w:eastAsiaTheme="majorEastAsia" w:hAnsiTheme="majorHAnsi" w:cstheme="majorHAnsi"/>
                <w:b/>
                <w:color w:val="2E74B5" w:themeColor="accent1" w:themeShade="BF"/>
                <w:sz w:val="18"/>
                <w:szCs w:val="18"/>
              </w:rPr>
              <w:t>din subordine au asigurat conformitatea administrării patrimoniului public aflat/transmis în gestiune</w:t>
            </w:r>
          </w:p>
        </w:tc>
      </w:tr>
      <w:tr w:rsidR="000F4356" w:rsidRPr="008E551C" w14:paraId="41B05E6A" w14:textId="77777777" w:rsidTr="003D1FA7">
        <w:trPr>
          <w:trHeight w:val="249"/>
        </w:trPr>
        <w:tc>
          <w:tcPr>
            <w:tcW w:w="1975" w:type="dxa"/>
          </w:tcPr>
          <w:p w14:paraId="06BF1AE4" w14:textId="47800FD2" w:rsidR="000F4356" w:rsidRPr="008E551C" w:rsidRDefault="000F4356" w:rsidP="00CE3DB1">
            <w:pPr>
              <w:tabs>
                <w:tab w:val="left" w:pos="270"/>
                <w:tab w:val="left" w:pos="360"/>
                <w:tab w:val="left" w:pos="450"/>
              </w:tabs>
              <w:jc w:val="both"/>
              <w:rPr>
                <w:rFonts w:asciiTheme="majorHAnsi" w:hAnsiTheme="majorHAnsi" w:cstheme="majorHAnsi"/>
                <w:sz w:val="18"/>
                <w:szCs w:val="18"/>
              </w:rPr>
            </w:pPr>
            <w:r w:rsidRPr="008E551C">
              <w:rPr>
                <w:rFonts w:asciiTheme="majorHAnsi" w:hAnsiTheme="majorHAnsi" w:cstheme="majorHAnsi"/>
                <w:sz w:val="18"/>
                <w:szCs w:val="18"/>
              </w:rPr>
              <w:t>4.3.1.</w:t>
            </w:r>
            <w:r w:rsidRPr="008E551C">
              <w:rPr>
                <w:rFonts w:asciiTheme="majorHAnsi" w:hAnsiTheme="majorHAnsi" w:cstheme="majorHAnsi"/>
                <w:sz w:val="18"/>
                <w:szCs w:val="18"/>
              </w:rPr>
              <w:tab/>
              <w:t>CS, în calitate de fondator, nu deține o imagine integrală privind patrimoniu public transmis în gestiune economică I</w:t>
            </w:r>
            <w:r w:rsidR="00F11CE0" w:rsidRPr="008E551C">
              <w:rPr>
                <w:rFonts w:asciiTheme="majorHAnsi" w:hAnsiTheme="majorHAnsi" w:cstheme="majorHAnsi"/>
                <w:sz w:val="18"/>
                <w:szCs w:val="18"/>
              </w:rPr>
              <w:t>.</w:t>
            </w:r>
            <w:r w:rsidRPr="008E551C">
              <w:rPr>
                <w:rFonts w:asciiTheme="majorHAnsi" w:hAnsiTheme="majorHAnsi" w:cstheme="majorHAnsi"/>
                <w:sz w:val="18"/>
                <w:szCs w:val="18"/>
              </w:rPr>
              <w:t>P</w:t>
            </w:r>
            <w:r w:rsidR="00F11CE0" w:rsidRPr="008E551C">
              <w:rPr>
                <w:rFonts w:asciiTheme="majorHAnsi" w:hAnsiTheme="majorHAnsi" w:cstheme="majorHAnsi"/>
                <w:sz w:val="18"/>
                <w:szCs w:val="18"/>
              </w:rPr>
              <w:t>.</w:t>
            </w:r>
            <w:r w:rsidRPr="008E551C">
              <w:rPr>
                <w:rFonts w:asciiTheme="majorHAnsi" w:hAnsiTheme="majorHAnsi" w:cstheme="majorHAnsi"/>
                <w:sz w:val="18"/>
                <w:szCs w:val="18"/>
              </w:rPr>
              <w:t xml:space="preserve"> monitorizate, urmare înregistrării parțiale a acestuia în evidența contabilă</w:t>
            </w:r>
          </w:p>
        </w:tc>
        <w:tc>
          <w:tcPr>
            <w:tcW w:w="3412" w:type="dxa"/>
          </w:tcPr>
          <w:p w14:paraId="6C773E2B" w14:textId="77777777" w:rsidR="000F4356" w:rsidRPr="008E551C" w:rsidRDefault="000F4356" w:rsidP="00CE3DB1">
            <w:pPr>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pct. 3.4.21</w:t>
            </w:r>
            <w:r w:rsidRPr="008E551C">
              <w:rPr>
                <w:rFonts w:asciiTheme="majorHAnsi" w:hAnsiTheme="majorHAnsi" w:cstheme="majorHAnsi"/>
                <w:sz w:val="18"/>
                <w:szCs w:val="18"/>
                <w:vertAlign w:val="superscript"/>
                <w:lang w:val="ro-RO"/>
              </w:rPr>
              <w:t>1</w:t>
            </w:r>
            <w:r w:rsidRPr="008E551C">
              <w:rPr>
                <w:rFonts w:asciiTheme="majorHAnsi" w:hAnsiTheme="majorHAnsi" w:cstheme="majorHAnsi"/>
                <w:sz w:val="18"/>
                <w:szCs w:val="18"/>
                <w:lang w:val="ro-RO"/>
              </w:rPr>
              <w:t>. din Ordinul 216/2015 cu privire la aprobarea Planului de conturi contabile în sistemul bugetar și a Normelor metodologice privind evidența contabilă și raportarea financiară în sistemul bugetar</w:t>
            </w:r>
          </w:p>
          <w:p w14:paraId="3598F14E" w14:textId="77777777" w:rsidR="000F4356" w:rsidRPr="008E551C" w:rsidRDefault="000F4356" w:rsidP="00CE3DB1">
            <w:pPr>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art. 245 din Codul Civil al RM nr. 1107 din 6.06.2002</w:t>
            </w:r>
          </w:p>
          <w:p w14:paraId="476E1693" w14:textId="77777777" w:rsidR="000F4356" w:rsidRPr="008E551C" w:rsidRDefault="000F4356" w:rsidP="00CE3DB1">
            <w:pPr>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pct. 17</w:t>
            </w:r>
            <w:r w:rsidRPr="008E551C">
              <w:rPr>
                <w:rFonts w:asciiTheme="majorHAnsi" w:hAnsiTheme="majorHAnsi" w:cstheme="majorHAnsi"/>
                <w:sz w:val="18"/>
                <w:szCs w:val="18"/>
                <w:vertAlign w:val="superscript"/>
                <w:lang w:val="ro-RO"/>
              </w:rPr>
              <w:t>1</w:t>
            </w:r>
            <w:r w:rsidRPr="008E551C">
              <w:rPr>
                <w:rFonts w:asciiTheme="majorHAnsi" w:hAnsiTheme="majorHAnsi" w:cstheme="majorHAnsi"/>
                <w:sz w:val="18"/>
                <w:szCs w:val="18"/>
                <w:lang w:val="ro-RO"/>
              </w:rPr>
              <w:t xml:space="preserve"> și pct. 65 din SNC „Capital propriu și datorii”</w:t>
            </w:r>
          </w:p>
        </w:tc>
        <w:tc>
          <w:tcPr>
            <w:tcW w:w="3060" w:type="dxa"/>
          </w:tcPr>
          <w:p w14:paraId="6564EC0D" w14:textId="77777777" w:rsidR="000F4356" w:rsidRPr="008E551C" w:rsidRDefault="000F4356" w:rsidP="00CE3DB1">
            <w:pPr>
              <w:ind w:right="35"/>
              <w:jc w:val="both"/>
              <w:rPr>
                <w:rFonts w:asciiTheme="majorHAnsi" w:eastAsia="Times New Roman" w:hAnsiTheme="majorHAnsi" w:cstheme="majorHAnsi"/>
                <w:sz w:val="18"/>
                <w:szCs w:val="18"/>
              </w:rPr>
            </w:pPr>
            <w:r w:rsidRPr="008E551C">
              <w:rPr>
                <w:rFonts w:asciiTheme="majorHAnsi" w:eastAsia="Times New Roman" w:hAnsiTheme="majorHAnsi" w:cstheme="majorHAnsi"/>
                <w:sz w:val="18"/>
                <w:szCs w:val="18"/>
                <w:lang w:val="ro-RO"/>
              </w:rPr>
              <w:t>- r</w:t>
            </w:r>
            <w:r w:rsidRPr="008E551C">
              <w:rPr>
                <w:rFonts w:asciiTheme="majorHAnsi" w:eastAsia="Times New Roman" w:hAnsiTheme="majorHAnsi" w:cstheme="majorHAnsi"/>
                <w:sz w:val="18"/>
                <w:szCs w:val="18"/>
              </w:rPr>
              <w:t>reconcilierea datelor din Anexa nr. 14 la Regulamentul cu privire la Registrul patrimoniului public, aprobat prin HG 675/2008 cu datele înregistrate la OCT.</w:t>
            </w:r>
          </w:p>
          <w:p w14:paraId="6BC0A914" w14:textId="77777777" w:rsidR="000F4356" w:rsidRPr="008E551C" w:rsidRDefault="000F4356" w:rsidP="00CE3DB1">
            <w:pPr>
              <w:ind w:right="35"/>
              <w:jc w:val="both"/>
              <w:rPr>
                <w:rFonts w:asciiTheme="majorHAnsi" w:eastAsia="Times New Roman" w:hAnsiTheme="majorHAnsi" w:cstheme="majorHAnsi"/>
                <w:sz w:val="18"/>
                <w:szCs w:val="18"/>
              </w:rPr>
            </w:pPr>
            <w:r w:rsidRPr="008E551C">
              <w:rPr>
                <w:rFonts w:asciiTheme="majorHAnsi" w:eastAsia="Times New Roman" w:hAnsiTheme="majorHAnsi" w:cstheme="majorHAnsi"/>
                <w:sz w:val="18"/>
                <w:szCs w:val="18"/>
              </w:rPr>
              <w:t>- analiza datelor din evidența contabilă privind înregistrarea imobilelor și terenurilor la CS și IP.</w:t>
            </w:r>
          </w:p>
          <w:p w14:paraId="592355DB" w14:textId="77777777" w:rsidR="000F4356" w:rsidRPr="008E551C" w:rsidRDefault="000F4356" w:rsidP="00CE3DB1">
            <w:pPr>
              <w:ind w:right="35"/>
              <w:jc w:val="both"/>
              <w:rPr>
                <w:rFonts w:asciiTheme="majorHAnsi" w:hAnsiTheme="majorHAnsi" w:cstheme="majorHAnsi"/>
                <w:sz w:val="18"/>
                <w:szCs w:val="18"/>
              </w:rPr>
            </w:pPr>
            <w:r w:rsidRPr="008E551C">
              <w:rPr>
                <w:rFonts w:asciiTheme="majorHAnsi" w:hAnsiTheme="majorHAnsi" w:cstheme="majorHAnsi"/>
                <w:sz w:val="18"/>
                <w:szCs w:val="18"/>
              </w:rPr>
              <w:t>- analiza rapoartelor financiare consolidate ale CS.</w:t>
            </w:r>
          </w:p>
        </w:tc>
        <w:tc>
          <w:tcPr>
            <w:tcW w:w="1917" w:type="dxa"/>
          </w:tcPr>
          <w:p w14:paraId="3BA19A7C"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100%</w:t>
            </w:r>
          </w:p>
        </w:tc>
      </w:tr>
      <w:tr w:rsidR="000F4356" w:rsidRPr="008E551C" w14:paraId="656FC36E" w14:textId="77777777" w:rsidTr="003D1FA7">
        <w:trPr>
          <w:trHeight w:val="1007"/>
        </w:trPr>
        <w:tc>
          <w:tcPr>
            <w:tcW w:w="1975" w:type="dxa"/>
          </w:tcPr>
          <w:p w14:paraId="2622DA68" w14:textId="77777777" w:rsidR="000F4356" w:rsidRPr="008E551C" w:rsidRDefault="000F4356" w:rsidP="00CE3DB1">
            <w:pPr>
              <w:tabs>
                <w:tab w:val="left" w:pos="270"/>
                <w:tab w:val="left" w:pos="360"/>
                <w:tab w:val="left" w:pos="450"/>
              </w:tabs>
              <w:jc w:val="both"/>
              <w:rPr>
                <w:rFonts w:asciiTheme="majorHAnsi" w:hAnsiTheme="majorHAnsi" w:cstheme="majorHAnsi"/>
                <w:sz w:val="18"/>
                <w:szCs w:val="18"/>
              </w:rPr>
            </w:pPr>
            <w:r w:rsidRPr="008E551C">
              <w:rPr>
                <w:rFonts w:asciiTheme="majorHAnsi" w:hAnsiTheme="majorHAnsi" w:cstheme="majorHAnsi"/>
                <w:sz w:val="18"/>
                <w:szCs w:val="18"/>
              </w:rPr>
              <w:t>4.3.2.</w:t>
            </w:r>
            <w:r w:rsidRPr="008E551C">
              <w:rPr>
                <w:rFonts w:asciiTheme="majorHAnsi" w:hAnsiTheme="majorHAnsi" w:cstheme="majorHAnsi"/>
                <w:sz w:val="18"/>
                <w:szCs w:val="18"/>
              </w:rPr>
              <w:tab/>
              <w:t>Nereguli în gestionarea patrimoniului public de către CS și instituțiile publice monitorizate:</w:t>
            </w:r>
          </w:p>
          <w:p w14:paraId="22218FB7" w14:textId="77777777" w:rsidR="000F4356" w:rsidRPr="008E551C" w:rsidRDefault="000F4356" w:rsidP="00CE3DB1">
            <w:pPr>
              <w:tabs>
                <w:tab w:val="left" w:pos="270"/>
                <w:tab w:val="left" w:pos="360"/>
                <w:tab w:val="left" w:pos="450"/>
              </w:tabs>
              <w:jc w:val="both"/>
              <w:rPr>
                <w:rFonts w:asciiTheme="majorHAnsi" w:hAnsiTheme="majorHAnsi" w:cstheme="majorHAnsi"/>
                <w:sz w:val="18"/>
                <w:szCs w:val="18"/>
              </w:rPr>
            </w:pPr>
            <w:r w:rsidRPr="008E551C">
              <w:rPr>
                <w:rFonts w:asciiTheme="majorHAnsi" w:hAnsiTheme="majorHAnsi" w:cstheme="majorHAnsi"/>
                <w:sz w:val="18"/>
                <w:szCs w:val="18"/>
              </w:rPr>
              <w:t>(i)</w:t>
            </w:r>
            <w:r w:rsidRPr="008E551C">
              <w:rPr>
                <w:rFonts w:asciiTheme="majorHAnsi" w:hAnsiTheme="majorHAnsi" w:cstheme="majorHAnsi"/>
                <w:sz w:val="18"/>
                <w:szCs w:val="18"/>
              </w:rPr>
              <w:tab/>
              <w:t>DGACG în comun CS nu au asigurat buna gestiune a bazelor de odihnă, proprietate publică de stat</w:t>
            </w:r>
          </w:p>
        </w:tc>
        <w:tc>
          <w:tcPr>
            <w:tcW w:w="3412" w:type="dxa"/>
          </w:tcPr>
          <w:p w14:paraId="7C932157" w14:textId="46BE1DFA"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Legea contabil</w:t>
            </w:r>
            <w:r w:rsidR="007B6F94" w:rsidRPr="008E551C">
              <w:rPr>
                <w:rFonts w:asciiTheme="majorHAnsi" w:hAnsiTheme="majorHAnsi" w:cstheme="majorHAnsi"/>
                <w:sz w:val="18"/>
                <w:szCs w:val="18"/>
                <w:lang w:val="ro-RO"/>
              </w:rPr>
              <w:t>ității</w:t>
            </w:r>
            <w:r w:rsidRPr="008E551C">
              <w:rPr>
                <w:rFonts w:asciiTheme="majorHAnsi" w:hAnsiTheme="majorHAnsi" w:cstheme="majorHAnsi"/>
                <w:sz w:val="18"/>
                <w:szCs w:val="18"/>
                <w:lang w:val="ro-RO"/>
              </w:rPr>
              <w:t xml:space="preserve"> nr. 113/2007;</w:t>
            </w:r>
          </w:p>
          <w:p w14:paraId="3372F9D9"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HG 587/2017</w:t>
            </w:r>
            <w:r w:rsidRPr="008E551C">
              <w:rPr>
                <w:sz w:val="18"/>
                <w:szCs w:val="18"/>
              </w:rPr>
              <w:t xml:space="preserve"> </w:t>
            </w:r>
            <w:r w:rsidRPr="008E551C">
              <w:rPr>
                <w:rFonts w:asciiTheme="majorHAnsi" w:hAnsiTheme="majorHAnsi" w:cstheme="majorHAnsi"/>
                <w:sz w:val="18"/>
                <w:szCs w:val="18"/>
                <w:lang w:val="ro-RO"/>
              </w:rPr>
              <w:t>cu privire la transmiterea unor bunuri, părți sociale deținute în unele societăți comerciale și reorganizarea unei persoane Juridice, precum și modificările ulterioare;</w:t>
            </w:r>
          </w:p>
          <w:p w14:paraId="5CE7BB65"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Ordin MF nr. 216/2015</w:t>
            </w:r>
            <w:r w:rsidRPr="008E551C">
              <w:rPr>
                <w:sz w:val="18"/>
                <w:szCs w:val="18"/>
              </w:rPr>
              <w:t xml:space="preserve"> </w:t>
            </w:r>
            <w:r w:rsidRPr="008E551C">
              <w:rPr>
                <w:rFonts w:asciiTheme="majorHAnsi" w:hAnsiTheme="majorHAnsi" w:cstheme="majorHAnsi"/>
                <w:sz w:val="18"/>
                <w:szCs w:val="18"/>
                <w:lang w:val="ro-RO"/>
              </w:rPr>
              <w:t>Planul de conturi contabile în sistemul bugetar și Normele metodologice privind evidența contabilă și raportarea financiară în sistemul bugetar</w:t>
            </w:r>
          </w:p>
        </w:tc>
        <w:tc>
          <w:tcPr>
            <w:tcW w:w="3060" w:type="dxa"/>
          </w:tcPr>
          <w:p w14:paraId="410CE90F"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Analiza:</w:t>
            </w:r>
          </w:p>
          <w:p w14:paraId="2755B659"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Darea de seama prind bunurile imobile proprietate publică a statului;</w:t>
            </w:r>
          </w:p>
          <w:p w14:paraId="1E413C44"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informația din SI e-Cadastru;</w:t>
            </w:r>
          </w:p>
          <w:p w14:paraId="47B1BE91"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observații la fata locului;</w:t>
            </w:r>
          </w:p>
          <w:p w14:paraId="08E88D8E"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datele din evidența contabilă privind clădirile și terenurile aferente bazelor de odihnă.</w:t>
            </w:r>
          </w:p>
        </w:tc>
        <w:tc>
          <w:tcPr>
            <w:tcW w:w="1917" w:type="dxa"/>
          </w:tcPr>
          <w:p w14:paraId="5C8B41FF"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100% toate bunurile gestionate și contabilizate aferente bazelor de odihnă.</w:t>
            </w:r>
          </w:p>
        </w:tc>
      </w:tr>
      <w:tr w:rsidR="000F4356" w:rsidRPr="008E551C" w14:paraId="4DC0B303" w14:textId="77777777" w:rsidTr="003D1FA7">
        <w:trPr>
          <w:trHeight w:val="1565"/>
        </w:trPr>
        <w:tc>
          <w:tcPr>
            <w:tcW w:w="1975" w:type="dxa"/>
          </w:tcPr>
          <w:p w14:paraId="0BA92D1A" w14:textId="38175EC6" w:rsidR="000F4356" w:rsidRPr="008E551C" w:rsidRDefault="000F4356" w:rsidP="00CE3DB1">
            <w:pPr>
              <w:tabs>
                <w:tab w:val="left" w:pos="270"/>
                <w:tab w:val="left" w:pos="360"/>
                <w:tab w:val="left" w:pos="450"/>
              </w:tabs>
              <w:jc w:val="both"/>
              <w:rPr>
                <w:rFonts w:asciiTheme="majorHAnsi" w:hAnsiTheme="majorHAnsi" w:cstheme="majorHAnsi"/>
                <w:sz w:val="18"/>
                <w:szCs w:val="18"/>
              </w:rPr>
            </w:pPr>
            <w:r w:rsidRPr="008E551C">
              <w:rPr>
                <w:rFonts w:asciiTheme="majorHAnsi" w:hAnsiTheme="majorHAnsi" w:cstheme="majorHAnsi"/>
                <w:sz w:val="18"/>
                <w:szCs w:val="18"/>
              </w:rPr>
              <w:t>(ii)</w:t>
            </w:r>
            <w:r w:rsidRPr="008E551C">
              <w:rPr>
                <w:rFonts w:asciiTheme="majorHAnsi" w:hAnsiTheme="majorHAnsi" w:cstheme="majorHAnsi"/>
                <w:sz w:val="18"/>
                <w:szCs w:val="18"/>
              </w:rPr>
              <w:tab/>
              <w:t>Există deficiențe și în administrarea bunurilor bazei de odihnă „IT-Relax” generate atât de disonanțele prevederilor actului normativ cu referire la acest obiectiv cât și de tergiversarea întreprinderii unor acțiuni prompte din partea DGACG și</w:t>
            </w:r>
            <w:r w:rsidR="00BA69A9" w:rsidRPr="008E551C">
              <w:rPr>
                <w:rFonts w:asciiTheme="majorHAnsi" w:hAnsiTheme="majorHAnsi" w:cstheme="majorHAnsi"/>
                <w:sz w:val="18"/>
                <w:szCs w:val="18"/>
              </w:rPr>
              <w:t xml:space="preserve"> </w:t>
            </w:r>
            <w:r w:rsidRPr="008E551C">
              <w:rPr>
                <w:rFonts w:asciiTheme="majorHAnsi" w:hAnsiTheme="majorHAnsi" w:cstheme="majorHAnsi"/>
                <w:sz w:val="18"/>
                <w:szCs w:val="18"/>
              </w:rPr>
              <w:t>CS</w:t>
            </w:r>
          </w:p>
        </w:tc>
        <w:tc>
          <w:tcPr>
            <w:tcW w:w="3412" w:type="dxa"/>
          </w:tcPr>
          <w:p w14:paraId="743405A0" w14:textId="77777777" w:rsidR="000F4356" w:rsidRPr="008E551C" w:rsidRDefault="000F4356" w:rsidP="00CE3DB1">
            <w:pPr>
              <w:pStyle w:val="a3"/>
              <w:tabs>
                <w:tab w:val="left" w:pos="246"/>
              </w:tabs>
              <w:contextualSpacing/>
              <w:jc w:val="both"/>
              <w:rPr>
                <w:rFonts w:asciiTheme="majorHAnsi" w:hAnsiTheme="majorHAnsi" w:cstheme="majorHAnsi"/>
                <w:sz w:val="18"/>
                <w:szCs w:val="18"/>
              </w:rPr>
            </w:pPr>
            <w:r w:rsidRPr="008E551C">
              <w:rPr>
                <w:rFonts w:asciiTheme="majorHAnsi" w:hAnsiTheme="majorHAnsi" w:cstheme="majorHAnsi"/>
                <w:sz w:val="18"/>
                <w:szCs w:val="18"/>
              </w:rPr>
              <w:t>- HG 587/2017 cu privire la transmiterea unor bunuri, părți sociale deținute în unele societăți comerciale și reorganizarea unei persoane Juridice, precum și modificările ulterioare;</w:t>
            </w:r>
          </w:p>
          <w:p w14:paraId="0AC8BA66" w14:textId="77777777" w:rsidR="000F4356" w:rsidRPr="008E551C" w:rsidRDefault="000F4356" w:rsidP="00CE3DB1">
            <w:pPr>
              <w:pStyle w:val="a3"/>
              <w:tabs>
                <w:tab w:val="left" w:pos="246"/>
              </w:tabs>
              <w:contextualSpacing/>
              <w:jc w:val="both"/>
              <w:rPr>
                <w:rFonts w:asciiTheme="majorHAnsi" w:hAnsiTheme="majorHAnsi" w:cstheme="majorHAnsi"/>
                <w:sz w:val="18"/>
                <w:szCs w:val="18"/>
              </w:rPr>
            </w:pPr>
            <w:r w:rsidRPr="008E551C">
              <w:rPr>
                <w:rFonts w:asciiTheme="majorHAnsi" w:hAnsiTheme="majorHAnsi" w:cstheme="majorHAnsi"/>
                <w:sz w:val="18"/>
                <w:szCs w:val="18"/>
              </w:rPr>
              <w:t>- art. 14 alin. (3) și art. 24, alin. (3), lit. a) din Legea 1543 din 25.02.1998 cadastru bunurilor imobile;</w:t>
            </w:r>
          </w:p>
          <w:p w14:paraId="51A3847D" w14:textId="77777777" w:rsidR="000F4356" w:rsidRPr="008E551C" w:rsidRDefault="000F4356" w:rsidP="00CE3DB1">
            <w:pPr>
              <w:pStyle w:val="a3"/>
              <w:tabs>
                <w:tab w:val="left" w:pos="246"/>
              </w:tabs>
              <w:contextualSpacing/>
              <w:jc w:val="both"/>
              <w:rPr>
                <w:rFonts w:asciiTheme="majorHAnsi" w:hAnsiTheme="majorHAnsi" w:cstheme="majorHAnsi"/>
                <w:sz w:val="18"/>
                <w:szCs w:val="18"/>
              </w:rPr>
            </w:pPr>
            <w:r w:rsidRPr="008E551C">
              <w:rPr>
                <w:rFonts w:asciiTheme="majorHAnsi" w:hAnsiTheme="majorHAnsi" w:cstheme="majorHAnsi"/>
                <w:sz w:val="18"/>
                <w:szCs w:val="18"/>
              </w:rPr>
              <w:t>- pct. 3.3.1 din Ordinul 216/2015 cu privire la aprobarea Planului de conturi contabile în sistemul bugetar și a Normelor metodologice privind evidența contabilă și raportarea financiară în sistemul buget</w:t>
            </w:r>
          </w:p>
        </w:tc>
        <w:tc>
          <w:tcPr>
            <w:tcW w:w="3060" w:type="dxa"/>
          </w:tcPr>
          <w:p w14:paraId="091E9A69" w14:textId="77777777" w:rsidR="000F4356" w:rsidRPr="008E551C" w:rsidRDefault="000F4356" w:rsidP="00CE3DB1">
            <w:pPr>
              <w:ind w:right="35"/>
              <w:jc w:val="both"/>
              <w:rPr>
                <w:rFonts w:asciiTheme="majorHAnsi" w:hAnsiTheme="majorHAnsi" w:cstheme="majorHAnsi"/>
                <w:sz w:val="18"/>
                <w:szCs w:val="18"/>
              </w:rPr>
            </w:pPr>
            <w:r w:rsidRPr="008E551C">
              <w:rPr>
                <w:rFonts w:asciiTheme="majorHAnsi" w:hAnsiTheme="majorHAnsi" w:cstheme="majorHAnsi"/>
                <w:sz w:val="18"/>
                <w:szCs w:val="18"/>
              </w:rPr>
              <w:t>Analiza:</w:t>
            </w:r>
          </w:p>
          <w:p w14:paraId="7616704E" w14:textId="77777777" w:rsidR="000F4356" w:rsidRPr="008E551C" w:rsidRDefault="000F4356" w:rsidP="00CE3DB1">
            <w:pPr>
              <w:ind w:right="35"/>
              <w:jc w:val="both"/>
              <w:rPr>
                <w:rFonts w:asciiTheme="majorHAnsi" w:hAnsiTheme="majorHAnsi" w:cstheme="majorHAnsi"/>
                <w:sz w:val="18"/>
                <w:szCs w:val="18"/>
              </w:rPr>
            </w:pPr>
            <w:r w:rsidRPr="008E551C">
              <w:rPr>
                <w:rFonts w:asciiTheme="majorHAnsi" w:hAnsiTheme="majorHAnsi" w:cstheme="majorHAnsi"/>
                <w:sz w:val="18"/>
                <w:szCs w:val="18"/>
              </w:rPr>
              <w:t>- Darea de seama prind bunurile imobile proprietate publică a statului;</w:t>
            </w:r>
          </w:p>
          <w:p w14:paraId="55DF4916" w14:textId="77777777" w:rsidR="000F4356" w:rsidRPr="008E551C" w:rsidRDefault="000F4356" w:rsidP="00CE3DB1">
            <w:pPr>
              <w:ind w:right="35"/>
              <w:jc w:val="both"/>
              <w:rPr>
                <w:rFonts w:asciiTheme="majorHAnsi" w:hAnsiTheme="majorHAnsi" w:cstheme="majorHAnsi"/>
                <w:sz w:val="18"/>
                <w:szCs w:val="18"/>
              </w:rPr>
            </w:pPr>
            <w:r w:rsidRPr="008E551C">
              <w:rPr>
                <w:rFonts w:asciiTheme="majorHAnsi" w:hAnsiTheme="majorHAnsi" w:cstheme="majorHAnsi"/>
                <w:sz w:val="18"/>
                <w:szCs w:val="18"/>
              </w:rPr>
              <w:t>- informația din SI e-Cadastru;</w:t>
            </w:r>
          </w:p>
          <w:p w14:paraId="7203A86E" w14:textId="77777777" w:rsidR="000F4356" w:rsidRPr="008E551C" w:rsidRDefault="000F4356" w:rsidP="00CE3DB1">
            <w:pPr>
              <w:ind w:right="35"/>
              <w:jc w:val="both"/>
              <w:rPr>
                <w:rFonts w:asciiTheme="majorHAnsi" w:hAnsiTheme="majorHAnsi" w:cstheme="majorHAnsi"/>
                <w:sz w:val="18"/>
                <w:szCs w:val="18"/>
              </w:rPr>
            </w:pPr>
            <w:r w:rsidRPr="008E551C">
              <w:rPr>
                <w:rFonts w:asciiTheme="majorHAnsi" w:hAnsiTheme="majorHAnsi" w:cstheme="majorHAnsi"/>
                <w:sz w:val="18"/>
                <w:szCs w:val="18"/>
              </w:rPr>
              <w:t>- observații la fata locului;</w:t>
            </w:r>
          </w:p>
          <w:p w14:paraId="11618331" w14:textId="77777777" w:rsidR="000F4356" w:rsidRPr="008E551C" w:rsidRDefault="000F4356" w:rsidP="00CE3DB1">
            <w:pPr>
              <w:ind w:right="35"/>
              <w:jc w:val="both"/>
              <w:rPr>
                <w:rFonts w:asciiTheme="majorHAnsi" w:hAnsiTheme="majorHAnsi" w:cstheme="majorHAnsi"/>
                <w:sz w:val="18"/>
                <w:szCs w:val="18"/>
              </w:rPr>
            </w:pPr>
            <w:r w:rsidRPr="008E551C">
              <w:rPr>
                <w:rFonts w:asciiTheme="majorHAnsi" w:hAnsiTheme="majorHAnsi" w:cstheme="majorHAnsi"/>
                <w:sz w:val="18"/>
                <w:szCs w:val="18"/>
              </w:rPr>
              <w:t>- toate documentele existente până la moment, aferente procedurii de lichidare bazei de odihnă „IT-Relax”</w:t>
            </w:r>
          </w:p>
        </w:tc>
        <w:tc>
          <w:tcPr>
            <w:tcW w:w="1917" w:type="dxa"/>
          </w:tcPr>
          <w:p w14:paraId="64F2B2C2"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100 % toate imobilele care aparțin bazei de odihnă „IT-Relax”.</w:t>
            </w:r>
          </w:p>
        </w:tc>
      </w:tr>
      <w:tr w:rsidR="000F4356" w:rsidRPr="008E551C" w14:paraId="68D2ACD5" w14:textId="77777777" w:rsidTr="008E551C">
        <w:trPr>
          <w:trHeight w:val="1272"/>
        </w:trPr>
        <w:tc>
          <w:tcPr>
            <w:tcW w:w="1975" w:type="dxa"/>
          </w:tcPr>
          <w:p w14:paraId="74A06190" w14:textId="77777777" w:rsidR="000F4356" w:rsidRPr="008E551C" w:rsidRDefault="000F4356" w:rsidP="00CE3DB1">
            <w:pPr>
              <w:tabs>
                <w:tab w:val="left" w:pos="270"/>
                <w:tab w:val="left" w:pos="360"/>
                <w:tab w:val="left" w:pos="450"/>
              </w:tabs>
              <w:jc w:val="both"/>
              <w:rPr>
                <w:rFonts w:asciiTheme="majorHAnsi" w:hAnsiTheme="majorHAnsi" w:cstheme="majorHAnsi"/>
                <w:sz w:val="18"/>
                <w:szCs w:val="18"/>
              </w:rPr>
            </w:pPr>
            <w:r w:rsidRPr="008E551C">
              <w:rPr>
                <w:rFonts w:asciiTheme="majorHAnsi" w:hAnsiTheme="majorHAnsi" w:cstheme="majorHAnsi"/>
                <w:sz w:val="18"/>
                <w:szCs w:val="18"/>
              </w:rPr>
              <w:t>(iii)</w:t>
            </w:r>
            <w:r w:rsidRPr="008E551C">
              <w:rPr>
                <w:rFonts w:asciiTheme="majorHAnsi" w:hAnsiTheme="majorHAnsi" w:cstheme="majorHAnsi"/>
                <w:sz w:val="18"/>
                <w:szCs w:val="18"/>
              </w:rPr>
              <w:tab/>
              <w:t>Aspecte defectuoase la gestionarea terenurilor din fondul forestier a statului cu suprafața de 24,8 ha transmise de CS în administrare fiduciară unui agent economic</w:t>
            </w:r>
          </w:p>
        </w:tc>
        <w:tc>
          <w:tcPr>
            <w:tcW w:w="3412" w:type="dxa"/>
          </w:tcPr>
          <w:p w14:paraId="47CBCB98"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HG nr. 759/2004 cu privire la transmiterea unor terenuri;</w:t>
            </w:r>
          </w:p>
          <w:p w14:paraId="704E70D7"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HG nr. 666/2002 cu privire la transmiterea unor terenuri;</w:t>
            </w:r>
          </w:p>
          <w:p w14:paraId="0C4BD428"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Legea 440 din 27.04.1995 cu privire la zonele și fășiile de protecție a apelor, râurilor și bazinelor de apă, redacția din perioadei 2004-2022.</w:t>
            </w:r>
          </w:p>
          <w:p w14:paraId="5416B34F"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art. 14 din Legea 440/1995;</w:t>
            </w:r>
          </w:p>
          <w:p w14:paraId="05E9C10F"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art. 41 - (1) din Legea 1515/1993 privind protecția mediului înconjurător;</w:t>
            </w:r>
          </w:p>
          <w:p w14:paraId="73A00A61"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art. 15 din Codul funciar</w:t>
            </w:r>
            <w:r w:rsidRPr="008E551C">
              <w:rPr>
                <w:sz w:val="18"/>
                <w:szCs w:val="18"/>
              </w:rPr>
              <w:t xml:space="preserve"> </w:t>
            </w:r>
            <w:r w:rsidRPr="008E551C">
              <w:rPr>
                <w:rFonts w:asciiTheme="majorHAnsi" w:hAnsiTheme="majorHAnsi" w:cstheme="majorHAnsi"/>
                <w:sz w:val="18"/>
                <w:szCs w:val="18"/>
                <w:lang w:val="ro-RO"/>
              </w:rPr>
              <w:t>nr. 828 din 25.12.1991;</w:t>
            </w:r>
          </w:p>
          <w:p w14:paraId="5DBB1257"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art.-le 77 alin. (2),78 alin.(2) și 79 din Codul silvic</w:t>
            </w:r>
            <w:r w:rsidRPr="008E551C">
              <w:rPr>
                <w:sz w:val="18"/>
                <w:szCs w:val="18"/>
              </w:rPr>
              <w:t xml:space="preserve"> </w:t>
            </w:r>
            <w:r w:rsidRPr="008E551C">
              <w:rPr>
                <w:rFonts w:asciiTheme="majorHAnsi" w:hAnsiTheme="majorHAnsi" w:cstheme="majorHAnsi"/>
                <w:sz w:val="18"/>
                <w:szCs w:val="18"/>
                <w:lang w:val="ro-RO"/>
              </w:rPr>
              <w:t>nr. 887 din 21.01.1996;</w:t>
            </w:r>
          </w:p>
          <w:p w14:paraId="6CBB6B0B"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HG nr. 187/2008</w:t>
            </w:r>
            <w:r w:rsidRPr="008E551C">
              <w:rPr>
                <w:sz w:val="18"/>
                <w:szCs w:val="18"/>
              </w:rPr>
              <w:t xml:space="preserve"> </w:t>
            </w:r>
            <w:r w:rsidRPr="008E551C">
              <w:rPr>
                <w:rFonts w:asciiTheme="majorHAnsi" w:hAnsiTheme="majorHAnsi" w:cstheme="majorHAnsi"/>
                <w:sz w:val="18"/>
                <w:szCs w:val="18"/>
                <w:lang w:val="ro-RO"/>
              </w:rPr>
              <w:t>pentru aprobarea Regulamentului privind atribuirea în folosință a terenurilor din fondul forestier în scopuri de gospodărire cinegetică și/sau de recreere.</w:t>
            </w:r>
          </w:p>
        </w:tc>
        <w:tc>
          <w:tcPr>
            <w:tcW w:w="3060" w:type="dxa"/>
          </w:tcPr>
          <w:p w14:paraId="6D068439"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Observații la fața locului.</w:t>
            </w:r>
          </w:p>
          <w:p w14:paraId="2E0B6908"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Analiza dosarului privind transmiterea de CS în administrare fiduciară unui agent economic.</w:t>
            </w:r>
          </w:p>
          <w:p w14:paraId="06C92829"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Analiza datelor din SI e-Cadastru</w:t>
            </w:r>
          </w:p>
        </w:tc>
        <w:tc>
          <w:tcPr>
            <w:tcW w:w="1917" w:type="dxa"/>
          </w:tcPr>
          <w:p w14:paraId="6E164E9C"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100%</w:t>
            </w:r>
          </w:p>
        </w:tc>
      </w:tr>
      <w:tr w:rsidR="000F4356" w:rsidRPr="008E551C" w14:paraId="69CA8B88" w14:textId="77777777" w:rsidTr="003D1FA7">
        <w:trPr>
          <w:trHeight w:val="1565"/>
        </w:trPr>
        <w:tc>
          <w:tcPr>
            <w:tcW w:w="1975" w:type="dxa"/>
          </w:tcPr>
          <w:p w14:paraId="753D5273" w14:textId="77777777" w:rsidR="000F4356" w:rsidRPr="008E551C" w:rsidRDefault="000F4356" w:rsidP="00CE3DB1">
            <w:pPr>
              <w:tabs>
                <w:tab w:val="left" w:pos="270"/>
                <w:tab w:val="left" w:pos="360"/>
                <w:tab w:val="left" w:pos="450"/>
              </w:tabs>
              <w:jc w:val="both"/>
              <w:rPr>
                <w:rFonts w:asciiTheme="majorHAnsi" w:hAnsiTheme="majorHAnsi" w:cstheme="majorHAnsi"/>
                <w:sz w:val="18"/>
                <w:szCs w:val="18"/>
              </w:rPr>
            </w:pPr>
            <w:r w:rsidRPr="008E551C">
              <w:rPr>
                <w:rFonts w:asciiTheme="majorHAnsi" w:hAnsiTheme="majorHAnsi" w:cstheme="majorHAnsi"/>
                <w:sz w:val="18"/>
                <w:szCs w:val="18"/>
              </w:rPr>
              <w:t>(iv)</w:t>
            </w:r>
            <w:r w:rsidRPr="008E551C">
              <w:rPr>
                <w:rFonts w:asciiTheme="majorHAnsi" w:hAnsiTheme="majorHAnsi" w:cstheme="majorHAnsi"/>
                <w:sz w:val="18"/>
                <w:szCs w:val="18"/>
              </w:rPr>
              <w:tab/>
              <w:t>Înstrăinarea ilegală a unor spații amplasate în imobilele gestionate de către DGACG</w:t>
            </w:r>
          </w:p>
        </w:tc>
        <w:tc>
          <w:tcPr>
            <w:tcW w:w="3412" w:type="dxa"/>
          </w:tcPr>
          <w:p w14:paraId="4C90F545"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Art. 22, alin. (11), lit. a) din Legea nr. 121 din 04.05.207 privind administrarea și deetatizarea proprietății publice și pct. 3 lit. a)din Regulamentul cu privire la modul de privatizare a încăperilor nelocuibile date în locațiune aprobat prin HG nr. 468 din 25 martie 2008.</w:t>
            </w:r>
          </w:p>
        </w:tc>
        <w:tc>
          <w:tcPr>
            <w:tcW w:w="3060" w:type="dxa"/>
          </w:tcPr>
          <w:p w14:paraId="701E3CB1"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Analiza și studierea:</w:t>
            </w:r>
          </w:p>
          <w:p w14:paraId="530B5054"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Darea de seama prind bunurile imobile proprietate publică a statului; - - Contracte de vânzare-cumpărare imobil;</w:t>
            </w:r>
          </w:p>
          <w:p w14:paraId="7415946F"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Acte de examinare a bunului.</w:t>
            </w:r>
          </w:p>
          <w:p w14:paraId="7AEC5211" w14:textId="77777777" w:rsidR="000F4356" w:rsidRPr="008E551C" w:rsidRDefault="000F4356" w:rsidP="00CE3DB1">
            <w:pPr>
              <w:ind w:right="35"/>
              <w:jc w:val="both"/>
              <w:rPr>
                <w:rFonts w:asciiTheme="majorHAnsi" w:hAnsiTheme="majorHAnsi" w:cstheme="majorHAnsi"/>
                <w:sz w:val="18"/>
                <w:szCs w:val="18"/>
                <w:lang w:val="ro-RO"/>
              </w:rPr>
            </w:pPr>
          </w:p>
        </w:tc>
        <w:tc>
          <w:tcPr>
            <w:tcW w:w="1917" w:type="dxa"/>
          </w:tcPr>
          <w:p w14:paraId="57155E2B"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xml:space="preserve">100% </w:t>
            </w:r>
          </w:p>
        </w:tc>
      </w:tr>
      <w:tr w:rsidR="000F4356" w:rsidRPr="008E551C" w14:paraId="7B90CB07" w14:textId="77777777" w:rsidTr="003D1FA7">
        <w:trPr>
          <w:trHeight w:val="1565"/>
        </w:trPr>
        <w:tc>
          <w:tcPr>
            <w:tcW w:w="1975" w:type="dxa"/>
          </w:tcPr>
          <w:p w14:paraId="1A57E089" w14:textId="6D8AD015" w:rsidR="000F4356" w:rsidRPr="008E551C" w:rsidRDefault="000F4356" w:rsidP="00CE3DB1">
            <w:pPr>
              <w:tabs>
                <w:tab w:val="left" w:pos="270"/>
                <w:tab w:val="left" w:pos="360"/>
                <w:tab w:val="left" w:pos="450"/>
              </w:tabs>
              <w:jc w:val="both"/>
              <w:rPr>
                <w:rFonts w:asciiTheme="majorHAnsi" w:hAnsiTheme="majorHAnsi" w:cstheme="majorHAnsi"/>
                <w:sz w:val="18"/>
                <w:szCs w:val="18"/>
              </w:rPr>
            </w:pPr>
            <w:r w:rsidRPr="008E551C">
              <w:rPr>
                <w:rFonts w:asciiTheme="majorHAnsi" w:hAnsiTheme="majorHAnsi" w:cstheme="majorHAnsi"/>
                <w:sz w:val="18"/>
                <w:szCs w:val="18"/>
              </w:rPr>
              <w:t>(v)</w:t>
            </w:r>
            <w:r w:rsidRPr="008E551C">
              <w:rPr>
                <w:rFonts w:asciiTheme="majorHAnsi" w:hAnsiTheme="majorHAnsi" w:cstheme="majorHAnsi"/>
                <w:sz w:val="18"/>
                <w:szCs w:val="18"/>
              </w:rPr>
              <w:tab/>
              <w:t>Problematici privind legiferarea de către unele entități a dreptului de proprietar a imobilelor, gestionate anterior de I</w:t>
            </w:r>
            <w:r w:rsidR="00F11CE0" w:rsidRPr="008E551C">
              <w:rPr>
                <w:rFonts w:asciiTheme="majorHAnsi" w:hAnsiTheme="majorHAnsi" w:cstheme="majorHAnsi"/>
                <w:sz w:val="18"/>
                <w:szCs w:val="18"/>
              </w:rPr>
              <w:t>.</w:t>
            </w:r>
            <w:r w:rsidRPr="008E551C">
              <w:rPr>
                <w:rFonts w:asciiTheme="majorHAnsi" w:hAnsiTheme="majorHAnsi" w:cstheme="majorHAnsi"/>
                <w:sz w:val="18"/>
                <w:szCs w:val="18"/>
              </w:rPr>
              <w:t>P</w:t>
            </w:r>
            <w:r w:rsidR="00F11CE0" w:rsidRPr="008E551C">
              <w:rPr>
                <w:rFonts w:asciiTheme="majorHAnsi" w:hAnsiTheme="majorHAnsi" w:cstheme="majorHAnsi"/>
                <w:sz w:val="18"/>
                <w:szCs w:val="18"/>
              </w:rPr>
              <w:t>.</w:t>
            </w:r>
            <w:r w:rsidRPr="008E551C">
              <w:rPr>
                <w:rFonts w:asciiTheme="majorHAnsi" w:hAnsiTheme="majorHAnsi" w:cstheme="majorHAnsi"/>
                <w:sz w:val="18"/>
                <w:szCs w:val="18"/>
              </w:rPr>
              <w:t xml:space="preserve"> monitorizate de CS</w:t>
            </w:r>
          </w:p>
        </w:tc>
        <w:tc>
          <w:tcPr>
            <w:tcW w:w="3412" w:type="dxa"/>
          </w:tcPr>
          <w:p w14:paraId="384DB279"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Dispoziția Guvernului nr. 14-d din 27.01.1998 semnată de prim-ministru;</w:t>
            </w:r>
          </w:p>
          <w:p w14:paraId="17C4A978"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art. 30 din Legea cu privire la Guvern nr. 64-XII din 31.05.1990;</w:t>
            </w:r>
          </w:p>
          <w:p w14:paraId="6EA62E71"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pct. 14 din Regulamentul cu privire la modul de transmitere a întreprinderilor de stat, organizațiilor, instituțiilor, a subdiviziunilor lor, clădirilor, construcțiilor mijloacelor fixe şi altor active, aprobat prin HG nr. 688 din 09.10.1995;</w:t>
            </w:r>
          </w:p>
          <w:p w14:paraId="78509AAF"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pct. 10 din Regulamentului cu privire la modul de transmitere a bunurilor proprietate publică, aprobat prin HG nr. 901 din 31.12.2015;</w:t>
            </w:r>
          </w:p>
          <w:p w14:paraId="474B32AB"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Dispoziției Guvernului nr. 6 din 28.01.2008.</w:t>
            </w:r>
          </w:p>
        </w:tc>
        <w:tc>
          <w:tcPr>
            <w:tcW w:w="3060" w:type="dxa"/>
          </w:tcPr>
          <w:p w14:paraId="2AE3B725"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Analiza cadrului legal, SI e-Cadastru, dosarele aferente transmiterii bunurilor în gestiune BNM și Î.S. „Moldelectrica”.</w:t>
            </w:r>
          </w:p>
        </w:tc>
        <w:tc>
          <w:tcPr>
            <w:tcW w:w="1917" w:type="dxa"/>
          </w:tcPr>
          <w:p w14:paraId="7CF5C4EE"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100%</w:t>
            </w:r>
          </w:p>
        </w:tc>
      </w:tr>
      <w:tr w:rsidR="000F4356" w:rsidRPr="008E551C" w14:paraId="7E97BE5D" w14:textId="77777777" w:rsidTr="003D1FA7">
        <w:trPr>
          <w:trHeight w:val="1565"/>
        </w:trPr>
        <w:tc>
          <w:tcPr>
            <w:tcW w:w="1975" w:type="dxa"/>
          </w:tcPr>
          <w:p w14:paraId="7CC9D362" w14:textId="77777777" w:rsidR="000F4356" w:rsidRPr="008E551C" w:rsidRDefault="000F4356" w:rsidP="00CE3DB1">
            <w:pPr>
              <w:tabs>
                <w:tab w:val="left" w:pos="270"/>
                <w:tab w:val="left" w:pos="360"/>
                <w:tab w:val="left" w:pos="450"/>
              </w:tabs>
              <w:jc w:val="both"/>
              <w:rPr>
                <w:rFonts w:asciiTheme="majorHAnsi" w:hAnsiTheme="majorHAnsi" w:cstheme="majorHAnsi"/>
                <w:sz w:val="18"/>
                <w:szCs w:val="18"/>
              </w:rPr>
            </w:pPr>
            <w:r w:rsidRPr="008E551C">
              <w:rPr>
                <w:rFonts w:asciiTheme="majorHAnsi" w:hAnsiTheme="majorHAnsi" w:cstheme="majorHAnsi"/>
                <w:sz w:val="18"/>
                <w:szCs w:val="18"/>
              </w:rPr>
              <w:t>(vi)</w:t>
            </w:r>
            <w:r w:rsidRPr="008E551C">
              <w:rPr>
                <w:rFonts w:asciiTheme="majorHAnsi" w:hAnsiTheme="majorHAnsi" w:cstheme="majorHAnsi"/>
                <w:sz w:val="18"/>
                <w:szCs w:val="18"/>
              </w:rPr>
              <w:tab/>
              <w:t>În perioada auditată nu au soluționat problematica aferente blocului locativ din str. Florica Nița, DGACG suportând neîntemeiat din contul mijloacelor bugetare cheltuielile pentru serviciile comunale ale locatarilor acestor apartamente</w:t>
            </w:r>
          </w:p>
        </w:tc>
        <w:tc>
          <w:tcPr>
            <w:tcW w:w="3412" w:type="dxa"/>
          </w:tcPr>
          <w:p w14:paraId="65BF62F1" w14:textId="093543EB"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pct.</w:t>
            </w:r>
            <w:r w:rsidR="00BA69A9" w:rsidRPr="008E551C">
              <w:rPr>
                <w:rFonts w:asciiTheme="majorHAnsi" w:hAnsiTheme="majorHAnsi" w:cstheme="majorHAnsi"/>
                <w:sz w:val="18"/>
                <w:szCs w:val="18"/>
                <w:lang w:val="ro-RO"/>
              </w:rPr>
              <w:t xml:space="preserve"> </w:t>
            </w:r>
            <w:r w:rsidRPr="008E551C">
              <w:rPr>
                <w:rFonts w:asciiTheme="majorHAnsi" w:hAnsiTheme="majorHAnsi" w:cstheme="majorHAnsi"/>
                <w:sz w:val="18"/>
                <w:szCs w:val="18"/>
                <w:lang w:val="ro-RO"/>
              </w:rPr>
              <w:t>3.3.6.</w:t>
            </w:r>
            <w:r w:rsidR="00BA69A9" w:rsidRPr="008E551C">
              <w:rPr>
                <w:rFonts w:asciiTheme="majorHAnsi" w:hAnsiTheme="majorHAnsi" w:cstheme="majorHAnsi"/>
                <w:sz w:val="18"/>
                <w:szCs w:val="18"/>
                <w:lang w:val="ro-RO"/>
              </w:rPr>
              <w:t xml:space="preserve"> </w:t>
            </w:r>
            <w:r w:rsidRPr="008E551C">
              <w:rPr>
                <w:rFonts w:asciiTheme="majorHAnsi" w:hAnsiTheme="majorHAnsi" w:cstheme="majorHAnsi"/>
                <w:sz w:val="18"/>
                <w:szCs w:val="18"/>
                <w:lang w:val="ro-RO"/>
              </w:rPr>
              <w:t>din</w:t>
            </w:r>
            <w:r w:rsidR="00BA69A9" w:rsidRPr="008E551C">
              <w:rPr>
                <w:rFonts w:asciiTheme="majorHAnsi" w:hAnsiTheme="majorHAnsi" w:cstheme="majorHAnsi"/>
                <w:sz w:val="18"/>
                <w:szCs w:val="18"/>
                <w:lang w:val="ro-RO"/>
              </w:rPr>
              <w:t xml:space="preserve"> </w:t>
            </w:r>
            <w:r w:rsidRPr="008E551C">
              <w:rPr>
                <w:rFonts w:asciiTheme="majorHAnsi" w:hAnsiTheme="majorHAnsi" w:cstheme="majorHAnsi"/>
                <w:sz w:val="18"/>
                <w:szCs w:val="18"/>
                <w:lang w:val="ro-RO"/>
              </w:rPr>
              <w:t>Planul de conturi contabile în sistemul bugetar și Normele metodologice privind evidența contabilă și raportarea financiară în sistemul bugetar, aprobat prin ordinul MF Nr. 216/2015;</w:t>
            </w:r>
          </w:p>
          <w:p w14:paraId="7A4399A1"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HG nr. 443 din 24.04.2007 cu privire la transmiterea unui imobil.</w:t>
            </w:r>
          </w:p>
        </w:tc>
        <w:tc>
          <w:tcPr>
            <w:tcW w:w="3060" w:type="dxa"/>
          </w:tcPr>
          <w:p w14:paraId="0E69ACC7"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Reconcilierea datelor din Darea de seama 14 cu extrasele din SI e-Cadastru</w:t>
            </w:r>
          </w:p>
          <w:p w14:paraId="0716085E" w14:textId="77777777" w:rsidR="000F4356" w:rsidRPr="008E551C" w:rsidRDefault="000F4356" w:rsidP="00CE3DB1">
            <w:pPr>
              <w:ind w:right="35"/>
              <w:jc w:val="both"/>
              <w:rPr>
                <w:rFonts w:asciiTheme="majorHAnsi" w:hAnsiTheme="majorHAnsi" w:cstheme="majorHAnsi"/>
                <w:sz w:val="18"/>
                <w:szCs w:val="18"/>
                <w:lang w:val="ro-RO"/>
              </w:rPr>
            </w:pPr>
          </w:p>
          <w:p w14:paraId="734BA8DB" w14:textId="77777777" w:rsidR="000F4356" w:rsidRPr="008E551C" w:rsidRDefault="000F4356" w:rsidP="00CE3DB1">
            <w:pPr>
              <w:ind w:right="35"/>
              <w:jc w:val="both"/>
              <w:rPr>
                <w:rFonts w:asciiTheme="majorHAnsi" w:hAnsiTheme="majorHAnsi" w:cstheme="majorHAnsi"/>
                <w:sz w:val="18"/>
                <w:szCs w:val="18"/>
                <w:lang w:val="ro-RO"/>
              </w:rPr>
            </w:pPr>
          </w:p>
        </w:tc>
        <w:tc>
          <w:tcPr>
            <w:tcW w:w="1917" w:type="dxa"/>
          </w:tcPr>
          <w:p w14:paraId="3899C7EE"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100%</w:t>
            </w:r>
          </w:p>
        </w:tc>
      </w:tr>
      <w:tr w:rsidR="000F4356" w:rsidRPr="008E551C" w14:paraId="0A45E968" w14:textId="77777777" w:rsidTr="003D1FA7">
        <w:trPr>
          <w:trHeight w:val="1260"/>
        </w:trPr>
        <w:tc>
          <w:tcPr>
            <w:tcW w:w="1975" w:type="dxa"/>
          </w:tcPr>
          <w:p w14:paraId="1E6EEBE0" w14:textId="230CEE55" w:rsidR="000F4356" w:rsidRPr="008E551C" w:rsidRDefault="000F4356" w:rsidP="00CE3DB1">
            <w:pPr>
              <w:tabs>
                <w:tab w:val="left" w:pos="270"/>
                <w:tab w:val="left" w:pos="360"/>
                <w:tab w:val="left" w:pos="450"/>
              </w:tabs>
              <w:jc w:val="both"/>
              <w:rPr>
                <w:rFonts w:asciiTheme="majorHAnsi" w:hAnsiTheme="majorHAnsi" w:cstheme="majorHAnsi"/>
                <w:sz w:val="18"/>
                <w:szCs w:val="18"/>
              </w:rPr>
            </w:pPr>
            <w:r w:rsidRPr="008E551C">
              <w:rPr>
                <w:rFonts w:asciiTheme="majorHAnsi" w:hAnsiTheme="majorHAnsi" w:cstheme="majorHAnsi"/>
                <w:sz w:val="18"/>
                <w:szCs w:val="18"/>
              </w:rPr>
              <w:t>4.3.3.Existența unor deficiențe privind asigurarea cu transport auto de către BA a CS</w:t>
            </w:r>
            <w:r w:rsidR="00BA69A9" w:rsidRPr="008E551C">
              <w:rPr>
                <w:rFonts w:asciiTheme="majorHAnsi" w:hAnsiTheme="majorHAnsi" w:cstheme="majorHAnsi"/>
                <w:sz w:val="18"/>
                <w:szCs w:val="18"/>
              </w:rPr>
              <w:t xml:space="preserve"> </w:t>
            </w:r>
            <w:r w:rsidRPr="008E551C">
              <w:rPr>
                <w:rFonts w:asciiTheme="majorHAnsi" w:hAnsiTheme="majorHAnsi" w:cstheme="majorHAnsi"/>
                <w:sz w:val="18"/>
                <w:szCs w:val="18"/>
              </w:rPr>
              <w:t>a unor instituții medicale, determină efectuarea a unor cheltuieli suplimentare nespecifice entității</w:t>
            </w:r>
          </w:p>
        </w:tc>
        <w:tc>
          <w:tcPr>
            <w:tcW w:w="3412" w:type="dxa"/>
          </w:tcPr>
          <w:p w14:paraId="205BAE0B" w14:textId="73703621"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HG 916/2018 cu privire la organizarea și funcționarea I</w:t>
            </w:r>
            <w:r w:rsidR="00F11CE0"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P</w:t>
            </w:r>
            <w:r w:rsidR="00F11CE0"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 xml:space="preserve"> „Baza auto a Cancelariei de Stat”;</w:t>
            </w:r>
          </w:p>
          <w:p w14:paraId="7830A247"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Anexa nr. 1 la HG 1404/2005 privind reglementarea utilizării autoturismelor de serviciu de către autoritățile administrației publice.</w:t>
            </w:r>
          </w:p>
        </w:tc>
        <w:tc>
          <w:tcPr>
            <w:tcW w:w="3060" w:type="dxa"/>
          </w:tcPr>
          <w:p w14:paraId="7CCE662A"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analiza cadrului reglementar;</w:t>
            </w:r>
          </w:p>
          <w:p w14:paraId="15325A83" w14:textId="60CE94F3"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calcularea cheltuielilor pentru consum combustibil de către unitățile de transport care deservesc IMSP Policlinica de Stat și IMSP</w:t>
            </w:r>
            <w:r w:rsidR="00BA69A9" w:rsidRPr="008E551C">
              <w:rPr>
                <w:rFonts w:asciiTheme="majorHAnsi" w:hAnsiTheme="majorHAnsi" w:cstheme="majorHAnsi"/>
                <w:sz w:val="18"/>
                <w:szCs w:val="18"/>
                <w:lang w:val="ro-RO"/>
              </w:rPr>
              <w:t xml:space="preserve"> </w:t>
            </w:r>
            <w:r w:rsidRPr="008E551C">
              <w:rPr>
                <w:rFonts w:asciiTheme="majorHAnsi" w:hAnsiTheme="majorHAnsi" w:cstheme="majorHAnsi"/>
                <w:sz w:val="18"/>
                <w:szCs w:val="18"/>
                <w:lang w:val="ro-RO"/>
              </w:rPr>
              <w:t>Spitalul de Stat;</w:t>
            </w:r>
          </w:p>
          <w:p w14:paraId="47C713CE" w14:textId="3D4BBB28"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calcularea cheltuielilor de retribuire a muncii pentru conducătorii auto a unităților de transport care deservesc IMSP Policlinica de Stat și IMSP</w:t>
            </w:r>
            <w:r w:rsidR="00BA69A9" w:rsidRPr="008E551C">
              <w:rPr>
                <w:rFonts w:asciiTheme="majorHAnsi" w:hAnsiTheme="majorHAnsi" w:cstheme="majorHAnsi"/>
                <w:sz w:val="18"/>
                <w:szCs w:val="18"/>
                <w:lang w:val="ro-RO"/>
              </w:rPr>
              <w:t xml:space="preserve"> </w:t>
            </w:r>
            <w:r w:rsidRPr="008E551C">
              <w:rPr>
                <w:rFonts w:asciiTheme="majorHAnsi" w:hAnsiTheme="majorHAnsi" w:cstheme="majorHAnsi"/>
                <w:sz w:val="18"/>
                <w:szCs w:val="18"/>
                <w:lang w:val="ro-RO"/>
              </w:rPr>
              <w:t>Spitalul de Stat;</w:t>
            </w:r>
          </w:p>
          <w:p w14:paraId="3B4F92DD"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analiza demersurilor CS și BA a CS adresate MS, precum și răspunsul MS.</w:t>
            </w:r>
          </w:p>
        </w:tc>
        <w:tc>
          <w:tcPr>
            <w:tcW w:w="1917" w:type="dxa"/>
          </w:tcPr>
          <w:p w14:paraId="76C1F7A2" w14:textId="4C574FDF"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Toată informația privind cheltuielile (consum combustibil și retribuirea muncii) aferente unităților de transport destinate pentru deservirea IMSP Policlinica de Stat și IMSP</w:t>
            </w:r>
            <w:r w:rsidR="00BA69A9" w:rsidRPr="008E551C">
              <w:rPr>
                <w:rFonts w:asciiTheme="majorHAnsi" w:hAnsiTheme="majorHAnsi" w:cstheme="majorHAnsi"/>
                <w:sz w:val="18"/>
                <w:szCs w:val="18"/>
                <w:lang w:val="ro-RO"/>
              </w:rPr>
              <w:t xml:space="preserve"> </w:t>
            </w:r>
            <w:r w:rsidRPr="008E551C">
              <w:rPr>
                <w:rFonts w:asciiTheme="majorHAnsi" w:hAnsiTheme="majorHAnsi" w:cstheme="majorHAnsi"/>
                <w:sz w:val="18"/>
                <w:szCs w:val="18"/>
                <w:lang w:val="ro-RO"/>
              </w:rPr>
              <w:t>Spitalul de Stat.</w:t>
            </w:r>
          </w:p>
        </w:tc>
      </w:tr>
      <w:tr w:rsidR="000F4356" w:rsidRPr="008E551C" w14:paraId="1054EF2A" w14:textId="77777777" w:rsidTr="008E551C">
        <w:trPr>
          <w:trHeight w:val="1130"/>
        </w:trPr>
        <w:tc>
          <w:tcPr>
            <w:tcW w:w="1975" w:type="dxa"/>
          </w:tcPr>
          <w:p w14:paraId="3717EF75" w14:textId="77777777" w:rsidR="000F4356" w:rsidRPr="008E551C" w:rsidRDefault="000F4356" w:rsidP="00CE3DB1">
            <w:pPr>
              <w:tabs>
                <w:tab w:val="left" w:pos="270"/>
                <w:tab w:val="left" w:pos="360"/>
                <w:tab w:val="left" w:pos="450"/>
              </w:tabs>
              <w:jc w:val="both"/>
              <w:rPr>
                <w:rFonts w:asciiTheme="majorHAnsi" w:hAnsiTheme="majorHAnsi" w:cstheme="majorHAnsi"/>
                <w:sz w:val="18"/>
                <w:szCs w:val="18"/>
              </w:rPr>
            </w:pPr>
            <w:r w:rsidRPr="008E551C">
              <w:rPr>
                <w:rFonts w:asciiTheme="majorHAnsi" w:hAnsiTheme="majorHAnsi" w:cstheme="majorHAnsi"/>
                <w:sz w:val="18"/>
                <w:szCs w:val="18"/>
              </w:rPr>
              <w:t>4.3.4.</w:t>
            </w:r>
            <w:r w:rsidRPr="008E551C">
              <w:rPr>
                <w:rFonts w:asciiTheme="majorHAnsi" w:hAnsiTheme="majorHAnsi" w:cstheme="majorHAnsi"/>
                <w:sz w:val="18"/>
                <w:szCs w:val="18"/>
              </w:rPr>
              <w:tab/>
              <w:t>În cadrul CS și autorităților verificate nu a fost asigurat un proces regulamentar de contabilizare, reevaluare, înregistrare cadastrală și raportare a bunurilor imobile proprietate publică a statului gestionate de acestea.</w:t>
            </w:r>
          </w:p>
          <w:p w14:paraId="2C4A2995" w14:textId="77777777" w:rsidR="000F4356" w:rsidRPr="008E551C" w:rsidRDefault="000F4356" w:rsidP="00CE3DB1">
            <w:pPr>
              <w:tabs>
                <w:tab w:val="left" w:pos="270"/>
                <w:tab w:val="left" w:pos="360"/>
                <w:tab w:val="left" w:pos="450"/>
              </w:tabs>
              <w:jc w:val="both"/>
              <w:rPr>
                <w:rFonts w:asciiTheme="majorHAnsi" w:hAnsiTheme="majorHAnsi" w:cstheme="majorHAnsi"/>
                <w:sz w:val="18"/>
                <w:szCs w:val="18"/>
              </w:rPr>
            </w:pPr>
            <w:r w:rsidRPr="008E551C">
              <w:rPr>
                <w:rFonts w:asciiTheme="majorHAnsi" w:hAnsiTheme="majorHAnsi" w:cstheme="majorHAnsi"/>
                <w:sz w:val="18"/>
                <w:szCs w:val="18"/>
              </w:rPr>
              <w:t>(a)</w:t>
            </w:r>
            <w:r w:rsidRPr="008E551C">
              <w:rPr>
                <w:rFonts w:asciiTheme="majorHAnsi" w:hAnsiTheme="majorHAnsi" w:cstheme="majorHAnsi"/>
                <w:sz w:val="18"/>
                <w:szCs w:val="18"/>
              </w:rPr>
              <w:tab/>
              <w:t>Nereguli privind înregistrarea la organul cadastral a bunurilor imobile administrate de către instituțiile publice</w:t>
            </w:r>
          </w:p>
        </w:tc>
        <w:tc>
          <w:tcPr>
            <w:tcW w:w="3412" w:type="dxa"/>
          </w:tcPr>
          <w:p w14:paraId="3429F6F2"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art. 4 alin. (3) și art. 42 alin. (1) din Legea 1543 din 25.02.1998 cadastru bunurilor imobile;</w:t>
            </w:r>
          </w:p>
          <w:p w14:paraId="48F37622" w14:textId="3169E70E"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w:t>
            </w:r>
            <w:r w:rsidRPr="008E551C">
              <w:rPr>
                <w:sz w:val="18"/>
                <w:szCs w:val="18"/>
              </w:rPr>
              <w:t xml:space="preserve"> </w:t>
            </w:r>
            <w:r w:rsidRPr="008E551C">
              <w:rPr>
                <w:rFonts w:asciiTheme="majorHAnsi" w:hAnsiTheme="majorHAnsi" w:cstheme="majorHAnsi"/>
                <w:sz w:val="18"/>
                <w:szCs w:val="18"/>
                <w:lang w:val="ro-RO"/>
              </w:rPr>
              <w:t>HG nr. 84/2004</w:t>
            </w:r>
            <w:r w:rsidR="00BA69A9" w:rsidRPr="008E551C">
              <w:rPr>
                <w:rFonts w:asciiTheme="majorHAnsi" w:hAnsiTheme="majorHAnsi" w:cstheme="majorHAnsi"/>
                <w:sz w:val="18"/>
                <w:szCs w:val="18"/>
                <w:lang w:val="ro-RO"/>
              </w:rPr>
              <w:t xml:space="preserve"> </w:t>
            </w:r>
            <w:r w:rsidRPr="008E551C">
              <w:rPr>
                <w:rFonts w:asciiTheme="majorHAnsi" w:hAnsiTheme="majorHAnsi" w:cstheme="majorHAnsi"/>
                <w:sz w:val="18"/>
                <w:szCs w:val="18"/>
                <w:lang w:val="ro-RO"/>
              </w:rPr>
              <w:t>cu privire la clădirile administrative gestionate de ministere, departamente şi alte organe de stat.</w:t>
            </w:r>
          </w:p>
        </w:tc>
        <w:tc>
          <w:tcPr>
            <w:tcW w:w="3060" w:type="dxa"/>
          </w:tcPr>
          <w:p w14:paraId="3F07D67C"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Reconcilierea datelor privind imobilele înregistrate în evidența contabilă cu datele din Dările de seamă prezentate APP și datele înregistrate la organul cadastral teritorial.</w:t>
            </w:r>
          </w:p>
        </w:tc>
        <w:tc>
          <w:tcPr>
            <w:tcW w:w="1917" w:type="dxa"/>
          </w:tcPr>
          <w:p w14:paraId="2ABC2E9C"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100%, ceea ce reprezintă 34 contracte de locațiune și acordurile adiționale la acestea, valoarea cărora constituie 9.246,4 mii lei.</w:t>
            </w:r>
          </w:p>
        </w:tc>
      </w:tr>
      <w:tr w:rsidR="000F4356" w:rsidRPr="008E551C" w14:paraId="758CD82A" w14:textId="77777777" w:rsidTr="003D1FA7">
        <w:trPr>
          <w:trHeight w:val="1565"/>
        </w:trPr>
        <w:tc>
          <w:tcPr>
            <w:tcW w:w="1975" w:type="dxa"/>
          </w:tcPr>
          <w:p w14:paraId="2567E597" w14:textId="77777777" w:rsidR="000F4356" w:rsidRPr="008E551C" w:rsidRDefault="000F4356" w:rsidP="00CE3DB1">
            <w:pPr>
              <w:tabs>
                <w:tab w:val="left" w:pos="270"/>
                <w:tab w:val="left" w:pos="360"/>
                <w:tab w:val="left" w:pos="450"/>
              </w:tabs>
              <w:jc w:val="both"/>
              <w:rPr>
                <w:rFonts w:asciiTheme="majorHAnsi" w:hAnsiTheme="majorHAnsi" w:cstheme="majorHAnsi"/>
                <w:sz w:val="18"/>
                <w:szCs w:val="18"/>
              </w:rPr>
            </w:pPr>
            <w:r w:rsidRPr="008E551C">
              <w:rPr>
                <w:rFonts w:asciiTheme="majorHAnsi" w:hAnsiTheme="majorHAnsi" w:cstheme="majorHAnsi"/>
                <w:sz w:val="18"/>
                <w:szCs w:val="18"/>
              </w:rPr>
              <w:t>(b)</w:t>
            </w:r>
            <w:r w:rsidRPr="008E551C">
              <w:rPr>
                <w:rFonts w:asciiTheme="majorHAnsi" w:hAnsiTheme="majorHAnsi" w:cstheme="majorHAnsi"/>
                <w:sz w:val="18"/>
                <w:szCs w:val="18"/>
              </w:rPr>
              <w:tab/>
              <w:t>Neconformități privind înregistrarea în evidența contabilă a bunurilor imobile administrate de către unele IP</w:t>
            </w:r>
          </w:p>
        </w:tc>
        <w:tc>
          <w:tcPr>
            <w:tcW w:w="3412" w:type="dxa"/>
          </w:tcPr>
          <w:p w14:paraId="1DDFA8B3"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HG nr. 100 din 30.01 2006 cu privire la transmiterea unei clădiri;</w:t>
            </w:r>
          </w:p>
          <w:p w14:paraId="2857A283"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pct. 29 din Regulamentul cu privire las modul de transmitere a bunurilor proprietate publică aprobat prin Hotărârea Guvernului nr 901 din 31.12.2015;</w:t>
            </w:r>
          </w:p>
          <w:p w14:paraId="45023A01"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HG nr.161 din 07.03.2019 cu privire la aprobarea listei terenurilor proprietate publică a statului din administrarea Agenției Proprietății Publice, Regulamentul cu privire la modul de transmitere a bunurilor proprietate publică, aprobat prin Hotărârea Guvernului nr.901 din 31.12.2015;</w:t>
            </w:r>
          </w:p>
          <w:p w14:paraId="01781DF8" w14:textId="7C5E1D3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pct. 3.3.7. și pct.</w:t>
            </w:r>
            <w:r w:rsidR="00BA69A9" w:rsidRPr="008E551C">
              <w:rPr>
                <w:rFonts w:asciiTheme="majorHAnsi" w:hAnsiTheme="majorHAnsi" w:cstheme="majorHAnsi"/>
                <w:sz w:val="18"/>
                <w:szCs w:val="18"/>
                <w:lang w:val="ro-RO"/>
              </w:rPr>
              <w:t xml:space="preserve"> </w:t>
            </w:r>
            <w:r w:rsidRPr="008E551C">
              <w:rPr>
                <w:rFonts w:asciiTheme="majorHAnsi" w:hAnsiTheme="majorHAnsi" w:cstheme="majorHAnsi"/>
                <w:sz w:val="18"/>
                <w:szCs w:val="18"/>
                <w:lang w:val="ro-RO"/>
              </w:rPr>
              <w:t>3.3.56 din Ordinul MF nr.216/2015 Planul de conturi contabile în sistemul bugetar și Normele metodologice privind evidența contabilă și raportarea financiară în sistemul bugetar;</w:t>
            </w:r>
          </w:p>
          <w:p w14:paraId="78227241"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HG nr. 941 din 22.12.2020 cu privire la aprobarea Catalogului mijloacelor fixe.</w:t>
            </w:r>
          </w:p>
        </w:tc>
        <w:tc>
          <w:tcPr>
            <w:tcW w:w="3060" w:type="dxa"/>
          </w:tcPr>
          <w:p w14:paraId="5C862C89"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xml:space="preserve">Reconcilierea datelor privind imobilele înregistrate în evidența contabilă cu datele din Dările de seamă prezentate APP și datele înregistrate la organul cadastral teritorial </w:t>
            </w:r>
          </w:p>
        </w:tc>
        <w:tc>
          <w:tcPr>
            <w:tcW w:w="1917" w:type="dxa"/>
          </w:tcPr>
          <w:p w14:paraId="226771FE"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100%</w:t>
            </w:r>
          </w:p>
        </w:tc>
      </w:tr>
      <w:tr w:rsidR="000F4356" w:rsidRPr="008E551C" w14:paraId="3F5E66C5" w14:textId="77777777" w:rsidTr="003D1FA7">
        <w:trPr>
          <w:trHeight w:val="1565"/>
        </w:trPr>
        <w:tc>
          <w:tcPr>
            <w:tcW w:w="1975" w:type="dxa"/>
          </w:tcPr>
          <w:p w14:paraId="374DBA9F" w14:textId="77777777" w:rsidR="000F4356" w:rsidRPr="008E551C" w:rsidRDefault="000F4356" w:rsidP="00CE3DB1">
            <w:pPr>
              <w:tabs>
                <w:tab w:val="left" w:pos="270"/>
                <w:tab w:val="left" w:pos="360"/>
                <w:tab w:val="left" w:pos="450"/>
              </w:tabs>
              <w:jc w:val="both"/>
              <w:rPr>
                <w:rFonts w:asciiTheme="majorHAnsi" w:hAnsiTheme="majorHAnsi" w:cstheme="majorHAnsi"/>
                <w:sz w:val="18"/>
                <w:szCs w:val="18"/>
              </w:rPr>
            </w:pPr>
            <w:r w:rsidRPr="008E551C">
              <w:rPr>
                <w:rFonts w:asciiTheme="majorHAnsi" w:hAnsiTheme="majorHAnsi" w:cstheme="majorHAnsi"/>
                <w:sz w:val="18"/>
                <w:szCs w:val="18"/>
              </w:rPr>
              <w:t>(c)</w:t>
            </w:r>
            <w:r w:rsidRPr="008E551C">
              <w:rPr>
                <w:rFonts w:asciiTheme="majorHAnsi" w:hAnsiTheme="majorHAnsi" w:cstheme="majorHAnsi"/>
                <w:sz w:val="18"/>
                <w:szCs w:val="18"/>
              </w:rPr>
              <w:tab/>
              <w:t>DGACG nu a asigurat ajustarea valorii unor bunuri imobile și terenuri conform datelor reevaluate de către organul cadastral</w:t>
            </w:r>
          </w:p>
        </w:tc>
        <w:tc>
          <w:tcPr>
            <w:tcW w:w="3412" w:type="dxa"/>
          </w:tcPr>
          <w:p w14:paraId="3BFD26E0"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pct. 1.4.5.2 din Ordinul ministrului finanțelor nr.216 din 28.12.2015</w:t>
            </w:r>
            <w:r w:rsidRPr="008E551C">
              <w:rPr>
                <w:sz w:val="18"/>
                <w:szCs w:val="18"/>
              </w:rPr>
              <w:t xml:space="preserve"> </w:t>
            </w:r>
            <w:r w:rsidRPr="008E551C">
              <w:rPr>
                <w:rFonts w:asciiTheme="majorHAnsi" w:hAnsiTheme="majorHAnsi" w:cstheme="majorHAnsi"/>
                <w:sz w:val="18"/>
                <w:szCs w:val="18"/>
                <w:lang w:val="ro-RO"/>
              </w:rPr>
              <w:t>Planul de conturi contabile în sistemul bugetar și Normele metodologice privind evidența contabilă și raportarea financiară în sistemul bugetar.</w:t>
            </w:r>
          </w:p>
        </w:tc>
        <w:tc>
          <w:tcPr>
            <w:tcW w:w="3060" w:type="dxa"/>
          </w:tcPr>
          <w:p w14:paraId="79C9334B"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Reconcilierea datelor privind imobilele înregistrate în evidența contabilă cu datele înregistrate la organul cadastral teritorial (OCT).</w:t>
            </w:r>
          </w:p>
        </w:tc>
        <w:tc>
          <w:tcPr>
            <w:tcW w:w="1917" w:type="dxa"/>
          </w:tcPr>
          <w:p w14:paraId="36C1AEDF"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100%</w:t>
            </w:r>
          </w:p>
        </w:tc>
      </w:tr>
      <w:tr w:rsidR="000F4356" w:rsidRPr="008E551C" w14:paraId="7929BDE5" w14:textId="77777777" w:rsidTr="003D1FA7">
        <w:trPr>
          <w:trHeight w:val="1232"/>
        </w:trPr>
        <w:tc>
          <w:tcPr>
            <w:tcW w:w="1975" w:type="dxa"/>
          </w:tcPr>
          <w:p w14:paraId="23997187" w14:textId="27C1BFCD" w:rsidR="000F4356" w:rsidRPr="008E551C" w:rsidRDefault="000F4356" w:rsidP="00CE3DB1">
            <w:pPr>
              <w:tabs>
                <w:tab w:val="left" w:pos="270"/>
                <w:tab w:val="left" w:pos="360"/>
                <w:tab w:val="left" w:pos="450"/>
              </w:tabs>
              <w:jc w:val="both"/>
              <w:rPr>
                <w:rFonts w:asciiTheme="majorHAnsi" w:hAnsiTheme="majorHAnsi" w:cstheme="majorHAnsi"/>
                <w:sz w:val="18"/>
                <w:szCs w:val="18"/>
              </w:rPr>
            </w:pPr>
            <w:r w:rsidRPr="008E551C">
              <w:rPr>
                <w:rFonts w:asciiTheme="majorHAnsi" w:hAnsiTheme="majorHAnsi" w:cstheme="majorHAnsi"/>
                <w:sz w:val="18"/>
                <w:szCs w:val="18"/>
              </w:rPr>
              <w:t>(d)</w:t>
            </w:r>
            <w:r w:rsidRPr="008E551C">
              <w:rPr>
                <w:rFonts w:asciiTheme="majorHAnsi" w:hAnsiTheme="majorHAnsi" w:cstheme="majorHAnsi"/>
                <w:sz w:val="18"/>
                <w:szCs w:val="18"/>
              </w:rPr>
              <w:tab/>
              <w:t>Referitor la nedelimitarea terenurilor I</w:t>
            </w:r>
            <w:r w:rsidR="00F11CE0" w:rsidRPr="008E551C">
              <w:rPr>
                <w:rFonts w:asciiTheme="majorHAnsi" w:hAnsiTheme="majorHAnsi" w:cstheme="majorHAnsi"/>
                <w:sz w:val="18"/>
                <w:szCs w:val="18"/>
              </w:rPr>
              <w:t>.</w:t>
            </w:r>
            <w:r w:rsidRPr="008E551C">
              <w:rPr>
                <w:rFonts w:asciiTheme="majorHAnsi" w:hAnsiTheme="majorHAnsi" w:cstheme="majorHAnsi"/>
                <w:sz w:val="18"/>
                <w:szCs w:val="18"/>
              </w:rPr>
              <w:t>P</w:t>
            </w:r>
            <w:r w:rsidR="00F11CE0" w:rsidRPr="008E551C">
              <w:rPr>
                <w:rFonts w:asciiTheme="majorHAnsi" w:hAnsiTheme="majorHAnsi" w:cstheme="majorHAnsi"/>
                <w:sz w:val="18"/>
                <w:szCs w:val="18"/>
              </w:rPr>
              <w:t>.</w:t>
            </w:r>
            <w:r w:rsidRPr="008E551C">
              <w:rPr>
                <w:rFonts w:asciiTheme="majorHAnsi" w:hAnsiTheme="majorHAnsi" w:cstheme="majorHAnsi"/>
                <w:sz w:val="18"/>
                <w:szCs w:val="18"/>
              </w:rPr>
              <w:t xml:space="preserve"> „Pensiune Holercani” după apartenență</w:t>
            </w:r>
          </w:p>
        </w:tc>
        <w:tc>
          <w:tcPr>
            <w:tcW w:w="3412" w:type="dxa"/>
          </w:tcPr>
          <w:p w14:paraId="50A51957"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art. 10 alin. (2) din Legea 29/2018 privind delimitarea proprietății publice.</w:t>
            </w:r>
          </w:p>
        </w:tc>
        <w:tc>
          <w:tcPr>
            <w:tcW w:w="3060" w:type="dxa"/>
          </w:tcPr>
          <w:p w14:paraId="68C9FB84"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Reconcilierea datelor privind imobilele înregistrate în evidența contabilă a entității cu datele înregistrate la organul cadastral (OCT).</w:t>
            </w:r>
          </w:p>
        </w:tc>
        <w:tc>
          <w:tcPr>
            <w:tcW w:w="1917" w:type="dxa"/>
          </w:tcPr>
          <w:p w14:paraId="27C2D9C9"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100%</w:t>
            </w:r>
          </w:p>
        </w:tc>
      </w:tr>
      <w:tr w:rsidR="003D1FA7" w:rsidRPr="008E551C" w14:paraId="524C6900" w14:textId="77777777" w:rsidTr="008E551C">
        <w:trPr>
          <w:trHeight w:val="3382"/>
        </w:trPr>
        <w:tc>
          <w:tcPr>
            <w:tcW w:w="1975" w:type="dxa"/>
          </w:tcPr>
          <w:p w14:paraId="5166FE24" w14:textId="5B927BBC" w:rsidR="003D1FA7" w:rsidRPr="008E551C" w:rsidRDefault="003D1FA7" w:rsidP="00BA0F33">
            <w:pPr>
              <w:tabs>
                <w:tab w:val="left" w:pos="270"/>
                <w:tab w:val="left" w:pos="360"/>
                <w:tab w:val="left" w:pos="450"/>
              </w:tabs>
              <w:jc w:val="both"/>
              <w:rPr>
                <w:rFonts w:asciiTheme="majorHAnsi" w:hAnsiTheme="majorHAnsi" w:cstheme="majorHAnsi"/>
                <w:sz w:val="18"/>
                <w:szCs w:val="18"/>
              </w:rPr>
            </w:pPr>
            <w:r w:rsidRPr="008E551C">
              <w:rPr>
                <w:rFonts w:asciiTheme="majorHAnsi" w:hAnsiTheme="majorHAnsi" w:cstheme="majorHAnsi"/>
                <w:sz w:val="18"/>
                <w:szCs w:val="18"/>
              </w:rPr>
              <w:t>4.3.5.</w:t>
            </w:r>
            <w:r w:rsidRPr="008E551C">
              <w:rPr>
                <w:rFonts w:asciiTheme="majorHAnsi" w:hAnsiTheme="majorHAnsi" w:cstheme="majorHAnsi"/>
                <w:sz w:val="18"/>
                <w:szCs w:val="18"/>
              </w:rPr>
              <w:tab/>
              <w:t>Există neconformități în procesul de valorificare/dare în locațiune a bunurilor imobile de către unele instituții publice, inclusiv generate de neîncasarea deplină a plăților pentru serviciile comunale</w:t>
            </w:r>
            <w:r w:rsidR="00BA69A9" w:rsidRPr="008E551C">
              <w:rPr>
                <w:rFonts w:asciiTheme="majorHAnsi" w:hAnsiTheme="majorHAnsi" w:cstheme="majorHAnsi"/>
                <w:sz w:val="18"/>
                <w:szCs w:val="18"/>
              </w:rPr>
              <w:t xml:space="preserve"> </w:t>
            </w:r>
          </w:p>
        </w:tc>
        <w:tc>
          <w:tcPr>
            <w:tcW w:w="3412" w:type="dxa"/>
          </w:tcPr>
          <w:p w14:paraId="77307FF8" w14:textId="77777777" w:rsidR="003D1FA7" w:rsidRPr="008E551C" w:rsidRDefault="003D1FA7"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pct. 23 din Regulamentul cu privire la modul de dare în locațiune a activelor neutilizate aprobat prin HG nr 483 din 29.03.2008;</w:t>
            </w:r>
          </w:p>
          <w:p w14:paraId="1AAA4595" w14:textId="63C8022E" w:rsidR="003D1FA7" w:rsidRPr="008E551C" w:rsidRDefault="003D1FA7"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pct. 3</w:t>
            </w:r>
            <w:r w:rsidR="00BA69A9" w:rsidRPr="008E551C">
              <w:rPr>
                <w:rFonts w:asciiTheme="majorHAnsi" w:hAnsiTheme="majorHAnsi" w:cstheme="majorHAnsi"/>
                <w:sz w:val="18"/>
                <w:szCs w:val="18"/>
                <w:lang w:val="ro-RO"/>
              </w:rPr>
              <w:t xml:space="preserve"> </w:t>
            </w:r>
            <w:r w:rsidRPr="008E551C">
              <w:rPr>
                <w:rFonts w:asciiTheme="majorHAnsi" w:hAnsiTheme="majorHAnsi" w:cstheme="majorHAnsi"/>
                <w:sz w:val="18"/>
                <w:szCs w:val="18"/>
                <w:lang w:val="ro-RO"/>
              </w:rPr>
              <w:t>și pct. 25 din Regulamentul cu privire la modul de dare în locațiune a activelor neutilizate aprobat prin HG nr 483 din 29.03.2008;</w:t>
            </w:r>
          </w:p>
          <w:p w14:paraId="113C1B9B" w14:textId="77777777" w:rsidR="003D1FA7" w:rsidRPr="008E551C" w:rsidRDefault="003D1FA7"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art. 16 din Regulamentul cu privire la modul de dare în locațiune a activelor neutilizate aprobat prin Hotărârea Guvernului nr 483 din 29.03.2008;</w:t>
            </w:r>
          </w:p>
          <w:p w14:paraId="49FBBECF" w14:textId="77777777" w:rsidR="003D1FA7" w:rsidRPr="008E551C" w:rsidRDefault="003D1FA7"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HG cu privire la transmiterea unor bunuri imobile și modificarea unor hotărâri ale Guvernului nr. 331 din 18.05.2022</w:t>
            </w:r>
          </w:p>
        </w:tc>
        <w:tc>
          <w:tcPr>
            <w:tcW w:w="3060" w:type="dxa"/>
          </w:tcPr>
          <w:p w14:paraId="59D3D933" w14:textId="0C99A835" w:rsidR="003D1FA7" w:rsidRPr="008E551C" w:rsidRDefault="003D1FA7"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Analiza contractelor încheiate de către CS cu agenții economici/instituții privind darea în locațiune a imobilelor gestionate de către DGACG, BA și CS și I.P. „Pensiunea din Holercani”, I.P. „Palatul Republicii”</w:t>
            </w:r>
          </w:p>
        </w:tc>
        <w:tc>
          <w:tcPr>
            <w:tcW w:w="1917" w:type="dxa"/>
          </w:tcPr>
          <w:p w14:paraId="2F4056BD" w14:textId="77777777" w:rsidR="003D1FA7" w:rsidRPr="008E551C" w:rsidRDefault="003D1FA7"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100%</w:t>
            </w:r>
          </w:p>
        </w:tc>
      </w:tr>
      <w:tr w:rsidR="000F4356" w:rsidRPr="008E551C" w14:paraId="11D8E772" w14:textId="77777777" w:rsidTr="008E551C">
        <w:trPr>
          <w:trHeight w:val="291"/>
        </w:trPr>
        <w:tc>
          <w:tcPr>
            <w:tcW w:w="10364" w:type="dxa"/>
            <w:gridSpan w:val="4"/>
          </w:tcPr>
          <w:p w14:paraId="02B26BA9" w14:textId="6D65173A" w:rsidR="000F4356" w:rsidRPr="008E551C" w:rsidRDefault="000F4356" w:rsidP="00CE3DB1">
            <w:pPr>
              <w:jc w:val="both"/>
              <w:rPr>
                <w:rFonts w:asciiTheme="majorHAnsi" w:eastAsiaTheme="majorEastAsia" w:hAnsiTheme="majorHAnsi" w:cstheme="majorHAnsi"/>
                <w:b/>
                <w:color w:val="2E74B5" w:themeColor="accent1" w:themeShade="BF"/>
                <w:sz w:val="18"/>
                <w:szCs w:val="18"/>
              </w:rPr>
            </w:pPr>
            <w:bookmarkStart w:id="51" w:name="_Toc156251103"/>
            <w:r w:rsidRPr="008E551C">
              <w:rPr>
                <w:rFonts w:asciiTheme="majorHAnsi" w:eastAsiaTheme="majorEastAsia" w:hAnsiTheme="majorHAnsi" w:cstheme="majorHAnsi"/>
                <w:b/>
                <w:color w:val="2E74B5" w:themeColor="accent1" w:themeShade="BF"/>
                <w:sz w:val="18"/>
                <w:szCs w:val="18"/>
              </w:rPr>
              <w:t>OBIECTIVUL nr.4: CS în calitate de autoritate publică centrală, are implementat un sistem de control intern managerial</w:t>
            </w:r>
            <w:r w:rsidR="00BA69A9" w:rsidRPr="008E551C">
              <w:rPr>
                <w:rFonts w:asciiTheme="majorHAnsi" w:eastAsiaTheme="majorEastAsia" w:hAnsiTheme="majorHAnsi" w:cstheme="majorHAnsi"/>
                <w:b/>
                <w:color w:val="2E74B5" w:themeColor="accent1" w:themeShade="BF"/>
                <w:sz w:val="18"/>
                <w:szCs w:val="18"/>
              </w:rPr>
              <w:t xml:space="preserve"> </w:t>
            </w:r>
            <w:r w:rsidRPr="008E551C">
              <w:rPr>
                <w:rFonts w:asciiTheme="majorHAnsi" w:eastAsiaTheme="majorEastAsia" w:hAnsiTheme="majorHAnsi" w:cstheme="majorHAnsi"/>
                <w:b/>
                <w:color w:val="2E74B5" w:themeColor="accent1" w:themeShade="BF"/>
                <w:sz w:val="18"/>
                <w:szCs w:val="18"/>
              </w:rPr>
              <w:t>funcțional?</w:t>
            </w:r>
            <w:bookmarkEnd w:id="51"/>
          </w:p>
        </w:tc>
      </w:tr>
      <w:tr w:rsidR="000F4356" w:rsidRPr="008E551C" w14:paraId="6116456F" w14:textId="77777777" w:rsidTr="003D1FA7">
        <w:trPr>
          <w:trHeight w:val="1565"/>
        </w:trPr>
        <w:tc>
          <w:tcPr>
            <w:tcW w:w="1975" w:type="dxa"/>
          </w:tcPr>
          <w:p w14:paraId="4933CAF8" w14:textId="77777777" w:rsidR="000F4356" w:rsidRPr="008E551C" w:rsidRDefault="000F4356" w:rsidP="00CE3DB1">
            <w:pPr>
              <w:tabs>
                <w:tab w:val="left" w:pos="270"/>
                <w:tab w:val="left" w:pos="360"/>
                <w:tab w:val="left" w:pos="450"/>
              </w:tabs>
              <w:jc w:val="both"/>
              <w:rPr>
                <w:rFonts w:asciiTheme="majorHAnsi" w:hAnsiTheme="majorHAnsi" w:cstheme="majorHAnsi"/>
                <w:sz w:val="18"/>
                <w:szCs w:val="18"/>
              </w:rPr>
            </w:pPr>
            <w:r w:rsidRPr="008E551C">
              <w:rPr>
                <w:rFonts w:asciiTheme="majorHAnsi" w:hAnsiTheme="majorHAnsi" w:cstheme="majorHAnsi"/>
                <w:sz w:val="18"/>
                <w:szCs w:val="18"/>
              </w:rPr>
              <w:t>4.4.1.</w:t>
            </w:r>
            <w:r w:rsidRPr="008E551C">
              <w:rPr>
                <w:rFonts w:asciiTheme="majorHAnsi" w:hAnsiTheme="majorHAnsi" w:cstheme="majorHAnsi"/>
                <w:sz w:val="18"/>
                <w:szCs w:val="18"/>
              </w:rPr>
              <w:tab/>
              <w:t>Componentele contorului intern managerial implementate de către CS și a unele instituții monitorizate necesită a fi fortificate.</w:t>
            </w:r>
          </w:p>
        </w:tc>
        <w:tc>
          <w:tcPr>
            <w:tcW w:w="3412" w:type="dxa"/>
          </w:tcPr>
          <w:p w14:paraId="62FE72AB" w14:textId="77777777" w:rsidR="000F4356" w:rsidRPr="008E551C" w:rsidRDefault="000F4356" w:rsidP="00CE3DB1">
            <w:pPr>
              <w:pStyle w:val="a3"/>
              <w:tabs>
                <w:tab w:val="left" w:pos="246"/>
              </w:tabs>
              <w:contextualSpacing/>
              <w:rPr>
                <w:rFonts w:asciiTheme="majorHAnsi" w:hAnsiTheme="majorHAnsi" w:cstheme="majorHAnsi"/>
                <w:sz w:val="18"/>
                <w:szCs w:val="18"/>
                <w:lang w:val="ro-RO"/>
              </w:rPr>
            </w:pPr>
            <w:r w:rsidRPr="008E551C">
              <w:rPr>
                <w:rFonts w:asciiTheme="majorHAnsi" w:hAnsiTheme="majorHAnsi" w:cstheme="majorHAnsi"/>
                <w:sz w:val="18"/>
                <w:szCs w:val="18"/>
                <w:lang w:val="ro-RO"/>
              </w:rPr>
              <w:t>Legea nr.229 din 23.09.2010 privind controlul financiar public intern.</w:t>
            </w:r>
          </w:p>
        </w:tc>
        <w:tc>
          <w:tcPr>
            <w:tcW w:w="3060" w:type="dxa"/>
          </w:tcPr>
          <w:p w14:paraId="5681FD82" w14:textId="77777777" w:rsidR="000F4356" w:rsidRPr="008E551C" w:rsidRDefault="000F4356" w:rsidP="00CE3DB1">
            <w:pPr>
              <w:tabs>
                <w:tab w:val="left" w:pos="0"/>
                <w:tab w:val="left" w:pos="39"/>
              </w:tabs>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Declarația de răspundere managerială;</w:t>
            </w:r>
          </w:p>
          <w:p w14:paraId="53E759F0"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Registrul riscurilor;</w:t>
            </w:r>
          </w:p>
          <w:p w14:paraId="6D7233BC"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xml:space="preserve"> - Informația prezentată de auditul intern a CS și IP.</w:t>
            </w:r>
          </w:p>
        </w:tc>
        <w:tc>
          <w:tcPr>
            <w:tcW w:w="1917" w:type="dxa"/>
          </w:tcPr>
          <w:p w14:paraId="5137B48C"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Registrul riscurilor. Materialele aferente activității de audit.</w:t>
            </w:r>
          </w:p>
        </w:tc>
      </w:tr>
    </w:tbl>
    <w:p w14:paraId="45CBF062" w14:textId="77777777" w:rsidR="00E52AC1" w:rsidRPr="00FA5F31" w:rsidRDefault="00E52AC1" w:rsidP="00E52AC1">
      <w:pPr>
        <w:rPr>
          <w:rFonts w:ascii="Times New Roman" w:hAnsi="Times New Roman" w:cs="Times New Roman"/>
          <w:sz w:val="24"/>
          <w:szCs w:val="24"/>
        </w:rPr>
      </w:pPr>
    </w:p>
    <w:p w14:paraId="333BE14A" w14:textId="77777777" w:rsidR="00E52AC1" w:rsidRDefault="00E52AC1" w:rsidP="00E52AC1">
      <w:pPr>
        <w:rPr>
          <w:rFonts w:ascii="Times New Roman" w:hAnsi="Times New Roman" w:cs="Times New Roman"/>
          <w:b/>
          <w:color w:val="0070C0"/>
          <w:sz w:val="24"/>
          <w:szCs w:val="24"/>
        </w:rPr>
        <w:sectPr w:rsidR="00E52AC1" w:rsidSect="00E52AC1">
          <w:pgSz w:w="11906" w:h="16838" w:code="9"/>
          <w:pgMar w:top="1140" w:right="566" w:bottom="1140" w:left="1701" w:header="720" w:footer="720" w:gutter="0"/>
          <w:cols w:space="720"/>
          <w:docGrid w:linePitch="360"/>
        </w:sectPr>
      </w:pPr>
    </w:p>
    <w:p w14:paraId="1B3EA8EE" w14:textId="77777777" w:rsidR="00E52AC1" w:rsidRDefault="00E52AC1" w:rsidP="00E52AC1">
      <w:pPr>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Anexa nr.6: </w:t>
      </w:r>
      <w:r w:rsidRPr="007E03F3">
        <w:rPr>
          <w:rFonts w:ascii="Times New Roman" w:hAnsi="Times New Roman" w:cs="Times New Roman"/>
          <w:b/>
          <w:color w:val="0070C0"/>
          <w:sz w:val="24"/>
          <w:szCs w:val="24"/>
        </w:rPr>
        <w:t>Sinteza cheltuielilor totale finanțate și executate de către CS în perioada anilor 2018-2022</w:t>
      </w:r>
    </w:p>
    <w:p w14:paraId="4DE36C28" w14:textId="77777777" w:rsidR="00E52AC1" w:rsidRPr="00991DD7" w:rsidRDefault="00E52AC1" w:rsidP="00E52AC1">
      <w:pPr>
        <w:spacing w:after="0"/>
        <w:jc w:val="right"/>
        <w:rPr>
          <w:rFonts w:asciiTheme="majorHAnsi" w:hAnsiTheme="majorHAnsi" w:cstheme="majorHAnsi"/>
          <w:b/>
          <w:sz w:val="20"/>
          <w:szCs w:val="20"/>
        </w:rPr>
      </w:pPr>
      <w:r>
        <w:rPr>
          <w:rFonts w:asciiTheme="majorHAnsi" w:hAnsiTheme="majorHAnsi" w:cstheme="majorHAnsi"/>
          <w:b/>
          <w:sz w:val="20"/>
          <w:szCs w:val="20"/>
        </w:rPr>
        <w:t>m</w:t>
      </w:r>
      <w:r w:rsidRPr="00991DD7">
        <w:rPr>
          <w:rFonts w:asciiTheme="majorHAnsi" w:hAnsiTheme="majorHAnsi" w:cstheme="majorHAnsi"/>
          <w:b/>
          <w:sz w:val="20"/>
          <w:szCs w:val="20"/>
        </w:rPr>
        <w:t>il. lei</w:t>
      </w:r>
    </w:p>
    <w:tbl>
      <w:tblPr>
        <w:tblW w:w="15052" w:type="dxa"/>
        <w:tblInd w:w="-289" w:type="dxa"/>
        <w:tblLayout w:type="fixed"/>
        <w:tblLook w:val="04A0" w:firstRow="1" w:lastRow="0" w:firstColumn="1" w:lastColumn="0" w:noHBand="0" w:noVBand="1"/>
      </w:tblPr>
      <w:tblGrid>
        <w:gridCol w:w="4140"/>
        <w:gridCol w:w="964"/>
        <w:gridCol w:w="1004"/>
        <w:gridCol w:w="900"/>
        <w:gridCol w:w="900"/>
        <w:gridCol w:w="900"/>
        <w:gridCol w:w="948"/>
        <w:gridCol w:w="1080"/>
        <w:gridCol w:w="990"/>
        <w:gridCol w:w="990"/>
        <w:gridCol w:w="1080"/>
        <w:gridCol w:w="1156"/>
      </w:tblGrid>
      <w:tr w:rsidR="00E52AC1" w:rsidRPr="00991DD7" w14:paraId="7815D249" w14:textId="77777777" w:rsidTr="00E52AC1">
        <w:trPr>
          <w:trHeight w:val="552"/>
        </w:trPr>
        <w:tc>
          <w:tcPr>
            <w:tcW w:w="4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B90F21"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Denumirea indicatorului</w:t>
            </w:r>
          </w:p>
        </w:tc>
        <w:tc>
          <w:tcPr>
            <w:tcW w:w="9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861B3C"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ECO</w:t>
            </w:r>
            <w:r w:rsidRPr="00991DD7">
              <w:rPr>
                <w:rFonts w:asciiTheme="majorHAnsi" w:eastAsia="Times New Roman" w:hAnsiTheme="majorHAnsi" w:cstheme="majorHAnsi"/>
                <w:b/>
                <w:bCs/>
                <w:color w:val="000000"/>
                <w:sz w:val="18"/>
                <w:szCs w:val="18"/>
              </w:rPr>
              <w:br/>
              <w:t>k1-k6</w:t>
            </w:r>
          </w:p>
        </w:tc>
        <w:tc>
          <w:tcPr>
            <w:tcW w:w="10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FBA1E"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Aprobat</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3EB44"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Precizat</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5456E"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Executat de casă</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54981"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Executat efectiv</w:t>
            </w:r>
          </w:p>
        </w:tc>
        <w:tc>
          <w:tcPr>
            <w:tcW w:w="9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1AAB6"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Datorii la 31.12.23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E9EE195" w14:textId="77777777" w:rsidR="00E52AC1" w:rsidRDefault="00E52AC1" w:rsidP="00E52AC1">
            <w:pPr>
              <w:spacing w:after="0" w:line="240" w:lineRule="auto"/>
              <w:jc w:val="center"/>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Precizat</w:t>
            </w:r>
            <w:r>
              <w:rPr>
                <w:rFonts w:asciiTheme="majorHAnsi" w:eastAsia="Times New Roman" w:hAnsiTheme="majorHAnsi" w:cstheme="majorHAnsi"/>
                <w:b/>
                <w:bCs/>
                <w:color w:val="000000"/>
                <w:sz w:val="18"/>
                <w:szCs w:val="18"/>
              </w:rPr>
              <w:t xml:space="preserve"> </w:t>
            </w:r>
            <w:r w:rsidRPr="00991DD7">
              <w:rPr>
                <w:rFonts w:asciiTheme="majorHAnsi" w:eastAsia="Times New Roman" w:hAnsiTheme="majorHAnsi" w:cstheme="majorHAnsi"/>
                <w:b/>
                <w:bCs/>
                <w:color w:val="000000"/>
                <w:sz w:val="18"/>
                <w:szCs w:val="18"/>
              </w:rPr>
              <w:t>/</w:t>
            </w:r>
          </w:p>
          <w:p w14:paraId="2040E653" w14:textId="77777777" w:rsidR="00E52AC1" w:rsidRPr="00991DD7" w:rsidRDefault="00E52AC1" w:rsidP="00E52AC1">
            <w:pPr>
              <w:spacing w:after="0" w:line="240" w:lineRule="auto"/>
              <w:jc w:val="center"/>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Aprobat</w:t>
            </w:r>
          </w:p>
        </w:tc>
        <w:tc>
          <w:tcPr>
            <w:tcW w:w="19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D0C5C8" w14:textId="77777777" w:rsidR="00E52AC1" w:rsidRPr="00991DD7" w:rsidRDefault="00E52AC1" w:rsidP="00E52AC1">
            <w:pPr>
              <w:spacing w:after="0" w:line="240" w:lineRule="auto"/>
              <w:jc w:val="center"/>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Executat de casă</w:t>
            </w:r>
            <w:r>
              <w:rPr>
                <w:rFonts w:asciiTheme="majorHAnsi" w:eastAsia="Times New Roman" w:hAnsiTheme="majorHAnsi" w:cstheme="majorHAnsi"/>
                <w:b/>
                <w:bCs/>
                <w:color w:val="000000"/>
                <w:sz w:val="18"/>
                <w:szCs w:val="18"/>
              </w:rPr>
              <w:t xml:space="preserve"> </w:t>
            </w:r>
            <w:r w:rsidRPr="00991DD7">
              <w:rPr>
                <w:rFonts w:asciiTheme="majorHAnsi" w:eastAsia="Times New Roman" w:hAnsiTheme="majorHAnsi" w:cstheme="majorHAnsi"/>
                <w:b/>
                <w:bCs/>
                <w:color w:val="000000"/>
                <w:sz w:val="18"/>
                <w:szCs w:val="18"/>
              </w:rPr>
              <w:t>/</w:t>
            </w:r>
            <w:r>
              <w:rPr>
                <w:rFonts w:asciiTheme="majorHAnsi" w:eastAsia="Times New Roman" w:hAnsiTheme="majorHAnsi" w:cstheme="majorHAnsi"/>
                <w:b/>
                <w:bCs/>
                <w:color w:val="000000"/>
                <w:sz w:val="18"/>
                <w:szCs w:val="18"/>
              </w:rPr>
              <w:t xml:space="preserve"> </w:t>
            </w:r>
            <w:r w:rsidRPr="00991DD7">
              <w:rPr>
                <w:rFonts w:asciiTheme="majorHAnsi" w:eastAsia="Times New Roman" w:hAnsiTheme="majorHAnsi" w:cstheme="majorHAnsi"/>
                <w:b/>
                <w:bCs/>
                <w:color w:val="000000"/>
                <w:sz w:val="18"/>
                <w:szCs w:val="18"/>
              </w:rPr>
              <w:t>Precizat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8407C60" w14:textId="77777777" w:rsidR="00E52AC1" w:rsidRDefault="00E52AC1" w:rsidP="00E52AC1">
            <w:pPr>
              <w:spacing w:after="0" w:line="240" w:lineRule="auto"/>
              <w:jc w:val="center"/>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Executat efectiv</w:t>
            </w:r>
            <w:r>
              <w:rPr>
                <w:rFonts w:asciiTheme="majorHAnsi" w:eastAsia="Times New Roman" w:hAnsiTheme="majorHAnsi" w:cstheme="majorHAnsi"/>
                <w:b/>
                <w:bCs/>
                <w:color w:val="000000"/>
                <w:sz w:val="18"/>
                <w:szCs w:val="18"/>
              </w:rPr>
              <w:t xml:space="preserve"> </w:t>
            </w:r>
            <w:r w:rsidRPr="00991DD7">
              <w:rPr>
                <w:rFonts w:asciiTheme="majorHAnsi" w:eastAsia="Times New Roman" w:hAnsiTheme="majorHAnsi" w:cstheme="majorHAnsi"/>
                <w:b/>
                <w:bCs/>
                <w:color w:val="000000"/>
                <w:sz w:val="18"/>
                <w:szCs w:val="18"/>
              </w:rPr>
              <w:t>/</w:t>
            </w:r>
          </w:p>
          <w:p w14:paraId="2CF025F3" w14:textId="77777777" w:rsidR="00E52AC1" w:rsidRPr="00991DD7" w:rsidRDefault="00E52AC1" w:rsidP="00E52AC1">
            <w:pPr>
              <w:spacing w:after="0" w:line="240" w:lineRule="auto"/>
              <w:jc w:val="center"/>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Precizat</w:t>
            </w:r>
          </w:p>
        </w:tc>
        <w:tc>
          <w:tcPr>
            <w:tcW w:w="1156" w:type="dxa"/>
            <w:tcBorders>
              <w:top w:val="single" w:sz="4" w:space="0" w:color="auto"/>
              <w:left w:val="nil"/>
              <w:bottom w:val="single" w:sz="4" w:space="0" w:color="auto"/>
              <w:right w:val="single" w:sz="4" w:space="0" w:color="auto"/>
            </w:tcBorders>
            <w:shd w:val="clear" w:color="auto" w:fill="auto"/>
            <w:vAlign w:val="center"/>
          </w:tcPr>
          <w:p w14:paraId="13ECA22A"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r>
      <w:tr w:rsidR="00E52AC1" w:rsidRPr="00991DD7" w14:paraId="16F74F64" w14:textId="77777777" w:rsidTr="00E52AC1">
        <w:trPr>
          <w:trHeight w:val="288"/>
        </w:trPr>
        <w:tc>
          <w:tcPr>
            <w:tcW w:w="4140" w:type="dxa"/>
            <w:vMerge/>
            <w:tcBorders>
              <w:top w:val="single" w:sz="4" w:space="0" w:color="auto"/>
              <w:left w:val="single" w:sz="4" w:space="0" w:color="auto"/>
              <w:bottom w:val="single" w:sz="4" w:space="0" w:color="auto"/>
              <w:right w:val="single" w:sz="4" w:space="0" w:color="auto"/>
            </w:tcBorders>
            <w:vAlign w:val="center"/>
            <w:hideMark/>
          </w:tcPr>
          <w:p w14:paraId="78314116"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vMerge/>
            <w:tcBorders>
              <w:top w:val="single" w:sz="4" w:space="0" w:color="auto"/>
              <w:left w:val="single" w:sz="4" w:space="0" w:color="auto"/>
              <w:bottom w:val="single" w:sz="4" w:space="0" w:color="auto"/>
              <w:right w:val="single" w:sz="4" w:space="0" w:color="auto"/>
            </w:tcBorders>
            <w:vAlign w:val="center"/>
            <w:hideMark/>
          </w:tcPr>
          <w:p w14:paraId="149AF1E4"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1004" w:type="dxa"/>
            <w:vMerge/>
            <w:tcBorders>
              <w:top w:val="single" w:sz="4" w:space="0" w:color="auto"/>
              <w:left w:val="single" w:sz="4" w:space="0" w:color="auto"/>
              <w:bottom w:val="single" w:sz="4" w:space="0" w:color="auto"/>
              <w:right w:val="single" w:sz="4" w:space="0" w:color="auto"/>
            </w:tcBorders>
            <w:vAlign w:val="center"/>
            <w:hideMark/>
          </w:tcPr>
          <w:p w14:paraId="173E65E9"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4FD86A52"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3C739AFD"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3A0DB586"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48" w:type="dxa"/>
            <w:vMerge/>
            <w:tcBorders>
              <w:top w:val="single" w:sz="4" w:space="0" w:color="auto"/>
              <w:left w:val="single" w:sz="4" w:space="0" w:color="auto"/>
              <w:bottom w:val="single" w:sz="4" w:space="0" w:color="auto"/>
              <w:right w:val="single" w:sz="4" w:space="0" w:color="auto"/>
            </w:tcBorders>
            <w:vAlign w:val="center"/>
            <w:hideMark/>
          </w:tcPr>
          <w:p w14:paraId="3AF9B8CF"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14:paraId="1933C2F4" w14:textId="77777777" w:rsidR="00E52AC1" w:rsidRPr="00991DD7" w:rsidRDefault="00E52AC1" w:rsidP="00E52AC1">
            <w:pPr>
              <w:tabs>
                <w:tab w:val="left" w:pos="1020"/>
              </w:tabs>
              <w:spacing w:after="0" w:line="240" w:lineRule="auto"/>
              <w:jc w:val="center"/>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w:t>
            </w:r>
          </w:p>
        </w:tc>
        <w:tc>
          <w:tcPr>
            <w:tcW w:w="990" w:type="dxa"/>
            <w:tcBorders>
              <w:top w:val="nil"/>
              <w:left w:val="nil"/>
              <w:bottom w:val="single" w:sz="4" w:space="0" w:color="auto"/>
              <w:right w:val="single" w:sz="4" w:space="0" w:color="auto"/>
            </w:tcBorders>
            <w:shd w:val="clear" w:color="auto" w:fill="auto"/>
            <w:noWrap/>
            <w:vAlign w:val="center"/>
            <w:hideMark/>
          </w:tcPr>
          <w:p w14:paraId="71CAD7BD" w14:textId="77777777" w:rsidR="00E52AC1" w:rsidRPr="00991DD7" w:rsidRDefault="00E52AC1" w:rsidP="00E52AC1">
            <w:pPr>
              <w:spacing w:after="0" w:line="240" w:lineRule="auto"/>
              <w:jc w:val="center"/>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w:t>
            </w:r>
          </w:p>
        </w:tc>
        <w:tc>
          <w:tcPr>
            <w:tcW w:w="990" w:type="dxa"/>
            <w:tcBorders>
              <w:top w:val="nil"/>
              <w:left w:val="nil"/>
              <w:bottom w:val="single" w:sz="4" w:space="0" w:color="auto"/>
              <w:right w:val="single" w:sz="4" w:space="0" w:color="auto"/>
            </w:tcBorders>
            <w:shd w:val="clear" w:color="auto" w:fill="auto"/>
            <w:noWrap/>
            <w:vAlign w:val="center"/>
            <w:hideMark/>
          </w:tcPr>
          <w:p w14:paraId="0DC36A58" w14:textId="77777777" w:rsidR="00E52AC1" w:rsidRPr="00991DD7" w:rsidRDefault="00E52AC1" w:rsidP="00E52AC1">
            <w:pPr>
              <w:spacing w:after="0" w:line="240" w:lineRule="auto"/>
              <w:jc w:val="center"/>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w:t>
            </w:r>
          </w:p>
        </w:tc>
        <w:tc>
          <w:tcPr>
            <w:tcW w:w="1080" w:type="dxa"/>
            <w:tcBorders>
              <w:top w:val="nil"/>
              <w:left w:val="nil"/>
              <w:bottom w:val="single" w:sz="4" w:space="0" w:color="auto"/>
              <w:right w:val="single" w:sz="4" w:space="0" w:color="auto"/>
            </w:tcBorders>
            <w:shd w:val="clear" w:color="auto" w:fill="auto"/>
            <w:noWrap/>
            <w:vAlign w:val="center"/>
            <w:hideMark/>
          </w:tcPr>
          <w:p w14:paraId="1CD36F0A" w14:textId="77777777" w:rsidR="00E52AC1" w:rsidRPr="00991DD7" w:rsidRDefault="00E52AC1" w:rsidP="00E52AC1">
            <w:pPr>
              <w:spacing w:after="0" w:line="240" w:lineRule="auto"/>
              <w:jc w:val="center"/>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w:t>
            </w:r>
          </w:p>
        </w:tc>
        <w:tc>
          <w:tcPr>
            <w:tcW w:w="1156" w:type="dxa"/>
            <w:tcBorders>
              <w:top w:val="nil"/>
              <w:left w:val="nil"/>
              <w:bottom w:val="single" w:sz="4" w:space="0" w:color="auto"/>
              <w:right w:val="single" w:sz="4" w:space="0" w:color="auto"/>
            </w:tcBorders>
            <w:shd w:val="clear" w:color="auto" w:fill="auto"/>
            <w:noWrap/>
            <w:vAlign w:val="center"/>
            <w:hideMark/>
          </w:tcPr>
          <w:p w14:paraId="76578787" w14:textId="77777777" w:rsidR="00E52AC1" w:rsidRPr="00991DD7" w:rsidRDefault="00E52AC1" w:rsidP="00E52AC1">
            <w:pPr>
              <w:spacing w:after="0" w:line="240" w:lineRule="auto"/>
              <w:jc w:val="center"/>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w:t>
            </w:r>
          </w:p>
        </w:tc>
      </w:tr>
      <w:tr w:rsidR="00E52AC1" w:rsidRPr="00991DD7" w14:paraId="173D7E04" w14:textId="77777777" w:rsidTr="00E52AC1">
        <w:trPr>
          <w:trHeight w:val="143"/>
        </w:trPr>
        <w:tc>
          <w:tcPr>
            <w:tcW w:w="4140" w:type="dxa"/>
            <w:tcBorders>
              <w:top w:val="nil"/>
              <w:left w:val="single" w:sz="4" w:space="0" w:color="auto"/>
              <w:bottom w:val="single" w:sz="4" w:space="0" w:color="auto"/>
              <w:right w:val="single" w:sz="4" w:space="0" w:color="auto"/>
            </w:tcBorders>
            <w:shd w:val="clear" w:color="auto" w:fill="auto"/>
            <w:vAlign w:val="center"/>
            <w:hideMark/>
          </w:tcPr>
          <w:p w14:paraId="28AD60DC" w14:textId="77777777" w:rsidR="00E52AC1" w:rsidRPr="00AA7F1D" w:rsidRDefault="00E52AC1" w:rsidP="00E52AC1">
            <w:pPr>
              <w:spacing w:after="0" w:line="240" w:lineRule="auto"/>
              <w:jc w:val="center"/>
              <w:rPr>
                <w:rFonts w:asciiTheme="majorHAnsi" w:eastAsia="Times New Roman" w:hAnsiTheme="majorHAnsi" w:cstheme="majorHAnsi"/>
                <w:color w:val="000000"/>
                <w:sz w:val="16"/>
                <w:szCs w:val="16"/>
              </w:rPr>
            </w:pPr>
            <w:r w:rsidRPr="00AA7F1D">
              <w:rPr>
                <w:rFonts w:asciiTheme="majorHAnsi" w:eastAsia="Times New Roman" w:hAnsiTheme="majorHAnsi" w:cstheme="majorHAnsi"/>
                <w:color w:val="000000"/>
                <w:sz w:val="16"/>
                <w:szCs w:val="16"/>
              </w:rPr>
              <w:t>1</w:t>
            </w:r>
          </w:p>
        </w:tc>
        <w:tc>
          <w:tcPr>
            <w:tcW w:w="964" w:type="dxa"/>
            <w:tcBorders>
              <w:top w:val="nil"/>
              <w:left w:val="nil"/>
              <w:bottom w:val="single" w:sz="4" w:space="0" w:color="auto"/>
              <w:right w:val="single" w:sz="4" w:space="0" w:color="auto"/>
            </w:tcBorders>
            <w:shd w:val="clear" w:color="auto" w:fill="auto"/>
            <w:noWrap/>
            <w:vAlign w:val="center"/>
            <w:hideMark/>
          </w:tcPr>
          <w:p w14:paraId="1E698DDF" w14:textId="77777777" w:rsidR="00E52AC1" w:rsidRPr="00AA7F1D" w:rsidRDefault="00E52AC1" w:rsidP="00E52AC1">
            <w:pPr>
              <w:spacing w:after="0" w:line="240" w:lineRule="auto"/>
              <w:jc w:val="center"/>
              <w:rPr>
                <w:rFonts w:asciiTheme="majorHAnsi" w:eastAsia="Times New Roman" w:hAnsiTheme="majorHAnsi" w:cstheme="majorHAnsi"/>
                <w:color w:val="000000"/>
                <w:sz w:val="16"/>
                <w:szCs w:val="16"/>
              </w:rPr>
            </w:pPr>
            <w:r w:rsidRPr="00AA7F1D">
              <w:rPr>
                <w:rFonts w:asciiTheme="majorHAnsi" w:eastAsia="Times New Roman" w:hAnsiTheme="majorHAnsi" w:cstheme="majorHAnsi"/>
                <w:color w:val="000000"/>
                <w:sz w:val="16"/>
                <w:szCs w:val="16"/>
              </w:rPr>
              <w:t>2</w:t>
            </w:r>
          </w:p>
        </w:tc>
        <w:tc>
          <w:tcPr>
            <w:tcW w:w="1004" w:type="dxa"/>
            <w:tcBorders>
              <w:top w:val="nil"/>
              <w:left w:val="nil"/>
              <w:bottom w:val="single" w:sz="4" w:space="0" w:color="auto"/>
              <w:right w:val="single" w:sz="4" w:space="0" w:color="auto"/>
            </w:tcBorders>
            <w:shd w:val="clear" w:color="auto" w:fill="auto"/>
            <w:noWrap/>
            <w:vAlign w:val="center"/>
            <w:hideMark/>
          </w:tcPr>
          <w:p w14:paraId="52747575" w14:textId="77777777" w:rsidR="00E52AC1" w:rsidRPr="00AA7F1D" w:rsidRDefault="00E52AC1" w:rsidP="00E52AC1">
            <w:pPr>
              <w:spacing w:after="0" w:line="240" w:lineRule="auto"/>
              <w:jc w:val="center"/>
              <w:rPr>
                <w:rFonts w:asciiTheme="majorHAnsi" w:eastAsia="Times New Roman" w:hAnsiTheme="majorHAnsi" w:cstheme="majorHAnsi"/>
                <w:color w:val="000000"/>
                <w:sz w:val="16"/>
                <w:szCs w:val="16"/>
              </w:rPr>
            </w:pPr>
            <w:r w:rsidRPr="00AA7F1D">
              <w:rPr>
                <w:rFonts w:asciiTheme="majorHAnsi" w:eastAsia="Times New Roman" w:hAnsiTheme="majorHAnsi" w:cstheme="majorHAnsi"/>
                <w:color w:val="000000"/>
                <w:sz w:val="16"/>
                <w:szCs w:val="16"/>
              </w:rPr>
              <w:t>3</w:t>
            </w:r>
          </w:p>
        </w:tc>
        <w:tc>
          <w:tcPr>
            <w:tcW w:w="900" w:type="dxa"/>
            <w:tcBorders>
              <w:top w:val="nil"/>
              <w:left w:val="nil"/>
              <w:bottom w:val="single" w:sz="4" w:space="0" w:color="auto"/>
              <w:right w:val="single" w:sz="4" w:space="0" w:color="auto"/>
            </w:tcBorders>
            <w:shd w:val="clear" w:color="auto" w:fill="auto"/>
            <w:noWrap/>
            <w:vAlign w:val="center"/>
            <w:hideMark/>
          </w:tcPr>
          <w:p w14:paraId="58CAF45A" w14:textId="77777777" w:rsidR="00E52AC1" w:rsidRPr="00AA7F1D" w:rsidRDefault="00E52AC1" w:rsidP="00E52AC1">
            <w:pPr>
              <w:spacing w:after="0" w:line="240" w:lineRule="auto"/>
              <w:jc w:val="center"/>
              <w:rPr>
                <w:rFonts w:asciiTheme="majorHAnsi" w:eastAsia="Times New Roman" w:hAnsiTheme="majorHAnsi" w:cstheme="majorHAnsi"/>
                <w:color w:val="000000"/>
                <w:sz w:val="16"/>
                <w:szCs w:val="16"/>
              </w:rPr>
            </w:pPr>
            <w:r w:rsidRPr="00AA7F1D">
              <w:rPr>
                <w:rFonts w:asciiTheme="majorHAnsi" w:eastAsia="Times New Roman" w:hAnsiTheme="majorHAnsi" w:cstheme="majorHAnsi"/>
                <w:color w:val="000000"/>
                <w:sz w:val="16"/>
                <w:szCs w:val="16"/>
              </w:rPr>
              <w:t>4</w:t>
            </w:r>
          </w:p>
        </w:tc>
        <w:tc>
          <w:tcPr>
            <w:tcW w:w="900" w:type="dxa"/>
            <w:tcBorders>
              <w:top w:val="nil"/>
              <w:left w:val="nil"/>
              <w:bottom w:val="single" w:sz="4" w:space="0" w:color="auto"/>
              <w:right w:val="single" w:sz="4" w:space="0" w:color="auto"/>
            </w:tcBorders>
            <w:shd w:val="clear" w:color="auto" w:fill="auto"/>
            <w:noWrap/>
            <w:vAlign w:val="center"/>
            <w:hideMark/>
          </w:tcPr>
          <w:p w14:paraId="7D0CFB48" w14:textId="77777777" w:rsidR="00E52AC1" w:rsidRPr="00AA7F1D" w:rsidRDefault="00E52AC1" w:rsidP="00E52AC1">
            <w:pPr>
              <w:spacing w:after="0" w:line="240" w:lineRule="auto"/>
              <w:jc w:val="center"/>
              <w:rPr>
                <w:rFonts w:asciiTheme="majorHAnsi" w:eastAsia="Times New Roman" w:hAnsiTheme="majorHAnsi" w:cstheme="majorHAnsi"/>
                <w:color w:val="000000"/>
                <w:sz w:val="16"/>
                <w:szCs w:val="16"/>
              </w:rPr>
            </w:pPr>
            <w:r w:rsidRPr="00AA7F1D">
              <w:rPr>
                <w:rFonts w:asciiTheme="majorHAnsi" w:eastAsia="Times New Roman" w:hAnsiTheme="majorHAnsi" w:cstheme="majorHAnsi"/>
                <w:color w:val="000000"/>
                <w:sz w:val="16"/>
                <w:szCs w:val="16"/>
              </w:rPr>
              <w:t>5</w:t>
            </w:r>
          </w:p>
        </w:tc>
        <w:tc>
          <w:tcPr>
            <w:tcW w:w="900" w:type="dxa"/>
            <w:tcBorders>
              <w:top w:val="nil"/>
              <w:left w:val="nil"/>
              <w:bottom w:val="single" w:sz="4" w:space="0" w:color="auto"/>
              <w:right w:val="single" w:sz="4" w:space="0" w:color="auto"/>
            </w:tcBorders>
            <w:shd w:val="clear" w:color="auto" w:fill="auto"/>
            <w:noWrap/>
            <w:vAlign w:val="center"/>
            <w:hideMark/>
          </w:tcPr>
          <w:p w14:paraId="7610EA25" w14:textId="77777777" w:rsidR="00E52AC1" w:rsidRPr="00AA7F1D" w:rsidRDefault="00E52AC1" w:rsidP="00E52AC1">
            <w:pPr>
              <w:spacing w:after="0" w:line="240" w:lineRule="auto"/>
              <w:jc w:val="center"/>
              <w:rPr>
                <w:rFonts w:asciiTheme="majorHAnsi" w:eastAsia="Times New Roman" w:hAnsiTheme="majorHAnsi" w:cstheme="majorHAnsi"/>
                <w:color w:val="000000"/>
                <w:sz w:val="16"/>
                <w:szCs w:val="16"/>
              </w:rPr>
            </w:pPr>
            <w:r w:rsidRPr="00AA7F1D">
              <w:rPr>
                <w:rFonts w:asciiTheme="majorHAnsi" w:eastAsia="Times New Roman" w:hAnsiTheme="majorHAnsi" w:cstheme="majorHAnsi"/>
                <w:color w:val="000000"/>
                <w:sz w:val="16"/>
                <w:szCs w:val="16"/>
              </w:rPr>
              <w:t>6</w:t>
            </w:r>
          </w:p>
        </w:tc>
        <w:tc>
          <w:tcPr>
            <w:tcW w:w="948" w:type="dxa"/>
            <w:tcBorders>
              <w:top w:val="nil"/>
              <w:left w:val="nil"/>
              <w:bottom w:val="single" w:sz="4" w:space="0" w:color="auto"/>
              <w:right w:val="single" w:sz="4" w:space="0" w:color="auto"/>
            </w:tcBorders>
            <w:shd w:val="clear" w:color="auto" w:fill="auto"/>
            <w:noWrap/>
            <w:vAlign w:val="center"/>
            <w:hideMark/>
          </w:tcPr>
          <w:p w14:paraId="01F38A5A" w14:textId="77777777" w:rsidR="00E52AC1" w:rsidRPr="00AA7F1D" w:rsidRDefault="00E52AC1" w:rsidP="00E52AC1">
            <w:pPr>
              <w:spacing w:after="0" w:line="240" w:lineRule="auto"/>
              <w:jc w:val="center"/>
              <w:rPr>
                <w:rFonts w:asciiTheme="majorHAnsi" w:eastAsia="Times New Roman" w:hAnsiTheme="majorHAnsi" w:cstheme="majorHAnsi"/>
                <w:color w:val="000000"/>
                <w:sz w:val="16"/>
                <w:szCs w:val="16"/>
              </w:rPr>
            </w:pPr>
            <w:r w:rsidRPr="00AA7F1D">
              <w:rPr>
                <w:rFonts w:asciiTheme="majorHAnsi" w:eastAsia="Times New Roman" w:hAnsiTheme="majorHAnsi" w:cstheme="majorHAnsi"/>
                <w:color w:val="000000"/>
                <w:sz w:val="16"/>
                <w:szCs w:val="16"/>
              </w:rPr>
              <w:t>7</w:t>
            </w:r>
          </w:p>
        </w:tc>
        <w:tc>
          <w:tcPr>
            <w:tcW w:w="1080" w:type="dxa"/>
            <w:tcBorders>
              <w:top w:val="nil"/>
              <w:left w:val="nil"/>
              <w:bottom w:val="single" w:sz="4" w:space="0" w:color="auto"/>
              <w:right w:val="single" w:sz="4" w:space="0" w:color="auto"/>
            </w:tcBorders>
            <w:shd w:val="clear" w:color="auto" w:fill="auto"/>
            <w:noWrap/>
            <w:vAlign w:val="center"/>
            <w:hideMark/>
          </w:tcPr>
          <w:p w14:paraId="770F4A60" w14:textId="77777777" w:rsidR="00E52AC1" w:rsidRPr="00AA7F1D" w:rsidRDefault="00E52AC1" w:rsidP="00E52AC1">
            <w:pPr>
              <w:spacing w:after="0" w:line="240" w:lineRule="auto"/>
              <w:jc w:val="center"/>
              <w:rPr>
                <w:rFonts w:asciiTheme="majorHAnsi" w:eastAsia="Times New Roman" w:hAnsiTheme="majorHAnsi" w:cstheme="majorHAnsi"/>
                <w:color w:val="000000"/>
                <w:sz w:val="16"/>
                <w:szCs w:val="16"/>
              </w:rPr>
            </w:pPr>
            <w:r w:rsidRPr="00AA7F1D">
              <w:rPr>
                <w:rFonts w:asciiTheme="majorHAnsi" w:eastAsia="Times New Roman" w:hAnsiTheme="majorHAnsi" w:cstheme="majorHAnsi"/>
                <w:color w:val="000000"/>
                <w:sz w:val="16"/>
                <w:szCs w:val="16"/>
              </w:rPr>
              <w:t>8=4-3</w:t>
            </w:r>
          </w:p>
          <w:p w14:paraId="20A5411C" w14:textId="77777777" w:rsidR="00E52AC1" w:rsidRPr="00AA7F1D" w:rsidRDefault="00E52AC1" w:rsidP="00E52AC1">
            <w:pPr>
              <w:spacing w:after="0" w:line="240" w:lineRule="auto"/>
              <w:jc w:val="center"/>
              <w:rPr>
                <w:rFonts w:asciiTheme="majorHAnsi" w:eastAsia="Times New Roman" w:hAnsiTheme="majorHAnsi" w:cstheme="majorHAnsi"/>
                <w:color w:val="000000"/>
                <w:sz w:val="16"/>
                <w:szCs w:val="16"/>
              </w:rPr>
            </w:pPr>
            <w:r w:rsidRPr="00AA7F1D">
              <w:rPr>
                <w:rFonts w:asciiTheme="majorHAnsi" w:eastAsia="Times New Roman" w:hAnsiTheme="majorHAnsi" w:cstheme="majorHAnsi"/>
                <w:color w:val="000000"/>
                <w:sz w:val="16"/>
                <w:szCs w:val="16"/>
              </w:rPr>
              <w:t>(mil lei)</w:t>
            </w:r>
          </w:p>
        </w:tc>
        <w:tc>
          <w:tcPr>
            <w:tcW w:w="990" w:type="dxa"/>
            <w:tcBorders>
              <w:top w:val="nil"/>
              <w:left w:val="nil"/>
              <w:bottom w:val="single" w:sz="4" w:space="0" w:color="auto"/>
              <w:right w:val="single" w:sz="4" w:space="0" w:color="auto"/>
            </w:tcBorders>
            <w:shd w:val="clear" w:color="auto" w:fill="auto"/>
            <w:noWrap/>
            <w:vAlign w:val="center"/>
            <w:hideMark/>
          </w:tcPr>
          <w:p w14:paraId="7EBF9FDE" w14:textId="77777777" w:rsidR="00E52AC1" w:rsidRPr="00AA7F1D" w:rsidRDefault="00E52AC1" w:rsidP="00E52AC1">
            <w:pPr>
              <w:spacing w:after="0" w:line="240" w:lineRule="auto"/>
              <w:jc w:val="center"/>
              <w:rPr>
                <w:rFonts w:asciiTheme="majorHAnsi" w:eastAsia="Times New Roman" w:hAnsiTheme="majorHAnsi" w:cstheme="majorHAnsi"/>
                <w:color w:val="000000"/>
                <w:sz w:val="16"/>
                <w:szCs w:val="16"/>
              </w:rPr>
            </w:pPr>
            <w:r w:rsidRPr="00AA7F1D">
              <w:rPr>
                <w:rFonts w:asciiTheme="majorHAnsi" w:eastAsia="Times New Roman" w:hAnsiTheme="majorHAnsi" w:cstheme="majorHAnsi"/>
                <w:color w:val="000000"/>
                <w:sz w:val="16"/>
                <w:szCs w:val="16"/>
              </w:rPr>
              <w:t>9=5-4</w:t>
            </w:r>
          </w:p>
          <w:p w14:paraId="1864F98B" w14:textId="77777777" w:rsidR="00E52AC1" w:rsidRPr="00AA7F1D" w:rsidRDefault="00E52AC1" w:rsidP="00E52AC1">
            <w:pPr>
              <w:spacing w:after="0" w:line="240" w:lineRule="auto"/>
              <w:jc w:val="center"/>
              <w:rPr>
                <w:rFonts w:asciiTheme="majorHAnsi" w:eastAsia="Times New Roman" w:hAnsiTheme="majorHAnsi" w:cstheme="majorHAnsi"/>
                <w:color w:val="000000"/>
                <w:sz w:val="16"/>
                <w:szCs w:val="16"/>
              </w:rPr>
            </w:pPr>
            <w:r w:rsidRPr="00AA7F1D">
              <w:rPr>
                <w:rFonts w:asciiTheme="majorHAnsi" w:eastAsia="Times New Roman" w:hAnsiTheme="majorHAnsi" w:cstheme="majorHAnsi"/>
                <w:color w:val="000000"/>
                <w:sz w:val="16"/>
                <w:szCs w:val="16"/>
              </w:rPr>
              <w:t>(mil lei)</w:t>
            </w:r>
          </w:p>
        </w:tc>
        <w:tc>
          <w:tcPr>
            <w:tcW w:w="990" w:type="dxa"/>
            <w:tcBorders>
              <w:top w:val="nil"/>
              <w:left w:val="nil"/>
              <w:bottom w:val="single" w:sz="4" w:space="0" w:color="auto"/>
              <w:right w:val="single" w:sz="4" w:space="0" w:color="auto"/>
            </w:tcBorders>
            <w:shd w:val="clear" w:color="auto" w:fill="auto"/>
            <w:noWrap/>
            <w:vAlign w:val="center"/>
            <w:hideMark/>
          </w:tcPr>
          <w:p w14:paraId="74C60091" w14:textId="77777777" w:rsidR="00E52AC1" w:rsidRPr="00AA7F1D" w:rsidRDefault="00E52AC1" w:rsidP="00E52AC1">
            <w:pPr>
              <w:spacing w:after="0" w:line="240" w:lineRule="auto"/>
              <w:jc w:val="center"/>
              <w:rPr>
                <w:rFonts w:asciiTheme="majorHAnsi" w:eastAsia="Times New Roman" w:hAnsiTheme="majorHAnsi" w:cstheme="majorHAnsi"/>
                <w:color w:val="000000"/>
                <w:sz w:val="16"/>
                <w:szCs w:val="16"/>
              </w:rPr>
            </w:pPr>
            <w:r w:rsidRPr="00AA7F1D">
              <w:rPr>
                <w:rFonts w:asciiTheme="majorHAnsi" w:eastAsia="Times New Roman" w:hAnsiTheme="majorHAnsi" w:cstheme="majorHAnsi"/>
                <w:color w:val="000000"/>
                <w:sz w:val="16"/>
                <w:szCs w:val="16"/>
              </w:rPr>
              <w:t>10=5*100/4</w:t>
            </w:r>
          </w:p>
        </w:tc>
        <w:tc>
          <w:tcPr>
            <w:tcW w:w="1080" w:type="dxa"/>
            <w:tcBorders>
              <w:top w:val="nil"/>
              <w:left w:val="nil"/>
              <w:bottom w:val="single" w:sz="4" w:space="0" w:color="auto"/>
              <w:right w:val="single" w:sz="4" w:space="0" w:color="auto"/>
            </w:tcBorders>
            <w:shd w:val="clear" w:color="auto" w:fill="auto"/>
            <w:noWrap/>
            <w:vAlign w:val="center"/>
            <w:hideMark/>
          </w:tcPr>
          <w:p w14:paraId="6B10A7EB" w14:textId="77777777" w:rsidR="00E52AC1" w:rsidRPr="00AA7F1D" w:rsidRDefault="00E52AC1" w:rsidP="00E52AC1">
            <w:pPr>
              <w:tabs>
                <w:tab w:val="left" w:pos="528"/>
              </w:tabs>
              <w:spacing w:after="0" w:line="240" w:lineRule="auto"/>
              <w:jc w:val="center"/>
              <w:rPr>
                <w:rFonts w:asciiTheme="majorHAnsi" w:eastAsia="Times New Roman" w:hAnsiTheme="majorHAnsi" w:cstheme="majorHAnsi"/>
                <w:color w:val="000000"/>
                <w:sz w:val="16"/>
                <w:szCs w:val="16"/>
              </w:rPr>
            </w:pPr>
            <w:r w:rsidRPr="00AA7F1D">
              <w:rPr>
                <w:rFonts w:asciiTheme="majorHAnsi" w:eastAsia="Times New Roman" w:hAnsiTheme="majorHAnsi" w:cstheme="majorHAnsi"/>
                <w:color w:val="000000"/>
                <w:sz w:val="16"/>
                <w:szCs w:val="16"/>
              </w:rPr>
              <w:t>11=6-4</w:t>
            </w:r>
          </w:p>
        </w:tc>
        <w:tc>
          <w:tcPr>
            <w:tcW w:w="1156" w:type="dxa"/>
            <w:tcBorders>
              <w:top w:val="nil"/>
              <w:left w:val="nil"/>
              <w:bottom w:val="single" w:sz="4" w:space="0" w:color="auto"/>
              <w:right w:val="single" w:sz="4" w:space="0" w:color="auto"/>
            </w:tcBorders>
            <w:shd w:val="clear" w:color="auto" w:fill="auto"/>
            <w:noWrap/>
            <w:vAlign w:val="center"/>
            <w:hideMark/>
          </w:tcPr>
          <w:p w14:paraId="7906DC47" w14:textId="77777777" w:rsidR="00E52AC1" w:rsidRPr="00AA7F1D" w:rsidRDefault="00E52AC1" w:rsidP="00E52AC1">
            <w:pPr>
              <w:spacing w:after="0" w:line="240" w:lineRule="auto"/>
              <w:jc w:val="center"/>
              <w:rPr>
                <w:rFonts w:asciiTheme="majorHAnsi" w:eastAsia="Times New Roman" w:hAnsiTheme="majorHAnsi" w:cstheme="majorHAnsi"/>
                <w:color w:val="000000"/>
                <w:sz w:val="16"/>
                <w:szCs w:val="16"/>
              </w:rPr>
            </w:pPr>
            <w:r w:rsidRPr="00AA7F1D">
              <w:rPr>
                <w:rFonts w:asciiTheme="majorHAnsi" w:eastAsia="Times New Roman" w:hAnsiTheme="majorHAnsi" w:cstheme="majorHAnsi"/>
                <w:color w:val="000000"/>
                <w:sz w:val="16"/>
                <w:szCs w:val="16"/>
              </w:rPr>
              <w:t>12=6*100/4</w:t>
            </w:r>
          </w:p>
        </w:tc>
      </w:tr>
      <w:tr w:rsidR="00E52AC1" w:rsidRPr="00991DD7" w14:paraId="2D72B0A1" w14:textId="77777777" w:rsidTr="00E52AC1">
        <w:trPr>
          <w:trHeight w:val="58"/>
        </w:trPr>
        <w:tc>
          <w:tcPr>
            <w:tcW w:w="4140" w:type="dxa"/>
            <w:tcBorders>
              <w:top w:val="nil"/>
              <w:left w:val="single" w:sz="4" w:space="0" w:color="auto"/>
              <w:bottom w:val="single" w:sz="4" w:space="0" w:color="auto"/>
              <w:right w:val="single" w:sz="4" w:space="0" w:color="auto"/>
            </w:tcBorders>
            <w:shd w:val="clear" w:color="auto" w:fill="DEEAF6" w:themeFill="accent1" w:themeFillTint="33"/>
            <w:vAlign w:val="bottom"/>
            <w:hideMark/>
          </w:tcPr>
          <w:p w14:paraId="2D181A6C"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I, VENITURI TOTAL</w:t>
            </w:r>
          </w:p>
        </w:tc>
        <w:tc>
          <w:tcPr>
            <w:tcW w:w="964" w:type="dxa"/>
            <w:tcBorders>
              <w:top w:val="nil"/>
              <w:left w:val="nil"/>
              <w:bottom w:val="single" w:sz="4" w:space="0" w:color="auto"/>
              <w:right w:val="single" w:sz="4" w:space="0" w:color="auto"/>
            </w:tcBorders>
            <w:shd w:val="clear" w:color="auto" w:fill="DEEAF6" w:themeFill="accent1" w:themeFillTint="33"/>
            <w:noWrap/>
            <w:vAlign w:val="bottom"/>
            <w:hideMark/>
          </w:tcPr>
          <w:p w14:paraId="10BA793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p>
        </w:tc>
        <w:tc>
          <w:tcPr>
            <w:tcW w:w="1004" w:type="dxa"/>
            <w:tcBorders>
              <w:top w:val="nil"/>
              <w:left w:val="nil"/>
              <w:bottom w:val="single" w:sz="4" w:space="0" w:color="auto"/>
              <w:right w:val="single" w:sz="4" w:space="0" w:color="auto"/>
            </w:tcBorders>
            <w:shd w:val="clear" w:color="auto" w:fill="DEEAF6" w:themeFill="accent1" w:themeFillTint="33"/>
            <w:noWrap/>
            <w:vAlign w:val="bottom"/>
            <w:hideMark/>
          </w:tcPr>
          <w:p w14:paraId="5CC87CCE" w14:textId="77777777" w:rsidR="00E52AC1" w:rsidRPr="00B075F1" w:rsidRDefault="00E52AC1" w:rsidP="00E52AC1">
            <w:pPr>
              <w:spacing w:after="0" w:line="240" w:lineRule="auto"/>
              <w:jc w:val="center"/>
              <w:rPr>
                <w:rFonts w:asciiTheme="majorHAnsi" w:eastAsia="Times New Roman" w:hAnsiTheme="majorHAnsi" w:cstheme="majorHAnsi"/>
                <w:b/>
                <w:color w:val="000000"/>
                <w:sz w:val="18"/>
                <w:szCs w:val="18"/>
              </w:rPr>
            </w:pPr>
            <w:r w:rsidRPr="00B075F1">
              <w:rPr>
                <w:rFonts w:asciiTheme="majorHAnsi" w:eastAsia="Times New Roman" w:hAnsiTheme="majorHAnsi" w:cstheme="majorHAnsi"/>
                <w:b/>
                <w:color w:val="000000"/>
                <w:sz w:val="18"/>
                <w:szCs w:val="18"/>
              </w:rPr>
              <w:t>1</w:t>
            </w:r>
            <w:r>
              <w:rPr>
                <w:rFonts w:asciiTheme="majorHAnsi" w:eastAsia="Times New Roman" w:hAnsiTheme="majorHAnsi" w:cstheme="majorHAnsi"/>
                <w:b/>
                <w:color w:val="000000"/>
                <w:sz w:val="18"/>
                <w:szCs w:val="18"/>
              </w:rPr>
              <w:t>,</w:t>
            </w:r>
            <w:r w:rsidRPr="00B075F1">
              <w:rPr>
                <w:rFonts w:asciiTheme="majorHAnsi" w:eastAsia="Times New Roman" w:hAnsiTheme="majorHAnsi" w:cstheme="majorHAnsi"/>
                <w:b/>
                <w:color w:val="000000"/>
                <w:sz w:val="18"/>
                <w:szCs w:val="18"/>
              </w:rPr>
              <w:t>694.25</w:t>
            </w:r>
          </w:p>
        </w:tc>
        <w:tc>
          <w:tcPr>
            <w:tcW w:w="900" w:type="dxa"/>
            <w:tcBorders>
              <w:top w:val="nil"/>
              <w:left w:val="nil"/>
              <w:bottom w:val="single" w:sz="4" w:space="0" w:color="auto"/>
              <w:right w:val="single" w:sz="4" w:space="0" w:color="auto"/>
            </w:tcBorders>
            <w:shd w:val="clear" w:color="auto" w:fill="DEEAF6" w:themeFill="accent1" w:themeFillTint="33"/>
            <w:noWrap/>
            <w:vAlign w:val="bottom"/>
            <w:hideMark/>
          </w:tcPr>
          <w:p w14:paraId="1268DE87" w14:textId="77777777" w:rsidR="00E52AC1" w:rsidRPr="007D35ED" w:rsidRDefault="00E52AC1" w:rsidP="00E52AC1">
            <w:pPr>
              <w:spacing w:after="0" w:line="240" w:lineRule="auto"/>
              <w:jc w:val="center"/>
              <w:rPr>
                <w:rFonts w:asciiTheme="majorHAnsi" w:eastAsia="Times New Roman" w:hAnsiTheme="majorHAnsi" w:cstheme="majorHAnsi"/>
                <w:b/>
                <w:sz w:val="18"/>
                <w:szCs w:val="18"/>
              </w:rPr>
            </w:pPr>
            <w:r w:rsidRPr="007D35ED">
              <w:rPr>
                <w:rFonts w:asciiTheme="majorHAnsi" w:eastAsia="Times New Roman" w:hAnsiTheme="majorHAnsi" w:cstheme="majorHAnsi"/>
                <w:b/>
                <w:sz w:val="18"/>
                <w:szCs w:val="18"/>
              </w:rPr>
              <w:t>1,768.28</w:t>
            </w:r>
          </w:p>
        </w:tc>
        <w:tc>
          <w:tcPr>
            <w:tcW w:w="900" w:type="dxa"/>
            <w:tcBorders>
              <w:top w:val="nil"/>
              <w:left w:val="nil"/>
              <w:bottom w:val="single" w:sz="4" w:space="0" w:color="auto"/>
              <w:right w:val="single" w:sz="4" w:space="0" w:color="auto"/>
            </w:tcBorders>
            <w:shd w:val="clear" w:color="auto" w:fill="DEEAF6" w:themeFill="accent1" w:themeFillTint="33"/>
            <w:noWrap/>
            <w:vAlign w:val="bottom"/>
            <w:hideMark/>
          </w:tcPr>
          <w:p w14:paraId="5C2DA5E7" w14:textId="77777777" w:rsidR="00E52AC1" w:rsidRPr="007D35ED" w:rsidRDefault="00E52AC1" w:rsidP="00E52AC1">
            <w:pPr>
              <w:spacing w:after="0" w:line="240" w:lineRule="auto"/>
              <w:jc w:val="center"/>
              <w:rPr>
                <w:rFonts w:asciiTheme="majorHAnsi" w:eastAsia="Times New Roman" w:hAnsiTheme="majorHAnsi" w:cstheme="majorHAnsi"/>
                <w:b/>
                <w:sz w:val="18"/>
                <w:szCs w:val="18"/>
              </w:rPr>
            </w:pPr>
            <w:r w:rsidRPr="007D35ED">
              <w:rPr>
                <w:rFonts w:asciiTheme="majorHAnsi" w:eastAsia="Times New Roman" w:hAnsiTheme="majorHAnsi" w:cstheme="majorHAnsi"/>
                <w:b/>
                <w:sz w:val="18"/>
                <w:szCs w:val="18"/>
              </w:rPr>
              <w:t>1,610.84</w:t>
            </w:r>
          </w:p>
        </w:tc>
        <w:tc>
          <w:tcPr>
            <w:tcW w:w="900" w:type="dxa"/>
            <w:tcBorders>
              <w:top w:val="nil"/>
              <w:left w:val="nil"/>
              <w:bottom w:val="single" w:sz="4" w:space="0" w:color="auto"/>
              <w:right w:val="single" w:sz="4" w:space="0" w:color="auto"/>
            </w:tcBorders>
            <w:shd w:val="clear" w:color="auto" w:fill="DEEAF6" w:themeFill="accent1" w:themeFillTint="33"/>
            <w:noWrap/>
            <w:vAlign w:val="bottom"/>
            <w:hideMark/>
          </w:tcPr>
          <w:p w14:paraId="5E4265FC" w14:textId="77777777" w:rsidR="00E52AC1" w:rsidRPr="00B075F1" w:rsidRDefault="00E52AC1" w:rsidP="00E52AC1">
            <w:pPr>
              <w:spacing w:after="0" w:line="240" w:lineRule="auto"/>
              <w:jc w:val="center"/>
              <w:rPr>
                <w:rFonts w:asciiTheme="majorHAnsi" w:eastAsia="Times New Roman" w:hAnsiTheme="majorHAnsi" w:cstheme="majorHAnsi"/>
                <w:b/>
                <w:color w:val="000000"/>
                <w:sz w:val="18"/>
                <w:szCs w:val="18"/>
              </w:rPr>
            </w:pPr>
            <w:r w:rsidRPr="00B075F1">
              <w:rPr>
                <w:rFonts w:asciiTheme="majorHAnsi" w:eastAsia="Times New Roman" w:hAnsiTheme="majorHAnsi" w:cstheme="majorHAnsi"/>
                <w:b/>
                <w:color w:val="000000"/>
                <w:sz w:val="18"/>
                <w:szCs w:val="18"/>
              </w:rPr>
              <w:t>2</w:t>
            </w:r>
            <w:r>
              <w:rPr>
                <w:rFonts w:asciiTheme="majorHAnsi" w:eastAsia="Times New Roman" w:hAnsiTheme="majorHAnsi" w:cstheme="majorHAnsi"/>
                <w:b/>
                <w:color w:val="000000"/>
                <w:sz w:val="18"/>
                <w:szCs w:val="18"/>
              </w:rPr>
              <w:t>,</w:t>
            </w:r>
            <w:r w:rsidRPr="00B075F1">
              <w:rPr>
                <w:rFonts w:asciiTheme="majorHAnsi" w:eastAsia="Times New Roman" w:hAnsiTheme="majorHAnsi" w:cstheme="majorHAnsi"/>
                <w:b/>
                <w:color w:val="000000"/>
                <w:sz w:val="18"/>
                <w:szCs w:val="18"/>
              </w:rPr>
              <w:t>317.05</w:t>
            </w:r>
          </w:p>
        </w:tc>
        <w:tc>
          <w:tcPr>
            <w:tcW w:w="948" w:type="dxa"/>
            <w:tcBorders>
              <w:top w:val="nil"/>
              <w:left w:val="nil"/>
              <w:bottom w:val="single" w:sz="4" w:space="0" w:color="auto"/>
              <w:right w:val="single" w:sz="4" w:space="0" w:color="auto"/>
            </w:tcBorders>
            <w:shd w:val="clear" w:color="auto" w:fill="DEEAF6" w:themeFill="accent1" w:themeFillTint="33"/>
            <w:noWrap/>
            <w:vAlign w:val="bottom"/>
            <w:hideMark/>
          </w:tcPr>
          <w:p w14:paraId="344F50EF" w14:textId="77777777" w:rsidR="00E52AC1" w:rsidRPr="00B075F1" w:rsidRDefault="00E52AC1" w:rsidP="00E52AC1">
            <w:pPr>
              <w:spacing w:after="0" w:line="240" w:lineRule="auto"/>
              <w:jc w:val="center"/>
              <w:rPr>
                <w:rFonts w:asciiTheme="majorHAnsi" w:eastAsia="Times New Roman" w:hAnsiTheme="majorHAnsi" w:cstheme="majorHAnsi"/>
                <w:b/>
                <w:color w:val="000000"/>
                <w:sz w:val="18"/>
                <w:szCs w:val="18"/>
              </w:rPr>
            </w:pPr>
            <w:r w:rsidRPr="00B075F1">
              <w:rPr>
                <w:rFonts w:asciiTheme="majorHAnsi" w:eastAsia="Times New Roman" w:hAnsiTheme="majorHAnsi" w:cstheme="majorHAnsi"/>
                <w:b/>
                <w:color w:val="000000"/>
                <w:sz w:val="18"/>
                <w:szCs w:val="18"/>
              </w:rPr>
              <w:t>2.88</w:t>
            </w:r>
          </w:p>
        </w:tc>
        <w:tc>
          <w:tcPr>
            <w:tcW w:w="1080" w:type="dxa"/>
            <w:tcBorders>
              <w:top w:val="nil"/>
              <w:left w:val="nil"/>
              <w:bottom w:val="single" w:sz="4" w:space="0" w:color="auto"/>
              <w:right w:val="single" w:sz="4" w:space="0" w:color="auto"/>
            </w:tcBorders>
            <w:shd w:val="clear" w:color="auto" w:fill="DEEAF6" w:themeFill="accent1" w:themeFillTint="33"/>
            <w:noWrap/>
            <w:vAlign w:val="bottom"/>
            <w:hideMark/>
          </w:tcPr>
          <w:p w14:paraId="61E0B93D" w14:textId="77777777" w:rsidR="00E52AC1" w:rsidRPr="003C1E4D" w:rsidRDefault="00E52AC1" w:rsidP="00E52AC1">
            <w:pPr>
              <w:spacing w:after="0" w:line="240" w:lineRule="auto"/>
              <w:jc w:val="center"/>
              <w:rPr>
                <w:rFonts w:asciiTheme="majorHAnsi" w:eastAsia="Times New Roman" w:hAnsiTheme="majorHAnsi" w:cstheme="majorHAnsi"/>
                <w:b/>
                <w:color w:val="000000"/>
                <w:sz w:val="18"/>
                <w:szCs w:val="18"/>
              </w:rPr>
            </w:pPr>
            <w:r w:rsidRPr="003C1E4D">
              <w:rPr>
                <w:rFonts w:asciiTheme="majorHAnsi" w:eastAsia="Times New Roman" w:hAnsiTheme="majorHAnsi" w:cstheme="majorHAnsi"/>
                <w:b/>
                <w:color w:val="000000"/>
                <w:sz w:val="18"/>
                <w:szCs w:val="18"/>
              </w:rPr>
              <w:t>74.03</w:t>
            </w:r>
          </w:p>
        </w:tc>
        <w:tc>
          <w:tcPr>
            <w:tcW w:w="990" w:type="dxa"/>
            <w:tcBorders>
              <w:top w:val="nil"/>
              <w:left w:val="nil"/>
              <w:bottom w:val="single" w:sz="4" w:space="0" w:color="auto"/>
              <w:right w:val="single" w:sz="4" w:space="0" w:color="auto"/>
            </w:tcBorders>
            <w:shd w:val="clear" w:color="auto" w:fill="DEEAF6" w:themeFill="accent1" w:themeFillTint="33"/>
            <w:noWrap/>
            <w:vAlign w:val="bottom"/>
            <w:hideMark/>
          </w:tcPr>
          <w:p w14:paraId="052F3FE4" w14:textId="77777777" w:rsidR="00E52AC1" w:rsidRPr="003C1E4D" w:rsidRDefault="00E52AC1" w:rsidP="00E52AC1">
            <w:pPr>
              <w:spacing w:after="0" w:line="240" w:lineRule="auto"/>
              <w:jc w:val="center"/>
              <w:rPr>
                <w:rFonts w:asciiTheme="majorHAnsi" w:eastAsia="Times New Roman" w:hAnsiTheme="majorHAnsi" w:cstheme="majorHAnsi"/>
                <w:b/>
                <w:color w:val="000000"/>
                <w:sz w:val="18"/>
                <w:szCs w:val="18"/>
              </w:rPr>
            </w:pPr>
            <w:r w:rsidRPr="003C1E4D">
              <w:rPr>
                <w:rFonts w:asciiTheme="majorHAnsi" w:eastAsia="Times New Roman" w:hAnsiTheme="majorHAnsi" w:cstheme="majorHAnsi"/>
                <w:b/>
                <w:color w:val="000000"/>
                <w:sz w:val="18"/>
                <w:szCs w:val="18"/>
              </w:rPr>
              <w:t>-157.44</w:t>
            </w:r>
          </w:p>
        </w:tc>
        <w:tc>
          <w:tcPr>
            <w:tcW w:w="990" w:type="dxa"/>
            <w:tcBorders>
              <w:top w:val="nil"/>
              <w:left w:val="nil"/>
              <w:bottom w:val="single" w:sz="4" w:space="0" w:color="auto"/>
              <w:right w:val="single" w:sz="4" w:space="0" w:color="auto"/>
            </w:tcBorders>
            <w:shd w:val="clear" w:color="auto" w:fill="DEEAF6" w:themeFill="accent1" w:themeFillTint="33"/>
            <w:noWrap/>
            <w:vAlign w:val="bottom"/>
            <w:hideMark/>
          </w:tcPr>
          <w:p w14:paraId="00B2C26F" w14:textId="77777777" w:rsidR="00E52AC1" w:rsidRPr="003C1E4D" w:rsidRDefault="00E52AC1" w:rsidP="00E52AC1">
            <w:pPr>
              <w:spacing w:after="0" w:line="240" w:lineRule="auto"/>
              <w:jc w:val="center"/>
              <w:rPr>
                <w:rFonts w:asciiTheme="majorHAnsi" w:eastAsia="Times New Roman" w:hAnsiTheme="majorHAnsi" w:cstheme="majorHAnsi"/>
                <w:b/>
                <w:color w:val="000000"/>
                <w:sz w:val="18"/>
                <w:szCs w:val="18"/>
              </w:rPr>
            </w:pPr>
            <w:r w:rsidRPr="007D35ED">
              <w:rPr>
                <w:rFonts w:asciiTheme="majorHAnsi" w:eastAsia="Times New Roman" w:hAnsiTheme="majorHAnsi" w:cstheme="majorHAnsi"/>
                <w:b/>
                <w:sz w:val="18"/>
                <w:szCs w:val="18"/>
              </w:rPr>
              <w:t>91.10</w:t>
            </w:r>
          </w:p>
        </w:tc>
        <w:tc>
          <w:tcPr>
            <w:tcW w:w="1080" w:type="dxa"/>
            <w:tcBorders>
              <w:top w:val="nil"/>
              <w:left w:val="nil"/>
              <w:bottom w:val="single" w:sz="4" w:space="0" w:color="auto"/>
              <w:right w:val="single" w:sz="4" w:space="0" w:color="auto"/>
            </w:tcBorders>
            <w:shd w:val="clear" w:color="auto" w:fill="DEEAF6" w:themeFill="accent1" w:themeFillTint="33"/>
            <w:noWrap/>
            <w:vAlign w:val="bottom"/>
            <w:hideMark/>
          </w:tcPr>
          <w:p w14:paraId="64D9BD11" w14:textId="77777777" w:rsidR="00E52AC1" w:rsidRPr="003C1E4D" w:rsidRDefault="00E52AC1" w:rsidP="00E52AC1">
            <w:pPr>
              <w:tabs>
                <w:tab w:val="left" w:pos="528"/>
              </w:tabs>
              <w:spacing w:after="0" w:line="240" w:lineRule="auto"/>
              <w:jc w:val="center"/>
              <w:rPr>
                <w:rFonts w:asciiTheme="majorHAnsi" w:eastAsia="Times New Roman" w:hAnsiTheme="majorHAnsi" w:cstheme="majorHAnsi"/>
                <w:b/>
                <w:color w:val="000000"/>
                <w:sz w:val="18"/>
                <w:szCs w:val="18"/>
              </w:rPr>
            </w:pPr>
            <w:r w:rsidRPr="003C1E4D">
              <w:rPr>
                <w:rFonts w:asciiTheme="majorHAnsi" w:eastAsia="Times New Roman" w:hAnsiTheme="majorHAnsi" w:cstheme="majorHAnsi"/>
                <w:b/>
                <w:color w:val="000000"/>
                <w:sz w:val="18"/>
                <w:szCs w:val="18"/>
              </w:rPr>
              <w:t>548.77</w:t>
            </w:r>
          </w:p>
        </w:tc>
        <w:tc>
          <w:tcPr>
            <w:tcW w:w="1156" w:type="dxa"/>
            <w:tcBorders>
              <w:top w:val="nil"/>
              <w:left w:val="nil"/>
              <w:bottom w:val="single" w:sz="4" w:space="0" w:color="auto"/>
              <w:right w:val="single" w:sz="4" w:space="0" w:color="auto"/>
            </w:tcBorders>
            <w:shd w:val="clear" w:color="auto" w:fill="DEEAF6" w:themeFill="accent1" w:themeFillTint="33"/>
            <w:noWrap/>
            <w:vAlign w:val="bottom"/>
            <w:hideMark/>
          </w:tcPr>
          <w:p w14:paraId="10371D7B" w14:textId="77777777" w:rsidR="00E52AC1" w:rsidRPr="003C1E4D" w:rsidRDefault="00E52AC1" w:rsidP="00E52AC1">
            <w:pPr>
              <w:spacing w:after="0" w:line="240" w:lineRule="auto"/>
              <w:jc w:val="center"/>
              <w:rPr>
                <w:rFonts w:asciiTheme="majorHAnsi" w:eastAsia="Times New Roman" w:hAnsiTheme="majorHAnsi" w:cstheme="majorHAnsi"/>
                <w:b/>
                <w:color w:val="000000"/>
                <w:sz w:val="18"/>
                <w:szCs w:val="18"/>
              </w:rPr>
            </w:pPr>
            <w:r w:rsidRPr="003C1E4D">
              <w:rPr>
                <w:rFonts w:asciiTheme="majorHAnsi" w:eastAsia="Times New Roman" w:hAnsiTheme="majorHAnsi" w:cstheme="majorHAnsi"/>
                <w:b/>
                <w:color w:val="000000"/>
                <w:sz w:val="18"/>
                <w:szCs w:val="18"/>
              </w:rPr>
              <w:t>131.03</w:t>
            </w:r>
          </w:p>
        </w:tc>
      </w:tr>
      <w:tr w:rsidR="00E52AC1" w:rsidRPr="00991DD7" w14:paraId="77D42440"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tcPr>
          <w:p w14:paraId="23EEEC21"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tcPr>
          <w:p w14:paraId="1FE56716" w14:textId="77777777" w:rsidR="00E52AC1" w:rsidRPr="00854B70" w:rsidRDefault="00E52AC1" w:rsidP="00E52AC1">
            <w:pPr>
              <w:spacing w:after="0" w:line="240" w:lineRule="auto"/>
              <w:jc w:val="both"/>
              <w:rPr>
                <w:rFonts w:asciiTheme="majorHAnsi" w:eastAsia="Times New Roman" w:hAnsiTheme="majorHAnsi" w:cstheme="majorHAnsi"/>
                <w:b/>
                <w:i/>
                <w:iCs/>
                <w:color w:val="000000"/>
                <w:sz w:val="18"/>
                <w:szCs w:val="18"/>
              </w:rPr>
            </w:pPr>
            <w:r w:rsidRPr="00854B70">
              <w:rPr>
                <w:rFonts w:asciiTheme="majorHAnsi" w:eastAsia="Times New Roman" w:hAnsiTheme="majorHAnsi" w:cstheme="majorHAnsi"/>
                <w:b/>
                <w:i/>
                <w:iCs/>
                <w:color w:val="000000"/>
                <w:sz w:val="18"/>
                <w:szCs w:val="18"/>
              </w:rPr>
              <w:t>131</w:t>
            </w:r>
          </w:p>
        </w:tc>
        <w:tc>
          <w:tcPr>
            <w:tcW w:w="1004" w:type="dxa"/>
            <w:tcBorders>
              <w:top w:val="nil"/>
              <w:left w:val="nil"/>
              <w:bottom w:val="single" w:sz="4" w:space="0" w:color="auto"/>
              <w:right w:val="single" w:sz="4" w:space="0" w:color="auto"/>
            </w:tcBorders>
            <w:shd w:val="clear" w:color="auto" w:fill="auto"/>
            <w:noWrap/>
            <w:vAlign w:val="bottom"/>
          </w:tcPr>
          <w:p w14:paraId="3EB07A34" w14:textId="77777777" w:rsidR="00E52AC1" w:rsidRPr="002531CA" w:rsidRDefault="00E52AC1" w:rsidP="00E52AC1">
            <w:pPr>
              <w:spacing w:after="0" w:line="240" w:lineRule="auto"/>
              <w:jc w:val="center"/>
              <w:rPr>
                <w:rFonts w:asciiTheme="majorHAnsi" w:eastAsia="Times New Roman" w:hAnsiTheme="majorHAnsi" w:cstheme="majorHAnsi"/>
                <w:b/>
                <w:color w:val="000000"/>
                <w:sz w:val="18"/>
                <w:szCs w:val="18"/>
              </w:rPr>
            </w:pPr>
            <w:r w:rsidRPr="002531CA">
              <w:rPr>
                <w:rFonts w:asciiTheme="majorHAnsi" w:eastAsia="Times New Roman" w:hAnsiTheme="majorHAnsi" w:cstheme="majorHAnsi"/>
                <w:b/>
                <w:color w:val="000000"/>
                <w:sz w:val="18"/>
                <w:szCs w:val="18"/>
              </w:rPr>
              <w:t>3.07</w:t>
            </w:r>
          </w:p>
        </w:tc>
        <w:tc>
          <w:tcPr>
            <w:tcW w:w="900" w:type="dxa"/>
            <w:tcBorders>
              <w:top w:val="nil"/>
              <w:left w:val="nil"/>
              <w:bottom w:val="single" w:sz="4" w:space="0" w:color="auto"/>
              <w:right w:val="single" w:sz="4" w:space="0" w:color="auto"/>
            </w:tcBorders>
            <w:shd w:val="clear" w:color="auto" w:fill="auto"/>
            <w:noWrap/>
            <w:vAlign w:val="bottom"/>
          </w:tcPr>
          <w:p w14:paraId="134CF41C" w14:textId="77777777" w:rsidR="00E52AC1" w:rsidRPr="002531CA" w:rsidRDefault="00E52AC1" w:rsidP="00E52AC1">
            <w:pPr>
              <w:spacing w:after="0" w:line="240" w:lineRule="auto"/>
              <w:jc w:val="center"/>
              <w:rPr>
                <w:rFonts w:asciiTheme="majorHAnsi" w:eastAsia="Times New Roman" w:hAnsiTheme="majorHAnsi" w:cstheme="majorHAnsi"/>
                <w:b/>
                <w:color w:val="000000"/>
                <w:sz w:val="18"/>
                <w:szCs w:val="18"/>
              </w:rPr>
            </w:pPr>
            <w:r w:rsidRPr="002531CA">
              <w:rPr>
                <w:rFonts w:asciiTheme="majorHAnsi" w:eastAsia="Times New Roman" w:hAnsiTheme="majorHAnsi" w:cstheme="majorHAnsi"/>
                <w:b/>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0A3D9A23" w14:textId="77777777" w:rsidR="00E52AC1" w:rsidRPr="002531CA" w:rsidRDefault="00E52AC1" w:rsidP="00E52AC1">
            <w:pPr>
              <w:spacing w:after="0" w:line="240" w:lineRule="auto"/>
              <w:jc w:val="center"/>
              <w:rPr>
                <w:rFonts w:asciiTheme="majorHAnsi" w:eastAsia="Times New Roman" w:hAnsiTheme="majorHAnsi" w:cstheme="majorHAnsi"/>
                <w:b/>
                <w:color w:val="000000"/>
                <w:sz w:val="18"/>
                <w:szCs w:val="18"/>
              </w:rPr>
            </w:pPr>
            <w:r w:rsidRPr="002531CA">
              <w:rPr>
                <w:rFonts w:asciiTheme="majorHAnsi" w:eastAsia="Times New Roman" w:hAnsiTheme="majorHAnsi" w:cstheme="majorHAnsi"/>
                <w:b/>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784EDA86" w14:textId="77777777" w:rsidR="00E52AC1" w:rsidRPr="002531CA" w:rsidRDefault="00E52AC1" w:rsidP="00E52AC1">
            <w:pPr>
              <w:spacing w:after="0" w:line="240" w:lineRule="auto"/>
              <w:jc w:val="center"/>
              <w:rPr>
                <w:rFonts w:asciiTheme="majorHAnsi" w:eastAsia="Times New Roman" w:hAnsiTheme="majorHAnsi" w:cstheme="majorHAnsi"/>
                <w:b/>
                <w:color w:val="000000"/>
                <w:sz w:val="18"/>
                <w:szCs w:val="18"/>
              </w:rPr>
            </w:pPr>
            <w:r w:rsidRPr="002531CA">
              <w:rPr>
                <w:rFonts w:asciiTheme="majorHAnsi" w:eastAsia="Times New Roman" w:hAnsiTheme="majorHAnsi" w:cstheme="majorHAnsi"/>
                <w:b/>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tcPr>
          <w:p w14:paraId="04222E29" w14:textId="77777777" w:rsidR="00E52AC1" w:rsidRPr="002531CA" w:rsidRDefault="00E52AC1" w:rsidP="00E52AC1">
            <w:pPr>
              <w:spacing w:after="0" w:line="240" w:lineRule="auto"/>
              <w:jc w:val="center"/>
              <w:rPr>
                <w:rFonts w:asciiTheme="majorHAnsi" w:eastAsia="Times New Roman" w:hAnsiTheme="majorHAnsi" w:cstheme="majorHAnsi"/>
                <w:b/>
                <w:color w:val="000000"/>
                <w:sz w:val="18"/>
                <w:szCs w:val="18"/>
              </w:rPr>
            </w:pPr>
            <w:r w:rsidRPr="002531CA">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2E51888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b/>
                <w:color w:val="000000"/>
                <w:sz w:val="18"/>
                <w:szCs w:val="18"/>
              </w:rPr>
              <w:t>-3.07</w:t>
            </w:r>
          </w:p>
        </w:tc>
        <w:tc>
          <w:tcPr>
            <w:tcW w:w="990" w:type="dxa"/>
            <w:tcBorders>
              <w:top w:val="nil"/>
              <w:left w:val="nil"/>
              <w:bottom w:val="single" w:sz="4" w:space="0" w:color="auto"/>
              <w:right w:val="single" w:sz="4" w:space="0" w:color="auto"/>
            </w:tcBorders>
            <w:shd w:val="clear" w:color="auto" w:fill="auto"/>
            <w:noWrap/>
            <w:vAlign w:val="bottom"/>
          </w:tcPr>
          <w:p w14:paraId="08EF6E4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2531CA">
              <w:rPr>
                <w:rFonts w:asciiTheme="majorHAnsi" w:eastAsia="Times New Roman" w:hAnsiTheme="majorHAnsi" w:cstheme="majorHAnsi"/>
                <w:b/>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646634F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2531CA">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400BCBA4" w14:textId="77777777" w:rsidR="00E52AC1" w:rsidRPr="00991DD7" w:rsidRDefault="00E52AC1" w:rsidP="00E52AC1">
            <w:pPr>
              <w:tabs>
                <w:tab w:val="left" w:pos="528"/>
              </w:tabs>
              <w:spacing w:after="0" w:line="240" w:lineRule="auto"/>
              <w:jc w:val="center"/>
              <w:rPr>
                <w:rFonts w:asciiTheme="majorHAnsi" w:eastAsia="Times New Roman" w:hAnsiTheme="majorHAnsi" w:cstheme="majorHAnsi"/>
                <w:color w:val="000000"/>
                <w:sz w:val="18"/>
                <w:szCs w:val="18"/>
              </w:rPr>
            </w:pPr>
            <w:r w:rsidRPr="002531CA">
              <w:rPr>
                <w:rFonts w:asciiTheme="majorHAnsi" w:eastAsia="Times New Roman" w:hAnsiTheme="majorHAnsi" w:cstheme="majorHAnsi"/>
                <w:b/>
                <w:color w:val="000000"/>
                <w:sz w:val="18"/>
                <w:szCs w:val="18"/>
              </w:rPr>
              <w:t>0.00</w:t>
            </w:r>
          </w:p>
        </w:tc>
        <w:tc>
          <w:tcPr>
            <w:tcW w:w="1156" w:type="dxa"/>
            <w:tcBorders>
              <w:top w:val="nil"/>
              <w:left w:val="nil"/>
              <w:bottom w:val="single" w:sz="4" w:space="0" w:color="auto"/>
              <w:right w:val="single" w:sz="4" w:space="0" w:color="auto"/>
            </w:tcBorders>
            <w:shd w:val="clear" w:color="auto" w:fill="auto"/>
            <w:noWrap/>
            <w:vAlign w:val="bottom"/>
          </w:tcPr>
          <w:p w14:paraId="1F90247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2531CA">
              <w:rPr>
                <w:rFonts w:asciiTheme="majorHAnsi" w:eastAsia="Times New Roman" w:hAnsiTheme="majorHAnsi" w:cstheme="majorHAnsi"/>
                <w:b/>
                <w:color w:val="000000"/>
                <w:sz w:val="18"/>
                <w:szCs w:val="18"/>
              </w:rPr>
              <w:t>0.00</w:t>
            </w:r>
          </w:p>
        </w:tc>
      </w:tr>
      <w:tr w:rsidR="00E52AC1" w:rsidRPr="00991DD7" w14:paraId="38FA133E"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tcPr>
          <w:p w14:paraId="207F937A"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6B367B">
              <w:rPr>
                <w:rFonts w:asciiTheme="majorHAnsi" w:eastAsia="Times New Roman" w:hAnsiTheme="majorHAnsi" w:cstheme="majorHAnsi"/>
                <w:b/>
                <w:bCs/>
                <w:color w:val="000000"/>
                <w:sz w:val="18"/>
                <w:szCs w:val="18"/>
              </w:rPr>
              <w:t>Granturi curente primite de la guvernele altor state pentru</w:t>
            </w:r>
          </w:p>
        </w:tc>
        <w:tc>
          <w:tcPr>
            <w:tcW w:w="964" w:type="dxa"/>
            <w:tcBorders>
              <w:top w:val="nil"/>
              <w:left w:val="nil"/>
              <w:bottom w:val="single" w:sz="4" w:space="0" w:color="auto"/>
              <w:right w:val="single" w:sz="4" w:space="0" w:color="auto"/>
            </w:tcBorders>
            <w:shd w:val="clear" w:color="auto" w:fill="auto"/>
            <w:noWrap/>
            <w:vAlign w:val="bottom"/>
          </w:tcPr>
          <w:p w14:paraId="59497C45" w14:textId="77777777" w:rsidR="00E52AC1" w:rsidRDefault="00E52AC1" w:rsidP="00E52AC1">
            <w:pPr>
              <w:spacing w:after="0" w:line="240" w:lineRule="auto"/>
              <w:jc w:val="both"/>
              <w:rPr>
                <w:rFonts w:asciiTheme="majorHAnsi" w:eastAsia="Times New Roman" w:hAnsiTheme="majorHAnsi" w:cstheme="majorHAnsi"/>
                <w:i/>
                <w:iCs/>
                <w:color w:val="000000"/>
                <w:sz w:val="18"/>
                <w:szCs w:val="18"/>
              </w:rPr>
            </w:pPr>
            <w:r w:rsidRPr="006B367B">
              <w:rPr>
                <w:rFonts w:asciiTheme="majorHAnsi" w:eastAsia="Times New Roman" w:hAnsiTheme="majorHAnsi" w:cstheme="majorHAnsi"/>
                <w:i/>
                <w:iCs/>
                <w:color w:val="000000"/>
                <w:sz w:val="18"/>
                <w:szCs w:val="18"/>
              </w:rPr>
              <w:t>131121</w:t>
            </w:r>
          </w:p>
        </w:tc>
        <w:tc>
          <w:tcPr>
            <w:tcW w:w="1004" w:type="dxa"/>
            <w:tcBorders>
              <w:top w:val="nil"/>
              <w:left w:val="nil"/>
              <w:bottom w:val="single" w:sz="4" w:space="0" w:color="auto"/>
              <w:right w:val="single" w:sz="4" w:space="0" w:color="auto"/>
            </w:tcBorders>
            <w:shd w:val="clear" w:color="auto" w:fill="auto"/>
            <w:noWrap/>
            <w:vAlign w:val="bottom"/>
          </w:tcPr>
          <w:p w14:paraId="733151C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3.07</w:t>
            </w:r>
          </w:p>
        </w:tc>
        <w:tc>
          <w:tcPr>
            <w:tcW w:w="900" w:type="dxa"/>
            <w:tcBorders>
              <w:top w:val="nil"/>
              <w:left w:val="nil"/>
              <w:bottom w:val="single" w:sz="4" w:space="0" w:color="auto"/>
              <w:right w:val="single" w:sz="4" w:space="0" w:color="auto"/>
            </w:tcBorders>
            <w:shd w:val="clear" w:color="auto" w:fill="auto"/>
            <w:noWrap/>
            <w:vAlign w:val="bottom"/>
          </w:tcPr>
          <w:p w14:paraId="461C5DD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494A0E9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391EF49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tcPr>
          <w:p w14:paraId="739981F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631AF2E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-3.07</w:t>
            </w:r>
          </w:p>
        </w:tc>
        <w:tc>
          <w:tcPr>
            <w:tcW w:w="990" w:type="dxa"/>
            <w:tcBorders>
              <w:top w:val="nil"/>
              <w:left w:val="nil"/>
              <w:bottom w:val="single" w:sz="4" w:space="0" w:color="auto"/>
              <w:right w:val="single" w:sz="4" w:space="0" w:color="auto"/>
            </w:tcBorders>
            <w:shd w:val="clear" w:color="auto" w:fill="auto"/>
            <w:noWrap/>
            <w:vAlign w:val="bottom"/>
          </w:tcPr>
          <w:p w14:paraId="1BE4BD8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31473CA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14EDD7D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156" w:type="dxa"/>
            <w:tcBorders>
              <w:top w:val="nil"/>
              <w:left w:val="nil"/>
              <w:bottom w:val="single" w:sz="4" w:space="0" w:color="auto"/>
              <w:right w:val="single" w:sz="4" w:space="0" w:color="auto"/>
            </w:tcBorders>
            <w:shd w:val="clear" w:color="auto" w:fill="auto"/>
            <w:noWrap/>
            <w:vAlign w:val="bottom"/>
          </w:tcPr>
          <w:p w14:paraId="037EF7E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48708BDE"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tcPr>
          <w:p w14:paraId="6CC10AB0"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tcPr>
          <w:p w14:paraId="44C3E19F" w14:textId="77777777" w:rsidR="00E52AC1" w:rsidRPr="00854B70" w:rsidRDefault="00E52AC1" w:rsidP="00E52AC1">
            <w:pPr>
              <w:spacing w:after="0" w:line="240" w:lineRule="auto"/>
              <w:jc w:val="both"/>
              <w:rPr>
                <w:rFonts w:asciiTheme="majorHAnsi" w:eastAsia="Times New Roman" w:hAnsiTheme="majorHAnsi" w:cstheme="majorHAnsi"/>
                <w:b/>
                <w:i/>
                <w:iCs/>
                <w:color w:val="000000"/>
                <w:sz w:val="18"/>
                <w:szCs w:val="18"/>
              </w:rPr>
            </w:pPr>
            <w:r w:rsidRPr="00854B70">
              <w:rPr>
                <w:rFonts w:asciiTheme="majorHAnsi" w:eastAsia="Times New Roman" w:hAnsiTheme="majorHAnsi" w:cstheme="majorHAnsi"/>
                <w:b/>
                <w:i/>
                <w:iCs/>
                <w:color w:val="000000"/>
                <w:sz w:val="18"/>
                <w:szCs w:val="18"/>
              </w:rPr>
              <w:t>132</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B368F4" w14:textId="77777777" w:rsidR="00E52AC1" w:rsidRPr="002531CA" w:rsidRDefault="00E52AC1" w:rsidP="00E52AC1">
            <w:pPr>
              <w:spacing w:after="0" w:line="240" w:lineRule="auto"/>
              <w:jc w:val="center"/>
              <w:rPr>
                <w:rFonts w:asciiTheme="majorHAnsi" w:eastAsia="Times New Roman" w:hAnsiTheme="majorHAnsi" w:cstheme="majorHAnsi"/>
                <w:b/>
                <w:color w:val="000000"/>
                <w:sz w:val="18"/>
                <w:szCs w:val="18"/>
              </w:rPr>
            </w:pPr>
            <w:r w:rsidRPr="002531CA">
              <w:rPr>
                <w:rFonts w:asciiTheme="majorHAnsi" w:eastAsia="Times New Roman" w:hAnsiTheme="majorHAnsi" w:cstheme="majorHAnsi"/>
                <w:b/>
                <w:color w:val="000000"/>
                <w:sz w:val="18"/>
                <w:szCs w:val="18"/>
              </w:rPr>
              <w:t>9.47</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2CE2A76" w14:textId="77777777" w:rsidR="00E52AC1" w:rsidRPr="002531CA" w:rsidRDefault="00E52AC1" w:rsidP="00E52AC1">
            <w:pPr>
              <w:spacing w:after="0" w:line="240" w:lineRule="auto"/>
              <w:jc w:val="center"/>
              <w:rPr>
                <w:rFonts w:asciiTheme="majorHAnsi" w:eastAsia="Times New Roman" w:hAnsiTheme="majorHAnsi" w:cstheme="majorHAnsi"/>
                <w:b/>
                <w:color w:val="000000"/>
                <w:sz w:val="18"/>
                <w:szCs w:val="18"/>
              </w:rPr>
            </w:pPr>
            <w:r w:rsidRPr="002531CA">
              <w:rPr>
                <w:rFonts w:asciiTheme="majorHAnsi" w:eastAsia="Times New Roman" w:hAnsiTheme="majorHAnsi" w:cstheme="majorHAnsi"/>
                <w:b/>
                <w:color w:val="000000"/>
                <w:sz w:val="18"/>
                <w:szCs w:val="18"/>
              </w:rPr>
              <w:t>17.87</w:t>
            </w:r>
          </w:p>
        </w:tc>
        <w:tc>
          <w:tcPr>
            <w:tcW w:w="900" w:type="dxa"/>
            <w:tcBorders>
              <w:top w:val="nil"/>
              <w:left w:val="nil"/>
              <w:bottom w:val="single" w:sz="4" w:space="0" w:color="auto"/>
              <w:right w:val="single" w:sz="4" w:space="0" w:color="auto"/>
            </w:tcBorders>
            <w:shd w:val="clear" w:color="auto" w:fill="auto"/>
            <w:noWrap/>
            <w:vAlign w:val="bottom"/>
          </w:tcPr>
          <w:p w14:paraId="1A3FD832" w14:textId="77777777" w:rsidR="00E52AC1" w:rsidRPr="002531CA" w:rsidRDefault="00E52AC1" w:rsidP="00E52AC1">
            <w:pPr>
              <w:spacing w:after="0" w:line="240" w:lineRule="auto"/>
              <w:jc w:val="center"/>
              <w:rPr>
                <w:rFonts w:asciiTheme="majorHAnsi" w:eastAsia="Times New Roman" w:hAnsiTheme="majorHAnsi" w:cstheme="majorHAnsi"/>
                <w:b/>
                <w:color w:val="000000"/>
                <w:sz w:val="18"/>
                <w:szCs w:val="18"/>
              </w:rPr>
            </w:pPr>
            <w:r w:rsidRPr="002531CA">
              <w:rPr>
                <w:rFonts w:asciiTheme="majorHAnsi" w:eastAsia="Times New Roman" w:hAnsiTheme="majorHAnsi" w:cstheme="majorHAnsi"/>
                <w:b/>
                <w:color w:val="000000"/>
                <w:sz w:val="18"/>
                <w:szCs w:val="18"/>
              </w:rPr>
              <w:t>13.34</w:t>
            </w:r>
          </w:p>
        </w:tc>
        <w:tc>
          <w:tcPr>
            <w:tcW w:w="900" w:type="dxa"/>
            <w:tcBorders>
              <w:top w:val="nil"/>
              <w:left w:val="nil"/>
              <w:bottom w:val="single" w:sz="4" w:space="0" w:color="auto"/>
              <w:right w:val="single" w:sz="4" w:space="0" w:color="auto"/>
            </w:tcBorders>
            <w:shd w:val="clear" w:color="auto" w:fill="auto"/>
            <w:noWrap/>
            <w:vAlign w:val="bottom"/>
          </w:tcPr>
          <w:p w14:paraId="1E55BC26" w14:textId="77777777" w:rsidR="00E52AC1" w:rsidRPr="00991DD7" w:rsidRDefault="00E52AC1" w:rsidP="00E52AC1">
            <w:pPr>
              <w:spacing w:after="0" w:line="240" w:lineRule="auto"/>
              <w:jc w:val="both"/>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13.34</w:t>
            </w:r>
          </w:p>
        </w:tc>
        <w:tc>
          <w:tcPr>
            <w:tcW w:w="948" w:type="dxa"/>
            <w:tcBorders>
              <w:top w:val="nil"/>
              <w:left w:val="nil"/>
              <w:bottom w:val="single" w:sz="4" w:space="0" w:color="auto"/>
              <w:right w:val="single" w:sz="4" w:space="0" w:color="auto"/>
            </w:tcBorders>
            <w:shd w:val="clear" w:color="auto" w:fill="auto"/>
            <w:noWrap/>
            <w:vAlign w:val="bottom"/>
          </w:tcPr>
          <w:p w14:paraId="5A1FCA4E" w14:textId="77777777" w:rsidR="00E52AC1" w:rsidRPr="002531CA" w:rsidRDefault="00E52AC1" w:rsidP="00E52AC1">
            <w:pPr>
              <w:spacing w:after="0" w:line="240" w:lineRule="auto"/>
              <w:jc w:val="center"/>
              <w:rPr>
                <w:rFonts w:asciiTheme="majorHAnsi" w:eastAsia="Times New Roman" w:hAnsiTheme="majorHAnsi" w:cstheme="majorHAnsi"/>
                <w:b/>
                <w:color w:val="000000"/>
                <w:sz w:val="18"/>
                <w:szCs w:val="18"/>
              </w:rPr>
            </w:pPr>
            <w:r w:rsidRPr="002531CA">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10A0FDA3" w14:textId="77777777" w:rsidR="00E52AC1" w:rsidRPr="000644A3" w:rsidRDefault="00E52AC1" w:rsidP="00E52AC1">
            <w:pPr>
              <w:spacing w:after="0" w:line="240" w:lineRule="auto"/>
              <w:jc w:val="center"/>
              <w:rPr>
                <w:rFonts w:asciiTheme="majorHAnsi" w:eastAsia="Times New Roman" w:hAnsiTheme="majorHAnsi" w:cstheme="majorHAnsi"/>
                <w:b/>
                <w:color w:val="000000"/>
                <w:sz w:val="18"/>
                <w:szCs w:val="18"/>
              </w:rPr>
            </w:pPr>
            <w:r w:rsidRPr="000644A3">
              <w:rPr>
                <w:rFonts w:asciiTheme="majorHAnsi" w:eastAsia="Times New Roman" w:hAnsiTheme="majorHAnsi" w:cstheme="majorHAnsi"/>
                <w:b/>
                <w:color w:val="000000"/>
                <w:sz w:val="18"/>
                <w:szCs w:val="18"/>
              </w:rPr>
              <w:t>8.40</w:t>
            </w:r>
          </w:p>
        </w:tc>
        <w:tc>
          <w:tcPr>
            <w:tcW w:w="990" w:type="dxa"/>
            <w:tcBorders>
              <w:top w:val="nil"/>
              <w:left w:val="nil"/>
              <w:bottom w:val="single" w:sz="4" w:space="0" w:color="auto"/>
              <w:right w:val="single" w:sz="4" w:space="0" w:color="auto"/>
            </w:tcBorders>
            <w:shd w:val="clear" w:color="auto" w:fill="auto"/>
            <w:noWrap/>
            <w:vAlign w:val="bottom"/>
          </w:tcPr>
          <w:p w14:paraId="0B2F0DE4" w14:textId="77777777" w:rsidR="00E52AC1" w:rsidRPr="000644A3" w:rsidRDefault="00E52AC1" w:rsidP="00E52AC1">
            <w:pPr>
              <w:spacing w:after="0" w:line="240" w:lineRule="auto"/>
              <w:jc w:val="center"/>
              <w:rPr>
                <w:rFonts w:asciiTheme="majorHAnsi" w:eastAsia="Times New Roman" w:hAnsiTheme="majorHAnsi" w:cstheme="majorHAnsi"/>
                <w:b/>
                <w:color w:val="000000"/>
                <w:sz w:val="18"/>
                <w:szCs w:val="18"/>
              </w:rPr>
            </w:pPr>
            <w:r w:rsidRPr="000644A3">
              <w:rPr>
                <w:rFonts w:asciiTheme="majorHAnsi" w:eastAsia="Times New Roman" w:hAnsiTheme="majorHAnsi" w:cstheme="majorHAnsi"/>
                <w:b/>
                <w:color w:val="000000"/>
                <w:sz w:val="18"/>
                <w:szCs w:val="18"/>
              </w:rPr>
              <w:t>-4.54</w:t>
            </w:r>
          </w:p>
        </w:tc>
        <w:tc>
          <w:tcPr>
            <w:tcW w:w="990" w:type="dxa"/>
            <w:tcBorders>
              <w:top w:val="nil"/>
              <w:left w:val="nil"/>
              <w:bottom w:val="single" w:sz="4" w:space="0" w:color="auto"/>
              <w:right w:val="single" w:sz="4" w:space="0" w:color="auto"/>
            </w:tcBorders>
            <w:shd w:val="clear" w:color="auto" w:fill="auto"/>
            <w:noWrap/>
            <w:vAlign w:val="bottom"/>
          </w:tcPr>
          <w:p w14:paraId="273495BB" w14:textId="77777777" w:rsidR="00E52AC1" w:rsidRPr="000644A3" w:rsidRDefault="00E52AC1" w:rsidP="00E52AC1">
            <w:pPr>
              <w:spacing w:after="0" w:line="240" w:lineRule="auto"/>
              <w:jc w:val="center"/>
              <w:rPr>
                <w:rFonts w:asciiTheme="majorHAnsi" w:eastAsia="Times New Roman" w:hAnsiTheme="majorHAnsi" w:cstheme="majorHAnsi"/>
                <w:b/>
                <w:color w:val="000000"/>
                <w:sz w:val="18"/>
                <w:szCs w:val="18"/>
              </w:rPr>
            </w:pPr>
            <w:r w:rsidRPr="000644A3">
              <w:rPr>
                <w:rFonts w:asciiTheme="majorHAnsi" w:eastAsia="Times New Roman" w:hAnsiTheme="majorHAnsi" w:cstheme="majorHAnsi"/>
                <w:b/>
                <w:color w:val="000000"/>
                <w:sz w:val="18"/>
                <w:szCs w:val="18"/>
              </w:rPr>
              <w:t>74.61</w:t>
            </w:r>
          </w:p>
        </w:tc>
        <w:tc>
          <w:tcPr>
            <w:tcW w:w="1080" w:type="dxa"/>
            <w:tcBorders>
              <w:top w:val="nil"/>
              <w:left w:val="nil"/>
              <w:bottom w:val="single" w:sz="4" w:space="0" w:color="auto"/>
              <w:right w:val="single" w:sz="4" w:space="0" w:color="auto"/>
            </w:tcBorders>
            <w:shd w:val="clear" w:color="auto" w:fill="auto"/>
            <w:noWrap/>
            <w:vAlign w:val="bottom"/>
          </w:tcPr>
          <w:p w14:paraId="2760FFBA" w14:textId="77777777" w:rsidR="00E52AC1" w:rsidRPr="000644A3" w:rsidRDefault="00E52AC1" w:rsidP="00E52AC1">
            <w:pPr>
              <w:tabs>
                <w:tab w:val="left" w:pos="528"/>
              </w:tabs>
              <w:spacing w:after="0" w:line="240" w:lineRule="auto"/>
              <w:jc w:val="center"/>
              <w:rPr>
                <w:rFonts w:asciiTheme="majorHAnsi" w:eastAsia="Times New Roman" w:hAnsiTheme="majorHAnsi" w:cstheme="majorHAnsi"/>
                <w:b/>
                <w:color w:val="000000"/>
                <w:sz w:val="18"/>
                <w:szCs w:val="18"/>
              </w:rPr>
            </w:pPr>
            <w:r w:rsidRPr="000644A3">
              <w:rPr>
                <w:rFonts w:asciiTheme="majorHAnsi" w:eastAsia="Times New Roman" w:hAnsiTheme="majorHAnsi" w:cstheme="majorHAnsi"/>
                <w:b/>
                <w:color w:val="000000"/>
                <w:sz w:val="18"/>
                <w:szCs w:val="18"/>
              </w:rPr>
              <w:t>-4.54</w:t>
            </w:r>
          </w:p>
        </w:tc>
        <w:tc>
          <w:tcPr>
            <w:tcW w:w="1156" w:type="dxa"/>
            <w:tcBorders>
              <w:top w:val="nil"/>
              <w:left w:val="nil"/>
              <w:bottom w:val="single" w:sz="4" w:space="0" w:color="auto"/>
              <w:right w:val="single" w:sz="4" w:space="0" w:color="auto"/>
            </w:tcBorders>
            <w:shd w:val="clear" w:color="auto" w:fill="auto"/>
            <w:noWrap/>
            <w:vAlign w:val="bottom"/>
          </w:tcPr>
          <w:p w14:paraId="4F3F3F69" w14:textId="77777777" w:rsidR="00E52AC1" w:rsidRPr="000644A3" w:rsidRDefault="00E52AC1" w:rsidP="00E52AC1">
            <w:pPr>
              <w:spacing w:after="0" w:line="240" w:lineRule="auto"/>
              <w:jc w:val="center"/>
              <w:rPr>
                <w:rFonts w:asciiTheme="majorHAnsi" w:eastAsia="Times New Roman" w:hAnsiTheme="majorHAnsi" w:cstheme="majorHAnsi"/>
                <w:b/>
                <w:color w:val="000000"/>
                <w:sz w:val="18"/>
                <w:szCs w:val="18"/>
              </w:rPr>
            </w:pPr>
            <w:r w:rsidRPr="000644A3">
              <w:rPr>
                <w:rFonts w:asciiTheme="majorHAnsi" w:eastAsia="Times New Roman" w:hAnsiTheme="majorHAnsi" w:cstheme="majorHAnsi"/>
                <w:b/>
                <w:color w:val="000000"/>
                <w:sz w:val="18"/>
                <w:szCs w:val="18"/>
              </w:rPr>
              <w:t>74.61</w:t>
            </w:r>
          </w:p>
        </w:tc>
      </w:tr>
      <w:tr w:rsidR="00E52AC1" w:rsidRPr="00991DD7" w14:paraId="49D911C1"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tcPr>
          <w:p w14:paraId="20B28CA1"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6B367B">
              <w:rPr>
                <w:rFonts w:asciiTheme="majorHAnsi" w:eastAsia="Times New Roman" w:hAnsiTheme="majorHAnsi" w:cstheme="majorHAnsi"/>
                <w:b/>
                <w:bCs/>
                <w:color w:val="000000"/>
                <w:sz w:val="18"/>
                <w:szCs w:val="18"/>
              </w:rPr>
              <w:t>Granturi curente primite de la organizațiile internaționale pentru</w:t>
            </w:r>
          </w:p>
        </w:tc>
        <w:tc>
          <w:tcPr>
            <w:tcW w:w="964" w:type="dxa"/>
            <w:tcBorders>
              <w:top w:val="nil"/>
              <w:left w:val="nil"/>
              <w:bottom w:val="single" w:sz="4" w:space="0" w:color="auto"/>
              <w:right w:val="single" w:sz="4" w:space="0" w:color="auto"/>
            </w:tcBorders>
            <w:shd w:val="clear" w:color="auto" w:fill="auto"/>
            <w:noWrap/>
            <w:vAlign w:val="bottom"/>
          </w:tcPr>
          <w:p w14:paraId="7CC9D32D" w14:textId="77777777" w:rsidR="00E52AC1" w:rsidRDefault="00E52AC1" w:rsidP="00E52AC1">
            <w:pPr>
              <w:spacing w:after="0" w:line="240" w:lineRule="auto"/>
              <w:jc w:val="both"/>
              <w:rPr>
                <w:rFonts w:asciiTheme="majorHAnsi" w:eastAsia="Times New Roman" w:hAnsiTheme="majorHAnsi" w:cstheme="majorHAnsi"/>
                <w:i/>
                <w:iCs/>
                <w:color w:val="000000"/>
                <w:sz w:val="18"/>
                <w:szCs w:val="18"/>
              </w:rPr>
            </w:pPr>
            <w:r w:rsidRPr="006B367B">
              <w:rPr>
                <w:rFonts w:asciiTheme="majorHAnsi" w:eastAsia="Times New Roman" w:hAnsiTheme="majorHAnsi" w:cstheme="majorHAnsi"/>
                <w:i/>
                <w:iCs/>
                <w:color w:val="000000"/>
                <w:sz w:val="18"/>
                <w:szCs w:val="18"/>
              </w:rPr>
              <w:t>132121</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B76B9E" w14:textId="77777777" w:rsidR="00E52AC1" w:rsidRPr="00E77A88"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9.47</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8A8796B" w14:textId="77777777" w:rsidR="00E52AC1" w:rsidRPr="00E77A88"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17.87</w:t>
            </w:r>
          </w:p>
        </w:tc>
        <w:tc>
          <w:tcPr>
            <w:tcW w:w="900" w:type="dxa"/>
            <w:tcBorders>
              <w:top w:val="nil"/>
              <w:left w:val="nil"/>
              <w:bottom w:val="single" w:sz="4" w:space="0" w:color="auto"/>
              <w:right w:val="single" w:sz="4" w:space="0" w:color="auto"/>
            </w:tcBorders>
            <w:shd w:val="clear" w:color="auto" w:fill="auto"/>
            <w:noWrap/>
            <w:vAlign w:val="bottom"/>
          </w:tcPr>
          <w:p w14:paraId="0246E2B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13.34</w:t>
            </w:r>
          </w:p>
        </w:tc>
        <w:tc>
          <w:tcPr>
            <w:tcW w:w="900" w:type="dxa"/>
            <w:tcBorders>
              <w:top w:val="nil"/>
              <w:left w:val="nil"/>
              <w:bottom w:val="single" w:sz="4" w:space="0" w:color="auto"/>
              <w:right w:val="single" w:sz="4" w:space="0" w:color="auto"/>
            </w:tcBorders>
            <w:shd w:val="clear" w:color="auto" w:fill="auto"/>
            <w:noWrap/>
            <w:vAlign w:val="bottom"/>
          </w:tcPr>
          <w:p w14:paraId="7474BFC6" w14:textId="77777777" w:rsidR="00E52AC1" w:rsidRPr="00991DD7" w:rsidRDefault="00E52AC1" w:rsidP="00E52AC1">
            <w:pPr>
              <w:spacing w:after="0" w:line="240" w:lineRule="auto"/>
              <w:jc w:val="both"/>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13.34</w:t>
            </w:r>
          </w:p>
        </w:tc>
        <w:tc>
          <w:tcPr>
            <w:tcW w:w="948" w:type="dxa"/>
            <w:tcBorders>
              <w:top w:val="nil"/>
              <w:left w:val="nil"/>
              <w:bottom w:val="single" w:sz="4" w:space="0" w:color="auto"/>
              <w:right w:val="single" w:sz="4" w:space="0" w:color="auto"/>
            </w:tcBorders>
            <w:shd w:val="clear" w:color="auto" w:fill="auto"/>
            <w:noWrap/>
            <w:vAlign w:val="bottom"/>
          </w:tcPr>
          <w:p w14:paraId="3DEE16B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71E9C709" w14:textId="77777777" w:rsidR="00E52AC1" w:rsidRPr="000644A3" w:rsidRDefault="00E52AC1" w:rsidP="00E52AC1">
            <w:pPr>
              <w:spacing w:after="0" w:line="240" w:lineRule="auto"/>
              <w:jc w:val="center"/>
              <w:rPr>
                <w:rFonts w:asciiTheme="majorHAnsi" w:eastAsia="Times New Roman" w:hAnsiTheme="majorHAnsi" w:cstheme="majorHAnsi"/>
                <w:color w:val="000000"/>
                <w:sz w:val="18"/>
                <w:szCs w:val="18"/>
              </w:rPr>
            </w:pPr>
            <w:r w:rsidRPr="000644A3">
              <w:rPr>
                <w:rFonts w:asciiTheme="majorHAnsi" w:eastAsia="Times New Roman" w:hAnsiTheme="majorHAnsi" w:cstheme="majorHAnsi"/>
                <w:color w:val="000000"/>
                <w:sz w:val="18"/>
                <w:szCs w:val="18"/>
              </w:rPr>
              <w:t>8.40</w:t>
            </w:r>
          </w:p>
        </w:tc>
        <w:tc>
          <w:tcPr>
            <w:tcW w:w="990" w:type="dxa"/>
            <w:tcBorders>
              <w:top w:val="nil"/>
              <w:left w:val="nil"/>
              <w:bottom w:val="single" w:sz="4" w:space="0" w:color="auto"/>
              <w:right w:val="single" w:sz="4" w:space="0" w:color="auto"/>
            </w:tcBorders>
            <w:shd w:val="clear" w:color="auto" w:fill="auto"/>
            <w:noWrap/>
            <w:vAlign w:val="bottom"/>
          </w:tcPr>
          <w:p w14:paraId="3085A7B2" w14:textId="77777777" w:rsidR="00E52AC1" w:rsidRPr="000644A3" w:rsidRDefault="00E52AC1" w:rsidP="00E52AC1">
            <w:pPr>
              <w:spacing w:after="0" w:line="240" w:lineRule="auto"/>
              <w:jc w:val="center"/>
              <w:rPr>
                <w:rFonts w:asciiTheme="majorHAnsi" w:eastAsia="Times New Roman" w:hAnsiTheme="majorHAnsi" w:cstheme="majorHAnsi"/>
                <w:color w:val="000000"/>
                <w:sz w:val="18"/>
                <w:szCs w:val="18"/>
              </w:rPr>
            </w:pPr>
            <w:r w:rsidRPr="000644A3">
              <w:rPr>
                <w:rFonts w:asciiTheme="majorHAnsi" w:eastAsia="Times New Roman" w:hAnsiTheme="majorHAnsi" w:cstheme="majorHAnsi"/>
                <w:color w:val="000000"/>
                <w:sz w:val="18"/>
                <w:szCs w:val="18"/>
              </w:rPr>
              <w:t>-4.54</w:t>
            </w:r>
          </w:p>
        </w:tc>
        <w:tc>
          <w:tcPr>
            <w:tcW w:w="990" w:type="dxa"/>
            <w:tcBorders>
              <w:top w:val="nil"/>
              <w:left w:val="nil"/>
              <w:bottom w:val="single" w:sz="4" w:space="0" w:color="auto"/>
              <w:right w:val="single" w:sz="4" w:space="0" w:color="auto"/>
            </w:tcBorders>
            <w:shd w:val="clear" w:color="auto" w:fill="auto"/>
            <w:noWrap/>
            <w:vAlign w:val="bottom"/>
          </w:tcPr>
          <w:p w14:paraId="127F2239" w14:textId="77777777" w:rsidR="00E52AC1" w:rsidRPr="000644A3" w:rsidRDefault="00E52AC1" w:rsidP="00E52AC1">
            <w:pPr>
              <w:spacing w:after="0" w:line="240" w:lineRule="auto"/>
              <w:jc w:val="center"/>
              <w:rPr>
                <w:rFonts w:asciiTheme="majorHAnsi" w:eastAsia="Times New Roman" w:hAnsiTheme="majorHAnsi" w:cstheme="majorHAnsi"/>
                <w:color w:val="000000"/>
                <w:sz w:val="18"/>
                <w:szCs w:val="18"/>
              </w:rPr>
            </w:pPr>
            <w:r w:rsidRPr="000644A3">
              <w:rPr>
                <w:rFonts w:asciiTheme="majorHAnsi" w:eastAsia="Times New Roman" w:hAnsiTheme="majorHAnsi" w:cstheme="majorHAnsi"/>
                <w:color w:val="000000"/>
                <w:sz w:val="18"/>
                <w:szCs w:val="18"/>
              </w:rPr>
              <w:t>74.61</w:t>
            </w:r>
          </w:p>
        </w:tc>
        <w:tc>
          <w:tcPr>
            <w:tcW w:w="1080" w:type="dxa"/>
            <w:tcBorders>
              <w:top w:val="nil"/>
              <w:left w:val="nil"/>
              <w:bottom w:val="single" w:sz="4" w:space="0" w:color="auto"/>
              <w:right w:val="single" w:sz="4" w:space="0" w:color="auto"/>
            </w:tcBorders>
            <w:shd w:val="clear" w:color="auto" w:fill="auto"/>
            <w:noWrap/>
            <w:vAlign w:val="bottom"/>
          </w:tcPr>
          <w:p w14:paraId="32508DEB" w14:textId="77777777" w:rsidR="00E52AC1" w:rsidRPr="000644A3" w:rsidRDefault="00E52AC1" w:rsidP="00E52AC1">
            <w:pPr>
              <w:tabs>
                <w:tab w:val="left" w:pos="528"/>
              </w:tabs>
              <w:spacing w:after="0" w:line="240" w:lineRule="auto"/>
              <w:jc w:val="center"/>
              <w:rPr>
                <w:rFonts w:asciiTheme="majorHAnsi" w:eastAsia="Times New Roman" w:hAnsiTheme="majorHAnsi" w:cstheme="majorHAnsi"/>
                <w:color w:val="000000"/>
                <w:sz w:val="18"/>
                <w:szCs w:val="18"/>
              </w:rPr>
            </w:pPr>
            <w:r w:rsidRPr="000644A3">
              <w:rPr>
                <w:rFonts w:asciiTheme="majorHAnsi" w:eastAsia="Times New Roman" w:hAnsiTheme="majorHAnsi" w:cstheme="majorHAnsi"/>
                <w:color w:val="000000"/>
                <w:sz w:val="18"/>
                <w:szCs w:val="18"/>
              </w:rPr>
              <w:t>-4.54</w:t>
            </w:r>
          </w:p>
        </w:tc>
        <w:tc>
          <w:tcPr>
            <w:tcW w:w="1156" w:type="dxa"/>
            <w:tcBorders>
              <w:top w:val="nil"/>
              <w:left w:val="nil"/>
              <w:bottom w:val="single" w:sz="4" w:space="0" w:color="auto"/>
              <w:right w:val="single" w:sz="4" w:space="0" w:color="auto"/>
            </w:tcBorders>
            <w:shd w:val="clear" w:color="auto" w:fill="auto"/>
            <w:noWrap/>
            <w:vAlign w:val="bottom"/>
          </w:tcPr>
          <w:p w14:paraId="57614676" w14:textId="77777777" w:rsidR="00E52AC1" w:rsidRPr="000644A3" w:rsidRDefault="00E52AC1" w:rsidP="00E52AC1">
            <w:pPr>
              <w:spacing w:after="0" w:line="240" w:lineRule="auto"/>
              <w:jc w:val="center"/>
              <w:rPr>
                <w:rFonts w:asciiTheme="majorHAnsi" w:eastAsia="Times New Roman" w:hAnsiTheme="majorHAnsi" w:cstheme="majorHAnsi"/>
                <w:color w:val="000000"/>
                <w:sz w:val="18"/>
                <w:szCs w:val="18"/>
              </w:rPr>
            </w:pPr>
            <w:r w:rsidRPr="000644A3">
              <w:rPr>
                <w:rFonts w:asciiTheme="majorHAnsi" w:eastAsia="Times New Roman" w:hAnsiTheme="majorHAnsi" w:cstheme="majorHAnsi"/>
                <w:color w:val="000000"/>
                <w:sz w:val="18"/>
                <w:szCs w:val="18"/>
              </w:rPr>
              <w:t>74.61</w:t>
            </w:r>
          </w:p>
        </w:tc>
      </w:tr>
      <w:tr w:rsidR="00E52AC1" w:rsidRPr="00991DD7" w14:paraId="1736CF01"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278B00BE"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hideMark/>
          </w:tcPr>
          <w:p w14:paraId="1AA83485" w14:textId="77777777" w:rsidR="00E52AC1" w:rsidRPr="00854B70" w:rsidRDefault="00E52AC1" w:rsidP="00E52AC1">
            <w:pPr>
              <w:spacing w:after="0" w:line="240" w:lineRule="auto"/>
              <w:jc w:val="both"/>
              <w:rPr>
                <w:rFonts w:asciiTheme="majorHAnsi" w:eastAsia="Times New Roman" w:hAnsiTheme="majorHAnsi" w:cstheme="majorHAnsi"/>
                <w:b/>
                <w:i/>
                <w:iCs/>
                <w:color w:val="000000"/>
                <w:sz w:val="18"/>
                <w:szCs w:val="18"/>
              </w:rPr>
            </w:pPr>
            <w:r w:rsidRPr="00854B70">
              <w:rPr>
                <w:rFonts w:asciiTheme="majorHAnsi" w:eastAsia="Times New Roman" w:hAnsiTheme="majorHAnsi" w:cstheme="majorHAnsi"/>
                <w:b/>
                <w:i/>
                <w:iCs/>
                <w:color w:val="000000"/>
                <w:sz w:val="18"/>
                <w:szCs w:val="18"/>
              </w:rPr>
              <w:t>142</w:t>
            </w:r>
          </w:p>
        </w:tc>
        <w:tc>
          <w:tcPr>
            <w:tcW w:w="1004" w:type="dxa"/>
            <w:tcBorders>
              <w:top w:val="nil"/>
              <w:left w:val="nil"/>
              <w:bottom w:val="single" w:sz="4" w:space="0" w:color="auto"/>
              <w:right w:val="single" w:sz="4" w:space="0" w:color="auto"/>
            </w:tcBorders>
            <w:shd w:val="clear" w:color="auto" w:fill="auto"/>
            <w:noWrap/>
            <w:vAlign w:val="bottom"/>
            <w:hideMark/>
          </w:tcPr>
          <w:p w14:paraId="41F38E56" w14:textId="77777777" w:rsidR="00E52AC1" w:rsidRPr="002531CA" w:rsidRDefault="00E52AC1" w:rsidP="00E52AC1">
            <w:pPr>
              <w:spacing w:after="0" w:line="240" w:lineRule="auto"/>
              <w:jc w:val="center"/>
              <w:rPr>
                <w:rFonts w:asciiTheme="majorHAnsi" w:eastAsia="Times New Roman" w:hAnsiTheme="majorHAnsi" w:cstheme="majorHAnsi"/>
                <w:b/>
                <w:color w:val="000000"/>
                <w:sz w:val="18"/>
                <w:szCs w:val="18"/>
              </w:rPr>
            </w:pPr>
            <w:r w:rsidRPr="002531CA">
              <w:rPr>
                <w:rFonts w:asciiTheme="majorHAnsi" w:eastAsia="Times New Roman" w:hAnsiTheme="majorHAnsi" w:cstheme="majorHAnsi"/>
                <w:b/>
                <w:color w:val="000000"/>
                <w:sz w:val="18"/>
                <w:szCs w:val="18"/>
              </w:rPr>
              <w:t>250.07</w:t>
            </w:r>
          </w:p>
        </w:tc>
        <w:tc>
          <w:tcPr>
            <w:tcW w:w="900" w:type="dxa"/>
            <w:tcBorders>
              <w:top w:val="nil"/>
              <w:left w:val="nil"/>
              <w:bottom w:val="single" w:sz="4" w:space="0" w:color="auto"/>
              <w:right w:val="single" w:sz="4" w:space="0" w:color="auto"/>
            </w:tcBorders>
            <w:shd w:val="clear" w:color="auto" w:fill="auto"/>
            <w:noWrap/>
            <w:vAlign w:val="bottom"/>
            <w:hideMark/>
          </w:tcPr>
          <w:p w14:paraId="37A83FAD" w14:textId="77777777" w:rsidR="00E52AC1" w:rsidRPr="002531CA" w:rsidRDefault="00E52AC1" w:rsidP="00E52AC1">
            <w:pPr>
              <w:spacing w:after="0" w:line="240" w:lineRule="auto"/>
              <w:jc w:val="center"/>
              <w:rPr>
                <w:rFonts w:asciiTheme="majorHAnsi" w:eastAsia="Times New Roman" w:hAnsiTheme="majorHAnsi" w:cstheme="majorHAnsi"/>
                <w:b/>
                <w:color w:val="000000"/>
                <w:sz w:val="18"/>
                <w:szCs w:val="18"/>
              </w:rPr>
            </w:pPr>
            <w:r w:rsidRPr="002531CA">
              <w:rPr>
                <w:rFonts w:asciiTheme="majorHAnsi" w:eastAsia="Times New Roman" w:hAnsiTheme="majorHAnsi" w:cstheme="majorHAnsi"/>
                <w:b/>
                <w:color w:val="000000"/>
                <w:sz w:val="18"/>
                <w:szCs w:val="18"/>
              </w:rPr>
              <w:t>250.36</w:t>
            </w:r>
          </w:p>
        </w:tc>
        <w:tc>
          <w:tcPr>
            <w:tcW w:w="900" w:type="dxa"/>
            <w:tcBorders>
              <w:top w:val="nil"/>
              <w:left w:val="nil"/>
              <w:bottom w:val="single" w:sz="4" w:space="0" w:color="auto"/>
              <w:right w:val="single" w:sz="4" w:space="0" w:color="auto"/>
            </w:tcBorders>
            <w:shd w:val="clear" w:color="auto" w:fill="auto"/>
            <w:noWrap/>
            <w:vAlign w:val="bottom"/>
            <w:hideMark/>
          </w:tcPr>
          <w:p w14:paraId="4C9F9FCC" w14:textId="77777777" w:rsidR="00E52AC1" w:rsidRPr="002531CA" w:rsidRDefault="00E52AC1" w:rsidP="00E52AC1">
            <w:pPr>
              <w:spacing w:after="0" w:line="240" w:lineRule="auto"/>
              <w:jc w:val="center"/>
              <w:rPr>
                <w:rFonts w:asciiTheme="majorHAnsi" w:eastAsia="Times New Roman" w:hAnsiTheme="majorHAnsi" w:cstheme="majorHAnsi"/>
                <w:b/>
                <w:color w:val="000000"/>
                <w:sz w:val="18"/>
                <w:szCs w:val="18"/>
              </w:rPr>
            </w:pPr>
            <w:r w:rsidRPr="002531CA">
              <w:rPr>
                <w:rFonts w:asciiTheme="majorHAnsi" w:eastAsia="Times New Roman" w:hAnsiTheme="majorHAnsi" w:cstheme="majorHAnsi"/>
                <w:b/>
                <w:color w:val="000000"/>
                <w:sz w:val="18"/>
                <w:szCs w:val="18"/>
              </w:rPr>
              <w:t>232.47</w:t>
            </w:r>
          </w:p>
        </w:tc>
        <w:tc>
          <w:tcPr>
            <w:tcW w:w="900" w:type="dxa"/>
            <w:tcBorders>
              <w:top w:val="nil"/>
              <w:left w:val="nil"/>
              <w:bottom w:val="single" w:sz="4" w:space="0" w:color="auto"/>
              <w:right w:val="single" w:sz="4" w:space="0" w:color="auto"/>
            </w:tcBorders>
            <w:shd w:val="clear" w:color="auto" w:fill="auto"/>
            <w:noWrap/>
            <w:vAlign w:val="bottom"/>
            <w:hideMark/>
          </w:tcPr>
          <w:p w14:paraId="22C227AF" w14:textId="77777777" w:rsidR="00E52AC1" w:rsidRPr="00C05BD5" w:rsidRDefault="00E52AC1" w:rsidP="00E52AC1">
            <w:pPr>
              <w:spacing w:after="0" w:line="240" w:lineRule="auto"/>
              <w:jc w:val="center"/>
              <w:rPr>
                <w:rFonts w:asciiTheme="majorHAnsi" w:eastAsia="Times New Roman" w:hAnsiTheme="majorHAnsi" w:cstheme="majorHAnsi"/>
                <w:b/>
                <w:color w:val="000000"/>
                <w:sz w:val="18"/>
                <w:szCs w:val="18"/>
              </w:rPr>
            </w:pPr>
            <w:r w:rsidRPr="00C05BD5">
              <w:rPr>
                <w:rFonts w:asciiTheme="majorHAnsi" w:eastAsia="Times New Roman" w:hAnsiTheme="majorHAnsi" w:cstheme="majorHAnsi"/>
                <w:b/>
                <w:color w:val="000000"/>
                <w:sz w:val="18"/>
                <w:szCs w:val="18"/>
              </w:rPr>
              <w:t>246.70</w:t>
            </w:r>
          </w:p>
        </w:tc>
        <w:tc>
          <w:tcPr>
            <w:tcW w:w="948" w:type="dxa"/>
            <w:tcBorders>
              <w:top w:val="nil"/>
              <w:left w:val="nil"/>
              <w:bottom w:val="single" w:sz="4" w:space="0" w:color="auto"/>
              <w:right w:val="single" w:sz="4" w:space="0" w:color="auto"/>
            </w:tcBorders>
            <w:shd w:val="clear" w:color="auto" w:fill="auto"/>
            <w:noWrap/>
            <w:vAlign w:val="bottom"/>
            <w:hideMark/>
          </w:tcPr>
          <w:p w14:paraId="0D791E7F" w14:textId="77777777" w:rsidR="00E52AC1" w:rsidRPr="00C05BD5" w:rsidRDefault="00E52AC1" w:rsidP="00E52AC1">
            <w:pPr>
              <w:spacing w:after="0" w:line="240" w:lineRule="auto"/>
              <w:jc w:val="center"/>
              <w:rPr>
                <w:rFonts w:asciiTheme="majorHAnsi" w:eastAsia="Times New Roman" w:hAnsiTheme="majorHAnsi" w:cstheme="majorHAnsi"/>
                <w:b/>
                <w:color w:val="000000"/>
                <w:sz w:val="18"/>
                <w:szCs w:val="18"/>
              </w:rPr>
            </w:pPr>
            <w:r w:rsidRPr="00C05BD5">
              <w:rPr>
                <w:rFonts w:asciiTheme="majorHAnsi" w:eastAsia="Times New Roman" w:hAnsiTheme="majorHAnsi" w:cstheme="majorHAnsi"/>
                <w:b/>
                <w:color w:val="000000"/>
                <w:sz w:val="18"/>
                <w:szCs w:val="18"/>
              </w:rPr>
              <w:t>2.88</w:t>
            </w:r>
          </w:p>
        </w:tc>
        <w:tc>
          <w:tcPr>
            <w:tcW w:w="1080" w:type="dxa"/>
            <w:tcBorders>
              <w:top w:val="nil"/>
              <w:left w:val="nil"/>
              <w:bottom w:val="single" w:sz="4" w:space="0" w:color="auto"/>
              <w:right w:val="single" w:sz="4" w:space="0" w:color="auto"/>
            </w:tcBorders>
            <w:shd w:val="clear" w:color="auto" w:fill="auto"/>
            <w:noWrap/>
            <w:vAlign w:val="bottom"/>
            <w:hideMark/>
          </w:tcPr>
          <w:p w14:paraId="7A93B145" w14:textId="77777777" w:rsidR="00E52AC1" w:rsidRPr="00AA0246" w:rsidRDefault="00E52AC1" w:rsidP="00E52AC1">
            <w:pPr>
              <w:spacing w:after="0" w:line="240" w:lineRule="auto"/>
              <w:jc w:val="center"/>
              <w:rPr>
                <w:rFonts w:asciiTheme="majorHAnsi" w:eastAsia="Times New Roman" w:hAnsiTheme="majorHAnsi" w:cstheme="majorHAnsi"/>
                <w:b/>
                <w:color w:val="000000"/>
                <w:sz w:val="18"/>
                <w:szCs w:val="18"/>
              </w:rPr>
            </w:pPr>
            <w:r w:rsidRPr="00AA0246">
              <w:rPr>
                <w:rFonts w:asciiTheme="majorHAnsi" w:eastAsia="Times New Roman" w:hAnsiTheme="majorHAnsi" w:cstheme="majorHAnsi"/>
                <w:b/>
                <w:color w:val="000000"/>
                <w:sz w:val="18"/>
                <w:szCs w:val="18"/>
              </w:rPr>
              <w:t>0.29</w:t>
            </w:r>
          </w:p>
        </w:tc>
        <w:tc>
          <w:tcPr>
            <w:tcW w:w="990" w:type="dxa"/>
            <w:tcBorders>
              <w:top w:val="nil"/>
              <w:left w:val="nil"/>
              <w:bottom w:val="single" w:sz="4" w:space="0" w:color="auto"/>
              <w:right w:val="single" w:sz="4" w:space="0" w:color="auto"/>
            </w:tcBorders>
            <w:shd w:val="clear" w:color="auto" w:fill="auto"/>
            <w:noWrap/>
            <w:vAlign w:val="bottom"/>
            <w:hideMark/>
          </w:tcPr>
          <w:p w14:paraId="0F049AAE" w14:textId="77777777" w:rsidR="00E52AC1" w:rsidRPr="00AA0246" w:rsidRDefault="00E52AC1" w:rsidP="00E52AC1">
            <w:pPr>
              <w:spacing w:after="0" w:line="240" w:lineRule="auto"/>
              <w:jc w:val="center"/>
              <w:rPr>
                <w:rFonts w:asciiTheme="majorHAnsi" w:eastAsia="Times New Roman" w:hAnsiTheme="majorHAnsi" w:cstheme="majorHAnsi"/>
                <w:b/>
                <w:color w:val="000000"/>
                <w:sz w:val="18"/>
                <w:szCs w:val="18"/>
              </w:rPr>
            </w:pPr>
            <w:r w:rsidRPr="00AA0246">
              <w:rPr>
                <w:rFonts w:asciiTheme="majorHAnsi" w:eastAsia="Times New Roman" w:hAnsiTheme="majorHAnsi" w:cstheme="majorHAnsi"/>
                <w:b/>
                <w:color w:val="000000"/>
                <w:sz w:val="18"/>
                <w:szCs w:val="18"/>
              </w:rPr>
              <w:t>-17.89</w:t>
            </w:r>
          </w:p>
        </w:tc>
        <w:tc>
          <w:tcPr>
            <w:tcW w:w="990" w:type="dxa"/>
            <w:tcBorders>
              <w:top w:val="nil"/>
              <w:left w:val="nil"/>
              <w:bottom w:val="single" w:sz="4" w:space="0" w:color="auto"/>
              <w:right w:val="single" w:sz="4" w:space="0" w:color="auto"/>
            </w:tcBorders>
            <w:shd w:val="clear" w:color="auto" w:fill="auto"/>
            <w:noWrap/>
            <w:vAlign w:val="bottom"/>
            <w:hideMark/>
          </w:tcPr>
          <w:p w14:paraId="3EAECD5E" w14:textId="77777777" w:rsidR="00E52AC1" w:rsidRPr="00AA0246" w:rsidRDefault="00E52AC1" w:rsidP="00E52AC1">
            <w:pPr>
              <w:spacing w:after="0" w:line="240" w:lineRule="auto"/>
              <w:jc w:val="center"/>
              <w:rPr>
                <w:rFonts w:asciiTheme="majorHAnsi" w:eastAsia="Times New Roman" w:hAnsiTheme="majorHAnsi" w:cstheme="majorHAnsi"/>
                <w:b/>
                <w:color w:val="000000"/>
                <w:sz w:val="18"/>
                <w:szCs w:val="18"/>
              </w:rPr>
            </w:pPr>
            <w:r w:rsidRPr="00AA0246">
              <w:rPr>
                <w:rFonts w:asciiTheme="majorHAnsi" w:eastAsia="Times New Roman" w:hAnsiTheme="majorHAnsi" w:cstheme="majorHAnsi"/>
                <w:b/>
                <w:color w:val="000000"/>
                <w:sz w:val="18"/>
                <w:szCs w:val="18"/>
              </w:rPr>
              <w:t>92.85</w:t>
            </w:r>
          </w:p>
        </w:tc>
        <w:tc>
          <w:tcPr>
            <w:tcW w:w="1080" w:type="dxa"/>
            <w:tcBorders>
              <w:top w:val="nil"/>
              <w:left w:val="nil"/>
              <w:bottom w:val="single" w:sz="4" w:space="0" w:color="auto"/>
              <w:right w:val="single" w:sz="4" w:space="0" w:color="auto"/>
            </w:tcBorders>
            <w:shd w:val="clear" w:color="auto" w:fill="auto"/>
            <w:noWrap/>
            <w:vAlign w:val="bottom"/>
            <w:hideMark/>
          </w:tcPr>
          <w:p w14:paraId="530965EA" w14:textId="77777777" w:rsidR="00E52AC1" w:rsidRPr="00AA0246" w:rsidRDefault="00E52AC1" w:rsidP="00E52AC1">
            <w:pPr>
              <w:tabs>
                <w:tab w:val="left" w:pos="528"/>
              </w:tabs>
              <w:spacing w:after="0" w:line="240" w:lineRule="auto"/>
              <w:jc w:val="center"/>
              <w:rPr>
                <w:rFonts w:asciiTheme="majorHAnsi" w:eastAsia="Times New Roman" w:hAnsiTheme="majorHAnsi" w:cstheme="majorHAnsi"/>
                <w:b/>
                <w:color w:val="000000"/>
                <w:sz w:val="18"/>
                <w:szCs w:val="18"/>
              </w:rPr>
            </w:pPr>
            <w:r w:rsidRPr="00AA0246">
              <w:rPr>
                <w:rFonts w:asciiTheme="majorHAnsi" w:eastAsia="Times New Roman" w:hAnsiTheme="majorHAnsi" w:cstheme="majorHAnsi"/>
                <w:b/>
                <w:color w:val="000000"/>
                <w:sz w:val="18"/>
                <w:szCs w:val="18"/>
              </w:rPr>
              <w:t>-3.66</w:t>
            </w:r>
          </w:p>
        </w:tc>
        <w:tc>
          <w:tcPr>
            <w:tcW w:w="1156" w:type="dxa"/>
            <w:tcBorders>
              <w:top w:val="nil"/>
              <w:left w:val="nil"/>
              <w:bottom w:val="single" w:sz="4" w:space="0" w:color="auto"/>
              <w:right w:val="single" w:sz="4" w:space="0" w:color="auto"/>
            </w:tcBorders>
            <w:shd w:val="clear" w:color="auto" w:fill="auto"/>
            <w:noWrap/>
            <w:vAlign w:val="bottom"/>
            <w:hideMark/>
          </w:tcPr>
          <w:p w14:paraId="2A97A8E3" w14:textId="77777777" w:rsidR="00E52AC1" w:rsidRPr="00AA0246" w:rsidRDefault="00E52AC1" w:rsidP="00E52AC1">
            <w:pPr>
              <w:spacing w:after="0" w:line="240" w:lineRule="auto"/>
              <w:jc w:val="center"/>
              <w:rPr>
                <w:rFonts w:asciiTheme="majorHAnsi" w:eastAsia="Times New Roman" w:hAnsiTheme="majorHAnsi" w:cstheme="majorHAnsi"/>
                <w:b/>
                <w:color w:val="000000"/>
                <w:sz w:val="18"/>
                <w:szCs w:val="18"/>
              </w:rPr>
            </w:pPr>
            <w:r w:rsidRPr="00AA0246">
              <w:rPr>
                <w:rFonts w:asciiTheme="majorHAnsi" w:eastAsia="Times New Roman" w:hAnsiTheme="majorHAnsi" w:cstheme="majorHAnsi"/>
                <w:b/>
                <w:color w:val="000000"/>
                <w:sz w:val="18"/>
                <w:szCs w:val="18"/>
              </w:rPr>
              <w:t>98.54</w:t>
            </w:r>
          </w:p>
        </w:tc>
      </w:tr>
      <w:tr w:rsidR="00E52AC1" w:rsidRPr="00991DD7" w14:paraId="36B341E9" w14:textId="77777777" w:rsidTr="00E52AC1">
        <w:trPr>
          <w:trHeight w:val="251"/>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2CB0183B"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Încasări de la prestarea serviciilor cu plata</w:t>
            </w:r>
          </w:p>
        </w:tc>
        <w:tc>
          <w:tcPr>
            <w:tcW w:w="964" w:type="dxa"/>
            <w:tcBorders>
              <w:top w:val="nil"/>
              <w:left w:val="nil"/>
              <w:bottom w:val="single" w:sz="4" w:space="0" w:color="auto"/>
              <w:right w:val="single" w:sz="4" w:space="0" w:color="auto"/>
            </w:tcBorders>
            <w:shd w:val="clear" w:color="auto" w:fill="auto"/>
            <w:noWrap/>
            <w:vAlign w:val="bottom"/>
            <w:hideMark/>
          </w:tcPr>
          <w:p w14:paraId="7A9E521E"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142310</w:t>
            </w:r>
          </w:p>
        </w:tc>
        <w:tc>
          <w:tcPr>
            <w:tcW w:w="1004" w:type="dxa"/>
            <w:tcBorders>
              <w:top w:val="nil"/>
              <w:left w:val="nil"/>
              <w:bottom w:val="single" w:sz="4" w:space="0" w:color="auto"/>
              <w:right w:val="single" w:sz="4" w:space="0" w:color="auto"/>
            </w:tcBorders>
            <w:shd w:val="clear" w:color="auto" w:fill="auto"/>
            <w:noWrap/>
            <w:vAlign w:val="bottom"/>
            <w:hideMark/>
          </w:tcPr>
          <w:p w14:paraId="26C13C1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21.74</w:t>
            </w:r>
          </w:p>
        </w:tc>
        <w:tc>
          <w:tcPr>
            <w:tcW w:w="900" w:type="dxa"/>
            <w:tcBorders>
              <w:top w:val="nil"/>
              <w:left w:val="nil"/>
              <w:bottom w:val="single" w:sz="4" w:space="0" w:color="auto"/>
              <w:right w:val="single" w:sz="4" w:space="0" w:color="auto"/>
            </w:tcBorders>
            <w:shd w:val="clear" w:color="auto" w:fill="auto"/>
            <w:noWrap/>
            <w:vAlign w:val="bottom"/>
            <w:hideMark/>
          </w:tcPr>
          <w:p w14:paraId="5E2A12B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17.70</w:t>
            </w:r>
          </w:p>
        </w:tc>
        <w:tc>
          <w:tcPr>
            <w:tcW w:w="900" w:type="dxa"/>
            <w:tcBorders>
              <w:top w:val="nil"/>
              <w:left w:val="nil"/>
              <w:bottom w:val="single" w:sz="4" w:space="0" w:color="auto"/>
              <w:right w:val="single" w:sz="4" w:space="0" w:color="auto"/>
            </w:tcBorders>
            <w:shd w:val="clear" w:color="auto" w:fill="auto"/>
            <w:noWrap/>
            <w:vAlign w:val="bottom"/>
            <w:hideMark/>
          </w:tcPr>
          <w:p w14:paraId="0F1C0B3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14.96</w:t>
            </w:r>
          </w:p>
        </w:tc>
        <w:tc>
          <w:tcPr>
            <w:tcW w:w="900" w:type="dxa"/>
            <w:tcBorders>
              <w:top w:val="nil"/>
              <w:left w:val="nil"/>
              <w:bottom w:val="single" w:sz="4" w:space="0" w:color="auto"/>
              <w:right w:val="single" w:sz="4" w:space="0" w:color="auto"/>
            </w:tcBorders>
            <w:shd w:val="clear" w:color="auto" w:fill="auto"/>
            <w:noWrap/>
            <w:vAlign w:val="bottom"/>
            <w:hideMark/>
          </w:tcPr>
          <w:p w14:paraId="41E5DFB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14.68</w:t>
            </w:r>
          </w:p>
        </w:tc>
        <w:tc>
          <w:tcPr>
            <w:tcW w:w="948" w:type="dxa"/>
            <w:tcBorders>
              <w:top w:val="nil"/>
              <w:left w:val="nil"/>
              <w:bottom w:val="single" w:sz="4" w:space="0" w:color="auto"/>
              <w:right w:val="single" w:sz="4" w:space="0" w:color="auto"/>
            </w:tcBorders>
            <w:shd w:val="clear" w:color="auto" w:fill="auto"/>
            <w:noWrap/>
            <w:vAlign w:val="bottom"/>
            <w:hideMark/>
          </w:tcPr>
          <w:p w14:paraId="2AC460E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0.20</w:t>
            </w:r>
          </w:p>
        </w:tc>
        <w:tc>
          <w:tcPr>
            <w:tcW w:w="1080" w:type="dxa"/>
            <w:tcBorders>
              <w:top w:val="nil"/>
              <w:left w:val="nil"/>
              <w:bottom w:val="single" w:sz="4" w:space="0" w:color="auto"/>
              <w:right w:val="single" w:sz="4" w:space="0" w:color="auto"/>
            </w:tcBorders>
            <w:shd w:val="clear" w:color="auto" w:fill="auto"/>
            <w:noWrap/>
            <w:vAlign w:val="bottom"/>
            <w:hideMark/>
          </w:tcPr>
          <w:p w14:paraId="4AC717B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-4.04</w:t>
            </w:r>
          </w:p>
        </w:tc>
        <w:tc>
          <w:tcPr>
            <w:tcW w:w="990" w:type="dxa"/>
            <w:tcBorders>
              <w:top w:val="nil"/>
              <w:left w:val="nil"/>
              <w:bottom w:val="single" w:sz="4" w:space="0" w:color="auto"/>
              <w:right w:val="single" w:sz="4" w:space="0" w:color="auto"/>
            </w:tcBorders>
            <w:shd w:val="clear" w:color="auto" w:fill="auto"/>
            <w:noWrap/>
            <w:vAlign w:val="bottom"/>
            <w:hideMark/>
          </w:tcPr>
          <w:p w14:paraId="52E5F3D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-2.74</w:t>
            </w:r>
          </w:p>
        </w:tc>
        <w:tc>
          <w:tcPr>
            <w:tcW w:w="990" w:type="dxa"/>
            <w:tcBorders>
              <w:top w:val="nil"/>
              <w:left w:val="nil"/>
              <w:bottom w:val="single" w:sz="4" w:space="0" w:color="auto"/>
              <w:right w:val="single" w:sz="4" w:space="0" w:color="auto"/>
            </w:tcBorders>
            <w:shd w:val="clear" w:color="auto" w:fill="auto"/>
            <w:noWrap/>
            <w:vAlign w:val="bottom"/>
            <w:hideMark/>
          </w:tcPr>
          <w:p w14:paraId="5AC76A1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84.50</w:t>
            </w:r>
          </w:p>
        </w:tc>
        <w:tc>
          <w:tcPr>
            <w:tcW w:w="1080" w:type="dxa"/>
            <w:tcBorders>
              <w:top w:val="nil"/>
              <w:left w:val="nil"/>
              <w:bottom w:val="single" w:sz="4" w:space="0" w:color="auto"/>
              <w:right w:val="single" w:sz="4" w:space="0" w:color="auto"/>
            </w:tcBorders>
            <w:shd w:val="clear" w:color="auto" w:fill="auto"/>
            <w:noWrap/>
            <w:vAlign w:val="bottom"/>
            <w:hideMark/>
          </w:tcPr>
          <w:p w14:paraId="2F3D29E1" w14:textId="77777777" w:rsidR="00E52AC1" w:rsidRPr="00991DD7" w:rsidRDefault="00E52AC1" w:rsidP="00E52AC1">
            <w:pPr>
              <w:tabs>
                <w:tab w:val="left" w:pos="528"/>
              </w:tabs>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-3.02</w:t>
            </w:r>
          </w:p>
        </w:tc>
        <w:tc>
          <w:tcPr>
            <w:tcW w:w="1156" w:type="dxa"/>
            <w:tcBorders>
              <w:top w:val="nil"/>
              <w:left w:val="nil"/>
              <w:bottom w:val="single" w:sz="4" w:space="0" w:color="auto"/>
              <w:right w:val="single" w:sz="4" w:space="0" w:color="auto"/>
            </w:tcBorders>
            <w:shd w:val="clear" w:color="auto" w:fill="auto"/>
            <w:noWrap/>
            <w:vAlign w:val="bottom"/>
            <w:hideMark/>
          </w:tcPr>
          <w:p w14:paraId="587C617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82.95</w:t>
            </w:r>
          </w:p>
        </w:tc>
      </w:tr>
      <w:tr w:rsidR="00E52AC1" w:rsidRPr="00991DD7" w14:paraId="6C4AAC12" w14:textId="77777777" w:rsidTr="00E52AC1">
        <w:trPr>
          <w:trHeight w:val="260"/>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15F445EA"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Plata pentru locațiunea bunurilor patrimoniului public</w:t>
            </w:r>
          </w:p>
        </w:tc>
        <w:tc>
          <w:tcPr>
            <w:tcW w:w="964" w:type="dxa"/>
            <w:tcBorders>
              <w:top w:val="nil"/>
              <w:left w:val="nil"/>
              <w:bottom w:val="single" w:sz="4" w:space="0" w:color="auto"/>
              <w:right w:val="single" w:sz="4" w:space="0" w:color="auto"/>
            </w:tcBorders>
            <w:shd w:val="clear" w:color="auto" w:fill="auto"/>
            <w:noWrap/>
            <w:vAlign w:val="bottom"/>
            <w:hideMark/>
          </w:tcPr>
          <w:p w14:paraId="572AD34F"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142320</w:t>
            </w:r>
          </w:p>
        </w:tc>
        <w:tc>
          <w:tcPr>
            <w:tcW w:w="1004" w:type="dxa"/>
            <w:tcBorders>
              <w:top w:val="nil"/>
              <w:left w:val="nil"/>
              <w:bottom w:val="single" w:sz="4" w:space="0" w:color="auto"/>
              <w:right w:val="single" w:sz="4" w:space="0" w:color="auto"/>
            </w:tcBorders>
            <w:shd w:val="clear" w:color="auto" w:fill="auto"/>
            <w:noWrap/>
            <w:vAlign w:val="bottom"/>
            <w:hideMark/>
          </w:tcPr>
          <w:p w14:paraId="20F96B7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228.29</w:t>
            </w:r>
          </w:p>
        </w:tc>
        <w:tc>
          <w:tcPr>
            <w:tcW w:w="900" w:type="dxa"/>
            <w:tcBorders>
              <w:top w:val="nil"/>
              <w:left w:val="nil"/>
              <w:bottom w:val="single" w:sz="4" w:space="0" w:color="auto"/>
              <w:right w:val="single" w:sz="4" w:space="0" w:color="auto"/>
            </w:tcBorders>
            <w:shd w:val="clear" w:color="auto" w:fill="auto"/>
            <w:noWrap/>
            <w:vAlign w:val="bottom"/>
            <w:hideMark/>
          </w:tcPr>
          <w:p w14:paraId="1B9CB86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232.54</w:t>
            </w:r>
          </w:p>
        </w:tc>
        <w:tc>
          <w:tcPr>
            <w:tcW w:w="900" w:type="dxa"/>
            <w:tcBorders>
              <w:top w:val="nil"/>
              <w:left w:val="nil"/>
              <w:bottom w:val="single" w:sz="4" w:space="0" w:color="auto"/>
              <w:right w:val="single" w:sz="4" w:space="0" w:color="auto"/>
            </w:tcBorders>
            <w:shd w:val="clear" w:color="auto" w:fill="auto"/>
            <w:noWrap/>
            <w:vAlign w:val="bottom"/>
            <w:hideMark/>
          </w:tcPr>
          <w:p w14:paraId="665B312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217.34</w:t>
            </w:r>
          </w:p>
        </w:tc>
        <w:tc>
          <w:tcPr>
            <w:tcW w:w="900" w:type="dxa"/>
            <w:tcBorders>
              <w:top w:val="nil"/>
              <w:left w:val="nil"/>
              <w:bottom w:val="single" w:sz="4" w:space="0" w:color="auto"/>
              <w:right w:val="single" w:sz="4" w:space="0" w:color="auto"/>
            </w:tcBorders>
            <w:shd w:val="clear" w:color="auto" w:fill="auto"/>
            <w:noWrap/>
            <w:vAlign w:val="bottom"/>
            <w:hideMark/>
          </w:tcPr>
          <w:p w14:paraId="5379173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231.84</w:t>
            </w:r>
          </w:p>
        </w:tc>
        <w:tc>
          <w:tcPr>
            <w:tcW w:w="948" w:type="dxa"/>
            <w:tcBorders>
              <w:top w:val="nil"/>
              <w:left w:val="nil"/>
              <w:bottom w:val="single" w:sz="4" w:space="0" w:color="auto"/>
              <w:right w:val="single" w:sz="4" w:space="0" w:color="auto"/>
            </w:tcBorders>
            <w:shd w:val="clear" w:color="auto" w:fill="auto"/>
            <w:noWrap/>
            <w:vAlign w:val="bottom"/>
            <w:hideMark/>
          </w:tcPr>
          <w:p w14:paraId="677D148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2.68</w:t>
            </w:r>
          </w:p>
        </w:tc>
        <w:tc>
          <w:tcPr>
            <w:tcW w:w="1080" w:type="dxa"/>
            <w:tcBorders>
              <w:top w:val="nil"/>
              <w:left w:val="nil"/>
              <w:bottom w:val="single" w:sz="4" w:space="0" w:color="auto"/>
              <w:right w:val="single" w:sz="4" w:space="0" w:color="auto"/>
            </w:tcBorders>
            <w:shd w:val="clear" w:color="auto" w:fill="auto"/>
            <w:noWrap/>
            <w:vAlign w:val="bottom"/>
            <w:hideMark/>
          </w:tcPr>
          <w:p w14:paraId="4488DCE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4.25</w:t>
            </w:r>
          </w:p>
        </w:tc>
        <w:tc>
          <w:tcPr>
            <w:tcW w:w="990" w:type="dxa"/>
            <w:tcBorders>
              <w:top w:val="nil"/>
              <w:left w:val="nil"/>
              <w:bottom w:val="single" w:sz="4" w:space="0" w:color="auto"/>
              <w:right w:val="single" w:sz="4" w:space="0" w:color="auto"/>
            </w:tcBorders>
            <w:shd w:val="clear" w:color="auto" w:fill="auto"/>
            <w:noWrap/>
            <w:vAlign w:val="bottom"/>
            <w:hideMark/>
          </w:tcPr>
          <w:p w14:paraId="518E5DC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-15.21</w:t>
            </w:r>
          </w:p>
        </w:tc>
        <w:tc>
          <w:tcPr>
            <w:tcW w:w="990" w:type="dxa"/>
            <w:tcBorders>
              <w:top w:val="nil"/>
              <w:left w:val="nil"/>
              <w:bottom w:val="single" w:sz="4" w:space="0" w:color="auto"/>
              <w:right w:val="single" w:sz="4" w:space="0" w:color="auto"/>
            </w:tcBorders>
            <w:shd w:val="clear" w:color="auto" w:fill="auto"/>
            <w:noWrap/>
            <w:vAlign w:val="bottom"/>
            <w:hideMark/>
          </w:tcPr>
          <w:p w14:paraId="5DB19F4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93.46</w:t>
            </w:r>
          </w:p>
        </w:tc>
        <w:tc>
          <w:tcPr>
            <w:tcW w:w="1080" w:type="dxa"/>
            <w:tcBorders>
              <w:top w:val="nil"/>
              <w:left w:val="nil"/>
              <w:bottom w:val="single" w:sz="4" w:space="0" w:color="auto"/>
              <w:right w:val="single" w:sz="4" w:space="0" w:color="auto"/>
            </w:tcBorders>
            <w:shd w:val="clear" w:color="auto" w:fill="auto"/>
            <w:noWrap/>
            <w:vAlign w:val="bottom"/>
            <w:hideMark/>
          </w:tcPr>
          <w:p w14:paraId="02380871" w14:textId="77777777" w:rsidR="00E52AC1" w:rsidRPr="00991DD7" w:rsidRDefault="00E52AC1" w:rsidP="00E52AC1">
            <w:pPr>
              <w:tabs>
                <w:tab w:val="left" w:pos="528"/>
              </w:tabs>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-0.70</w:t>
            </w:r>
          </w:p>
        </w:tc>
        <w:tc>
          <w:tcPr>
            <w:tcW w:w="1156" w:type="dxa"/>
            <w:tcBorders>
              <w:top w:val="nil"/>
              <w:left w:val="nil"/>
              <w:bottom w:val="single" w:sz="4" w:space="0" w:color="auto"/>
              <w:right w:val="single" w:sz="4" w:space="0" w:color="auto"/>
            </w:tcBorders>
            <w:shd w:val="clear" w:color="auto" w:fill="auto"/>
            <w:noWrap/>
            <w:vAlign w:val="bottom"/>
            <w:hideMark/>
          </w:tcPr>
          <w:p w14:paraId="3AA8798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99.70</w:t>
            </w:r>
          </w:p>
        </w:tc>
      </w:tr>
      <w:tr w:rsidR="00E52AC1" w:rsidRPr="00991DD7" w14:paraId="7C3BD3A6" w14:textId="77777777" w:rsidTr="00E52AC1">
        <w:trPr>
          <w:trHeight w:val="260"/>
        </w:trPr>
        <w:tc>
          <w:tcPr>
            <w:tcW w:w="4140" w:type="dxa"/>
            <w:tcBorders>
              <w:top w:val="nil"/>
              <w:left w:val="single" w:sz="4" w:space="0" w:color="auto"/>
              <w:bottom w:val="single" w:sz="4" w:space="0" w:color="auto"/>
              <w:right w:val="single" w:sz="4" w:space="0" w:color="auto"/>
            </w:tcBorders>
            <w:shd w:val="clear" w:color="auto" w:fill="auto"/>
            <w:vAlign w:val="bottom"/>
          </w:tcPr>
          <w:p w14:paraId="07B82DB2"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6B367B">
              <w:rPr>
                <w:rFonts w:asciiTheme="majorHAnsi" w:eastAsia="Times New Roman" w:hAnsiTheme="majorHAnsi" w:cstheme="majorHAnsi"/>
                <w:b/>
                <w:bCs/>
                <w:color w:val="000000"/>
                <w:sz w:val="18"/>
                <w:szCs w:val="18"/>
              </w:rPr>
              <w:t>Alte mijloace bănești intrate legal in posesia autorităților/instituțiilor bugetare</w:t>
            </w:r>
          </w:p>
        </w:tc>
        <w:tc>
          <w:tcPr>
            <w:tcW w:w="964" w:type="dxa"/>
            <w:tcBorders>
              <w:top w:val="nil"/>
              <w:left w:val="nil"/>
              <w:bottom w:val="single" w:sz="4" w:space="0" w:color="auto"/>
              <w:right w:val="single" w:sz="4" w:space="0" w:color="auto"/>
            </w:tcBorders>
            <w:shd w:val="clear" w:color="auto" w:fill="auto"/>
            <w:noWrap/>
            <w:vAlign w:val="bottom"/>
          </w:tcPr>
          <w:p w14:paraId="3FBDC295"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6B367B">
              <w:rPr>
                <w:rFonts w:asciiTheme="majorHAnsi" w:eastAsia="Times New Roman" w:hAnsiTheme="majorHAnsi" w:cstheme="majorHAnsi"/>
                <w:i/>
                <w:iCs/>
                <w:color w:val="000000"/>
                <w:sz w:val="18"/>
                <w:szCs w:val="18"/>
              </w:rPr>
              <w:t>142391</w:t>
            </w:r>
          </w:p>
        </w:tc>
        <w:tc>
          <w:tcPr>
            <w:tcW w:w="1004" w:type="dxa"/>
            <w:tcBorders>
              <w:top w:val="nil"/>
              <w:left w:val="nil"/>
              <w:bottom w:val="single" w:sz="4" w:space="0" w:color="auto"/>
              <w:right w:val="single" w:sz="4" w:space="0" w:color="auto"/>
            </w:tcBorders>
            <w:shd w:val="clear" w:color="auto" w:fill="auto"/>
            <w:noWrap/>
            <w:vAlign w:val="bottom"/>
          </w:tcPr>
          <w:p w14:paraId="6DDE9B7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0.04</w:t>
            </w:r>
          </w:p>
        </w:tc>
        <w:tc>
          <w:tcPr>
            <w:tcW w:w="900" w:type="dxa"/>
            <w:tcBorders>
              <w:top w:val="nil"/>
              <w:left w:val="nil"/>
              <w:bottom w:val="single" w:sz="4" w:space="0" w:color="auto"/>
              <w:right w:val="single" w:sz="4" w:space="0" w:color="auto"/>
            </w:tcBorders>
            <w:shd w:val="clear" w:color="auto" w:fill="auto"/>
            <w:noWrap/>
            <w:vAlign w:val="bottom"/>
          </w:tcPr>
          <w:p w14:paraId="0FFE9C5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0.12</w:t>
            </w:r>
          </w:p>
        </w:tc>
        <w:tc>
          <w:tcPr>
            <w:tcW w:w="900" w:type="dxa"/>
            <w:tcBorders>
              <w:top w:val="nil"/>
              <w:left w:val="nil"/>
              <w:bottom w:val="single" w:sz="4" w:space="0" w:color="auto"/>
              <w:right w:val="single" w:sz="4" w:space="0" w:color="auto"/>
            </w:tcBorders>
            <w:shd w:val="clear" w:color="auto" w:fill="auto"/>
            <w:noWrap/>
            <w:vAlign w:val="bottom"/>
          </w:tcPr>
          <w:p w14:paraId="35C172E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0.18</w:t>
            </w:r>
          </w:p>
        </w:tc>
        <w:tc>
          <w:tcPr>
            <w:tcW w:w="900" w:type="dxa"/>
            <w:tcBorders>
              <w:top w:val="nil"/>
              <w:left w:val="nil"/>
              <w:bottom w:val="single" w:sz="4" w:space="0" w:color="auto"/>
              <w:right w:val="single" w:sz="4" w:space="0" w:color="auto"/>
            </w:tcBorders>
            <w:shd w:val="clear" w:color="auto" w:fill="auto"/>
            <w:noWrap/>
            <w:vAlign w:val="bottom"/>
          </w:tcPr>
          <w:p w14:paraId="5962D17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0.18</w:t>
            </w:r>
          </w:p>
        </w:tc>
        <w:tc>
          <w:tcPr>
            <w:tcW w:w="948" w:type="dxa"/>
            <w:tcBorders>
              <w:top w:val="nil"/>
              <w:left w:val="nil"/>
              <w:bottom w:val="single" w:sz="4" w:space="0" w:color="auto"/>
              <w:right w:val="single" w:sz="4" w:space="0" w:color="auto"/>
            </w:tcBorders>
            <w:shd w:val="clear" w:color="auto" w:fill="auto"/>
            <w:noWrap/>
            <w:vAlign w:val="bottom"/>
          </w:tcPr>
          <w:p w14:paraId="3F0A236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02FE406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0.08</w:t>
            </w:r>
          </w:p>
        </w:tc>
        <w:tc>
          <w:tcPr>
            <w:tcW w:w="990" w:type="dxa"/>
            <w:tcBorders>
              <w:top w:val="nil"/>
              <w:left w:val="nil"/>
              <w:bottom w:val="single" w:sz="4" w:space="0" w:color="auto"/>
              <w:right w:val="single" w:sz="4" w:space="0" w:color="auto"/>
            </w:tcBorders>
            <w:shd w:val="clear" w:color="auto" w:fill="auto"/>
            <w:noWrap/>
            <w:vAlign w:val="bottom"/>
          </w:tcPr>
          <w:p w14:paraId="6EFA6D0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0.06</w:t>
            </w:r>
          </w:p>
        </w:tc>
        <w:tc>
          <w:tcPr>
            <w:tcW w:w="990" w:type="dxa"/>
            <w:tcBorders>
              <w:top w:val="nil"/>
              <w:left w:val="nil"/>
              <w:bottom w:val="single" w:sz="4" w:space="0" w:color="auto"/>
              <w:right w:val="single" w:sz="4" w:space="0" w:color="auto"/>
            </w:tcBorders>
            <w:shd w:val="clear" w:color="auto" w:fill="auto"/>
            <w:noWrap/>
            <w:vAlign w:val="bottom"/>
          </w:tcPr>
          <w:p w14:paraId="1835F18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148.01</w:t>
            </w:r>
          </w:p>
        </w:tc>
        <w:tc>
          <w:tcPr>
            <w:tcW w:w="1080" w:type="dxa"/>
            <w:tcBorders>
              <w:top w:val="nil"/>
              <w:left w:val="nil"/>
              <w:bottom w:val="single" w:sz="4" w:space="0" w:color="auto"/>
              <w:right w:val="single" w:sz="4" w:space="0" w:color="auto"/>
            </w:tcBorders>
            <w:shd w:val="clear" w:color="auto" w:fill="auto"/>
            <w:noWrap/>
            <w:vAlign w:val="bottom"/>
          </w:tcPr>
          <w:p w14:paraId="687E9663" w14:textId="77777777" w:rsidR="00E52AC1" w:rsidRPr="00991DD7" w:rsidRDefault="00E52AC1" w:rsidP="00E52AC1">
            <w:pPr>
              <w:tabs>
                <w:tab w:val="left" w:pos="528"/>
              </w:tabs>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0.06</w:t>
            </w:r>
          </w:p>
        </w:tc>
        <w:tc>
          <w:tcPr>
            <w:tcW w:w="1156" w:type="dxa"/>
            <w:tcBorders>
              <w:top w:val="nil"/>
              <w:left w:val="nil"/>
              <w:bottom w:val="single" w:sz="4" w:space="0" w:color="auto"/>
              <w:right w:val="single" w:sz="4" w:space="0" w:color="auto"/>
            </w:tcBorders>
            <w:shd w:val="clear" w:color="auto" w:fill="auto"/>
            <w:noWrap/>
            <w:vAlign w:val="bottom"/>
          </w:tcPr>
          <w:p w14:paraId="5B5C3A7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148.01</w:t>
            </w:r>
          </w:p>
        </w:tc>
      </w:tr>
      <w:tr w:rsidR="00E52AC1" w:rsidRPr="00991DD7" w14:paraId="204627FC" w14:textId="77777777" w:rsidTr="00E52AC1">
        <w:trPr>
          <w:trHeight w:val="89"/>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1E338124"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hideMark/>
          </w:tcPr>
          <w:p w14:paraId="38EE030B" w14:textId="77777777" w:rsidR="00E52AC1" w:rsidRPr="00813A07" w:rsidRDefault="00E52AC1" w:rsidP="00E52AC1">
            <w:pPr>
              <w:spacing w:after="0" w:line="240" w:lineRule="auto"/>
              <w:jc w:val="both"/>
              <w:rPr>
                <w:rFonts w:asciiTheme="majorHAnsi" w:eastAsia="Times New Roman" w:hAnsiTheme="majorHAnsi" w:cstheme="majorHAnsi"/>
                <w:b/>
                <w:i/>
                <w:iCs/>
                <w:color w:val="000000"/>
                <w:sz w:val="18"/>
                <w:szCs w:val="18"/>
              </w:rPr>
            </w:pPr>
            <w:r w:rsidRPr="00813A07">
              <w:rPr>
                <w:rFonts w:asciiTheme="majorHAnsi" w:eastAsia="Times New Roman" w:hAnsiTheme="majorHAnsi" w:cstheme="majorHAnsi"/>
                <w:b/>
                <w:i/>
                <w:iCs/>
                <w:color w:val="000000"/>
                <w:sz w:val="18"/>
                <w:szCs w:val="18"/>
              </w:rPr>
              <w:t>144</w:t>
            </w:r>
          </w:p>
        </w:tc>
        <w:tc>
          <w:tcPr>
            <w:tcW w:w="1004" w:type="dxa"/>
            <w:tcBorders>
              <w:top w:val="nil"/>
              <w:left w:val="nil"/>
              <w:bottom w:val="single" w:sz="4" w:space="0" w:color="auto"/>
              <w:right w:val="single" w:sz="4" w:space="0" w:color="auto"/>
            </w:tcBorders>
            <w:shd w:val="clear" w:color="auto" w:fill="auto"/>
            <w:noWrap/>
            <w:vAlign w:val="bottom"/>
            <w:hideMark/>
          </w:tcPr>
          <w:p w14:paraId="1DF782FB" w14:textId="77777777" w:rsidR="00E52AC1" w:rsidRPr="00813A07" w:rsidRDefault="00E52AC1" w:rsidP="00E52AC1">
            <w:pPr>
              <w:spacing w:after="0" w:line="240" w:lineRule="auto"/>
              <w:jc w:val="center"/>
              <w:rPr>
                <w:rFonts w:asciiTheme="majorHAnsi" w:eastAsia="Times New Roman" w:hAnsiTheme="majorHAnsi" w:cstheme="majorHAnsi"/>
                <w:b/>
                <w:color w:val="000000"/>
                <w:sz w:val="18"/>
                <w:szCs w:val="18"/>
              </w:rPr>
            </w:pPr>
            <w:r w:rsidRPr="00813A07">
              <w:rPr>
                <w:rFonts w:asciiTheme="majorHAnsi" w:eastAsia="Times New Roman" w:hAnsiTheme="majorHAnsi" w:cstheme="majorHAnsi"/>
                <w:b/>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B68A3B0" w14:textId="77777777" w:rsidR="00E52AC1" w:rsidRPr="00813A07" w:rsidRDefault="00E52AC1" w:rsidP="00E52AC1">
            <w:pPr>
              <w:spacing w:after="0" w:line="240" w:lineRule="auto"/>
              <w:jc w:val="center"/>
              <w:rPr>
                <w:rFonts w:asciiTheme="majorHAnsi" w:eastAsia="Times New Roman" w:hAnsiTheme="majorHAnsi" w:cstheme="majorHAnsi"/>
                <w:b/>
                <w:color w:val="000000"/>
                <w:sz w:val="18"/>
                <w:szCs w:val="18"/>
              </w:rPr>
            </w:pPr>
            <w:r w:rsidRPr="00813A07">
              <w:rPr>
                <w:rFonts w:asciiTheme="majorHAnsi" w:eastAsia="Times New Roman" w:hAnsiTheme="majorHAnsi" w:cstheme="majorHAnsi"/>
                <w:b/>
                <w:color w:val="000000"/>
                <w:sz w:val="18"/>
                <w:szCs w:val="18"/>
              </w:rPr>
              <w:t>0.67</w:t>
            </w:r>
          </w:p>
        </w:tc>
        <w:tc>
          <w:tcPr>
            <w:tcW w:w="900" w:type="dxa"/>
            <w:tcBorders>
              <w:top w:val="nil"/>
              <w:left w:val="nil"/>
              <w:bottom w:val="single" w:sz="4" w:space="0" w:color="auto"/>
              <w:right w:val="single" w:sz="4" w:space="0" w:color="auto"/>
            </w:tcBorders>
            <w:shd w:val="clear" w:color="auto" w:fill="auto"/>
            <w:noWrap/>
            <w:vAlign w:val="bottom"/>
            <w:hideMark/>
          </w:tcPr>
          <w:p w14:paraId="385C5BDF" w14:textId="77777777" w:rsidR="00E52AC1" w:rsidRPr="00813A07" w:rsidRDefault="00E52AC1" w:rsidP="00E52AC1">
            <w:pPr>
              <w:spacing w:after="0" w:line="240" w:lineRule="auto"/>
              <w:jc w:val="center"/>
              <w:rPr>
                <w:rFonts w:asciiTheme="majorHAnsi" w:eastAsia="Times New Roman" w:hAnsiTheme="majorHAnsi" w:cstheme="majorHAnsi"/>
                <w:b/>
                <w:color w:val="000000"/>
                <w:sz w:val="18"/>
                <w:szCs w:val="18"/>
              </w:rPr>
            </w:pPr>
            <w:r w:rsidRPr="00813A07">
              <w:rPr>
                <w:rFonts w:asciiTheme="majorHAnsi" w:eastAsia="Times New Roman" w:hAnsiTheme="majorHAnsi" w:cstheme="majorHAnsi"/>
                <w:b/>
                <w:color w:val="000000"/>
                <w:sz w:val="18"/>
                <w:szCs w:val="18"/>
              </w:rPr>
              <w:t>0.97</w:t>
            </w:r>
          </w:p>
        </w:tc>
        <w:tc>
          <w:tcPr>
            <w:tcW w:w="900" w:type="dxa"/>
            <w:tcBorders>
              <w:top w:val="nil"/>
              <w:left w:val="nil"/>
              <w:bottom w:val="single" w:sz="4" w:space="0" w:color="auto"/>
              <w:right w:val="single" w:sz="4" w:space="0" w:color="auto"/>
            </w:tcBorders>
            <w:shd w:val="clear" w:color="auto" w:fill="auto"/>
            <w:noWrap/>
            <w:vAlign w:val="bottom"/>
            <w:hideMark/>
          </w:tcPr>
          <w:p w14:paraId="4A3D580C" w14:textId="77777777" w:rsidR="00E52AC1" w:rsidRPr="00813A07" w:rsidRDefault="00E52AC1" w:rsidP="00E52AC1">
            <w:pPr>
              <w:spacing w:after="0" w:line="240" w:lineRule="auto"/>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1.42</w:t>
            </w:r>
          </w:p>
        </w:tc>
        <w:tc>
          <w:tcPr>
            <w:tcW w:w="948" w:type="dxa"/>
            <w:tcBorders>
              <w:top w:val="nil"/>
              <w:left w:val="nil"/>
              <w:bottom w:val="single" w:sz="4" w:space="0" w:color="auto"/>
              <w:right w:val="single" w:sz="4" w:space="0" w:color="auto"/>
            </w:tcBorders>
            <w:shd w:val="clear" w:color="auto" w:fill="auto"/>
            <w:noWrap/>
            <w:vAlign w:val="bottom"/>
            <w:hideMark/>
          </w:tcPr>
          <w:p w14:paraId="2E679CA0" w14:textId="77777777" w:rsidR="00E52AC1" w:rsidRPr="00813A07" w:rsidRDefault="00E52AC1" w:rsidP="00E52AC1">
            <w:pPr>
              <w:spacing w:after="0" w:line="240" w:lineRule="auto"/>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57F07EEA" w14:textId="77777777" w:rsidR="00E52AC1" w:rsidRPr="00BB728C" w:rsidRDefault="00E52AC1" w:rsidP="00E52AC1">
            <w:pPr>
              <w:spacing w:after="0" w:line="240" w:lineRule="auto"/>
              <w:jc w:val="center"/>
              <w:rPr>
                <w:rFonts w:asciiTheme="majorHAnsi" w:eastAsia="Times New Roman" w:hAnsiTheme="majorHAnsi" w:cstheme="majorHAnsi"/>
                <w:b/>
                <w:color w:val="000000"/>
                <w:sz w:val="18"/>
                <w:szCs w:val="18"/>
              </w:rPr>
            </w:pPr>
            <w:r w:rsidRPr="00BB728C">
              <w:rPr>
                <w:rFonts w:asciiTheme="majorHAnsi" w:eastAsia="Times New Roman" w:hAnsiTheme="majorHAnsi" w:cstheme="majorHAnsi"/>
                <w:b/>
                <w:color w:val="000000"/>
                <w:sz w:val="18"/>
                <w:szCs w:val="18"/>
              </w:rPr>
              <w:t>0.67</w:t>
            </w:r>
          </w:p>
        </w:tc>
        <w:tc>
          <w:tcPr>
            <w:tcW w:w="990" w:type="dxa"/>
            <w:tcBorders>
              <w:top w:val="nil"/>
              <w:left w:val="nil"/>
              <w:bottom w:val="single" w:sz="4" w:space="0" w:color="auto"/>
              <w:right w:val="single" w:sz="4" w:space="0" w:color="auto"/>
            </w:tcBorders>
            <w:shd w:val="clear" w:color="auto" w:fill="auto"/>
            <w:noWrap/>
            <w:vAlign w:val="bottom"/>
            <w:hideMark/>
          </w:tcPr>
          <w:p w14:paraId="4041BA37" w14:textId="77777777" w:rsidR="00E52AC1" w:rsidRPr="00BB728C" w:rsidRDefault="00E52AC1" w:rsidP="00E52AC1">
            <w:pPr>
              <w:spacing w:after="0" w:line="240" w:lineRule="auto"/>
              <w:jc w:val="center"/>
              <w:rPr>
                <w:rFonts w:asciiTheme="majorHAnsi" w:eastAsia="Times New Roman" w:hAnsiTheme="majorHAnsi" w:cstheme="majorHAnsi"/>
                <w:b/>
                <w:color w:val="000000"/>
                <w:sz w:val="18"/>
                <w:szCs w:val="18"/>
              </w:rPr>
            </w:pPr>
            <w:r w:rsidRPr="00BB728C">
              <w:rPr>
                <w:rFonts w:asciiTheme="majorHAnsi" w:eastAsia="Times New Roman" w:hAnsiTheme="majorHAnsi" w:cstheme="majorHAnsi"/>
                <w:b/>
                <w:color w:val="000000"/>
                <w:sz w:val="18"/>
                <w:szCs w:val="18"/>
              </w:rPr>
              <w:t>0.30</w:t>
            </w:r>
          </w:p>
        </w:tc>
        <w:tc>
          <w:tcPr>
            <w:tcW w:w="990" w:type="dxa"/>
            <w:tcBorders>
              <w:top w:val="nil"/>
              <w:left w:val="nil"/>
              <w:bottom w:val="single" w:sz="4" w:space="0" w:color="auto"/>
              <w:right w:val="single" w:sz="4" w:space="0" w:color="auto"/>
            </w:tcBorders>
            <w:shd w:val="clear" w:color="auto" w:fill="auto"/>
            <w:noWrap/>
            <w:vAlign w:val="bottom"/>
            <w:hideMark/>
          </w:tcPr>
          <w:p w14:paraId="34919657" w14:textId="77777777" w:rsidR="00E52AC1" w:rsidRPr="00BB728C" w:rsidRDefault="00E52AC1" w:rsidP="00E52AC1">
            <w:pPr>
              <w:spacing w:after="0" w:line="240" w:lineRule="auto"/>
              <w:jc w:val="center"/>
              <w:rPr>
                <w:rFonts w:asciiTheme="majorHAnsi" w:eastAsia="Times New Roman" w:hAnsiTheme="majorHAnsi" w:cstheme="majorHAnsi"/>
                <w:b/>
                <w:color w:val="000000"/>
                <w:sz w:val="18"/>
                <w:szCs w:val="18"/>
              </w:rPr>
            </w:pPr>
            <w:r w:rsidRPr="00BB728C">
              <w:rPr>
                <w:rFonts w:asciiTheme="majorHAnsi" w:eastAsia="Times New Roman" w:hAnsiTheme="majorHAnsi" w:cstheme="majorHAnsi"/>
                <w:b/>
                <w:color w:val="000000"/>
                <w:sz w:val="18"/>
                <w:szCs w:val="18"/>
              </w:rPr>
              <w:t>145.61</w:t>
            </w:r>
          </w:p>
        </w:tc>
        <w:tc>
          <w:tcPr>
            <w:tcW w:w="1080" w:type="dxa"/>
            <w:tcBorders>
              <w:top w:val="nil"/>
              <w:left w:val="nil"/>
              <w:bottom w:val="single" w:sz="4" w:space="0" w:color="auto"/>
              <w:right w:val="single" w:sz="4" w:space="0" w:color="auto"/>
            </w:tcBorders>
            <w:shd w:val="clear" w:color="auto" w:fill="auto"/>
            <w:noWrap/>
            <w:vAlign w:val="bottom"/>
            <w:hideMark/>
          </w:tcPr>
          <w:p w14:paraId="50415096" w14:textId="77777777" w:rsidR="00E52AC1" w:rsidRPr="00BB728C" w:rsidRDefault="00E52AC1" w:rsidP="00E52AC1">
            <w:pPr>
              <w:tabs>
                <w:tab w:val="left" w:pos="528"/>
              </w:tabs>
              <w:spacing w:after="0" w:line="240" w:lineRule="auto"/>
              <w:jc w:val="center"/>
              <w:rPr>
                <w:rFonts w:asciiTheme="majorHAnsi" w:eastAsia="Times New Roman" w:hAnsiTheme="majorHAnsi" w:cstheme="majorHAnsi"/>
                <w:b/>
                <w:color w:val="000000"/>
                <w:sz w:val="18"/>
                <w:szCs w:val="18"/>
              </w:rPr>
            </w:pPr>
            <w:r w:rsidRPr="00BB728C">
              <w:rPr>
                <w:rFonts w:asciiTheme="majorHAnsi" w:eastAsia="Times New Roman" w:hAnsiTheme="majorHAnsi" w:cstheme="majorHAnsi"/>
                <w:b/>
                <w:color w:val="000000"/>
                <w:sz w:val="18"/>
                <w:szCs w:val="18"/>
              </w:rPr>
              <w:t>0.75</w:t>
            </w:r>
          </w:p>
        </w:tc>
        <w:tc>
          <w:tcPr>
            <w:tcW w:w="1156" w:type="dxa"/>
            <w:tcBorders>
              <w:top w:val="nil"/>
              <w:left w:val="nil"/>
              <w:bottom w:val="single" w:sz="4" w:space="0" w:color="auto"/>
              <w:right w:val="single" w:sz="4" w:space="0" w:color="auto"/>
            </w:tcBorders>
            <w:shd w:val="clear" w:color="auto" w:fill="auto"/>
            <w:noWrap/>
            <w:vAlign w:val="bottom"/>
            <w:hideMark/>
          </w:tcPr>
          <w:p w14:paraId="74BD612E" w14:textId="77777777" w:rsidR="00E52AC1" w:rsidRPr="00BB728C" w:rsidRDefault="00E52AC1" w:rsidP="00E52AC1">
            <w:pPr>
              <w:spacing w:after="0" w:line="240" w:lineRule="auto"/>
              <w:jc w:val="center"/>
              <w:rPr>
                <w:rFonts w:asciiTheme="majorHAnsi" w:eastAsia="Times New Roman" w:hAnsiTheme="majorHAnsi" w:cstheme="majorHAnsi"/>
                <w:b/>
                <w:color w:val="000000"/>
                <w:sz w:val="18"/>
                <w:szCs w:val="18"/>
              </w:rPr>
            </w:pPr>
            <w:r w:rsidRPr="00BB728C">
              <w:rPr>
                <w:rFonts w:asciiTheme="majorHAnsi" w:eastAsia="Times New Roman" w:hAnsiTheme="majorHAnsi" w:cstheme="majorHAnsi"/>
                <w:b/>
                <w:color w:val="000000"/>
                <w:sz w:val="18"/>
                <w:szCs w:val="18"/>
              </w:rPr>
              <w:t>145.61</w:t>
            </w:r>
          </w:p>
        </w:tc>
      </w:tr>
      <w:tr w:rsidR="00E52AC1" w:rsidRPr="00991DD7" w14:paraId="3FCD57E9" w14:textId="77777777" w:rsidTr="00E52AC1">
        <w:trPr>
          <w:trHeight w:val="503"/>
        </w:trPr>
        <w:tc>
          <w:tcPr>
            <w:tcW w:w="4140" w:type="dxa"/>
            <w:tcBorders>
              <w:top w:val="nil"/>
              <w:left w:val="single" w:sz="4" w:space="0" w:color="auto"/>
              <w:bottom w:val="single" w:sz="4" w:space="0" w:color="auto"/>
              <w:right w:val="single" w:sz="4" w:space="0" w:color="auto"/>
            </w:tcBorders>
            <w:shd w:val="clear" w:color="auto" w:fill="auto"/>
            <w:vAlign w:val="bottom"/>
          </w:tcPr>
          <w:p w14:paraId="3E78B534"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6B367B">
              <w:rPr>
                <w:rFonts w:asciiTheme="majorHAnsi" w:eastAsia="Times New Roman" w:hAnsiTheme="majorHAnsi" w:cstheme="majorHAnsi"/>
                <w:b/>
                <w:bCs/>
                <w:color w:val="000000"/>
                <w:sz w:val="18"/>
                <w:szCs w:val="18"/>
              </w:rPr>
              <w:t>Donații voluntare pentru cheltuieli curente din surse interne pentru instituțiile bugetare</w:t>
            </w:r>
          </w:p>
        </w:tc>
        <w:tc>
          <w:tcPr>
            <w:tcW w:w="964" w:type="dxa"/>
            <w:tcBorders>
              <w:top w:val="nil"/>
              <w:left w:val="nil"/>
              <w:bottom w:val="single" w:sz="4" w:space="0" w:color="auto"/>
              <w:right w:val="single" w:sz="4" w:space="0" w:color="auto"/>
            </w:tcBorders>
            <w:shd w:val="clear" w:color="auto" w:fill="auto"/>
            <w:noWrap/>
            <w:vAlign w:val="bottom"/>
          </w:tcPr>
          <w:p w14:paraId="37CC70BF"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6B367B">
              <w:rPr>
                <w:rFonts w:asciiTheme="majorHAnsi" w:eastAsia="Times New Roman" w:hAnsiTheme="majorHAnsi" w:cstheme="majorHAnsi"/>
                <w:i/>
                <w:iCs/>
                <w:color w:val="000000"/>
                <w:sz w:val="18"/>
                <w:szCs w:val="18"/>
              </w:rPr>
              <w:t>144114</w:t>
            </w:r>
          </w:p>
        </w:tc>
        <w:tc>
          <w:tcPr>
            <w:tcW w:w="1004" w:type="dxa"/>
            <w:tcBorders>
              <w:top w:val="nil"/>
              <w:left w:val="nil"/>
              <w:bottom w:val="single" w:sz="4" w:space="0" w:color="auto"/>
              <w:right w:val="single" w:sz="4" w:space="0" w:color="auto"/>
            </w:tcBorders>
            <w:shd w:val="clear" w:color="auto" w:fill="auto"/>
            <w:noWrap/>
            <w:vAlign w:val="bottom"/>
          </w:tcPr>
          <w:p w14:paraId="390E159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6C5F49A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1E985E1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565D44A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0.45</w:t>
            </w:r>
          </w:p>
        </w:tc>
        <w:tc>
          <w:tcPr>
            <w:tcW w:w="948" w:type="dxa"/>
            <w:tcBorders>
              <w:top w:val="nil"/>
              <w:left w:val="nil"/>
              <w:bottom w:val="single" w:sz="4" w:space="0" w:color="auto"/>
              <w:right w:val="single" w:sz="4" w:space="0" w:color="auto"/>
            </w:tcBorders>
            <w:shd w:val="clear" w:color="auto" w:fill="auto"/>
            <w:noWrap/>
            <w:vAlign w:val="bottom"/>
          </w:tcPr>
          <w:p w14:paraId="5320C23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2AC8A81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6EE5D6A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026852A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7738B5D9" w14:textId="77777777" w:rsidR="00E52AC1" w:rsidRPr="00991DD7" w:rsidRDefault="00E52AC1" w:rsidP="00E52AC1">
            <w:pPr>
              <w:tabs>
                <w:tab w:val="left" w:pos="528"/>
              </w:tabs>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0.45</w:t>
            </w:r>
          </w:p>
        </w:tc>
        <w:tc>
          <w:tcPr>
            <w:tcW w:w="1156" w:type="dxa"/>
            <w:tcBorders>
              <w:top w:val="nil"/>
              <w:left w:val="nil"/>
              <w:bottom w:val="single" w:sz="4" w:space="0" w:color="auto"/>
              <w:right w:val="single" w:sz="4" w:space="0" w:color="auto"/>
            </w:tcBorders>
            <w:shd w:val="clear" w:color="auto" w:fill="auto"/>
            <w:noWrap/>
            <w:vAlign w:val="bottom"/>
          </w:tcPr>
          <w:p w14:paraId="55A5417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3A63BFCE" w14:textId="77777777" w:rsidTr="00E52AC1">
        <w:trPr>
          <w:trHeight w:val="503"/>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43B24BC7"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Donații voluntare pentru cheltuieli curente din surse externe pentru instituțiile bugetare</w:t>
            </w:r>
          </w:p>
        </w:tc>
        <w:tc>
          <w:tcPr>
            <w:tcW w:w="964" w:type="dxa"/>
            <w:tcBorders>
              <w:top w:val="nil"/>
              <w:left w:val="nil"/>
              <w:bottom w:val="single" w:sz="4" w:space="0" w:color="auto"/>
              <w:right w:val="single" w:sz="4" w:space="0" w:color="auto"/>
            </w:tcBorders>
            <w:shd w:val="clear" w:color="auto" w:fill="auto"/>
            <w:noWrap/>
            <w:vAlign w:val="bottom"/>
            <w:hideMark/>
          </w:tcPr>
          <w:p w14:paraId="2A11EBBC"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144124</w:t>
            </w:r>
          </w:p>
        </w:tc>
        <w:tc>
          <w:tcPr>
            <w:tcW w:w="1004" w:type="dxa"/>
            <w:tcBorders>
              <w:top w:val="nil"/>
              <w:left w:val="nil"/>
              <w:bottom w:val="single" w:sz="4" w:space="0" w:color="auto"/>
              <w:right w:val="single" w:sz="4" w:space="0" w:color="auto"/>
            </w:tcBorders>
            <w:shd w:val="clear" w:color="auto" w:fill="auto"/>
            <w:noWrap/>
            <w:vAlign w:val="bottom"/>
            <w:hideMark/>
          </w:tcPr>
          <w:p w14:paraId="0C8D47F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30F93B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0.67</w:t>
            </w:r>
          </w:p>
        </w:tc>
        <w:tc>
          <w:tcPr>
            <w:tcW w:w="900" w:type="dxa"/>
            <w:tcBorders>
              <w:top w:val="nil"/>
              <w:left w:val="nil"/>
              <w:bottom w:val="single" w:sz="4" w:space="0" w:color="auto"/>
              <w:right w:val="single" w:sz="4" w:space="0" w:color="auto"/>
            </w:tcBorders>
            <w:shd w:val="clear" w:color="auto" w:fill="auto"/>
            <w:noWrap/>
            <w:vAlign w:val="bottom"/>
            <w:hideMark/>
          </w:tcPr>
          <w:p w14:paraId="27A1E4E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0.97</w:t>
            </w:r>
          </w:p>
        </w:tc>
        <w:tc>
          <w:tcPr>
            <w:tcW w:w="900" w:type="dxa"/>
            <w:tcBorders>
              <w:top w:val="nil"/>
              <w:left w:val="nil"/>
              <w:bottom w:val="single" w:sz="4" w:space="0" w:color="auto"/>
              <w:right w:val="single" w:sz="4" w:space="0" w:color="auto"/>
            </w:tcBorders>
            <w:shd w:val="clear" w:color="auto" w:fill="auto"/>
            <w:noWrap/>
            <w:vAlign w:val="bottom"/>
            <w:hideMark/>
          </w:tcPr>
          <w:p w14:paraId="08D6AE6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0.97</w:t>
            </w:r>
          </w:p>
        </w:tc>
        <w:tc>
          <w:tcPr>
            <w:tcW w:w="948" w:type="dxa"/>
            <w:tcBorders>
              <w:top w:val="nil"/>
              <w:left w:val="nil"/>
              <w:bottom w:val="single" w:sz="4" w:space="0" w:color="auto"/>
              <w:right w:val="single" w:sz="4" w:space="0" w:color="auto"/>
            </w:tcBorders>
            <w:shd w:val="clear" w:color="auto" w:fill="auto"/>
            <w:noWrap/>
            <w:vAlign w:val="bottom"/>
            <w:hideMark/>
          </w:tcPr>
          <w:p w14:paraId="2EEDB2B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6FEE9FC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0.67</w:t>
            </w:r>
          </w:p>
        </w:tc>
        <w:tc>
          <w:tcPr>
            <w:tcW w:w="990" w:type="dxa"/>
            <w:tcBorders>
              <w:top w:val="nil"/>
              <w:left w:val="nil"/>
              <w:bottom w:val="single" w:sz="4" w:space="0" w:color="auto"/>
              <w:right w:val="single" w:sz="4" w:space="0" w:color="auto"/>
            </w:tcBorders>
            <w:shd w:val="clear" w:color="auto" w:fill="auto"/>
            <w:noWrap/>
            <w:vAlign w:val="bottom"/>
            <w:hideMark/>
          </w:tcPr>
          <w:p w14:paraId="30755C9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0.30</w:t>
            </w:r>
          </w:p>
        </w:tc>
        <w:tc>
          <w:tcPr>
            <w:tcW w:w="990" w:type="dxa"/>
            <w:tcBorders>
              <w:top w:val="nil"/>
              <w:left w:val="nil"/>
              <w:bottom w:val="single" w:sz="4" w:space="0" w:color="auto"/>
              <w:right w:val="single" w:sz="4" w:space="0" w:color="auto"/>
            </w:tcBorders>
            <w:shd w:val="clear" w:color="auto" w:fill="auto"/>
            <w:noWrap/>
            <w:vAlign w:val="bottom"/>
            <w:hideMark/>
          </w:tcPr>
          <w:p w14:paraId="216D833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145.61</w:t>
            </w:r>
          </w:p>
        </w:tc>
        <w:tc>
          <w:tcPr>
            <w:tcW w:w="1080" w:type="dxa"/>
            <w:tcBorders>
              <w:top w:val="nil"/>
              <w:left w:val="nil"/>
              <w:bottom w:val="single" w:sz="4" w:space="0" w:color="auto"/>
              <w:right w:val="single" w:sz="4" w:space="0" w:color="auto"/>
            </w:tcBorders>
            <w:shd w:val="clear" w:color="auto" w:fill="auto"/>
            <w:noWrap/>
            <w:vAlign w:val="bottom"/>
            <w:hideMark/>
          </w:tcPr>
          <w:p w14:paraId="014EB816" w14:textId="77777777" w:rsidR="00E52AC1" w:rsidRPr="00991DD7" w:rsidRDefault="00E52AC1" w:rsidP="00E52AC1">
            <w:pPr>
              <w:tabs>
                <w:tab w:val="left" w:pos="528"/>
              </w:tabs>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0.30</w:t>
            </w:r>
          </w:p>
        </w:tc>
        <w:tc>
          <w:tcPr>
            <w:tcW w:w="1156" w:type="dxa"/>
            <w:tcBorders>
              <w:top w:val="nil"/>
              <w:left w:val="nil"/>
              <w:bottom w:val="single" w:sz="4" w:space="0" w:color="auto"/>
              <w:right w:val="single" w:sz="4" w:space="0" w:color="auto"/>
            </w:tcBorders>
            <w:shd w:val="clear" w:color="auto" w:fill="auto"/>
            <w:noWrap/>
            <w:vAlign w:val="bottom"/>
            <w:hideMark/>
          </w:tcPr>
          <w:p w14:paraId="43F8C9D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145.61</w:t>
            </w:r>
          </w:p>
        </w:tc>
      </w:tr>
      <w:tr w:rsidR="00E52AC1" w:rsidRPr="00991DD7" w14:paraId="0A95D706" w14:textId="77777777" w:rsidTr="00E52AC1">
        <w:trPr>
          <w:trHeight w:val="18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1FC21575"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hideMark/>
          </w:tcPr>
          <w:p w14:paraId="73BDF840" w14:textId="77777777" w:rsidR="00E52AC1" w:rsidRPr="004D2929" w:rsidRDefault="00E52AC1" w:rsidP="00E52AC1">
            <w:pPr>
              <w:spacing w:after="0" w:line="240" w:lineRule="auto"/>
              <w:jc w:val="both"/>
              <w:rPr>
                <w:rFonts w:asciiTheme="majorHAnsi" w:eastAsia="Times New Roman" w:hAnsiTheme="majorHAnsi" w:cstheme="majorHAnsi"/>
                <w:b/>
                <w:i/>
                <w:iCs/>
                <w:color w:val="000000"/>
                <w:sz w:val="18"/>
                <w:szCs w:val="18"/>
              </w:rPr>
            </w:pPr>
            <w:r w:rsidRPr="004D2929">
              <w:rPr>
                <w:rFonts w:asciiTheme="majorHAnsi" w:eastAsia="Times New Roman" w:hAnsiTheme="majorHAnsi" w:cstheme="majorHAnsi"/>
                <w:b/>
                <w:i/>
                <w:iCs/>
                <w:color w:val="000000"/>
                <w:sz w:val="18"/>
                <w:szCs w:val="18"/>
              </w:rPr>
              <w:t>149</w:t>
            </w:r>
          </w:p>
        </w:tc>
        <w:tc>
          <w:tcPr>
            <w:tcW w:w="1004" w:type="dxa"/>
            <w:tcBorders>
              <w:top w:val="nil"/>
              <w:left w:val="nil"/>
              <w:bottom w:val="single" w:sz="4" w:space="0" w:color="auto"/>
              <w:right w:val="single" w:sz="4" w:space="0" w:color="auto"/>
            </w:tcBorders>
            <w:shd w:val="clear" w:color="auto" w:fill="auto"/>
            <w:noWrap/>
            <w:vAlign w:val="bottom"/>
            <w:hideMark/>
          </w:tcPr>
          <w:p w14:paraId="59E9ABC8" w14:textId="77777777" w:rsidR="00E52AC1" w:rsidRPr="004D2929" w:rsidRDefault="00E52AC1" w:rsidP="00E52AC1">
            <w:pPr>
              <w:spacing w:after="0" w:line="240" w:lineRule="auto"/>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1,431.64</w:t>
            </w:r>
          </w:p>
        </w:tc>
        <w:tc>
          <w:tcPr>
            <w:tcW w:w="900" w:type="dxa"/>
            <w:tcBorders>
              <w:top w:val="nil"/>
              <w:left w:val="nil"/>
              <w:bottom w:val="single" w:sz="4" w:space="0" w:color="auto"/>
              <w:right w:val="single" w:sz="4" w:space="0" w:color="auto"/>
            </w:tcBorders>
            <w:shd w:val="clear" w:color="auto" w:fill="auto"/>
            <w:noWrap/>
            <w:vAlign w:val="bottom"/>
            <w:hideMark/>
          </w:tcPr>
          <w:p w14:paraId="746FED4C" w14:textId="77777777" w:rsidR="00E52AC1" w:rsidRPr="004D2929" w:rsidRDefault="00E52AC1" w:rsidP="00E52AC1">
            <w:pPr>
              <w:spacing w:after="0" w:line="240" w:lineRule="auto"/>
              <w:jc w:val="center"/>
              <w:rPr>
                <w:rFonts w:asciiTheme="majorHAnsi" w:eastAsia="Times New Roman" w:hAnsiTheme="majorHAnsi" w:cstheme="majorHAnsi"/>
                <w:b/>
                <w:color w:val="000000"/>
                <w:sz w:val="18"/>
                <w:szCs w:val="18"/>
              </w:rPr>
            </w:pPr>
            <w:r w:rsidRPr="004D2929">
              <w:rPr>
                <w:rFonts w:asciiTheme="majorHAnsi" w:eastAsia="Times New Roman" w:hAnsiTheme="majorHAnsi" w:cstheme="majorHAnsi"/>
                <w:b/>
                <w:color w:val="000000"/>
                <w:sz w:val="18"/>
                <w:szCs w:val="18"/>
              </w:rPr>
              <w:t>1</w:t>
            </w:r>
            <w:r>
              <w:rPr>
                <w:rFonts w:asciiTheme="majorHAnsi" w:eastAsia="Times New Roman" w:hAnsiTheme="majorHAnsi" w:cstheme="majorHAnsi"/>
                <w:b/>
                <w:color w:val="000000"/>
                <w:sz w:val="18"/>
                <w:szCs w:val="18"/>
              </w:rPr>
              <w:t>,</w:t>
            </w:r>
            <w:r w:rsidRPr="004D2929">
              <w:rPr>
                <w:rFonts w:asciiTheme="majorHAnsi" w:eastAsia="Times New Roman" w:hAnsiTheme="majorHAnsi" w:cstheme="majorHAnsi"/>
                <w:b/>
                <w:color w:val="000000"/>
                <w:sz w:val="18"/>
                <w:szCs w:val="18"/>
              </w:rPr>
              <w:t>499.38</w:t>
            </w:r>
          </w:p>
        </w:tc>
        <w:tc>
          <w:tcPr>
            <w:tcW w:w="900" w:type="dxa"/>
            <w:tcBorders>
              <w:top w:val="nil"/>
              <w:left w:val="nil"/>
              <w:bottom w:val="single" w:sz="4" w:space="0" w:color="auto"/>
              <w:right w:val="single" w:sz="4" w:space="0" w:color="auto"/>
            </w:tcBorders>
            <w:shd w:val="clear" w:color="auto" w:fill="auto"/>
            <w:noWrap/>
            <w:vAlign w:val="bottom"/>
            <w:hideMark/>
          </w:tcPr>
          <w:p w14:paraId="04EF6E0E" w14:textId="77777777" w:rsidR="00E52AC1" w:rsidRPr="004D2929" w:rsidRDefault="00E52AC1" w:rsidP="00E52AC1">
            <w:pPr>
              <w:spacing w:after="0" w:line="240" w:lineRule="auto"/>
              <w:jc w:val="center"/>
              <w:rPr>
                <w:rFonts w:asciiTheme="majorHAnsi" w:eastAsia="Times New Roman" w:hAnsiTheme="majorHAnsi" w:cstheme="majorHAnsi"/>
                <w:b/>
                <w:color w:val="000000"/>
                <w:sz w:val="18"/>
                <w:szCs w:val="18"/>
              </w:rPr>
            </w:pPr>
            <w:r w:rsidRPr="004D2929">
              <w:rPr>
                <w:rFonts w:asciiTheme="majorHAnsi" w:eastAsia="Times New Roman" w:hAnsiTheme="majorHAnsi" w:cstheme="majorHAnsi"/>
                <w:b/>
                <w:color w:val="000000"/>
                <w:sz w:val="18"/>
                <w:szCs w:val="18"/>
              </w:rPr>
              <w:t>1</w:t>
            </w:r>
            <w:r>
              <w:rPr>
                <w:rFonts w:asciiTheme="majorHAnsi" w:eastAsia="Times New Roman" w:hAnsiTheme="majorHAnsi" w:cstheme="majorHAnsi"/>
                <w:b/>
                <w:color w:val="000000"/>
                <w:sz w:val="18"/>
                <w:szCs w:val="18"/>
              </w:rPr>
              <w:t>,</w:t>
            </w:r>
            <w:r w:rsidRPr="004D2929">
              <w:rPr>
                <w:rFonts w:asciiTheme="majorHAnsi" w:eastAsia="Times New Roman" w:hAnsiTheme="majorHAnsi" w:cstheme="majorHAnsi"/>
                <w:b/>
                <w:color w:val="000000"/>
                <w:sz w:val="18"/>
                <w:szCs w:val="18"/>
              </w:rPr>
              <w:t>364.06</w:t>
            </w:r>
          </w:p>
        </w:tc>
        <w:tc>
          <w:tcPr>
            <w:tcW w:w="900" w:type="dxa"/>
            <w:tcBorders>
              <w:top w:val="nil"/>
              <w:left w:val="nil"/>
              <w:bottom w:val="single" w:sz="4" w:space="0" w:color="auto"/>
              <w:right w:val="single" w:sz="4" w:space="0" w:color="auto"/>
            </w:tcBorders>
            <w:shd w:val="clear" w:color="auto" w:fill="auto"/>
            <w:noWrap/>
            <w:vAlign w:val="bottom"/>
            <w:hideMark/>
          </w:tcPr>
          <w:p w14:paraId="705DC2DC" w14:textId="77777777" w:rsidR="00E52AC1" w:rsidRPr="004D2929" w:rsidRDefault="00E52AC1" w:rsidP="00E52AC1">
            <w:pPr>
              <w:spacing w:after="0" w:line="240" w:lineRule="auto"/>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2,055.59</w:t>
            </w:r>
          </w:p>
        </w:tc>
        <w:tc>
          <w:tcPr>
            <w:tcW w:w="948" w:type="dxa"/>
            <w:tcBorders>
              <w:top w:val="nil"/>
              <w:left w:val="nil"/>
              <w:bottom w:val="single" w:sz="4" w:space="0" w:color="auto"/>
              <w:right w:val="single" w:sz="4" w:space="0" w:color="auto"/>
            </w:tcBorders>
            <w:shd w:val="clear" w:color="auto" w:fill="auto"/>
            <w:noWrap/>
            <w:vAlign w:val="bottom"/>
            <w:hideMark/>
          </w:tcPr>
          <w:p w14:paraId="58095F77" w14:textId="77777777" w:rsidR="00E52AC1" w:rsidRPr="004D2929" w:rsidRDefault="00E52AC1" w:rsidP="00E52AC1">
            <w:pPr>
              <w:spacing w:after="0" w:line="240" w:lineRule="auto"/>
              <w:jc w:val="center"/>
              <w:rPr>
                <w:rFonts w:asciiTheme="majorHAnsi" w:eastAsia="Times New Roman" w:hAnsiTheme="majorHAnsi" w:cstheme="majorHAnsi"/>
                <w:b/>
                <w:color w:val="000000"/>
                <w:sz w:val="18"/>
                <w:szCs w:val="18"/>
              </w:rPr>
            </w:pPr>
            <w:r w:rsidRPr="004D2929">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7AA047A5" w14:textId="77777777" w:rsidR="00E52AC1" w:rsidRPr="0051518C" w:rsidRDefault="00E52AC1" w:rsidP="00E52AC1">
            <w:pPr>
              <w:spacing w:after="0" w:line="240" w:lineRule="auto"/>
              <w:jc w:val="center"/>
              <w:rPr>
                <w:rFonts w:asciiTheme="majorHAnsi" w:eastAsia="Times New Roman" w:hAnsiTheme="majorHAnsi" w:cstheme="majorHAnsi"/>
                <w:b/>
                <w:color w:val="000000"/>
                <w:sz w:val="18"/>
                <w:szCs w:val="18"/>
              </w:rPr>
            </w:pPr>
            <w:r w:rsidRPr="0051518C">
              <w:rPr>
                <w:rFonts w:asciiTheme="majorHAnsi" w:eastAsia="Times New Roman" w:hAnsiTheme="majorHAnsi" w:cstheme="majorHAnsi"/>
                <w:b/>
                <w:color w:val="000000"/>
                <w:sz w:val="18"/>
                <w:szCs w:val="18"/>
              </w:rPr>
              <w:t>67.74</w:t>
            </w:r>
          </w:p>
        </w:tc>
        <w:tc>
          <w:tcPr>
            <w:tcW w:w="990" w:type="dxa"/>
            <w:tcBorders>
              <w:top w:val="nil"/>
              <w:left w:val="nil"/>
              <w:bottom w:val="single" w:sz="4" w:space="0" w:color="auto"/>
              <w:right w:val="single" w:sz="4" w:space="0" w:color="auto"/>
            </w:tcBorders>
            <w:shd w:val="clear" w:color="auto" w:fill="auto"/>
            <w:noWrap/>
            <w:vAlign w:val="bottom"/>
            <w:hideMark/>
          </w:tcPr>
          <w:p w14:paraId="71E988F6" w14:textId="77777777" w:rsidR="00E52AC1" w:rsidRPr="0051518C" w:rsidRDefault="00E52AC1" w:rsidP="00E52AC1">
            <w:pPr>
              <w:spacing w:after="0" w:line="240" w:lineRule="auto"/>
              <w:jc w:val="center"/>
              <w:rPr>
                <w:rFonts w:asciiTheme="majorHAnsi" w:eastAsia="Times New Roman" w:hAnsiTheme="majorHAnsi" w:cstheme="majorHAnsi"/>
                <w:b/>
                <w:color w:val="000000"/>
                <w:sz w:val="18"/>
                <w:szCs w:val="18"/>
              </w:rPr>
            </w:pPr>
            <w:r w:rsidRPr="0051518C">
              <w:rPr>
                <w:rFonts w:asciiTheme="majorHAnsi" w:eastAsia="Times New Roman" w:hAnsiTheme="majorHAnsi" w:cstheme="majorHAnsi"/>
                <w:b/>
                <w:color w:val="000000"/>
                <w:sz w:val="18"/>
                <w:szCs w:val="18"/>
              </w:rPr>
              <w:t>-135.32</w:t>
            </w:r>
          </w:p>
        </w:tc>
        <w:tc>
          <w:tcPr>
            <w:tcW w:w="990" w:type="dxa"/>
            <w:tcBorders>
              <w:top w:val="nil"/>
              <w:left w:val="nil"/>
              <w:bottom w:val="single" w:sz="4" w:space="0" w:color="auto"/>
              <w:right w:val="single" w:sz="4" w:space="0" w:color="auto"/>
            </w:tcBorders>
            <w:shd w:val="clear" w:color="auto" w:fill="auto"/>
            <w:noWrap/>
            <w:vAlign w:val="bottom"/>
            <w:hideMark/>
          </w:tcPr>
          <w:p w14:paraId="273847AB" w14:textId="77777777" w:rsidR="00E52AC1" w:rsidRPr="0051518C" w:rsidRDefault="00E52AC1" w:rsidP="00E52AC1">
            <w:pPr>
              <w:spacing w:after="0" w:line="240" w:lineRule="auto"/>
              <w:jc w:val="center"/>
              <w:rPr>
                <w:rFonts w:asciiTheme="majorHAnsi" w:eastAsia="Times New Roman" w:hAnsiTheme="majorHAnsi" w:cstheme="majorHAnsi"/>
                <w:b/>
                <w:color w:val="000000"/>
                <w:sz w:val="18"/>
                <w:szCs w:val="18"/>
              </w:rPr>
            </w:pPr>
            <w:r w:rsidRPr="0051518C">
              <w:rPr>
                <w:rFonts w:asciiTheme="majorHAnsi" w:eastAsia="Times New Roman" w:hAnsiTheme="majorHAnsi" w:cstheme="majorHAnsi"/>
                <w:b/>
                <w:color w:val="000000"/>
                <w:sz w:val="18"/>
                <w:szCs w:val="18"/>
              </w:rPr>
              <w:t>90.98</w:t>
            </w:r>
          </w:p>
        </w:tc>
        <w:tc>
          <w:tcPr>
            <w:tcW w:w="1080" w:type="dxa"/>
            <w:tcBorders>
              <w:top w:val="nil"/>
              <w:left w:val="nil"/>
              <w:bottom w:val="single" w:sz="4" w:space="0" w:color="auto"/>
              <w:right w:val="single" w:sz="4" w:space="0" w:color="auto"/>
            </w:tcBorders>
            <w:shd w:val="clear" w:color="auto" w:fill="auto"/>
            <w:noWrap/>
            <w:vAlign w:val="bottom"/>
            <w:hideMark/>
          </w:tcPr>
          <w:p w14:paraId="3522402A" w14:textId="77777777" w:rsidR="00E52AC1" w:rsidRPr="0051518C" w:rsidRDefault="00E52AC1" w:rsidP="00E52AC1">
            <w:pPr>
              <w:tabs>
                <w:tab w:val="left" w:pos="528"/>
              </w:tabs>
              <w:spacing w:after="0" w:line="240" w:lineRule="auto"/>
              <w:jc w:val="center"/>
              <w:rPr>
                <w:rFonts w:asciiTheme="majorHAnsi" w:eastAsia="Times New Roman" w:hAnsiTheme="majorHAnsi" w:cstheme="majorHAnsi"/>
                <w:b/>
                <w:color w:val="000000"/>
                <w:sz w:val="18"/>
                <w:szCs w:val="18"/>
              </w:rPr>
            </w:pPr>
            <w:r w:rsidRPr="0051518C">
              <w:rPr>
                <w:rFonts w:asciiTheme="majorHAnsi" w:eastAsia="Times New Roman" w:hAnsiTheme="majorHAnsi" w:cstheme="majorHAnsi"/>
                <w:b/>
                <w:color w:val="000000"/>
                <w:sz w:val="18"/>
                <w:szCs w:val="18"/>
              </w:rPr>
              <w:t>556.22</w:t>
            </w:r>
          </w:p>
        </w:tc>
        <w:tc>
          <w:tcPr>
            <w:tcW w:w="1156" w:type="dxa"/>
            <w:tcBorders>
              <w:top w:val="nil"/>
              <w:left w:val="nil"/>
              <w:bottom w:val="single" w:sz="4" w:space="0" w:color="auto"/>
              <w:right w:val="single" w:sz="4" w:space="0" w:color="auto"/>
            </w:tcBorders>
            <w:shd w:val="clear" w:color="auto" w:fill="auto"/>
            <w:noWrap/>
            <w:vAlign w:val="bottom"/>
            <w:hideMark/>
          </w:tcPr>
          <w:p w14:paraId="7E046B50" w14:textId="77777777" w:rsidR="00E52AC1" w:rsidRPr="0051518C" w:rsidRDefault="00E52AC1" w:rsidP="00E52AC1">
            <w:pPr>
              <w:spacing w:after="0" w:line="240" w:lineRule="auto"/>
              <w:jc w:val="center"/>
              <w:rPr>
                <w:rFonts w:asciiTheme="majorHAnsi" w:eastAsia="Times New Roman" w:hAnsiTheme="majorHAnsi" w:cstheme="majorHAnsi"/>
                <w:b/>
                <w:color w:val="000000"/>
                <w:sz w:val="18"/>
                <w:szCs w:val="18"/>
              </w:rPr>
            </w:pPr>
            <w:r w:rsidRPr="0051518C">
              <w:rPr>
                <w:rFonts w:asciiTheme="majorHAnsi" w:eastAsia="Times New Roman" w:hAnsiTheme="majorHAnsi" w:cstheme="majorHAnsi"/>
                <w:b/>
                <w:color w:val="000000"/>
                <w:sz w:val="18"/>
                <w:szCs w:val="18"/>
              </w:rPr>
              <w:t>137.10</w:t>
            </w:r>
          </w:p>
        </w:tc>
      </w:tr>
      <w:tr w:rsidR="00E52AC1" w:rsidRPr="00991DD7" w14:paraId="6A319DC0" w14:textId="77777777" w:rsidTr="00E52AC1">
        <w:trPr>
          <w:trHeight w:val="197"/>
        </w:trPr>
        <w:tc>
          <w:tcPr>
            <w:tcW w:w="4140" w:type="dxa"/>
            <w:tcBorders>
              <w:top w:val="nil"/>
              <w:left w:val="single" w:sz="4" w:space="0" w:color="auto"/>
              <w:bottom w:val="single" w:sz="4" w:space="0" w:color="auto"/>
              <w:right w:val="single" w:sz="4" w:space="0" w:color="auto"/>
            </w:tcBorders>
            <w:shd w:val="clear" w:color="auto" w:fill="auto"/>
            <w:vAlign w:val="bottom"/>
          </w:tcPr>
          <w:p w14:paraId="3166B781"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EC5156">
              <w:rPr>
                <w:rFonts w:asciiTheme="majorHAnsi" w:eastAsia="Times New Roman" w:hAnsiTheme="majorHAnsi" w:cstheme="majorHAnsi"/>
                <w:b/>
                <w:bCs/>
                <w:color w:val="000000"/>
                <w:sz w:val="18"/>
                <w:szCs w:val="18"/>
              </w:rPr>
              <w:t>Venituri din realizarea ac</w:t>
            </w:r>
            <w:r>
              <w:rPr>
                <w:rFonts w:asciiTheme="majorHAnsi" w:eastAsia="Times New Roman" w:hAnsiTheme="majorHAnsi" w:cstheme="majorHAnsi"/>
                <w:b/>
                <w:bCs/>
                <w:color w:val="000000"/>
                <w:sz w:val="18"/>
                <w:szCs w:val="18"/>
              </w:rPr>
              <w:t>t</w:t>
            </w:r>
            <w:r w:rsidRPr="00EC5156">
              <w:rPr>
                <w:rFonts w:asciiTheme="majorHAnsi" w:eastAsia="Times New Roman" w:hAnsiTheme="majorHAnsi" w:cstheme="majorHAnsi"/>
                <w:b/>
                <w:bCs/>
                <w:color w:val="000000"/>
                <w:sz w:val="18"/>
                <w:szCs w:val="18"/>
              </w:rPr>
              <w:t>ivelor de către instituții</w:t>
            </w:r>
          </w:p>
        </w:tc>
        <w:tc>
          <w:tcPr>
            <w:tcW w:w="964" w:type="dxa"/>
            <w:tcBorders>
              <w:top w:val="nil"/>
              <w:left w:val="nil"/>
              <w:bottom w:val="single" w:sz="4" w:space="0" w:color="auto"/>
              <w:right w:val="single" w:sz="4" w:space="0" w:color="auto"/>
            </w:tcBorders>
            <w:shd w:val="clear" w:color="auto" w:fill="auto"/>
            <w:noWrap/>
            <w:vAlign w:val="bottom"/>
          </w:tcPr>
          <w:p w14:paraId="4C9A9DCA"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EC5156">
              <w:rPr>
                <w:rFonts w:asciiTheme="majorHAnsi" w:eastAsia="Times New Roman" w:hAnsiTheme="majorHAnsi" w:cstheme="majorHAnsi"/>
                <w:i/>
                <w:iCs/>
                <w:color w:val="000000"/>
                <w:sz w:val="18"/>
                <w:szCs w:val="18"/>
              </w:rPr>
              <w:t>149100</w:t>
            </w:r>
          </w:p>
        </w:tc>
        <w:tc>
          <w:tcPr>
            <w:tcW w:w="1004" w:type="dxa"/>
            <w:tcBorders>
              <w:top w:val="nil"/>
              <w:left w:val="nil"/>
              <w:bottom w:val="single" w:sz="4" w:space="0" w:color="auto"/>
              <w:right w:val="single" w:sz="4" w:space="0" w:color="auto"/>
            </w:tcBorders>
            <w:shd w:val="clear" w:color="auto" w:fill="auto"/>
            <w:noWrap/>
            <w:vAlign w:val="bottom"/>
          </w:tcPr>
          <w:p w14:paraId="62A424A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4E1DEA9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6CBD5BE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377A82F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0.28</w:t>
            </w:r>
          </w:p>
        </w:tc>
        <w:tc>
          <w:tcPr>
            <w:tcW w:w="948" w:type="dxa"/>
            <w:tcBorders>
              <w:top w:val="nil"/>
              <w:left w:val="nil"/>
              <w:bottom w:val="single" w:sz="4" w:space="0" w:color="auto"/>
              <w:right w:val="single" w:sz="4" w:space="0" w:color="auto"/>
            </w:tcBorders>
            <w:shd w:val="clear" w:color="auto" w:fill="auto"/>
            <w:noWrap/>
            <w:vAlign w:val="bottom"/>
          </w:tcPr>
          <w:p w14:paraId="71FFB28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7970824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6C423E8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4466649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272DC5B4" w14:textId="77777777" w:rsidR="00E52AC1" w:rsidRPr="00991DD7" w:rsidRDefault="00E52AC1" w:rsidP="00E52AC1">
            <w:pPr>
              <w:tabs>
                <w:tab w:val="left" w:pos="528"/>
              </w:tabs>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0.28</w:t>
            </w:r>
          </w:p>
        </w:tc>
        <w:tc>
          <w:tcPr>
            <w:tcW w:w="1156" w:type="dxa"/>
            <w:tcBorders>
              <w:top w:val="nil"/>
              <w:left w:val="nil"/>
              <w:bottom w:val="single" w:sz="4" w:space="0" w:color="auto"/>
              <w:right w:val="single" w:sz="4" w:space="0" w:color="auto"/>
            </w:tcBorders>
            <w:shd w:val="clear" w:color="auto" w:fill="auto"/>
            <w:noWrap/>
            <w:vAlign w:val="bottom"/>
          </w:tcPr>
          <w:p w14:paraId="220663D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77FC1F0B" w14:textId="77777777" w:rsidTr="00E52AC1">
        <w:trPr>
          <w:trHeight w:val="276"/>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0C7DBCC0"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Venituri de la active intrate cu titlu gratuit</w:t>
            </w:r>
          </w:p>
        </w:tc>
        <w:tc>
          <w:tcPr>
            <w:tcW w:w="964" w:type="dxa"/>
            <w:tcBorders>
              <w:top w:val="nil"/>
              <w:left w:val="nil"/>
              <w:bottom w:val="single" w:sz="4" w:space="0" w:color="auto"/>
              <w:right w:val="single" w:sz="4" w:space="0" w:color="auto"/>
            </w:tcBorders>
            <w:shd w:val="clear" w:color="auto" w:fill="auto"/>
            <w:noWrap/>
            <w:vAlign w:val="bottom"/>
            <w:hideMark/>
          </w:tcPr>
          <w:p w14:paraId="4EBEB7BD"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149200</w:t>
            </w:r>
          </w:p>
        </w:tc>
        <w:tc>
          <w:tcPr>
            <w:tcW w:w="1004" w:type="dxa"/>
            <w:tcBorders>
              <w:top w:val="nil"/>
              <w:left w:val="nil"/>
              <w:bottom w:val="single" w:sz="4" w:space="0" w:color="auto"/>
              <w:right w:val="single" w:sz="4" w:space="0" w:color="auto"/>
            </w:tcBorders>
            <w:shd w:val="clear" w:color="auto" w:fill="auto"/>
            <w:noWrap/>
            <w:vAlign w:val="bottom"/>
            <w:hideMark/>
          </w:tcPr>
          <w:p w14:paraId="059BAB0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FFCC51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5F22013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6963AA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289.08</w:t>
            </w:r>
          </w:p>
        </w:tc>
        <w:tc>
          <w:tcPr>
            <w:tcW w:w="948" w:type="dxa"/>
            <w:tcBorders>
              <w:top w:val="nil"/>
              <w:left w:val="nil"/>
              <w:bottom w:val="single" w:sz="4" w:space="0" w:color="auto"/>
              <w:right w:val="single" w:sz="4" w:space="0" w:color="auto"/>
            </w:tcBorders>
            <w:shd w:val="clear" w:color="auto" w:fill="auto"/>
            <w:noWrap/>
            <w:vAlign w:val="bottom"/>
            <w:hideMark/>
          </w:tcPr>
          <w:p w14:paraId="3C54188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013E4F1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4E6DAB0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60462A4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7ED157E2" w14:textId="77777777" w:rsidR="00E52AC1" w:rsidRPr="00991DD7" w:rsidRDefault="00E52AC1" w:rsidP="00E52AC1">
            <w:pPr>
              <w:tabs>
                <w:tab w:val="left" w:pos="528"/>
              </w:tabs>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289.08</w:t>
            </w:r>
          </w:p>
        </w:tc>
        <w:tc>
          <w:tcPr>
            <w:tcW w:w="1156" w:type="dxa"/>
            <w:tcBorders>
              <w:top w:val="nil"/>
              <w:left w:val="nil"/>
              <w:bottom w:val="single" w:sz="4" w:space="0" w:color="auto"/>
              <w:right w:val="single" w:sz="4" w:space="0" w:color="auto"/>
            </w:tcBorders>
            <w:shd w:val="clear" w:color="auto" w:fill="auto"/>
            <w:noWrap/>
            <w:vAlign w:val="bottom"/>
            <w:hideMark/>
          </w:tcPr>
          <w:p w14:paraId="402574B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59B0EF77" w14:textId="77777777" w:rsidTr="00E52AC1">
        <w:trPr>
          <w:trHeight w:val="233"/>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1E3FE588"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Venituri din reevaluarea activelor (majorarea valorii )</w:t>
            </w:r>
          </w:p>
        </w:tc>
        <w:tc>
          <w:tcPr>
            <w:tcW w:w="964" w:type="dxa"/>
            <w:tcBorders>
              <w:top w:val="nil"/>
              <w:left w:val="nil"/>
              <w:bottom w:val="single" w:sz="4" w:space="0" w:color="auto"/>
              <w:right w:val="single" w:sz="4" w:space="0" w:color="auto"/>
            </w:tcBorders>
            <w:shd w:val="clear" w:color="auto" w:fill="auto"/>
            <w:noWrap/>
            <w:vAlign w:val="bottom"/>
            <w:hideMark/>
          </w:tcPr>
          <w:p w14:paraId="145541B0"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149300</w:t>
            </w:r>
          </w:p>
        </w:tc>
        <w:tc>
          <w:tcPr>
            <w:tcW w:w="1004" w:type="dxa"/>
            <w:tcBorders>
              <w:top w:val="nil"/>
              <w:left w:val="nil"/>
              <w:bottom w:val="single" w:sz="4" w:space="0" w:color="auto"/>
              <w:right w:val="single" w:sz="4" w:space="0" w:color="auto"/>
            </w:tcBorders>
            <w:shd w:val="clear" w:color="auto" w:fill="auto"/>
            <w:noWrap/>
            <w:vAlign w:val="bottom"/>
            <w:hideMark/>
          </w:tcPr>
          <w:p w14:paraId="25C5C80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F971B7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53049DA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73212D8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1.32</w:t>
            </w:r>
          </w:p>
        </w:tc>
        <w:tc>
          <w:tcPr>
            <w:tcW w:w="948" w:type="dxa"/>
            <w:tcBorders>
              <w:top w:val="nil"/>
              <w:left w:val="nil"/>
              <w:bottom w:val="single" w:sz="4" w:space="0" w:color="auto"/>
              <w:right w:val="single" w:sz="4" w:space="0" w:color="auto"/>
            </w:tcBorders>
            <w:shd w:val="clear" w:color="auto" w:fill="auto"/>
            <w:noWrap/>
            <w:vAlign w:val="bottom"/>
            <w:hideMark/>
          </w:tcPr>
          <w:p w14:paraId="5ADCFC7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6ACE72D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0D1792F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5C6EF6C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27FF498E" w14:textId="77777777" w:rsidR="00E52AC1" w:rsidRPr="00991DD7" w:rsidRDefault="00E52AC1" w:rsidP="00E52AC1">
            <w:pPr>
              <w:tabs>
                <w:tab w:val="left" w:pos="528"/>
              </w:tabs>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1.32</w:t>
            </w:r>
          </w:p>
        </w:tc>
        <w:tc>
          <w:tcPr>
            <w:tcW w:w="1156" w:type="dxa"/>
            <w:tcBorders>
              <w:top w:val="nil"/>
              <w:left w:val="nil"/>
              <w:bottom w:val="single" w:sz="4" w:space="0" w:color="auto"/>
              <w:right w:val="single" w:sz="4" w:space="0" w:color="auto"/>
            </w:tcBorders>
            <w:shd w:val="clear" w:color="auto" w:fill="auto"/>
            <w:noWrap/>
            <w:vAlign w:val="bottom"/>
            <w:hideMark/>
          </w:tcPr>
          <w:p w14:paraId="07B584B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3458C0F7"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tcPr>
          <w:p w14:paraId="73DF8EA8"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EC5156">
              <w:rPr>
                <w:rFonts w:asciiTheme="majorHAnsi" w:eastAsia="Times New Roman" w:hAnsiTheme="majorHAnsi" w:cstheme="majorHAnsi"/>
                <w:b/>
                <w:bCs/>
                <w:color w:val="000000"/>
                <w:sz w:val="18"/>
                <w:szCs w:val="18"/>
              </w:rPr>
              <w:t>Venituri din recuperarea daunei materiale si lipsurilor</w:t>
            </w:r>
          </w:p>
        </w:tc>
        <w:tc>
          <w:tcPr>
            <w:tcW w:w="964" w:type="dxa"/>
            <w:tcBorders>
              <w:top w:val="nil"/>
              <w:left w:val="nil"/>
              <w:bottom w:val="single" w:sz="4" w:space="0" w:color="auto"/>
              <w:right w:val="single" w:sz="4" w:space="0" w:color="auto"/>
            </w:tcBorders>
            <w:shd w:val="clear" w:color="auto" w:fill="auto"/>
            <w:noWrap/>
            <w:vAlign w:val="bottom"/>
          </w:tcPr>
          <w:p w14:paraId="6270A87B"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EC5156">
              <w:rPr>
                <w:rFonts w:asciiTheme="majorHAnsi" w:eastAsia="Times New Roman" w:hAnsiTheme="majorHAnsi" w:cstheme="majorHAnsi"/>
                <w:i/>
                <w:iCs/>
                <w:color w:val="000000"/>
                <w:sz w:val="18"/>
                <w:szCs w:val="18"/>
              </w:rPr>
              <w:t>149500</w:t>
            </w:r>
          </w:p>
        </w:tc>
        <w:tc>
          <w:tcPr>
            <w:tcW w:w="1004" w:type="dxa"/>
            <w:tcBorders>
              <w:top w:val="nil"/>
              <w:left w:val="nil"/>
              <w:bottom w:val="single" w:sz="4" w:space="0" w:color="auto"/>
              <w:right w:val="single" w:sz="4" w:space="0" w:color="auto"/>
            </w:tcBorders>
            <w:shd w:val="clear" w:color="auto" w:fill="auto"/>
            <w:noWrap/>
            <w:vAlign w:val="bottom"/>
          </w:tcPr>
          <w:p w14:paraId="16FC74C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6E1937C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587CE72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4ABD206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0.02</w:t>
            </w:r>
          </w:p>
        </w:tc>
        <w:tc>
          <w:tcPr>
            <w:tcW w:w="948" w:type="dxa"/>
            <w:tcBorders>
              <w:top w:val="nil"/>
              <w:left w:val="nil"/>
              <w:bottom w:val="single" w:sz="4" w:space="0" w:color="auto"/>
              <w:right w:val="single" w:sz="4" w:space="0" w:color="auto"/>
            </w:tcBorders>
            <w:shd w:val="clear" w:color="auto" w:fill="auto"/>
            <w:noWrap/>
            <w:vAlign w:val="bottom"/>
          </w:tcPr>
          <w:p w14:paraId="5492048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00C5D1A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4009604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42BFE88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57493D3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0.02</w:t>
            </w:r>
          </w:p>
        </w:tc>
        <w:tc>
          <w:tcPr>
            <w:tcW w:w="1156" w:type="dxa"/>
            <w:tcBorders>
              <w:top w:val="nil"/>
              <w:left w:val="nil"/>
              <w:bottom w:val="single" w:sz="4" w:space="0" w:color="auto"/>
              <w:right w:val="single" w:sz="4" w:space="0" w:color="auto"/>
            </w:tcBorders>
            <w:shd w:val="clear" w:color="auto" w:fill="auto"/>
            <w:noWrap/>
            <w:vAlign w:val="bottom"/>
          </w:tcPr>
          <w:p w14:paraId="2FBE589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3DDEF0D4"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4BEF9B19"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Finanțare de la buget</w:t>
            </w:r>
          </w:p>
        </w:tc>
        <w:tc>
          <w:tcPr>
            <w:tcW w:w="964" w:type="dxa"/>
            <w:tcBorders>
              <w:top w:val="nil"/>
              <w:left w:val="nil"/>
              <w:bottom w:val="single" w:sz="4" w:space="0" w:color="auto"/>
              <w:right w:val="single" w:sz="4" w:space="0" w:color="auto"/>
            </w:tcBorders>
            <w:shd w:val="clear" w:color="auto" w:fill="auto"/>
            <w:noWrap/>
            <w:vAlign w:val="bottom"/>
            <w:hideMark/>
          </w:tcPr>
          <w:p w14:paraId="421DDFFB"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149800</w:t>
            </w:r>
          </w:p>
        </w:tc>
        <w:tc>
          <w:tcPr>
            <w:tcW w:w="1004" w:type="dxa"/>
            <w:tcBorders>
              <w:top w:val="nil"/>
              <w:left w:val="nil"/>
              <w:bottom w:val="single" w:sz="4" w:space="0" w:color="auto"/>
              <w:right w:val="single" w:sz="4" w:space="0" w:color="auto"/>
            </w:tcBorders>
            <w:shd w:val="clear" w:color="auto" w:fill="auto"/>
            <w:noWrap/>
            <w:vAlign w:val="bottom"/>
            <w:hideMark/>
          </w:tcPr>
          <w:p w14:paraId="0F26681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1431.64</w:t>
            </w:r>
          </w:p>
        </w:tc>
        <w:tc>
          <w:tcPr>
            <w:tcW w:w="900" w:type="dxa"/>
            <w:tcBorders>
              <w:top w:val="nil"/>
              <w:left w:val="nil"/>
              <w:bottom w:val="single" w:sz="4" w:space="0" w:color="auto"/>
              <w:right w:val="single" w:sz="4" w:space="0" w:color="auto"/>
            </w:tcBorders>
            <w:shd w:val="clear" w:color="auto" w:fill="auto"/>
            <w:noWrap/>
            <w:vAlign w:val="bottom"/>
            <w:hideMark/>
          </w:tcPr>
          <w:p w14:paraId="4F7508C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1499.38</w:t>
            </w:r>
          </w:p>
        </w:tc>
        <w:tc>
          <w:tcPr>
            <w:tcW w:w="900" w:type="dxa"/>
            <w:tcBorders>
              <w:top w:val="nil"/>
              <w:left w:val="nil"/>
              <w:bottom w:val="single" w:sz="4" w:space="0" w:color="auto"/>
              <w:right w:val="single" w:sz="4" w:space="0" w:color="auto"/>
            </w:tcBorders>
            <w:shd w:val="clear" w:color="auto" w:fill="auto"/>
            <w:noWrap/>
            <w:vAlign w:val="bottom"/>
            <w:hideMark/>
          </w:tcPr>
          <w:p w14:paraId="57DDEDB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1364.06</w:t>
            </w:r>
          </w:p>
        </w:tc>
        <w:tc>
          <w:tcPr>
            <w:tcW w:w="900" w:type="dxa"/>
            <w:tcBorders>
              <w:top w:val="nil"/>
              <w:left w:val="nil"/>
              <w:bottom w:val="single" w:sz="4" w:space="0" w:color="auto"/>
              <w:right w:val="single" w:sz="4" w:space="0" w:color="auto"/>
            </w:tcBorders>
            <w:shd w:val="clear" w:color="auto" w:fill="auto"/>
            <w:noWrap/>
            <w:vAlign w:val="bottom"/>
            <w:hideMark/>
          </w:tcPr>
          <w:p w14:paraId="77F56D4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1364.06</w:t>
            </w:r>
          </w:p>
        </w:tc>
        <w:tc>
          <w:tcPr>
            <w:tcW w:w="948" w:type="dxa"/>
            <w:tcBorders>
              <w:top w:val="nil"/>
              <w:left w:val="nil"/>
              <w:bottom w:val="single" w:sz="4" w:space="0" w:color="auto"/>
              <w:right w:val="single" w:sz="4" w:space="0" w:color="auto"/>
            </w:tcBorders>
            <w:shd w:val="clear" w:color="auto" w:fill="auto"/>
            <w:noWrap/>
            <w:vAlign w:val="bottom"/>
            <w:hideMark/>
          </w:tcPr>
          <w:p w14:paraId="1D6D466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0432DDE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67.74</w:t>
            </w:r>
          </w:p>
        </w:tc>
        <w:tc>
          <w:tcPr>
            <w:tcW w:w="990" w:type="dxa"/>
            <w:tcBorders>
              <w:top w:val="nil"/>
              <w:left w:val="nil"/>
              <w:bottom w:val="single" w:sz="4" w:space="0" w:color="auto"/>
              <w:right w:val="single" w:sz="4" w:space="0" w:color="auto"/>
            </w:tcBorders>
            <w:shd w:val="clear" w:color="auto" w:fill="auto"/>
            <w:noWrap/>
            <w:vAlign w:val="bottom"/>
            <w:hideMark/>
          </w:tcPr>
          <w:p w14:paraId="2E786DE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-135.32</w:t>
            </w:r>
          </w:p>
        </w:tc>
        <w:tc>
          <w:tcPr>
            <w:tcW w:w="990" w:type="dxa"/>
            <w:tcBorders>
              <w:top w:val="nil"/>
              <w:left w:val="nil"/>
              <w:bottom w:val="single" w:sz="4" w:space="0" w:color="auto"/>
              <w:right w:val="single" w:sz="4" w:space="0" w:color="auto"/>
            </w:tcBorders>
            <w:shd w:val="clear" w:color="auto" w:fill="auto"/>
            <w:noWrap/>
            <w:vAlign w:val="bottom"/>
            <w:hideMark/>
          </w:tcPr>
          <w:p w14:paraId="5D1D994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90.98</w:t>
            </w:r>
          </w:p>
        </w:tc>
        <w:tc>
          <w:tcPr>
            <w:tcW w:w="1080" w:type="dxa"/>
            <w:tcBorders>
              <w:top w:val="nil"/>
              <w:left w:val="nil"/>
              <w:bottom w:val="single" w:sz="4" w:space="0" w:color="auto"/>
              <w:right w:val="single" w:sz="4" w:space="0" w:color="auto"/>
            </w:tcBorders>
            <w:shd w:val="clear" w:color="auto" w:fill="auto"/>
            <w:noWrap/>
            <w:vAlign w:val="bottom"/>
            <w:hideMark/>
          </w:tcPr>
          <w:p w14:paraId="538E088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-135.32</w:t>
            </w:r>
          </w:p>
        </w:tc>
        <w:tc>
          <w:tcPr>
            <w:tcW w:w="1156" w:type="dxa"/>
            <w:tcBorders>
              <w:top w:val="nil"/>
              <w:left w:val="nil"/>
              <w:bottom w:val="single" w:sz="4" w:space="0" w:color="auto"/>
              <w:right w:val="single" w:sz="4" w:space="0" w:color="auto"/>
            </w:tcBorders>
            <w:shd w:val="clear" w:color="auto" w:fill="auto"/>
            <w:noWrap/>
            <w:vAlign w:val="bottom"/>
            <w:hideMark/>
          </w:tcPr>
          <w:p w14:paraId="0AE993F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90.98</w:t>
            </w:r>
          </w:p>
        </w:tc>
      </w:tr>
      <w:tr w:rsidR="00E52AC1" w:rsidRPr="00991DD7" w14:paraId="5E1E36B0"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tcPr>
          <w:p w14:paraId="2CC9DD64"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EC5156">
              <w:rPr>
                <w:rFonts w:asciiTheme="majorHAnsi" w:eastAsia="Times New Roman" w:hAnsiTheme="majorHAnsi" w:cstheme="majorHAnsi"/>
                <w:b/>
                <w:bCs/>
                <w:color w:val="000000"/>
                <w:sz w:val="18"/>
                <w:szCs w:val="18"/>
              </w:rPr>
              <w:t>Al</w:t>
            </w:r>
            <w:r>
              <w:rPr>
                <w:rFonts w:asciiTheme="majorHAnsi" w:eastAsia="Times New Roman" w:hAnsiTheme="majorHAnsi" w:cstheme="majorHAnsi"/>
                <w:b/>
                <w:bCs/>
                <w:color w:val="000000"/>
                <w:sz w:val="18"/>
                <w:szCs w:val="18"/>
              </w:rPr>
              <w:t>te venituri ale instituțiilor bu</w:t>
            </w:r>
            <w:r w:rsidRPr="00EC5156">
              <w:rPr>
                <w:rFonts w:asciiTheme="majorHAnsi" w:eastAsia="Times New Roman" w:hAnsiTheme="majorHAnsi" w:cstheme="majorHAnsi"/>
                <w:b/>
                <w:bCs/>
                <w:color w:val="000000"/>
                <w:sz w:val="18"/>
                <w:szCs w:val="18"/>
              </w:rPr>
              <w:t>getare</w:t>
            </w:r>
          </w:p>
        </w:tc>
        <w:tc>
          <w:tcPr>
            <w:tcW w:w="964" w:type="dxa"/>
            <w:tcBorders>
              <w:top w:val="nil"/>
              <w:left w:val="nil"/>
              <w:bottom w:val="single" w:sz="4" w:space="0" w:color="auto"/>
              <w:right w:val="single" w:sz="4" w:space="0" w:color="auto"/>
            </w:tcBorders>
            <w:shd w:val="clear" w:color="auto" w:fill="auto"/>
            <w:noWrap/>
            <w:vAlign w:val="bottom"/>
          </w:tcPr>
          <w:p w14:paraId="573F2024"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149900</w:t>
            </w:r>
          </w:p>
        </w:tc>
        <w:tc>
          <w:tcPr>
            <w:tcW w:w="1004" w:type="dxa"/>
            <w:tcBorders>
              <w:top w:val="nil"/>
              <w:left w:val="nil"/>
              <w:bottom w:val="single" w:sz="4" w:space="0" w:color="auto"/>
              <w:right w:val="single" w:sz="4" w:space="0" w:color="auto"/>
            </w:tcBorders>
            <w:shd w:val="clear" w:color="auto" w:fill="auto"/>
            <w:noWrap/>
            <w:vAlign w:val="bottom"/>
          </w:tcPr>
          <w:p w14:paraId="2BC0E49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220F253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3A13821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1971FD9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400.83</w:t>
            </w:r>
          </w:p>
        </w:tc>
        <w:tc>
          <w:tcPr>
            <w:tcW w:w="948" w:type="dxa"/>
            <w:tcBorders>
              <w:top w:val="nil"/>
              <w:left w:val="nil"/>
              <w:bottom w:val="single" w:sz="4" w:space="0" w:color="auto"/>
              <w:right w:val="single" w:sz="4" w:space="0" w:color="auto"/>
            </w:tcBorders>
            <w:shd w:val="clear" w:color="auto" w:fill="auto"/>
            <w:noWrap/>
            <w:vAlign w:val="bottom"/>
          </w:tcPr>
          <w:p w14:paraId="451AC99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2FB4C57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4507C8E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56B451D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5EB476D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400.83</w:t>
            </w:r>
          </w:p>
        </w:tc>
        <w:tc>
          <w:tcPr>
            <w:tcW w:w="1156" w:type="dxa"/>
            <w:tcBorders>
              <w:top w:val="nil"/>
              <w:left w:val="nil"/>
              <w:bottom w:val="single" w:sz="4" w:space="0" w:color="auto"/>
              <w:right w:val="single" w:sz="4" w:space="0" w:color="auto"/>
            </w:tcBorders>
            <w:shd w:val="clear" w:color="auto" w:fill="auto"/>
            <w:noWrap/>
            <w:vAlign w:val="bottom"/>
          </w:tcPr>
          <w:p w14:paraId="4C40698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0DF69370" w14:textId="77777777" w:rsidTr="00C35926">
        <w:trPr>
          <w:trHeight w:val="503"/>
        </w:trPr>
        <w:tc>
          <w:tcPr>
            <w:tcW w:w="4140"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4824F06E"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 xml:space="preserve"> </w:t>
            </w:r>
            <w:r>
              <w:rPr>
                <w:rFonts w:asciiTheme="majorHAnsi" w:eastAsia="Times New Roman" w:hAnsiTheme="majorHAnsi" w:cstheme="majorHAnsi"/>
                <w:b/>
                <w:bCs/>
                <w:color w:val="000000"/>
                <w:sz w:val="18"/>
                <w:szCs w:val="18"/>
              </w:rPr>
              <w:t xml:space="preserve">II </w:t>
            </w:r>
            <w:r w:rsidRPr="00991DD7">
              <w:rPr>
                <w:rFonts w:asciiTheme="majorHAnsi" w:eastAsia="Times New Roman" w:hAnsiTheme="majorHAnsi" w:cstheme="majorHAnsi"/>
                <w:b/>
                <w:bCs/>
                <w:color w:val="000000"/>
                <w:sz w:val="18"/>
                <w:szCs w:val="18"/>
              </w:rPr>
              <w:t>CHELTUIELI TOTAL</w:t>
            </w:r>
          </w:p>
        </w:tc>
        <w:tc>
          <w:tcPr>
            <w:tcW w:w="964" w:type="dxa"/>
            <w:tcBorders>
              <w:top w:val="nil"/>
              <w:left w:val="nil"/>
              <w:bottom w:val="single" w:sz="4" w:space="0" w:color="auto"/>
              <w:right w:val="single" w:sz="4" w:space="0" w:color="auto"/>
            </w:tcBorders>
            <w:shd w:val="clear" w:color="auto" w:fill="DEEAF6" w:themeFill="accent1" w:themeFillTint="33"/>
            <w:noWrap/>
            <w:vAlign w:val="center"/>
          </w:tcPr>
          <w:p w14:paraId="4C28746B" w14:textId="77777777" w:rsidR="00E52AC1" w:rsidRPr="00894E3F" w:rsidRDefault="00E52AC1" w:rsidP="00E52AC1">
            <w:pPr>
              <w:spacing w:after="0" w:line="240" w:lineRule="auto"/>
              <w:jc w:val="both"/>
              <w:rPr>
                <w:rFonts w:asciiTheme="majorHAnsi" w:eastAsia="Times New Roman" w:hAnsiTheme="majorHAnsi" w:cstheme="majorHAnsi"/>
                <w:b/>
                <w:i/>
                <w:iCs/>
                <w:color w:val="000000"/>
                <w:sz w:val="18"/>
                <w:szCs w:val="18"/>
              </w:rPr>
            </w:pPr>
          </w:p>
        </w:tc>
        <w:tc>
          <w:tcPr>
            <w:tcW w:w="1004" w:type="dxa"/>
            <w:tcBorders>
              <w:top w:val="nil"/>
              <w:left w:val="nil"/>
              <w:bottom w:val="single" w:sz="4" w:space="0" w:color="auto"/>
              <w:right w:val="single" w:sz="4" w:space="0" w:color="auto"/>
            </w:tcBorders>
            <w:shd w:val="clear" w:color="auto" w:fill="DEEAF6" w:themeFill="accent1" w:themeFillTint="33"/>
            <w:noWrap/>
            <w:vAlign w:val="center"/>
          </w:tcPr>
          <w:p w14:paraId="4706F926" w14:textId="77777777" w:rsidR="00E52AC1" w:rsidRPr="00676D39" w:rsidRDefault="00E52AC1" w:rsidP="00E52AC1">
            <w:pPr>
              <w:spacing w:after="0" w:line="240" w:lineRule="auto"/>
              <w:jc w:val="both"/>
              <w:rPr>
                <w:rFonts w:asciiTheme="majorHAnsi" w:eastAsia="Times New Roman" w:hAnsiTheme="majorHAnsi" w:cstheme="majorHAnsi"/>
                <w:b/>
                <w:iCs/>
                <w:color w:val="000000"/>
                <w:sz w:val="18"/>
                <w:szCs w:val="18"/>
              </w:rPr>
            </w:pPr>
            <w:r w:rsidRPr="00676D39">
              <w:rPr>
                <w:rFonts w:asciiTheme="majorHAnsi" w:eastAsia="Times New Roman" w:hAnsiTheme="majorHAnsi" w:cstheme="majorHAnsi"/>
                <w:b/>
                <w:iCs/>
                <w:color w:val="000000"/>
                <w:sz w:val="18"/>
                <w:szCs w:val="18"/>
              </w:rPr>
              <w:t>2 667.22</w:t>
            </w:r>
          </w:p>
        </w:tc>
        <w:tc>
          <w:tcPr>
            <w:tcW w:w="900" w:type="dxa"/>
            <w:tcBorders>
              <w:top w:val="nil"/>
              <w:left w:val="nil"/>
              <w:bottom w:val="single" w:sz="4" w:space="0" w:color="auto"/>
              <w:right w:val="single" w:sz="4" w:space="0" w:color="auto"/>
            </w:tcBorders>
            <w:shd w:val="clear" w:color="auto" w:fill="DEEAF6" w:themeFill="accent1" w:themeFillTint="33"/>
            <w:noWrap/>
            <w:vAlign w:val="center"/>
          </w:tcPr>
          <w:p w14:paraId="7190FD32"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2 370,03</w:t>
            </w:r>
          </w:p>
        </w:tc>
        <w:tc>
          <w:tcPr>
            <w:tcW w:w="900" w:type="dxa"/>
            <w:tcBorders>
              <w:top w:val="nil"/>
              <w:left w:val="nil"/>
              <w:bottom w:val="single" w:sz="4" w:space="0" w:color="auto"/>
              <w:right w:val="single" w:sz="4" w:space="0" w:color="auto"/>
            </w:tcBorders>
            <w:shd w:val="clear" w:color="auto" w:fill="DEEAF6" w:themeFill="accent1" w:themeFillTint="33"/>
            <w:noWrap/>
            <w:vAlign w:val="center"/>
          </w:tcPr>
          <w:p w14:paraId="624E518F" w14:textId="77777777" w:rsidR="00E52AC1" w:rsidRPr="00B12427" w:rsidRDefault="00E52AC1" w:rsidP="00E52AC1">
            <w:pPr>
              <w:spacing w:after="0" w:line="240" w:lineRule="auto"/>
              <w:jc w:val="center"/>
              <w:rPr>
                <w:rFonts w:asciiTheme="majorHAnsi" w:eastAsia="Times New Roman" w:hAnsiTheme="majorHAnsi" w:cstheme="majorHAnsi"/>
                <w:b/>
                <w:color w:val="000000" w:themeColor="text1"/>
                <w:sz w:val="18"/>
                <w:szCs w:val="18"/>
              </w:rPr>
            </w:pPr>
            <w:r>
              <w:rPr>
                <w:rFonts w:asciiTheme="majorHAnsi" w:eastAsia="Times New Roman" w:hAnsiTheme="majorHAnsi" w:cstheme="majorHAnsi"/>
                <w:b/>
                <w:color w:val="000000" w:themeColor="text1"/>
                <w:sz w:val="18"/>
                <w:szCs w:val="18"/>
              </w:rPr>
              <w:t>1 816.46</w:t>
            </w:r>
          </w:p>
        </w:tc>
        <w:tc>
          <w:tcPr>
            <w:tcW w:w="900" w:type="dxa"/>
            <w:tcBorders>
              <w:top w:val="nil"/>
              <w:left w:val="nil"/>
              <w:bottom w:val="single" w:sz="4" w:space="0" w:color="auto"/>
              <w:right w:val="single" w:sz="4" w:space="0" w:color="auto"/>
            </w:tcBorders>
            <w:shd w:val="clear" w:color="auto" w:fill="DEEAF6" w:themeFill="accent1" w:themeFillTint="33"/>
            <w:noWrap/>
            <w:vAlign w:val="center"/>
          </w:tcPr>
          <w:p w14:paraId="719BD874" w14:textId="77777777" w:rsidR="00E52AC1" w:rsidRPr="00B12427" w:rsidRDefault="00E52AC1" w:rsidP="00E52AC1">
            <w:pPr>
              <w:spacing w:after="0" w:line="240" w:lineRule="auto"/>
              <w:jc w:val="center"/>
              <w:rPr>
                <w:rFonts w:asciiTheme="majorHAnsi" w:eastAsia="Times New Roman" w:hAnsiTheme="majorHAnsi" w:cstheme="majorHAnsi"/>
                <w:b/>
                <w:color w:val="000000" w:themeColor="text1"/>
                <w:sz w:val="18"/>
                <w:szCs w:val="18"/>
              </w:rPr>
            </w:pPr>
            <w:r>
              <w:rPr>
                <w:rFonts w:asciiTheme="majorHAnsi" w:eastAsia="Times New Roman" w:hAnsiTheme="majorHAnsi" w:cstheme="majorHAnsi"/>
                <w:b/>
                <w:color w:val="000000" w:themeColor="text1"/>
                <w:sz w:val="18"/>
                <w:szCs w:val="18"/>
              </w:rPr>
              <w:t>2 559,72</w:t>
            </w:r>
          </w:p>
        </w:tc>
        <w:tc>
          <w:tcPr>
            <w:tcW w:w="948" w:type="dxa"/>
            <w:tcBorders>
              <w:top w:val="nil"/>
              <w:left w:val="nil"/>
              <w:bottom w:val="single" w:sz="4" w:space="0" w:color="auto"/>
              <w:right w:val="single" w:sz="4" w:space="0" w:color="auto"/>
            </w:tcBorders>
            <w:shd w:val="clear" w:color="auto" w:fill="DEEAF6" w:themeFill="accent1" w:themeFillTint="33"/>
            <w:noWrap/>
            <w:vAlign w:val="center"/>
          </w:tcPr>
          <w:p w14:paraId="02CBBD80"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48.54</w:t>
            </w:r>
          </w:p>
        </w:tc>
        <w:tc>
          <w:tcPr>
            <w:tcW w:w="1080" w:type="dxa"/>
            <w:tcBorders>
              <w:top w:val="nil"/>
              <w:left w:val="nil"/>
              <w:bottom w:val="single" w:sz="4" w:space="0" w:color="auto"/>
              <w:right w:val="single" w:sz="4" w:space="0" w:color="auto"/>
            </w:tcBorders>
            <w:shd w:val="clear" w:color="auto" w:fill="DEEAF6" w:themeFill="accent1" w:themeFillTint="33"/>
            <w:noWrap/>
            <w:vAlign w:val="center"/>
          </w:tcPr>
          <w:p w14:paraId="5D318594"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-297.19</w:t>
            </w:r>
          </w:p>
        </w:tc>
        <w:tc>
          <w:tcPr>
            <w:tcW w:w="990" w:type="dxa"/>
            <w:tcBorders>
              <w:top w:val="nil"/>
              <w:left w:val="nil"/>
              <w:bottom w:val="single" w:sz="4" w:space="0" w:color="auto"/>
              <w:right w:val="single" w:sz="4" w:space="0" w:color="auto"/>
            </w:tcBorders>
            <w:shd w:val="clear" w:color="auto" w:fill="DEEAF6" w:themeFill="accent1" w:themeFillTint="33"/>
            <w:noWrap/>
            <w:vAlign w:val="center"/>
          </w:tcPr>
          <w:p w14:paraId="4FDE73CE"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-553.57</w:t>
            </w:r>
          </w:p>
        </w:tc>
        <w:tc>
          <w:tcPr>
            <w:tcW w:w="990" w:type="dxa"/>
            <w:tcBorders>
              <w:top w:val="nil"/>
              <w:left w:val="nil"/>
              <w:bottom w:val="single" w:sz="4" w:space="0" w:color="auto"/>
              <w:right w:val="single" w:sz="4" w:space="0" w:color="auto"/>
            </w:tcBorders>
            <w:shd w:val="clear" w:color="auto" w:fill="DEEAF6" w:themeFill="accent1" w:themeFillTint="33"/>
            <w:noWrap/>
            <w:vAlign w:val="center"/>
          </w:tcPr>
          <w:p w14:paraId="240D8C0A"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76.64</w:t>
            </w:r>
          </w:p>
        </w:tc>
        <w:tc>
          <w:tcPr>
            <w:tcW w:w="1080" w:type="dxa"/>
            <w:tcBorders>
              <w:top w:val="nil"/>
              <w:left w:val="nil"/>
              <w:bottom w:val="single" w:sz="4" w:space="0" w:color="auto"/>
              <w:right w:val="single" w:sz="4" w:space="0" w:color="auto"/>
            </w:tcBorders>
            <w:shd w:val="clear" w:color="auto" w:fill="DEEAF6" w:themeFill="accent1" w:themeFillTint="33"/>
            <w:noWrap/>
            <w:vAlign w:val="center"/>
          </w:tcPr>
          <w:p w14:paraId="36C22C2E"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189.70</w:t>
            </w:r>
          </w:p>
        </w:tc>
        <w:tc>
          <w:tcPr>
            <w:tcW w:w="1156" w:type="dxa"/>
            <w:tcBorders>
              <w:top w:val="nil"/>
              <w:left w:val="nil"/>
              <w:bottom w:val="single" w:sz="4" w:space="0" w:color="auto"/>
              <w:right w:val="single" w:sz="4" w:space="0" w:color="auto"/>
            </w:tcBorders>
            <w:shd w:val="clear" w:color="auto" w:fill="DEEAF6" w:themeFill="accent1" w:themeFillTint="33"/>
            <w:noWrap/>
            <w:vAlign w:val="center"/>
          </w:tcPr>
          <w:p w14:paraId="5225C4AA"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108.00</w:t>
            </w:r>
          </w:p>
        </w:tc>
      </w:tr>
      <w:tr w:rsidR="00E52AC1" w:rsidRPr="00991DD7" w14:paraId="138FC4BD" w14:textId="77777777" w:rsidTr="00C35926">
        <w:trPr>
          <w:trHeight w:val="503"/>
        </w:trPr>
        <w:tc>
          <w:tcPr>
            <w:tcW w:w="4140" w:type="dxa"/>
            <w:tcBorders>
              <w:top w:val="nil"/>
              <w:left w:val="single" w:sz="4" w:space="0" w:color="auto"/>
              <w:bottom w:val="single" w:sz="4" w:space="0" w:color="auto"/>
              <w:right w:val="single" w:sz="4" w:space="0" w:color="auto"/>
            </w:tcBorders>
            <w:shd w:val="clear" w:color="auto" w:fill="FBE4D5" w:themeFill="accent2" w:themeFillTint="33"/>
            <w:vAlign w:val="center"/>
          </w:tcPr>
          <w:p w14:paraId="4782F5D2"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Pr>
                <w:rFonts w:asciiTheme="majorHAnsi" w:eastAsia="Times New Roman" w:hAnsiTheme="majorHAnsi" w:cstheme="majorHAnsi"/>
                <w:b/>
                <w:bCs/>
                <w:color w:val="000000"/>
                <w:sz w:val="18"/>
                <w:szCs w:val="18"/>
              </w:rPr>
              <w:t xml:space="preserve">II </w:t>
            </w:r>
            <w:r w:rsidRPr="0037120C">
              <w:rPr>
                <w:rFonts w:asciiTheme="majorHAnsi" w:eastAsia="Times New Roman" w:hAnsiTheme="majorHAnsi" w:cstheme="majorHAnsi"/>
                <w:b/>
                <w:bCs/>
                <w:color w:val="000000"/>
                <w:sz w:val="18"/>
                <w:szCs w:val="18"/>
              </w:rPr>
              <w:t>CHELTUIELI</w:t>
            </w:r>
          </w:p>
        </w:tc>
        <w:tc>
          <w:tcPr>
            <w:tcW w:w="964" w:type="dxa"/>
            <w:tcBorders>
              <w:top w:val="nil"/>
              <w:left w:val="nil"/>
              <w:bottom w:val="single" w:sz="4" w:space="0" w:color="auto"/>
              <w:right w:val="single" w:sz="4" w:space="0" w:color="auto"/>
            </w:tcBorders>
            <w:shd w:val="clear" w:color="auto" w:fill="FBE4D5" w:themeFill="accent2" w:themeFillTint="33"/>
            <w:noWrap/>
            <w:vAlign w:val="center"/>
          </w:tcPr>
          <w:p w14:paraId="061D53BB" w14:textId="77777777" w:rsidR="00E52AC1" w:rsidRPr="00894E3F" w:rsidRDefault="00E52AC1" w:rsidP="00E52AC1">
            <w:pPr>
              <w:spacing w:after="0" w:line="240" w:lineRule="auto"/>
              <w:jc w:val="both"/>
              <w:rPr>
                <w:rFonts w:asciiTheme="majorHAnsi" w:eastAsia="Times New Roman" w:hAnsiTheme="majorHAnsi" w:cstheme="majorHAnsi"/>
                <w:b/>
                <w:i/>
                <w:iCs/>
                <w:color w:val="000000"/>
                <w:sz w:val="18"/>
                <w:szCs w:val="18"/>
              </w:rPr>
            </w:pPr>
          </w:p>
        </w:tc>
        <w:tc>
          <w:tcPr>
            <w:tcW w:w="1004" w:type="dxa"/>
            <w:tcBorders>
              <w:top w:val="nil"/>
              <w:left w:val="nil"/>
              <w:bottom w:val="single" w:sz="4" w:space="0" w:color="auto"/>
              <w:right w:val="single" w:sz="4" w:space="0" w:color="auto"/>
            </w:tcBorders>
            <w:shd w:val="clear" w:color="auto" w:fill="FBE4D5" w:themeFill="accent2" w:themeFillTint="33"/>
            <w:noWrap/>
            <w:vAlign w:val="center"/>
          </w:tcPr>
          <w:p w14:paraId="2E21E9A0"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sidRPr="00894E3F">
              <w:rPr>
                <w:rFonts w:asciiTheme="majorHAnsi" w:eastAsia="Times New Roman" w:hAnsiTheme="majorHAnsi" w:cstheme="majorHAnsi"/>
                <w:b/>
                <w:color w:val="000000"/>
                <w:sz w:val="18"/>
                <w:szCs w:val="18"/>
              </w:rPr>
              <w:t>2,077.90</w:t>
            </w:r>
          </w:p>
        </w:tc>
        <w:tc>
          <w:tcPr>
            <w:tcW w:w="900" w:type="dxa"/>
            <w:tcBorders>
              <w:top w:val="nil"/>
              <w:left w:val="nil"/>
              <w:bottom w:val="single" w:sz="4" w:space="0" w:color="auto"/>
              <w:right w:val="single" w:sz="4" w:space="0" w:color="auto"/>
            </w:tcBorders>
            <w:shd w:val="clear" w:color="auto" w:fill="FBE4D5" w:themeFill="accent2" w:themeFillTint="33"/>
            <w:noWrap/>
            <w:vAlign w:val="center"/>
          </w:tcPr>
          <w:p w14:paraId="660C7DE8" w14:textId="77777777" w:rsidR="00E52AC1" w:rsidRPr="00B12427" w:rsidRDefault="00E52AC1" w:rsidP="00E52AC1">
            <w:pPr>
              <w:spacing w:after="0" w:line="240" w:lineRule="auto"/>
              <w:jc w:val="center"/>
              <w:rPr>
                <w:rFonts w:asciiTheme="majorHAnsi" w:eastAsia="Times New Roman" w:hAnsiTheme="majorHAnsi" w:cstheme="majorHAnsi"/>
                <w:b/>
                <w:color w:val="000000" w:themeColor="text1"/>
                <w:sz w:val="18"/>
                <w:szCs w:val="18"/>
              </w:rPr>
            </w:pPr>
            <w:r w:rsidRPr="00B12427">
              <w:rPr>
                <w:rFonts w:asciiTheme="majorHAnsi" w:eastAsia="Times New Roman" w:hAnsiTheme="majorHAnsi" w:cstheme="majorHAnsi"/>
                <w:b/>
                <w:color w:val="000000" w:themeColor="text1"/>
                <w:sz w:val="18"/>
                <w:szCs w:val="18"/>
              </w:rPr>
              <w:t>1,992.56</w:t>
            </w:r>
          </w:p>
        </w:tc>
        <w:tc>
          <w:tcPr>
            <w:tcW w:w="900" w:type="dxa"/>
            <w:tcBorders>
              <w:top w:val="nil"/>
              <w:left w:val="nil"/>
              <w:bottom w:val="single" w:sz="4" w:space="0" w:color="auto"/>
              <w:right w:val="single" w:sz="4" w:space="0" w:color="auto"/>
            </w:tcBorders>
            <w:shd w:val="clear" w:color="auto" w:fill="FBE4D5" w:themeFill="accent2" w:themeFillTint="33"/>
            <w:noWrap/>
            <w:vAlign w:val="center"/>
          </w:tcPr>
          <w:p w14:paraId="084724DF" w14:textId="77777777" w:rsidR="00E52AC1" w:rsidRPr="00B12427" w:rsidRDefault="00E52AC1" w:rsidP="00E52AC1">
            <w:pPr>
              <w:spacing w:after="0" w:line="240" w:lineRule="auto"/>
              <w:jc w:val="center"/>
              <w:rPr>
                <w:rFonts w:asciiTheme="majorHAnsi" w:eastAsia="Times New Roman" w:hAnsiTheme="majorHAnsi" w:cstheme="majorHAnsi"/>
                <w:b/>
                <w:color w:val="000000" w:themeColor="text1"/>
                <w:sz w:val="18"/>
                <w:szCs w:val="18"/>
              </w:rPr>
            </w:pPr>
            <w:r w:rsidRPr="00B12427">
              <w:rPr>
                <w:rFonts w:asciiTheme="majorHAnsi" w:eastAsia="Times New Roman" w:hAnsiTheme="majorHAnsi" w:cstheme="majorHAnsi"/>
                <w:b/>
                <w:color w:val="000000" w:themeColor="text1"/>
                <w:sz w:val="18"/>
                <w:szCs w:val="18"/>
              </w:rPr>
              <w:t>1,609.00</w:t>
            </w:r>
          </w:p>
        </w:tc>
        <w:tc>
          <w:tcPr>
            <w:tcW w:w="900" w:type="dxa"/>
            <w:tcBorders>
              <w:top w:val="nil"/>
              <w:left w:val="nil"/>
              <w:bottom w:val="single" w:sz="4" w:space="0" w:color="auto"/>
              <w:right w:val="single" w:sz="4" w:space="0" w:color="auto"/>
            </w:tcBorders>
            <w:shd w:val="clear" w:color="auto" w:fill="FBE4D5" w:themeFill="accent2" w:themeFillTint="33"/>
            <w:noWrap/>
            <w:vAlign w:val="center"/>
          </w:tcPr>
          <w:p w14:paraId="2C5E2E98" w14:textId="77777777" w:rsidR="00E52AC1" w:rsidRPr="00B12427" w:rsidRDefault="00E52AC1" w:rsidP="00E52AC1">
            <w:pPr>
              <w:spacing w:after="0" w:line="240" w:lineRule="auto"/>
              <w:jc w:val="center"/>
              <w:rPr>
                <w:rFonts w:asciiTheme="majorHAnsi" w:eastAsia="Times New Roman" w:hAnsiTheme="majorHAnsi" w:cstheme="majorHAnsi"/>
                <w:b/>
                <w:color w:val="000000" w:themeColor="text1"/>
                <w:sz w:val="18"/>
                <w:szCs w:val="18"/>
              </w:rPr>
            </w:pPr>
            <w:r w:rsidRPr="00B12427">
              <w:rPr>
                <w:rFonts w:asciiTheme="majorHAnsi" w:eastAsia="Times New Roman" w:hAnsiTheme="majorHAnsi" w:cstheme="majorHAnsi"/>
                <w:b/>
                <w:color w:val="000000" w:themeColor="text1"/>
                <w:sz w:val="18"/>
                <w:szCs w:val="18"/>
              </w:rPr>
              <w:t>2,559.72</w:t>
            </w:r>
          </w:p>
        </w:tc>
        <w:tc>
          <w:tcPr>
            <w:tcW w:w="948" w:type="dxa"/>
            <w:tcBorders>
              <w:top w:val="nil"/>
              <w:left w:val="nil"/>
              <w:bottom w:val="single" w:sz="4" w:space="0" w:color="auto"/>
              <w:right w:val="single" w:sz="4" w:space="0" w:color="auto"/>
            </w:tcBorders>
            <w:shd w:val="clear" w:color="auto" w:fill="FBE4D5" w:themeFill="accent2" w:themeFillTint="33"/>
            <w:noWrap/>
            <w:vAlign w:val="center"/>
          </w:tcPr>
          <w:p w14:paraId="342E3DCF"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sidRPr="00894E3F">
              <w:rPr>
                <w:rFonts w:asciiTheme="majorHAnsi" w:eastAsia="Times New Roman" w:hAnsiTheme="majorHAnsi" w:cstheme="majorHAnsi"/>
                <w:b/>
                <w:color w:val="000000"/>
                <w:sz w:val="18"/>
                <w:szCs w:val="18"/>
              </w:rPr>
              <w:t>48.35</w:t>
            </w:r>
          </w:p>
        </w:tc>
        <w:tc>
          <w:tcPr>
            <w:tcW w:w="1080" w:type="dxa"/>
            <w:tcBorders>
              <w:top w:val="nil"/>
              <w:left w:val="nil"/>
              <w:bottom w:val="single" w:sz="4" w:space="0" w:color="auto"/>
              <w:right w:val="single" w:sz="4" w:space="0" w:color="auto"/>
            </w:tcBorders>
            <w:shd w:val="clear" w:color="auto" w:fill="FBE4D5" w:themeFill="accent2" w:themeFillTint="33"/>
            <w:noWrap/>
            <w:vAlign w:val="center"/>
          </w:tcPr>
          <w:p w14:paraId="6D05F7B4"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sidRPr="00894E3F">
              <w:rPr>
                <w:rFonts w:asciiTheme="majorHAnsi" w:eastAsia="Times New Roman" w:hAnsiTheme="majorHAnsi" w:cstheme="majorHAnsi"/>
                <w:b/>
                <w:color w:val="000000"/>
                <w:sz w:val="18"/>
                <w:szCs w:val="18"/>
              </w:rPr>
              <w:t>-85.34</w:t>
            </w:r>
          </w:p>
        </w:tc>
        <w:tc>
          <w:tcPr>
            <w:tcW w:w="990" w:type="dxa"/>
            <w:tcBorders>
              <w:top w:val="nil"/>
              <w:left w:val="nil"/>
              <w:bottom w:val="single" w:sz="4" w:space="0" w:color="auto"/>
              <w:right w:val="single" w:sz="4" w:space="0" w:color="auto"/>
            </w:tcBorders>
            <w:shd w:val="clear" w:color="auto" w:fill="FBE4D5" w:themeFill="accent2" w:themeFillTint="33"/>
            <w:noWrap/>
            <w:vAlign w:val="center"/>
          </w:tcPr>
          <w:p w14:paraId="18FC9580"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sidRPr="00894E3F">
              <w:rPr>
                <w:rFonts w:asciiTheme="majorHAnsi" w:eastAsia="Times New Roman" w:hAnsiTheme="majorHAnsi" w:cstheme="majorHAnsi"/>
                <w:b/>
                <w:color w:val="000000"/>
                <w:sz w:val="18"/>
                <w:szCs w:val="18"/>
              </w:rPr>
              <w:t>-383.53</w:t>
            </w:r>
          </w:p>
        </w:tc>
        <w:tc>
          <w:tcPr>
            <w:tcW w:w="990" w:type="dxa"/>
            <w:tcBorders>
              <w:top w:val="nil"/>
              <w:left w:val="nil"/>
              <w:bottom w:val="single" w:sz="4" w:space="0" w:color="auto"/>
              <w:right w:val="single" w:sz="4" w:space="0" w:color="auto"/>
            </w:tcBorders>
            <w:shd w:val="clear" w:color="auto" w:fill="FBE4D5" w:themeFill="accent2" w:themeFillTint="33"/>
            <w:noWrap/>
            <w:vAlign w:val="center"/>
          </w:tcPr>
          <w:p w14:paraId="2D001290"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sidRPr="00894E3F">
              <w:rPr>
                <w:rFonts w:asciiTheme="majorHAnsi" w:eastAsia="Times New Roman" w:hAnsiTheme="majorHAnsi" w:cstheme="majorHAnsi"/>
                <w:b/>
                <w:color w:val="000000"/>
                <w:sz w:val="18"/>
                <w:szCs w:val="18"/>
              </w:rPr>
              <w:t>80.75</w:t>
            </w:r>
          </w:p>
        </w:tc>
        <w:tc>
          <w:tcPr>
            <w:tcW w:w="1080" w:type="dxa"/>
            <w:tcBorders>
              <w:top w:val="nil"/>
              <w:left w:val="nil"/>
              <w:bottom w:val="single" w:sz="4" w:space="0" w:color="auto"/>
              <w:right w:val="single" w:sz="4" w:space="0" w:color="auto"/>
            </w:tcBorders>
            <w:shd w:val="clear" w:color="auto" w:fill="FBE4D5" w:themeFill="accent2" w:themeFillTint="33"/>
            <w:noWrap/>
            <w:vAlign w:val="center"/>
          </w:tcPr>
          <w:p w14:paraId="76D4E797"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sidRPr="00894E3F">
              <w:rPr>
                <w:rFonts w:asciiTheme="majorHAnsi" w:eastAsia="Times New Roman" w:hAnsiTheme="majorHAnsi" w:cstheme="majorHAnsi"/>
                <w:b/>
                <w:color w:val="000000"/>
                <w:sz w:val="18"/>
                <w:szCs w:val="18"/>
              </w:rPr>
              <w:t>567.17</w:t>
            </w:r>
          </w:p>
        </w:tc>
        <w:tc>
          <w:tcPr>
            <w:tcW w:w="1156" w:type="dxa"/>
            <w:tcBorders>
              <w:top w:val="nil"/>
              <w:left w:val="nil"/>
              <w:bottom w:val="single" w:sz="4" w:space="0" w:color="auto"/>
              <w:right w:val="single" w:sz="4" w:space="0" w:color="auto"/>
            </w:tcBorders>
            <w:shd w:val="clear" w:color="auto" w:fill="FBE4D5" w:themeFill="accent2" w:themeFillTint="33"/>
            <w:noWrap/>
            <w:vAlign w:val="center"/>
          </w:tcPr>
          <w:p w14:paraId="60C57E6B"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sidRPr="00894E3F">
              <w:rPr>
                <w:rFonts w:asciiTheme="majorHAnsi" w:eastAsia="Times New Roman" w:hAnsiTheme="majorHAnsi" w:cstheme="majorHAnsi"/>
                <w:b/>
                <w:color w:val="000000"/>
                <w:sz w:val="18"/>
                <w:szCs w:val="18"/>
              </w:rPr>
              <w:t>128.46</w:t>
            </w:r>
          </w:p>
        </w:tc>
      </w:tr>
      <w:tr w:rsidR="00E52AC1" w:rsidRPr="00991DD7" w14:paraId="7BA67428" w14:textId="77777777" w:rsidTr="00E52AC1">
        <w:trPr>
          <w:trHeight w:val="116"/>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0D7B2F6D"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hideMark/>
          </w:tcPr>
          <w:p w14:paraId="49D714E1" w14:textId="77777777" w:rsidR="00E52AC1" w:rsidRPr="00894E3F" w:rsidRDefault="00E52AC1" w:rsidP="00E52AC1">
            <w:pPr>
              <w:spacing w:after="0" w:line="240" w:lineRule="auto"/>
              <w:jc w:val="both"/>
              <w:rPr>
                <w:rFonts w:asciiTheme="majorHAnsi" w:eastAsia="Times New Roman" w:hAnsiTheme="majorHAnsi" w:cstheme="majorHAnsi"/>
                <w:b/>
                <w:i/>
                <w:iCs/>
                <w:color w:val="000000"/>
                <w:sz w:val="18"/>
                <w:szCs w:val="18"/>
              </w:rPr>
            </w:pPr>
            <w:r w:rsidRPr="00894E3F">
              <w:rPr>
                <w:rFonts w:asciiTheme="majorHAnsi" w:eastAsia="Times New Roman" w:hAnsiTheme="majorHAnsi" w:cstheme="majorHAnsi"/>
                <w:b/>
                <w:i/>
                <w:iCs/>
                <w:color w:val="000000"/>
                <w:sz w:val="18"/>
                <w:szCs w:val="18"/>
              </w:rPr>
              <w:t>211</w:t>
            </w:r>
          </w:p>
        </w:tc>
        <w:tc>
          <w:tcPr>
            <w:tcW w:w="1004" w:type="dxa"/>
            <w:tcBorders>
              <w:top w:val="nil"/>
              <w:left w:val="nil"/>
              <w:bottom w:val="single" w:sz="4" w:space="0" w:color="auto"/>
              <w:right w:val="single" w:sz="4" w:space="0" w:color="auto"/>
            </w:tcBorders>
            <w:shd w:val="clear" w:color="auto" w:fill="auto"/>
            <w:noWrap/>
            <w:vAlign w:val="bottom"/>
            <w:hideMark/>
          </w:tcPr>
          <w:p w14:paraId="5B48E2FD"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sidRPr="00894E3F">
              <w:rPr>
                <w:rFonts w:asciiTheme="majorHAnsi" w:eastAsia="Times New Roman" w:hAnsiTheme="majorHAnsi" w:cstheme="majorHAnsi"/>
                <w:b/>
                <w:color w:val="000000"/>
                <w:sz w:val="18"/>
                <w:szCs w:val="18"/>
              </w:rPr>
              <w:t>410.11</w:t>
            </w:r>
          </w:p>
        </w:tc>
        <w:tc>
          <w:tcPr>
            <w:tcW w:w="900" w:type="dxa"/>
            <w:tcBorders>
              <w:top w:val="nil"/>
              <w:left w:val="nil"/>
              <w:bottom w:val="single" w:sz="4" w:space="0" w:color="auto"/>
              <w:right w:val="single" w:sz="4" w:space="0" w:color="auto"/>
            </w:tcBorders>
            <w:shd w:val="clear" w:color="auto" w:fill="auto"/>
            <w:noWrap/>
            <w:vAlign w:val="bottom"/>
            <w:hideMark/>
          </w:tcPr>
          <w:p w14:paraId="1638E94A"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sidRPr="00894E3F">
              <w:rPr>
                <w:rFonts w:asciiTheme="majorHAnsi" w:eastAsia="Times New Roman" w:hAnsiTheme="majorHAnsi" w:cstheme="majorHAnsi"/>
                <w:b/>
                <w:color w:val="000000"/>
                <w:sz w:val="18"/>
                <w:szCs w:val="18"/>
              </w:rPr>
              <w:t>409.30</w:t>
            </w:r>
          </w:p>
        </w:tc>
        <w:tc>
          <w:tcPr>
            <w:tcW w:w="900" w:type="dxa"/>
            <w:tcBorders>
              <w:top w:val="nil"/>
              <w:left w:val="nil"/>
              <w:bottom w:val="single" w:sz="4" w:space="0" w:color="auto"/>
              <w:right w:val="single" w:sz="4" w:space="0" w:color="auto"/>
            </w:tcBorders>
            <w:shd w:val="clear" w:color="auto" w:fill="auto"/>
            <w:noWrap/>
            <w:vAlign w:val="bottom"/>
            <w:hideMark/>
          </w:tcPr>
          <w:p w14:paraId="205A8C82"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sidRPr="00894E3F">
              <w:rPr>
                <w:rFonts w:asciiTheme="majorHAnsi" w:eastAsia="Times New Roman" w:hAnsiTheme="majorHAnsi" w:cstheme="majorHAnsi"/>
                <w:b/>
                <w:color w:val="000000"/>
                <w:sz w:val="18"/>
                <w:szCs w:val="18"/>
              </w:rPr>
              <w:t>403.00</w:t>
            </w:r>
          </w:p>
        </w:tc>
        <w:tc>
          <w:tcPr>
            <w:tcW w:w="900" w:type="dxa"/>
            <w:tcBorders>
              <w:top w:val="nil"/>
              <w:left w:val="nil"/>
              <w:bottom w:val="single" w:sz="4" w:space="0" w:color="auto"/>
              <w:right w:val="single" w:sz="4" w:space="0" w:color="auto"/>
            </w:tcBorders>
            <w:shd w:val="clear" w:color="auto" w:fill="auto"/>
            <w:noWrap/>
            <w:vAlign w:val="bottom"/>
            <w:hideMark/>
          </w:tcPr>
          <w:p w14:paraId="4CCD1BC9"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sidRPr="00894E3F">
              <w:rPr>
                <w:rFonts w:asciiTheme="majorHAnsi" w:eastAsia="Times New Roman" w:hAnsiTheme="majorHAnsi" w:cstheme="majorHAnsi"/>
                <w:b/>
                <w:color w:val="000000"/>
                <w:sz w:val="18"/>
                <w:szCs w:val="18"/>
              </w:rPr>
              <w:t>404.87</w:t>
            </w:r>
          </w:p>
        </w:tc>
        <w:tc>
          <w:tcPr>
            <w:tcW w:w="948" w:type="dxa"/>
            <w:tcBorders>
              <w:top w:val="nil"/>
              <w:left w:val="nil"/>
              <w:bottom w:val="single" w:sz="4" w:space="0" w:color="auto"/>
              <w:right w:val="single" w:sz="4" w:space="0" w:color="auto"/>
            </w:tcBorders>
            <w:shd w:val="clear" w:color="auto" w:fill="auto"/>
            <w:noWrap/>
            <w:vAlign w:val="bottom"/>
            <w:hideMark/>
          </w:tcPr>
          <w:p w14:paraId="73AFCF93"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sidRPr="00894E3F">
              <w:rPr>
                <w:rFonts w:asciiTheme="majorHAnsi" w:eastAsia="Times New Roman" w:hAnsiTheme="majorHAnsi" w:cstheme="majorHAnsi"/>
                <w:b/>
                <w:color w:val="000000"/>
                <w:sz w:val="18"/>
                <w:szCs w:val="18"/>
              </w:rPr>
              <w:t>29.30</w:t>
            </w:r>
          </w:p>
        </w:tc>
        <w:tc>
          <w:tcPr>
            <w:tcW w:w="1080" w:type="dxa"/>
            <w:tcBorders>
              <w:top w:val="nil"/>
              <w:left w:val="nil"/>
              <w:bottom w:val="single" w:sz="4" w:space="0" w:color="auto"/>
              <w:right w:val="single" w:sz="4" w:space="0" w:color="auto"/>
            </w:tcBorders>
            <w:shd w:val="clear" w:color="auto" w:fill="auto"/>
            <w:noWrap/>
            <w:vAlign w:val="bottom"/>
            <w:hideMark/>
          </w:tcPr>
          <w:p w14:paraId="3ABB2746"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sidRPr="00894E3F">
              <w:rPr>
                <w:rFonts w:asciiTheme="majorHAnsi" w:eastAsia="Times New Roman" w:hAnsiTheme="majorHAnsi" w:cstheme="majorHAnsi"/>
                <w:b/>
                <w:color w:val="000000"/>
                <w:sz w:val="18"/>
                <w:szCs w:val="18"/>
              </w:rPr>
              <w:t>-0.80</w:t>
            </w:r>
          </w:p>
        </w:tc>
        <w:tc>
          <w:tcPr>
            <w:tcW w:w="990" w:type="dxa"/>
            <w:tcBorders>
              <w:top w:val="nil"/>
              <w:left w:val="nil"/>
              <w:bottom w:val="single" w:sz="4" w:space="0" w:color="auto"/>
              <w:right w:val="single" w:sz="4" w:space="0" w:color="auto"/>
            </w:tcBorders>
            <w:shd w:val="clear" w:color="auto" w:fill="auto"/>
            <w:noWrap/>
            <w:vAlign w:val="bottom"/>
            <w:hideMark/>
          </w:tcPr>
          <w:p w14:paraId="38DE7F6C"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sidRPr="00894E3F">
              <w:rPr>
                <w:rFonts w:asciiTheme="majorHAnsi" w:eastAsia="Times New Roman" w:hAnsiTheme="majorHAnsi" w:cstheme="majorHAnsi"/>
                <w:b/>
                <w:color w:val="000000"/>
                <w:sz w:val="18"/>
                <w:szCs w:val="18"/>
              </w:rPr>
              <w:t>-6.31</w:t>
            </w:r>
          </w:p>
        </w:tc>
        <w:tc>
          <w:tcPr>
            <w:tcW w:w="990" w:type="dxa"/>
            <w:tcBorders>
              <w:top w:val="nil"/>
              <w:left w:val="nil"/>
              <w:bottom w:val="single" w:sz="4" w:space="0" w:color="auto"/>
              <w:right w:val="single" w:sz="4" w:space="0" w:color="auto"/>
            </w:tcBorders>
            <w:shd w:val="clear" w:color="auto" w:fill="auto"/>
            <w:noWrap/>
            <w:vAlign w:val="bottom"/>
            <w:hideMark/>
          </w:tcPr>
          <w:p w14:paraId="4ACB27A7"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sidRPr="00894E3F">
              <w:rPr>
                <w:rFonts w:asciiTheme="majorHAnsi" w:eastAsia="Times New Roman" w:hAnsiTheme="majorHAnsi" w:cstheme="majorHAnsi"/>
                <w:b/>
                <w:color w:val="000000"/>
                <w:sz w:val="18"/>
                <w:szCs w:val="18"/>
              </w:rPr>
              <w:t>98.46</w:t>
            </w:r>
          </w:p>
        </w:tc>
        <w:tc>
          <w:tcPr>
            <w:tcW w:w="1080" w:type="dxa"/>
            <w:tcBorders>
              <w:top w:val="nil"/>
              <w:left w:val="nil"/>
              <w:bottom w:val="single" w:sz="4" w:space="0" w:color="auto"/>
              <w:right w:val="single" w:sz="4" w:space="0" w:color="auto"/>
            </w:tcBorders>
            <w:shd w:val="clear" w:color="auto" w:fill="auto"/>
            <w:noWrap/>
            <w:vAlign w:val="bottom"/>
            <w:hideMark/>
          </w:tcPr>
          <w:p w14:paraId="6EBD0E34"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sidRPr="00894E3F">
              <w:rPr>
                <w:rFonts w:asciiTheme="majorHAnsi" w:eastAsia="Times New Roman" w:hAnsiTheme="majorHAnsi" w:cstheme="majorHAnsi"/>
                <w:b/>
                <w:color w:val="000000"/>
                <w:sz w:val="18"/>
                <w:szCs w:val="18"/>
              </w:rPr>
              <w:t>-4.43</w:t>
            </w:r>
          </w:p>
        </w:tc>
        <w:tc>
          <w:tcPr>
            <w:tcW w:w="1156" w:type="dxa"/>
            <w:tcBorders>
              <w:top w:val="nil"/>
              <w:left w:val="nil"/>
              <w:bottom w:val="single" w:sz="4" w:space="0" w:color="auto"/>
              <w:right w:val="single" w:sz="4" w:space="0" w:color="auto"/>
            </w:tcBorders>
            <w:shd w:val="clear" w:color="auto" w:fill="auto"/>
            <w:noWrap/>
            <w:vAlign w:val="bottom"/>
            <w:hideMark/>
          </w:tcPr>
          <w:p w14:paraId="65D6C73E"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sidRPr="00894E3F">
              <w:rPr>
                <w:rFonts w:asciiTheme="majorHAnsi" w:eastAsia="Times New Roman" w:hAnsiTheme="majorHAnsi" w:cstheme="majorHAnsi"/>
                <w:b/>
                <w:color w:val="000000"/>
                <w:sz w:val="18"/>
                <w:szCs w:val="18"/>
              </w:rPr>
              <w:t>98.92</w:t>
            </w:r>
          </w:p>
        </w:tc>
      </w:tr>
      <w:tr w:rsidR="00E52AC1" w:rsidRPr="00991DD7" w14:paraId="764E1FEB" w14:textId="77777777" w:rsidTr="00E52AC1">
        <w:trPr>
          <w:trHeight w:val="5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3BC30C2E"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Salariul de baza</w:t>
            </w:r>
          </w:p>
        </w:tc>
        <w:tc>
          <w:tcPr>
            <w:tcW w:w="964" w:type="dxa"/>
            <w:tcBorders>
              <w:top w:val="nil"/>
              <w:left w:val="nil"/>
              <w:bottom w:val="single" w:sz="4" w:space="0" w:color="auto"/>
              <w:right w:val="single" w:sz="4" w:space="0" w:color="auto"/>
            </w:tcBorders>
            <w:shd w:val="clear" w:color="auto" w:fill="auto"/>
            <w:noWrap/>
            <w:vAlign w:val="bottom"/>
            <w:hideMark/>
          </w:tcPr>
          <w:p w14:paraId="44B71F0C"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211110</w:t>
            </w:r>
          </w:p>
        </w:tc>
        <w:tc>
          <w:tcPr>
            <w:tcW w:w="1004" w:type="dxa"/>
            <w:tcBorders>
              <w:top w:val="nil"/>
              <w:left w:val="nil"/>
              <w:bottom w:val="single" w:sz="4" w:space="0" w:color="auto"/>
              <w:right w:val="single" w:sz="4" w:space="0" w:color="auto"/>
            </w:tcBorders>
            <w:shd w:val="clear" w:color="auto" w:fill="auto"/>
            <w:noWrap/>
            <w:vAlign w:val="bottom"/>
            <w:hideMark/>
          </w:tcPr>
          <w:p w14:paraId="402EDD2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7.21</w:t>
            </w:r>
          </w:p>
        </w:tc>
        <w:tc>
          <w:tcPr>
            <w:tcW w:w="900" w:type="dxa"/>
            <w:tcBorders>
              <w:top w:val="nil"/>
              <w:left w:val="nil"/>
              <w:bottom w:val="single" w:sz="4" w:space="0" w:color="auto"/>
              <w:right w:val="single" w:sz="4" w:space="0" w:color="auto"/>
            </w:tcBorders>
            <w:shd w:val="clear" w:color="auto" w:fill="auto"/>
            <w:noWrap/>
            <w:vAlign w:val="bottom"/>
            <w:hideMark/>
          </w:tcPr>
          <w:p w14:paraId="60E6500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7E98B48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435230F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274.13</w:t>
            </w:r>
          </w:p>
        </w:tc>
        <w:tc>
          <w:tcPr>
            <w:tcW w:w="948" w:type="dxa"/>
            <w:tcBorders>
              <w:top w:val="nil"/>
              <w:left w:val="nil"/>
              <w:bottom w:val="single" w:sz="4" w:space="0" w:color="auto"/>
              <w:right w:val="single" w:sz="4" w:space="0" w:color="auto"/>
            </w:tcBorders>
            <w:shd w:val="clear" w:color="auto" w:fill="auto"/>
            <w:noWrap/>
            <w:vAlign w:val="bottom"/>
            <w:hideMark/>
          </w:tcPr>
          <w:p w14:paraId="432CC40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2768192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-7.21</w:t>
            </w:r>
          </w:p>
        </w:tc>
        <w:tc>
          <w:tcPr>
            <w:tcW w:w="990" w:type="dxa"/>
            <w:tcBorders>
              <w:top w:val="nil"/>
              <w:left w:val="nil"/>
              <w:bottom w:val="single" w:sz="4" w:space="0" w:color="auto"/>
              <w:right w:val="single" w:sz="4" w:space="0" w:color="auto"/>
            </w:tcBorders>
            <w:shd w:val="clear" w:color="auto" w:fill="auto"/>
            <w:noWrap/>
            <w:vAlign w:val="bottom"/>
            <w:hideMark/>
          </w:tcPr>
          <w:p w14:paraId="5F99CF3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2AB09B2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543DC76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274.13</w:t>
            </w:r>
          </w:p>
        </w:tc>
        <w:tc>
          <w:tcPr>
            <w:tcW w:w="1156" w:type="dxa"/>
            <w:tcBorders>
              <w:top w:val="nil"/>
              <w:left w:val="nil"/>
              <w:bottom w:val="single" w:sz="4" w:space="0" w:color="auto"/>
              <w:right w:val="single" w:sz="4" w:space="0" w:color="auto"/>
            </w:tcBorders>
            <w:shd w:val="clear" w:color="auto" w:fill="auto"/>
            <w:noWrap/>
            <w:vAlign w:val="bottom"/>
            <w:hideMark/>
          </w:tcPr>
          <w:p w14:paraId="611824F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4458B2CC" w14:textId="77777777" w:rsidTr="00E52AC1">
        <w:trPr>
          <w:trHeight w:val="18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2E2B6991"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Sporuri si suplimente la salariul de baza</w:t>
            </w:r>
          </w:p>
        </w:tc>
        <w:tc>
          <w:tcPr>
            <w:tcW w:w="964" w:type="dxa"/>
            <w:tcBorders>
              <w:top w:val="nil"/>
              <w:left w:val="nil"/>
              <w:bottom w:val="single" w:sz="4" w:space="0" w:color="auto"/>
              <w:right w:val="single" w:sz="4" w:space="0" w:color="auto"/>
            </w:tcBorders>
            <w:shd w:val="clear" w:color="auto" w:fill="auto"/>
            <w:noWrap/>
            <w:vAlign w:val="bottom"/>
            <w:hideMark/>
          </w:tcPr>
          <w:p w14:paraId="527DA86E"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211120</w:t>
            </w:r>
          </w:p>
        </w:tc>
        <w:tc>
          <w:tcPr>
            <w:tcW w:w="1004" w:type="dxa"/>
            <w:tcBorders>
              <w:top w:val="nil"/>
              <w:left w:val="nil"/>
              <w:bottom w:val="single" w:sz="4" w:space="0" w:color="auto"/>
              <w:right w:val="single" w:sz="4" w:space="0" w:color="auto"/>
            </w:tcBorders>
            <w:shd w:val="clear" w:color="auto" w:fill="auto"/>
            <w:noWrap/>
            <w:vAlign w:val="bottom"/>
            <w:hideMark/>
          </w:tcPr>
          <w:p w14:paraId="39B36C1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11.03</w:t>
            </w:r>
          </w:p>
        </w:tc>
        <w:tc>
          <w:tcPr>
            <w:tcW w:w="900" w:type="dxa"/>
            <w:tcBorders>
              <w:top w:val="nil"/>
              <w:left w:val="nil"/>
              <w:bottom w:val="single" w:sz="4" w:space="0" w:color="auto"/>
              <w:right w:val="single" w:sz="4" w:space="0" w:color="auto"/>
            </w:tcBorders>
            <w:shd w:val="clear" w:color="auto" w:fill="auto"/>
            <w:noWrap/>
            <w:vAlign w:val="bottom"/>
            <w:hideMark/>
          </w:tcPr>
          <w:p w14:paraId="33475A7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53658CF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79DD0F5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78.57</w:t>
            </w:r>
          </w:p>
        </w:tc>
        <w:tc>
          <w:tcPr>
            <w:tcW w:w="948" w:type="dxa"/>
            <w:tcBorders>
              <w:top w:val="nil"/>
              <w:left w:val="nil"/>
              <w:bottom w:val="single" w:sz="4" w:space="0" w:color="auto"/>
              <w:right w:val="single" w:sz="4" w:space="0" w:color="auto"/>
            </w:tcBorders>
            <w:shd w:val="clear" w:color="auto" w:fill="auto"/>
            <w:noWrap/>
            <w:vAlign w:val="bottom"/>
            <w:hideMark/>
          </w:tcPr>
          <w:p w14:paraId="30A20D8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53EE431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-11.03</w:t>
            </w:r>
          </w:p>
        </w:tc>
        <w:tc>
          <w:tcPr>
            <w:tcW w:w="990" w:type="dxa"/>
            <w:tcBorders>
              <w:top w:val="nil"/>
              <w:left w:val="nil"/>
              <w:bottom w:val="single" w:sz="4" w:space="0" w:color="auto"/>
              <w:right w:val="single" w:sz="4" w:space="0" w:color="auto"/>
            </w:tcBorders>
            <w:shd w:val="clear" w:color="auto" w:fill="auto"/>
            <w:noWrap/>
            <w:vAlign w:val="bottom"/>
            <w:hideMark/>
          </w:tcPr>
          <w:p w14:paraId="768FDE8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0857FA5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322ACE3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78.57</w:t>
            </w:r>
          </w:p>
        </w:tc>
        <w:tc>
          <w:tcPr>
            <w:tcW w:w="1156" w:type="dxa"/>
            <w:tcBorders>
              <w:top w:val="nil"/>
              <w:left w:val="nil"/>
              <w:bottom w:val="single" w:sz="4" w:space="0" w:color="auto"/>
              <w:right w:val="single" w:sz="4" w:space="0" w:color="auto"/>
            </w:tcBorders>
            <w:shd w:val="clear" w:color="auto" w:fill="auto"/>
            <w:noWrap/>
            <w:vAlign w:val="bottom"/>
            <w:hideMark/>
          </w:tcPr>
          <w:p w14:paraId="2F35F73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47D3C6DD" w14:textId="77777777" w:rsidTr="00E52AC1">
        <w:trPr>
          <w:trHeight w:val="143"/>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19D00518"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Ajutor material</w:t>
            </w:r>
          </w:p>
        </w:tc>
        <w:tc>
          <w:tcPr>
            <w:tcW w:w="964" w:type="dxa"/>
            <w:tcBorders>
              <w:top w:val="nil"/>
              <w:left w:val="nil"/>
              <w:bottom w:val="single" w:sz="4" w:space="0" w:color="auto"/>
              <w:right w:val="single" w:sz="4" w:space="0" w:color="auto"/>
            </w:tcBorders>
            <w:shd w:val="clear" w:color="auto" w:fill="auto"/>
            <w:noWrap/>
            <w:vAlign w:val="bottom"/>
            <w:hideMark/>
          </w:tcPr>
          <w:p w14:paraId="5C601A0C"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211130</w:t>
            </w:r>
          </w:p>
        </w:tc>
        <w:tc>
          <w:tcPr>
            <w:tcW w:w="1004" w:type="dxa"/>
            <w:tcBorders>
              <w:top w:val="nil"/>
              <w:left w:val="nil"/>
              <w:bottom w:val="single" w:sz="4" w:space="0" w:color="auto"/>
              <w:right w:val="single" w:sz="4" w:space="0" w:color="auto"/>
            </w:tcBorders>
            <w:shd w:val="clear" w:color="auto" w:fill="auto"/>
            <w:noWrap/>
            <w:vAlign w:val="bottom"/>
            <w:hideMark/>
          </w:tcPr>
          <w:p w14:paraId="6DD41E4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1.71</w:t>
            </w:r>
          </w:p>
        </w:tc>
        <w:tc>
          <w:tcPr>
            <w:tcW w:w="900" w:type="dxa"/>
            <w:tcBorders>
              <w:top w:val="nil"/>
              <w:left w:val="nil"/>
              <w:bottom w:val="single" w:sz="4" w:space="0" w:color="auto"/>
              <w:right w:val="single" w:sz="4" w:space="0" w:color="auto"/>
            </w:tcBorders>
            <w:shd w:val="clear" w:color="auto" w:fill="auto"/>
            <w:noWrap/>
            <w:vAlign w:val="bottom"/>
            <w:hideMark/>
          </w:tcPr>
          <w:p w14:paraId="7D9A03B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188DB52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0F6ACCF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5.36</w:t>
            </w:r>
          </w:p>
        </w:tc>
        <w:tc>
          <w:tcPr>
            <w:tcW w:w="948" w:type="dxa"/>
            <w:tcBorders>
              <w:top w:val="nil"/>
              <w:left w:val="nil"/>
              <w:bottom w:val="single" w:sz="4" w:space="0" w:color="auto"/>
              <w:right w:val="single" w:sz="4" w:space="0" w:color="auto"/>
            </w:tcBorders>
            <w:shd w:val="clear" w:color="auto" w:fill="auto"/>
            <w:noWrap/>
            <w:vAlign w:val="bottom"/>
            <w:hideMark/>
          </w:tcPr>
          <w:p w14:paraId="0F4603F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0C13B5B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-1.71</w:t>
            </w:r>
          </w:p>
        </w:tc>
        <w:tc>
          <w:tcPr>
            <w:tcW w:w="990" w:type="dxa"/>
            <w:tcBorders>
              <w:top w:val="nil"/>
              <w:left w:val="nil"/>
              <w:bottom w:val="single" w:sz="4" w:space="0" w:color="auto"/>
              <w:right w:val="single" w:sz="4" w:space="0" w:color="auto"/>
            </w:tcBorders>
            <w:shd w:val="clear" w:color="auto" w:fill="auto"/>
            <w:noWrap/>
            <w:vAlign w:val="bottom"/>
            <w:hideMark/>
          </w:tcPr>
          <w:p w14:paraId="6B2FC94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234AB7A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0473BD4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5.36</w:t>
            </w:r>
          </w:p>
        </w:tc>
        <w:tc>
          <w:tcPr>
            <w:tcW w:w="1156" w:type="dxa"/>
            <w:tcBorders>
              <w:top w:val="nil"/>
              <w:left w:val="nil"/>
              <w:bottom w:val="single" w:sz="4" w:space="0" w:color="auto"/>
              <w:right w:val="single" w:sz="4" w:space="0" w:color="auto"/>
            </w:tcBorders>
            <w:shd w:val="clear" w:color="auto" w:fill="auto"/>
            <w:noWrap/>
            <w:vAlign w:val="bottom"/>
            <w:hideMark/>
          </w:tcPr>
          <w:p w14:paraId="67306D0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4F2EC576" w14:textId="77777777" w:rsidTr="00E52AC1">
        <w:trPr>
          <w:trHeight w:val="89"/>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2280E8E6"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Premieri</w:t>
            </w:r>
          </w:p>
        </w:tc>
        <w:tc>
          <w:tcPr>
            <w:tcW w:w="964" w:type="dxa"/>
            <w:tcBorders>
              <w:top w:val="nil"/>
              <w:left w:val="nil"/>
              <w:bottom w:val="single" w:sz="4" w:space="0" w:color="auto"/>
              <w:right w:val="single" w:sz="4" w:space="0" w:color="auto"/>
            </w:tcBorders>
            <w:shd w:val="clear" w:color="auto" w:fill="auto"/>
            <w:noWrap/>
            <w:vAlign w:val="bottom"/>
            <w:hideMark/>
          </w:tcPr>
          <w:p w14:paraId="46738683"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211140</w:t>
            </w:r>
          </w:p>
        </w:tc>
        <w:tc>
          <w:tcPr>
            <w:tcW w:w="1004" w:type="dxa"/>
            <w:tcBorders>
              <w:top w:val="nil"/>
              <w:left w:val="nil"/>
              <w:bottom w:val="single" w:sz="4" w:space="0" w:color="auto"/>
              <w:right w:val="single" w:sz="4" w:space="0" w:color="auto"/>
            </w:tcBorders>
            <w:shd w:val="clear" w:color="auto" w:fill="auto"/>
            <w:noWrap/>
            <w:vAlign w:val="bottom"/>
            <w:hideMark/>
          </w:tcPr>
          <w:p w14:paraId="58FC29F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6.01</w:t>
            </w:r>
          </w:p>
        </w:tc>
        <w:tc>
          <w:tcPr>
            <w:tcW w:w="900" w:type="dxa"/>
            <w:tcBorders>
              <w:top w:val="nil"/>
              <w:left w:val="nil"/>
              <w:bottom w:val="single" w:sz="4" w:space="0" w:color="auto"/>
              <w:right w:val="single" w:sz="4" w:space="0" w:color="auto"/>
            </w:tcBorders>
            <w:shd w:val="clear" w:color="auto" w:fill="auto"/>
            <w:noWrap/>
            <w:vAlign w:val="bottom"/>
            <w:hideMark/>
          </w:tcPr>
          <w:p w14:paraId="5CE251B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71662F7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78382C2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44.69</w:t>
            </w:r>
          </w:p>
        </w:tc>
        <w:tc>
          <w:tcPr>
            <w:tcW w:w="948" w:type="dxa"/>
            <w:tcBorders>
              <w:top w:val="nil"/>
              <w:left w:val="nil"/>
              <w:bottom w:val="single" w:sz="4" w:space="0" w:color="auto"/>
              <w:right w:val="single" w:sz="4" w:space="0" w:color="auto"/>
            </w:tcBorders>
            <w:shd w:val="clear" w:color="auto" w:fill="auto"/>
            <w:noWrap/>
            <w:vAlign w:val="bottom"/>
            <w:hideMark/>
          </w:tcPr>
          <w:p w14:paraId="1E03472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7ECDCC2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-6.01</w:t>
            </w:r>
          </w:p>
        </w:tc>
        <w:tc>
          <w:tcPr>
            <w:tcW w:w="990" w:type="dxa"/>
            <w:tcBorders>
              <w:top w:val="nil"/>
              <w:left w:val="nil"/>
              <w:bottom w:val="single" w:sz="4" w:space="0" w:color="auto"/>
              <w:right w:val="single" w:sz="4" w:space="0" w:color="auto"/>
            </w:tcBorders>
            <w:shd w:val="clear" w:color="auto" w:fill="auto"/>
            <w:noWrap/>
            <w:vAlign w:val="bottom"/>
            <w:hideMark/>
          </w:tcPr>
          <w:p w14:paraId="381CFED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4B68FA2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1550D28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44.69</w:t>
            </w:r>
          </w:p>
        </w:tc>
        <w:tc>
          <w:tcPr>
            <w:tcW w:w="1156" w:type="dxa"/>
            <w:tcBorders>
              <w:top w:val="nil"/>
              <w:left w:val="nil"/>
              <w:bottom w:val="single" w:sz="4" w:space="0" w:color="auto"/>
              <w:right w:val="single" w:sz="4" w:space="0" w:color="auto"/>
            </w:tcBorders>
            <w:shd w:val="clear" w:color="auto" w:fill="auto"/>
            <w:noWrap/>
            <w:vAlign w:val="bottom"/>
            <w:hideMark/>
          </w:tcPr>
          <w:p w14:paraId="58A864C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4B1F3902" w14:textId="77777777" w:rsidTr="00E52AC1">
        <w:trPr>
          <w:trHeight w:val="134"/>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505A2F49"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Remunerarea muncii angajaților conform statelor</w:t>
            </w:r>
          </w:p>
        </w:tc>
        <w:tc>
          <w:tcPr>
            <w:tcW w:w="964" w:type="dxa"/>
            <w:tcBorders>
              <w:top w:val="nil"/>
              <w:left w:val="nil"/>
              <w:bottom w:val="single" w:sz="4" w:space="0" w:color="auto"/>
              <w:right w:val="single" w:sz="4" w:space="0" w:color="auto"/>
            </w:tcBorders>
            <w:shd w:val="clear" w:color="auto" w:fill="auto"/>
            <w:noWrap/>
            <w:vAlign w:val="bottom"/>
            <w:hideMark/>
          </w:tcPr>
          <w:p w14:paraId="2ED4E12E"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211180</w:t>
            </w:r>
          </w:p>
        </w:tc>
        <w:tc>
          <w:tcPr>
            <w:tcW w:w="1004" w:type="dxa"/>
            <w:tcBorders>
              <w:top w:val="nil"/>
              <w:left w:val="nil"/>
              <w:bottom w:val="single" w:sz="4" w:space="0" w:color="auto"/>
              <w:right w:val="single" w:sz="4" w:space="0" w:color="auto"/>
            </w:tcBorders>
            <w:shd w:val="clear" w:color="auto" w:fill="auto"/>
            <w:noWrap/>
            <w:vAlign w:val="bottom"/>
            <w:hideMark/>
          </w:tcPr>
          <w:p w14:paraId="37CF7D8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384.15</w:t>
            </w:r>
          </w:p>
        </w:tc>
        <w:tc>
          <w:tcPr>
            <w:tcW w:w="900" w:type="dxa"/>
            <w:tcBorders>
              <w:top w:val="nil"/>
              <w:left w:val="nil"/>
              <w:bottom w:val="single" w:sz="4" w:space="0" w:color="auto"/>
              <w:right w:val="single" w:sz="4" w:space="0" w:color="auto"/>
            </w:tcBorders>
            <w:shd w:val="clear" w:color="auto" w:fill="auto"/>
            <w:noWrap/>
            <w:vAlign w:val="bottom"/>
            <w:hideMark/>
          </w:tcPr>
          <w:p w14:paraId="2E0E5E8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409.30</w:t>
            </w:r>
          </w:p>
        </w:tc>
        <w:tc>
          <w:tcPr>
            <w:tcW w:w="900" w:type="dxa"/>
            <w:tcBorders>
              <w:top w:val="nil"/>
              <w:left w:val="nil"/>
              <w:bottom w:val="single" w:sz="4" w:space="0" w:color="auto"/>
              <w:right w:val="single" w:sz="4" w:space="0" w:color="auto"/>
            </w:tcBorders>
            <w:shd w:val="clear" w:color="auto" w:fill="auto"/>
            <w:noWrap/>
            <w:vAlign w:val="bottom"/>
            <w:hideMark/>
          </w:tcPr>
          <w:p w14:paraId="784D68B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403.00</w:t>
            </w:r>
          </w:p>
        </w:tc>
        <w:tc>
          <w:tcPr>
            <w:tcW w:w="900" w:type="dxa"/>
            <w:tcBorders>
              <w:top w:val="nil"/>
              <w:left w:val="nil"/>
              <w:bottom w:val="single" w:sz="4" w:space="0" w:color="auto"/>
              <w:right w:val="single" w:sz="4" w:space="0" w:color="auto"/>
            </w:tcBorders>
            <w:shd w:val="clear" w:color="auto" w:fill="auto"/>
            <w:noWrap/>
            <w:vAlign w:val="bottom"/>
            <w:hideMark/>
          </w:tcPr>
          <w:p w14:paraId="4CB7F2A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47E3C78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29.30</w:t>
            </w:r>
          </w:p>
        </w:tc>
        <w:tc>
          <w:tcPr>
            <w:tcW w:w="1080" w:type="dxa"/>
            <w:tcBorders>
              <w:top w:val="nil"/>
              <w:left w:val="nil"/>
              <w:bottom w:val="single" w:sz="4" w:space="0" w:color="auto"/>
              <w:right w:val="single" w:sz="4" w:space="0" w:color="auto"/>
            </w:tcBorders>
            <w:shd w:val="clear" w:color="auto" w:fill="auto"/>
            <w:noWrap/>
            <w:vAlign w:val="bottom"/>
            <w:hideMark/>
          </w:tcPr>
          <w:p w14:paraId="086B6DD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25.15</w:t>
            </w:r>
          </w:p>
        </w:tc>
        <w:tc>
          <w:tcPr>
            <w:tcW w:w="990" w:type="dxa"/>
            <w:tcBorders>
              <w:top w:val="nil"/>
              <w:left w:val="nil"/>
              <w:bottom w:val="single" w:sz="4" w:space="0" w:color="auto"/>
              <w:right w:val="single" w:sz="4" w:space="0" w:color="auto"/>
            </w:tcBorders>
            <w:shd w:val="clear" w:color="auto" w:fill="auto"/>
            <w:noWrap/>
            <w:vAlign w:val="bottom"/>
            <w:hideMark/>
          </w:tcPr>
          <w:p w14:paraId="1C6200D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-6.31</w:t>
            </w:r>
          </w:p>
        </w:tc>
        <w:tc>
          <w:tcPr>
            <w:tcW w:w="990" w:type="dxa"/>
            <w:tcBorders>
              <w:top w:val="nil"/>
              <w:left w:val="nil"/>
              <w:bottom w:val="single" w:sz="4" w:space="0" w:color="auto"/>
              <w:right w:val="single" w:sz="4" w:space="0" w:color="auto"/>
            </w:tcBorders>
            <w:shd w:val="clear" w:color="auto" w:fill="auto"/>
            <w:noWrap/>
            <w:vAlign w:val="bottom"/>
            <w:hideMark/>
          </w:tcPr>
          <w:p w14:paraId="76C6036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98.46</w:t>
            </w:r>
          </w:p>
        </w:tc>
        <w:tc>
          <w:tcPr>
            <w:tcW w:w="1080" w:type="dxa"/>
            <w:tcBorders>
              <w:top w:val="nil"/>
              <w:left w:val="nil"/>
              <w:bottom w:val="single" w:sz="4" w:space="0" w:color="auto"/>
              <w:right w:val="single" w:sz="4" w:space="0" w:color="auto"/>
            </w:tcBorders>
            <w:shd w:val="clear" w:color="auto" w:fill="auto"/>
            <w:noWrap/>
            <w:vAlign w:val="bottom"/>
            <w:hideMark/>
          </w:tcPr>
          <w:p w14:paraId="257C759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-409.30</w:t>
            </w:r>
          </w:p>
        </w:tc>
        <w:tc>
          <w:tcPr>
            <w:tcW w:w="1156" w:type="dxa"/>
            <w:tcBorders>
              <w:top w:val="nil"/>
              <w:left w:val="nil"/>
              <w:bottom w:val="single" w:sz="4" w:space="0" w:color="auto"/>
              <w:right w:val="single" w:sz="4" w:space="0" w:color="auto"/>
            </w:tcBorders>
            <w:shd w:val="clear" w:color="auto" w:fill="auto"/>
            <w:noWrap/>
            <w:vAlign w:val="bottom"/>
            <w:hideMark/>
          </w:tcPr>
          <w:p w14:paraId="32B7AAC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0FE9E044"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07DADBB8"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Alte plați salariale</w:t>
            </w:r>
          </w:p>
        </w:tc>
        <w:tc>
          <w:tcPr>
            <w:tcW w:w="964" w:type="dxa"/>
            <w:tcBorders>
              <w:top w:val="nil"/>
              <w:left w:val="nil"/>
              <w:bottom w:val="single" w:sz="4" w:space="0" w:color="auto"/>
              <w:right w:val="single" w:sz="4" w:space="0" w:color="auto"/>
            </w:tcBorders>
            <w:shd w:val="clear" w:color="auto" w:fill="auto"/>
            <w:noWrap/>
            <w:vAlign w:val="bottom"/>
            <w:hideMark/>
          </w:tcPr>
          <w:p w14:paraId="722BDB16"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211190</w:t>
            </w:r>
          </w:p>
        </w:tc>
        <w:tc>
          <w:tcPr>
            <w:tcW w:w="1004" w:type="dxa"/>
            <w:tcBorders>
              <w:top w:val="nil"/>
              <w:left w:val="nil"/>
              <w:bottom w:val="single" w:sz="4" w:space="0" w:color="auto"/>
              <w:right w:val="single" w:sz="4" w:space="0" w:color="auto"/>
            </w:tcBorders>
            <w:shd w:val="clear" w:color="auto" w:fill="auto"/>
            <w:noWrap/>
            <w:vAlign w:val="bottom"/>
            <w:hideMark/>
          </w:tcPr>
          <w:p w14:paraId="1780D28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44186DE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783D75A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68D8A5F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2.12</w:t>
            </w:r>
          </w:p>
        </w:tc>
        <w:tc>
          <w:tcPr>
            <w:tcW w:w="948" w:type="dxa"/>
            <w:tcBorders>
              <w:top w:val="nil"/>
              <w:left w:val="nil"/>
              <w:bottom w:val="single" w:sz="4" w:space="0" w:color="auto"/>
              <w:right w:val="single" w:sz="4" w:space="0" w:color="auto"/>
            </w:tcBorders>
            <w:shd w:val="clear" w:color="auto" w:fill="auto"/>
            <w:noWrap/>
            <w:vAlign w:val="bottom"/>
            <w:hideMark/>
          </w:tcPr>
          <w:p w14:paraId="5A6319FE" w14:textId="77777777" w:rsidR="00E52AC1" w:rsidRPr="00852A13" w:rsidRDefault="00E52AC1" w:rsidP="00E52AC1">
            <w:pPr>
              <w:spacing w:after="0" w:line="240" w:lineRule="auto"/>
              <w:jc w:val="center"/>
              <w:rPr>
                <w:rFonts w:asciiTheme="majorHAnsi" w:eastAsia="Times New Roman" w:hAnsiTheme="majorHAnsi" w:cstheme="majorHAnsi"/>
                <w:color w:val="000000"/>
                <w:sz w:val="18"/>
                <w:szCs w:val="18"/>
                <w:lang w:val="en-US"/>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26E9006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53C0AB0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216D4BC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7901329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2.12</w:t>
            </w:r>
          </w:p>
        </w:tc>
        <w:tc>
          <w:tcPr>
            <w:tcW w:w="1156" w:type="dxa"/>
            <w:tcBorders>
              <w:top w:val="nil"/>
              <w:left w:val="nil"/>
              <w:bottom w:val="single" w:sz="4" w:space="0" w:color="auto"/>
              <w:right w:val="single" w:sz="4" w:space="0" w:color="auto"/>
            </w:tcBorders>
            <w:shd w:val="clear" w:color="auto" w:fill="auto"/>
            <w:noWrap/>
            <w:vAlign w:val="bottom"/>
            <w:hideMark/>
          </w:tcPr>
          <w:p w14:paraId="3DFF8DA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3676EEC4" w14:textId="77777777" w:rsidTr="00E52AC1">
        <w:trPr>
          <w:trHeight w:val="365"/>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1A4D44B5"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hideMark/>
          </w:tcPr>
          <w:p w14:paraId="2151897B"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212</w:t>
            </w:r>
          </w:p>
        </w:tc>
        <w:tc>
          <w:tcPr>
            <w:tcW w:w="1004" w:type="dxa"/>
            <w:tcBorders>
              <w:top w:val="nil"/>
              <w:left w:val="nil"/>
              <w:bottom w:val="single" w:sz="4" w:space="0" w:color="auto"/>
              <w:right w:val="single" w:sz="4" w:space="0" w:color="auto"/>
            </w:tcBorders>
            <w:shd w:val="clear" w:color="auto" w:fill="auto"/>
            <w:noWrap/>
            <w:vAlign w:val="bottom"/>
            <w:hideMark/>
          </w:tcPr>
          <w:p w14:paraId="5013F03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108.66</w:t>
            </w:r>
          </w:p>
        </w:tc>
        <w:tc>
          <w:tcPr>
            <w:tcW w:w="900" w:type="dxa"/>
            <w:tcBorders>
              <w:top w:val="nil"/>
              <w:left w:val="nil"/>
              <w:bottom w:val="single" w:sz="4" w:space="0" w:color="auto"/>
              <w:right w:val="single" w:sz="4" w:space="0" w:color="auto"/>
            </w:tcBorders>
            <w:shd w:val="clear" w:color="auto" w:fill="auto"/>
            <w:noWrap/>
            <w:vAlign w:val="bottom"/>
            <w:hideMark/>
          </w:tcPr>
          <w:p w14:paraId="27F3B1E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114.65</w:t>
            </w:r>
          </w:p>
        </w:tc>
        <w:tc>
          <w:tcPr>
            <w:tcW w:w="900" w:type="dxa"/>
            <w:tcBorders>
              <w:top w:val="nil"/>
              <w:left w:val="nil"/>
              <w:bottom w:val="single" w:sz="4" w:space="0" w:color="auto"/>
              <w:right w:val="single" w:sz="4" w:space="0" w:color="auto"/>
            </w:tcBorders>
            <w:shd w:val="clear" w:color="auto" w:fill="auto"/>
            <w:noWrap/>
            <w:vAlign w:val="bottom"/>
            <w:hideMark/>
          </w:tcPr>
          <w:p w14:paraId="4AFD5DD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112.44</w:t>
            </w:r>
          </w:p>
        </w:tc>
        <w:tc>
          <w:tcPr>
            <w:tcW w:w="900" w:type="dxa"/>
            <w:tcBorders>
              <w:top w:val="nil"/>
              <w:left w:val="nil"/>
              <w:bottom w:val="single" w:sz="4" w:space="0" w:color="auto"/>
              <w:right w:val="single" w:sz="4" w:space="0" w:color="auto"/>
            </w:tcBorders>
            <w:shd w:val="clear" w:color="auto" w:fill="auto"/>
            <w:noWrap/>
            <w:vAlign w:val="bottom"/>
            <w:hideMark/>
          </w:tcPr>
          <w:p w14:paraId="7505AFE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113.01</w:t>
            </w:r>
          </w:p>
        </w:tc>
        <w:tc>
          <w:tcPr>
            <w:tcW w:w="948" w:type="dxa"/>
            <w:tcBorders>
              <w:top w:val="nil"/>
              <w:left w:val="nil"/>
              <w:bottom w:val="single" w:sz="4" w:space="0" w:color="auto"/>
              <w:right w:val="single" w:sz="4" w:space="0" w:color="auto"/>
            </w:tcBorders>
            <w:shd w:val="clear" w:color="auto" w:fill="auto"/>
            <w:noWrap/>
            <w:vAlign w:val="bottom"/>
            <w:hideMark/>
          </w:tcPr>
          <w:p w14:paraId="763B51D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7.46</w:t>
            </w:r>
          </w:p>
        </w:tc>
        <w:tc>
          <w:tcPr>
            <w:tcW w:w="1080" w:type="dxa"/>
            <w:tcBorders>
              <w:top w:val="nil"/>
              <w:left w:val="nil"/>
              <w:bottom w:val="single" w:sz="4" w:space="0" w:color="auto"/>
              <w:right w:val="single" w:sz="4" w:space="0" w:color="auto"/>
            </w:tcBorders>
            <w:shd w:val="clear" w:color="auto" w:fill="auto"/>
            <w:noWrap/>
            <w:vAlign w:val="bottom"/>
            <w:hideMark/>
          </w:tcPr>
          <w:p w14:paraId="5CBEB1A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5.99</w:t>
            </w:r>
          </w:p>
        </w:tc>
        <w:tc>
          <w:tcPr>
            <w:tcW w:w="990" w:type="dxa"/>
            <w:tcBorders>
              <w:top w:val="nil"/>
              <w:left w:val="nil"/>
              <w:bottom w:val="single" w:sz="4" w:space="0" w:color="auto"/>
              <w:right w:val="single" w:sz="4" w:space="0" w:color="auto"/>
            </w:tcBorders>
            <w:shd w:val="clear" w:color="auto" w:fill="auto"/>
            <w:noWrap/>
            <w:vAlign w:val="bottom"/>
            <w:hideMark/>
          </w:tcPr>
          <w:p w14:paraId="1AB1BE0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-2.21</w:t>
            </w:r>
          </w:p>
        </w:tc>
        <w:tc>
          <w:tcPr>
            <w:tcW w:w="990" w:type="dxa"/>
            <w:tcBorders>
              <w:top w:val="nil"/>
              <w:left w:val="nil"/>
              <w:bottom w:val="single" w:sz="4" w:space="0" w:color="auto"/>
              <w:right w:val="single" w:sz="4" w:space="0" w:color="auto"/>
            </w:tcBorders>
            <w:shd w:val="clear" w:color="auto" w:fill="auto"/>
            <w:noWrap/>
            <w:vAlign w:val="bottom"/>
            <w:hideMark/>
          </w:tcPr>
          <w:p w14:paraId="2FD3665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98.07</w:t>
            </w:r>
          </w:p>
        </w:tc>
        <w:tc>
          <w:tcPr>
            <w:tcW w:w="1080" w:type="dxa"/>
            <w:tcBorders>
              <w:top w:val="nil"/>
              <w:left w:val="nil"/>
              <w:bottom w:val="single" w:sz="4" w:space="0" w:color="auto"/>
              <w:right w:val="single" w:sz="4" w:space="0" w:color="auto"/>
            </w:tcBorders>
            <w:shd w:val="clear" w:color="auto" w:fill="auto"/>
            <w:noWrap/>
            <w:vAlign w:val="bottom"/>
            <w:hideMark/>
          </w:tcPr>
          <w:p w14:paraId="5C09C4A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-1.64</w:t>
            </w:r>
          </w:p>
        </w:tc>
        <w:tc>
          <w:tcPr>
            <w:tcW w:w="1156" w:type="dxa"/>
            <w:tcBorders>
              <w:top w:val="nil"/>
              <w:left w:val="nil"/>
              <w:bottom w:val="single" w:sz="4" w:space="0" w:color="auto"/>
              <w:right w:val="single" w:sz="4" w:space="0" w:color="auto"/>
            </w:tcBorders>
            <w:shd w:val="clear" w:color="auto" w:fill="auto"/>
            <w:noWrap/>
            <w:vAlign w:val="bottom"/>
            <w:hideMark/>
          </w:tcPr>
          <w:p w14:paraId="7DC9816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98.57</w:t>
            </w:r>
          </w:p>
        </w:tc>
      </w:tr>
      <w:tr w:rsidR="00E52AC1" w:rsidRPr="00991DD7" w14:paraId="26B02E6D" w14:textId="77777777" w:rsidTr="00E52AC1">
        <w:trPr>
          <w:trHeight w:val="18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0BB2A9A7"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Contribuții de asigurări sociale de stat obligatorii</w:t>
            </w:r>
          </w:p>
        </w:tc>
        <w:tc>
          <w:tcPr>
            <w:tcW w:w="964" w:type="dxa"/>
            <w:tcBorders>
              <w:top w:val="nil"/>
              <w:left w:val="nil"/>
              <w:bottom w:val="single" w:sz="4" w:space="0" w:color="auto"/>
              <w:right w:val="single" w:sz="4" w:space="0" w:color="auto"/>
            </w:tcBorders>
            <w:shd w:val="clear" w:color="auto" w:fill="auto"/>
            <w:noWrap/>
            <w:vAlign w:val="bottom"/>
            <w:hideMark/>
          </w:tcPr>
          <w:p w14:paraId="602313FA"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212100</w:t>
            </w:r>
          </w:p>
        </w:tc>
        <w:tc>
          <w:tcPr>
            <w:tcW w:w="1004" w:type="dxa"/>
            <w:tcBorders>
              <w:top w:val="nil"/>
              <w:left w:val="nil"/>
              <w:bottom w:val="single" w:sz="4" w:space="0" w:color="auto"/>
              <w:right w:val="single" w:sz="4" w:space="0" w:color="auto"/>
            </w:tcBorders>
            <w:shd w:val="clear" w:color="auto" w:fill="auto"/>
            <w:noWrap/>
            <w:vAlign w:val="bottom"/>
            <w:hideMark/>
          </w:tcPr>
          <w:p w14:paraId="3CC2536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99.09</w:t>
            </w:r>
          </w:p>
        </w:tc>
        <w:tc>
          <w:tcPr>
            <w:tcW w:w="900" w:type="dxa"/>
            <w:tcBorders>
              <w:top w:val="nil"/>
              <w:left w:val="nil"/>
              <w:bottom w:val="single" w:sz="4" w:space="0" w:color="auto"/>
              <w:right w:val="single" w:sz="4" w:space="0" w:color="auto"/>
            </w:tcBorders>
            <w:shd w:val="clear" w:color="auto" w:fill="auto"/>
            <w:noWrap/>
            <w:vAlign w:val="bottom"/>
            <w:hideMark/>
          </w:tcPr>
          <w:p w14:paraId="0605B03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103.90</w:t>
            </w:r>
          </w:p>
        </w:tc>
        <w:tc>
          <w:tcPr>
            <w:tcW w:w="900" w:type="dxa"/>
            <w:tcBorders>
              <w:top w:val="nil"/>
              <w:left w:val="nil"/>
              <w:bottom w:val="single" w:sz="4" w:space="0" w:color="auto"/>
              <w:right w:val="single" w:sz="4" w:space="0" w:color="auto"/>
            </w:tcBorders>
            <w:shd w:val="clear" w:color="auto" w:fill="auto"/>
            <w:noWrap/>
            <w:vAlign w:val="bottom"/>
            <w:hideMark/>
          </w:tcPr>
          <w:p w14:paraId="2346111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101.86</w:t>
            </w:r>
          </w:p>
        </w:tc>
        <w:tc>
          <w:tcPr>
            <w:tcW w:w="900" w:type="dxa"/>
            <w:tcBorders>
              <w:top w:val="nil"/>
              <w:left w:val="nil"/>
              <w:bottom w:val="single" w:sz="4" w:space="0" w:color="auto"/>
              <w:right w:val="single" w:sz="4" w:space="0" w:color="auto"/>
            </w:tcBorders>
            <w:shd w:val="clear" w:color="auto" w:fill="auto"/>
            <w:noWrap/>
            <w:vAlign w:val="bottom"/>
            <w:hideMark/>
          </w:tcPr>
          <w:p w14:paraId="520B44E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102.54</w:t>
            </w:r>
          </w:p>
        </w:tc>
        <w:tc>
          <w:tcPr>
            <w:tcW w:w="948" w:type="dxa"/>
            <w:tcBorders>
              <w:top w:val="nil"/>
              <w:left w:val="nil"/>
              <w:bottom w:val="single" w:sz="4" w:space="0" w:color="auto"/>
              <w:right w:val="single" w:sz="4" w:space="0" w:color="auto"/>
            </w:tcBorders>
            <w:shd w:val="clear" w:color="auto" w:fill="auto"/>
            <w:noWrap/>
            <w:vAlign w:val="bottom"/>
            <w:hideMark/>
          </w:tcPr>
          <w:p w14:paraId="1560053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7.18</w:t>
            </w:r>
          </w:p>
        </w:tc>
        <w:tc>
          <w:tcPr>
            <w:tcW w:w="1080" w:type="dxa"/>
            <w:tcBorders>
              <w:top w:val="nil"/>
              <w:left w:val="nil"/>
              <w:bottom w:val="single" w:sz="4" w:space="0" w:color="auto"/>
              <w:right w:val="single" w:sz="4" w:space="0" w:color="auto"/>
            </w:tcBorders>
            <w:shd w:val="clear" w:color="auto" w:fill="auto"/>
            <w:noWrap/>
            <w:vAlign w:val="bottom"/>
            <w:hideMark/>
          </w:tcPr>
          <w:p w14:paraId="1FB44BD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4.81</w:t>
            </w:r>
          </w:p>
        </w:tc>
        <w:tc>
          <w:tcPr>
            <w:tcW w:w="990" w:type="dxa"/>
            <w:tcBorders>
              <w:top w:val="nil"/>
              <w:left w:val="nil"/>
              <w:bottom w:val="single" w:sz="4" w:space="0" w:color="auto"/>
              <w:right w:val="single" w:sz="4" w:space="0" w:color="auto"/>
            </w:tcBorders>
            <w:shd w:val="clear" w:color="auto" w:fill="auto"/>
            <w:noWrap/>
            <w:vAlign w:val="bottom"/>
            <w:hideMark/>
          </w:tcPr>
          <w:p w14:paraId="62CE80E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-2.04</w:t>
            </w:r>
          </w:p>
        </w:tc>
        <w:tc>
          <w:tcPr>
            <w:tcW w:w="990" w:type="dxa"/>
            <w:tcBorders>
              <w:top w:val="nil"/>
              <w:left w:val="nil"/>
              <w:bottom w:val="single" w:sz="4" w:space="0" w:color="auto"/>
              <w:right w:val="single" w:sz="4" w:space="0" w:color="auto"/>
            </w:tcBorders>
            <w:shd w:val="clear" w:color="auto" w:fill="auto"/>
            <w:noWrap/>
            <w:vAlign w:val="bottom"/>
            <w:hideMark/>
          </w:tcPr>
          <w:p w14:paraId="2733D2D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98.04</w:t>
            </w:r>
          </w:p>
        </w:tc>
        <w:tc>
          <w:tcPr>
            <w:tcW w:w="1080" w:type="dxa"/>
            <w:tcBorders>
              <w:top w:val="nil"/>
              <w:left w:val="nil"/>
              <w:bottom w:val="single" w:sz="4" w:space="0" w:color="auto"/>
              <w:right w:val="single" w:sz="4" w:space="0" w:color="auto"/>
            </w:tcBorders>
            <w:shd w:val="clear" w:color="auto" w:fill="auto"/>
            <w:noWrap/>
            <w:vAlign w:val="bottom"/>
            <w:hideMark/>
          </w:tcPr>
          <w:p w14:paraId="0A2B7EE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-1.36</w:t>
            </w:r>
          </w:p>
        </w:tc>
        <w:tc>
          <w:tcPr>
            <w:tcW w:w="1156" w:type="dxa"/>
            <w:tcBorders>
              <w:top w:val="nil"/>
              <w:left w:val="nil"/>
              <w:bottom w:val="single" w:sz="4" w:space="0" w:color="auto"/>
              <w:right w:val="single" w:sz="4" w:space="0" w:color="auto"/>
            </w:tcBorders>
            <w:shd w:val="clear" w:color="auto" w:fill="auto"/>
            <w:noWrap/>
            <w:vAlign w:val="bottom"/>
            <w:hideMark/>
          </w:tcPr>
          <w:p w14:paraId="41B0621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98.69</w:t>
            </w:r>
          </w:p>
        </w:tc>
      </w:tr>
      <w:tr w:rsidR="00E52AC1" w:rsidRPr="00991DD7" w14:paraId="073DF7CC" w14:textId="77777777" w:rsidTr="00E52AC1">
        <w:trPr>
          <w:trHeight w:val="413"/>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4FF1E12A"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Prime de asigurare obligatorie de asistenta medicala achitate de angajatori pe teritoriul tarii</w:t>
            </w:r>
          </w:p>
        </w:tc>
        <w:tc>
          <w:tcPr>
            <w:tcW w:w="964" w:type="dxa"/>
            <w:tcBorders>
              <w:top w:val="nil"/>
              <w:left w:val="nil"/>
              <w:bottom w:val="single" w:sz="4" w:space="0" w:color="auto"/>
              <w:right w:val="single" w:sz="4" w:space="0" w:color="auto"/>
            </w:tcBorders>
            <w:shd w:val="clear" w:color="auto" w:fill="auto"/>
            <w:noWrap/>
            <w:vAlign w:val="bottom"/>
            <w:hideMark/>
          </w:tcPr>
          <w:p w14:paraId="0D57F2BC"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212210</w:t>
            </w:r>
          </w:p>
        </w:tc>
        <w:tc>
          <w:tcPr>
            <w:tcW w:w="1004" w:type="dxa"/>
            <w:tcBorders>
              <w:top w:val="nil"/>
              <w:left w:val="nil"/>
              <w:bottom w:val="single" w:sz="4" w:space="0" w:color="auto"/>
              <w:right w:val="single" w:sz="4" w:space="0" w:color="auto"/>
            </w:tcBorders>
            <w:shd w:val="clear" w:color="auto" w:fill="auto"/>
            <w:noWrap/>
            <w:vAlign w:val="bottom"/>
            <w:hideMark/>
          </w:tcPr>
          <w:p w14:paraId="0207CE0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9.58</w:t>
            </w:r>
          </w:p>
        </w:tc>
        <w:tc>
          <w:tcPr>
            <w:tcW w:w="900" w:type="dxa"/>
            <w:tcBorders>
              <w:top w:val="nil"/>
              <w:left w:val="nil"/>
              <w:bottom w:val="single" w:sz="4" w:space="0" w:color="auto"/>
              <w:right w:val="single" w:sz="4" w:space="0" w:color="auto"/>
            </w:tcBorders>
            <w:shd w:val="clear" w:color="auto" w:fill="auto"/>
            <w:noWrap/>
            <w:vAlign w:val="bottom"/>
            <w:hideMark/>
          </w:tcPr>
          <w:p w14:paraId="00785B3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10.75</w:t>
            </w:r>
          </w:p>
        </w:tc>
        <w:tc>
          <w:tcPr>
            <w:tcW w:w="900" w:type="dxa"/>
            <w:tcBorders>
              <w:top w:val="nil"/>
              <w:left w:val="nil"/>
              <w:bottom w:val="single" w:sz="4" w:space="0" w:color="auto"/>
              <w:right w:val="single" w:sz="4" w:space="0" w:color="auto"/>
            </w:tcBorders>
            <w:shd w:val="clear" w:color="auto" w:fill="auto"/>
            <w:noWrap/>
            <w:vAlign w:val="bottom"/>
            <w:hideMark/>
          </w:tcPr>
          <w:p w14:paraId="2450BB1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10.58</w:t>
            </w:r>
          </w:p>
        </w:tc>
        <w:tc>
          <w:tcPr>
            <w:tcW w:w="900" w:type="dxa"/>
            <w:tcBorders>
              <w:top w:val="nil"/>
              <w:left w:val="nil"/>
              <w:bottom w:val="single" w:sz="4" w:space="0" w:color="auto"/>
              <w:right w:val="single" w:sz="4" w:space="0" w:color="auto"/>
            </w:tcBorders>
            <w:shd w:val="clear" w:color="auto" w:fill="auto"/>
            <w:noWrap/>
            <w:vAlign w:val="bottom"/>
            <w:hideMark/>
          </w:tcPr>
          <w:p w14:paraId="4826CF0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10.47</w:t>
            </w:r>
          </w:p>
        </w:tc>
        <w:tc>
          <w:tcPr>
            <w:tcW w:w="948" w:type="dxa"/>
            <w:tcBorders>
              <w:top w:val="nil"/>
              <w:left w:val="nil"/>
              <w:bottom w:val="single" w:sz="4" w:space="0" w:color="auto"/>
              <w:right w:val="single" w:sz="4" w:space="0" w:color="auto"/>
            </w:tcBorders>
            <w:shd w:val="clear" w:color="auto" w:fill="auto"/>
            <w:noWrap/>
            <w:vAlign w:val="bottom"/>
            <w:hideMark/>
          </w:tcPr>
          <w:p w14:paraId="13E0E62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0.28</w:t>
            </w:r>
          </w:p>
        </w:tc>
        <w:tc>
          <w:tcPr>
            <w:tcW w:w="1080" w:type="dxa"/>
            <w:tcBorders>
              <w:top w:val="nil"/>
              <w:left w:val="nil"/>
              <w:bottom w:val="single" w:sz="4" w:space="0" w:color="auto"/>
              <w:right w:val="single" w:sz="4" w:space="0" w:color="auto"/>
            </w:tcBorders>
            <w:shd w:val="clear" w:color="auto" w:fill="auto"/>
            <w:noWrap/>
            <w:vAlign w:val="bottom"/>
            <w:hideMark/>
          </w:tcPr>
          <w:p w14:paraId="35EADEA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1.18</w:t>
            </w:r>
          </w:p>
        </w:tc>
        <w:tc>
          <w:tcPr>
            <w:tcW w:w="990" w:type="dxa"/>
            <w:tcBorders>
              <w:top w:val="nil"/>
              <w:left w:val="nil"/>
              <w:bottom w:val="single" w:sz="4" w:space="0" w:color="auto"/>
              <w:right w:val="single" w:sz="4" w:space="0" w:color="auto"/>
            </w:tcBorders>
            <w:shd w:val="clear" w:color="auto" w:fill="auto"/>
            <w:noWrap/>
            <w:vAlign w:val="bottom"/>
            <w:hideMark/>
          </w:tcPr>
          <w:p w14:paraId="0E6BAC9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-0.17</w:t>
            </w:r>
          </w:p>
        </w:tc>
        <w:tc>
          <w:tcPr>
            <w:tcW w:w="990" w:type="dxa"/>
            <w:tcBorders>
              <w:top w:val="nil"/>
              <w:left w:val="nil"/>
              <w:bottom w:val="single" w:sz="4" w:space="0" w:color="auto"/>
              <w:right w:val="single" w:sz="4" w:space="0" w:color="auto"/>
            </w:tcBorders>
            <w:shd w:val="clear" w:color="auto" w:fill="auto"/>
            <w:noWrap/>
            <w:vAlign w:val="bottom"/>
            <w:hideMark/>
          </w:tcPr>
          <w:p w14:paraId="53C9F2F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98.38</w:t>
            </w:r>
          </w:p>
        </w:tc>
        <w:tc>
          <w:tcPr>
            <w:tcW w:w="1080" w:type="dxa"/>
            <w:tcBorders>
              <w:top w:val="nil"/>
              <w:left w:val="nil"/>
              <w:bottom w:val="single" w:sz="4" w:space="0" w:color="auto"/>
              <w:right w:val="single" w:sz="4" w:space="0" w:color="auto"/>
            </w:tcBorders>
            <w:shd w:val="clear" w:color="auto" w:fill="auto"/>
            <w:noWrap/>
            <w:vAlign w:val="bottom"/>
            <w:hideMark/>
          </w:tcPr>
          <w:p w14:paraId="057B48E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-0.28</w:t>
            </w:r>
          </w:p>
        </w:tc>
        <w:tc>
          <w:tcPr>
            <w:tcW w:w="1156" w:type="dxa"/>
            <w:tcBorders>
              <w:top w:val="nil"/>
              <w:left w:val="nil"/>
              <w:bottom w:val="single" w:sz="4" w:space="0" w:color="auto"/>
              <w:right w:val="single" w:sz="4" w:space="0" w:color="auto"/>
            </w:tcBorders>
            <w:shd w:val="clear" w:color="auto" w:fill="auto"/>
            <w:noWrap/>
            <w:vAlign w:val="bottom"/>
            <w:hideMark/>
          </w:tcPr>
          <w:p w14:paraId="65A85E7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97.40</w:t>
            </w:r>
          </w:p>
        </w:tc>
      </w:tr>
      <w:tr w:rsidR="00E52AC1" w:rsidRPr="00991DD7" w14:paraId="1B3477A4" w14:textId="77777777" w:rsidTr="00E52AC1">
        <w:trPr>
          <w:trHeight w:val="134"/>
        </w:trPr>
        <w:tc>
          <w:tcPr>
            <w:tcW w:w="4140" w:type="dxa"/>
            <w:tcBorders>
              <w:top w:val="nil"/>
              <w:left w:val="single" w:sz="4" w:space="0" w:color="auto"/>
              <w:bottom w:val="single" w:sz="4" w:space="0" w:color="auto"/>
              <w:right w:val="single" w:sz="4" w:space="0" w:color="auto"/>
            </w:tcBorders>
            <w:shd w:val="clear" w:color="auto" w:fill="D9E2F3" w:themeFill="accent5" w:themeFillTint="33"/>
            <w:vAlign w:val="bottom"/>
            <w:hideMark/>
          </w:tcPr>
          <w:p w14:paraId="6F57EF6D"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D9E2F3" w:themeFill="accent5" w:themeFillTint="33"/>
            <w:noWrap/>
            <w:vAlign w:val="bottom"/>
            <w:hideMark/>
          </w:tcPr>
          <w:p w14:paraId="1B8909C8" w14:textId="77777777" w:rsidR="00E52AC1" w:rsidRPr="00E53D1B" w:rsidRDefault="00E52AC1" w:rsidP="00E52AC1">
            <w:pPr>
              <w:spacing w:after="0" w:line="240" w:lineRule="auto"/>
              <w:jc w:val="center"/>
              <w:rPr>
                <w:rFonts w:asciiTheme="majorHAnsi" w:eastAsia="Times New Roman" w:hAnsiTheme="majorHAnsi" w:cstheme="majorHAnsi"/>
                <w:b/>
                <w:i/>
                <w:iCs/>
                <w:color w:val="000000"/>
                <w:sz w:val="18"/>
                <w:szCs w:val="18"/>
              </w:rPr>
            </w:pPr>
            <w:r w:rsidRPr="00E53D1B">
              <w:rPr>
                <w:rFonts w:asciiTheme="majorHAnsi" w:eastAsia="Times New Roman" w:hAnsiTheme="majorHAnsi" w:cstheme="majorHAnsi"/>
                <w:b/>
                <w:i/>
                <w:iCs/>
                <w:color w:val="000000"/>
                <w:sz w:val="18"/>
                <w:szCs w:val="18"/>
              </w:rPr>
              <w:t>221</w:t>
            </w:r>
          </w:p>
        </w:tc>
        <w:tc>
          <w:tcPr>
            <w:tcW w:w="1004" w:type="dxa"/>
            <w:tcBorders>
              <w:top w:val="nil"/>
              <w:left w:val="nil"/>
              <w:bottom w:val="single" w:sz="4" w:space="0" w:color="auto"/>
              <w:right w:val="single" w:sz="4" w:space="0" w:color="auto"/>
            </w:tcBorders>
            <w:shd w:val="clear" w:color="auto" w:fill="D9E2F3" w:themeFill="accent5" w:themeFillTint="33"/>
            <w:noWrap/>
            <w:vAlign w:val="bottom"/>
            <w:hideMark/>
          </w:tcPr>
          <w:p w14:paraId="734907C2" w14:textId="77777777" w:rsidR="00E52AC1" w:rsidRPr="00E53D1B" w:rsidRDefault="00E52AC1" w:rsidP="00E52AC1">
            <w:pPr>
              <w:spacing w:after="0" w:line="240" w:lineRule="auto"/>
              <w:jc w:val="center"/>
              <w:rPr>
                <w:rFonts w:asciiTheme="majorHAnsi" w:eastAsia="Times New Roman" w:hAnsiTheme="majorHAnsi" w:cstheme="majorHAnsi"/>
                <w:b/>
                <w:color w:val="000000"/>
                <w:sz w:val="18"/>
                <w:szCs w:val="18"/>
              </w:rPr>
            </w:pPr>
            <w:r w:rsidRPr="00E53D1B">
              <w:rPr>
                <w:rFonts w:asciiTheme="majorHAnsi" w:eastAsia="Times New Roman" w:hAnsiTheme="majorHAnsi" w:cstheme="majorHAnsi"/>
                <w:b/>
                <w:color w:val="000000"/>
                <w:sz w:val="18"/>
                <w:szCs w:val="18"/>
              </w:rPr>
              <w:t>0.00</w:t>
            </w:r>
          </w:p>
        </w:tc>
        <w:tc>
          <w:tcPr>
            <w:tcW w:w="900" w:type="dxa"/>
            <w:tcBorders>
              <w:top w:val="nil"/>
              <w:left w:val="nil"/>
              <w:bottom w:val="single" w:sz="4" w:space="0" w:color="auto"/>
              <w:right w:val="single" w:sz="4" w:space="0" w:color="auto"/>
            </w:tcBorders>
            <w:shd w:val="clear" w:color="auto" w:fill="D9E2F3" w:themeFill="accent5" w:themeFillTint="33"/>
            <w:noWrap/>
            <w:vAlign w:val="bottom"/>
            <w:hideMark/>
          </w:tcPr>
          <w:p w14:paraId="53BB8FF7" w14:textId="77777777" w:rsidR="00E52AC1" w:rsidRPr="00E53D1B" w:rsidRDefault="00E52AC1" w:rsidP="00E52AC1">
            <w:pPr>
              <w:spacing w:after="0" w:line="240" w:lineRule="auto"/>
              <w:jc w:val="center"/>
              <w:rPr>
                <w:rFonts w:asciiTheme="majorHAnsi" w:eastAsia="Times New Roman" w:hAnsiTheme="majorHAnsi" w:cstheme="majorHAnsi"/>
                <w:b/>
                <w:color w:val="000000"/>
                <w:sz w:val="18"/>
                <w:szCs w:val="18"/>
              </w:rPr>
            </w:pPr>
            <w:r w:rsidRPr="00E53D1B">
              <w:rPr>
                <w:rFonts w:asciiTheme="majorHAnsi" w:eastAsia="Times New Roman" w:hAnsiTheme="majorHAnsi" w:cstheme="majorHAnsi"/>
                <w:b/>
                <w:color w:val="000000"/>
                <w:sz w:val="18"/>
                <w:szCs w:val="18"/>
              </w:rPr>
              <w:t>0.00</w:t>
            </w:r>
          </w:p>
        </w:tc>
        <w:tc>
          <w:tcPr>
            <w:tcW w:w="900" w:type="dxa"/>
            <w:tcBorders>
              <w:top w:val="nil"/>
              <w:left w:val="nil"/>
              <w:bottom w:val="single" w:sz="4" w:space="0" w:color="auto"/>
              <w:right w:val="single" w:sz="4" w:space="0" w:color="auto"/>
            </w:tcBorders>
            <w:shd w:val="clear" w:color="auto" w:fill="D9E2F3" w:themeFill="accent5" w:themeFillTint="33"/>
            <w:noWrap/>
            <w:vAlign w:val="bottom"/>
            <w:hideMark/>
          </w:tcPr>
          <w:p w14:paraId="5D8EE58C" w14:textId="77777777" w:rsidR="00E52AC1" w:rsidRPr="00E53D1B" w:rsidRDefault="00E52AC1" w:rsidP="00E52AC1">
            <w:pPr>
              <w:spacing w:after="0" w:line="240" w:lineRule="auto"/>
              <w:jc w:val="center"/>
              <w:rPr>
                <w:rFonts w:asciiTheme="majorHAnsi" w:eastAsia="Times New Roman" w:hAnsiTheme="majorHAnsi" w:cstheme="majorHAnsi"/>
                <w:b/>
                <w:color w:val="000000"/>
                <w:sz w:val="18"/>
                <w:szCs w:val="18"/>
              </w:rPr>
            </w:pPr>
            <w:r w:rsidRPr="00E53D1B">
              <w:rPr>
                <w:rFonts w:asciiTheme="majorHAnsi" w:eastAsia="Times New Roman" w:hAnsiTheme="majorHAnsi" w:cstheme="majorHAnsi"/>
                <w:b/>
                <w:color w:val="000000"/>
                <w:sz w:val="18"/>
                <w:szCs w:val="18"/>
              </w:rPr>
              <w:t>0.00</w:t>
            </w:r>
          </w:p>
        </w:tc>
        <w:tc>
          <w:tcPr>
            <w:tcW w:w="900" w:type="dxa"/>
            <w:tcBorders>
              <w:top w:val="nil"/>
              <w:left w:val="nil"/>
              <w:bottom w:val="single" w:sz="4" w:space="0" w:color="auto"/>
              <w:right w:val="single" w:sz="4" w:space="0" w:color="auto"/>
            </w:tcBorders>
            <w:shd w:val="clear" w:color="auto" w:fill="D9E2F3" w:themeFill="accent5" w:themeFillTint="33"/>
            <w:noWrap/>
            <w:vAlign w:val="bottom"/>
            <w:hideMark/>
          </w:tcPr>
          <w:p w14:paraId="4E091E80" w14:textId="77777777" w:rsidR="00E52AC1" w:rsidRPr="00E53D1B" w:rsidRDefault="00E52AC1" w:rsidP="00E52AC1">
            <w:pPr>
              <w:spacing w:after="0" w:line="240" w:lineRule="auto"/>
              <w:jc w:val="center"/>
              <w:rPr>
                <w:rFonts w:asciiTheme="majorHAnsi" w:eastAsia="Times New Roman" w:hAnsiTheme="majorHAnsi" w:cstheme="majorHAnsi"/>
                <w:b/>
                <w:color w:val="000000"/>
                <w:sz w:val="18"/>
                <w:szCs w:val="18"/>
              </w:rPr>
            </w:pPr>
            <w:r w:rsidRPr="00E53D1B">
              <w:rPr>
                <w:rFonts w:asciiTheme="majorHAnsi" w:eastAsia="Times New Roman" w:hAnsiTheme="majorHAnsi" w:cstheme="majorHAnsi"/>
                <w:b/>
                <w:color w:val="000000"/>
                <w:sz w:val="18"/>
                <w:szCs w:val="18"/>
              </w:rPr>
              <w:t>65.87</w:t>
            </w:r>
          </w:p>
        </w:tc>
        <w:tc>
          <w:tcPr>
            <w:tcW w:w="948" w:type="dxa"/>
            <w:tcBorders>
              <w:top w:val="nil"/>
              <w:left w:val="nil"/>
              <w:bottom w:val="single" w:sz="4" w:space="0" w:color="auto"/>
              <w:right w:val="single" w:sz="4" w:space="0" w:color="auto"/>
            </w:tcBorders>
            <w:shd w:val="clear" w:color="auto" w:fill="D9E2F3" w:themeFill="accent5" w:themeFillTint="33"/>
            <w:noWrap/>
            <w:vAlign w:val="bottom"/>
            <w:hideMark/>
          </w:tcPr>
          <w:p w14:paraId="4EE3EAE4" w14:textId="77777777" w:rsidR="00E52AC1" w:rsidRPr="00E53D1B" w:rsidRDefault="00E52AC1" w:rsidP="00E52AC1">
            <w:pPr>
              <w:spacing w:after="0" w:line="240" w:lineRule="auto"/>
              <w:jc w:val="center"/>
              <w:rPr>
                <w:rFonts w:asciiTheme="majorHAnsi" w:eastAsia="Times New Roman" w:hAnsiTheme="majorHAnsi" w:cstheme="majorHAnsi"/>
                <w:b/>
                <w:color w:val="000000"/>
                <w:sz w:val="18"/>
                <w:szCs w:val="18"/>
              </w:rPr>
            </w:pPr>
            <w:r w:rsidRPr="00E53D1B">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D9E2F3" w:themeFill="accent5" w:themeFillTint="33"/>
            <w:noWrap/>
            <w:vAlign w:val="bottom"/>
            <w:hideMark/>
          </w:tcPr>
          <w:p w14:paraId="18B7173B" w14:textId="77777777" w:rsidR="00E52AC1" w:rsidRPr="00E53D1B" w:rsidRDefault="00E52AC1" w:rsidP="00E52AC1">
            <w:pPr>
              <w:spacing w:after="0" w:line="240" w:lineRule="auto"/>
              <w:jc w:val="center"/>
              <w:rPr>
                <w:rFonts w:asciiTheme="majorHAnsi" w:eastAsia="Times New Roman" w:hAnsiTheme="majorHAnsi" w:cstheme="majorHAnsi"/>
                <w:b/>
                <w:color w:val="000000"/>
                <w:sz w:val="18"/>
                <w:szCs w:val="18"/>
              </w:rPr>
            </w:pPr>
            <w:r w:rsidRPr="00E53D1B">
              <w:rPr>
                <w:rFonts w:asciiTheme="majorHAnsi" w:eastAsia="Times New Roman" w:hAnsiTheme="majorHAnsi" w:cstheme="majorHAnsi"/>
                <w:b/>
                <w:color w:val="000000"/>
                <w:sz w:val="18"/>
                <w:szCs w:val="18"/>
              </w:rPr>
              <w:t>0.00</w:t>
            </w:r>
          </w:p>
        </w:tc>
        <w:tc>
          <w:tcPr>
            <w:tcW w:w="990" w:type="dxa"/>
            <w:tcBorders>
              <w:top w:val="nil"/>
              <w:left w:val="nil"/>
              <w:bottom w:val="single" w:sz="4" w:space="0" w:color="auto"/>
              <w:right w:val="single" w:sz="4" w:space="0" w:color="auto"/>
            </w:tcBorders>
            <w:shd w:val="clear" w:color="auto" w:fill="D9E2F3" w:themeFill="accent5" w:themeFillTint="33"/>
            <w:noWrap/>
            <w:vAlign w:val="bottom"/>
            <w:hideMark/>
          </w:tcPr>
          <w:p w14:paraId="4302E336" w14:textId="77777777" w:rsidR="00E52AC1" w:rsidRPr="00E53D1B" w:rsidRDefault="00E52AC1" w:rsidP="00E52AC1">
            <w:pPr>
              <w:spacing w:after="0" w:line="240" w:lineRule="auto"/>
              <w:jc w:val="center"/>
              <w:rPr>
                <w:rFonts w:asciiTheme="majorHAnsi" w:eastAsia="Times New Roman" w:hAnsiTheme="majorHAnsi" w:cstheme="majorHAnsi"/>
                <w:b/>
                <w:color w:val="000000"/>
                <w:sz w:val="18"/>
                <w:szCs w:val="18"/>
              </w:rPr>
            </w:pPr>
            <w:r w:rsidRPr="00E53D1B">
              <w:rPr>
                <w:rFonts w:asciiTheme="majorHAnsi" w:eastAsia="Times New Roman" w:hAnsiTheme="majorHAnsi" w:cstheme="majorHAnsi"/>
                <w:b/>
                <w:color w:val="000000"/>
                <w:sz w:val="18"/>
                <w:szCs w:val="18"/>
              </w:rPr>
              <w:t>0.00</w:t>
            </w:r>
          </w:p>
        </w:tc>
        <w:tc>
          <w:tcPr>
            <w:tcW w:w="990" w:type="dxa"/>
            <w:tcBorders>
              <w:top w:val="nil"/>
              <w:left w:val="nil"/>
              <w:bottom w:val="single" w:sz="4" w:space="0" w:color="auto"/>
              <w:right w:val="single" w:sz="4" w:space="0" w:color="auto"/>
            </w:tcBorders>
            <w:shd w:val="clear" w:color="auto" w:fill="D9E2F3" w:themeFill="accent5" w:themeFillTint="33"/>
            <w:noWrap/>
            <w:vAlign w:val="bottom"/>
            <w:hideMark/>
          </w:tcPr>
          <w:p w14:paraId="60D371F8" w14:textId="77777777" w:rsidR="00E52AC1" w:rsidRPr="00E53D1B" w:rsidRDefault="00E52AC1" w:rsidP="00E52AC1">
            <w:pPr>
              <w:spacing w:after="0" w:line="240" w:lineRule="auto"/>
              <w:jc w:val="center"/>
              <w:rPr>
                <w:rFonts w:asciiTheme="majorHAnsi" w:eastAsia="Times New Roman" w:hAnsiTheme="majorHAnsi" w:cstheme="majorHAnsi"/>
                <w:b/>
                <w:color w:val="000000"/>
                <w:sz w:val="18"/>
                <w:szCs w:val="18"/>
              </w:rPr>
            </w:pPr>
            <w:r w:rsidRPr="00E53D1B">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D9E2F3" w:themeFill="accent5" w:themeFillTint="33"/>
            <w:noWrap/>
            <w:vAlign w:val="bottom"/>
            <w:hideMark/>
          </w:tcPr>
          <w:p w14:paraId="2AC831C1" w14:textId="77777777" w:rsidR="00E52AC1" w:rsidRPr="00E53D1B" w:rsidRDefault="00E52AC1" w:rsidP="00E52AC1">
            <w:pPr>
              <w:spacing w:after="0" w:line="240" w:lineRule="auto"/>
              <w:jc w:val="center"/>
              <w:rPr>
                <w:rFonts w:asciiTheme="majorHAnsi" w:eastAsia="Times New Roman" w:hAnsiTheme="majorHAnsi" w:cstheme="majorHAnsi"/>
                <w:b/>
                <w:color w:val="000000"/>
                <w:sz w:val="18"/>
                <w:szCs w:val="18"/>
              </w:rPr>
            </w:pPr>
            <w:r w:rsidRPr="00E53D1B">
              <w:rPr>
                <w:rFonts w:asciiTheme="majorHAnsi" w:eastAsia="Times New Roman" w:hAnsiTheme="majorHAnsi" w:cstheme="majorHAnsi"/>
                <w:b/>
                <w:color w:val="000000"/>
                <w:sz w:val="18"/>
                <w:szCs w:val="18"/>
              </w:rPr>
              <w:t>65.87</w:t>
            </w:r>
          </w:p>
        </w:tc>
        <w:tc>
          <w:tcPr>
            <w:tcW w:w="1156" w:type="dxa"/>
            <w:tcBorders>
              <w:top w:val="nil"/>
              <w:left w:val="nil"/>
              <w:bottom w:val="single" w:sz="4" w:space="0" w:color="auto"/>
              <w:right w:val="single" w:sz="4" w:space="0" w:color="auto"/>
            </w:tcBorders>
            <w:shd w:val="clear" w:color="auto" w:fill="D9E2F3" w:themeFill="accent5" w:themeFillTint="33"/>
            <w:noWrap/>
            <w:vAlign w:val="bottom"/>
            <w:hideMark/>
          </w:tcPr>
          <w:p w14:paraId="5D2979DA" w14:textId="77777777" w:rsidR="00E52AC1" w:rsidRPr="00E53D1B" w:rsidRDefault="00E52AC1" w:rsidP="00E52AC1">
            <w:pPr>
              <w:spacing w:after="0" w:line="240" w:lineRule="auto"/>
              <w:jc w:val="center"/>
              <w:rPr>
                <w:rFonts w:asciiTheme="majorHAnsi" w:eastAsia="Times New Roman" w:hAnsiTheme="majorHAnsi" w:cstheme="majorHAnsi"/>
                <w:b/>
                <w:color w:val="000000"/>
                <w:sz w:val="18"/>
                <w:szCs w:val="18"/>
              </w:rPr>
            </w:pPr>
            <w:r w:rsidRPr="00E53D1B">
              <w:rPr>
                <w:rFonts w:asciiTheme="majorHAnsi" w:eastAsia="Times New Roman" w:hAnsiTheme="majorHAnsi" w:cstheme="majorHAnsi"/>
                <w:b/>
                <w:color w:val="000000"/>
                <w:sz w:val="18"/>
                <w:szCs w:val="18"/>
              </w:rPr>
              <w:t>0,00</w:t>
            </w:r>
          </w:p>
        </w:tc>
      </w:tr>
      <w:tr w:rsidR="00E52AC1" w:rsidRPr="00991DD7" w14:paraId="1086EF00" w14:textId="77777777" w:rsidTr="00E52AC1">
        <w:trPr>
          <w:trHeight w:val="359"/>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46DE8114"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Cheltuieli privind utilizarea combustibilului carburanților si lubrifianților</w:t>
            </w:r>
          </w:p>
        </w:tc>
        <w:tc>
          <w:tcPr>
            <w:tcW w:w="964" w:type="dxa"/>
            <w:tcBorders>
              <w:top w:val="nil"/>
              <w:left w:val="nil"/>
              <w:bottom w:val="single" w:sz="4" w:space="0" w:color="auto"/>
              <w:right w:val="single" w:sz="4" w:space="0" w:color="auto"/>
            </w:tcBorders>
            <w:shd w:val="clear" w:color="auto" w:fill="auto"/>
            <w:noWrap/>
            <w:vAlign w:val="bottom"/>
            <w:hideMark/>
          </w:tcPr>
          <w:p w14:paraId="610AC670"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221110</w:t>
            </w:r>
          </w:p>
        </w:tc>
        <w:tc>
          <w:tcPr>
            <w:tcW w:w="1004" w:type="dxa"/>
            <w:tcBorders>
              <w:top w:val="nil"/>
              <w:left w:val="nil"/>
              <w:bottom w:val="single" w:sz="4" w:space="0" w:color="auto"/>
              <w:right w:val="single" w:sz="4" w:space="0" w:color="auto"/>
            </w:tcBorders>
            <w:shd w:val="clear" w:color="auto" w:fill="auto"/>
            <w:noWrap/>
            <w:vAlign w:val="bottom"/>
            <w:hideMark/>
          </w:tcPr>
          <w:p w14:paraId="756B9F4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CCAA33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44E52E6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7321E0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27.65</w:t>
            </w:r>
          </w:p>
        </w:tc>
        <w:tc>
          <w:tcPr>
            <w:tcW w:w="948" w:type="dxa"/>
            <w:tcBorders>
              <w:top w:val="nil"/>
              <w:left w:val="nil"/>
              <w:bottom w:val="single" w:sz="4" w:space="0" w:color="auto"/>
              <w:right w:val="single" w:sz="4" w:space="0" w:color="auto"/>
            </w:tcBorders>
            <w:shd w:val="clear" w:color="auto" w:fill="auto"/>
            <w:noWrap/>
            <w:vAlign w:val="bottom"/>
            <w:hideMark/>
          </w:tcPr>
          <w:p w14:paraId="48B7C37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4CD3B2C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707D8B3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1B53063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5B2327C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27.65</w:t>
            </w:r>
          </w:p>
        </w:tc>
        <w:tc>
          <w:tcPr>
            <w:tcW w:w="1156" w:type="dxa"/>
            <w:tcBorders>
              <w:top w:val="nil"/>
              <w:left w:val="nil"/>
              <w:bottom w:val="single" w:sz="4" w:space="0" w:color="auto"/>
              <w:right w:val="single" w:sz="4" w:space="0" w:color="auto"/>
            </w:tcBorders>
            <w:shd w:val="clear" w:color="auto" w:fill="auto"/>
            <w:noWrap/>
            <w:vAlign w:val="bottom"/>
            <w:hideMark/>
          </w:tcPr>
          <w:p w14:paraId="6EBAD4E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5255546A" w14:textId="77777777" w:rsidTr="00E52AC1">
        <w:trPr>
          <w:trHeight w:val="80"/>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238B8C52"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Cheltuieli privind utilizarea pieselor de schimb</w:t>
            </w:r>
          </w:p>
        </w:tc>
        <w:tc>
          <w:tcPr>
            <w:tcW w:w="964" w:type="dxa"/>
            <w:tcBorders>
              <w:top w:val="nil"/>
              <w:left w:val="nil"/>
              <w:bottom w:val="single" w:sz="4" w:space="0" w:color="auto"/>
              <w:right w:val="single" w:sz="4" w:space="0" w:color="auto"/>
            </w:tcBorders>
            <w:shd w:val="clear" w:color="auto" w:fill="auto"/>
            <w:noWrap/>
            <w:vAlign w:val="bottom"/>
            <w:hideMark/>
          </w:tcPr>
          <w:p w14:paraId="3B92FDE8"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221120</w:t>
            </w:r>
          </w:p>
        </w:tc>
        <w:tc>
          <w:tcPr>
            <w:tcW w:w="1004" w:type="dxa"/>
            <w:tcBorders>
              <w:top w:val="nil"/>
              <w:left w:val="nil"/>
              <w:bottom w:val="single" w:sz="4" w:space="0" w:color="auto"/>
              <w:right w:val="single" w:sz="4" w:space="0" w:color="auto"/>
            </w:tcBorders>
            <w:shd w:val="clear" w:color="auto" w:fill="auto"/>
            <w:noWrap/>
            <w:vAlign w:val="bottom"/>
            <w:hideMark/>
          </w:tcPr>
          <w:p w14:paraId="1123782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18C49BC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4999CD1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C5D6EA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9.43</w:t>
            </w:r>
          </w:p>
        </w:tc>
        <w:tc>
          <w:tcPr>
            <w:tcW w:w="948" w:type="dxa"/>
            <w:tcBorders>
              <w:top w:val="nil"/>
              <w:left w:val="nil"/>
              <w:bottom w:val="single" w:sz="4" w:space="0" w:color="auto"/>
              <w:right w:val="single" w:sz="4" w:space="0" w:color="auto"/>
            </w:tcBorders>
            <w:shd w:val="clear" w:color="auto" w:fill="auto"/>
            <w:noWrap/>
            <w:vAlign w:val="bottom"/>
            <w:hideMark/>
          </w:tcPr>
          <w:p w14:paraId="176AD63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78A88B6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74F94B6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1ACDBB6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619B3F4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9.43</w:t>
            </w:r>
          </w:p>
        </w:tc>
        <w:tc>
          <w:tcPr>
            <w:tcW w:w="1156" w:type="dxa"/>
            <w:tcBorders>
              <w:top w:val="nil"/>
              <w:left w:val="nil"/>
              <w:bottom w:val="single" w:sz="4" w:space="0" w:color="auto"/>
              <w:right w:val="single" w:sz="4" w:space="0" w:color="auto"/>
            </w:tcBorders>
            <w:shd w:val="clear" w:color="auto" w:fill="auto"/>
            <w:noWrap/>
            <w:vAlign w:val="bottom"/>
            <w:hideMark/>
          </w:tcPr>
          <w:p w14:paraId="1BD8417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6BB33A78" w14:textId="77777777" w:rsidTr="00E52AC1">
        <w:trPr>
          <w:trHeight w:val="283"/>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2E9457F3"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Cheltuieli privind utilizarea produselor alimentare</w:t>
            </w:r>
          </w:p>
        </w:tc>
        <w:tc>
          <w:tcPr>
            <w:tcW w:w="964" w:type="dxa"/>
            <w:tcBorders>
              <w:top w:val="nil"/>
              <w:left w:val="nil"/>
              <w:bottom w:val="single" w:sz="4" w:space="0" w:color="auto"/>
              <w:right w:val="single" w:sz="4" w:space="0" w:color="auto"/>
            </w:tcBorders>
            <w:shd w:val="clear" w:color="auto" w:fill="auto"/>
            <w:noWrap/>
            <w:vAlign w:val="bottom"/>
            <w:hideMark/>
          </w:tcPr>
          <w:p w14:paraId="0BFEDF45"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221130</w:t>
            </w:r>
          </w:p>
        </w:tc>
        <w:tc>
          <w:tcPr>
            <w:tcW w:w="1004" w:type="dxa"/>
            <w:tcBorders>
              <w:top w:val="nil"/>
              <w:left w:val="nil"/>
              <w:bottom w:val="single" w:sz="4" w:space="0" w:color="auto"/>
              <w:right w:val="single" w:sz="4" w:space="0" w:color="auto"/>
            </w:tcBorders>
            <w:shd w:val="clear" w:color="auto" w:fill="auto"/>
            <w:noWrap/>
            <w:vAlign w:val="bottom"/>
            <w:hideMark/>
          </w:tcPr>
          <w:p w14:paraId="4BC8135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5599B53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04C9A79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472F36E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0.59</w:t>
            </w:r>
          </w:p>
        </w:tc>
        <w:tc>
          <w:tcPr>
            <w:tcW w:w="948" w:type="dxa"/>
            <w:tcBorders>
              <w:top w:val="nil"/>
              <w:left w:val="nil"/>
              <w:bottom w:val="single" w:sz="4" w:space="0" w:color="auto"/>
              <w:right w:val="single" w:sz="4" w:space="0" w:color="auto"/>
            </w:tcBorders>
            <w:shd w:val="clear" w:color="auto" w:fill="auto"/>
            <w:noWrap/>
            <w:vAlign w:val="bottom"/>
            <w:hideMark/>
          </w:tcPr>
          <w:p w14:paraId="795B119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35BEB27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6FD216C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69C111C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2ED3195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0.59</w:t>
            </w:r>
          </w:p>
        </w:tc>
        <w:tc>
          <w:tcPr>
            <w:tcW w:w="1156" w:type="dxa"/>
            <w:tcBorders>
              <w:top w:val="nil"/>
              <w:left w:val="nil"/>
              <w:bottom w:val="single" w:sz="4" w:space="0" w:color="auto"/>
              <w:right w:val="single" w:sz="4" w:space="0" w:color="auto"/>
            </w:tcBorders>
            <w:shd w:val="clear" w:color="auto" w:fill="auto"/>
            <w:noWrap/>
            <w:vAlign w:val="bottom"/>
            <w:hideMark/>
          </w:tcPr>
          <w:p w14:paraId="737F0A1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6A9B1E37" w14:textId="77777777" w:rsidTr="00E52AC1">
        <w:trPr>
          <w:trHeight w:val="314"/>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55D70242"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Cheltuieli privind utilizarea medicamentelor si materialelor sanitare</w:t>
            </w:r>
          </w:p>
        </w:tc>
        <w:tc>
          <w:tcPr>
            <w:tcW w:w="964" w:type="dxa"/>
            <w:tcBorders>
              <w:top w:val="nil"/>
              <w:left w:val="nil"/>
              <w:bottom w:val="single" w:sz="4" w:space="0" w:color="auto"/>
              <w:right w:val="single" w:sz="4" w:space="0" w:color="auto"/>
            </w:tcBorders>
            <w:shd w:val="clear" w:color="auto" w:fill="auto"/>
            <w:noWrap/>
            <w:vAlign w:val="bottom"/>
            <w:hideMark/>
          </w:tcPr>
          <w:p w14:paraId="347E70C6"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221140</w:t>
            </w:r>
          </w:p>
        </w:tc>
        <w:tc>
          <w:tcPr>
            <w:tcW w:w="1004" w:type="dxa"/>
            <w:tcBorders>
              <w:top w:val="nil"/>
              <w:left w:val="nil"/>
              <w:bottom w:val="single" w:sz="4" w:space="0" w:color="auto"/>
              <w:right w:val="single" w:sz="4" w:space="0" w:color="auto"/>
            </w:tcBorders>
            <w:shd w:val="clear" w:color="auto" w:fill="auto"/>
            <w:noWrap/>
            <w:vAlign w:val="bottom"/>
            <w:hideMark/>
          </w:tcPr>
          <w:p w14:paraId="71B92AC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67AA0B3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017E67B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695D028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0.13</w:t>
            </w:r>
          </w:p>
        </w:tc>
        <w:tc>
          <w:tcPr>
            <w:tcW w:w="948" w:type="dxa"/>
            <w:tcBorders>
              <w:top w:val="nil"/>
              <w:left w:val="nil"/>
              <w:bottom w:val="single" w:sz="4" w:space="0" w:color="auto"/>
              <w:right w:val="single" w:sz="4" w:space="0" w:color="auto"/>
            </w:tcBorders>
            <w:shd w:val="clear" w:color="auto" w:fill="auto"/>
            <w:noWrap/>
            <w:vAlign w:val="bottom"/>
            <w:hideMark/>
          </w:tcPr>
          <w:p w14:paraId="3036362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2AC958C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0960A55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5BB4A20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3BB9883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0.13</w:t>
            </w:r>
          </w:p>
        </w:tc>
        <w:tc>
          <w:tcPr>
            <w:tcW w:w="1156" w:type="dxa"/>
            <w:tcBorders>
              <w:top w:val="nil"/>
              <w:left w:val="nil"/>
              <w:bottom w:val="single" w:sz="4" w:space="0" w:color="auto"/>
              <w:right w:val="single" w:sz="4" w:space="0" w:color="auto"/>
            </w:tcBorders>
            <w:shd w:val="clear" w:color="auto" w:fill="auto"/>
            <w:noWrap/>
            <w:vAlign w:val="bottom"/>
            <w:hideMark/>
          </w:tcPr>
          <w:p w14:paraId="57AB885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5C4D071B" w14:textId="77777777" w:rsidTr="00E52AC1">
        <w:trPr>
          <w:trHeight w:val="54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5BE31A4A"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Cheltuieli privind utilizarea materialelor de uz gospodăresc si rechizitelor de birou</w:t>
            </w:r>
          </w:p>
        </w:tc>
        <w:tc>
          <w:tcPr>
            <w:tcW w:w="964" w:type="dxa"/>
            <w:tcBorders>
              <w:top w:val="nil"/>
              <w:left w:val="nil"/>
              <w:bottom w:val="single" w:sz="4" w:space="0" w:color="auto"/>
              <w:right w:val="single" w:sz="4" w:space="0" w:color="auto"/>
            </w:tcBorders>
            <w:shd w:val="clear" w:color="auto" w:fill="auto"/>
            <w:noWrap/>
            <w:vAlign w:val="bottom"/>
            <w:hideMark/>
          </w:tcPr>
          <w:p w14:paraId="327481D1"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221160</w:t>
            </w:r>
          </w:p>
        </w:tc>
        <w:tc>
          <w:tcPr>
            <w:tcW w:w="1004" w:type="dxa"/>
            <w:tcBorders>
              <w:top w:val="nil"/>
              <w:left w:val="nil"/>
              <w:bottom w:val="single" w:sz="4" w:space="0" w:color="auto"/>
              <w:right w:val="single" w:sz="4" w:space="0" w:color="auto"/>
            </w:tcBorders>
            <w:shd w:val="clear" w:color="auto" w:fill="auto"/>
            <w:noWrap/>
            <w:vAlign w:val="bottom"/>
            <w:hideMark/>
          </w:tcPr>
          <w:p w14:paraId="3AA50F3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69454DC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2C4B55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6F6E78D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10.90</w:t>
            </w:r>
          </w:p>
        </w:tc>
        <w:tc>
          <w:tcPr>
            <w:tcW w:w="948" w:type="dxa"/>
            <w:tcBorders>
              <w:top w:val="nil"/>
              <w:left w:val="nil"/>
              <w:bottom w:val="single" w:sz="4" w:space="0" w:color="auto"/>
              <w:right w:val="single" w:sz="4" w:space="0" w:color="auto"/>
            </w:tcBorders>
            <w:shd w:val="clear" w:color="auto" w:fill="auto"/>
            <w:noWrap/>
            <w:vAlign w:val="bottom"/>
            <w:hideMark/>
          </w:tcPr>
          <w:p w14:paraId="7C1FAC7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66277C7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13DF909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02BBC2A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7826946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10.90</w:t>
            </w:r>
          </w:p>
        </w:tc>
        <w:tc>
          <w:tcPr>
            <w:tcW w:w="1156" w:type="dxa"/>
            <w:tcBorders>
              <w:top w:val="nil"/>
              <w:left w:val="nil"/>
              <w:bottom w:val="single" w:sz="4" w:space="0" w:color="auto"/>
              <w:right w:val="single" w:sz="4" w:space="0" w:color="auto"/>
            </w:tcBorders>
            <w:shd w:val="clear" w:color="auto" w:fill="auto"/>
            <w:noWrap/>
            <w:vAlign w:val="bottom"/>
            <w:hideMark/>
          </w:tcPr>
          <w:p w14:paraId="7B17D4D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676742D3" w14:textId="77777777" w:rsidTr="00E52AC1">
        <w:trPr>
          <w:trHeight w:val="27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12169045"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Cheltuieli privind utilizarea materialelor de construcții</w:t>
            </w:r>
          </w:p>
        </w:tc>
        <w:tc>
          <w:tcPr>
            <w:tcW w:w="964" w:type="dxa"/>
            <w:tcBorders>
              <w:top w:val="nil"/>
              <w:left w:val="nil"/>
              <w:bottom w:val="single" w:sz="4" w:space="0" w:color="auto"/>
              <w:right w:val="single" w:sz="4" w:space="0" w:color="auto"/>
            </w:tcBorders>
            <w:shd w:val="clear" w:color="auto" w:fill="auto"/>
            <w:noWrap/>
            <w:vAlign w:val="bottom"/>
            <w:hideMark/>
          </w:tcPr>
          <w:p w14:paraId="06A96B68"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221170</w:t>
            </w:r>
          </w:p>
        </w:tc>
        <w:tc>
          <w:tcPr>
            <w:tcW w:w="1004" w:type="dxa"/>
            <w:tcBorders>
              <w:top w:val="nil"/>
              <w:left w:val="nil"/>
              <w:bottom w:val="single" w:sz="4" w:space="0" w:color="auto"/>
              <w:right w:val="single" w:sz="4" w:space="0" w:color="auto"/>
            </w:tcBorders>
            <w:shd w:val="clear" w:color="auto" w:fill="auto"/>
            <w:noWrap/>
            <w:vAlign w:val="bottom"/>
            <w:hideMark/>
          </w:tcPr>
          <w:p w14:paraId="2C8A1B1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493D546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50DC15F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642713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10.65</w:t>
            </w:r>
          </w:p>
        </w:tc>
        <w:tc>
          <w:tcPr>
            <w:tcW w:w="948" w:type="dxa"/>
            <w:tcBorders>
              <w:top w:val="nil"/>
              <w:left w:val="nil"/>
              <w:bottom w:val="single" w:sz="4" w:space="0" w:color="auto"/>
              <w:right w:val="single" w:sz="4" w:space="0" w:color="auto"/>
            </w:tcBorders>
            <w:shd w:val="clear" w:color="auto" w:fill="auto"/>
            <w:noWrap/>
            <w:vAlign w:val="bottom"/>
            <w:hideMark/>
          </w:tcPr>
          <w:p w14:paraId="5DFDA9A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6761B29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2A0C7B8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3BEAF65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3FF9C98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10.65</w:t>
            </w:r>
          </w:p>
        </w:tc>
        <w:tc>
          <w:tcPr>
            <w:tcW w:w="1156" w:type="dxa"/>
            <w:tcBorders>
              <w:top w:val="nil"/>
              <w:left w:val="nil"/>
              <w:bottom w:val="single" w:sz="4" w:space="0" w:color="auto"/>
              <w:right w:val="single" w:sz="4" w:space="0" w:color="auto"/>
            </w:tcBorders>
            <w:shd w:val="clear" w:color="auto" w:fill="auto"/>
            <w:noWrap/>
            <w:vAlign w:val="bottom"/>
            <w:hideMark/>
          </w:tcPr>
          <w:p w14:paraId="6CB4993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08090ABB" w14:textId="77777777" w:rsidTr="00E52AC1">
        <w:trPr>
          <w:trHeight w:val="485"/>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7F7B831F"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Cheltuieli privind utilizarea accesoriilor de pat îmbrăcămintei încălțămintei</w:t>
            </w:r>
          </w:p>
        </w:tc>
        <w:tc>
          <w:tcPr>
            <w:tcW w:w="964" w:type="dxa"/>
            <w:tcBorders>
              <w:top w:val="nil"/>
              <w:left w:val="nil"/>
              <w:bottom w:val="single" w:sz="4" w:space="0" w:color="auto"/>
              <w:right w:val="single" w:sz="4" w:space="0" w:color="auto"/>
            </w:tcBorders>
            <w:shd w:val="clear" w:color="auto" w:fill="auto"/>
            <w:noWrap/>
            <w:vAlign w:val="bottom"/>
            <w:hideMark/>
          </w:tcPr>
          <w:p w14:paraId="406240BC"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221180</w:t>
            </w:r>
          </w:p>
        </w:tc>
        <w:tc>
          <w:tcPr>
            <w:tcW w:w="1004" w:type="dxa"/>
            <w:tcBorders>
              <w:top w:val="nil"/>
              <w:left w:val="nil"/>
              <w:bottom w:val="single" w:sz="4" w:space="0" w:color="auto"/>
              <w:right w:val="single" w:sz="4" w:space="0" w:color="auto"/>
            </w:tcBorders>
            <w:shd w:val="clear" w:color="auto" w:fill="auto"/>
            <w:noWrap/>
            <w:vAlign w:val="bottom"/>
            <w:hideMark/>
          </w:tcPr>
          <w:p w14:paraId="145A4B8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6710751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7D683D7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30B80E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1.02</w:t>
            </w:r>
          </w:p>
        </w:tc>
        <w:tc>
          <w:tcPr>
            <w:tcW w:w="948" w:type="dxa"/>
            <w:tcBorders>
              <w:top w:val="nil"/>
              <w:left w:val="nil"/>
              <w:bottom w:val="single" w:sz="4" w:space="0" w:color="auto"/>
              <w:right w:val="single" w:sz="4" w:space="0" w:color="auto"/>
            </w:tcBorders>
            <w:shd w:val="clear" w:color="auto" w:fill="auto"/>
            <w:noWrap/>
            <w:vAlign w:val="bottom"/>
            <w:hideMark/>
          </w:tcPr>
          <w:p w14:paraId="0B5C38D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6BFD68A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73A55CC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29E55DD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5F4CE9D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1.02</w:t>
            </w:r>
          </w:p>
        </w:tc>
        <w:tc>
          <w:tcPr>
            <w:tcW w:w="1156" w:type="dxa"/>
            <w:tcBorders>
              <w:top w:val="nil"/>
              <w:left w:val="nil"/>
              <w:bottom w:val="single" w:sz="4" w:space="0" w:color="auto"/>
              <w:right w:val="single" w:sz="4" w:space="0" w:color="auto"/>
            </w:tcBorders>
            <w:shd w:val="clear" w:color="auto" w:fill="auto"/>
            <w:noWrap/>
            <w:vAlign w:val="bottom"/>
            <w:hideMark/>
          </w:tcPr>
          <w:p w14:paraId="24B327C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27926A12" w14:textId="77777777" w:rsidTr="00E52AC1">
        <w:trPr>
          <w:trHeight w:val="215"/>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5DED65D3"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Cheltuieli privind utilizarea altor materiale</w:t>
            </w:r>
          </w:p>
        </w:tc>
        <w:tc>
          <w:tcPr>
            <w:tcW w:w="964" w:type="dxa"/>
            <w:tcBorders>
              <w:top w:val="nil"/>
              <w:left w:val="nil"/>
              <w:bottom w:val="single" w:sz="4" w:space="0" w:color="auto"/>
              <w:right w:val="single" w:sz="4" w:space="0" w:color="auto"/>
            </w:tcBorders>
            <w:shd w:val="clear" w:color="auto" w:fill="auto"/>
            <w:noWrap/>
            <w:vAlign w:val="bottom"/>
            <w:hideMark/>
          </w:tcPr>
          <w:p w14:paraId="77682AD6"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221190</w:t>
            </w:r>
          </w:p>
        </w:tc>
        <w:tc>
          <w:tcPr>
            <w:tcW w:w="1004" w:type="dxa"/>
            <w:tcBorders>
              <w:top w:val="nil"/>
              <w:left w:val="nil"/>
              <w:bottom w:val="single" w:sz="4" w:space="0" w:color="auto"/>
              <w:right w:val="single" w:sz="4" w:space="0" w:color="auto"/>
            </w:tcBorders>
            <w:shd w:val="clear" w:color="auto" w:fill="auto"/>
            <w:noWrap/>
            <w:vAlign w:val="bottom"/>
            <w:hideMark/>
          </w:tcPr>
          <w:p w14:paraId="7240561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93498D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61D81EC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B21E51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5.50</w:t>
            </w:r>
          </w:p>
        </w:tc>
        <w:tc>
          <w:tcPr>
            <w:tcW w:w="948" w:type="dxa"/>
            <w:tcBorders>
              <w:top w:val="nil"/>
              <w:left w:val="nil"/>
              <w:bottom w:val="single" w:sz="4" w:space="0" w:color="auto"/>
              <w:right w:val="single" w:sz="4" w:space="0" w:color="auto"/>
            </w:tcBorders>
            <w:shd w:val="clear" w:color="auto" w:fill="auto"/>
            <w:noWrap/>
            <w:vAlign w:val="bottom"/>
            <w:hideMark/>
          </w:tcPr>
          <w:p w14:paraId="1E5E04D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17ED488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050476B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174B97F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4A1087E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5.50</w:t>
            </w:r>
          </w:p>
        </w:tc>
        <w:tc>
          <w:tcPr>
            <w:tcW w:w="1156" w:type="dxa"/>
            <w:tcBorders>
              <w:top w:val="nil"/>
              <w:left w:val="nil"/>
              <w:bottom w:val="single" w:sz="4" w:space="0" w:color="auto"/>
              <w:right w:val="single" w:sz="4" w:space="0" w:color="auto"/>
            </w:tcBorders>
            <w:shd w:val="clear" w:color="auto" w:fill="auto"/>
            <w:noWrap/>
            <w:vAlign w:val="bottom"/>
            <w:hideMark/>
          </w:tcPr>
          <w:p w14:paraId="773AD88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6C41FE5C" w14:textId="77777777" w:rsidTr="00E52AC1">
        <w:trPr>
          <w:trHeight w:val="201"/>
        </w:trPr>
        <w:tc>
          <w:tcPr>
            <w:tcW w:w="4140" w:type="dxa"/>
            <w:tcBorders>
              <w:top w:val="nil"/>
              <w:left w:val="single" w:sz="4" w:space="0" w:color="auto"/>
              <w:bottom w:val="single" w:sz="4" w:space="0" w:color="auto"/>
              <w:right w:val="single" w:sz="4" w:space="0" w:color="auto"/>
            </w:tcBorders>
            <w:shd w:val="clear" w:color="auto" w:fill="D9E2F3" w:themeFill="accent5" w:themeFillTint="33"/>
            <w:vAlign w:val="bottom"/>
            <w:hideMark/>
          </w:tcPr>
          <w:p w14:paraId="36FC0E14"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D9E2F3" w:themeFill="accent5" w:themeFillTint="33"/>
            <w:noWrap/>
            <w:vAlign w:val="bottom"/>
            <w:hideMark/>
          </w:tcPr>
          <w:p w14:paraId="7EB4F16D" w14:textId="77777777" w:rsidR="00E52AC1" w:rsidRPr="00B91ABC" w:rsidRDefault="00E52AC1" w:rsidP="00E52AC1">
            <w:pPr>
              <w:spacing w:after="0" w:line="240" w:lineRule="auto"/>
              <w:jc w:val="both"/>
              <w:rPr>
                <w:rFonts w:asciiTheme="majorHAnsi" w:eastAsia="Times New Roman" w:hAnsiTheme="majorHAnsi" w:cstheme="majorHAnsi"/>
                <w:b/>
                <w:i/>
                <w:iCs/>
                <w:color w:val="000000"/>
                <w:sz w:val="18"/>
                <w:szCs w:val="18"/>
              </w:rPr>
            </w:pPr>
            <w:r w:rsidRPr="00B91ABC">
              <w:rPr>
                <w:rFonts w:asciiTheme="majorHAnsi" w:eastAsia="Times New Roman" w:hAnsiTheme="majorHAnsi" w:cstheme="majorHAnsi"/>
                <w:b/>
                <w:i/>
                <w:iCs/>
                <w:color w:val="000000"/>
                <w:sz w:val="18"/>
                <w:szCs w:val="18"/>
              </w:rPr>
              <w:t>222</w:t>
            </w:r>
          </w:p>
        </w:tc>
        <w:tc>
          <w:tcPr>
            <w:tcW w:w="1004" w:type="dxa"/>
            <w:tcBorders>
              <w:top w:val="nil"/>
              <w:left w:val="nil"/>
              <w:bottom w:val="single" w:sz="4" w:space="0" w:color="auto"/>
              <w:right w:val="single" w:sz="4" w:space="0" w:color="auto"/>
            </w:tcBorders>
            <w:shd w:val="clear" w:color="auto" w:fill="D9E2F3" w:themeFill="accent5" w:themeFillTint="33"/>
            <w:noWrap/>
            <w:vAlign w:val="bottom"/>
            <w:hideMark/>
          </w:tcPr>
          <w:p w14:paraId="7E9ECC78" w14:textId="77777777" w:rsidR="00E52AC1" w:rsidRPr="00B44AE8" w:rsidRDefault="00E52AC1" w:rsidP="00E52AC1">
            <w:pPr>
              <w:spacing w:after="0" w:line="240" w:lineRule="auto"/>
              <w:jc w:val="center"/>
              <w:rPr>
                <w:rFonts w:asciiTheme="majorHAnsi" w:eastAsia="Times New Roman" w:hAnsiTheme="majorHAnsi" w:cstheme="majorHAnsi"/>
                <w:b/>
                <w:color w:val="000000"/>
                <w:sz w:val="18"/>
                <w:szCs w:val="18"/>
              </w:rPr>
            </w:pPr>
            <w:r w:rsidRPr="00B44AE8">
              <w:rPr>
                <w:rFonts w:asciiTheme="majorHAnsi" w:eastAsia="Times New Roman" w:hAnsiTheme="majorHAnsi" w:cstheme="majorHAnsi"/>
                <w:b/>
                <w:color w:val="000000"/>
                <w:sz w:val="18"/>
                <w:szCs w:val="18"/>
              </w:rPr>
              <w:t>628.36</w:t>
            </w:r>
          </w:p>
        </w:tc>
        <w:tc>
          <w:tcPr>
            <w:tcW w:w="900" w:type="dxa"/>
            <w:tcBorders>
              <w:top w:val="nil"/>
              <w:left w:val="nil"/>
              <w:bottom w:val="single" w:sz="4" w:space="0" w:color="auto"/>
              <w:right w:val="single" w:sz="4" w:space="0" w:color="auto"/>
            </w:tcBorders>
            <w:shd w:val="clear" w:color="auto" w:fill="D9E2F3" w:themeFill="accent5" w:themeFillTint="33"/>
            <w:noWrap/>
            <w:vAlign w:val="bottom"/>
            <w:hideMark/>
          </w:tcPr>
          <w:p w14:paraId="2D170AC3" w14:textId="77777777" w:rsidR="00E52AC1" w:rsidRPr="00B44AE8" w:rsidRDefault="00E52AC1" w:rsidP="00E52AC1">
            <w:pPr>
              <w:spacing w:after="0" w:line="240" w:lineRule="auto"/>
              <w:jc w:val="center"/>
              <w:rPr>
                <w:rFonts w:asciiTheme="majorHAnsi" w:eastAsia="Times New Roman" w:hAnsiTheme="majorHAnsi" w:cstheme="majorHAnsi"/>
                <w:b/>
                <w:color w:val="000000"/>
                <w:sz w:val="18"/>
                <w:szCs w:val="18"/>
              </w:rPr>
            </w:pPr>
            <w:r w:rsidRPr="00B44AE8">
              <w:rPr>
                <w:rFonts w:asciiTheme="majorHAnsi" w:eastAsia="Times New Roman" w:hAnsiTheme="majorHAnsi" w:cstheme="majorHAnsi"/>
                <w:b/>
                <w:color w:val="000000"/>
                <w:sz w:val="18"/>
                <w:szCs w:val="18"/>
              </w:rPr>
              <w:t>585.03</w:t>
            </w:r>
          </w:p>
        </w:tc>
        <w:tc>
          <w:tcPr>
            <w:tcW w:w="900" w:type="dxa"/>
            <w:tcBorders>
              <w:top w:val="nil"/>
              <w:left w:val="nil"/>
              <w:bottom w:val="single" w:sz="4" w:space="0" w:color="auto"/>
              <w:right w:val="single" w:sz="4" w:space="0" w:color="auto"/>
            </w:tcBorders>
            <w:shd w:val="clear" w:color="auto" w:fill="D9E2F3" w:themeFill="accent5" w:themeFillTint="33"/>
            <w:noWrap/>
            <w:vAlign w:val="bottom"/>
            <w:hideMark/>
          </w:tcPr>
          <w:p w14:paraId="6804955B" w14:textId="77777777" w:rsidR="00E52AC1" w:rsidRPr="00B44AE8" w:rsidRDefault="00E52AC1" w:rsidP="00E52AC1">
            <w:pPr>
              <w:spacing w:after="0" w:line="240" w:lineRule="auto"/>
              <w:jc w:val="center"/>
              <w:rPr>
                <w:rFonts w:asciiTheme="majorHAnsi" w:eastAsia="Times New Roman" w:hAnsiTheme="majorHAnsi" w:cstheme="majorHAnsi"/>
                <w:b/>
                <w:color w:val="000000"/>
                <w:sz w:val="18"/>
                <w:szCs w:val="18"/>
              </w:rPr>
            </w:pPr>
            <w:r w:rsidRPr="00B44AE8">
              <w:rPr>
                <w:rFonts w:asciiTheme="majorHAnsi" w:eastAsia="Times New Roman" w:hAnsiTheme="majorHAnsi" w:cstheme="majorHAnsi"/>
                <w:b/>
                <w:color w:val="000000"/>
                <w:sz w:val="18"/>
                <w:szCs w:val="18"/>
              </w:rPr>
              <w:t>360.25</w:t>
            </w:r>
          </w:p>
        </w:tc>
        <w:tc>
          <w:tcPr>
            <w:tcW w:w="900" w:type="dxa"/>
            <w:tcBorders>
              <w:top w:val="nil"/>
              <w:left w:val="nil"/>
              <w:bottom w:val="single" w:sz="4" w:space="0" w:color="auto"/>
              <w:right w:val="single" w:sz="4" w:space="0" w:color="auto"/>
            </w:tcBorders>
            <w:shd w:val="clear" w:color="auto" w:fill="D9E2F3" w:themeFill="accent5" w:themeFillTint="33"/>
            <w:noWrap/>
            <w:vAlign w:val="bottom"/>
            <w:hideMark/>
          </w:tcPr>
          <w:p w14:paraId="12E2BEF2" w14:textId="77777777" w:rsidR="00E52AC1" w:rsidRPr="00B44AE8" w:rsidRDefault="00E52AC1" w:rsidP="00E52AC1">
            <w:pPr>
              <w:spacing w:after="0" w:line="240" w:lineRule="auto"/>
              <w:jc w:val="center"/>
              <w:rPr>
                <w:rFonts w:asciiTheme="majorHAnsi" w:eastAsia="Times New Roman" w:hAnsiTheme="majorHAnsi" w:cstheme="majorHAnsi"/>
                <w:b/>
                <w:color w:val="000000"/>
                <w:sz w:val="18"/>
                <w:szCs w:val="18"/>
              </w:rPr>
            </w:pPr>
            <w:r w:rsidRPr="00B44AE8">
              <w:rPr>
                <w:rFonts w:asciiTheme="majorHAnsi" w:eastAsia="Times New Roman" w:hAnsiTheme="majorHAnsi" w:cstheme="majorHAnsi"/>
                <w:b/>
                <w:color w:val="000000"/>
                <w:sz w:val="18"/>
                <w:szCs w:val="18"/>
              </w:rPr>
              <w:t>358.93</w:t>
            </w:r>
          </w:p>
        </w:tc>
        <w:tc>
          <w:tcPr>
            <w:tcW w:w="948" w:type="dxa"/>
            <w:tcBorders>
              <w:top w:val="nil"/>
              <w:left w:val="nil"/>
              <w:bottom w:val="single" w:sz="4" w:space="0" w:color="auto"/>
              <w:right w:val="single" w:sz="4" w:space="0" w:color="auto"/>
            </w:tcBorders>
            <w:shd w:val="clear" w:color="auto" w:fill="D9E2F3" w:themeFill="accent5" w:themeFillTint="33"/>
            <w:noWrap/>
            <w:vAlign w:val="bottom"/>
            <w:hideMark/>
          </w:tcPr>
          <w:p w14:paraId="1FC3F932" w14:textId="77777777" w:rsidR="00E52AC1" w:rsidRPr="00B44AE8" w:rsidRDefault="00E52AC1" w:rsidP="00E52AC1">
            <w:pPr>
              <w:spacing w:after="0" w:line="240" w:lineRule="auto"/>
              <w:jc w:val="center"/>
              <w:rPr>
                <w:rFonts w:asciiTheme="majorHAnsi" w:eastAsia="Times New Roman" w:hAnsiTheme="majorHAnsi" w:cstheme="majorHAnsi"/>
                <w:b/>
                <w:color w:val="000000"/>
                <w:sz w:val="18"/>
                <w:szCs w:val="18"/>
              </w:rPr>
            </w:pPr>
            <w:r w:rsidRPr="00B44AE8">
              <w:rPr>
                <w:rFonts w:asciiTheme="majorHAnsi" w:eastAsia="Times New Roman" w:hAnsiTheme="majorHAnsi" w:cstheme="majorHAnsi"/>
                <w:b/>
                <w:color w:val="000000"/>
                <w:sz w:val="18"/>
                <w:szCs w:val="18"/>
              </w:rPr>
              <w:t>11.17</w:t>
            </w:r>
          </w:p>
        </w:tc>
        <w:tc>
          <w:tcPr>
            <w:tcW w:w="1080" w:type="dxa"/>
            <w:tcBorders>
              <w:top w:val="nil"/>
              <w:left w:val="nil"/>
              <w:bottom w:val="single" w:sz="4" w:space="0" w:color="auto"/>
              <w:right w:val="single" w:sz="4" w:space="0" w:color="auto"/>
            </w:tcBorders>
            <w:shd w:val="clear" w:color="auto" w:fill="D9E2F3" w:themeFill="accent5" w:themeFillTint="33"/>
            <w:noWrap/>
            <w:vAlign w:val="bottom"/>
            <w:hideMark/>
          </w:tcPr>
          <w:p w14:paraId="3C3BBE3E" w14:textId="77777777" w:rsidR="00E52AC1" w:rsidRPr="00B44AE8" w:rsidRDefault="00E52AC1" w:rsidP="00E52AC1">
            <w:pPr>
              <w:spacing w:after="0" w:line="240" w:lineRule="auto"/>
              <w:jc w:val="center"/>
              <w:rPr>
                <w:rFonts w:asciiTheme="majorHAnsi" w:eastAsia="Times New Roman" w:hAnsiTheme="majorHAnsi" w:cstheme="majorHAnsi"/>
                <w:b/>
                <w:color w:val="000000"/>
                <w:sz w:val="18"/>
                <w:szCs w:val="18"/>
              </w:rPr>
            </w:pPr>
            <w:r w:rsidRPr="00B44AE8">
              <w:rPr>
                <w:rFonts w:asciiTheme="majorHAnsi" w:eastAsia="Times New Roman" w:hAnsiTheme="majorHAnsi" w:cstheme="majorHAnsi"/>
                <w:b/>
                <w:color w:val="000000"/>
                <w:sz w:val="18"/>
                <w:szCs w:val="18"/>
              </w:rPr>
              <w:t>-43.3</w:t>
            </w:r>
          </w:p>
        </w:tc>
        <w:tc>
          <w:tcPr>
            <w:tcW w:w="990" w:type="dxa"/>
            <w:tcBorders>
              <w:top w:val="nil"/>
              <w:left w:val="nil"/>
              <w:bottom w:val="single" w:sz="4" w:space="0" w:color="auto"/>
              <w:right w:val="single" w:sz="4" w:space="0" w:color="auto"/>
            </w:tcBorders>
            <w:shd w:val="clear" w:color="auto" w:fill="D9E2F3" w:themeFill="accent5" w:themeFillTint="33"/>
            <w:noWrap/>
            <w:vAlign w:val="bottom"/>
            <w:hideMark/>
          </w:tcPr>
          <w:p w14:paraId="5AFE2A83" w14:textId="77777777" w:rsidR="00E52AC1" w:rsidRPr="00B44AE8" w:rsidRDefault="00E52AC1" w:rsidP="00E52AC1">
            <w:pPr>
              <w:spacing w:after="0" w:line="240" w:lineRule="auto"/>
              <w:jc w:val="center"/>
              <w:rPr>
                <w:rFonts w:asciiTheme="majorHAnsi" w:eastAsia="Times New Roman" w:hAnsiTheme="majorHAnsi" w:cstheme="majorHAnsi"/>
                <w:b/>
                <w:color w:val="000000"/>
                <w:sz w:val="18"/>
                <w:szCs w:val="18"/>
              </w:rPr>
            </w:pPr>
            <w:r w:rsidRPr="00B44AE8">
              <w:rPr>
                <w:rFonts w:asciiTheme="majorHAnsi" w:eastAsia="Times New Roman" w:hAnsiTheme="majorHAnsi" w:cstheme="majorHAnsi"/>
                <w:b/>
                <w:color w:val="000000"/>
                <w:sz w:val="18"/>
                <w:szCs w:val="18"/>
              </w:rPr>
              <w:t>-224.78</w:t>
            </w:r>
          </w:p>
        </w:tc>
        <w:tc>
          <w:tcPr>
            <w:tcW w:w="990" w:type="dxa"/>
            <w:tcBorders>
              <w:top w:val="nil"/>
              <w:left w:val="nil"/>
              <w:bottom w:val="single" w:sz="4" w:space="0" w:color="auto"/>
              <w:right w:val="single" w:sz="4" w:space="0" w:color="auto"/>
            </w:tcBorders>
            <w:shd w:val="clear" w:color="auto" w:fill="D9E2F3" w:themeFill="accent5" w:themeFillTint="33"/>
            <w:noWrap/>
            <w:vAlign w:val="bottom"/>
            <w:hideMark/>
          </w:tcPr>
          <w:p w14:paraId="63B1C332" w14:textId="77777777" w:rsidR="00E52AC1" w:rsidRPr="00B44AE8" w:rsidRDefault="00E52AC1" w:rsidP="00E52AC1">
            <w:pPr>
              <w:spacing w:after="0" w:line="240" w:lineRule="auto"/>
              <w:jc w:val="center"/>
              <w:rPr>
                <w:rFonts w:asciiTheme="majorHAnsi" w:eastAsia="Times New Roman" w:hAnsiTheme="majorHAnsi" w:cstheme="majorHAnsi"/>
                <w:b/>
                <w:color w:val="000000"/>
                <w:sz w:val="18"/>
                <w:szCs w:val="18"/>
              </w:rPr>
            </w:pPr>
            <w:r w:rsidRPr="00B44AE8">
              <w:rPr>
                <w:rFonts w:asciiTheme="majorHAnsi" w:eastAsia="Times New Roman" w:hAnsiTheme="majorHAnsi" w:cstheme="majorHAnsi"/>
                <w:b/>
                <w:color w:val="000000"/>
                <w:sz w:val="18"/>
                <w:szCs w:val="18"/>
              </w:rPr>
              <w:t>61.58</w:t>
            </w:r>
          </w:p>
        </w:tc>
        <w:tc>
          <w:tcPr>
            <w:tcW w:w="1080" w:type="dxa"/>
            <w:tcBorders>
              <w:top w:val="nil"/>
              <w:left w:val="nil"/>
              <w:bottom w:val="single" w:sz="4" w:space="0" w:color="auto"/>
              <w:right w:val="single" w:sz="4" w:space="0" w:color="auto"/>
            </w:tcBorders>
            <w:shd w:val="clear" w:color="auto" w:fill="D9E2F3" w:themeFill="accent5" w:themeFillTint="33"/>
            <w:noWrap/>
            <w:vAlign w:val="bottom"/>
            <w:hideMark/>
          </w:tcPr>
          <w:p w14:paraId="359A4CAD" w14:textId="77777777" w:rsidR="00E52AC1" w:rsidRPr="00B44AE8" w:rsidRDefault="00E52AC1" w:rsidP="00E52AC1">
            <w:pPr>
              <w:spacing w:after="0" w:line="240" w:lineRule="auto"/>
              <w:jc w:val="center"/>
              <w:rPr>
                <w:rFonts w:asciiTheme="majorHAnsi" w:eastAsia="Times New Roman" w:hAnsiTheme="majorHAnsi" w:cstheme="majorHAnsi"/>
                <w:b/>
                <w:color w:val="000000"/>
                <w:sz w:val="18"/>
                <w:szCs w:val="18"/>
              </w:rPr>
            </w:pPr>
            <w:r w:rsidRPr="00B44AE8">
              <w:rPr>
                <w:rFonts w:asciiTheme="majorHAnsi" w:eastAsia="Times New Roman" w:hAnsiTheme="majorHAnsi" w:cstheme="majorHAnsi"/>
                <w:b/>
                <w:color w:val="000000"/>
                <w:sz w:val="18"/>
                <w:szCs w:val="18"/>
              </w:rPr>
              <w:t>-226.09</w:t>
            </w:r>
          </w:p>
        </w:tc>
        <w:tc>
          <w:tcPr>
            <w:tcW w:w="1156" w:type="dxa"/>
            <w:tcBorders>
              <w:top w:val="nil"/>
              <w:left w:val="nil"/>
              <w:bottom w:val="single" w:sz="4" w:space="0" w:color="auto"/>
              <w:right w:val="single" w:sz="4" w:space="0" w:color="auto"/>
            </w:tcBorders>
            <w:shd w:val="clear" w:color="auto" w:fill="D9E2F3" w:themeFill="accent5" w:themeFillTint="33"/>
            <w:noWrap/>
            <w:vAlign w:val="bottom"/>
            <w:hideMark/>
          </w:tcPr>
          <w:p w14:paraId="7B7C57D2" w14:textId="77777777" w:rsidR="00E52AC1" w:rsidRPr="00B44AE8" w:rsidRDefault="00E52AC1" w:rsidP="00E52AC1">
            <w:pPr>
              <w:spacing w:after="0" w:line="240" w:lineRule="auto"/>
              <w:jc w:val="center"/>
              <w:rPr>
                <w:rFonts w:asciiTheme="majorHAnsi" w:eastAsia="Times New Roman" w:hAnsiTheme="majorHAnsi" w:cstheme="majorHAnsi"/>
                <w:b/>
                <w:color w:val="000000"/>
                <w:sz w:val="18"/>
                <w:szCs w:val="18"/>
              </w:rPr>
            </w:pPr>
            <w:r w:rsidRPr="00B44AE8">
              <w:rPr>
                <w:rFonts w:asciiTheme="majorHAnsi" w:eastAsia="Times New Roman" w:hAnsiTheme="majorHAnsi" w:cstheme="majorHAnsi"/>
                <w:b/>
                <w:color w:val="000000"/>
                <w:sz w:val="18"/>
                <w:szCs w:val="18"/>
              </w:rPr>
              <w:t>61.35</w:t>
            </w:r>
          </w:p>
        </w:tc>
      </w:tr>
      <w:tr w:rsidR="00E52AC1" w:rsidRPr="00991DD7" w14:paraId="349C959D" w14:textId="77777777" w:rsidTr="00E52AC1">
        <w:trPr>
          <w:trHeight w:val="125"/>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3AC7FEFE"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Energie electrica</w:t>
            </w:r>
          </w:p>
        </w:tc>
        <w:tc>
          <w:tcPr>
            <w:tcW w:w="964" w:type="dxa"/>
            <w:tcBorders>
              <w:top w:val="nil"/>
              <w:left w:val="nil"/>
              <w:bottom w:val="single" w:sz="4" w:space="0" w:color="auto"/>
              <w:right w:val="single" w:sz="4" w:space="0" w:color="auto"/>
            </w:tcBorders>
            <w:shd w:val="clear" w:color="auto" w:fill="auto"/>
            <w:noWrap/>
            <w:vAlign w:val="bottom"/>
            <w:hideMark/>
          </w:tcPr>
          <w:p w14:paraId="258E1B96"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222110</w:t>
            </w:r>
          </w:p>
        </w:tc>
        <w:tc>
          <w:tcPr>
            <w:tcW w:w="1004" w:type="dxa"/>
            <w:tcBorders>
              <w:top w:val="nil"/>
              <w:left w:val="nil"/>
              <w:bottom w:val="single" w:sz="4" w:space="0" w:color="auto"/>
              <w:right w:val="single" w:sz="4" w:space="0" w:color="auto"/>
            </w:tcBorders>
            <w:shd w:val="clear" w:color="auto" w:fill="auto"/>
            <w:noWrap/>
            <w:vAlign w:val="bottom"/>
            <w:hideMark/>
          </w:tcPr>
          <w:p w14:paraId="57C4FDA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81.69</w:t>
            </w:r>
          </w:p>
        </w:tc>
        <w:tc>
          <w:tcPr>
            <w:tcW w:w="900" w:type="dxa"/>
            <w:tcBorders>
              <w:top w:val="nil"/>
              <w:left w:val="nil"/>
              <w:bottom w:val="single" w:sz="4" w:space="0" w:color="auto"/>
              <w:right w:val="single" w:sz="4" w:space="0" w:color="auto"/>
            </w:tcBorders>
            <w:shd w:val="clear" w:color="auto" w:fill="auto"/>
            <w:noWrap/>
            <w:vAlign w:val="bottom"/>
            <w:hideMark/>
          </w:tcPr>
          <w:p w14:paraId="3B43669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80.77</w:t>
            </w:r>
          </w:p>
        </w:tc>
        <w:tc>
          <w:tcPr>
            <w:tcW w:w="900" w:type="dxa"/>
            <w:tcBorders>
              <w:top w:val="nil"/>
              <w:left w:val="nil"/>
              <w:bottom w:val="single" w:sz="4" w:space="0" w:color="auto"/>
              <w:right w:val="single" w:sz="4" w:space="0" w:color="auto"/>
            </w:tcBorders>
            <w:shd w:val="clear" w:color="auto" w:fill="auto"/>
            <w:noWrap/>
            <w:vAlign w:val="bottom"/>
            <w:hideMark/>
          </w:tcPr>
          <w:p w14:paraId="23C3FC9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71.47</w:t>
            </w:r>
          </w:p>
        </w:tc>
        <w:tc>
          <w:tcPr>
            <w:tcW w:w="900" w:type="dxa"/>
            <w:tcBorders>
              <w:top w:val="nil"/>
              <w:left w:val="nil"/>
              <w:bottom w:val="single" w:sz="4" w:space="0" w:color="auto"/>
              <w:right w:val="single" w:sz="4" w:space="0" w:color="auto"/>
            </w:tcBorders>
            <w:shd w:val="clear" w:color="auto" w:fill="auto"/>
            <w:noWrap/>
            <w:vAlign w:val="bottom"/>
            <w:hideMark/>
          </w:tcPr>
          <w:p w14:paraId="30BEBE4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71.40</w:t>
            </w:r>
          </w:p>
        </w:tc>
        <w:tc>
          <w:tcPr>
            <w:tcW w:w="948" w:type="dxa"/>
            <w:tcBorders>
              <w:top w:val="nil"/>
              <w:left w:val="nil"/>
              <w:bottom w:val="single" w:sz="4" w:space="0" w:color="auto"/>
              <w:right w:val="single" w:sz="4" w:space="0" w:color="auto"/>
            </w:tcBorders>
            <w:shd w:val="clear" w:color="auto" w:fill="auto"/>
            <w:noWrap/>
            <w:vAlign w:val="bottom"/>
            <w:hideMark/>
          </w:tcPr>
          <w:p w14:paraId="20962F7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1.07</w:t>
            </w:r>
          </w:p>
        </w:tc>
        <w:tc>
          <w:tcPr>
            <w:tcW w:w="1080" w:type="dxa"/>
            <w:tcBorders>
              <w:top w:val="nil"/>
              <w:left w:val="nil"/>
              <w:bottom w:val="single" w:sz="4" w:space="0" w:color="auto"/>
              <w:right w:val="single" w:sz="4" w:space="0" w:color="auto"/>
            </w:tcBorders>
            <w:shd w:val="clear" w:color="auto" w:fill="auto"/>
            <w:noWrap/>
            <w:vAlign w:val="bottom"/>
            <w:hideMark/>
          </w:tcPr>
          <w:p w14:paraId="3CA8A0C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-0.92</w:t>
            </w:r>
          </w:p>
        </w:tc>
        <w:tc>
          <w:tcPr>
            <w:tcW w:w="990" w:type="dxa"/>
            <w:tcBorders>
              <w:top w:val="nil"/>
              <w:left w:val="nil"/>
              <w:bottom w:val="single" w:sz="4" w:space="0" w:color="auto"/>
              <w:right w:val="single" w:sz="4" w:space="0" w:color="auto"/>
            </w:tcBorders>
            <w:shd w:val="clear" w:color="auto" w:fill="auto"/>
            <w:noWrap/>
            <w:vAlign w:val="bottom"/>
            <w:hideMark/>
          </w:tcPr>
          <w:p w14:paraId="2C2BFDD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-9.29</w:t>
            </w:r>
          </w:p>
        </w:tc>
        <w:tc>
          <w:tcPr>
            <w:tcW w:w="990" w:type="dxa"/>
            <w:tcBorders>
              <w:top w:val="nil"/>
              <w:left w:val="nil"/>
              <w:bottom w:val="single" w:sz="4" w:space="0" w:color="auto"/>
              <w:right w:val="single" w:sz="4" w:space="0" w:color="auto"/>
            </w:tcBorders>
            <w:shd w:val="clear" w:color="auto" w:fill="auto"/>
            <w:noWrap/>
            <w:vAlign w:val="bottom"/>
            <w:hideMark/>
          </w:tcPr>
          <w:p w14:paraId="2EB68A0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88.49</w:t>
            </w:r>
          </w:p>
        </w:tc>
        <w:tc>
          <w:tcPr>
            <w:tcW w:w="1080" w:type="dxa"/>
            <w:tcBorders>
              <w:top w:val="nil"/>
              <w:left w:val="nil"/>
              <w:bottom w:val="single" w:sz="4" w:space="0" w:color="auto"/>
              <w:right w:val="single" w:sz="4" w:space="0" w:color="auto"/>
            </w:tcBorders>
            <w:shd w:val="clear" w:color="auto" w:fill="auto"/>
            <w:noWrap/>
            <w:vAlign w:val="bottom"/>
            <w:hideMark/>
          </w:tcPr>
          <w:p w14:paraId="2BDB309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-9.37</w:t>
            </w:r>
          </w:p>
        </w:tc>
        <w:tc>
          <w:tcPr>
            <w:tcW w:w="1156" w:type="dxa"/>
            <w:tcBorders>
              <w:top w:val="nil"/>
              <w:left w:val="nil"/>
              <w:bottom w:val="single" w:sz="4" w:space="0" w:color="auto"/>
              <w:right w:val="single" w:sz="4" w:space="0" w:color="auto"/>
            </w:tcBorders>
            <w:shd w:val="clear" w:color="auto" w:fill="auto"/>
            <w:noWrap/>
            <w:vAlign w:val="bottom"/>
            <w:hideMark/>
          </w:tcPr>
          <w:p w14:paraId="12E34A0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88.40</w:t>
            </w:r>
          </w:p>
        </w:tc>
      </w:tr>
      <w:tr w:rsidR="00E52AC1" w:rsidRPr="00991DD7" w14:paraId="13CA859E" w14:textId="77777777" w:rsidTr="00E52AC1">
        <w:trPr>
          <w:trHeight w:val="152"/>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7624670C"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Gaze</w:t>
            </w:r>
          </w:p>
        </w:tc>
        <w:tc>
          <w:tcPr>
            <w:tcW w:w="964" w:type="dxa"/>
            <w:tcBorders>
              <w:top w:val="nil"/>
              <w:left w:val="nil"/>
              <w:bottom w:val="single" w:sz="4" w:space="0" w:color="auto"/>
              <w:right w:val="single" w:sz="4" w:space="0" w:color="auto"/>
            </w:tcBorders>
            <w:shd w:val="clear" w:color="auto" w:fill="auto"/>
            <w:noWrap/>
            <w:vAlign w:val="bottom"/>
            <w:hideMark/>
          </w:tcPr>
          <w:p w14:paraId="6D922E58"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222120</w:t>
            </w:r>
          </w:p>
        </w:tc>
        <w:tc>
          <w:tcPr>
            <w:tcW w:w="1004" w:type="dxa"/>
            <w:tcBorders>
              <w:top w:val="nil"/>
              <w:left w:val="nil"/>
              <w:bottom w:val="single" w:sz="4" w:space="0" w:color="auto"/>
              <w:right w:val="single" w:sz="4" w:space="0" w:color="auto"/>
            </w:tcBorders>
            <w:shd w:val="clear" w:color="auto" w:fill="auto"/>
            <w:noWrap/>
            <w:vAlign w:val="bottom"/>
            <w:hideMark/>
          </w:tcPr>
          <w:p w14:paraId="1C08D0E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8.48</w:t>
            </w:r>
          </w:p>
        </w:tc>
        <w:tc>
          <w:tcPr>
            <w:tcW w:w="900" w:type="dxa"/>
            <w:tcBorders>
              <w:top w:val="nil"/>
              <w:left w:val="nil"/>
              <w:bottom w:val="single" w:sz="4" w:space="0" w:color="auto"/>
              <w:right w:val="single" w:sz="4" w:space="0" w:color="auto"/>
            </w:tcBorders>
            <w:shd w:val="clear" w:color="auto" w:fill="auto"/>
            <w:noWrap/>
            <w:vAlign w:val="bottom"/>
            <w:hideMark/>
          </w:tcPr>
          <w:p w14:paraId="19429C7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7.82</w:t>
            </w:r>
          </w:p>
        </w:tc>
        <w:tc>
          <w:tcPr>
            <w:tcW w:w="900" w:type="dxa"/>
            <w:tcBorders>
              <w:top w:val="nil"/>
              <w:left w:val="nil"/>
              <w:bottom w:val="single" w:sz="4" w:space="0" w:color="auto"/>
              <w:right w:val="single" w:sz="4" w:space="0" w:color="auto"/>
            </w:tcBorders>
            <w:shd w:val="clear" w:color="auto" w:fill="auto"/>
            <w:noWrap/>
            <w:vAlign w:val="bottom"/>
            <w:hideMark/>
          </w:tcPr>
          <w:p w14:paraId="2B79285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6.13</w:t>
            </w:r>
          </w:p>
        </w:tc>
        <w:tc>
          <w:tcPr>
            <w:tcW w:w="900" w:type="dxa"/>
            <w:tcBorders>
              <w:top w:val="nil"/>
              <w:left w:val="nil"/>
              <w:bottom w:val="single" w:sz="4" w:space="0" w:color="auto"/>
              <w:right w:val="single" w:sz="4" w:space="0" w:color="auto"/>
            </w:tcBorders>
            <w:shd w:val="clear" w:color="auto" w:fill="auto"/>
            <w:noWrap/>
            <w:vAlign w:val="bottom"/>
            <w:hideMark/>
          </w:tcPr>
          <w:p w14:paraId="620D8AC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6.04</w:t>
            </w:r>
          </w:p>
        </w:tc>
        <w:tc>
          <w:tcPr>
            <w:tcW w:w="948" w:type="dxa"/>
            <w:tcBorders>
              <w:top w:val="nil"/>
              <w:left w:val="nil"/>
              <w:bottom w:val="single" w:sz="4" w:space="0" w:color="auto"/>
              <w:right w:val="single" w:sz="4" w:space="0" w:color="auto"/>
            </w:tcBorders>
            <w:shd w:val="clear" w:color="auto" w:fill="auto"/>
            <w:noWrap/>
            <w:vAlign w:val="bottom"/>
            <w:hideMark/>
          </w:tcPr>
          <w:p w14:paraId="3C91500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0.50</w:t>
            </w:r>
          </w:p>
        </w:tc>
        <w:tc>
          <w:tcPr>
            <w:tcW w:w="1080" w:type="dxa"/>
            <w:tcBorders>
              <w:top w:val="nil"/>
              <w:left w:val="nil"/>
              <w:bottom w:val="single" w:sz="4" w:space="0" w:color="auto"/>
              <w:right w:val="single" w:sz="4" w:space="0" w:color="auto"/>
            </w:tcBorders>
            <w:shd w:val="clear" w:color="auto" w:fill="auto"/>
            <w:noWrap/>
            <w:vAlign w:val="bottom"/>
            <w:hideMark/>
          </w:tcPr>
          <w:p w14:paraId="2DB7F9A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-0.66</w:t>
            </w:r>
          </w:p>
        </w:tc>
        <w:tc>
          <w:tcPr>
            <w:tcW w:w="990" w:type="dxa"/>
            <w:tcBorders>
              <w:top w:val="nil"/>
              <w:left w:val="nil"/>
              <w:bottom w:val="single" w:sz="4" w:space="0" w:color="auto"/>
              <w:right w:val="single" w:sz="4" w:space="0" w:color="auto"/>
            </w:tcBorders>
            <w:shd w:val="clear" w:color="auto" w:fill="auto"/>
            <w:noWrap/>
            <w:vAlign w:val="bottom"/>
            <w:hideMark/>
          </w:tcPr>
          <w:p w14:paraId="05F2599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-1.69</w:t>
            </w:r>
          </w:p>
        </w:tc>
        <w:tc>
          <w:tcPr>
            <w:tcW w:w="990" w:type="dxa"/>
            <w:tcBorders>
              <w:top w:val="nil"/>
              <w:left w:val="nil"/>
              <w:bottom w:val="single" w:sz="4" w:space="0" w:color="auto"/>
              <w:right w:val="single" w:sz="4" w:space="0" w:color="auto"/>
            </w:tcBorders>
            <w:shd w:val="clear" w:color="auto" w:fill="auto"/>
            <w:noWrap/>
            <w:vAlign w:val="bottom"/>
            <w:hideMark/>
          </w:tcPr>
          <w:p w14:paraId="3D638D0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78.43</w:t>
            </w:r>
          </w:p>
        </w:tc>
        <w:tc>
          <w:tcPr>
            <w:tcW w:w="1080" w:type="dxa"/>
            <w:tcBorders>
              <w:top w:val="nil"/>
              <w:left w:val="nil"/>
              <w:bottom w:val="single" w:sz="4" w:space="0" w:color="auto"/>
              <w:right w:val="single" w:sz="4" w:space="0" w:color="auto"/>
            </w:tcBorders>
            <w:shd w:val="clear" w:color="auto" w:fill="auto"/>
            <w:noWrap/>
            <w:vAlign w:val="bottom"/>
            <w:hideMark/>
          </w:tcPr>
          <w:p w14:paraId="2F25647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-1.77</w:t>
            </w:r>
          </w:p>
        </w:tc>
        <w:tc>
          <w:tcPr>
            <w:tcW w:w="1156" w:type="dxa"/>
            <w:tcBorders>
              <w:top w:val="nil"/>
              <w:left w:val="nil"/>
              <w:bottom w:val="single" w:sz="4" w:space="0" w:color="auto"/>
              <w:right w:val="single" w:sz="4" w:space="0" w:color="auto"/>
            </w:tcBorders>
            <w:shd w:val="clear" w:color="auto" w:fill="auto"/>
            <w:noWrap/>
            <w:vAlign w:val="bottom"/>
            <w:hideMark/>
          </w:tcPr>
          <w:p w14:paraId="488AE6F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77.30</w:t>
            </w:r>
          </w:p>
        </w:tc>
      </w:tr>
      <w:tr w:rsidR="00E52AC1" w:rsidRPr="00991DD7" w14:paraId="67634079"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5B74BE9C"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Energie termica</w:t>
            </w:r>
          </w:p>
        </w:tc>
        <w:tc>
          <w:tcPr>
            <w:tcW w:w="964" w:type="dxa"/>
            <w:tcBorders>
              <w:top w:val="nil"/>
              <w:left w:val="nil"/>
              <w:bottom w:val="single" w:sz="4" w:space="0" w:color="auto"/>
              <w:right w:val="single" w:sz="4" w:space="0" w:color="auto"/>
            </w:tcBorders>
            <w:shd w:val="clear" w:color="auto" w:fill="auto"/>
            <w:noWrap/>
            <w:vAlign w:val="bottom"/>
            <w:hideMark/>
          </w:tcPr>
          <w:p w14:paraId="28C15A10"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222130</w:t>
            </w:r>
          </w:p>
        </w:tc>
        <w:tc>
          <w:tcPr>
            <w:tcW w:w="1004" w:type="dxa"/>
            <w:tcBorders>
              <w:top w:val="nil"/>
              <w:left w:val="nil"/>
              <w:bottom w:val="single" w:sz="4" w:space="0" w:color="auto"/>
              <w:right w:val="single" w:sz="4" w:space="0" w:color="auto"/>
            </w:tcBorders>
            <w:shd w:val="clear" w:color="auto" w:fill="auto"/>
            <w:noWrap/>
            <w:vAlign w:val="bottom"/>
            <w:hideMark/>
          </w:tcPr>
          <w:p w14:paraId="1CA8E72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75.07</w:t>
            </w:r>
          </w:p>
        </w:tc>
        <w:tc>
          <w:tcPr>
            <w:tcW w:w="900" w:type="dxa"/>
            <w:tcBorders>
              <w:top w:val="nil"/>
              <w:left w:val="nil"/>
              <w:bottom w:val="single" w:sz="4" w:space="0" w:color="auto"/>
              <w:right w:val="single" w:sz="4" w:space="0" w:color="auto"/>
            </w:tcBorders>
            <w:shd w:val="clear" w:color="auto" w:fill="auto"/>
            <w:noWrap/>
            <w:vAlign w:val="bottom"/>
            <w:hideMark/>
          </w:tcPr>
          <w:p w14:paraId="16B8F77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84.87</w:t>
            </w:r>
          </w:p>
        </w:tc>
        <w:tc>
          <w:tcPr>
            <w:tcW w:w="900" w:type="dxa"/>
            <w:tcBorders>
              <w:top w:val="nil"/>
              <w:left w:val="nil"/>
              <w:bottom w:val="single" w:sz="4" w:space="0" w:color="auto"/>
              <w:right w:val="single" w:sz="4" w:space="0" w:color="auto"/>
            </w:tcBorders>
            <w:shd w:val="clear" w:color="auto" w:fill="auto"/>
            <w:noWrap/>
            <w:vAlign w:val="bottom"/>
            <w:hideMark/>
          </w:tcPr>
          <w:p w14:paraId="50F9AB4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76.85</w:t>
            </w:r>
          </w:p>
        </w:tc>
        <w:tc>
          <w:tcPr>
            <w:tcW w:w="900" w:type="dxa"/>
            <w:tcBorders>
              <w:top w:val="nil"/>
              <w:left w:val="nil"/>
              <w:bottom w:val="single" w:sz="4" w:space="0" w:color="auto"/>
              <w:right w:val="single" w:sz="4" w:space="0" w:color="auto"/>
            </w:tcBorders>
            <w:shd w:val="clear" w:color="auto" w:fill="auto"/>
            <w:noWrap/>
            <w:vAlign w:val="bottom"/>
            <w:hideMark/>
          </w:tcPr>
          <w:p w14:paraId="152D8F7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75.92</w:t>
            </w:r>
          </w:p>
        </w:tc>
        <w:tc>
          <w:tcPr>
            <w:tcW w:w="948" w:type="dxa"/>
            <w:tcBorders>
              <w:top w:val="nil"/>
              <w:left w:val="nil"/>
              <w:bottom w:val="single" w:sz="4" w:space="0" w:color="auto"/>
              <w:right w:val="single" w:sz="4" w:space="0" w:color="auto"/>
            </w:tcBorders>
            <w:shd w:val="clear" w:color="auto" w:fill="auto"/>
            <w:noWrap/>
            <w:vAlign w:val="bottom"/>
            <w:hideMark/>
          </w:tcPr>
          <w:p w14:paraId="0FE6016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8.23</w:t>
            </w:r>
          </w:p>
        </w:tc>
        <w:tc>
          <w:tcPr>
            <w:tcW w:w="1080" w:type="dxa"/>
            <w:tcBorders>
              <w:top w:val="nil"/>
              <w:left w:val="nil"/>
              <w:bottom w:val="single" w:sz="4" w:space="0" w:color="auto"/>
              <w:right w:val="single" w:sz="4" w:space="0" w:color="auto"/>
            </w:tcBorders>
            <w:shd w:val="clear" w:color="auto" w:fill="auto"/>
            <w:noWrap/>
            <w:vAlign w:val="bottom"/>
            <w:hideMark/>
          </w:tcPr>
          <w:p w14:paraId="05CFB9B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9.80</w:t>
            </w:r>
          </w:p>
        </w:tc>
        <w:tc>
          <w:tcPr>
            <w:tcW w:w="990" w:type="dxa"/>
            <w:tcBorders>
              <w:top w:val="nil"/>
              <w:left w:val="nil"/>
              <w:bottom w:val="single" w:sz="4" w:space="0" w:color="auto"/>
              <w:right w:val="single" w:sz="4" w:space="0" w:color="auto"/>
            </w:tcBorders>
            <w:shd w:val="clear" w:color="auto" w:fill="auto"/>
            <w:noWrap/>
            <w:vAlign w:val="bottom"/>
            <w:hideMark/>
          </w:tcPr>
          <w:p w14:paraId="0D143BE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-8.02</w:t>
            </w:r>
          </w:p>
        </w:tc>
        <w:tc>
          <w:tcPr>
            <w:tcW w:w="990" w:type="dxa"/>
            <w:tcBorders>
              <w:top w:val="nil"/>
              <w:left w:val="nil"/>
              <w:bottom w:val="single" w:sz="4" w:space="0" w:color="auto"/>
              <w:right w:val="single" w:sz="4" w:space="0" w:color="auto"/>
            </w:tcBorders>
            <w:shd w:val="clear" w:color="auto" w:fill="auto"/>
            <w:noWrap/>
            <w:vAlign w:val="bottom"/>
            <w:hideMark/>
          </w:tcPr>
          <w:p w14:paraId="5C4BF7D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90.55</w:t>
            </w:r>
          </w:p>
        </w:tc>
        <w:tc>
          <w:tcPr>
            <w:tcW w:w="1080" w:type="dxa"/>
            <w:tcBorders>
              <w:top w:val="nil"/>
              <w:left w:val="nil"/>
              <w:bottom w:val="single" w:sz="4" w:space="0" w:color="auto"/>
              <w:right w:val="single" w:sz="4" w:space="0" w:color="auto"/>
            </w:tcBorders>
            <w:shd w:val="clear" w:color="auto" w:fill="auto"/>
            <w:noWrap/>
            <w:vAlign w:val="bottom"/>
            <w:hideMark/>
          </w:tcPr>
          <w:p w14:paraId="6970FAC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-8.95</w:t>
            </w:r>
          </w:p>
        </w:tc>
        <w:tc>
          <w:tcPr>
            <w:tcW w:w="1156" w:type="dxa"/>
            <w:tcBorders>
              <w:top w:val="nil"/>
              <w:left w:val="nil"/>
              <w:bottom w:val="single" w:sz="4" w:space="0" w:color="auto"/>
              <w:right w:val="single" w:sz="4" w:space="0" w:color="auto"/>
            </w:tcBorders>
            <w:shd w:val="clear" w:color="auto" w:fill="auto"/>
            <w:noWrap/>
            <w:vAlign w:val="bottom"/>
            <w:hideMark/>
          </w:tcPr>
          <w:p w14:paraId="2E50A8A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89.46</w:t>
            </w:r>
          </w:p>
        </w:tc>
      </w:tr>
      <w:tr w:rsidR="00E52AC1" w:rsidRPr="00991DD7" w14:paraId="1E4201D9"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65AD3D11"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Apa si canalizare</w:t>
            </w:r>
          </w:p>
        </w:tc>
        <w:tc>
          <w:tcPr>
            <w:tcW w:w="964" w:type="dxa"/>
            <w:tcBorders>
              <w:top w:val="nil"/>
              <w:left w:val="nil"/>
              <w:bottom w:val="single" w:sz="4" w:space="0" w:color="auto"/>
              <w:right w:val="single" w:sz="4" w:space="0" w:color="auto"/>
            </w:tcBorders>
            <w:shd w:val="clear" w:color="auto" w:fill="auto"/>
            <w:noWrap/>
            <w:vAlign w:val="bottom"/>
            <w:hideMark/>
          </w:tcPr>
          <w:p w14:paraId="420CB095"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222140</w:t>
            </w:r>
          </w:p>
        </w:tc>
        <w:tc>
          <w:tcPr>
            <w:tcW w:w="1004" w:type="dxa"/>
            <w:tcBorders>
              <w:top w:val="nil"/>
              <w:left w:val="nil"/>
              <w:bottom w:val="single" w:sz="4" w:space="0" w:color="auto"/>
              <w:right w:val="single" w:sz="4" w:space="0" w:color="auto"/>
            </w:tcBorders>
            <w:shd w:val="clear" w:color="auto" w:fill="auto"/>
            <w:noWrap/>
            <w:vAlign w:val="bottom"/>
            <w:hideMark/>
          </w:tcPr>
          <w:p w14:paraId="7BDF242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12.77</w:t>
            </w:r>
          </w:p>
        </w:tc>
        <w:tc>
          <w:tcPr>
            <w:tcW w:w="900" w:type="dxa"/>
            <w:tcBorders>
              <w:top w:val="nil"/>
              <w:left w:val="nil"/>
              <w:bottom w:val="single" w:sz="4" w:space="0" w:color="auto"/>
              <w:right w:val="single" w:sz="4" w:space="0" w:color="auto"/>
            </w:tcBorders>
            <w:shd w:val="clear" w:color="auto" w:fill="auto"/>
            <w:noWrap/>
            <w:vAlign w:val="bottom"/>
            <w:hideMark/>
          </w:tcPr>
          <w:p w14:paraId="3A7C1A0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11.69</w:t>
            </w:r>
          </w:p>
        </w:tc>
        <w:tc>
          <w:tcPr>
            <w:tcW w:w="900" w:type="dxa"/>
            <w:tcBorders>
              <w:top w:val="nil"/>
              <w:left w:val="nil"/>
              <w:bottom w:val="single" w:sz="4" w:space="0" w:color="auto"/>
              <w:right w:val="single" w:sz="4" w:space="0" w:color="auto"/>
            </w:tcBorders>
            <w:shd w:val="clear" w:color="auto" w:fill="auto"/>
            <w:noWrap/>
            <w:vAlign w:val="bottom"/>
            <w:hideMark/>
          </w:tcPr>
          <w:p w14:paraId="45FF819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11.61</w:t>
            </w:r>
          </w:p>
        </w:tc>
        <w:tc>
          <w:tcPr>
            <w:tcW w:w="900" w:type="dxa"/>
            <w:tcBorders>
              <w:top w:val="nil"/>
              <w:left w:val="nil"/>
              <w:bottom w:val="single" w:sz="4" w:space="0" w:color="auto"/>
              <w:right w:val="single" w:sz="4" w:space="0" w:color="auto"/>
            </w:tcBorders>
            <w:shd w:val="clear" w:color="auto" w:fill="auto"/>
            <w:noWrap/>
            <w:vAlign w:val="bottom"/>
            <w:hideMark/>
          </w:tcPr>
          <w:p w14:paraId="761B722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11.58</w:t>
            </w:r>
          </w:p>
        </w:tc>
        <w:tc>
          <w:tcPr>
            <w:tcW w:w="948" w:type="dxa"/>
            <w:tcBorders>
              <w:top w:val="nil"/>
              <w:left w:val="nil"/>
              <w:bottom w:val="single" w:sz="4" w:space="0" w:color="auto"/>
              <w:right w:val="single" w:sz="4" w:space="0" w:color="auto"/>
            </w:tcBorders>
            <w:shd w:val="clear" w:color="auto" w:fill="auto"/>
            <w:noWrap/>
            <w:vAlign w:val="bottom"/>
            <w:hideMark/>
          </w:tcPr>
          <w:p w14:paraId="15F6CBB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0.27</w:t>
            </w:r>
          </w:p>
        </w:tc>
        <w:tc>
          <w:tcPr>
            <w:tcW w:w="1080" w:type="dxa"/>
            <w:tcBorders>
              <w:top w:val="nil"/>
              <w:left w:val="nil"/>
              <w:bottom w:val="single" w:sz="4" w:space="0" w:color="auto"/>
              <w:right w:val="single" w:sz="4" w:space="0" w:color="auto"/>
            </w:tcBorders>
            <w:shd w:val="clear" w:color="auto" w:fill="auto"/>
            <w:noWrap/>
            <w:vAlign w:val="bottom"/>
            <w:hideMark/>
          </w:tcPr>
          <w:p w14:paraId="37F0D51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-1.08</w:t>
            </w:r>
          </w:p>
        </w:tc>
        <w:tc>
          <w:tcPr>
            <w:tcW w:w="990" w:type="dxa"/>
            <w:tcBorders>
              <w:top w:val="nil"/>
              <w:left w:val="nil"/>
              <w:bottom w:val="single" w:sz="4" w:space="0" w:color="auto"/>
              <w:right w:val="single" w:sz="4" w:space="0" w:color="auto"/>
            </w:tcBorders>
            <w:shd w:val="clear" w:color="auto" w:fill="auto"/>
            <w:noWrap/>
            <w:vAlign w:val="bottom"/>
            <w:hideMark/>
          </w:tcPr>
          <w:p w14:paraId="2D2C798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-0.08</w:t>
            </w:r>
          </w:p>
        </w:tc>
        <w:tc>
          <w:tcPr>
            <w:tcW w:w="990" w:type="dxa"/>
            <w:tcBorders>
              <w:top w:val="nil"/>
              <w:left w:val="nil"/>
              <w:bottom w:val="single" w:sz="4" w:space="0" w:color="auto"/>
              <w:right w:val="single" w:sz="4" w:space="0" w:color="auto"/>
            </w:tcBorders>
            <w:shd w:val="clear" w:color="auto" w:fill="auto"/>
            <w:noWrap/>
            <w:vAlign w:val="bottom"/>
            <w:hideMark/>
          </w:tcPr>
          <w:p w14:paraId="1E3EE82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99.30</w:t>
            </w:r>
          </w:p>
        </w:tc>
        <w:tc>
          <w:tcPr>
            <w:tcW w:w="1080" w:type="dxa"/>
            <w:tcBorders>
              <w:top w:val="nil"/>
              <w:left w:val="nil"/>
              <w:bottom w:val="single" w:sz="4" w:space="0" w:color="auto"/>
              <w:right w:val="single" w:sz="4" w:space="0" w:color="auto"/>
            </w:tcBorders>
            <w:shd w:val="clear" w:color="auto" w:fill="auto"/>
            <w:noWrap/>
            <w:vAlign w:val="bottom"/>
            <w:hideMark/>
          </w:tcPr>
          <w:p w14:paraId="6E5D6EF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-0.11</w:t>
            </w:r>
          </w:p>
        </w:tc>
        <w:tc>
          <w:tcPr>
            <w:tcW w:w="1156" w:type="dxa"/>
            <w:tcBorders>
              <w:top w:val="nil"/>
              <w:left w:val="nil"/>
              <w:bottom w:val="single" w:sz="4" w:space="0" w:color="auto"/>
              <w:right w:val="single" w:sz="4" w:space="0" w:color="auto"/>
            </w:tcBorders>
            <w:shd w:val="clear" w:color="auto" w:fill="auto"/>
            <w:noWrap/>
            <w:vAlign w:val="bottom"/>
            <w:hideMark/>
          </w:tcPr>
          <w:p w14:paraId="1177068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99.03</w:t>
            </w:r>
          </w:p>
        </w:tc>
      </w:tr>
      <w:tr w:rsidR="00E52AC1" w:rsidRPr="00991DD7" w14:paraId="29409F41"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654D9A07"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Alte servicii comunale</w:t>
            </w:r>
          </w:p>
        </w:tc>
        <w:tc>
          <w:tcPr>
            <w:tcW w:w="964" w:type="dxa"/>
            <w:tcBorders>
              <w:top w:val="nil"/>
              <w:left w:val="nil"/>
              <w:bottom w:val="single" w:sz="4" w:space="0" w:color="auto"/>
              <w:right w:val="single" w:sz="4" w:space="0" w:color="auto"/>
            </w:tcBorders>
            <w:shd w:val="clear" w:color="auto" w:fill="auto"/>
            <w:noWrap/>
            <w:vAlign w:val="bottom"/>
            <w:hideMark/>
          </w:tcPr>
          <w:p w14:paraId="6D1AE139"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222190</w:t>
            </w:r>
          </w:p>
        </w:tc>
        <w:tc>
          <w:tcPr>
            <w:tcW w:w="1004" w:type="dxa"/>
            <w:tcBorders>
              <w:top w:val="nil"/>
              <w:left w:val="nil"/>
              <w:bottom w:val="single" w:sz="4" w:space="0" w:color="auto"/>
              <w:right w:val="single" w:sz="4" w:space="0" w:color="auto"/>
            </w:tcBorders>
            <w:shd w:val="clear" w:color="auto" w:fill="auto"/>
            <w:noWrap/>
            <w:vAlign w:val="bottom"/>
            <w:hideMark/>
          </w:tcPr>
          <w:p w14:paraId="3B3F2A0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6.01</w:t>
            </w:r>
          </w:p>
        </w:tc>
        <w:tc>
          <w:tcPr>
            <w:tcW w:w="900" w:type="dxa"/>
            <w:tcBorders>
              <w:top w:val="nil"/>
              <w:left w:val="nil"/>
              <w:bottom w:val="single" w:sz="4" w:space="0" w:color="auto"/>
              <w:right w:val="single" w:sz="4" w:space="0" w:color="auto"/>
            </w:tcBorders>
            <w:shd w:val="clear" w:color="auto" w:fill="auto"/>
            <w:noWrap/>
            <w:vAlign w:val="bottom"/>
            <w:hideMark/>
          </w:tcPr>
          <w:p w14:paraId="013B9AE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4.52</w:t>
            </w:r>
          </w:p>
        </w:tc>
        <w:tc>
          <w:tcPr>
            <w:tcW w:w="900" w:type="dxa"/>
            <w:tcBorders>
              <w:top w:val="nil"/>
              <w:left w:val="nil"/>
              <w:bottom w:val="single" w:sz="4" w:space="0" w:color="auto"/>
              <w:right w:val="single" w:sz="4" w:space="0" w:color="auto"/>
            </w:tcBorders>
            <w:shd w:val="clear" w:color="auto" w:fill="auto"/>
            <w:noWrap/>
            <w:vAlign w:val="bottom"/>
            <w:hideMark/>
          </w:tcPr>
          <w:p w14:paraId="66B2FD7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4.38</w:t>
            </w:r>
          </w:p>
        </w:tc>
        <w:tc>
          <w:tcPr>
            <w:tcW w:w="900" w:type="dxa"/>
            <w:tcBorders>
              <w:top w:val="nil"/>
              <w:left w:val="nil"/>
              <w:bottom w:val="single" w:sz="4" w:space="0" w:color="auto"/>
              <w:right w:val="single" w:sz="4" w:space="0" w:color="auto"/>
            </w:tcBorders>
            <w:shd w:val="clear" w:color="auto" w:fill="auto"/>
            <w:noWrap/>
            <w:vAlign w:val="bottom"/>
            <w:hideMark/>
          </w:tcPr>
          <w:p w14:paraId="7BB1AA3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4.45</w:t>
            </w:r>
          </w:p>
        </w:tc>
        <w:tc>
          <w:tcPr>
            <w:tcW w:w="948" w:type="dxa"/>
            <w:tcBorders>
              <w:top w:val="nil"/>
              <w:left w:val="nil"/>
              <w:bottom w:val="single" w:sz="4" w:space="0" w:color="auto"/>
              <w:right w:val="single" w:sz="4" w:space="0" w:color="auto"/>
            </w:tcBorders>
            <w:shd w:val="clear" w:color="auto" w:fill="auto"/>
            <w:noWrap/>
            <w:vAlign w:val="bottom"/>
            <w:hideMark/>
          </w:tcPr>
          <w:p w14:paraId="69DD222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0.40</w:t>
            </w:r>
          </w:p>
        </w:tc>
        <w:tc>
          <w:tcPr>
            <w:tcW w:w="1080" w:type="dxa"/>
            <w:tcBorders>
              <w:top w:val="nil"/>
              <w:left w:val="nil"/>
              <w:bottom w:val="single" w:sz="4" w:space="0" w:color="auto"/>
              <w:right w:val="single" w:sz="4" w:space="0" w:color="auto"/>
            </w:tcBorders>
            <w:shd w:val="clear" w:color="auto" w:fill="auto"/>
            <w:noWrap/>
            <w:vAlign w:val="bottom"/>
            <w:hideMark/>
          </w:tcPr>
          <w:p w14:paraId="6374285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-1.49</w:t>
            </w:r>
          </w:p>
        </w:tc>
        <w:tc>
          <w:tcPr>
            <w:tcW w:w="990" w:type="dxa"/>
            <w:tcBorders>
              <w:top w:val="nil"/>
              <w:left w:val="nil"/>
              <w:bottom w:val="single" w:sz="4" w:space="0" w:color="auto"/>
              <w:right w:val="single" w:sz="4" w:space="0" w:color="auto"/>
            </w:tcBorders>
            <w:shd w:val="clear" w:color="auto" w:fill="auto"/>
            <w:noWrap/>
            <w:vAlign w:val="bottom"/>
            <w:hideMark/>
          </w:tcPr>
          <w:p w14:paraId="7A3C098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-0.14</w:t>
            </w:r>
          </w:p>
        </w:tc>
        <w:tc>
          <w:tcPr>
            <w:tcW w:w="990" w:type="dxa"/>
            <w:tcBorders>
              <w:top w:val="nil"/>
              <w:left w:val="nil"/>
              <w:bottom w:val="single" w:sz="4" w:space="0" w:color="auto"/>
              <w:right w:val="single" w:sz="4" w:space="0" w:color="auto"/>
            </w:tcBorders>
            <w:shd w:val="clear" w:color="auto" w:fill="auto"/>
            <w:noWrap/>
            <w:vAlign w:val="bottom"/>
            <w:hideMark/>
          </w:tcPr>
          <w:p w14:paraId="6C45CF1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96.80</w:t>
            </w:r>
          </w:p>
        </w:tc>
        <w:tc>
          <w:tcPr>
            <w:tcW w:w="1080" w:type="dxa"/>
            <w:tcBorders>
              <w:top w:val="nil"/>
              <w:left w:val="nil"/>
              <w:bottom w:val="single" w:sz="4" w:space="0" w:color="auto"/>
              <w:right w:val="single" w:sz="4" w:space="0" w:color="auto"/>
            </w:tcBorders>
            <w:shd w:val="clear" w:color="auto" w:fill="auto"/>
            <w:noWrap/>
            <w:vAlign w:val="bottom"/>
            <w:hideMark/>
          </w:tcPr>
          <w:p w14:paraId="4D27745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0.07</w:t>
            </w:r>
          </w:p>
        </w:tc>
        <w:tc>
          <w:tcPr>
            <w:tcW w:w="1156" w:type="dxa"/>
            <w:tcBorders>
              <w:top w:val="nil"/>
              <w:left w:val="nil"/>
              <w:bottom w:val="single" w:sz="4" w:space="0" w:color="auto"/>
              <w:right w:val="single" w:sz="4" w:space="0" w:color="auto"/>
            </w:tcBorders>
            <w:shd w:val="clear" w:color="auto" w:fill="auto"/>
            <w:noWrap/>
            <w:vAlign w:val="bottom"/>
            <w:hideMark/>
          </w:tcPr>
          <w:p w14:paraId="7DA7CBC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98.53</w:t>
            </w:r>
          </w:p>
        </w:tc>
      </w:tr>
      <w:tr w:rsidR="00E52AC1" w:rsidRPr="00991DD7" w14:paraId="3E6BFDDA"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2F2A4912"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Servicii informaționale</w:t>
            </w:r>
          </w:p>
        </w:tc>
        <w:tc>
          <w:tcPr>
            <w:tcW w:w="964" w:type="dxa"/>
            <w:tcBorders>
              <w:top w:val="nil"/>
              <w:left w:val="nil"/>
              <w:bottom w:val="single" w:sz="4" w:space="0" w:color="auto"/>
              <w:right w:val="single" w:sz="4" w:space="0" w:color="auto"/>
            </w:tcBorders>
            <w:shd w:val="clear" w:color="auto" w:fill="auto"/>
            <w:noWrap/>
            <w:vAlign w:val="bottom"/>
            <w:hideMark/>
          </w:tcPr>
          <w:p w14:paraId="044203D2"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222210</w:t>
            </w:r>
          </w:p>
        </w:tc>
        <w:tc>
          <w:tcPr>
            <w:tcW w:w="1004" w:type="dxa"/>
            <w:tcBorders>
              <w:top w:val="nil"/>
              <w:left w:val="nil"/>
              <w:bottom w:val="single" w:sz="4" w:space="0" w:color="auto"/>
              <w:right w:val="single" w:sz="4" w:space="0" w:color="auto"/>
            </w:tcBorders>
            <w:shd w:val="clear" w:color="auto" w:fill="auto"/>
            <w:noWrap/>
            <w:vAlign w:val="bottom"/>
            <w:hideMark/>
          </w:tcPr>
          <w:p w14:paraId="73993F5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39.94</w:t>
            </w:r>
          </w:p>
        </w:tc>
        <w:tc>
          <w:tcPr>
            <w:tcW w:w="900" w:type="dxa"/>
            <w:tcBorders>
              <w:top w:val="nil"/>
              <w:left w:val="nil"/>
              <w:bottom w:val="single" w:sz="4" w:space="0" w:color="auto"/>
              <w:right w:val="single" w:sz="4" w:space="0" w:color="auto"/>
            </w:tcBorders>
            <w:shd w:val="clear" w:color="auto" w:fill="auto"/>
            <w:noWrap/>
            <w:vAlign w:val="bottom"/>
            <w:hideMark/>
          </w:tcPr>
          <w:p w14:paraId="591EF0D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15.02</w:t>
            </w:r>
          </w:p>
        </w:tc>
        <w:tc>
          <w:tcPr>
            <w:tcW w:w="900" w:type="dxa"/>
            <w:tcBorders>
              <w:top w:val="nil"/>
              <w:left w:val="nil"/>
              <w:bottom w:val="single" w:sz="4" w:space="0" w:color="auto"/>
              <w:right w:val="single" w:sz="4" w:space="0" w:color="auto"/>
            </w:tcBorders>
            <w:shd w:val="clear" w:color="auto" w:fill="auto"/>
            <w:noWrap/>
            <w:vAlign w:val="bottom"/>
            <w:hideMark/>
          </w:tcPr>
          <w:p w14:paraId="1309A5C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11.93</w:t>
            </w:r>
          </w:p>
        </w:tc>
        <w:tc>
          <w:tcPr>
            <w:tcW w:w="900" w:type="dxa"/>
            <w:tcBorders>
              <w:top w:val="nil"/>
              <w:left w:val="nil"/>
              <w:bottom w:val="single" w:sz="4" w:space="0" w:color="auto"/>
              <w:right w:val="single" w:sz="4" w:space="0" w:color="auto"/>
            </w:tcBorders>
            <w:shd w:val="clear" w:color="auto" w:fill="auto"/>
            <w:noWrap/>
            <w:vAlign w:val="bottom"/>
            <w:hideMark/>
          </w:tcPr>
          <w:p w14:paraId="742A401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11.92</w:t>
            </w:r>
          </w:p>
        </w:tc>
        <w:tc>
          <w:tcPr>
            <w:tcW w:w="948" w:type="dxa"/>
            <w:tcBorders>
              <w:top w:val="nil"/>
              <w:left w:val="nil"/>
              <w:bottom w:val="single" w:sz="4" w:space="0" w:color="auto"/>
              <w:right w:val="single" w:sz="4" w:space="0" w:color="auto"/>
            </w:tcBorders>
            <w:shd w:val="clear" w:color="auto" w:fill="auto"/>
            <w:noWrap/>
            <w:vAlign w:val="bottom"/>
            <w:hideMark/>
          </w:tcPr>
          <w:p w14:paraId="13E9F9B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0.10</w:t>
            </w:r>
          </w:p>
        </w:tc>
        <w:tc>
          <w:tcPr>
            <w:tcW w:w="1080" w:type="dxa"/>
            <w:tcBorders>
              <w:top w:val="nil"/>
              <w:left w:val="nil"/>
              <w:bottom w:val="single" w:sz="4" w:space="0" w:color="auto"/>
              <w:right w:val="single" w:sz="4" w:space="0" w:color="auto"/>
            </w:tcBorders>
            <w:shd w:val="clear" w:color="auto" w:fill="auto"/>
            <w:noWrap/>
            <w:vAlign w:val="bottom"/>
            <w:hideMark/>
          </w:tcPr>
          <w:p w14:paraId="121EAED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-24.92</w:t>
            </w:r>
          </w:p>
        </w:tc>
        <w:tc>
          <w:tcPr>
            <w:tcW w:w="990" w:type="dxa"/>
            <w:tcBorders>
              <w:top w:val="nil"/>
              <w:left w:val="nil"/>
              <w:bottom w:val="single" w:sz="4" w:space="0" w:color="auto"/>
              <w:right w:val="single" w:sz="4" w:space="0" w:color="auto"/>
            </w:tcBorders>
            <w:shd w:val="clear" w:color="auto" w:fill="auto"/>
            <w:noWrap/>
            <w:vAlign w:val="bottom"/>
            <w:hideMark/>
          </w:tcPr>
          <w:p w14:paraId="3E26262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-3.09</w:t>
            </w:r>
          </w:p>
        </w:tc>
        <w:tc>
          <w:tcPr>
            <w:tcW w:w="990" w:type="dxa"/>
            <w:tcBorders>
              <w:top w:val="nil"/>
              <w:left w:val="nil"/>
              <w:bottom w:val="single" w:sz="4" w:space="0" w:color="auto"/>
              <w:right w:val="single" w:sz="4" w:space="0" w:color="auto"/>
            </w:tcBorders>
            <w:shd w:val="clear" w:color="auto" w:fill="auto"/>
            <w:noWrap/>
            <w:vAlign w:val="bottom"/>
            <w:hideMark/>
          </w:tcPr>
          <w:p w14:paraId="58927AE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79.43</w:t>
            </w:r>
          </w:p>
        </w:tc>
        <w:tc>
          <w:tcPr>
            <w:tcW w:w="1080" w:type="dxa"/>
            <w:tcBorders>
              <w:top w:val="nil"/>
              <w:left w:val="nil"/>
              <w:bottom w:val="single" w:sz="4" w:space="0" w:color="auto"/>
              <w:right w:val="single" w:sz="4" w:space="0" w:color="auto"/>
            </w:tcBorders>
            <w:shd w:val="clear" w:color="auto" w:fill="auto"/>
            <w:noWrap/>
            <w:vAlign w:val="bottom"/>
            <w:hideMark/>
          </w:tcPr>
          <w:p w14:paraId="0682273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-3.10</w:t>
            </w:r>
          </w:p>
        </w:tc>
        <w:tc>
          <w:tcPr>
            <w:tcW w:w="1156" w:type="dxa"/>
            <w:tcBorders>
              <w:top w:val="nil"/>
              <w:left w:val="nil"/>
              <w:bottom w:val="single" w:sz="4" w:space="0" w:color="auto"/>
              <w:right w:val="single" w:sz="4" w:space="0" w:color="auto"/>
            </w:tcBorders>
            <w:shd w:val="clear" w:color="auto" w:fill="auto"/>
            <w:noWrap/>
            <w:vAlign w:val="bottom"/>
            <w:hideMark/>
          </w:tcPr>
          <w:p w14:paraId="4A2667E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79.38</w:t>
            </w:r>
          </w:p>
        </w:tc>
      </w:tr>
      <w:tr w:rsidR="00E52AC1" w:rsidRPr="00991DD7" w14:paraId="0FAEFFB0"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4FF6693D"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Servicii de telecomunicații</w:t>
            </w:r>
          </w:p>
        </w:tc>
        <w:tc>
          <w:tcPr>
            <w:tcW w:w="964" w:type="dxa"/>
            <w:tcBorders>
              <w:top w:val="nil"/>
              <w:left w:val="nil"/>
              <w:bottom w:val="single" w:sz="4" w:space="0" w:color="auto"/>
              <w:right w:val="single" w:sz="4" w:space="0" w:color="auto"/>
            </w:tcBorders>
            <w:shd w:val="clear" w:color="auto" w:fill="auto"/>
            <w:noWrap/>
            <w:vAlign w:val="bottom"/>
            <w:hideMark/>
          </w:tcPr>
          <w:p w14:paraId="3B302938"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222220</w:t>
            </w:r>
          </w:p>
        </w:tc>
        <w:tc>
          <w:tcPr>
            <w:tcW w:w="1004" w:type="dxa"/>
            <w:tcBorders>
              <w:top w:val="nil"/>
              <w:left w:val="nil"/>
              <w:bottom w:val="single" w:sz="4" w:space="0" w:color="auto"/>
              <w:right w:val="single" w:sz="4" w:space="0" w:color="auto"/>
            </w:tcBorders>
            <w:shd w:val="clear" w:color="auto" w:fill="auto"/>
            <w:noWrap/>
            <w:vAlign w:val="bottom"/>
            <w:hideMark/>
          </w:tcPr>
          <w:p w14:paraId="41AA1DF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29.20</w:t>
            </w:r>
          </w:p>
        </w:tc>
        <w:tc>
          <w:tcPr>
            <w:tcW w:w="900" w:type="dxa"/>
            <w:tcBorders>
              <w:top w:val="nil"/>
              <w:left w:val="nil"/>
              <w:bottom w:val="single" w:sz="4" w:space="0" w:color="auto"/>
              <w:right w:val="single" w:sz="4" w:space="0" w:color="auto"/>
            </w:tcBorders>
            <w:shd w:val="clear" w:color="auto" w:fill="auto"/>
            <w:noWrap/>
            <w:vAlign w:val="bottom"/>
            <w:hideMark/>
          </w:tcPr>
          <w:p w14:paraId="364B5CC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29.96</w:t>
            </w:r>
          </w:p>
        </w:tc>
        <w:tc>
          <w:tcPr>
            <w:tcW w:w="900" w:type="dxa"/>
            <w:tcBorders>
              <w:top w:val="nil"/>
              <w:left w:val="nil"/>
              <w:bottom w:val="single" w:sz="4" w:space="0" w:color="auto"/>
              <w:right w:val="single" w:sz="4" w:space="0" w:color="auto"/>
            </w:tcBorders>
            <w:shd w:val="clear" w:color="auto" w:fill="auto"/>
            <w:noWrap/>
            <w:vAlign w:val="bottom"/>
            <w:hideMark/>
          </w:tcPr>
          <w:p w14:paraId="0433EB6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28.85</w:t>
            </w:r>
          </w:p>
        </w:tc>
        <w:tc>
          <w:tcPr>
            <w:tcW w:w="900" w:type="dxa"/>
            <w:tcBorders>
              <w:top w:val="nil"/>
              <w:left w:val="nil"/>
              <w:bottom w:val="single" w:sz="4" w:space="0" w:color="auto"/>
              <w:right w:val="single" w:sz="4" w:space="0" w:color="auto"/>
            </w:tcBorders>
            <w:shd w:val="clear" w:color="auto" w:fill="auto"/>
            <w:noWrap/>
            <w:vAlign w:val="bottom"/>
            <w:hideMark/>
          </w:tcPr>
          <w:p w14:paraId="56DBB55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28.80</w:t>
            </w:r>
          </w:p>
        </w:tc>
        <w:tc>
          <w:tcPr>
            <w:tcW w:w="948" w:type="dxa"/>
            <w:tcBorders>
              <w:top w:val="nil"/>
              <w:left w:val="nil"/>
              <w:bottom w:val="single" w:sz="4" w:space="0" w:color="auto"/>
              <w:right w:val="single" w:sz="4" w:space="0" w:color="auto"/>
            </w:tcBorders>
            <w:shd w:val="clear" w:color="auto" w:fill="auto"/>
            <w:noWrap/>
            <w:vAlign w:val="bottom"/>
            <w:hideMark/>
          </w:tcPr>
          <w:p w14:paraId="45C80D3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0.15</w:t>
            </w:r>
          </w:p>
        </w:tc>
        <w:tc>
          <w:tcPr>
            <w:tcW w:w="1080" w:type="dxa"/>
            <w:tcBorders>
              <w:top w:val="nil"/>
              <w:left w:val="nil"/>
              <w:bottom w:val="single" w:sz="4" w:space="0" w:color="auto"/>
              <w:right w:val="single" w:sz="4" w:space="0" w:color="auto"/>
            </w:tcBorders>
            <w:shd w:val="clear" w:color="auto" w:fill="auto"/>
            <w:noWrap/>
            <w:vAlign w:val="bottom"/>
            <w:hideMark/>
          </w:tcPr>
          <w:p w14:paraId="26B0C01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0.76</w:t>
            </w:r>
          </w:p>
        </w:tc>
        <w:tc>
          <w:tcPr>
            <w:tcW w:w="990" w:type="dxa"/>
            <w:tcBorders>
              <w:top w:val="nil"/>
              <w:left w:val="nil"/>
              <w:bottom w:val="single" w:sz="4" w:space="0" w:color="auto"/>
              <w:right w:val="single" w:sz="4" w:space="0" w:color="auto"/>
            </w:tcBorders>
            <w:shd w:val="clear" w:color="auto" w:fill="auto"/>
            <w:noWrap/>
            <w:vAlign w:val="bottom"/>
            <w:hideMark/>
          </w:tcPr>
          <w:p w14:paraId="65C51D0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-1.11</w:t>
            </w:r>
          </w:p>
        </w:tc>
        <w:tc>
          <w:tcPr>
            <w:tcW w:w="990" w:type="dxa"/>
            <w:tcBorders>
              <w:top w:val="nil"/>
              <w:left w:val="nil"/>
              <w:bottom w:val="single" w:sz="4" w:space="0" w:color="auto"/>
              <w:right w:val="single" w:sz="4" w:space="0" w:color="auto"/>
            </w:tcBorders>
            <w:shd w:val="clear" w:color="auto" w:fill="auto"/>
            <w:noWrap/>
            <w:vAlign w:val="bottom"/>
            <w:hideMark/>
          </w:tcPr>
          <w:p w14:paraId="55F748A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96.28</w:t>
            </w:r>
          </w:p>
        </w:tc>
        <w:tc>
          <w:tcPr>
            <w:tcW w:w="1080" w:type="dxa"/>
            <w:tcBorders>
              <w:top w:val="nil"/>
              <w:left w:val="nil"/>
              <w:bottom w:val="single" w:sz="4" w:space="0" w:color="auto"/>
              <w:right w:val="single" w:sz="4" w:space="0" w:color="auto"/>
            </w:tcBorders>
            <w:shd w:val="clear" w:color="auto" w:fill="auto"/>
            <w:noWrap/>
            <w:vAlign w:val="bottom"/>
            <w:hideMark/>
          </w:tcPr>
          <w:p w14:paraId="0AAAB72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-1.16</w:t>
            </w:r>
          </w:p>
        </w:tc>
        <w:tc>
          <w:tcPr>
            <w:tcW w:w="1156" w:type="dxa"/>
            <w:tcBorders>
              <w:top w:val="nil"/>
              <w:left w:val="nil"/>
              <w:bottom w:val="single" w:sz="4" w:space="0" w:color="auto"/>
              <w:right w:val="single" w:sz="4" w:space="0" w:color="auto"/>
            </w:tcBorders>
            <w:shd w:val="clear" w:color="auto" w:fill="auto"/>
            <w:noWrap/>
            <w:vAlign w:val="bottom"/>
            <w:hideMark/>
          </w:tcPr>
          <w:p w14:paraId="5240815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96.11</w:t>
            </w:r>
          </w:p>
        </w:tc>
      </w:tr>
      <w:tr w:rsidR="00E52AC1" w:rsidRPr="00991DD7" w14:paraId="60604DB3"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4793B9EF"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Servicii de locațiune</w:t>
            </w:r>
          </w:p>
        </w:tc>
        <w:tc>
          <w:tcPr>
            <w:tcW w:w="964" w:type="dxa"/>
            <w:tcBorders>
              <w:top w:val="nil"/>
              <w:left w:val="nil"/>
              <w:bottom w:val="single" w:sz="4" w:space="0" w:color="auto"/>
              <w:right w:val="single" w:sz="4" w:space="0" w:color="auto"/>
            </w:tcBorders>
            <w:shd w:val="clear" w:color="auto" w:fill="auto"/>
            <w:noWrap/>
            <w:vAlign w:val="bottom"/>
            <w:hideMark/>
          </w:tcPr>
          <w:p w14:paraId="0950EC1B"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222300</w:t>
            </w:r>
          </w:p>
        </w:tc>
        <w:tc>
          <w:tcPr>
            <w:tcW w:w="1004" w:type="dxa"/>
            <w:tcBorders>
              <w:top w:val="nil"/>
              <w:left w:val="nil"/>
              <w:bottom w:val="single" w:sz="4" w:space="0" w:color="auto"/>
              <w:right w:val="single" w:sz="4" w:space="0" w:color="auto"/>
            </w:tcBorders>
            <w:shd w:val="clear" w:color="auto" w:fill="auto"/>
            <w:noWrap/>
            <w:vAlign w:val="bottom"/>
            <w:hideMark/>
          </w:tcPr>
          <w:p w14:paraId="007E78F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7.25</w:t>
            </w:r>
          </w:p>
        </w:tc>
        <w:tc>
          <w:tcPr>
            <w:tcW w:w="900" w:type="dxa"/>
            <w:tcBorders>
              <w:top w:val="nil"/>
              <w:left w:val="nil"/>
              <w:bottom w:val="single" w:sz="4" w:space="0" w:color="auto"/>
              <w:right w:val="single" w:sz="4" w:space="0" w:color="auto"/>
            </w:tcBorders>
            <w:shd w:val="clear" w:color="auto" w:fill="auto"/>
            <w:noWrap/>
            <w:vAlign w:val="bottom"/>
            <w:hideMark/>
          </w:tcPr>
          <w:p w14:paraId="0EF3553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8.03</w:t>
            </w:r>
          </w:p>
        </w:tc>
        <w:tc>
          <w:tcPr>
            <w:tcW w:w="900" w:type="dxa"/>
            <w:tcBorders>
              <w:top w:val="nil"/>
              <w:left w:val="nil"/>
              <w:bottom w:val="single" w:sz="4" w:space="0" w:color="auto"/>
              <w:right w:val="single" w:sz="4" w:space="0" w:color="auto"/>
            </w:tcBorders>
            <w:shd w:val="clear" w:color="auto" w:fill="auto"/>
            <w:noWrap/>
            <w:vAlign w:val="bottom"/>
            <w:hideMark/>
          </w:tcPr>
          <w:p w14:paraId="28186B9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6.49</w:t>
            </w:r>
          </w:p>
        </w:tc>
        <w:tc>
          <w:tcPr>
            <w:tcW w:w="900" w:type="dxa"/>
            <w:tcBorders>
              <w:top w:val="nil"/>
              <w:left w:val="nil"/>
              <w:bottom w:val="single" w:sz="4" w:space="0" w:color="auto"/>
              <w:right w:val="single" w:sz="4" w:space="0" w:color="auto"/>
            </w:tcBorders>
            <w:shd w:val="clear" w:color="auto" w:fill="auto"/>
            <w:noWrap/>
            <w:vAlign w:val="bottom"/>
            <w:hideMark/>
          </w:tcPr>
          <w:p w14:paraId="4BE4013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6.64</w:t>
            </w:r>
          </w:p>
        </w:tc>
        <w:tc>
          <w:tcPr>
            <w:tcW w:w="948" w:type="dxa"/>
            <w:tcBorders>
              <w:top w:val="nil"/>
              <w:left w:val="nil"/>
              <w:bottom w:val="single" w:sz="4" w:space="0" w:color="auto"/>
              <w:right w:val="single" w:sz="4" w:space="0" w:color="auto"/>
            </w:tcBorders>
            <w:shd w:val="clear" w:color="auto" w:fill="auto"/>
            <w:noWrap/>
            <w:vAlign w:val="bottom"/>
            <w:hideMark/>
          </w:tcPr>
          <w:p w14:paraId="05107C0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0.32</w:t>
            </w:r>
          </w:p>
        </w:tc>
        <w:tc>
          <w:tcPr>
            <w:tcW w:w="1080" w:type="dxa"/>
            <w:tcBorders>
              <w:top w:val="nil"/>
              <w:left w:val="nil"/>
              <w:bottom w:val="single" w:sz="4" w:space="0" w:color="auto"/>
              <w:right w:val="single" w:sz="4" w:space="0" w:color="auto"/>
            </w:tcBorders>
            <w:shd w:val="clear" w:color="auto" w:fill="auto"/>
            <w:noWrap/>
            <w:vAlign w:val="bottom"/>
            <w:hideMark/>
          </w:tcPr>
          <w:p w14:paraId="647217A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0.75</w:t>
            </w:r>
          </w:p>
        </w:tc>
        <w:tc>
          <w:tcPr>
            <w:tcW w:w="990" w:type="dxa"/>
            <w:tcBorders>
              <w:top w:val="nil"/>
              <w:left w:val="nil"/>
              <w:bottom w:val="single" w:sz="4" w:space="0" w:color="auto"/>
              <w:right w:val="single" w:sz="4" w:space="0" w:color="auto"/>
            </w:tcBorders>
            <w:shd w:val="clear" w:color="auto" w:fill="auto"/>
            <w:noWrap/>
            <w:vAlign w:val="bottom"/>
            <w:hideMark/>
          </w:tcPr>
          <w:p w14:paraId="0802C4C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-1.51</w:t>
            </w:r>
          </w:p>
        </w:tc>
        <w:tc>
          <w:tcPr>
            <w:tcW w:w="990" w:type="dxa"/>
            <w:tcBorders>
              <w:top w:val="nil"/>
              <w:left w:val="nil"/>
              <w:bottom w:val="single" w:sz="4" w:space="0" w:color="auto"/>
              <w:right w:val="single" w:sz="4" w:space="0" w:color="auto"/>
            </w:tcBorders>
            <w:shd w:val="clear" w:color="auto" w:fill="auto"/>
            <w:noWrap/>
            <w:vAlign w:val="bottom"/>
            <w:hideMark/>
          </w:tcPr>
          <w:p w14:paraId="6D43CEF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81.08</w:t>
            </w:r>
          </w:p>
        </w:tc>
        <w:tc>
          <w:tcPr>
            <w:tcW w:w="1080" w:type="dxa"/>
            <w:tcBorders>
              <w:top w:val="nil"/>
              <w:left w:val="nil"/>
              <w:bottom w:val="single" w:sz="4" w:space="0" w:color="auto"/>
              <w:right w:val="single" w:sz="4" w:space="0" w:color="auto"/>
            </w:tcBorders>
            <w:shd w:val="clear" w:color="auto" w:fill="auto"/>
            <w:noWrap/>
            <w:vAlign w:val="bottom"/>
            <w:hideMark/>
          </w:tcPr>
          <w:p w14:paraId="5D6807A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-1.37</w:t>
            </w:r>
          </w:p>
        </w:tc>
        <w:tc>
          <w:tcPr>
            <w:tcW w:w="1156" w:type="dxa"/>
            <w:tcBorders>
              <w:top w:val="nil"/>
              <w:left w:val="nil"/>
              <w:bottom w:val="single" w:sz="4" w:space="0" w:color="auto"/>
              <w:right w:val="single" w:sz="4" w:space="0" w:color="auto"/>
            </w:tcBorders>
            <w:shd w:val="clear" w:color="auto" w:fill="auto"/>
            <w:noWrap/>
            <w:vAlign w:val="bottom"/>
            <w:hideMark/>
          </w:tcPr>
          <w:p w14:paraId="7AF9E8A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82.91</w:t>
            </w:r>
          </w:p>
        </w:tc>
      </w:tr>
      <w:tr w:rsidR="00E52AC1" w:rsidRPr="00991DD7" w14:paraId="2D1CE1C9"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6991BAD8"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Servicii de transport</w:t>
            </w:r>
          </w:p>
        </w:tc>
        <w:tc>
          <w:tcPr>
            <w:tcW w:w="964" w:type="dxa"/>
            <w:tcBorders>
              <w:top w:val="nil"/>
              <w:left w:val="nil"/>
              <w:bottom w:val="single" w:sz="4" w:space="0" w:color="auto"/>
              <w:right w:val="single" w:sz="4" w:space="0" w:color="auto"/>
            </w:tcBorders>
            <w:shd w:val="clear" w:color="auto" w:fill="auto"/>
            <w:noWrap/>
            <w:vAlign w:val="bottom"/>
            <w:hideMark/>
          </w:tcPr>
          <w:p w14:paraId="16B9E31D"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222400</w:t>
            </w:r>
          </w:p>
        </w:tc>
        <w:tc>
          <w:tcPr>
            <w:tcW w:w="1004" w:type="dxa"/>
            <w:tcBorders>
              <w:top w:val="nil"/>
              <w:left w:val="nil"/>
              <w:bottom w:val="single" w:sz="4" w:space="0" w:color="auto"/>
              <w:right w:val="single" w:sz="4" w:space="0" w:color="auto"/>
            </w:tcBorders>
            <w:shd w:val="clear" w:color="auto" w:fill="auto"/>
            <w:noWrap/>
            <w:vAlign w:val="bottom"/>
            <w:hideMark/>
          </w:tcPr>
          <w:p w14:paraId="744A7F9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4.40</w:t>
            </w:r>
          </w:p>
        </w:tc>
        <w:tc>
          <w:tcPr>
            <w:tcW w:w="900" w:type="dxa"/>
            <w:tcBorders>
              <w:top w:val="nil"/>
              <w:left w:val="nil"/>
              <w:bottom w:val="single" w:sz="4" w:space="0" w:color="auto"/>
              <w:right w:val="single" w:sz="4" w:space="0" w:color="auto"/>
            </w:tcBorders>
            <w:shd w:val="clear" w:color="auto" w:fill="auto"/>
            <w:noWrap/>
            <w:vAlign w:val="bottom"/>
            <w:hideMark/>
          </w:tcPr>
          <w:p w14:paraId="690CA1B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4.78</w:t>
            </w:r>
          </w:p>
        </w:tc>
        <w:tc>
          <w:tcPr>
            <w:tcW w:w="900" w:type="dxa"/>
            <w:tcBorders>
              <w:top w:val="nil"/>
              <w:left w:val="nil"/>
              <w:bottom w:val="single" w:sz="4" w:space="0" w:color="auto"/>
              <w:right w:val="single" w:sz="4" w:space="0" w:color="auto"/>
            </w:tcBorders>
            <w:shd w:val="clear" w:color="auto" w:fill="auto"/>
            <w:noWrap/>
            <w:vAlign w:val="bottom"/>
            <w:hideMark/>
          </w:tcPr>
          <w:p w14:paraId="24A49A4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4.31</w:t>
            </w:r>
          </w:p>
        </w:tc>
        <w:tc>
          <w:tcPr>
            <w:tcW w:w="900" w:type="dxa"/>
            <w:tcBorders>
              <w:top w:val="nil"/>
              <w:left w:val="nil"/>
              <w:bottom w:val="single" w:sz="4" w:space="0" w:color="auto"/>
              <w:right w:val="single" w:sz="4" w:space="0" w:color="auto"/>
            </w:tcBorders>
            <w:shd w:val="clear" w:color="auto" w:fill="auto"/>
            <w:noWrap/>
            <w:vAlign w:val="bottom"/>
            <w:hideMark/>
          </w:tcPr>
          <w:p w14:paraId="59BEB95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4.24</w:t>
            </w:r>
          </w:p>
        </w:tc>
        <w:tc>
          <w:tcPr>
            <w:tcW w:w="948" w:type="dxa"/>
            <w:tcBorders>
              <w:top w:val="nil"/>
              <w:left w:val="nil"/>
              <w:bottom w:val="single" w:sz="4" w:space="0" w:color="auto"/>
              <w:right w:val="single" w:sz="4" w:space="0" w:color="auto"/>
            </w:tcBorders>
            <w:shd w:val="clear" w:color="auto" w:fill="auto"/>
            <w:noWrap/>
            <w:vAlign w:val="bottom"/>
            <w:hideMark/>
          </w:tcPr>
          <w:p w14:paraId="04D8C62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0.01</w:t>
            </w:r>
          </w:p>
        </w:tc>
        <w:tc>
          <w:tcPr>
            <w:tcW w:w="1080" w:type="dxa"/>
            <w:tcBorders>
              <w:top w:val="nil"/>
              <w:left w:val="nil"/>
              <w:bottom w:val="single" w:sz="4" w:space="0" w:color="auto"/>
              <w:right w:val="single" w:sz="4" w:space="0" w:color="auto"/>
            </w:tcBorders>
            <w:shd w:val="clear" w:color="auto" w:fill="auto"/>
            <w:noWrap/>
            <w:vAlign w:val="bottom"/>
            <w:hideMark/>
          </w:tcPr>
          <w:p w14:paraId="0B376D1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0.38</w:t>
            </w:r>
          </w:p>
        </w:tc>
        <w:tc>
          <w:tcPr>
            <w:tcW w:w="990" w:type="dxa"/>
            <w:tcBorders>
              <w:top w:val="nil"/>
              <w:left w:val="nil"/>
              <w:bottom w:val="single" w:sz="4" w:space="0" w:color="auto"/>
              <w:right w:val="single" w:sz="4" w:space="0" w:color="auto"/>
            </w:tcBorders>
            <w:shd w:val="clear" w:color="auto" w:fill="auto"/>
            <w:noWrap/>
            <w:vAlign w:val="bottom"/>
            <w:hideMark/>
          </w:tcPr>
          <w:p w14:paraId="6860BC6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-0.47</w:t>
            </w:r>
          </w:p>
        </w:tc>
        <w:tc>
          <w:tcPr>
            <w:tcW w:w="990" w:type="dxa"/>
            <w:tcBorders>
              <w:top w:val="nil"/>
              <w:left w:val="nil"/>
              <w:bottom w:val="single" w:sz="4" w:space="0" w:color="auto"/>
              <w:right w:val="single" w:sz="4" w:space="0" w:color="auto"/>
            </w:tcBorders>
            <w:shd w:val="clear" w:color="auto" w:fill="auto"/>
            <w:noWrap/>
            <w:vAlign w:val="bottom"/>
            <w:hideMark/>
          </w:tcPr>
          <w:p w14:paraId="6229C73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90.23</w:t>
            </w:r>
          </w:p>
        </w:tc>
        <w:tc>
          <w:tcPr>
            <w:tcW w:w="1080" w:type="dxa"/>
            <w:tcBorders>
              <w:top w:val="nil"/>
              <w:left w:val="nil"/>
              <w:bottom w:val="single" w:sz="4" w:space="0" w:color="auto"/>
              <w:right w:val="single" w:sz="4" w:space="0" w:color="auto"/>
            </w:tcBorders>
            <w:shd w:val="clear" w:color="auto" w:fill="auto"/>
            <w:noWrap/>
            <w:vAlign w:val="bottom"/>
            <w:hideMark/>
          </w:tcPr>
          <w:p w14:paraId="77CB669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-0.54</w:t>
            </w:r>
          </w:p>
        </w:tc>
        <w:tc>
          <w:tcPr>
            <w:tcW w:w="1156" w:type="dxa"/>
            <w:tcBorders>
              <w:top w:val="nil"/>
              <w:left w:val="nil"/>
              <w:bottom w:val="single" w:sz="4" w:space="0" w:color="auto"/>
              <w:right w:val="single" w:sz="4" w:space="0" w:color="auto"/>
            </w:tcBorders>
            <w:shd w:val="clear" w:color="auto" w:fill="auto"/>
            <w:noWrap/>
            <w:vAlign w:val="bottom"/>
            <w:hideMark/>
          </w:tcPr>
          <w:p w14:paraId="512C574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88.68</w:t>
            </w:r>
          </w:p>
        </w:tc>
      </w:tr>
      <w:tr w:rsidR="00E52AC1" w:rsidRPr="00991DD7" w14:paraId="79540B93" w14:textId="77777777" w:rsidTr="00E52AC1">
        <w:trPr>
          <w:trHeight w:val="152"/>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480EAF31"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Servicii de reparații curente</w:t>
            </w:r>
          </w:p>
        </w:tc>
        <w:tc>
          <w:tcPr>
            <w:tcW w:w="964" w:type="dxa"/>
            <w:tcBorders>
              <w:top w:val="nil"/>
              <w:left w:val="nil"/>
              <w:bottom w:val="single" w:sz="4" w:space="0" w:color="auto"/>
              <w:right w:val="single" w:sz="4" w:space="0" w:color="auto"/>
            </w:tcBorders>
            <w:shd w:val="clear" w:color="auto" w:fill="auto"/>
            <w:noWrap/>
            <w:vAlign w:val="bottom"/>
            <w:hideMark/>
          </w:tcPr>
          <w:p w14:paraId="7663B61A"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222500</w:t>
            </w:r>
          </w:p>
        </w:tc>
        <w:tc>
          <w:tcPr>
            <w:tcW w:w="1004" w:type="dxa"/>
            <w:tcBorders>
              <w:top w:val="nil"/>
              <w:left w:val="nil"/>
              <w:bottom w:val="single" w:sz="4" w:space="0" w:color="auto"/>
              <w:right w:val="single" w:sz="4" w:space="0" w:color="auto"/>
            </w:tcBorders>
            <w:shd w:val="clear" w:color="auto" w:fill="auto"/>
            <w:noWrap/>
            <w:vAlign w:val="bottom"/>
            <w:hideMark/>
          </w:tcPr>
          <w:p w14:paraId="6A4DF25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21.34</w:t>
            </w:r>
          </w:p>
        </w:tc>
        <w:tc>
          <w:tcPr>
            <w:tcW w:w="900" w:type="dxa"/>
            <w:tcBorders>
              <w:top w:val="nil"/>
              <w:left w:val="nil"/>
              <w:bottom w:val="single" w:sz="4" w:space="0" w:color="auto"/>
              <w:right w:val="single" w:sz="4" w:space="0" w:color="auto"/>
            </w:tcBorders>
            <w:shd w:val="clear" w:color="auto" w:fill="auto"/>
            <w:noWrap/>
            <w:vAlign w:val="bottom"/>
            <w:hideMark/>
          </w:tcPr>
          <w:p w14:paraId="4B56C6D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27.39</w:t>
            </w:r>
          </w:p>
        </w:tc>
        <w:tc>
          <w:tcPr>
            <w:tcW w:w="900" w:type="dxa"/>
            <w:tcBorders>
              <w:top w:val="nil"/>
              <w:left w:val="nil"/>
              <w:bottom w:val="single" w:sz="4" w:space="0" w:color="auto"/>
              <w:right w:val="single" w:sz="4" w:space="0" w:color="auto"/>
            </w:tcBorders>
            <w:shd w:val="clear" w:color="auto" w:fill="auto"/>
            <w:noWrap/>
            <w:vAlign w:val="bottom"/>
            <w:hideMark/>
          </w:tcPr>
          <w:p w14:paraId="5B176B7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24.78</w:t>
            </w:r>
          </w:p>
        </w:tc>
        <w:tc>
          <w:tcPr>
            <w:tcW w:w="900" w:type="dxa"/>
            <w:tcBorders>
              <w:top w:val="nil"/>
              <w:left w:val="nil"/>
              <w:bottom w:val="single" w:sz="4" w:space="0" w:color="auto"/>
              <w:right w:val="single" w:sz="4" w:space="0" w:color="auto"/>
            </w:tcBorders>
            <w:shd w:val="clear" w:color="auto" w:fill="auto"/>
            <w:noWrap/>
            <w:vAlign w:val="bottom"/>
            <w:hideMark/>
          </w:tcPr>
          <w:p w14:paraId="2C829F0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24.49</w:t>
            </w:r>
          </w:p>
        </w:tc>
        <w:tc>
          <w:tcPr>
            <w:tcW w:w="948" w:type="dxa"/>
            <w:tcBorders>
              <w:top w:val="nil"/>
              <w:left w:val="nil"/>
              <w:bottom w:val="single" w:sz="4" w:space="0" w:color="auto"/>
              <w:right w:val="single" w:sz="4" w:space="0" w:color="auto"/>
            </w:tcBorders>
            <w:shd w:val="clear" w:color="auto" w:fill="auto"/>
            <w:noWrap/>
            <w:vAlign w:val="bottom"/>
            <w:hideMark/>
          </w:tcPr>
          <w:p w14:paraId="2A1ABCF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0.06</w:t>
            </w:r>
          </w:p>
        </w:tc>
        <w:tc>
          <w:tcPr>
            <w:tcW w:w="1080" w:type="dxa"/>
            <w:tcBorders>
              <w:top w:val="nil"/>
              <w:left w:val="nil"/>
              <w:bottom w:val="single" w:sz="4" w:space="0" w:color="auto"/>
              <w:right w:val="single" w:sz="4" w:space="0" w:color="auto"/>
            </w:tcBorders>
            <w:shd w:val="clear" w:color="auto" w:fill="auto"/>
            <w:noWrap/>
            <w:vAlign w:val="bottom"/>
            <w:hideMark/>
          </w:tcPr>
          <w:p w14:paraId="5ED0DE4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6.05</w:t>
            </w:r>
          </w:p>
        </w:tc>
        <w:tc>
          <w:tcPr>
            <w:tcW w:w="990" w:type="dxa"/>
            <w:tcBorders>
              <w:top w:val="nil"/>
              <w:left w:val="nil"/>
              <w:bottom w:val="single" w:sz="4" w:space="0" w:color="auto"/>
              <w:right w:val="single" w:sz="4" w:space="0" w:color="auto"/>
            </w:tcBorders>
            <w:shd w:val="clear" w:color="auto" w:fill="auto"/>
            <w:noWrap/>
            <w:vAlign w:val="bottom"/>
            <w:hideMark/>
          </w:tcPr>
          <w:p w14:paraId="0DECDFC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-2.61</w:t>
            </w:r>
          </w:p>
        </w:tc>
        <w:tc>
          <w:tcPr>
            <w:tcW w:w="990" w:type="dxa"/>
            <w:tcBorders>
              <w:top w:val="nil"/>
              <w:left w:val="nil"/>
              <w:bottom w:val="single" w:sz="4" w:space="0" w:color="auto"/>
              <w:right w:val="single" w:sz="4" w:space="0" w:color="auto"/>
            </w:tcBorders>
            <w:shd w:val="clear" w:color="auto" w:fill="auto"/>
            <w:noWrap/>
            <w:vAlign w:val="bottom"/>
            <w:hideMark/>
          </w:tcPr>
          <w:p w14:paraId="5351AAC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90.47</w:t>
            </w:r>
          </w:p>
        </w:tc>
        <w:tc>
          <w:tcPr>
            <w:tcW w:w="1080" w:type="dxa"/>
            <w:tcBorders>
              <w:top w:val="nil"/>
              <w:left w:val="nil"/>
              <w:bottom w:val="single" w:sz="4" w:space="0" w:color="auto"/>
              <w:right w:val="single" w:sz="4" w:space="0" w:color="auto"/>
            </w:tcBorders>
            <w:shd w:val="clear" w:color="auto" w:fill="auto"/>
            <w:noWrap/>
            <w:vAlign w:val="bottom"/>
            <w:hideMark/>
          </w:tcPr>
          <w:p w14:paraId="7F11C48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-2.90</w:t>
            </w:r>
          </w:p>
        </w:tc>
        <w:tc>
          <w:tcPr>
            <w:tcW w:w="1156" w:type="dxa"/>
            <w:tcBorders>
              <w:top w:val="nil"/>
              <w:left w:val="nil"/>
              <w:bottom w:val="single" w:sz="4" w:space="0" w:color="auto"/>
              <w:right w:val="single" w:sz="4" w:space="0" w:color="auto"/>
            </w:tcBorders>
            <w:shd w:val="clear" w:color="auto" w:fill="auto"/>
            <w:noWrap/>
            <w:vAlign w:val="bottom"/>
            <w:hideMark/>
          </w:tcPr>
          <w:p w14:paraId="67AD2AE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89.42</w:t>
            </w:r>
          </w:p>
        </w:tc>
      </w:tr>
      <w:tr w:rsidR="00E52AC1" w:rsidRPr="00991DD7" w14:paraId="65F4FF04"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284D0BED"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Formare profesională</w:t>
            </w:r>
          </w:p>
        </w:tc>
        <w:tc>
          <w:tcPr>
            <w:tcW w:w="964" w:type="dxa"/>
            <w:tcBorders>
              <w:top w:val="nil"/>
              <w:left w:val="nil"/>
              <w:bottom w:val="single" w:sz="4" w:space="0" w:color="auto"/>
              <w:right w:val="single" w:sz="4" w:space="0" w:color="auto"/>
            </w:tcBorders>
            <w:shd w:val="clear" w:color="auto" w:fill="auto"/>
            <w:noWrap/>
            <w:vAlign w:val="bottom"/>
            <w:hideMark/>
          </w:tcPr>
          <w:p w14:paraId="2ECF50F3"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222600</w:t>
            </w:r>
          </w:p>
        </w:tc>
        <w:tc>
          <w:tcPr>
            <w:tcW w:w="1004" w:type="dxa"/>
            <w:tcBorders>
              <w:top w:val="nil"/>
              <w:left w:val="nil"/>
              <w:bottom w:val="single" w:sz="4" w:space="0" w:color="auto"/>
              <w:right w:val="single" w:sz="4" w:space="0" w:color="auto"/>
            </w:tcBorders>
            <w:shd w:val="clear" w:color="auto" w:fill="auto"/>
            <w:noWrap/>
            <w:vAlign w:val="bottom"/>
            <w:hideMark/>
          </w:tcPr>
          <w:p w14:paraId="6261498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21.32</w:t>
            </w:r>
          </w:p>
        </w:tc>
        <w:tc>
          <w:tcPr>
            <w:tcW w:w="900" w:type="dxa"/>
            <w:tcBorders>
              <w:top w:val="nil"/>
              <w:left w:val="nil"/>
              <w:bottom w:val="single" w:sz="4" w:space="0" w:color="auto"/>
              <w:right w:val="single" w:sz="4" w:space="0" w:color="auto"/>
            </w:tcBorders>
            <w:shd w:val="clear" w:color="auto" w:fill="auto"/>
            <w:noWrap/>
            <w:vAlign w:val="bottom"/>
            <w:hideMark/>
          </w:tcPr>
          <w:p w14:paraId="494F86C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4.30</w:t>
            </w:r>
          </w:p>
        </w:tc>
        <w:tc>
          <w:tcPr>
            <w:tcW w:w="900" w:type="dxa"/>
            <w:tcBorders>
              <w:top w:val="nil"/>
              <w:left w:val="nil"/>
              <w:bottom w:val="single" w:sz="4" w:space="0" w:color="auto"/>
              <w:right w:val="single" w:sz="4" w:space="0" w:color="auto"/>
            </w:tcBorders>
            <w:shd w:val="clear" w:color="auto" w:fill="auto"/>
            <w:noWrap/>
            <w:vAlign w:val="bottom"/>
            <w:hideMark/>
          </w:tcPr>
          <w:p w14:paraId="0AF36BD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0.67</w:t>
            </w:r>
          </w:p>
        </w:tc>
        <w:tc>
          <w:tcPr>
            <w:tcW w:w="900" w:type="dxa"/>
            <w:tcBorders>
              <w:top w:val="nil"/>
              <w:left w:val="nil"/>
              <w:bottom w:val="single" w:sz="4" w:space="0" w:color="auto"/>
              <w:right w:val="single" w:sz="4" w:space="0" w:color="auto"/>
            </w:tcBorders>
            <w:shd w:val="clear" w:color="auto" w:fill="auto"/>
            <w:noWrap/>
            <w:vAlign w:val="bottom"/>
            <w:hideMark/>
          </w:tcPr>
          <w:p w14:paraId="377D239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0.67</w:t>
            </w:r>
          </w:p>
        </w:tc>
        <w:tc>
          <w:tcPr>
            <w:tcW w:w="948" w:type="dxa"/>
            <w:tcBorders>
              <w:top w:val="nil"/>
              <w:left w:val="nil"/>
              <w:bottom w:val="single" w:sz="4" w:space="0" w:color="auto"/>
              <w:right w:val="single" w:sz="4" w:space="0" w:color="auto"/>
            </w:tcBorders>
            <w:shd w:val="clear" w:color="auto" w:fill="auto"/>
            <w:noWrap/>
            <w:vAlign w:val="bottom"/>
            <w:hideMark/>
          </w:tcPr>
          <w:p w14:paraId="56CB6E2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554E02F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-17.02</w:t>
            </w:r>
          </w:p>
        </w:tc>
        <w:tc>
          <w:tcPr>
            <w:tcW w:w="990" w:type="dxa"/>
            <w:tcBorders>
              <w:top w:val="nil"/>
              <w:left w:val="nil"/>
              <w:bottom w:val="single" w:sz="4" w:space="0" w:color="auto"/>
              <w:right w:val="single" w:sz="4" w:space="0" w:color="auto"/>
            </w:tcBorders>
            <w:shd w:val="clear" w:color="auto" w:fill="auto"/>
            <w:noWrap/>
            <w:vAlign w:val="bottom"/>
            <w:hideMark/>
          </w:tcPr>
          <w:p w14:paraId="2CD4C96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-3.63</w:t>
            </w:r>
          </w:p>
        </w:tc>
        <w:tc>
          <w:tcPr>
            <w:tcW w:w="990" w:type="dxa"/>
            <w:tcBorders>
              <w:top w:val="nil"/>
              <w:left w:val="nil"/>
              <w:bottom w:val="single" w:sz="4" w:space="0" w:color="auto"/>
              <w:right w:val="single" w:sz="4" w:space="0" w:color="auto"/>
            </w:tcBorders>
            <w:shd w:val="clear" w:color="auto" w:fill="auto"/>
            <w:noWrap/>
            <w:vAlign w:val="bottom"/>
            <w:hideMark/>
          </w:tcPr>
          <w:p w14:paraId="7A3F17B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15.67</w:t>
            </w:r>
          </w:p>
        </w:tc>
        <w:tc>
          <w:tcPr>
            <w:tcW w:w="1080" w:type="dxa"/>
            <w:tcBorders>
              <w:top w:val="nil"/>
              <w:left w:val="nil"/>
              <w:bottom w:val="single" w:sz="4" w:space="0" w:color="auto"/>
              <w:right w:val="single" w:sz="4" w:space="0" w:color="auto"/>
            </w:tcBorders>
            <w:shd w:val="clear" w:color="auto" w:fill="auto"/>
            <w:noWrap/>
            <w:vAlign w:val="bottom"/>
            <w:hideMark/>
          </w:tcPr>
          <w:p w14:paraId="617D69C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-3.63</w:t>
            </w:r>
          </w:p>
        </w:tc>
        <w:tc>
          <w:tcPr>
            <w:tcW w:w="1156" w:type="dxa"/>
            <w:tcBorders>
              <w:top w:val="nil"/>
              <w:left w:val="nil"/>
              <w:bottom w:val="single" w:sz="4" w:space="0" w:color="auto"/>
              <w:right w:val="single" w:sz="4" w:space="0" w:color="auto"/>
            </w:tcBorders>
            <w:shd w:val="clear" w:color="auto" w:fill="auto"/>
            <w:noWrap/>
            <w:vAlign w:val="bottom"/>
            <w:hideMark/>
          </w:tcPr>
          <w:p w14:paraId="2350987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15.56</w:t>
            </w:r>
          </w:p>
        </w:tc>
      </w:tr>
      <w:tr w:rsidR="00E52AC1" w:rsidRPr="00991DD7" w14:paraId="53F13860" w14:textId="77777777" w:rsidTr="00E52AC1">
        <w:trPr>
          <w:trHeight w:val="304"/>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02E81FBD"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Deplasări de serviciu in interiorul tarii</w:t>
            </w:r>
          </w:p>
        </w:tc>
        <w:tc>
          <w:tcPr>
            <w:tcW w:w="964" w:type="dxa"/>
            <w:tcBorders>
              <w:top w:val="nil"/>
              <w:left w:val="nil"/>
              <w:bottom w:val="single" w:sz="4" w:space="0" w:color="auto"/>
              <w:right w:val="single" w:sz="4" w:space="0" w:color="auto"/>
            </w:tcBorders>
            <w:shd w:val="clear" w:color="auto" w:fill="auto"/>
            <w:noWrap/>
            <w:vAlign w:val="bottom"/>
            <w:hideMark/>
          </w:tcPr>
          <w:p w14:paraId="1E163CA0"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222710</w:t>
            </w:r>
          </w:p>
        </w:tc>
        <w:tc>
          <w:tcPr>
            <w:tcW w:w="1004" w:type="dxa"/>
            <w:tcBorders>
              <w:top w:val="nil"/>
              <w:left w:val="nil"/>
              <w:bottom w:val="single" w:sz="4" w:space="0" w:color="auto"/>
              <w:right w:val="single" w:sz="4" w:space="0" w:color="auto"/>
            </w:tcBorders>
            <w:shd w:val="clear" w:color="auto" w:fill="auto"/>
            <w:noWrap/>
            <w:vAlign w:val="bottom"/>
            <w:hideMark/>
          </w:tcPr>
          <w:p w14:paraId="56208AF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0.20</w:t>
            </w:r>
          </w:p>
        </w:tc>
        <w:tc>
          <w:tcPr>
            <w:tcW w:w="900" w:type="dxa"/>
            <w:tcBorders>
              <w:top w:val="nil"/>
              <w:left w:val="nil"/>
              <w:bottom w:val="single" w:sz="4" w:space="0" w:color="auto"/>
              <w:right w:val="single" w:sz="4" w:space="0" w:color="auto"/>
            </w:tcBorders>
            <w:shd w:val="clear" w:color="auto" w:fill="auto"/>
            <w:noWrap/>
            <w:vAlign w:val="bottom"/>
            <w:hideMark/>
          </w:tcPr>
          <w:p w14:paraId="3980D39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0.09</w:t>
            </w:r>
          </w:p>
        </w:tc>
        <w:tc>
          <w:tcPr>
            <w:tcW w:w="900" w:type="dxa"/>
            <w:tcBorders>
              <w:top w:val="nil"/>
              <w:left w:val="nil"/>
              <w:bottom w:val="single" w:sz="4" w:space="0" w:color="auto"/>
              <w:right w:val="single" w:sz="4" w:space="0" w:color="auto"/>
            </w:tcBorders>
            <w:shd w:val="clear" w:color="auto" w:fill="auto"/>
            <w:noWrap/>
            <w:vAlign w:val="bottom"/>
            <w:hideMark/>
          </w:tcPr>
          <w:p w14:paraId="1E4327B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0.02</w:t>
            </w:r>
          </w:p>
        </w:tc>
        <w:tc>
          <w:tcPr>
            <w:tcW w:w="900" w:type="dxa"/>
            <w:tcBorders>
              <w:top w:val="nil"/>
              <w:left w:val="nil"/>
              <w:bottom w:val="single" w:sz="4" w:space="0" w:color="auto"/>
              <w:right w:val="single" w:sz="4" w:space="0" w:color="auto"/>
            </w:tcBorders>
            <w:shd w:val="clear" w:color="auto" w:fill="auto"/>
            <w:noWrap/>
            <w:vAlign w:val="bottom"/>
            <w:hideMark/>
          </w:tcPr>
          <w:p w14:paraId="1157971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0.02</w:t>
            </w:r>
          </w:p>
        </w:tc>
        <w:tc>
          <w:tcPr>
            <w:tcW w:w="948" w:type="dxa"/>
            <w:tcBorders>
              <w:top w:val="nil"/>
              <w:left w:val="nil"/>
              <w:bottom w:val="single" w:sz="4" w:space="0" w:color="auto"/>
              <w:right w:val="single" w:sz="4" w:space="0" w:color="auto"/>
            </w:tcBorders>
            <w:shd w:val="clear" w:color="auto" w:fill="auto"/>
            <w:noWrap/>
            <w:vAlign w:val="bottom"/>
            <w:hideMark/>
          </w:tcPr>
          <w:p w14:paraId="684BE74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42F4892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-0.11</w:t>
            </w:r>
          </w:p>
        </w:tc>
        <w:tc>
          <w:tcPr>
            <w:tcW w:w="990" w:type="dxa"/>
            <w:tcBorders>
              <w:top w:val="nil"/>
              <w:left w:val="nil"/>
              <w:bottom w:val="single" w:sz="4" w:space="0" w:color="auto"/>
              <w:right w:val="single" w:sz="4" w:space="0" w:color="auto"/>
            </w:tcBorders>
            <w:shd w:val="clear" w:color="auto" w:fill="auto"/>
            <w:noWrap/>
            <w:vAlign w:val="bottom"/>
            <w:hideMark/>
          </w:tcPr>
          <w:p w14:paraId="3A3E686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-0.07</w:t>
            </w:r>
          </w:p>
        </w:tc>
        <w:tc>
          <w:tcPr>
            <w:tcW w:w="990" w:type="dxa"/>
            <w:tcBorders>
              <w:top w:val="nil"/>
              <w:left w:val="nil"/>
              <w:bottom w:val="single" w:sz="4" w:space="0" w:color="auto"/>
              <w:right w:val="single" w:sz="4" w:space="0" w:color="auto"/>
            </w:tcBorders>
            <w:shd w:val="clear" w:color="auto" w:fill="auto"/>
            <w:noWrap/>
            <w:vAlign w:val="bottom"/>
            <w:hideMark/>
          </w:tcPr>
          <w:p w14:paraId="0737D29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21.57</w:t>
            </w:r>
          </w:p>
        </w:tc>
        <w:tc>
          <w:tcPr>
            <w:tcW w:w="1080" w:type="dxa"/>
            <w:tcBorders>
              <w:top w:val="nil"/>
              <w:left w:val="nil"/>
              <w:bottom w:val="single" w:sz="4" w:space="0" w:color="auto"/>
              <w:right w:val="single" w:sz="4" w:space="0" w:color="auto"/>
            </w:tcBorders>
            <w:shd w:val="clear" w:color="auto" w:fill="auto"/>
            <w:noWrap/>
            <w:vAlign w:val="bottom"/>
            <w:hideMark/>
          </w:tcPr>
          <w:p w14:paraId="0397CEC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-0.07</w:t>
            </w:r>
          </w:p>
        </w:tc>
        <w:tc>
          <w:tcPr>
            <w:tcW w:w="1156" w:type="dxa"/>
            <w:tcBorders>
              <w:top w:val="nil"/>
              <w:left w:val="nil"/>
              <w:bottom w:val="single" w:sz="4" w:space="0" w:color="auto"/>
              <w:right w:val="single" w:sz="4" w:space="0" w:color="auto"/>
            </w:tcBorders>
            <w:shd w:val="clear" w:color="auto" w:fill="auto"/>
            <w:noWrap/>
            <w:vAlign w:val="bottom"/>
            <w:hideMark/>
          </w:tcPr>
          <w:p w14:paraId="71E4071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21.57</w:t>
            </w:r>
          </w:p>
        </w:tc>
      </w:tr>
      <w:tr w:rsidR="00E52AC1" w:rsidRPr="00991DD7" w14:paraId="02E51305" w14:textId="77777777" w:rsidTr="00E52AC1">
        <w:trPr>
          <w:trHeight w:val="296"/>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680CA319"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Deplasări de serviciu peste hotare</w:t>
            </w:r>
          </w:p>
        </w:tc>
        <w:tc>
          <w:tcPr>
            <w:tcW w:w="964" w:type="dxa"/>
            <w:tcBorders>
              <w:top w:val="nil"/>
              <w:left w:val="nil"/>
              <w:bottom w:val="single" w:sz="4" w:space="0" w:color="auto"/>
              <w:right w:val="single" w:sz="4" w:space="0" w:color="auto"/>
            </w:tcBorders>
            <w:shd w:val="clear" w:color="auto" w:fill="auto"/>
            <w:noWrap/>
            <w:vAlign w:val="bottom"/>
            <w:hideMark/>
          </w:tcPr>
          <w:p w14:paraId="47D9E952"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222720</w:t>
            </w:r>
          </w:p>
        </w:tc>
        <w:tc>
          <w:tcPr>
            <w:tcW w:w="1004" w:type="dxa"/>
            <w:tcBorders>
              <w:top w:val="nil"/>
              <w:left w:val="nil"/>
              <w:bottom w:val="single" w:sz="4" w:space="0" w:color="auto"/>
              <w:right w:val="single" w:sz="4" w:space="0" w:color="auto"/>
            </w:tcBorders>
            <w:shd w:val="clear" w:color="auto" w:fill="auto"/>
            <w:noWrap/>
            <w:vAlign w:val="bottom"/>
            <w:hideMark/>
          </w:tcPr>
          <w:p w14:paraId="0DD8D69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15.11</w:t>
            </w:r>
          </w:p>
        </w:tc>
        <w:tc>
          <w:tcPr>
            <w:tcW w:w="900" w:type="dxa"/>
            <w:tcBorders>
              <w:top w:val="nil"/>
              <w:left w:val="nil"/>
              <w:bottom w:val="single" w:sz="4" w:space="0" w:color="auto"/>
              <w:right w:val="single" w:sz="4" w:space="0" w:color="auto"/>
            </w:tcBorders>
            <w:shd w:val="clear" w:color="auto" w:fill="auto"/>
            <w:noWrap/>
            <w:vAlign w:val="bottom"/>
            <w:hideMark/>
          </w:tcPr>
          <w:p w14:paraId="52AC421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14.26</w:t>
            </w:r>
          </w:p>
        </w:tc>
        <w:tc>
          <w:tcPr>
            <w:tcW w:w="900" w:type="dxa"/>
            <w:tcBorders>
              <w:top w:val="nil"/>
              <w:left w:val="nil"/>
              <w:bottom w:val="single" w:sz="4" w:space="0" w:color="auto"/>
              <w:right w:val="single" w:sz="4" w:space="0" w:color="auto"/>
            </w:tcBorders>
            <w:shd w:val="clear" w:color="auto" w:fill="auto"/>
            <w:noWrap/>
            <w:vAlign w:val="bottom"/>
            <w:hideMark/>
          </w:tcPr>
          <w:p w14:paraId="3570DFF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6.73</w:t>
            </w:r>
          </w:p>
        </w:tc>
        <w:tc>
          <w:tcPr>
            <w:tcW w:w="900" w:type="dxa"/>
            <w:tcBorders>
              <w:top w:val="nil"/>
              <w:left w:val="nil"/>
              <w:bottom w:val="single" w:sz="4" w:space="0" w:color="auto"/>
              <w:right w:val="single" w:sz="4" w:space="0" w:color="auto"/>
            </w:tcBorders>
            <w:shd w:val="clear" w:color="auto" w:fill="auto"/>
            <w:noWrap/>
            <w:vAlign w:val="bottom"/>
            <w:hideMark/>
          </w:tcPr>
          <w:p w14:paraId="464C347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6.72</w:t>
            </w:r>
          </w:p>
        </w:tc>
        <w:tc>
          <w:tcPr>
            <w:tcW w:w="948" w:type="dxa"/>
            <w:tcBorders>
              <w:top w:val="nil"/>
              <w:left w:val="nil"/>
              <w:bottom w:val="single" w:sz="4" w:space="0" w:color="auto"/>
              <w:right w:val="single" w:sz="4" w:space="0" w:color="auto"/>
            </w:tcBorders>
            <w:shd w:val="clear" w:color="auto" w:fill="auto"/>
            <w:noWrap/>
            <w:vAlign w:val="bottom"/>
            <w:hideMark/>
          </w:tcPr>
          <w:p w14:paraId="74855BC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3B1E8AA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-0.85</w:t>
            </w:r>
          </w:p>
        </w:tc>
        <w:tc>
          <w:tcPr>
            <w:tcW w:w="990" w:type="dxa"/>
            <w:tcBorders>
              <w:top w:val="nil"/>
              <w:left w:val="nil"/>
              <w:bottom w:val="single" w:sz="4" w:space="0" w:color="auto"/>
              <w:right w:val="single" w:sz="4" w:space="0" w:color="auto"/>
            </w:tcBorders>
            <w:shd w:val="clear" w:color="auto" w:fill="auto"/>
            <w:noWrap/>
            <w:vAlign w:val="bottom"/>
            <w:hideMark/>
          </w:tcPr>
          <w:p w14:paraId="1DBA0CB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-7.54</w:t>
            </w:r>
          </w:p>
        </w:tc>
        <w:tc>
          <w:tcPr>
            <w:tcW w:w="990" w:type="dxa"/>
            <w:tcBorders>
              <w:top w:val="nil"/>
              <w:left w:val="nil"/>
              <w:bottom w:val="single" w:sz="4" w:space="0" w:color="auto"/>
              <w:right w:val="single" w:sz="4" w:space="0" w:color="auto"/>
            </w:tcBorders>
            <w:shd w:val="clear" w:color="auto" w:fill="auto"/>
            <w:noWrap/>
            <w:vAlign w:val="bottom"/>
            <w:hideMark/>
          </w:tcPr>
          <w:p w14:paraId="0585F55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47.17</w:t>
            </w:r>
          </w:p>
        </w:tc>
        <w:tc>
          <w:tcPr>
            <w:tcW w:w="1080" w:type="dxa"/>
            <w:tcBorders>
              <w:top w:val="nil"/>
              <w:left w:val="nil"/>
              <w:bottom w:val="single" w:sz="4" w:space="0" w:color="auto"/>
              <w:right w:val="single" w:sz="4" w:space="0" w:color="auto"/>
            </w:tcBorders>
            <w:shd w:val="clear" w:color="auto" w:fill="auto"/>
            <w:noWrap/>
            <w:vAlign w:val="bottom"/>
            <w:hideMark/>
          </w:tcPr>
          <w:p w14:paraId="7F20C01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-7.55</w:t>
            </w:r>
          </w:p>
        </w:tc>
        <w:tc>
          <w:tcPr>
            <w:tcW w:w="1156" w:type="dxa"/>
            <w:tcBorders>
              <w:top w:val="nil"/>
              <w:left w:val="nil"/>
              <w:bottom w:val="single" w:sz="4" w:space="0" w:color="auto"/>
              <w:right w:val="single" w:sz="4" w:space="0" w:color="auto"/>
            </w:tcBorders>
            <w:shd w:val="clear" w:color="auto" w:fill="auto"/>
            <w:noWrap/>
            <w:vAlign w:val="bottom"/>
            <w:hideMark/>
          </w:tcPr>
          <w:p w14:paraId="267573B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47.09</w:t>
            </w:r>
          </w:p>
        </w:tc>
      </w:tr>
      <w:tr w:rsidR="00E52AC1" w:rsidRPr="00991DD7" w14:paraId="3F3926A1"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29174AA2"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Servicii medicale</w:t>
            </w:r>
          </w:p>
        </w:tc>
        <w:tc>
          <w:tcPr>
            <w:tcW w:w="964" w:type="dxa"/>
            <w:tcBorders>
              <w:top w:val="nil"/>
              <w:left w:val="nil"/>
              <w:bottom w:val="single" w:sz="4" w:space="0" w:color="auto"/>
              <w:right w:val="single" w:sz="4" w:space="0" w:color="auto"/>
            </w:tcBorders>
            <w:shd w:val="clear" w:color="auto" w:fill="auto"/>
            <w:noWrap/>
            <w:vAlign w:val="bottom"/>
            <w:hideMark/>
          </w:tcPr>
          <w:p w14:paraId="7D96FBF2"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222810</w:t>
            </w:r>
          </w:p>
        </w:tc>
        <w:tc>
          <w:tcPr>
            <w:tcW w:w="1004" w:type="dxa"/>
            <w:tcBorders>
              <w:top w:val="nil"/>
              <w:left w:val="nil"/>
              <w:bottom w:val="single" w:sz="4" w:space="0" w:color="auto"/>
              <w:right w:val="single" w:sz="4" w:space="0" w:color="auto"/>
            </w:tcBorders>
            <w:shd w:val="clear" w:color="auto" w:fill="auto"/>
            <w:noWrap/>
            <w:vAlign w:val="bottom"/>
            <w:hideMark/>
          </w:tcPr>
          <w:p w14:paraId="244C749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0.04</w:t>
            </w:r>
          </w:p>
        </w:tc>
        <w:tc>
          <w:tcPr>
            <w:tcW w:w="900" w:type="dxa"/>
            <w:tcBorders>
              <w:top w:val="nil"/>
              <w:left w:val="nil"/>
              <w:bottom w:val="single" w:sz="4" w:space="0" w:color="auto"/>
              <w:right w:val="single" w:sz="4" w:space="0" w:color="auto"/>
            </w:tcBorders>
            <w:shd w:val="clear" w:color="auto" w:fill="auto"/>
            <w:noWrap/>
            <w:vAlign w:val="bottom"/>
            <w:hideMark/>
          </w:tcPr>
          <w:p w14:paraId="2422951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0.11</w:t>
            </w:r>
          </w:p>
        </w:tc>
        <w:tc>
          <w:tcPr>
            <w:tcW w:w="900" w:type="dxa"/>
            <w:tcBorders>
              <w:top w:val="nil"/>
              <w:left w:val="nil"/>
              <w:bottom w:val="single" w:sz="4" w:space="0" w:color="auto"/>
              <w:right w:val="single" w:sz="4" w:space="0" w:color="auto"/>
            </w:tcBorders>
            <w:shd w:val="clear" w:color="auto" w:fill="auto"/>
            <w:noWrap/>
            <w:vAlign w:val="bottom"/>
            <w:hideMark/>
          </w:tcPr>
          <w:p w14:paraId="5DBD3B1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0.11</w:t>
            </w:r>
          </w:p>
        </w:tc>
        <w:tc>
          <w:tcPr>
            <w:tcW w:w="900" w:type="dxa"/>
            <w:tcBorders>
              <w:top w:val="nil"/>
              <w:left w:val="nil"/>
              <w:bottom w:val="single" w:sz="4" w:space="0" w:color="auto"/>
              <w:right w:val="single" w:sz="4" w:space="0" w:color="auto"/>
            </w:tcBorders>
            <w:shd w:val="clear" w:color="auto" w:fill="auto"/>
            <w:noWrap/>
            <w:vAlign w:val="bottom"/>
            <w:hideMark/>
          </w:tcPr>
          <w:p w14:paraId="3F91992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0.11</w:t>
            </w:r>
          </w:p>
        </w:tc>
        <w:tc>
          <w:tcPr>
            <w:tcW w:w="948" w:type="dxa"/>
            <w:tcBorders>
              <w:top w:val="nil"/>
              <w:left w:val="nil"/>
              <w:bottom w:val="single" w:sz="4" w:space="0" w:color="auto"/>
              <w:right w:val="single" w:sz="4" w:space="0" w:color="auto"/>
            </w:tcBorders>
            <w:shd w:val="clear" w:color="auto" w:fill="auto"/>
            <w:noWrap/>
            <w:vAlign w:val="bottom"/>
            <w:hideMark/>
          </w:tcPr>
          <w:p w14:paraId="4FAC7FC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27AEA14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0.07</w:t>
            </w:r>
          </w:p>
        </w:tc>
        <w:tc>
          <w:tcPr>
            <w:tcW w:w="990" w:type="dxa"/>
            <w:tcBorders>
              <w:top w:val="nil"/>
              <w:left w:val="nil"/>
              <w:bottom w:val="single" w:sz="4" w:space="0" w:color="auto"/>
              <w:right w:val="single" w:sz="4" w:space="0" w:color="auto"/>
            </w:tcBorders>
            <w:shd w:val="clear" w:color="auto" w:fill="auto"/>
            <w:noWrap/>
            <w:vAlign w:val="bottom"/>
            <w:hideMark/>
          </w:tcPr>
          <w:p w14:paraId="716DEC2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210A237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99.67</w:t>
            </w:r>
          </w:p>
        </w:tc>
        <w:tc>
          <w:tcPr>
            <w:tcW w:w="1080" w:type="dxa"/>
            <w:tcBorders>
              <w:top w:val="nil"/>
              <w:left w:val="nil"/>
              <w:bottom w:val="single" w:sz="4" w:space="0" w:color="auto"/>
              <w:right w:val="single" w:sz="4" w:space="0" w:color="auto"/>
            </w:tcBorders>
            <w:shd w:val="clear" w:color="auto" w:fill="auto"/>
            <w:noWrap/>
            <w:vAlign w:val="bottom"/>
            <w:hideMark/>
          </w:tcPr>
          <w:p w14:paraId="1D001B4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156" w:type="dxa"/>
            <w:tcBorders>
              <w:top w:val="nil"/>
              <w:left w:val="nil"/>
              <w:bottom w:val="single" w:sz="4" w:space="0" w:color="auto"/>
              <w:right w:val="single" w:sz="4" w:space="0" w:color="auto"/>
            </w:tcBorders>
            <w:shd w:val="clear" w:color="auto" w:fill="auto"/>
            <w:noWrap/>
            <w:vAlign w:val="bottom"/>
            <w:hideMark/>
          </w:tcPr>
          <w:p w14:paraId="2822198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99.67</w:t>
            </w:r>
          </w:p>
        </w:tc>
      </w:tr>
      <w:tr w:rsidR="00E52AC1" w:rsidRPr="00991DD7" w14:paraId="2F6406A8"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0E8BD43F"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Servicii editoriale</w:t>
            </w:r>
          </w:p>
        </w:tc>
        <w:tc>
          <w:tcPr>
            <w:tcW w:w="964" w:type="dxa"/>
            <w:tcBorders>
              <w:top w:val="nil"/>
              <w:left w:val="nil"/>
              <w:bottom w:val="single" w:sz="4" w:space="0" w:color="auto"/>
              <w:right w:val="single" w:sz="4" w:space="0" w:color="auto"/>
            </w:tcBorders>
            <w:shd w:val="clear" w:color="auto" w:fill="auto"/>
            <w:noWrap/>
            <w:vAlign w:val="bottom"/>
            <w:hideMark/>
          </w:tcPr>
          <w:p w14:paraId="255A1BA0"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222910</w:t>
            </w:r>
          </w:p>
        </w:tc>
        <w:tc>
          <w:tcPr>
            <w:tcW w:w="1004" w:type="dxa"/>
            <w:tcBorders>
              <w:top w:val="nil"/>
              <w:left w:val="nil"/>
              <w:bottom w:val="single" w:sz="4" w:space="0" w:color="auto"/>
              <w:right w:val="single" w:sz="4" w:space="0" w:color="auto"/>
            </w:tcBorders>
            <w:shd w:val="clear" w:color="auto" w:fill="auto"/>
            <w:noWrap/>
            <w:vAlign w:val="bottom"/>
            <w:hideMark/>
          </w:tcPr>
          <w:p w14:paraId="0CE29F7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0.95</w:t>
            </w:r>
          </w:p>
        </w:tc>
        <w:tc>
          <w:tcPr>
            <w:tcW w:w="900" w:type="dxa"/>
            <w:tcBorders>
              <w:top w:val="nil"/>
              <w:left w:val="nil"/>
              <w:bottom w:val="single" w:sz="4" w:space="0" w:color="auto"/>
              <w:right w:val="single" w:sz="4" w:space="0" w:color="auto"/>
            </w:tcBorders>
            <w:shd w:val="clear" w:color="auto" w:fill="auto"/>
            <w:noWrap/>
            <w:vAlign w:val="bottom"/>
            <w:hideMark/>
          </w:tcPr>
          <w:p w14:paraId="6D0B957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2.33</w:t>
            </w:r>
          </w:p>
        </w:tc>
        <w:tc>
          <w:tcPr>
            <w:tcW w:w="900" w:type="dxa"/>
            <w:tcBorders>
              <w:top w:val="nil"/>
              <w:left w:val="nil"/>
              <w:bottom w:val="single" w:sz="4" w:space="0" w:color="auto"/>
              <w:right w:val="single" w:sz="4" w:space="0" w:color="auto"/>
            </w:tcBorders>
            <w:shd w:val="clear" w:color="auto" w:fill="auto"/>
            <w:noWrap/>
            <w:vAlign w:val="bottom"/>
            <w:hideMark/>
          </w:tcPr>
          <w:p w14:paraId="70726AF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1.44</w:t>
            </w:r>
          </w:p>
        </w:tc>
        <w:tc>
          <w:tcPr>
            <w:tcW w:w="900" w:type="dxa"/>
            <w:tcBorders>
              <w:top w:val="nil"/>
              <w:left w:val="nil"/>
              <w:bottom w:val="single" w:sz="4" w:space="0" w:color="auto"/>
              <w:right w:val="single" w:sz="4" w:space="0" w:color="auto"/>
            </w:tcBorders>
            <w:shd w:val="clear" w:color="auto" w:fill="auto"/>
            <w:noWrap/>
            <w:vAlign w:val="bottom"/>
            <w:hideMark/>
          </w:tcPr>
          <w:p w14:paraId="707DA90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1.44</w:t>
            </w:r>
          </w:p>
        </w:tc>
        <w:tc>
          <w:tcPr>
            <w:tcW w:w="948" w:type="dxa"/>
            <w:tcBorders>
              <w:top w:val="nil"/>
              <w:left w:val="nil"/>
              <w:bottom w:val="single" w:sz="4" w:space="0" w:color="auto"/>
              <w:right w:val="single" w:sz="4" w:space="0" w:color="auto"/>
            </w:tcBorders>
            <w:shd w:val="clear" w:color="auto" w:fill="auto"/>
            <w:noWrap/>
            <w:vAlign w:val="bottom"/>
            <w:hideMark/>
          </w:tcPr>
          <w:p w14:paraId="1FCAF0D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4785A2C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1.38</w:t>
            </w:r>
          </w:p>
        </w:tc>
        <w:tc>
          <w:tcPr>
            <w:tcW w:w="990" w:type="dxa"/>
            <w:tcBorders>
              <w:top w:val="nil"/>
              <w:left w:val="nil"/>
              <w:bottom w:val="single" w:sz="4" w:space="0" w:color="auto"/>
              <w:right w:val="single" w:sz="4" w:space="0" w:color="auto"/>
            </w:tcBorders>
            <w:shd w:val="clear" w:color="auto" w:fill="auto"/>
            <w:noWrap/>
            <w:vAlign w:val="bottom"/>
            <w:hideMark/>
          </w:tcPr>
          <w:p w14:paraId="6CC3454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-0.89</w:t>
            </w:r>
          </w:p>
        </w:tc>
        <w:tc>
          <w:tcPr>
            <w:tcW w:w="990" w:type="dxa"/>
            <w:tcBorders>
              <w:top w:val="nil"/>
              <w:left w:val="nil"/>
              <w:bottom w:val="single" w:sz="4" w:space="0" w:color="auto"/>
              <w:right w:val="single" w:sz="4" w:space="0" w:color="auto"/>
            </w:tcBorders>
            <w:shd w:val="clear" w:color="auto" w:fill="auto"/>
            <w:noWrap/>
            <w:vAlign w:val="bottom"/>
            <w:hideMark/>
          </w:tcPr>
          <w:p w14:paraId="1A456E1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61.81</w:t>
            </w:r>
          </w:p>
        </w:tc>
        <w:tc>
          <w:tcPr>
            <w:tcW w:w="1080" w:type="dxa"/>
            <w:tcBorders>
              <w:top w:val="nil"/>
              <w:left w:val="nil"/>
              <w:bottom w:val="single" w:sz="4" w:space="0" w:color="auto"/>
              <w:right w:val="single" w:sz="4" w:space="0" w:color="auto"/>
            </w:tcBorders>
            <w:shd w:val="clear" w:color="auto" w:fill="auto"/>
            <w:noWrap/>
            <w:vAlign w:val="bottom"/>
            <w:hideMark/>
          </w:tcPr>
          <w:p w14:paraId="749E26B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-0.89</w:t>
            </w:r>
          </w:p>
        </w:tc>
        <w:tc>
          <w:tcPr>
            <w:tcW w:w="1156" w:type="dxa"/>
            <w:tcBorders>
              <w:top w:val="nil"/>
              <w:left w:val="nil"/>
              <w:bottom w:val="single" w:sz="4" w:space="0" w:color="auto"/>
              <w:right w:val="single" w:sz="4" w:space="0" w:color="auto"/>
            </w:tcBorders>
            <w:shd w:val="clear" w:color="auto" w:fill="auto"/>
            <w:noWrap/>
            <w:vAlign w:val="bottom"/>
            <w:hideMark/>
          </w:tcPr>
          <w:p w14:paraId="72407F6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61.81</w:t>
            </w:r>
          </w:p>
        </w:tc>
      </w:tr>
      <w:tr w:rsidR="00E52AC1" w:rsidRPr="00991DD7" w14:paraId="1E0F1BD9"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2B602117"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Servicii de protocol</w:t>
            </w:r>
          </w:p>
        </w:tc>
        <w:tc>
          <w:tcPr>
            <w:tcW w:w="964" w:type="dxa"/>
            <w:tcBorders>
              <w:top w:val="nil"/>
              <w:left w:val="nil"/>
              <w:bottom w:val="single" w:sz="4" w:space="0" w:color="auto"/>
              <w:right w:val="single" w:sz="4" w:space="0" w:color="auto"/>
            </w:tcBorders>
            <w:shd w:val="clear" w:color="auto" w:fill="auto"/>
            <w:noWrap/>
            <w:vAlign w:val="bottom"/>
            <w:hideMark/>
          </w:tcPr>
          <w:p w14:paraId="21E242D4"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222920</w:t>
            </w:r>
          </w:p>
        </w:tc>
        <w:tc>
          <w:tcPr>
            <w:tcW w:w="1004" w:type="dxa"/>
            <w:tcBorders>
              <w:top w:val="nil"/>
              <w:left w:val="nil"/>
              <w:bottom w:val="single" w:sz="4" w:space="0" w:color="auto"/>
              <w:right w:val="single" w:sz="4" w:space="0" w:color="auto"/>
            </w:tcBorders>
            <w:shd w:val="clear" w:color="auto" w:fill="auto"/>
            <w:noWrap/>
            <w:vAlign w:val="bottom"/>
            <w:hideMark/>
          </w:tcPr>
          <w:p w14:paraId="002A7FD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5.78</w:t>
            </w:r>
          </w:p>
        </w:tc>
        <w:tc>
          <w:tcPr>
            <w:tcW w:w="900" w:type="dxa"/>
            <w:tcBorders>
              <w:top w:val="nil"/>
              <w:left w:val="nil"/>
              <w:bottom w:val="single" w:sz="4" w:space="0" w:color="auto"/>
              <w:right w:val="single" w:sz="4" w:space="0" w:color="auto"/>
            </w:tcBorders>
            <w:shd w:val="clear" w:color="auto" w:fill="auto"/>
            <w:noWrap/>
            <w:vAlign w:val="bottom"/>
            <w:hideMark/>
          </w:tcPr>
          <w:p w14:paraId="7976C66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5.10</w:t>
            </w:r>
          </w:p>
        </w:tc>
        <w:tc>
          <w:tcPr>
            <w:tcW w:w="900" w:type="dxa"/>
            <w:tcBorders>
              <w:top w:val="nil"/>
              <w:left w:val="nil"/>
              <w:bottom w:val="single" w:sz="4" w:space="0" w:color="auto"/>
              <w:right w:val="single" w:sz="4" w:space="0" w:color="auto"/>
            </w:tcBorders>
            <w:shd w:val="clear" w:color="auto" w:fill="auto"/>
            <w:noWrap/>
            <w:vAlign w:val="bottom"/>
            <w:hideMark/>
          </w:tcPr>
          <w:p w14:paraId="5CA7185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1.97</w:t>
            </w:r>
          </w:p>
        </w:tc>
        <w:tc>
          <w:tcPr>
            <w:tcW w:w="900" w:type="dxa"/>
            <w:tcBorders>
              <w:top w:val="nil"/>
              <w:left w:val="nil"/>
              <w:bottom w:val="single" w:sz="4" w:space="0" w:color="auto"/>
              <w:right w:val="single" w:sz="4" w:space="0" w:color="auto"/>
            </w:tcBorders>
            <w:shd w:val="clear" w:color="auto" w:fill="auto"/>
            <w:noWrap/>
            <w:vAlign w:val="bottom"/>
            <w:hideMark/>
          </w:tcPr>
          <w:p w14:paraId="115DBA9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1.97</w:t>
            </w:r>
          </w:p>
        </w:tc>
        <w:tc>
          <w:tcPr>
            <w:tcW w:w="948" w:type="dxa"/>
            <w:tcBorders>
              <w:top w:val="nil"/>
              <w:left w:val="nil"/>
              <w:bottom w:val="single" w:sz="4" w:space="0" w:color="auto"/>
              <w:right w:val="single" w:sz="4" w:space="0" w:color="auto"/>
            </w:tcBorders>
            <w:shd w:val="clear" w:color="auto" w:fill="auto"/>
            <w:noWrap/>
            <w:vAlign w:val="bottom"/>
            <w:hideMark/>
          </w:tcPr>
          <w:p w14:paraId="53CD004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7A90D5E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-0.69</w:t>
            </w:r>
          </w:p>
        </w:tc>
        <w:tc>
          <w:tcPr>
            <w:tcW w:w="990" w:type="dxa"/>
            <w:tcBorders>
              <w:top w:val="nil"/>
              <w:left w:val="nil"/>
              <w:bottom w:val="single" w:sz="4" w:space="0" w:color="auto"/>
              <w:right w:val="single" w:sz="4" w:space="0" w:color="auto"/>
            </w:tcBorders>
            <w:shd w:val="clear" w:color="auto" w:fill="auto"/>
            <w:noWrap/>
            <w:vAlign w:val="bottom"/>
            <w:hideMark/>
          </w:tcPr>
          <w:p w14:paraId="216AA92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-3.13</w:t>
            </w:r>
          </w:p>
        </w:tc>
        <w:tc>
          <w:tcPr>
            <w:tcW w:w="990" w:type="dxa"/>
            <w:tcBorders>
              <w:top w:val="nil"/>
              <w:left w:val="nil"/>
              <w:bottom w:val="single" w:sz="4" w:space="0" w:color="auto"/>
              <w:right w:val="single" w:sz="4" w:space="0" w:color="auto"/>
            </w:tcBorders>
            <w:shd w:val="clear" w:color="auto" w:fill="auto"/>
            <w:noWrap/>
            <w:vAlign w:val="bottom"/>
            <w:hideMark/>
          </w:tcPr>
          <w:p w14:paraId="13E90E4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38.58</w:t>
            </w:r>
          </w:p>
        </w:tc>
        <w:tc>
          <w:tcPr>
            <w:tcW w:w="1080" w:type="dxa"/>
            <w:tcBorders>
              <w:top w:val="nil"/>
              <w:left w:val="nil"/>
              <w:bottom w:val="single" w:sz="4" w:space="0" w:color="auto"/>
              <w:right w:val="single" w:sz="4" w:space="0" w:color="auto"/>
            </w:tcBorders>
            <w:shd w:val="clear" w:color="auto" w:fill="auto"/>
            <w:noWrap/>
            <w:vAlign w:val="bottom"/>
            <w:hideMark/>
          </w:tcPr>
          <w:p w14:paraId="6ED54E9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-3.13</w:t>
            </w:r>
          </w:p>
        </w:tc>
        <w:tc>
          <w:tcPr>
            <w:tcW w:w="1156" w:type="dxa"/>
            <w:tcBorders>
              <w:top w:val="nil"/>
              <w:left w:val="nil"/>
              <w:bottom w:val="single" w:sz="4" w:space="0" w:color="auto"/>
              <w:right w:val="single" w:sz="4" w:space="0" w:color="auto"/>
            </w:tcBorders>
            <w:shd w:val="clear" w:color="auto" w:fill="auto"/>
            <w:noWrap/>
            <w:vAlign w:val="bottom"/>
            <w:hideMark/>
          </w:tcPr>
          <w:p w14:paraId="083616A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38.58</w:t>
            </w:r>
          </w:p>
        </w:tc>
      </w:tr>
      <w:tr w:rsidR="00E52AC1" w:rsidRPr="00991DD7" w14:paraId="1C76EFCA"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tcPr>
          <w:p w14:paraId="44AC02E3"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566204">
              <w:rPr>
                <w:rFonts w:asciiTheme="majorHAnsi" w:eastAsia="Times New Roman" w:hAnsiTheme="majorHAnsi" w:cstheme="majorHAnsi"/>
                <w:b/>
                <w:bCs/>
                <w:color w:val="000000"/>
                <w:sz w:val="18"/>
                <w:szCs w:val="18"/>
              </w:rPr>
              <w:t>Servicii de cercetări științifice contractate</w:t>
            </w:r>
          </w:p>
        </w:tc>
        <w:tc>
          <w:tcPr>
            <w:tcW w:w="964" w:type="dxa"/>
            <w:tcBorders>
              <w:top w:val="nil"/>
              <w:left w:val="nil"/>
              <w:bottom w:val="single" w:sz="4" w:space="0" w:color="auto"/>
              <w:right w:val="single" w:sz="4" w:space="0" w:color="auto"/>
            </w:tcBorders>
            <w:shd w:val="clear" w:color="auto" w:fill="auto"/>
            <w:noWrap/>
            <w:vAlign w:val="bottom"/>
          </w:tcPr>
          <w:p w14:paraId="15F79B01"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222930</w:t>
            </w:r>
          </w:p>
        </w:tc>
        <w:tc>
          <w:tcPr>
            <w:tcW w:w="1004" w:type="dxa"/>
            <w:tcBorders>
              <w:top w:val="nil"/>
              <w:left w:val="nil"/>
              <w:bottom w:val="single" w:sz="4" w:space="0" w:color="auto"/>
              <w:right w:val="single" w:sz="4" w:space="0" w:color="auto"/>
            </w:tcBorders>
            <w:shd w:val="clear" w:color="auto" w:fill="auto"/>
            <w:noWrap/>
            <w:vAlign w:val="bottom"/>
          </w:tcPr>
          <w:p w14:paraId="5702355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0.22</w:t>
            </w:r>
          </w:p>
        </w:tc>
        <w:tc>
          <w:tcPr>
            <w:tcW w:w="900" w:type="dxa"/>
            <w:tcBorders>
              <w:top w:val="nil"/>
              <w:left w:val="nil"/>
              <w:bottom w:val="single" w:sz="4" w:space="0" w:color="auto"/>
              <w:right w:val="single" w:sz="4" w:space="0" w:color="auto"/>
            </w:tcBorders>
            <w:shd w:val="clear" w:color="auto" w:fill="auto"/>
            <w:noWrap/>
            <w:vAlign w:val="bottom"/>
          </w:tcPr>
          <w:p w14:paraId="0AC59C2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0.22</w:t>
            </w:r>
          </w:p>
        </w:tc>
        <w:tc>
          <w:tcPr>
            <w:tcW w:w="900" w:type="dxa"/>
            <w:tcBorders>
              <w:top w:val="nil"/>
              <w:left w:val="nil"/>
              <w:bottom w:val="single" w:sz="4" w:space="0" w:color="auto"/>
              <w:right w:val="single" w:sz="4" w:space="0" w:color="auto"/>
            </w:tcBorders>
            <w:shd w:val="clear" w:color="auto" w:fill="auto"/>
            <w:noWrap/>
            <w:vAlign w:val="bottom"/>
          </w:tcPr>
          <w:p w14:paraId="5A056C6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0.22</w:t>
            </w:r>
          </w:p>
        </w:tc>
        <w:tc>
          <w:tcPr>
            <w:tcW w:w="900" w:type="dxa"/>
            <w:tcBorders>
              <w:top w:val="nil"/>
              <w:left w:val="nil"/>
              <w:bottom w:val="single" w:sz="4" w:space="0" w:color="auto"/>
              <w:right w:val="single" w:sz="4" w:space="0" w:color="auto"/>
            </w:tcBorders>
            <w:shd w:val="clear" w:color="auto" w:fill="auto"/>
            <w:noWrap/>
            <w:vAlign w:val="bottom"/>
          </w:tcPr>
          <w:p w14:paraId="1D1D51A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0.22</w:t>
            </w:r>
          </w:p>
        </w:tc>
        <w:tc>
          <w:tcPr>
            <w:tcW w:w="948" w:type="dxa"/>
            <w:tcBorders>
              <w:top w:val="nil"/>
              <w:left w:val="nil"/>
              <w:bottom w:val="single" w:sz="4" w:space="0" w:color="auto"/>
              <w:right w:val="single" w:sz="4" w:space="0" w:color="auto"/>
            </w:tcBorders>
            <w:shd w:val="clear" w:color="auto" w:fill="auto"/>
            <w:noWrap/>
            <w:vAlign w:val="bottom"/>
          </w:tcPr>
          <w:p w14:paraId="08D2A5D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14314D6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42740F0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7971AE3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100.00</w:t>
            </w:r>
          </w:p>
        </w:tc>
        <w:tc>
          <w:tcPr>
            <w:tcW w:w="1080" w:type="dxa"/>
            <w:tcBorders>
              <w:top w:val="nil"/>
              <w:left w:val="nil"/>
              <w:bottom w:val="single" w:sz="4" w:space="0" w:color="auto"/>
              <w:right w:val="single" w:sz="4" w:space="0" w:color="auto"/>
            </w:tcBorders>
            <w:shd w:val="clear" w:color="auto" w:fill="auto"/>
            <w:noWrap/>
            <w:vAlign w:val="bottom"/>
          </w:tcPr>
          <w:p w14:paraId="1934C3E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156" w:type="dxa"/>
            <w:tcBorders>
              <w:top w:val="nil"/>
              <w:left w:val="nil"/>
              <w:bottom w:val="single" w:sz="4" w:space="0" w:color="auto"/>
              <w:right w:val="single" w:sz="4" w:space="0" w:color="auto"/>
            </w:tcBorders>
            <w:shd w:val="clear" w:color="auto" w:fill="auto"/>
            <w:noWrap/>
            <w:vAlign w:val="bottom"/>
          </w:tcPr>
          <w:p w14:paraId="184B513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100.00</w:t>
            </w:r>
          </w:p>
        </w:tc>
      </w:tr>
      <w:tr w:rsidR="00E52AC1" w:rsidRPr="00991DD7" w14:paraId="2A1C6ACE"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19D9DF31"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Servicii de paza</w:t>
            </w:r>
          </w:p>
        </w:tc>
        <w:tc>
          <w:tcPr>
            <w:tcW w:w="964" w:type="dxa"/>
            <w:tcBorders>
              <w:top w:val="nil"/>
              <w:left w:val="nil"/>
              <w:bottom w:val="single" w:sz="4" w:space="0" w:color="auto"/>
              <w:right w:val="single" w:sz="4" w:space="0" w:color="auto"/>
            </w:tcBorders>
            <w:shd w:val="clear" w:color="auto" w:fill="auto"/>
            <w:noWrap/>
            <w:vAlign w:val="bottom"/>
            <w:hideMark/>
          </w:tcPr>
          <w:p w14:paraId="5654273A"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222940</w:t>
            </w:r>
          </w:p>
        </w:tc>
        <w:tc>
          <w:tcPr>
            <w:tcW w:w="1004" w:type="dxa"/>
            <w:tcBorders>
              <w:top w:val="nil"/>
              <w:left w:val="nil"/>
              <w:bottom w:val="single" w:sz="4" w:space="0" w:color="auto"/>
              <w:right w:val="single" w:sz="4" w:space="0" w:color="auto"/>
            </w:tcBorders>
            <w:shd w:val="clear" w:color="auto" w:fill="auto"/>
            <w:noWrap/>
            <w:vAlign w:val="bottom"/>
            <w:hideMark/>
          </w:tcPr>
          <w:p w14:paraId="7571C06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3.38</w:t>
            </w:r>
          </w:p>
        </w:tc>
        <w:tc>
          <w:tcPr>
            <w:tcW w:w="900" w:type="dxa"/>
            <w:tcBorders>
              <w:top w:val="nil"/>
              <w:left w:val="nil"/>
              <w:bottom w:val="single" w:sz="4" w:space="0" w:color="auto"/>
              <w:right w:val="single" w:sz="4" w:space="0" w:color="auto"/>
            </w:tcBorders>
            <w:shd w:val="clear" w:color="auto" w:fill="auto"/>
            <w:noWrap/>
            <w:vAlign w:val="bottom"/>
            <w:hideMark/>
          </w:tcPr>
          <w:p w14:paraId="27EEEB3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3.53</w:t>
            </w:r>
          </w:p>
        </w:tc>
        <w:tc>
          <w:tcPr>
            <w:tcW w:w="900" w:type="dxa"/>
            <w:tcBorders>
              <w:top w:val="nil"/>
              <w:left w:val="nil"/>
              <w:bottom w:val="single" w:sz="4" w:space="0" w:color="auto"/>
              <w:right w:val="single" w:sz="4" w:space="0" w:color="auto"/>
            </w:tcBorders>
            <w:shd w:val="clear" w:color="auto" w:fill="auto"/>
            <w:noWrap/>
            <w:vAlign w:val="bottom"/>
            <w:hideMark/>
          </w:tcPr>
          <w:p w14:paraId="13C24EA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3.38</w:t>
            </w:r>
          </w:p>
        </w:tc>
        <w:tc>
          <w:tcPr>
            <w:tcW w:w="900" w:type="dxa"/>
            <w:tcBorders>
              <w:top w:val="nil"/>
              <w:left w:val="nil"/>
              <w:bottom w:val="single" w:sz="4" w:space="0" w:color="auto"/>
              <w:right w:val="single" w:sz="4" w:space="0" w:color="auto"/>
            </w:tcBorders>
            <w:shd w:val="clear" w:color="auto" w:fill="auto"/>
            <w:noWrap/>
            <w:vAlign w:val="bottom"/>
            <w:hideMark/>
          </w:tcPr>
          <w:p w14:paraId="20506D4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3.38</w:t>
            </w:r>
          </w:p>
        </w:tc>
        <w:tc>
          <w:tcPr>
            <w:tcW w:w="948" w:type="dxa"/>
            <w:tcBorders>
              <w:top w:val="nil"/>
              <w:left w:val="nil"/>
              <w:bottom w:val="single" w:sz="4" w:space="0" w:color="auto"/>
              <w:right w:val="single" w:sz="4" w:space="0" w:color="auto"/>
            </w:tcBorders>
            <w:shd w:val="clear" w:color="auto" w:fill="auto"/>
            <w:noWrap/>
            <w:vAlign w:val="bottom"/>
            <w:hideMark/>
          </w:tcPr>
          <w:p w14:paraId="487D2C5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051BB10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0.14</w:t>
            </w:r>
          </w:p>
        </w:tc>
        <w:tc>
          <w:tcPr>
            <w:tcW w:w="990" w:type="dxa"/>
            <w:tcBorders>
              <w:top w:val="nil"/>
              <w:left w:val="nil"/>
              <w:bottom w:val="single" w:sz="4" w:space="0" w:color="auto"/>
              <w:right w:val="single" w:sz="4" w:space="0" w:color="auto"/>
            </w:tcBorders>
            <w:shd w:val="clear" w:color="auto" w:fill="auto"/>
            <w:noWrap/>
            <w:vAlign w:val="bottom"/>
            <w:hideMark/>
          </w:tcPr>
          <w:p w14:paraId="1262E05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-0.15</w:t>
            </w:r>
          </w:p>
        </w:tc>
        <w:tc>
          <w:tcPr>
            <w:tcW w:w="990" w:type="dxa"/>
            <w:tcBorders>
              <w:top w:val="nil"/>
              <w:left w:val="nil"/>
              <w:bottom w:val="single" w:sz="4" w:space="0" w:color="auto"/>
              <w:right w:val="single" w:sz="4" w:space="0" w:color="auto"/>
            </w:tcBorders>
            <w:shd w:val="clear" w:color="auto" w:fill="auto"/>
            <w:noWrap/>
            <w:vAlign w:val="bottom"/>
            <w:hideMark/>
          </w:tcPr>
          <w:p w14:paraId="7646179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95.67</w:t>
            </w:r>
          </w:p>
        </w:tc>
        <w:tc>
          <w:tcPr>
            <w:tcW w:w="1080" w:type="dxa"/>
            <w:tcBorders>
              <w:top w:val="nil"/>
              <w:left w:val="nil"/>
              <w:bottom w:val="single" w:sz="4" w:space="0" w:color="auto"/>
              <w:right w:val="single" w:sz="4" w:space="0" w:color="auto"/>
            </w:tcBorders>
            <w:shd w:val="clear" w:color="auto" w:fill="auto"/>
            <w:noWrap/>
            <w:vAlign w:val="bottom"/>
            <w:hideMark/>
          </w:tcPr>
          <w:p w14:paraId="7A02EFF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-0.15</w:t>
            </w:r>
          </w:p>
        </w:tc>
        <w:tc>
          <w:tcPr>
            <w:tcW w:w="1156" w:type="dxa"/>
            <w:tcBorders>
              <w:top w:val="nil"/>
              <w:left w:val="nil"/>
              <w:bottom w:val="single" w:sz="4" w:space="0" w:color="auto"/>
              <w:right w:val="single" w:sz="4" w:space="0" w:color="auto"/>
            </w:tcBorders>
            <w:shd w:val="clear" w:color="auto" w:fill="auto"/>
            <w:noWrap/>
            <w:vAlign w:val="bottom"/>
            <w:hideMark/>
          </w:tcPr>
          <w:p w14:paraId="5DBCABE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95.67</w:t>
            </w:r>
          </w:p>
        </w:tc>
      </w:tr>
      <w:tr w:rsidR="00E52AC1" w:rsidRPr="00991DD7" w14:paraId="0C779F8C" w14:textId="77777777" w:rsidTr="00E52AC1">
        <w:trPr>
          <w:trHeight w:val="422"/>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1F3A3429"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Servicii judiciare si servicii de asistenta juridica garantata de stat</w:t>
            </w:r>
          </w:p>
        </w:tc>
        <w:tc>
          <w:tcPr>
            <w:tcW w:w="964" w:type="dxa"/>
            <w:tcBorders>
              <w:top w:val="nil"/>
              <w:left w:val="nil"/>
              <w:bottom w:val="single" w:sz="4" w:space="0" w:color="auto"/>
              <w:right w:val="single" w:sz="4" w:space="0" w:color="auto"/>
            </w:tcBorders>
            <w:shd w:val="clear" w:color="auto" w:fill="auto"/>
            <w:noWrap/>
            <w:vAlign w:val="bottom"/>
            <w:hideMark/>
          </w:tcPr>
          <w:p w14:paraId="16EFBBC6"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222950</w:t>
            </w:r>
          </w:p>
        </w:tc>
        <w:tc>
          <w:tcPr>
            <w:tcW w:w="1004" w:type="dxa"/>
            <w:tcBorders>
              <w:top w:val="nil"/>
              <w:left w:val="nil"/>
              <w:bottom w:val="single" w:sz="4" w:space="0" w:color="auto"/>
              <w:right w:val="single" w:sz="4" w:space="0" w:color="auto"/>
            </w:tcBorders>
            <w:shd w:val="clear" w:color="auto" w:fill="auto"/>
            <w:noWrap/>
            <w:vAlign w:val="bottom"/>
            <w:hideMark/>
          </w:tcPr>
          <w:p w14:paraId="06035B3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0.07</w:t>
            </w:r>
          </w:p>
        </w:tc>
        <w:tc>
          <w:tcPr>
            <w:tcW w:w="900" w:type="dxa"/>
            <w:tcBorders>
              <w:top w:val="nil"/>
              <w:left w:val="nil"/>
              <w:bottom w:val="single" w:sz="4" w:space="0" w:color="auto"/>
              <w:right w:val="single" w:sz="4" w:space="0" w:color="auto"/>
            </w:tcBorders>
            <w:shd w:val="clear" w:color="auto" w:fill="auto"/>
            <w:noWrap/>
            <w:vAlign w:val="bottom"/>
            <w:hideMark/>
          </w:tcPr>
          <w:p w14:paraId="49CF475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0.23</w:t>
            </w:r>
          </w:p>
        </w:tc>
        <w:tc>
          <w:tcPr>
            <w:tcW w:w="900" w:type="dxa"/>
            <w:tcBorders>
              <w:top w:val="nil"/>
              <w:left w:val="nil"/>
              <w:bottom w:val="single" w:sz="4" w:space="0" w:color="auto"/>
              <w:right w:val="single" w:sz="4" w:space="0" w:color="auto"/>
            </w:tcBorders>
            <w:shd w:val="clear" w:color="auto" w:fill="auto"/>
            <w:noWrap/>
            <w:vAlign w:val="bottom"/>
            <w:hideMark/>
          </w:tcPr>
          <w:p w14:paraId="2FF09FD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0.14</w:t>
            </w:r>
          </w:p>
        </w:tc>
        <w:tc>
          <w:tcPr>
            <w:tcW w:w="900" w:type="dxa"/>
            <w:tcBorders>
              <w:top w:val="nil"/>
              <w:left w:val="nil"/>
              <w:bottom w:val="single" w:sz="4" w:space="0" w:color="auto"/>
              <w:right w:val="single" w:sz="4" w:space="0" w:color="auto"/>
            </w:tcBorders>
            <w:shd w:val="clear" w:color="auto" w:fill="auto"/>
            <w:noWrap/>
            <w:vAlign w:val="bottom"/>
            <w:hideMark/>
          </w:tcPr>
          <w:p w14:paraId="3D30964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0.14</w:t>
            </w:r>
          </w:p>
        </w:tc>
        <w:tc>
          <w:tcPr>
            <w:tcW w:w="948" w:type="dxa"/>
            <w:tcBorders>
              <w:top w:val="nil"/>
              <w:left w:val="nil"/>
              <w:bottom w:val="single" w:sz="4" w:space="0" w:color="auto"/>
              <w:right w:val="single" w:sz="4" w:space="0" w:color="auto"/>
            </w:tcBorders>
            <w:shd w:val="clear" w:color="auto" w:fill="auto"/>
            <w:noWrap/>
            <w:vAlign w:val="bottom"/>
            <w:hideMark/>
          </w:tcPr>
          <w:p w14:paraId="0C0305B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6AFE9C4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0.16</w:t>
            </w:r>
          </w:p>
        </w:tc>
        <w:tc>
          <w:tcPr>
            <w:tcW w:w="990" w:type="dxa"/>
            <w:tcBorders>
              <w:top w:val="nil"/>
              <w:left w:val="nil"/>
              <w:bottom w:val="single" w:sz="4" w:space="0" w:color="auto"/>
              <w:right w:val="single" w:sz="4" w:space="0" w:color="auto"/>
            </w:tcBorders>
            <w:shd w:val="clear" w:color="auto" w:fill="auto"/>
            <w:noWrap/>
            <w:vAlign w:val="bottom"/>
            <w:hideMark/>
          </w:tcPr>
          <w:p w14:paraId="44BE8AD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-0.08</w:t>
            </w:r>
          </w:p>
        </w:tc>
        <w:tc>
          <w:tcPr>
            <w:tcW w:w="990" w:type="dxa"/>
            <w:tcBorders>
              <w:top w:val="nil"/>
              <w:left w:val="nil"/>
              <w:bottom w:val="single" w:sz="4" w:space="0" w:color="auto"/>
              <w:right w:val="single" w:sz="4" w:space="0" w:color="auto"/>
            </w:tcBorders>
            <w:shd w:val="clear" w:color="auto" w:fill="auto"/>
            <w:noWrap/>
            <w:vAlign w:val="bottom"/>
            <w:hideMark/>
          </w:tcPr>
          <w:p w14:paraId="5CE035C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63.27</w:t>
            </w:r>
          </w:p>
        </w:tc>
        <w:tc>
          <w:tcPr>
            <w:tcW w:w="1080" w:type="dxa"/>
            <w:tcBorders>
              <w:top w:val="nil"/>
              <w:left w:val="nil"/>
              <w:bottom w:val="single" w:sz="4" w:space="0" w:color="auto"/>
              <w:right w:val="single" w:sz="4" w:space="0" w:color="auto"/>
            </w:tcBorders>
            <w:shd w:val="clear" w:color="auto" w:fill="auto"/>
            <w:noWrap/>
            <w:vAlign w:val="bottom"/>
            <w:hideMark/>
          </w:tcPr>
          <w:p w14:paraId="207C534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-0.08</w:t>
            </w:r>
          </w:p>
        </w:tc>
        <w:tc>
          <w:tcPr>
            <w:tcW w:w="1156" w:type="dxa"/>
            <w:tcBorders>
              <w:top w:val="nil"/>
              <w:left w:val="nil"/>
              <w:bottom w:val="single" w:sz="4" w:space="0" w:color="auto"/>
              <w:right w:val="single" w:sz="4" w:space="0" w:color="auto"/>
            </w:tcBorders>
            <w:shd w:val="clear" w:color="auto" w:fill="auto"/>
            <w:noWrap/>
            <w:vAlign w:val="bottom"/>
            <w:hideMark/>
          </w:tcPr>
          <w:p w14:paraId="5C92F2C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63.27</w:t>
            </w:r>
          </w:p>
        </w:tc>
      </w:tr>
      <w:tr w:rsidR="00E52AC1" w:rsidRPr="00991DD7" w14:paraId="6A4343AB" w14:textId="77777777" w:rsidTr="00E52AC1">
        <w:trPr>
          <w:trHeight w:val="233"/>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643071A2"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Servicii de evaluare a activelor</w:t>
            </w:r>
          </w:p>
        </w:tc>
        <w:tc>
          <w:tcPr>
            <w:tcW w:w="964" w:type="dxa"/>
            <w:tcBorders>
              <w:top w:val="nil"/>
              <w:left w:val="nil"/>
              <w:bottom w:val="single" w:sz="4" w:space="0" w:color="auto"/>
              <w:right w:val="single" w:sz="4" w:space="0" w:color="auto"/>
            </w:tcBorders>
            <w:shd w:val="clear" w:color="auto" w:fill="auto"/>
            <w:noWrap/>
            <w:vAlign w:val="bottom"/>
            <w:hideMark/>
          </w:tcPr>
          <w:p w14:paraId="31844166"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222960</w:t>
            </w:r>
          </w:p>
        </w:tc>
        <w:tc>
          <w:tcPr>
            <w:tcW w:w="1004" w:type="dxa"/>
            <w:tcBorders>
              <w:top w:val="nil"/>
              <w:left w:val="nil"/>
              <w:bottom w:val="single" w:sz="4" w:space="0" w:color="auto"/>
              <w:right w:val="single" w:sz="4" w:space="0" w:color="auto"/>
            </w:tcBorders>
            <w:shd w:val="clear" w:color="auto" w:fill="auto"/>
            <w:noWrap/>
            <w:vAlign w:val="bottom"/>
            <w:hideMark/>
          </w:tcPr>
          <w:p w14:paraId="39CDAEF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2BDE31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69BDCD6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17D154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26A4FA4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2221B72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027C32B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71B1ED9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51F3CD2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156" w:type="dxa"/>
            <w:tcBorders>
              <w:top w:val="nil"/>
              <w:left w:val="nil"/>
              <w:bottom w:val="single" w:sz="4" w:space="0" w:color="auto"/>
              <w:right w:val="single" w:sz="4" w:space="0" w:color="auto"/>
            </w:tcBorders>
            <w:shd w:val="clear" w:color="auto" w:fill="auto"/>
            <w:noWrap/>
            <w:vAlign w:val="bottom"/>
            <w:hideMark/>
          </w:tcPr>
          <w:p w14:paraId="1111930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1E353F1E" w14:textId="77777777" w:rsidTr="00E52AC1">
        <w:trPr>
          <w:trHeight w:val="58"/>
        </w:trPr>
        <w:tc>
          <w:tcPr>
            <w:tcW w:w="4140" w:type="dxa"/>
            <w:tcBorders>
              <w:top w:val="nil"/>
              <w:left w:val="single" w:sz="4" w:space="0" w:color="auto"/>
              <w:bottom w:val="single" w:sz="4" w:space="0" w:color="auto"/>
              <w:right w:val="single" w:sz="4" w:space="0" w:color="auto"/>
            </w:tcBorders>
            <w:shd w:val="clear" w:color="auto" w:fill="auto"/>
            <w:vAlign w:val="bottom"/>
          </w:tcPr>
          <w:p w14:paraId="3187F12E"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566204">
              <w:rPr>
                <w:rFonts w:asciiTheme="majorHAnsi" w:eastAsia="Times New Roman" w:hAnsiTheme="majorHAnsi" w:cstheme="majorHAnsi"/>
                <w:b/>
                <w:bCs/>
                <w:color w:val="000000"/>
                <w:sz w:val="18"/>
                <w:szCs w:val="18"/>
              </w:rPr>
              <w:t>Servicii bancare</w:t>
            </w:r>
          </w:p>
        </w:tc>
        <w:tc>
          <w:tcPr>
            <w:tcW w:w="964" w:type="dxa"/>
            <w:tcBorders>
              <w:top w:val="nil"/>
              <w:left w:val="nil"/>
              <w:bottom w:val="single" w:sz="4" w:space="0" w:color="auto"/>
              <w:right w:val="single" w:sz="4" w:space="0" w:color="auto"/>
            </w:tcBorders>
            <w:shd w:val="clear" w:color="auto" w:fill="auto"/>
            <w:noWrap/>
            <w:vAlign w:val="bottom"/>
          </w:tcPr>
          <w:p w14:paraId="473C476E"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222970</w:t>
            </w:r>
          </w:p>
        </w:tc>
        <w:tc>
          <w:tcPr>
            <w:tcW w:w="1004" w:type="dxa"/>
            <w:tcBorders>
              <w:top w:val="nil"/>
              <w:left w:val="nil"/>
              <w:bottom w:val="single" w:sz="4" w:space="0" w:color="auto"/>
              <w:right w:val="single" w:sz="4" w:space="0" w:color="auto"/>
            </w:tcBorders>
            <w:shd w:val="clear" w:color="auto" w:fill="auto"/>
            <w:noWrap/>
            <w:vAlign w:val="bottom"/>
          </w:tcPr>
          <w:p w14:paraId="6E8D190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5.33</w:t>
            </w:r>
          </w:p>
        </w:tc>
        <w:tc>
          <w:tcPr>
            <w:tcW w:w="900" w:type="dxa"/>
            <w:tcBorders>
              <w:top w:val="nil"/>
              <w:left w:val="nil"/>
              <w:bottom w:val="single" w:sz="4" w:space="0" w:color="auto"/>
              <w:right w:val="single" w:sz="4" w:space="0" w:color="auto"/>
            </w:tcBorders>
            <w:shd w:val="clear" w:color="auto" w:fill="auto"/>
            <w:noWrap/>
            <w:vAlign w:val="bottom"/>
          </w:tcPr>
          <w:p w14:paraId="3605379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0.45</w:t>
            </w:r>
          </w:p>
        </w:tc>
        <w:tc>
          <w:tcPr>
            <w:tcW w:w="900" w:type="dxa"/>
            <w:tcBorders>
              <w:top w:val="nil"/>
              <w:left w:val="nil"/>
              <w:bottom w:val="single" w:sz="4" w:space="0" w:color="auto"/>
              <w:right w:val="single" w:sz="4" w:space="0" w:color="auto"/>
            </w:tcBorders>
            <w:shd w:val="clear" w:color="auto" w:fill="auto"/>
            <w:noWrap/>
            <w:vAlign w:val="bottom"/>
          </w:tcPr>
          <w:p w14:paraId="0132A25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0.18</w:t>
            </w:r>
          </w:p>
        </w:tc>
        <w:tc>
          <w:tcPr>
            <w:tcW w:w="900" w:type="dxa"/>
            <w:tcBorders>
              <w:top w:val="nil"/>
              <w:left w:val="nil"/>
              <w:bottom w:val="single" w:sz="4" w:space="0" w:color="auto"/>
              <w:right w:val="single" w:sz="4" w:space="0" w:color="auto"/>
            </w:tcBorders>
            <w:shd w:val="clear" w:color="auto" w:fill="auto"/>
            <w:noWrap/>
            <w:vAlign w:val="bottom"/>
          </w:tcPr>
          <w:p w14:paraId="0E8B324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0.18</w:t>
            </w:r>
          </w:p>
        </w:tc>
        <w:tc>
          <w:tcPr>
            <w:tcW w:w="948" w:type="dxa"/>
            <w:tcBorders>
              <w:top w:val="nil"/>
              <w:left w:val="nil"/>
              <w:bottom w:val="single" w:sz="4" w:space="0" w:color="auto"/>
              <w:right w:val="single" w:sz="4" w:space="0" w:color="auto"/>
            </w:tcBorders>
            <w:shd w:val="clear" w:color="auto" w:fill="auto"/>
            <w:noWrap/>
            <w:vAlign w:val="bottom"/>
          </w:tcPr>
          <w:p w14:paraId="0D13E67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4F7D5C6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-4.89</w:t>
            </w:r>
          </w:p>
        </w:tc>
        <w:tc>
          <w:tcPr>
            <w:tcW w:w="990" w:type="dxa"/>
            <w:tcBorders>
              <w:top w:val="nil"/>
              <w:left w:val="nil"/>
              <w:bottom w:val="single" w:sz="4" w:space="0" w:color="auto"/>
              <w:right w:val="single" w:sz="4" w:space="0" w:color="auto"/>
            </w:tcBorders>
            <w:shd w:val="clear" w:color="auto" w:fill="auto"/>
            <w:noWrap/>
            <w:vAlign w:val="bottom"/>
          </w:tcPr>
          <w:p w14:paraId="174FA71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-0.26</w:t>
            </w:r>
          </w:p>
        </w:tc>
        <w:tc>
          <w:tcPr>
            <w:tcW w:w="990" w:type="dxa"/>
            <w:tcBorders>
              <w:top w:val="nil"/>
              <w:left w:val="nil"/>
              <w:bottom w:val="single" w:sz="4" w:space="0" w:color="auto"/>
              <w:right w:val="single" w:sz="4" w:space="0" w:color="auto"/>
            </w:tcBorders>
            <w:shd w:val="clear" w:color="auto" w:fill="auto"/>
            <w:noWrap/>
            <w:vAlign w:val="bottom"/>
          </w:tcPr>
          <w:p w14:paraId="65C9E54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41.12</w:t>
            </w:r>
          </w:p>
        </w:tc>
        <w:tc>
          <w:tcPr>
            <w:tcW w:w="1080" w:type="dxa"/>
            <w:tcBorders>
              <w:top w:val="nil"/>
              <w:left w:val="nil"/>
              <w:bottom w:val="single" w:sz="4" w:space="0" w:color="auto"/>
              <w:right w:val="single" w:sz="4" w:space="0" w:color="auto"/>
            </w:tcBorders>
            <w:shd w:val="clear" w:color="auto" w:fill="auto"/>
            <w:noWrap/>
            <w:vAlign w:val="bottom"/>
          </w:tcPr>
          <w:p w14:paraId="0D6E09C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-0.26</w:t>
            </w:r>
          </w:p>
        </w:tc>
        <w:tc>
          <w:tcPr>
            <w:tcW w:w="1156" w:type="dxa"/>
            <w:tcBorders>
              <w:top w:val="nil"/>
              <w:left w:val="nil"/>
              <w:bottom w:val="single" w:sz="4" w:space="0" w:color="auto"/>
              <w:right w:val="single" w:sz="4" w:space="0" w:color="auto"/>
            </w:tcBorders>
            <w:shd w:val="clear" w:color="auto" w:fill="auto"/>
            <w:noWrap/>
            <w:vAlign w:val="bottom"/>
          </w:tcPr>
          <w:p w14:paraId="5178B14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41.12</w:t>
            </w:r>
          </w:p>
        </w:tc>
      </w:tr>
      <w:tr w:rsidR="00E52AC1" w:rsidRPr="00991DD7" w14:paraId="59C39E17" w14:textId="77777777" w:rsidTr="00E52AC1">
        <w:trPr>
          <w:trHeight w:val="5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7BC32B53"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Servicii poștale si distribuire a drepturilor sociale</w:t>
            </w:r>
          </w:p>
        </w:tc>
        <w:tc>
          <w:tcPr>
            <w:tcW w:w="964" w:type="dxa"/>
            <w:tcBorders>
              <w:top w:val="nil"/>
              <w:left w:val="nil"/>
              <w:bottom w:val="single" w:sz="4" w:space="0" w:color="auto"/>
              <w:right w:val="single" w:sz="4" w:space="0" w:color="auto"/>
            </w:tcBorders>
            <w:shd w:val="clear" w:color="auto" w:fill="auto"/>
            <w:noWrap/>
            <w:vAlign w:val="bottom"/>
            <w:hideMark/>
          </w:tcPr>
          <w:p w14:paraId="09620FA8"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222980</w:t>
            </w:r>
          </w:p>
        </w:tc>
        <w:tc>
          <w:tcPr>
            <w:tcW w:w="1004" w:type="dxa"/>
            <w:tcBorders>
              <w:top w:val="nil"/>
              <w:left w:val="nil"/>
              <w:bottom w:val="single" w:sz="4" w:space="0" w:color="auto"/>
              <w:right w:val="single" w:sz="4" w:space="0" w:color="auto"/>
            </w:tcBorders>
            <w:shd w:val="clear" w:color="auto" w:fill="auto"/>
            <w:noWrap/>
            <w:vAlign w:val="bottom"/>
            <w:hideMark/>
          </w:tcPr>
          <w:p w14:paraId="11FF674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0.31</w:t>
            </w:r>
          </w:p>
        </w:tc>
        <w:tc>
          <w:tcPr>
            <w:tcW w:w="900" w:type="dxa"/>
            <w:tcBorders>
              <w:top w:val="nil"/>
              <w:left w:val="nil"/>
              <w:bottom w:val="single" w:sz="4" w:space="0" w:color="auto"/>
              <w:right w:val="single" w:sz="4" w:space="0" w:color="auto"/>
            </w:tcBorders>
            <w:shd w:val="clear" w:color="auto" w:fill="auto"/>
            <w:noWrap/>
            <w:vAlign w:val="bottom"/>
            <w:hideMark/>
          </w:tcPr>
          <w:p w14:paraId="0E2A51C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0.39</w:t>
            </w:r>
          </w:p>
        </w:tc>
        <w:tc>
          <w:tcPr>
            <w:tcW w:w="900" w:type="dxa"/>
            <w:tcBorders>
              <w:top w:val="nil"/>
              <w:left w:val="nil"/>
              <w:bottom w:val="single" w:sz="4" w:space="0" w:color="auto"/>
              <w:right w:val="single" w:sz="4" w:space="0" w:color="auto"/>
            </w:tcBorders>
            <w:shd w:val="clear" w:color="auto" w:fill="auto"/>
            <w:noWrap/>
            <w:vAlign w:val="bottom"/>
            <w:hideMark/>
          </w:tcPr>
          <w:p w14:paraId="088F4B1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0.30</w:t>
            </w:r>
          </w:p>
        </w:tc>
        <w:tc>
          <w:tcPr>
            <w:tcW w:w="900" w:type="dxa"/>
            <w:tcBorders>
              <w:top w:val="nil"/>
              <w:left w:val="nil"/>
              <w:bottom w:val="single" w:sz="4" w:space="0" w:color="auto"/>
              <w:right w:val="single" w:sz="4" w:space="0" w:color="auto"/>
            </w:tcBorders>
            <w:shd w:val="clear" w:color="auto" w:fill="auto"/>
            <w:noWrap/>
            <w:vAlign w:val="bottom"/>
            <w:hideMark/>
          </w:tcPr>
          <w:p w14:paraId="7C4022A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0.30</w:t>
            </w:r>
          </w:p>
        </w:tc>
        <w:tc>
          <w:tcPr>
            <w:tcW w:w="948" w:type="dxa"/>
            <w:tcBorders>
              <w:top w:val="nil"/>
              <w:left w:val="nil"/>
              <w:bottom w:val="single" w:sz="4" w:space="0" w:color="auto"/>
              <w:right w:val="single" w:sz="4" w:space="0" w:color="auto"/>
            </w:tcBorders>
            <w:shd w:val="clear" w:color="auto" w:fill="auto"/>
            <w:noWrap/>
            <w:vAlign w:val="bottom"/>
            <w:hideMark/>
          </w:tcPr>
          <w:p w14:paraId="437EE33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0.01</w:t>
            </w:r>
          </w:p>
        </w:tc>
        <w:tc>
          <w:tcPr>
            <w:tcW w:w="1080" w:type="dxa"/>
            <w:tcBorders>
              <w:top w:val="nil"/>
              <w:left w:val="nil"/>
              <w:bottom w:val="single" w:sz="4" w:space="0" w:color="auto"/>
              <w:right w:val="single" w:sz="4" w:space="0" w:color="auto"/>
            </w:tcBorders>
            <w:shd w:val="clear" w:color="auto" w:fill="auto"/>
            <w:noWrap/>
            <w:vAlign w:val="bottom"/>
            <w:hideMark/>
          </w:tcPr>
          <w:p w14:paraId="75E0BBB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0.08</w:t>
            </w:r>
          </w:p>
        </w:tc>
        <w:tc>
          <w:tcPr>
            <w:tcW w:w="990" w:type="dxa"/>
            <w:tcBorders>
              <w:top w:val="nil"/>
              <w:left w:val="nil"/>
              <w:bottom w:val="single" w:sz="4" w:space="0" w:color="auto"/>
              <w:right w:val="single" w:sz="4" w:space="0" w:color="auto"/>
            </w:tcBorders>
            <w:shd w:val="clear" w:color="auto" w:fill="auto"/>
            <w:noWrap/>
            <w:vAlign w:val="bottom"/>
            <w:hideMark/>
          </w:tcPr>
          <w:p w14:paraId="498ED89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-0.09</w:t>
            </w:r>
          </w:p>
        </w:tc>
        <w:tc>
          <w:tcPr>
            <w:tcW w:w="990" w:type="dxa"/>
            <w:tcBorders>
              <w:top w:val="nil"/>
              <w:left w:val="nil"/>
              <w:bottom w:val="single" w:sz="4" w:space="0" w:color="auto"/>
              <w:right w:val="single" w:sz="4" w:space="0" w:color="auto"/>
            </w:tcBorders>
            <w:shd w:val="clear" w:color="auto" w:fill="auto"/>
            <w:noWrap/>
            <w:vAlign w:val="bottom"/>
            <w:hideMark/>
          </w:tcPr>
          <w:p w14:paraId="0817E2D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77.57</w:t>
            </w:r>
          </w:p>
        </w:tc>
        <w:tc>
          <w:tcPr>
            <w:tcW w:w="1080" w:type="dxa"/>
            <w:tcBorders>
              <w:top w:val="nil"/>
              <w:left w:val="nil"/>
              <w:bottom w:val="single" w:sz="4" w:space="0" w:color="auto"/>
              <w:right w:val="single" w:sz="4" w:space="0" w:color="auto"/>
            </w:tcBorders>
            <w:shd w:val="clear" w:color="auto" w:fill="auto"/>
            <w:noWrap/>
            <w:vAlign w:val="bottom"/>
            <w:hideMark/>
          </w:tcPr>
          <w:p w14:paraId="176503C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-0.09</w:t>
            </w:r>
          </w:p>
        </w:tc>
        <w:tc>
          <w:tcPr>
            <w:tcW w:w="1156" w:type="dxa"/>
            <w:tcBorders>
              <w:top w:val="nil"/>
              <w:left w:val="nil"/>
              <w:bottom w:val="single" w:sz="4" w:space="0" w:color="auto"/>
              <w:right w:val="single" w:sz="4" w:space="0" w:color="auto"/>
            </w:tcBorders>
            <w:shd w:val="clear" w:color="auto" w:fill="auto"/>
            <w:noWrap/>
            <w:vAlign w:val="bottom"/>
            <w:hideMark/>
          </w:tcPr>
          <w:p w14:paraId="194DD3D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77.18</w:t>
            </w:r>
          </w:p>
        </w:tc>
      </w:tr>
      <w:tr w:rsidR="00E52AC1" w:rsidRPr="00991DD7" w14:paraId="6A376C38" w14:textId="77777777" w:rsidTr="00E52AC1">
        <w:trPr>
          <w:trHeight w:val="170"/>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4094B5CB"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Servicii neatribuite altor aliniate</w:t>
            </w:r>
          </w:p>
        </w:tc>
        <w:tc>
          <w:tcPr>
            <w:tcW w:w="964" w:type="dxa"/>
            <w:tcBorders>
              <w:top w:val="nil"/>
              <w:left w:val="nil"/>
              <w:bottom w:val="single" w:sz="4" w:space="0" w:color="auto"/>
              <w:right w:val="single" w:sz="4" w:space="0" w:color="auto"/>
            </w:tcBorders>
            <w:shd w:val="clear" w:color="auto" w:fill="auto"/>
            <w:noWrap/>
            <w:vAlign w:val="bottom"/>
            <w:hideMark/>
          </w:tcPr>
          <w:p w14:paraId="240EF3A1"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222990</w:t>
            </w:r>
          </w:p>
        </w:tc>
        <w:tc>
          <w:tcPr>
            <w:tcW w:w="1004" w:type="dxa"/>
            <w:tcBorders>
              <w:top w:val="nil"/>
              <w:left w:val="nil"/>
              <w:bottom w:val="single" w:sz="4" w:space="0" w:color="auto"/>
              <w:right w:val="single" w:sz="4" w:space="0" w:color="auto"/>
            </w:tcBorders>
            <w:shd w:val="clear" w:color="auto" w:fill="auto"/>
            <w:noWrap/>
            <w:vAlign w:val="bottom"/>
            <w:hideMark/>
          </w:tcPr>
          <w:p w14:paraId="6CA53AE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289.50</w:t>
            </w:r>
          </w:p>
        </w:tc>
        <w:tc>
          <w:tcPr>
            <w:tcW w:w="900" w:type="dxa"/>
            <w:tcBorders>
              <w:top w:val="nil"/>
              <w:left w:val="nil"/>
              <w:bottom w:val="single" w:sz="4" w:space="0" w:color="auto"/>
              <w:right w:val="single" w:sz="4" w:space="0" w:color="auto"/>
            </w:tcBorders>
            <w:shd w:val="clear" w:color="auto" w:fill="auto"/>
            <w:noWrap/>
            <w:vAlign w:val="bottom"/>
            <w:hideMark/>
          </w:tcPr>
          <w:p w14:paraId="19D0D05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279.21</w:t>
            </w:r>
          </w:p>
        </w:tc>
        <w:tc>
          <w:tcPr>
            <w:tcW w:w="900" w:type="dxa"/>
            <w:tcBorders>
              <w:top w:val="nil"/>
              <w:left w:val="nil"/>
              <w:bottom w:val="single" w:sz="4" w:space="0" w:color="auto"/>
              <w:right w:val="single" w:sz="4" w:space="0" w:color="auto"/>
            </w:tcBorders>
            <w:shd w:val="clear" w:color="auto" w:fill="auto"/>
            <w:noWrap/>
            <w:vAlign w:val="bottom"/>
            <w:hideMark/>
          </w:tcPr>
          <w:p w14:paraId="7AD4493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98.29</w:t>
            </w:r>
          </w:p>
        </w:tc>
        <w:tc>
          <w:tcPr>
            <w:tcW w:w="900" w:type="dxa"/>
            <w:tcBorders>
              <w:top w:val="nil"/>
              <w:left w:val="nil"/>
              <w:bottom w:val="single" w:sz="4" w:space="0" w:color="auto"/>
              <w:right w:val="single" w:sz="4" w:space="0" w:color="auto"/>
            </w:tcBorders>
            <w:shd w:val="clear" w:color="auto" w:fill="auto"/>
            <w:noWrap/>
            <w:vAlign w:val="bottom"/>
            <w:hideMark/>
          </w:tcPr>
          <w:p w14:paraId="3D0A30C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98.31</w:t>
            </w:r>
          </w:p>
        </w:tc>
        <w:tc>
          <w:tcPr>
            <w:tcW w:w="948" w:type="dxa"/>
            <w:tcBorders>
              <w:top w:val="nil"/>
              <w:left w:val="nil"/>
              <w:bottom w:val="single" w:sz="4" w:space="0" w:color="auto"/>
              <w:right w:val="single" w:sz="4" w:space="0" w:color="auto"/>
            </w:tcBorders>
            <w:shd w:val="clear" w:color="auto" w:fill="auto"/>
            <w:noWrap/>
            <w:vAlign w:val="bottom"/>
            <w:hideMark/>
          </w:tcPr>
          <w:p w14:paraId="4AFF16B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0.02</w:t>
            </w:r>
          </w:p>
        </w:tc>
        <w:tc>
          <w:tcPr>
            <w:tcW w:w="1080" w:type="dxa"/>
            <w:tcBorders>
              <w:top w:val="nil"/>
              <w:left w:val="nil"/>
              <w:bottom w:val="single" w:sz="4" w:space="0" w:color="auto"/>
              <w:right w:val="single" w:sz="4" w:space="0" w:color="auto"/>
            </w:tcBorders>
            <w:shd w:val="clear" w:color="auto" w:fill="auto"/>
            <w:noWrap/>
            <w:vAlign w:val="bottom"/>
            <w:hideMark/>
          </w:tcPr>
          <w:p w14:paraId="3716658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-10.29</w:t>
            </w:r>
          </w:p>
        </w:tc>
        <w:tc>
          <w:tcPr>
            <w:tcW w:w="990" w:type="dxa"/>
            <w:tcBorders>
              <w:top w:val="nil"/>
              <w:left w:val="nil"/>
              <w:bottom w:val="single" w:sz="4" w:space="0" w:color="auto"/>
              <w:right w:val="single" w:sz="4" w:space="0" w:color="auto"/>
            </w:tcBorders>
            <w:shd w:val="clear" w:color="auto" w:fill="auto"/>
            <w:noWrap/>
            <w:vAlign w:val="bottom"/>
            <w:hideMark/>
          </w:tcPr>
          <w:p w14:paraId="7142EFF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-180.92</w:t>
            </w:r>
          </w:p>
        </w:tc>
        <w:tc>
          <w:tcPr>
            <w:tcW w:w="990" w:type="dxa"/>
            <w:tcBorders>
              <w:top w:val="nil"/>
              <w:left w:val="nil"/>
              <w:bottom w:val="single" w:sz="4" w:space="0" w:color="auto"/>
              <w:right w:val="single" w:sz="4" w:space="0" w:color="auto"/>
            </w:tcBorders>
            <w:shd w:val="clear" w:color="auto" w:fill="auto"/>
            <w:noWrap/>
            <w:vAlign w:val="bottom"/>
            <w:hideMark/>
          </w:tcPr>
          <w:p w14:paraId="2FFBFE5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35.20</w:t>
            </w:r>
          </w:p>
        </w:tc>
        <w:tc>
          <w:tcPr>
            <w:tcW w:w="1080" w:type="dxa"/>
            <w:tcBorders>
              <w:top w:val="nil"/>
              <w:left w:val="nil"/>
              <w:bottom w:val="single" w:sz="4" w:space="0" w:color="auto"/>
              <w:right w:val="single" w:sz="4" w:space="0" w:color="auto"/>
            </w:tcBorders>
            <w:shd w:val="clear" w:color="auto" w:fill="auto"/>
            <w:noWrap/>
            <w:vAlign w:val="bottom"/>
            <w:hideMark/>
          </w:tcPr>
          <w:p w14:paraId="7158366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-180.90</w:t>
            </w:r>
          </w:p>
        </w:tc>
        <w:tc>
          <w:tcPr>
            <w:tcW w:w="1156" w:type="dxa"/>
            <w:tcBorders>
              <w:top w:val="nil"/>
              <w:left w:val="nil"/>
              <w:bottom w:val="single" w:sz="4" w:space="0" w:color="auto"/>
              <w:right w:val="single" w:sz="4" w:space="0" w:color="auto"/>
            </w:tcBorders>
            <w:shd w:val="clear" w:color="auto" w:fill="auto"/>
            <w:noWrap/>
            <w:vAlign w:val="bottom"/>
            <w:hideMark/>
          </w:tcPr>
          <w:p w14:paraId="602AEF9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35.21</w:t>
            </w:r>
          </w:p>
        </w:tc>
      </w:tr>
      <w:tr w:rsidR="00E52AC1" w:rsidRPr="00991DD7" w14:paraId="4D452FE3" w14:textId="77777777" w:rsidTr="00E52AC1">
        <w:trPr>
          <w:trHeight w:val="267"/>
        </w:trPr>
        <w:tc>
          <w:tcPr>
            <w:tcW w:w="4140" w:type="dxa"/>
            <w:tcBorders>
              <w:top w:val="nil"/>
              <w:left w:val="single" w:sz="4" w:space="0" w:color="auto"/>
              <w:bottom w:val="single" w:sz="4" w:space="0" w:color="auto"/>
              <w:right w:val="single" w:sz="4" w:space="0" w:color="auto"/>
            </w:tcBorders>
            <w:shd w:val="clear" w:color="auto" w:fill="D9E2F3" w:themeFill="accent5" w:themeFillTint="33"/>
            <w:vAlign w:val="bottom"/>
            <w:hideMark/>
          </w:tcPr>
          <w:p w14:paraId="6B3F88CB"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D9E2F3" w:themeFill="accent5" w:themeFillTint="33"/>
            <w:noWrap/>
            <w:vAlign w:val="bottom"/>
            <w:hideMark/>
          </w:tcPr>
          <w:p w14:paraId="7F6FB586" w14:textId="77777777" w:rsidR="00E52AC1" w:rsidRPr="00B65DE7" w:rsidRDefault="00E52AC1" w:rsidP="00E52AC1">
            <w:pPr>
              <w:spacing w:after="0" w:line="240" w:lineRule="auto"/>
              <w:jc w:val="center"/>
              <w:rPr>
                <w:rFonts w:asciiTheme="majorHAnsi" w:eastAsia="Times New Roman" w:hAnsiTheme="majorHAnsi" w:cstheme="majorHAnsi"/>
                <w:b/>
                <w:i/>
                <w:iCs/>
                <w:color w:val="000000"/>
                <w:sz w:val="18"/>
                <w:szCs w:val="18"/>
              </w:rPr>
            </w:pPr>
            <w:r w:rsidRPr="00B65DE7">
              <w:rPr>
                <w:rFonts w:asciiTheme="majorHAnsi" w:eastAsia="Times New Roman" w:hAnsiTheme="majorHAnsi" w:cstheme="majorHAnsi"/>
                <w:b/>
                <w:i/>
                <w:iCs/>
                <w:color w:val="000000"/>
                <w:sz w:val="18"/>
                <w:szCs w:val="18"/>
              </w:rPr>
              <w:t>231</w:t>
            </w:r>
          </w:p>
        </w:tc>
        <w:tc>
          <w:tcPr>
            <w:tcW w:w="1004" w:type="dxa"/>
            <w:tcBorders>
              <w:top w:val="nil"/>
              <w:left w:val="nil"/>
              <w:bottom w:val="single" w:sz="4" w:space="0" w:color="auto"/>
              <w:right w:val="single" w:sz="4" w:space="0" w:color="auto"/>
            </w:tcBorders>
            <w:shd w:val="clear" w:color="auto" w:fill="D9E2F3" w:themeFill="accent5" w:themeFillTint="33"/>
            <w:noWrap/>
            <w:vAlign w:val="bottom"/>
            <w:hideMark/>
          </w:tcPr>
          <w:p w14:paraId="7B93D787" w14:textId="77777777" w:rsidR="00E52AC1" w:rsidRPr="00B65DE7" w:rsidRDefault="00E52AC1" w:rsidP="00E52AC1">
            <w:pPr>
              <w:spacing w:after="0" w:line="240" w:lineRule="auto"/>
              <w:jc w:val="center"/>
              <w:rPr>
                <w:rFonts w:asciiTheme="majorHAnsi" w:eastAsia="Times New Roman" w:hAnsiTheme="majorHAnsi" w:cstheme="majorHAnsi"/>
                <w:b/>
                <w:color w:val="000000"/>
                <w:sz w:val="18"/>
                <w:szCs w:val="18"/>
              </w:rPr>
            </w:pPr>
            <w:r w:rsidRPr="00B65DE7">
              <w:rPr>
                <w:rFonts w:asciiTheme="majorHAnsi" w:eastAsia="Times New Roman" w:hAnsiTheme="majorHAnsi" w:cstheme="majorHAnsi"/>
                <w:b/>
                <w:color w:val="000000"/>
                <w:sz w:val="18"/>
                <w:szCs w:val="18"/>
              </w:rPr>
              <w:t>0.00</w:t>
            </w:r>
          </w:p>
        </w:tc>
        <w:tc>
          <w:tcPr>
            <w:tcW w:w="900" w:type="dxa"/>
            <w:tcBorders>
              <w:top w:val="nil"/>
              <w:left w:val="nil"/>
              <w:bottom w:val="single" w:sz="4" w:space="0" w:color="auto"/>
              <w:right w:val="single" w:sz="4" w:space="0" w:color="auto"/>
            </w:tcBorders>
            <w:shd w:val="clear" w:color="auto" w:fill="D9E2F3" w:themeFill="accent5" w:themeFillTint="33"/>
            <w:noWrap/>
            <w:vAlign w:val="bottom"/>
            <w:hideMark/>
          </w:tcPr>
          <w:p w14:paraId="71C04E00" w14:textId="77777777" w:rsidR="00E52AC1" w:rsidRPr="00B65DE7" w:rsidRDefault="00E52AC1" w:rsidP="00E52AC1">
            <w:pPr>
              <w:spacing w:after="0" w:line="240" w:lineRule="auto"/>
              <w:jc w:val="center"/>
              <w:rPr>
                <w:rFonts w:asciiTheme="majorHAnsi" w:eastAsia="Times New Roman" w:hAnsiTheme="majorHAnsi" w:cstheme="majorHAnsi"/>
                <w:b/>
                <w:color w:val="000000"/>
                <w:sz w:val="18"/>
                <w:szCs w:val="18"/>
              </w:rPr>
            </w:pPr>
            <w:r w:rsidRPr="00B65DE7">
              <w:rPr>
                <w:rFonts w:asciiTheme="majorHAnsi" w:eastAsia="Times New Roman" w:hAnsiTheme="majorHAnsi" w:cstheme="majorHAnsi"/>
                <w:b/>
                <w:color w:val="000000"/>
                <w:sz w:val="18"/>
                <w:szCs w:val="18"/>
              </w:rPr>
              <w:t>0.00</w:t>
            </w:r>
          </w:p>
        </w:tc>
        <w:tc>
          <w:tcPr>
            <w:tcW w:w="900" w:type="dxa"/>
            <w:tcBorders>
              <w:top w:val="nil"/>
              <w:left w:val="nil"/>
              <w:bottom w:val="single" w:sz="4" w:space="0" w:color="auto"/>
              <w:right w:val="single" w:sz="4" w:space="0" w:color="auto"/>
            </w:tcBorders>
            <w:shd w:val="clear" w:color="auto" w:fill="D9E2F3" w:themeFill="accent5" w:themeFillTint="33"/>
            <w:noWrap/>
            <w:vAlign w:val="bottom"/>
            <w:hideMark/>
          </w:tcPr>
          <w:p w14:paraId="797D4EDB" w14:textId="77777777" w:rsidR="00E52AC1" w:rsidRPr="00B65DE7" w:rsidRDefault="00E52AC1" w:rsidP="00E52AC1">
            <w:pPr>
              <w:spacing w:after="0" w:line="240" w:lineRule="auto"/>
              <w:jc w:val="center"/>
              <w:rPr>
                <w:rFonts w:asciiTheme="majorHAnsi" w:eastAsia="Times New Roman" w:hAnsiTheme="majorHAnsi" w:cstheme="majorHAnsi"/>
                <w:b/>
                <w:color w:val="000000"/>
                <w:sz w:val="18"/>
                <w:szCs w:val="18"/>
              </w:rPr>
            </w:pPr>
            <w:r w:rsidRPr="00B65DE7">
              <w:rPr>
                <w:rFonts w:asciiTheme="majorHAnsi" w:eastAsia="Times New Roman" w:hAnsiTheme="majorHAnsi" w:cstheme="majorHAnsi"/>
                <w:b/>
                <w:color w:val="000000"/>
                <w:sz w:val="18"/>
                <w:szCs w:val="18"/>
              </w:rPr>
              <w:t>0.00</w:t>
            </w:r>
          </w:p>
        </w:tc>
        <w:tc>
          <w:tcPr>
            <w:tcW w:w="900" w:type="dxa"/>
            <w:tcBorders>
              <w:top w:val="nil"/>
              <w:left w:val="nil"/>
              <w:bottom w:val="single" w:sz="4" w:space="0" w:color="auto"/>
              <w:right w:val="single" w:sz="4" w:space="0" w:color="auto"/>
            </w:tcBorders>
            <w:shd w:val="clear" w:color="auto" w:fill="D9E2F3" w:themeFill="accent5" w:themeFillTint="33"/>
            <w:noWrap/>
            <w:vAlign w:val="bottom"/>
            <w:hideMark/>
          </w:tcPr>
          <w:p w14:paraId="5747274F" w14:textId="77777777" w:rsidR="00E52AC1" w:rsidRPr="00B65DE7" w:rsidRDefault="00E52AC1" w:rsidP="00E52AC1">
            <w:pPr>
              <w:spacing w:after="0" w:line="240" w:lineRule="auto"/>
              <w:jc w:val="center"/>
              <w:rPr>
                <w:rFonts w:asciiTheme="majorHAnsi" w:eastAsia="Times New Roman" w:hAnsiTheme="majorHAnsi" w:cstheme="majorHAnsi"/>
                <w:b/>
                <w:color w:val="000000"/>
                <w:sz w:val="18"/>
                <w:szCs w:val="18"/>
              </w:rPr>
            </w:pPr>
            <w:r w:rsidRPr="00B65DE7">
              <w:rPr>
                <w:rFonts w:asciiTheme="majorHAnsi" w:eastAsia="Times New Roman" w:hAnsiTheme="majorHAnsi" w:cstheme="majorHAnsi"/>
                <w:b/>
                <w:color w:val="000000"/>
                <w:sz w:val="18"/>
                <w:szCs w:val="18"/>
              </w:rPr>
              <w:t>138.83</w:t>
            </w:r>
          </w:p>
        </w:tc>
        <w:tc>
          <w:tcPr>
            <w:tcW w:w="948" w:type="dxa"/>
            <w:tcBorders>
              <w:top w:val="nil"/>
              <w:left w:val="nil"/>
              <w:bottom w:val="single" w:sz="4" w:space="0" w:color="auto"/>
              <w:right w:val="single" w:sz="4" w:space="0" w:color="auto"/>
            </w:tcBorders>
            <w:shd w:val="clear" w:color="auto" w:fill="D9E2F3" w:themeFill="accent5" w:themeFillTint="33"/>
            <w:noWrap/>
            <w:vAlign w:val="bottom"/>
            <w:hideMark/>
          </w:tcPr>
          <w:p w14:paraId="5FBBF65C" w14:textId="77777777" w:rsidR="00E52AC1" w:rsidRPr="00B65DE7" w:rsidRDefault="00E52AC1" w:rsidP="00E52AC1">
            <w:pPr>
              <w:spacing w:after="0" w:line="240" w:lineRule="auto"/>
              <w:jc w:val="center"/>
              <w:rPr>
                <w:rFonts w:asciiTheme="majorHAnsi" w:eastAsia="Times New Roman" w:hAnsiTheme="majorHAnsi" w:cstheme="majorHAnsi"/>
                <w:b/>
                <w:color w:val="000000"/>
                <w:sz w:val="18"/>
                <w:szCs w:val="18"/>
              </w:rPr>
            </w:pPr>
            <w:r w:rsidRPr="00B65DE7">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D9E2F3" w:themeFill="accent5" w:themeFillTint="33"/>
            <w:noWrap/>
            <w:vAlign w:val="bottom"/>
            <w:hideMark/>
          </w:tcPr>
          <w:p w14:paraId="48E72081" w14:textId="77777777" w:rsidR="00E52AC1" w:rsidRPr="00B65DE7" w:rsidRDefault="00E52AC1" w:rsidP="00E52AC1">
            <w:pPr>
              <w:spacing w:after="0" w:line="240" w:lineRule="auto"/>
              <w:jc w:val="center"/>
              <w:rPr>
                <w:rFonts w:asciiTheme="majorHAnsi" w:eastAsia="Times New Roman" w:hAnsiTheme="majorHAnsi" w:cstheme="majorHAnsi"/>
                <w:b/>
                <w:color w:val="000000"/>
                <w:sz w:val="18"/>
                <w:szCs w:val="18"/>
              </w:rPr>
            </w:pPr>
            <w:r w:rsidRPr="00B65DE7">
              <w:rPr>
                <w:rFonts w:asciiTheme="majorHAnsi" w:eastAsia="Times New Roman" w:hAnsiTheme="majorHAnsi" w:cstheme="majorHAnsi"/>
                <w:b/>
                <w:color w:val="000000"/>
                <w:sz w:val="18"/>
                <w:szCs w:val="18"/>
              </w:rPr>
              <w:t>0.00</w:t>
            </w:r>
          </w:p>
        </w:tc>
        <w:tc>
          <w:tcPr>
            <w:tcW w:w="990" w:type="dxa"/>
            <w:tcBorders>
              <w:top w:val="nil"/>
              <w:left w:val="nil"/>
              <w:bottom w:val="single" w:sz="4" w:space="0" w:color="auto"/>
              <w:right w:val="single" w:sz="4" w:space="0" w:color="auto"/>
            </w:tcBorders>
            <w:shd w:val="clear" w:color="auto" w:fill="D9E2F3" w:themeFill="accent5" w:themeFillTint="33"/>
            <w:noWrap/>
            <w:vAlign w:val="bottom"/>
            <w:hideMark/>
          </w:tcPr>
          <w:p w14:paraId="65D6E315" w14:textId="77777777" w:rsidR="00E52AC1" w:rsidRPr="00B65DE7" w:rsidRDefault="00E52AC1" w:rsidP="00E52AC1">
            <w:pPr>
              <w:spacing w:after="0" w:line="240" w:lineRule="auto"/>
              <w:jc w:val="center"/>
              <w:rPr>
                <w:rFonts w:asciiTheme="majorHAnsi" w:eastAsia="Times New Roman" w:hAnsiTheme="majorHAnsi" w:cstheme="majorHAnsi"/>
                <w:b/>
                <w:color w:val="000000"/>
                <w:sz w:val="18"/>
                <w:szCs w:val="18"/>
              </w:rPr>
            </w:pPr>
            <w:r w:rsidRPr="00B65DE7">
              <w:rPr>
                <w:rFonts w:asciiTheme="majorHAnsi" w:eastAsia="Times New Roman" w:hAnsiTheme="majorHAnsi" w:cstheme="majorHAnsi"/>
                <w:b/>
                <w:color w:val="000000"/>
                <w:sz w:val="18"/>
                <w:szCs w:val="18"/>
              </w:rPr>
              <w:t>0.00</w:t>
            </w:r>
          </w:p>
        </w:tc>
        <w:tc>
          <w:tcPr>
            <w:tcW w:w="990" w:type="dxa"/>
            <w:tcBorders>
              <w:top w:val="nil"/>
              <w:left w:val="nil"/>
              <w:bottom w:val="single" w:sz="4" w:space="0" w:color="auto"/>
              <w:right w:val="single" w:sz="4" w:space="0" w:color="auto"/>
            </w:tcBorders>
            <w:shd w:val="clear" w:color="auto" w:fill="D9E2F3" w:themeFill="accent5" w:themeFillTint="33"/>
            <w:noWrap/>
            <w:vAlign w:val="bottom"/>
            <w:hideMark/>
          </w:tcPr>
          <w:p w14:paraId="7FD27DE2" w14:textId="77777777" w:rsidR="00E52AC1" w:rsidRPr="00B65DE7" w:rsidRDefault="00E52AC1" w:rsidP="00E52AC1">
            <w:pPr>
              <w:spacing w:after="0" w:line="240" w:lineRule="auto"/>
              <w:jc w:val="center"/>
              <w:rPr>
                <w:rFonts w:asciiTheme="majorHAnsi" w:eastAsia="Times New Roman" w:hAnsiTheme="majorHAnsi" w:cstheme="majorHAnsi"/>
                <w:b/>
                <w:color w:val="000000"/>
                <w:sz w:val="18"/>
                <w:szCs w:val="18"/>
              </w:rPr>
            </w:pPr>
            <w:r w:rsidRPr="00B65DE7">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D9E2F3" w:themeFill="accent5" w:themeFillTint="33"/>
            <w:noWrap/>
            <w:vAlign w:val="bottom"/>
            <w:hideMark/>
          </w:tcPr>
          <w:p w14:paraId="49343E76" w14:textId="77777777" w:rsidR="00E52AC1" w:rsidRPr="00B65DE7" w:rsidRDefault="00E52AC1" w:rsidP="00E52AC1">
            <w:pPr>
              <w:spacing w:after="0" w:line="240" w:lineRule="auto"/>
              <w:jc w:val="center"/>
              <w:rPr>
                <w:rFonts w:asciiTheme="majorHAnsi" w:eastAsia="Times New Roman" w:hAnsiTheme="majorHAnsi" w:cstheme="majorHAnsi"/>
                <w:b/>
                <w:color w:val="000000"/>
                <w:sz w:val="18"/>
                <w:szCs w:val="18"/>
              </w:rPr>
            </w:pPr>
            <w:r w:rsidRPr="00B65DE7">
              <w:rPr>
                <w:rFonts w:asciiTheme="majorHAnsi" w:eastAsia="Times New Roman" w:hAnsiTheme="majorHAnsi" w:cstheme="majorHAnsi"/>
                <w:b/>
                <w:color w:val="000000"/>
                <w:sz w:val="18"/>
                <w:szCs w:val="18"/>
              </w:rPr>
              <w:t>138.83</w:t>
            </w:r>
          </w:p>
        </w:tc>
        <w:tc>
          <w:tcPr>
            <w:tcW w:w="1156" w:type="dxa"/>
            <w:tcBorders>
              <w:top w:val="nil"/>
              <w:left w:val="nil"/>
              <w:bottom w:val="single" w:sz="4" w:space="0" w:color="auto"/>
              <w:right w:val="single" w:sz="4" w:space="0" w:color="auto"/>
            </w:tcBorders>
            <w:shd w:val="clear" w:color="auto" w:fill="D9E2F3" w:themeFill="accent5" w:themeFillTint="33"/>
            <w:noWrap/>
            <w:vAlign w:val="bottom"/>
            <w:hideMark/>
          </w:tcPr>
          <w:p w14:paraId="744D1C57" w14:textId="77777777" w:rsidR="00E52AC1" w:rsidRPr="00B65DE7" w:rsidRDefault="00E52AC1" w:rsidP="00E52AC1">
            <w:pPr>
              <w:spacing w:after="0" w:line="240" w:lineRule="auto"/>
              <w:jc w:val="center"/>
              <w:rPr>
                <w:rFonts w:asciiTheme="majorHAnsi" w:eastAsia="Times New Roman" w:hAnsiTheme="majorHAnsi" w:cstheme="majorHAnsi"/>
                <w:b/>
                <w:color w:val="000000"/>
                <w:sz w:val="18"/>
                <w:szCs w:val="18"/>
              </w:rPr>
            </w:pPr>
            <w:r w:rsidRPr="00B65DE7">
              <w:rPr>
                <w:rFonts w:asciiTheme="majorHAnsi" w:eastAsia="Times New Roman" w:hAnsiTheme="majorHAnsi" w:cstheme="majorHAnsi"/>
                <w:b/>
                <w:color w:val="000000"/>
                <w:sz w:val="18"/>
                <w:szCs w:val="18"/>
              </w:rPr>
              <w:t>0.00</w:t>
            </w:r>
          </w:p>
        </w:tc>
      </w:tr>
      <w:tr w:rsidR="00E52AC1" w:rsidRPr="00991DD7" w14:paraId="192D19D8" w14:textId="77777777" w:rsidTr="00E52AC1">
        <w:trPr>
          <w:trHeight w:val="269"/>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724B0216"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Cheltuieli privind uzura clădirilor</w:t>
            </w:r>
          </w:p>
        </w:tc>
        <w:tc>
          <w:tcPr>
            <w:tcW w:w="964" w:type="dxa"/>
            <w:tcBorders>
              <w:top w:val="nil"/>
              <w:left w:val="nil"/>
              <w:bottom w:val="single" w:sz="4" w:space="0" w:color="auto"/>
              <w:right w:val="single" w:sz="4" w:space="0" w:color="auto"/>
            </w:tcBorders>
            <w:shd w:val="clear" w:color="auto" w:fill="auto"/>
            <w:noWrap/>
            <w:vAlign w:val="bottom"/>
            <w:hideMark/>
          </w:tcPr>
          <w:p w14:paraId="429BF20A"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231100</w:t>
            </w:r>
          </w:p>
        </w:tc>
        <w:tc>
          <w:tcPr>
            <w:tcW w:w="1004" w:type="dxa"/>
            <w:tcBorders>
              <w:top w:val="nil"/>
              <w:left w:val="nil"/>
              <w:bottom w:val="single" w:sz="4" w:space="0" w:color="auto"/>
              <w:right w:val="single" w:sz="4" w:space="0" w:color="auto"/>
            </w:tcBorders>
            <w:shd w:val="clear" w:color="auto" w:fill="auto"/>
            <w:noWrap/>
            <w:vAlign w:val="bottom"/>
            <w:hideMark/>
          </w:tcPr>
          <w:p w14:paraId="73A140C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0C3ECF4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60A2F7F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670F8D6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62.45</w:t>
            </w:r>
          </w:p>
        </w:tc>
        <w:tc>
          <w:tcPr>
            <w:tcW w:w="948" w:type="dxa"/>
            <w:tcBorders>
              <w:top w:val="nil"/>
              <w:left w:val="nil"/>
              <w:bottom w:val="single" w:sz="4" w:space="0" w:color="auto"/>
              <w:right w:val="single" w:sz="4" w:space="0" w:color="auto"/>
            </w:tcBorders>
            <w:shd w:val="clear" w:color="auto" w:fill="auto"/>
            <w:noWrap/>
            <w:vAlign w:val="bottom"/>
            <w:hideMark/>
          </w:tcPr>
          <w:p w14:paraId="5AB09DF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44A97FC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3598983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3A1541E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5C8E7B1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62.45</w:t>
            </w:r>
          </w:p>
        </w:tc>
        <w:tc>
          <w:tcPr>
            <w:tcW w:w="1156" w:type="dxa"/>
            <w:tcBorders>
              <w:top w:val="nil"/>
              <w:left w:val="nil"/>
              <w:bottom w:val="single" w:sz="4" w:space="0" w:color="auto"/>
              <w:right w:val="single" w:sz="4" w:space="0" w:color="auto"/>
            </w:tcBorders>
            <w:shd w:val="clear" w:color="auto" w:fill="auto"/>
            <w:noWrap/>
            <w:vAlign w:val="bottom"/>
            <w:hideMark/>
          </w:tcPr>
          <w:p w14:paraId="6115B77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53BABBA1" w14:textId="77777777" w:rsidTr="00E52AC1">
        <w:trPr>
          <w:trHeight w:val="251"/>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7245285E"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Cheltuieli privind uzura construcțiilor speciale</w:t>
            </w:r>
          </w:p>
        </w:tc>
        <w:tc>
          <w:tcPr>
            <w:tcW w:w="964" w:type="dxa"/>
            <w:tcBorders>
              <w:top w:val="nil"/>
              <w:left w:val="nil"/>
              <w:bottom w:val="single" w:sz="4" w:space="0" w:color="auto"/>
              <w:right w:val="single" w:sz="4" w:space="0" w:color="auto"/>
            </w:tcBorders>
            <w:shd w:val="clear" w:color="auto" w:fill="auto"/>
            <w:noWrap/>
            <w:vAlign w:val="bottom"/>
            <w:hideMark/>
          </w:tcPr>
          <w:p w14:paraId="622A8121"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231200</w:t>
            </w:r>
          </w:p>
        </w:tc>
        <w:tc>
          <w:tcPr>
            <w:tcW w:w="1004" w:type="dxa"/>
            <w:tcBorders>
              <w:top w:val="nil"/>
              <w:left w:val="nil"/>
              <w:bottom w:val="single" w:sz="4" w:space="0" w:color="auto"/>
              <w:right w:val="single" w:sz="4" w:space="0" w:color="auto"/>
            </w:tcBorders>
            <w:shd w:val="clear" w:color="auto" w:fill="auto"/>
            <w:noWrap/>
            <w:vAlign w:val="bottom"/>
            <w:hideMark/>
          </w:tcPr>
          <w:p w14:paraId="13A8A6E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4816E20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0EADE2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3D5A027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0.66</w:t>
            </w:r>
          </w:p>
        </w:tc>
        <w:tc>
          <w:tcPr>
            <w:tcW w:w="948" w:type="dxa"/>
            <w:tcBorders>
              <w:top w:val="nil"/>
              <w:left w:val="nil"/>
              <w:bottom w:val="single" w:sz="4" w:space="0" w:color="auto"/>
              <w:right w:val="single" w:sz="4" w:space="0" w:color="auto"/>
            </w:tcBorders>
            <w:shd w:val="clear" w:color="auto" w:fill="auto"/>
            <w:noWrap/>
            <w:vAlign w:val="bottom"/>
            <w:hideMark/>
          </w:tcPr>
          <w:p w14:paraId="411D902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263125B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468040E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4147E2C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7DD47B0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0.66</w:t>
            </w:r>
          </w:p>
        </w:tc>
        <w:tc>
          <w:tcPr>
            <w:tcW w:w="1156" w:type="dxa"/>
            <w:tcBorders>
              <w:top w:val="nil"/>
              <w:left w:val="nil"/>
              <w:bottom w:val="single" w:sz="4" w:space="0" w:color="auto"/>
              <w:right w:val="single" w:sz="4" w:space="0" w:color="auto"/>
            </w:tcBorders>
            <w:shd w:val="clear" w:color="auto" w:fill="auto"/>
            <w:noWrap/>
            <w:vAlign w:val="bottom"/>
            <w:hideMark/>
          </w:tcPr>
          <w:p w14:paraId="5B7FDFD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33D7DF01" w14:textId="77777777" w:rsidTr="00E52AC1">
        <w:trPr>
          <w:trHeight w:val="260"/>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3DBCF3BE"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Cheltuieli privind uzura instalațiilor de transmisie</w:t>
            </w:r>
          </w:p>
        </w:tc>
        <w:tc>
          <w:tcPr>
            <w:tcW w:w="964" w:type="dxa"/>
            <w:tcBorders>
              <w:top w:val="nil"/>
              <w:left w:val="nil"/>
              <w:bottom w:val="single" w:sz="4" w:space="0" w:color="auto"/>
              <w:right w:val="single" w:sz="4" w:space="0" w:color="auto"/>
            </w:tcBorders>
            <w:shd w:val="clear" w:color="auto" w:fill="auto"/>
            <w:noWrap/>
            <w:vAlign w:val="bottom"/>
            <w:hideMark/>
          </w:tcPr>
          <w:p w14:paraId="14DF9B37"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231300</w:t>
            </w:r>
          </w:p>
        </w:tc>
        <w:tc>
          <w:tcPr>
            <w:tcW w:w="1004" w:type="dxa"/>
            <w:tcBorders>
              <w:top w:val="nil"/>
              <w:left w:val="nil"/>
              <w:bottom w:val="single" w:sz="4" w:space="0" w:color="auto"/>
              <w:right w:val="single" w:sz="4" w:space="0" w:color="auto"/>
            </w:tcBorders>
            <w:shd w:val="clear" w:color="auto" w:fill="auto"/>
            <w:noWrap/>
            <w:vAlign w:val="bottom"/>
            <w:hideMark/>
          </w:tcPr>
          <w:p w14:paraId="615242A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BD2F66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5744889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7B37FBC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0.53</w:t>
            </w:r>
          </w:p>
        </w:tc>
        <w:tc>
          <w:tcPr>
            <w:tcW w:w="948" w:type="dxa"/>
            <w:tcBorders>
              <w:top w:val="nil"/>
              <w:left w:val="nil"/>
              <w:bottom w:val="single" w:sz="4" w:space="0" w:color="auto"/>
              <w:right w:val="single" w:sz="4" w:space="0" w:color="auto"/>
            </w:tcBorders>
            <w:shd w:val="clear" w:color="auto" w:fill="auto"/>
            <w:noWrap/>
            <w:vAlign w:val="bottom"/>
            <w:hideMark/>
          </w:tcPr>
          <w:p w14:paraId="2DC266E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15F3219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2B5D282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2FDA28C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5F5B0E2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0.53</w:t>
            </w:r>
          </w:p>
        </w:tc>
        <w:tc>
          <w:tcPr>
            <w:tcW w:w="1156" w:type="dxa"/>
            <w:tcBorders>
              <w:top w:val="nil"/>
              <w:left w:val="nil"/>
              <w:bottom w:val="single" w:sz="4" w:space="0" w:color="auto"/>
              <w:right w:val="single" w:sz="4" w:space="0" w:color="auto"/>
            </w:tcBorders>
            <w:shd w:val="clear" w:color="auto" w:fill="auto"/>
            <w:noWrap/>
            <w:vAlign w:val="bottom"/>
            <w:hideMark/>
          </w:tcPr>
          <w:p w14:paraId="433A6F9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4BF67C0F" w14:textId="77777777" w:rsidTr="00E52AC1">
        <w:trPr>
          <w:trHeight w:val="269"/>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7B92F975"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Pr>
                <w:rFonts w:asciiTheme="majorHAnsi" w:eastAsia="Times New Roman" w:hAnsiTheme="majorHAnsi" w:cstheme="majorHAnsi"/>
                <w:b/>
                <w:bCs/>
                <w:color w:val="000000"/>
                <w:sz w:val="18"/>
                <w:szCs w:val="18"/>
              </w:rPr>
              <w:t>Cheltuieli</w:t>
            </w:r>
            <w:r w:rsidRPr="00991DD7">
              <w:rPr>
                <w:rFonts w:asciiTheme="majorHAnsi" w:eastAsia="Times New Roman" w:hAnsiTheme="majorHAnsi" w:cstheme="majorHAnsi"/>
                <w:b/>
                <w:bCs/>
                <w:color w:val="000000"/>
                <w:sz w:val="18"/>
                <w:szCs w:val="18"/>
              </w:rPr>
              <w:t xml:space="preserve"> privind uzura mașinilor si utilajelor</w:t>
            </w:r>
          </w:p>
        </w:tc>
        <w:tc>
          <w:tcPr>
            <w:tcW w:w="964" w:type="dxa"/>
            <w:tcBorders>
              <w:top w:val="nil"/>
              <w:left w:val="nil"/>
              <w:bottom w:val="single" w:sz="4" w:space="0" w:color="auto"/>
              <w:right w:val="single" w:sz="4" w:space="0" w:color="auto"/>
            </w:tcBorders>
            <w:shd w:val="clear" w:color="auto" w:fill="auto"/>
            <w:noWrap/>
            <w:vAlign w:val="bottom"/>
            <w:hideMark/>
          </w:tcPr>
          <w:p w14:paraId="50790460"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231400</w:t>
            </w:r>
          </w:p>
        </w:tc>
        <w:tc>
          <w:tcPr>
            <w:tcW w:w="1004" w:type="dxa"/>
            <w:tcBorders>
              <w:top w:val="nil"/>
              <w:left w:val="nil"/>
              <w:bottom w:val="single" w:sz="4" w:space="0" w:color="auto"/>
              <w:right w:val="single" w:sz="4" w:space="0" w:color="auto"/>
            </w:tcBorders>
            <w:shd w:val="clear" w:color="auto" w:fill="auto"/>
            <w:noWrap/>
            <w:vAlign w:val="bottom"/>
            <w:hideMark/>
          </w:tcPr>
          <w:p w14:paraId="4DA9AEE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01A8314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C767A2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583A224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20.63</w:t>
            </w:r>
          </w:p>
        </w:tc>
        <w:tc>
          <w:tcPr>
            <w:tcW w:w="948" w:type="dxa"/>
            <w:tcBorders>
              <w:top w:val="nil"/>
              <w:left w:val="nil"/>
              <w:bottom w:val="single" w:sz="4" w:space="0" w:color="auto"/>
              <w:right w:val="single" w:sz="4" w:space="0" w:color="auto"/>
            </w:tcBorders>
            <w:shd w:val="clear" w:color="auto" w:fill="auto"/>
            <w:noWrap/>
            <w:vAlign w:val="bottom"/>
            <w:hideMark/>
          </w:tcPr>
          <w:p w14:paraId="49430FB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2CBFE8D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5954E49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28D13B5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7DDE0F9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20.63</w:t>
            </w:r>
          </w:p>
        </w:tc>
        <w:tc>
          <w:tcPr>
            <w:tcW w:w="1156" w:type="dxa"/>
            <w:tcBorders>
              <w:top w:val="nil"/>
              <w:left w:val="nil"/>
              <w:bottom w:val="single" w:sz="4" w:space="0" w:color="auto"/>
              <w:right w:val="single" w:sz="4" w:space="0" w:color="auto"/>
            </w:tcBorders>
            <w:shd w:val="clear" w:color="auto" w:fill="auto"/>
            <w:noWrap/>
            <w:vAlign w:val="bottom"/>
            <w:hideMark/>
          </w:tcPr>
          <w:p w14:paraId="4B09A47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2F9E4025" w14:textId="77777777" w:rsidTr="00E52AC1">
        <w:trPr>
          <w:trHeight w:val="161"/>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4A0232B3"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Cheltuieli privind uzura mijloacelor de transport</w:t>
            </w:r>
          </w:p>
        </w:tc>
        <w:tc>
          <w:tcPr>
            <w:tcW w:w="964" w:type="dxa"/>
            <w:tcBorders>
              <w:top w:val="nil"/>
              <w:left w:val="nil"/>
              <w:bottom w:val="single" w:sz="4" w:space="0" w:color="auto"/>
              <w:right w:val="single" w:sz="4" w:space="0" w:color="auto"/>
            </w:tcBorders>
            <w:shd w:val="clear" w:color="auto" w:fill="auto"/>
            <w:noWrap/>
            <w:vAlign w:val="bottom"/>
            <w:hideMark/>
          </w:tcPr>
          <w:p w14:paraId="515FE268"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231500</w:t>
            </w:r>
          </w:p>
        </w:tc>
        <w:tc>
          <w:tcPr>
            <w:tcW w:w="1004" w:type="dxa"/>
            <w:tcBorders>
              <w:top w:val="nil"/>
              <w:left w:val="nil"/>
              <w:bottom w:val="single" w:sz="4" w:space="0" w:color="auto"/>
              <w:right w:val="single" w:sz="4" w:space="0" w:color="auto"/>
            </w:tcBorders>
            <w:shd w:val="clear" w:color="auto" w:fill="auto"/>
            <w:noWrap/>
            <w:vAlign w:val="bottom"/>
            <w:hideMark/>
          </w:tcPr>
          <w:p w14:paraId="667D806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77B3DA5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49CC1D2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36879AE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23.31</w:t>
            </w:r>
          </w:p>
        </w:tc>
        <w:tc>
          <w:tcPr>
            <w:tcW w:w="948" w:type="dxa"/>
            <w:tcBorders>
              <w:top w:val="nil"/>
              <w:left w:val="nil"/>
              <w:bottom w:val="single" w:sz="4" w:space="0" w:color="auto"/>
              <w:right w:val="single" w:sz="4" w:space="0" w:color="auto"/>
            </w:tcBorders>
            <w:shd w:val="clear" w:color="auto" w:fill="auto"/>
            <w:noWrap/>
            <w:vAlign w:val="bottom"/>
            <w:hideMark/>
          </w:tcPr>
          <w:p w14:paraId="0B4EE7D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6D21CF7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4521F62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42EE21A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448D961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23.31</w:t>
            </w:r>
          </w:p>
        </w:tc>
        <w:tc>
          <w:tcPr>
            <w:tcW w:w="1156" w:type="dxa"/>
            <w:tcBorders>
              <w:top w:val="nil"/>
              <w:left w:val="nil"/>
              <w:bottom w:val="single" w:sz="4" w:space="0" w:color="auto"/>
              <w:right w:val="single" w:sz="4" w:space="0" w:color="auto"/>
            </w:tcBorders>
            <w:shd w:val="clear" w:color="auto" w:fill="auto"/>
            <w:noWrap/>
            <w:vAlign w:val="bottom"/>
            <w:hideMark/>
          </w:tcPr>
          <w:p w14:paraId="06C4312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20CA231C" w14:textId="77777777" w:rsidTr="00E52AC1">
        <w:trPr>
          <w:trHeight w:val="386"/>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650F8DE7"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Cheltuieli privind uzura uneltelor si sculelor inventarului de producere si gospodăresc</w:t>
            </w:r>
          </w:p>
        </w:tc>
        <w:tc>
          <w:tcPr>
            <w:tcW w:w="964" w:type="dxa"/>
            <w:tcBorders>
              <w:top w:val="nil"/>
              <w:left w:val="nil"/>
              <w:bottom w:val="single" w:sz="4" w:space="0" w:color="auto"/>
              <w:right w:val="single" w:sz="4" w:space="0" w:color="auto"/>
            </w:tcBorders>
            <w:shd w:val="clear" w:color="auto" w:fill="auto"/>
            <w:noWrap/>
            <w:vAlign w:val="bottom"/>
            <w:hideMark/>
          </w:tcPr>
          <w:p w14:paraId="20C3B52E"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231600</w:t>
            </w:r>
          </w:p>
        </w:tc>
        <w:tc>
          <w:tcPr>
            <w:tcW w:w="1004" w:type="dxa"/>
            <w:tcBorders>
              <w:top w:val="nil"/>
              <w:left w:val="nil"/>
              <w:bottom w:val="single" w:sz="4" w:space="0" w:color="auto"/>
              <w:right w:val="single" w:sz="4" w:space="0" w:color="auto"/>
            </w:tcBorders>
            <w:shd w:val="clear" w:color="auto" w:fill="auto"/>
            <w:noWrap/>
            <w:vAlign w:val="bottom"/>
            <w:hideMark/>
          </w:tcPr>
          <w:p w14:paraId="0F0A6C8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1DF1F6B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6693BB5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4C874DD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31.23</w:t>
            </w:r>
          </w:p>
        </w:tc>
        <w:tc>
          <w:tcPr>
            <w:tcW w:w="948" w:type="dxa"/>
            <w:tcBorders>
              <w:top w:val="nil"/>
              <w:left w:val="nil"/>
              <w:bottom w:val="single" w:sz="4" w:space="0" w:color="auto"/>
              <w:right w:val="single" w:sz="4" w:space="0" w:color="auto"/>
            </w:tcBorders>
            <w:shd w:val="clear" w:color="auto" w:fill="auto"/>
            <w:noWrap/>
            <w:vAlign w:val="bottom"/>
            <w:hideMark/>
          </w:tcPr>
          <w:p w14:paraId="7DC27C1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291F344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2D2665C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351B948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7E1CF37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31.23</w:t>
            </w:r>
          </w:p>
        </w:tc>
        <w:tc>
          <w:tcPr>
            <w:tcW w:w="1156" w:type="dxa"/>
            <w:tcBorders>
              <w:top w:val="nil"/>
              <w:left w:val="nil"/>
              <w:bottom w:val="single" w:sz="4" w:space="0" w:color="auto"/>
              <w:right w:val="single" w:sz="4" w:space="0" w:color="auto"/>
            </w:tcBorders>
            <w:shd w:val="clear" w:color="auto" w:fill="auto"/>
            <w:noWrap/>
            <w:vAlign w:val="bottom"/>
            <w:hideMark/>
          </w:tcPr>
          <w:p w14:paraId="37B473C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17CFF970" w14:textId="77777777" w:rsidTr="00E52AC1">
        <w:trPr>
          <w:trHeight w:val="197"/>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05B1BB26"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Cheltuieli privind uzura altor mijloace fixe</w:t>
            </w:r>
          </w:p>
        </w:tc>
        <w:tc>
          <w:tcPr>
            <w:tcW w:w="964" w:type="dxa"/>
            <w:tcBorders>
              <w:top w:val="nil"/>
              <w:left w:val="nil"/>
              <w:bottom w:val="single" w:sz="4" w:space="0" w:color="auto"/>
              <w:right w:val="single" w:sz="4" w:space="0" w:color="auto"/>
            </w:tcBorders>
            <w:shd w:val="clear" w:color="auto" w:fill="auto"/>
            <w:noWrap/>
            <w:vAlign w:val="bottom"/>
            <w:hideMark/>
          </w:tcPr>
          <w:p w14:paraId="0E654958"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231900</w:t>
            </w:r>
          </w:p>
        </w:tc>
        <w:tc>
          <w:tcPr>
            <w:tcW w:w="1004" w:type="dxa"/>
            <w:tcBorders>
              <w:top w:val="nil"/>
              <w:left w:val="nil"/>
              <w:bottom w:val="single" w:sz="4" w:space="0" w:color="auto"/>
              <w:right w:val="single" w:sz="4" w:space="0" w:color="auto"/>
            </w:tcBorders>
            <w:shd w:val="clear" w:color="auto" w:fill="auto"/>
            <w:noWrap/>
            <w:vAlign w:val="bottom"/>
            <w:hideMark/>
          </w:tcPr>
          <w:p w14:paraId="5EBB72B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582C7D5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DD2636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4B3C419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0.02</w:t>
            </w:r>
          </w:p>
        </w:tc>
        <w:tc>
          <w:tcPr>
            <w:tcW w:w="948" w:type="dxa"/>
            <w:tcBorders>
              <w:top w:val="nil"/>
              <w:left w:val="nil"/>
              <w:bottom w:val="single" w:sz="4" w:space="0" w:color="auto"/>
              <w:right w:val="single" w:sz="4" w:space="0" w:color="auto"/>
            </w:tcBorders>
            <w:shd w:val="clear" w:color="auto" w:fill="auto"/>
            <w:noWrap/>
            <w:vAlign w:val="bottom"/>
            <w:hideMark/>
          </w:tcPr>
          <w:p w14:paraId="61ADB35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5FC52CB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2A51B08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1AEE773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49609E6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0.02</w:t>
            </w:r>
          </w:p>
        </w:tc>
        <w:tc>
          <w:tcPr>
            <w:tcW w:w="1156" w:type="dxa"/>
            <w:tcBorders>
              <w:top w:val="nil"/>
              <w:left w:val="nil"/>
              <w:bottom w:val="single" w:sz="4" w:space="0" w:color="auto"/>
              <w:right w:val="single" w:sz="4" w:space="0" w:color="auto"/>
            </w:tcBorders>
            <w:shd w:val="clear" w:color="auto" w:fill="auto"/>
            <w:noWrap/>
            <w:vAlign w:val="bottom"/>
            <w:hideMark/>
          </w:tcPr>
          <w:p w14:paraId="1AAA717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5F929E50" w14:textId="77777777" w:rsidTr="00E52AC1">
        <w:trPr>
          <w:trHeight w:val="398"/>
        </w:trPr>
        <w:tc>
          <w:tcPr>
            <w:tcW w:w="4140" w:type="dxa"/>
            <w:tcBorders>
              <w:top w:val="nil"/>
              <w:left w:val="single" w:sz="4" w:space="0" w:color="auto"/>
              <w:bottom w:val="single" w:sz="4" w:space="0" w:color="auto"/>
              <w:right w:val="single" w:sz="4" w:space="0" w:color="auto"/>
            </w:tcBorders>
            <w:shd w:val="clear" w:color="auto" w:fill="D9E2F3" w:themeFill="accent5" w:themeFillTint="33"/>
            <w:vAlign w:val="bottom"/>
            <w:hideMark/>
          </w:tcPr>
          <w:p w14:paraId="20A1064C"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D9E2F3" w:themeFill="accent5" w:themeFillTint="33"/>
            <w:noWrap/>
            <w:vAlign w:val="bottom"/>
            <w:hideMark/>
          </w:tcPr>
          <w:p w14:paraId="5C7B4575" w14:textId="77777777" w:rsidR="00E52AC1" w:rsidRPr="004E3CFA" w:rsidRDefault="00E52AC1" w:rsidP="00E52AC1">
            <w:pPr>
              <w:spacing w:after="0" w:line="240" w:lineRule="auto"/>
              <w:jc w:val="both"/>
              <w:rPr>
                <w:rFonts w:asciiTheme="majorHAnsi" w:eastAsia="Times New Roman" w:hAnsiTheme="majorHAnsi" w:cstheme="majorHAnsi"/>
                <w:b/>
                <w:i/>
                <w:iCs/>
                <w:color w:val="000000"/>
                <w:sz w:val="18"/>
                <w:szCs w:val="18"/>
              </w:rPr>
            </w:pPr>
            <w:r w:rsidRPr="004E3CFA">
              <w:rPr>
                <w:rFonts w:asciiTheme="majorHAnsi" w:eastAsia="Times New Roman" w:hAnsiTheme="majorHAnsi" w:cstheme="majorHAnsi"/>
                <w:b/>
                <w:i/>
                <w:iCs/>
                <w:color w:val="000000"/>
                <w:sz w:val="18"/>
                <w:szCs w:val="18"/>
              </w:rPr>
              <w:t>232</w:t>
            </w:r>
          </w:p>
        </w:tc>
        <w:tc>
          <w:tcPr>
            <w:tcW w:w="1004" w:type="dxa"/>
            <w:tcBorders>
              <w:top w:val="nil"/>
              <w:left w:val="nil"/>
              <w:bottom w:val="single" w:sz="4" w:space="0" w:color="auto"/>
              <w:right w:val="single" w:sz="4" w:space="0" w:color="auto"/>
            </w:tcBorders>
            <w:shd w:val="clear" w:color="auto" w:fill="D9E2F3" w:themeFill="accent5" w:themeFillTint="33"/>
            <w:noWrap/>
            <w:vAlign w:val="bottom"/>
            <w:hideMark/>
          </w:tcPr>
          <w:p w14:paraId="00248E06" w14:textId="77777777" w:rsidR="00E52AC1" w:rsidRPr="00166522" w:rsidRDefault="00E52AC1" w:rsidP="00E52AC1">
            <w:pPr>
              <w:spacing w:after="0" w:line="240" w:lineRule="auto"/>
              <w:jc w:val="center"/>
              <w:rPr>
                <w:rFonts w:asciiTheme="majorHAnsi" w:eastAsia="Times New Roman" w:hAnsiTheme="majorHAnsi" w:cstheme="majorHAnsi"/>
                <w:b/>
                <w:color w:val="000000"/>
                <w:sz w:val="18"/>
                <w:szCs w:val="18"/>
              </w:rPr>
            </w:pPr>
            <w:r w:rsidRPr="00166522">
              <w:rPr>
                <w:rFonts w:asciiTheme="majorHAnsi" w:eastAsia="Times New Roman" w:hAnsiTheme="majorHAnsi" w:cstheme="majorHAnsi"/>
                <w:b/>
                <w:color w:val="000000"/>
                <w:sz w:val="18"/>
                <w:szCs w:val="18"/>
              </w:rPr>
              <w:t>0.00</w:t>
            </w:r>
          </w:p>
        </w:tc>
        <w:tc>
          <w:tcPr>
            <w:tcW w:w="900" w:type="dxa"/>
            <w:tcBorders>
              <w:top w:val="nil"/>
              <w:left w:val="nil"/>
              <w:bottom w:val="single" w:sz="4" w:space="0" w:color="auto"/>
              <w:right w:val="single" w:sz="4" w:space="0" w:color="auto"/>
            </w:tcBorders>
            <w:shd w:val="clear" w:color="auto" w:fill="D9E2F3" w:themeFill="accent5" w:themeFillTint="33"/>
            <w:noWrap/>
            <w:vAlign w:val="bottom"/>
            <w:hideMark/>
          </w:tcPr>
          <w:p w14:paraId="15691A9A" w14:textId="77777777" w:rsidR="00E52AC1" w:rsidRPr="00166522" w:rsidRDefault="00E52AC1" w:rsidP="00E52AC1">
            <w:pPr>
              <w:spacing w:after="0" w:line="240" w:lineRule="auto"/>
              <w:jc w:val="center"/>
              <w:rPr>
                <w:rFonts w:asciiTheme="majorHAnsi" w:eastAsia="Times New Roman" w:hAnsiTheme="majorHAnsi" w:cstheme="majorHAnsi"/>
                <w:b/>
                <w:color w:val="000000"/>
                <w:sz w:val="18"/>
                <w:szCs w:val="18"/>
              </w:rPr>
            </w:pPr>
            <w:r w:rsidRPr="00166522">
              <w:rPr>
                <w:rFonts w:asciiTheme="majorHAnsi" w:eastAsia="Times New Roman" w:hAnsiTheme="majorHAnsi" w:cstheme="majorHAnsi"/>
                <w:b/>
                <w:color w:val="000000"/>
                <w:sz w:val="18"/>
                <w:szCs w:val="18"/>
              </w:rPr>
              <w:t>0.00</w:t>
            </w:r>
          </w:p>
        </w:tc>
        <w:tc>
          <w:tcPr>
            <w:tcW w:w="900" w:type="dxa"/>
            <w:tcBorders>
              <w:top w:val="nil"/>
              <w:left w:val="nil"/>
              <w:bottom w:val="single" w:sz="4" w:space="0" w:color="auto"/>
              <w:right w:val="single" w:sz="4" w:space="0" w:color="auto"/>
            </w:tcBorders>
            <w:shd w:val="clear" w:color="auto" w:fill="D9E2F3" w:themeFill="accent5" w:themeFillTint="33"/>
            <w:noWrap/>
            <w:vAlign w:val="bottom"/>
            <w:hideMark/>
          </w:tcPr>
          <w:p w14:paraId="7C2E560B" w14:textId="77777777" w:rsidR="00E52AC1" w:rsidRPr="00166522" w:rsidRDefault="00E52AC1" w:rsidP="00E52AC1">
            <w:pPr>
              <w:spacing w:after="0" w:line="240" w:lineRule="auto"/>
              <w:jc w:val="center"/>
              <w:rPr>
                <w:rFonts w:asciiTheme="majorHAnsi" w:eastAsia="Times New Roman" w:hAnsiTheme="majorHAnsi" w:cstheme="majorHAnsi"/>
                <w:b/>
                <w:color w:val="000000"/>
                <w:sz w:val="18"/>
                <w:szCs w:val="18"/>
              </w:rPr>
            </w:pPr>
            <w:r w:rsidRPr="00166522">
              <w:rPr>
                <w:rFonts w:asciiTheme="majorHAnsi" w:eastAsia="Times New Roman" w:hAnsiTheme="majorHAnsi" w:cstheme="majorHAnsi"/>
                <w:b/>
                <w:color w:val="000000"/>
                <w:sz w:val="18"/>
                <w:szCs w:val="18"/>
              </w:rPr>
              <w:t>0.00</w:t>
            </w:r>
          </w:p>
        </w:tc>
        <w:tc>
          <w:tcPr>
            <w:tcW w:w="900" w:type="dxa"/>
            <w:tcBorders>
              <w:top w:val="nil"/>
              <w:left w:val="nil"/>
              <w:bottom w:val="single" w:sz="4" w:space="0" w:color="auto"/>
              <w:right w:val="single" w:sz="4" w:space="0" w:color="auto"/>
            </w:tcBorders>
            <w:shd w:val="clear" w:color="auto" w:fill="D9E2F3" w:themeFill="accent5" w:themeFillTint="33"/>
            <w:noWrap/>
            <w:vAlign w:val="bottom"/>
            <w:hideMark/>
          </w:tcPr>
          <w:p w14:paraId="18A7D2E0" w14:textId="77777777" w:rsidR="00E52AC1" w:rsidRPr="00166522" w:rsidRDefault="00E52AC1" w:rsidP="00E52AC1">
            <w:pPr>
              <w:spacing w:after="0" w:line="240" w:lineRule="auto"/>
              <w:jc w:val="center"/>
              <w:rPr>
                <w:rFonts w:asciiTheme="majorHAnsi" w:eastAsia="Times New Roman" w:hAnsiTheme="majorHAnsi" w:cstheme="majorHAnsi"/>
                <w:b/>
                <w:color w:val="000000"/>
                <w:sz w:val="18"/>
                <w:szCs w:val="18"/>
              </w:rPr>
            </w:pPr>
            <w:r w:rsidRPr="00166522">
              <w:rPr>
                <w:rFonts w:asciiTheme="majorHAnsi" w:eastAsia="Times New Roman" w:hAnsiTheme="majorHAnsi" w:cstheme="majorHAnsi"/>
                <w:b/>
                <w:color w:val="000000"/>
                <w:sz w:val="18"/>
                <w:szCs w:val="18"/>
              </w:rPr>
              <w:t>89.46</w:t>
            </w:r>
          </w:p>
        </w:tc>
        <w:tc>
          <w:tcPr>
            <w:tcW w:w="948" w:type="dxa"/>
            <w:tcBorders>
              <w:top w:val="nil"/>
              <w:left w:val="nil"/>
              <w:bottom w:val="single" w:sz="4" w:space="0" w:color="auto"/>
              <w:right w:val="single" w:sz="4" w:space="0" w:color="auto"/>
            </w:tcBorders>
            <w:shd w:val="clear" w:color="auto" w:fill="D9E2F3" w:themeFill="accent5" w:themeFillTint="33"/>
            <w:noWrap/>
            <w:vAlign w:val="bottom"/>
            <w:hideMark/>
          </w:tcPr>
          <w:p w14:paraId="79519032" w14:textId="77777777" w:rsidR="00E52AC1" w:rsidRPr="00166522" w:rsidRDefault="00E52AC1" w:rsidP="00E52AC1">
            <w:pPr>
              <w:spacing w:after="0" w:line="240" w:lineRule="auto"/>
              <w:jc w:val="center"/>
              <w:rPr>
                <w:rFonts w:asciiTheme="majorHAnsi" w:eastAsia="Times New Roman" w:hAnsiTheme="majorHAnsi" w:cstheme="majorHAnsi"/>
                <w:b/>
                <w:color w:val="000000"/>
                <w:sz w:val="18"/>
                <w:szCs w:val="18"/>
              </w:rPr>
            </w:pPr>
            <w:r w:rsidRPr="00166522">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D9E2F3" w:themeFill="accent5" w:themeFillTint="33"/>
            <w:noWrap/>
            <w:vAlign w:val="bottom"/>
            <w:hideMark/>
          </w:tcPr>
          <w:p w14:paraId="4915D08A" w14:textId="77777777" w:rsidR="00E52AC1" w:rsidRPr="00166522" w:rsidRDefault="00E52AC1" w:rsidP="00E52AC1">
            <w:pPr>
              <w:spacing w:after="0" w:line="240" w:lineRule="auto"/>
              <w:jc w:val="center"/>
              <w:rPr>
                <w:rFonts w:asciiTheme="majorHAnsi" w:eastAsia="Times New Roman" w:hAnsiTheme="majorHAnsi" w:cstheme="majorHAnsi"/>
                <w:b/>
                <w:color w:val="000000"/>
                <w:sz w:val="18"/>
                <w:szCs w:val="18"/>
              </w:rPr>
            </w:pPr>
            <w:r w:rsidRPr="00166522">
              <w:rPr>
                <w:rFonts w:asciiTheme="majorHAnsi" w:eastAsia="Times New Roman" w:hAnsiTheme="majorHAnsi" w:cstheme="majorHAnsi"/>
                <w:b/>
                <w:color w:val="000000"/>
                <w:sz w:val="18"/>
                <w:szCs w:val="18"/>
              </w:rPr>
              <w:t>0.00</w:t>
            </w:r>
          </w:p>
        </w:tc>
        <w:tc>
          <w:tcPr>
            <w:tcW w:w="990" w:type="dxa"/>
            <w:tcBorders>
              <w:top w:val="nil"/>
              <w:left w:val="nil"/>
              <w:bottom w:val="single" w:sz="4" w:space="0" w:color="auto"/>
              <w:right w:val="single" w:sz="4" w:space="0" w:color="auto"/>
            </w:tcBorders>
            <w:shd w:val="clear" w:color="auto" w:fill="D9E2F3" w:themeFill="accent5" w:themeFillTint="33"/>
            <w:noWrap/>
            <w:vAlign w:val="bottom"/>
            <w:hideMark/>
          </w:tcPr>
          <w:p w14:paraId="64EE1A11" w14:textId="77777777" w:rsidR="00E52AC1" w:rsidRPr="00166522" w:rsidRDefault="00E52AC1" w:rsidP="00E52AC1">
            <w:pPr>
              <w:spacing w:after="0" w:line="240" w:lineRule="auto"/>
              <w:jc w:val="center"/>
              <w:rPr>
                <w:rFonts w:asciiTheme="majorHAnsi" w:eastAsia="Times New Roman" w:hAnsiTheme="majorHAnsi" w:cstheme="majorHAnsi"/>
                <w:b/>
                <w:color w:val="000000"/>
                <w:sz w:val="18"/>
                <w:szCs w:val="18"/>
              </w:rPr>
            </w:pPr>
            <w:r w:rsidRPr="00166522">
              <w:rPr>
                <w:rFonts w:asciiTheme="majorHAnsi" w:eastAsia="Times New Roman" w:hAnsiTheme="majorHAnsi" w:cstheme="majorHAnsi"/>
                <w:b/>
                <w:color w:val="000000"/>
                <w:sz w:val="18"/>
                <w:szCs w:val="18"/>
              </w:rPr>
              <w:t>0.00</w:t>
            </w:r>
          </w:p>
        </w:tc>
        <w:tc>
          <w:tcPr>
            <w:tcW w:w="990" w:type="dxa"/>
            <w:tcBorders>
              <w:top w:val="nil"/>
              <w:left w:val="nil"/>
              <w:bottom w:val="single" w:sz="4" w:space="0" w:color="auto"/>
              <w:right w:val="single" w:sz="4" w:space="0" w:color="auto"/>
            </w:tcBorders>
            <w:shd w:val="clear" w:color="auto" w:fill="D9E2F3" w:themeFill="accent5" w:themeFillTint="33"/>
            <w:noWrap/>
            <w:vAlign w:val="bottom"/>
            <w:hideMark/>
          </w:tcPr>
          <w:p w14:paraId="1D6AF983" w14:textId="77777777" w:rsidR="00E52AC1" w:rsidRPr="00166522" w:rsidRDefault="00E52AC1" w:rsidP="00E52AC1">
            <w:pPr>
              <w:spacing w:after="0" w:line="240" w:lineRule="auto"/>
              <w:jc w:val="center"/>
              <w:rPr>
                <w:rFonts w:asciiTheme="majorHAnsi" w:eastAsia="Times New Roman" w:hAnsiTheme="majorHAnsi" w:cstheme="majorHAnsi"/>
                <w:b/>
                <w:color w:val="000000"/>
                <w:sz w:val="18"/>
                <w:szCs w:val="18"/>
              </w:rPr>
            </w:pPr>
            <w:r w:rsidRPr="00166522">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D9E2F3" w:themeFill="accent5" w:themeFillTint="33"/>
            <w:noWrap/>
            <w:vAlign w:val="bottom"/>
            <w:hideMark/>
          </w:tcPr>
          <w:p w14:paraId="2BF2C951" w14:textId="77777777" w:rsidR="00E52AC1" w:rsidRPr="00166522" w:rsidRDefault="00E52AC1" w:rsidP="00E52AC1">
            <w:pPr>
              <w:spacing w:after="0" w:line="240" w:lineRule="auto"/>
              <w:jc w:val="center"/>
              <w:rPr>
                <w:rFonts w:asciiTheme="majorHAnsi" w:eastAsia="Times New Roman" w:hAnsiTheme="majorHAnsi" w:cstheme="majorHAnsi"/>
                <w:b/>
                <w:color w:val="000000"/>
                <w:sz w:val="18"/>
                <w:szCs w:val="18"/>
              </w:rPr>
            </w:pPr>
            <w:r w:rsidRPr="00166522">
              <w:rPr>
                <w:rFonts w:asciiTheme="majorHAnsi" w:eastAsia="Times New Roman" w:hAnsiTheme="majorHAnsi" w:cstheme="majorHAnsi"/>
                <w:b/>
                <w:color w:val="000000"/>
                <w:sz w:val="18"/>
                <w:szCs w:val="18"/>
              </w:rPr>
              <w:t>89.46</w:t>
            </w:r>
          </w:p>
        </w:tc>
        <w:tc>
          <w:tcPr>
            <w:tcW w:w="1156" w:type="dxa"/>
            <w:tcBorders>
              <w:top w:val="nil"/>
              <w:left w:val="nil"/>
              <w:bottom w:val="single" w:sz="4" w:space="0" w:color="auto"/>
              <w:right w:val="single" w:sz="4" w:space="0" w:color="auto"/>
            </w:tcBorders>
            <w:shd w:val="clear" w:color="auto" w:fill="D9E2F3" w:themeFill="accent5" w:themeFillTint="33"/>
            <w:noWrap/>
            <w:vAlign w:val="bottom"/>
            <w:hideMark/>
          </w:tcPr>
          <w:p w14:paraId="1C220125" w14:textId="77777777" w:rsidR="00E52AC1" w:rsidRPr="00166522" w:rsidRDefault="00E52AC1" w:rsidP="00E52AC1">
            <w:pPr>
              <w:spacing w:after="0" w:line="240" w:lineRule="auto"/>
              <w:jc w:val="center"/>
              <w:rPr>
                <w:rFonts w:asciiTheme="majorHAnsi" w:eastAsia="Times New Roman" w:hAnsiTheme="majorHAnsi" w:cstheme="majorHAnsi"/>
                <w:b/>
                <w:color w:val="000000"/>
                <w:sz w:val="18"/>
                <w:szCs w:val="18"/>
              </w:rPr>
            </w:pPr>
            <w:r w:rsidRPr="00166522">
              <w:rPr>
                <w:rFonts w:asciiTheme="majorHAnsi" w:eastAsia="Times New Roman" w:hAnsiTheme="majorHAnsi" w:cstheme="majorHAnsi"/>
                <w:b/>
                <w:color w:val="000000"/>
                <w:sz w:val="18"/>
                <w:szCs w:val="18"/>
              </w:rPr>
              <w:t>0.00</w:t>
            </w:r>
          </w:p>
        </w:tc>
      </w:tr>
      <w:tr w:rsidR="00E52AC1" w:rsidRPr="00991DD7" w14:paraId="5B4E78B4" w14:textId="77777777" w:rsidTr="00E52AC1">
        <w:trPr>
          <w:trHeight w:val="125"/>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16D053E8"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Amortizarea activelor nemateriale</w:t>
            </w:r>
          </w:p>
        </w:tc>
        <w:tc>
          <w:tcPr>
            <w:tcW w:w="964" w:type="dxa"/>
            <w:tcBorders>
              <w:top w:val="nil"/>
              <w:left w:val="nil"/>
              <w:bottom w:val="single" w:sz="4" w:space="0" w:color="auto"/>
              <w:right w:val="single" w:sz="4" w:space="0" w:color="auto"/>
            </w:tcBorders>
            <w:shd w:val="clear" w:color="auto" w:fill="auto"/>
            <w:noWrap/>
            <w:vAlign w:val="bottom"/>
            <w:hideMark/>
          </w:tcPr>
          <w:p w14:paraId="512FB3E3"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232000</w:t>
            </w:r>
          </w:p>
        </w:tc>
        <w:tc>
          <w:tcPr>
            <w:tcW w:w="1004" w:type="dxa"/>
            <w:tcBorders>
              <w:top w:val="nil"/>
              <w:left w:val="nil"/>
              <w:bottom w:val="single" w:sz="4" w:space="0" w:color="auto"/>
              <w:right w:val="single" w:sz="4" w:space="0" w:color="auto"/>
            </w:tcBorders>
            <w:shd w:val="clear" w:color="auto" w:fill="auto"/>
            <w:noWrap/>
            <w:vAlign w:val="bottom"/>
            <w:hideMark/>
          </w:tcPr>
          <w:p w14:paraId="2E14E5A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72BC125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4193E9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4782374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89.46</w:t>
            </w:r>
          </w:p>
        </w:tc>
        <w:tc>
          <w:tcPr>
            <w:tcW w:w="948" w:type="dxa"/>
            <w:tcBorders>
              <w:top w:val="nil"/>
              <w:left w:val="nil"/>
              <w:bottom w:val="single" w:sz="4" w:space="0" w:color="auto"/>
              <w:right w:val="single" w:sz="4" w:space="0" w:color="auto"/>
            </w:tcBorders>
            <w:shd w:val="clear" w:color="auto" w:fill="auto"/>
            <w:noWrap/>
            <w:vAlign w:val="bottom"/>
            <w:hideMark/>
          </w:tcPr>
          <w:p w14:paraId="698FD9F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4EA9A88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5DB32E0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3DFA1E2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3F63CD4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89.46</w:t>
            </w:r>
          </w:p>
        </w:tc>
        <w:tc>
          <w:tcPr>
            <w:tcW w:w="1156" w:type="dxa"/>
            <w:tcBorders>
              <w:top w:val="nil"/>
              <w:left w:val="nil"/>
              <w:bottom w:val="single" w:sz="4" w:space="0" w:color="auto"/>
              <w:right w:val="single" w:sz="4" w:space="0" w:color="auto"/>
            </w:tcBorders>
            <w:shd w:val="clear" w:color="auto" w:fill="auto"/>
            <w:noWrap/>
            <w:vAlign w:val="bottom"/>
            <w:hideMark/>
          </w:tcPr>
          <w:p w14:paraId="72C71A7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170C1692" w14:textId="77777777" w:rsidTr="00E52AC1">
        <w:trPr>
          <w:trHeight w:val="143"/>
        </w:trPr>
        <w:tc>
          <w:tcPr>
            <w:tcW w:w="4140" w:type="dxa"/>
            <w:tcBorders>
              <w:top w:val="nil"/>
              <w:left w:val="single" w:sz="4" w:space="0" w:color="auto"/>
              <w:bottom w:val="single" w:sz="4" w:space="0" w:color="auto"/>
              <w:right w:val="single" w:sz="4" w:space="0" w:color="auto"/>
            </w:tcBorders>
            <w:shd w:val="clear" w:color="auto" w:fill="D9E2F3" w:themeFill="accent5" w:themeFillTint="33"/>
            <w:vAlign w:val="bottom"/>
          </w:tcPr>
          <w:p w14:paraId="6C7983CE"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D9E2F3" w:themeFill="accent5" w:themeFillTint="33"/>
            <w:noWrap/>
            <w:vAlign w:val="bottom"/>
          </w:tcPr>
          <w:p w14:paraId="0CC25DB1" w14:textId="77777777" w:rsidR="00E52AC1" w:rsidRPr="0000336A" w:rsidRDefault="00E52AC1" w:rsidP="00E52AC1">
            <w:pPr>
              <w:spacing w:after="0" w:line="240" w:lineRule="auto"/>
              <w:jc w:val="both"/>
              <w:rPr>
                <w:rFonts w:asciiTheme="majorHAnsi" w:eastAsia="Times New Roman" w:hAnsiTheme="majorHAnsi" w:cstheme="majorHAnsi"/>
                <w:b/>
                <w:i/>
                <w:iCs/>
                <w:color w:val="000000"/>
                <w:sz w:val="18"/>
                <w:szCs w:val="18"/>
              </w:rPr>
            </w:pPr>
            <w:r w:rsidRPr="0000336A">
              <w:rPr>
                <w:rFonts w:asciiTheme="majorHAnsi" w:eastAsia="Times New Roman" w:hAnsiTheme="majorHAnsi" w:cstheme="majorHAnsi"/>
                <w:b/>
                <w:i/>
                <w:iCs/>
                <w:color w:val="000000"/>
                <w:sz w:val="18"/>
                <w:szCs w:val="18"/>
              </w:rPr>
              <w:t>251</w:t>
            </w:r>
          </w:p>
        </w:tc>
        <w:tc>
          <w:tcPr>
            <w:tcW w:w="1004" w:type="dxa"/>
            <w:tcBorders>
              <w:top w:val="nil"/>
              <w:left w:val="nil"/>
              <w:bottom w:val="single" w:sz="4" w:space="0" w:color="auto"/>
              <w:right w:val="single" w:sz="4" w:space="0" w:color="auto"/>
            </w:tcBorders>
            <w:shd w:val="clear" w:color="auto" w:fill="D9E2F3" w:themeFill="accent5" w:themeFillTint="33"/>
            <w:noWrap/>
            <w:vAlign w:val="bottom"/>
          </w:tcPr>
          <w:p w14:paraId="1790F97D" w14:textId="77777777" w:rsidR="00E52AC1" w:rsidRPr="0000336A" w:rsidRDefault="00E52AC1" w:rsidP="00E52AC1">
            <w:pPr>
              <w:spacing w:after="0" w:line="240" w:lineRule="auto"/>
              <w:jc w:val="center"/>
              <w:rPr>
                <w:rFonts w:asciiTheme="majorHAnsi" w:eastAsia="Times New Roman" w:hAnsiTheme="majorHAnsi" w:cstheme="majorHAnsi"/>
                <w:b/>
                <w:color w:val="000000"/>
                <w:sz w:val="18"/>
                <w:szCs w:val="18"/>
              </w:rPr>
            </w:pPr>
            <w:r w:rsidRPr="0000336A">
              <w:rPr>
                <w:rFonts w:asciiTheme="majorHAnsi" w:eastAsia="Times New Roman" w:hAnsiTheme="majorHAnsi" w:cstheme="majorHAnsi"/>
                <w:b/>
                <w:color w:val="000000"/>
                <w:sz w:val="18"/>
                <w:szCs w:val="18"/>
              </w:rPr>
              <w:t>15.68</w:t>
            </w:r>
          </w:p>
        </w:tc>
        <w:tc>
          <w:tcPr>
            <w:tcW w:w="900" w:type="dxa"/>
            <w:tcBorders>
              <w:top w:val="nil"/>
              <w:left w:val="nil"/>
              <w:bottom w:val="single" w:sz="4" w:space="0" w:color="auto"/>
              <w:right w:val="single" w:sz="4" w:space="0" w:color="auto"/>
            </w:tcBorders>
            <w:shd w:val="clear" w:color="auto" w:fill="D9E2F3" w:themeFill="accent5" w:themeFillTint="33"/>
            <w:noWrap/>
            <w:vAlign w:val="bottom"/>
          </w:tcPr>
          <w:p w14:paraId="2FBFEE01" w14:textId="77777777" w:rsidR="00E52AC1" w:rsidRPr="0000336A" w:rsidRDefault="00E52AC1" w:rsidP="00E52AC1">
            <w:pPr>
              <w:spacing w:after="0" w:line="240" w:lineRule="auto"/>
              <w:jc w:val="center"/>
              <w:rPr>
                <w:rFonts w:asciiTheme="majorHAnsi" w:eastAsia="Times New Roman" w:hAnsiTheme="majorHAnsi" w:cstheme="majorHAnsi"/>
                <w:b/>
                <w:color w:val="000000"/>
                <w:sz w:val="18"/>
                <w:szCs w:val="18"/>
              </w:rPr>
            </w:pPr>
            <w:r w:rsidRPr="0000336A">
              <w:rPr>
                <w:rFonts w:asciiTheme="majorHAnsi" w:eastAsia="Times New Roman" w:hAnsiTheme="majorHAnsi" w:cstheme="majorHAnsi"/>
                <w:b/>
                <w:color w:val="000000"/>
                <w:sz w:val="18"/>
                <w:szCs w:val="18"/>
              </w:rPr>
              <w:t>20.70</w:t>
            </w:r>
          </w:p>
        </w:tc>
        <w:tc>
          <w:tcPr>
            <w:tcW w:w="900" w:type="dxa"/>
            <w:tcBorders>
              <w:top w:val="nil"/>
              <w:left w:val="nil"/>
              <w:bottom w:val="single" w:sz="4" w:space="0" w:color="auto"/>
              <w:right w:val="single" w:sz="4" w:space="0" w:color="auto"/>
            </w:tcBorders>
            <w:shd w:val="clear" w:color="auto" w:fill="D9E2F3" w:themeFill="accent5" w:themeFillTint="33"/>
            <w:noWrap/>
            <w:vAlign w:val="bottom"/>
          </w:tcPr>
          <w:p w14:paraId="711A5BAD" w14:textId="77777777" w:rsidR="00E52AC1" w:rsidRPr="0000336A" w:rsidRDefault="00E52AC1" w:rsidP="00E52AC1">
            <w:pPr>
              <w:spacing w:after="0" w:line="240" w:lineRule="auto"/>
              <w:jc w:val="center"/>
              <w:rPr>
                <w:rFonts w:asciiTheme="majorHAnsi" w:eastAsia="Times New Roman" w:hAnsiTheme="majorHAnsi" w:cstheme="majorHAnsi"/>
                <w:b/>
                <w:color w:val="000000"/>
                <w:sz w:val="18"/>
                <w:szCs w:val="18"/>
              </w:rPr>
            </w:pPr>
            <w:r w:rsidRPr="0000336A">
              <w:rPr>
                <w:rFonts w:asciiTheme="majorHAnsi" w:eastAsia="Times New Roman" w:hAnsiTheme="majorHAnsi" w:cstheme="majorHAnsi"/>
                <w:b/>
                <w:color w:val="000000"/>
                <w:sz w:val="18"/>
                <w:szCs w:val="18"/>
              </w:rPr>
              <w:t>20.70</w:t>
            </w:r>
          </w:p>
        </w:tc>
        <w:tc>
          <w:tcPr>
            <w:tcW w:w="900" w:type="dxa"/>
            <w:tcBorders>
              <w:top w:val="nil"/>
              <w:left w:val="nil"/>
              <w:bottom w:val="single" w:sz="4" w:space="0" w:color="auto"/>
              <w:right w:val="single" w:sz="4" w:space="0" w:color="auto"/>
            </w:tcBorders>
            <w:shd w:val="clear" w:color="auto" w:fill="D9E2F3" w:themeFill="accent5" w:themeFillTint="33"/>
            <w:noWrap/>
            <w:vAlign w:val="bottom"/>
          </w:tcPr>
          <w:p w14:paraId="1B3BE859" w14:textId="77777777" w:rsidR="00E52AC1" w:rsidRPr="0000336A" w:rsidRDefault="00E52AC1" w:rsidP="00E52AC1">
            <w:pPr>
              <w:spacing w:after="0" w:line="240" w:lineRule="auto"/>
              <w:jc w:val="center"/>
              <w:rPr>
                <w:rFonts w:asciiTheme="majorHAnsi" w:eastAsia="Times New Roman" w:hAnsiTheme="majorHAnsi" w:cstheme="majorHAnsi"/>
                <w:b/>
                <w:color w:val="000000"/>
                <w:sz w:val="18"/>
                <w:szCs w:val="18"/>
              </w:rPr>
            </w:pPr>
            <w:r w:rsidRPr="0000336A">
              <w:rPr>
                <w:rFonts w:asciiTheme="majorHAnsi" w:eastAsia="Times New Roman" w:hAnsiTheme="majorHAnsi" w:cstheme="majorHAnsi"/>
                <w:b/>
                <w:color w:val="000000"/>
                <w:sz w:val="18"/>
                <w:szCs w:val="18"/>
              </w:rPr>
              <w:t>20.70</w:t>
            </w:r>
          </w:p>
        </w:tc>
        <w:tc>
          <w:tcPr>
            <w:tcW w:w="948" w:type="dxa"/>
            <w:tcBorders>
              <w:top w:val="nil"/>
              <w:left w:val="nil"/>
              <w:bottom w:val="single" w:sz="4" w:space="0" w:color="auto"/>
              <w:right w:val="single" w:sz="4" w:space="0" w:color="auto"/>
            </w:tcBorders>
            <w:shd w:val="clear" w:color="auto" w:fill="D9E2F3" w:themeFill="accent5" w:themeFillTint="33"/>
            <w:noWrap/>
            <w:vAlign w:val="bottom"/>
          </w:tcPr>
          <w:p w14:paraId="644D5268" w14:textId="77777777" w:rsidR="00E52AC1" w:rsidRPr="0000336A" w:rsidRDefault="00E52AC1" w:rsidP="00E52AC1">
            <w:pPr>
              <w:spacing w:after="0" w:line="240" w:lineRule="auto"/>
              <w:jc w:val="center"/>
              <w:rPr>
                <w:rFonts w:asciiTheme="majorHAnsi" w:eastAsia="Times New Roman" w:hAnsiTheme="majorHAnsi" w:cstheme="majorHAnsi"/>
                <w:b/>
                <w:color w:val="000000"/>
                <w:sz w:val="18"/>
                <w:szCs w:val="18"/>
              </w:rPr>
            </w:pPr>
            <w:r w:rsidRPr="0000336A">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D9E2F3" w:themeFill="accent5" w:themeFillTint="33"/>
            <w:noWrap/>
            <w:vAlign w:val="bottom"/>
          </w:tcPr>
          <w:p w14:paraId="055F42D7" w14:textId="77777777" w:rsidR="00E52AC1" w:rsidRPr="0000336A" w:rsidRDefault="00E52AC1" w:rsidP="00E52AC1">
            <w:pPr>
              <w:spacing w:after="0" w:line="240" w:lineRule="auto"/>
              <w:jc w:val="center"/>
              <w:rPr>
                <w:rFonts w:asciiTheme="majorHAnsi" w:eastAsia="Times New Roman" w:hAnsiTheme="majorHAnsi" w:cstheme="majorHAnsi"/>
                <w:b/>
                <w:color w:val="000000"/>
                <w:sz w:val="18"/>
                <w:szCs w:val="18"/>
              </w:rPr>
            </w:pPr>
            <w:r w:rsidRPr="0000336A">
              <w:rPr>
                <w:rFonts w:asciiTheme="majorHAnsi" w:eastAsia="Times New Roman" w:hAnsiTheme="majorHAnsi" w:cstheme="majorHAnsi"/>
                <w:b/>
                <w:color w:val="000000"/>
                <w:sz w:val="18"/>
                <w:szCs w:val="18"/>
              </w:rPr>
              <w:t>5.02</w:t>
            </w:r>
          </w:p>
        </w:tc>
        <w:tc>
          <w:tcPr>
            <w:tcW w:w="990" w:type="dxa"/>
            <w:tcBorders>
              <w:top w:val="nil"/>
              <w:left w:val="nil"/>
              <w:bottom w:val="single" w:sz="4" w:space="0" w:color="auto"/>
              <w:right w:val="single" w:sz="4" w:space="0" w:color="auto"/>
            </w:tcBorders>
            <w:shd w:val="clear" w:color="auto" w:fill="D9E2F3" w:themeFill="accent5" w:themeFillTint="33"/>
            <w:noWrap/>
            <w:vAlign w:val="bottom"/>
          </w:tcPr>
          <w:p w14:paraId="3293EA87" w14:textId="77777777" w:rsidR="00E52AC1" w:rsidRPr="0000336A" w:rsidRDefault="00E52AC1" w:rsidP="00E52AC1">
            <w:pPr>
              <w:spacing w:after="0" w:line="240" w:lineRule="auto"/>
              <w:jc w:val="center"/>
              <w:rPr>
                <w:rFonts w:asciiTheme="majorHAnsi" w:eastAsia="Times New Roman" w:hAnsiTheme="majorHAnsi" w:cstheme="majorHAnsi"/>
                <w:b/>
                <w:color w:val="000000"/>
                <w:sz w:val="18"/>
                <w:szCs w:val="18"/>
              </w:rPr>
            </w:pPr>
            <w:r w:rsidRPr="0000336A">
              <w:rPr>
                <w:rFonts w:asciiTheme="majorHAnsi" w:eastAsia="Times New Roman" w:hAnsiTheme="majorHAnsi" w:cstheme="majorHAnsi"/>
                <w:b/>
                <w:color w:val="000000"/>
                <w:sz w:val="18"/>
                <w:szCs w:val="18"/>
              </w:rPr>
              <w:t>-0.00</w:t>
            </w:r>
          </w:p>
        </w:tc>
        <w:tc>
          <w:tcPr>
            <w:tcW w:w="990" w:type="dxa"/>
            <w:tcBorders>
              <w:top w:val="nil"/>
              <w:left w:val="nil"/>
              <w:bottom w:val="single" w:sz="4" w:space="0" w:color="auto"/>
              <w:right w:val="single" w:sz="4" w:space="0" w:color="auto"/>
            </w:tcBorders>
            <w:shd w:val="clear" w:color="auto" w:fill="D9E2F3" w:themeFill="accent5" w:themeFillTint="33"/>
            <w:noWrap/>
            <w:vAlign w:val="bottom"/>
          </w:tcPr>
          <w:p w14:paraId="6F990E43" w14:textId="77777777" w:rsidR="00E52AC1" w:rsidRPr="0000336A" w:rsidRDefault="00E52AC1" w:rsidP="00E52AC1">
            <w:pPr>
              <w:spacing w:after="0" w:line="240" w:lineRule="auto"/>
              <w:jc w:val="center"/>
              <w:rPr>
                <w:rFonts w:asciiTheme="majorHAnsi" w:eastAsia="Times New Roman" w:hAnsiTheme="majorHAnsi" w:cstheme="majorHAnsi"/>
                <w:b/>
                <w:color w:val="000000"/>
                <w:sz w:val="18"/>
                <w:szCs w:val="18"/>
              </w:rPr>
            </w:pPr>
            <w:r w:rsidRPr="0000336A">
              <w:rPr>
                <w:rFonts w:asciiTheme="majorHAnsi" w:eastAsia="Times New Roman" w:hAnsiTheme="majorHAnsi" w:cstheme="majorHAnsi"/>
                <w:b/>
                <w:color w:val="000000"/>
                <w:sz w:val="18"/>
                <w:szCs w:val="18"/>
              </w:rPr>
              <w:t>100.0</w:t>
            </w:r>
          </w:p>
        </w:tc>
        <w:tc>
          <w:tcPr>
            <w:tcW w:w="1080" w:type="dxa"/>
            <w:tcBorders>
              <w:top w:val="nil"/>
              <w:left w:val="nil"/>
              <w:bottom w:val="single" w:sz="4" w:space="0" w:color="auto"/>
              <w:right w:val="single" w:sz="4" w:space="0" w:color="auto"/>
            </w:tcBorders>
            <w:shd w:val="clear" w:color="auto" w:fill="D9E2F3" w:themeFill="accent5" w:themeFillTint="33"/>
            <w:noWrap/>
            <w:vAlign w:val="bottom"/>
          </w:tcPr>
          <w:p w14:paraId="5DC51CA5" w14:textId="77777777" w:rsidR="00E52AC1" w:rsidRPr="0000336A" w:rsidRDefault="00E52AC1" w:rsidP="00E52AC1">
            <w:pPr>
              <w:spacing w:after="0" w:line="240" w:lineRule="auto"/>
              <w:jc w:val="center"/>
              <w:rPr>
                <w:rFonts w:asciiTheme="majorHAnsi" w:eastAsia="Times New Roman" w:hAnsiTheme="majorHAnsi" w:cstheme="majorHAnsi"/>
                <w:b/>
                <w:color w:val="000000"/>
                <w:sz w:val="18"/>
                <w:szCs w:val="18"/>
              </w:rPr>
            </w:pPr>
            <w:r w:rsidRPr="0000336A">
              <w:rPr>
                <w:rFonts w:asciiTheme="majorHAnsi" w:eastAsia="Times New Roman" w:hAnsiTheme="majorHAnsi" w:cstheme="majorHAnsi"/>
                <w:b/>
                <w:color w:val="000000"/>
                <w:sz w:val="18"/>
                <w:szCs w:val="18"/>
              </w:rPr>
              <w:t>-0.00</w:t>
            </w:r>
          </w:p>
        </w:tc>
        <w:tc>
          <w:tcPr>
            <w:tcW w:w="1156" w:type="dxa"/>
            <w:tcBorders>
              <w:top w:val="nil"/>
              <w:left w:val="nil"/>
              <w:bottom w:val="single" w:sz="4" w:space="0" w:color="auto"/>
              <w:right w:val="single" w:sz="4" w:space="0" w:color="auto"/>
            </w:tcBorders>
            <w:shd w:val="clear" w:color="auto" w:fill="D9E2F3" w:themeFill="accent5" w:themeFillTint="33"/>
            <w:noWrap/>
            <w:vAlign w:val="bottom"/>
          </w:tcPr>
          <w:p w14:paraId="6DE8CCF7" w14:textId="77777777" w:rsidR="00E52AC1" w:rsidRPr="0000336A" w:rsidRDefault="00E52AC1" w:rsidP="00E52AC1">
            <w:pPr>
              <w:spacing w:after="0" w:line="240" w:lineRule="auto"/>
              <w:jc w:val="center"/>
              <w:rPr>
                <w:rFonts w:asciiTheme="majorHAnsi" w:eastAsia="Times New Roman" w:hAnsiTheme="majorHAnsi" w:cstheme="majorHAnsi"/>
                <w:b/>
                <w:color w:val="000000"/>
                <w:sz w:val="18"/>
                <w:szCs w:val="18"/>
              </w:rPr>
            </w:pPr>
            <w:r w:rsidRPr="0000336A">
              <w:rPr>
                <w:rFonts w:asciiTheme="majorHAnsi" w:eastAsia="Times New Roman" w:hAnsiTheme="majorHAnsi" w:cstheme="majorHAnsi"/>
                <w:b/>
                <w:color w:val="000000"/>
                <w:sz w:val="18"/>
                <w:szCs w:val="18"/>
              </w:rPr>
              <w:t>100.0</w:t>
            </w:r>
          </w:p>
        </w:tc>
      </w:tr>
      <w:tr w:rsidR="00E52AC1" w:rsidRPr="00991DD7" w14:paraId="547E1D4F" w14:textId="77777777" w:rsidTr="00E52AC1">
        <w:trPr>
          <w:trHeight w:val="143"/>
        </w:trPr>
        <w:tc>
          <w:tcPr>
            <w:tcW w:w="4140" w:type="dxa"/>
            <w:tcBorders>
              <w:top w:val="nil"/>
              <w:left w:val="single" w:sz="4" w:space="0" w:color="auto"/>
              <w:bottom w:val="single" w:sz="4" w:space="0" w:color="auto"/>
              <w:right w:val="single" w:sz="4" w:space="0" w:color="auto"/>
            </w:tcBorders>
            <w:shd w:val="clear" w:color="auto" w:fill="auto"/>
            <w:vAlign w:val="bottom"/>
          </w:tcPr>
          <w:p w14:paraId="45CA95D0" w14:textId="77777777" w:rsidR="00E52AC1" w:rsidRPr="00566204" w:rsidRDefault="00E52AC1" w:rsidP="00E52AC1">
            <w:pPr>
              <w:spacing w:after="0" w:line="240" w:lineRule="auto"/>
              <w:jc w:val="both"/>
              <w:rPr>
                <w:rFonts w:asciiTheme="majorHAnsi" w:eastAsia="Times New Roman" w:hAnsiTheme="majorHAnsi" w:cstheme="majorHAnsi"/>
                <w:b/>
                <w:bCs/>
                <w:color w:val="000000"/>
                <w:sz w:val="18"/>
                <w:szCs w:val="18"/>
              </w:rPr>
            </w:pPr>
            <w:r w:rsidRPr="00566204">
              <w:rPr>
                <w:rFonts w:asciiTheme="majorHAnsi" w:eastAsia="Times New Roman" w:hAnsiTheme="majorHAnsi" w:cstheme="majorHAnsi"/>
                <w:b/>
                <w:bCs/>
                <w:color w:val="000000"/>
                <w:sz w:val="18"/>
                <w:szCs w:val="18"/>
              </w:rPr>
              <w:t>Subsidii acordate întreprinderilor de stat și municipale nefinanciare</w:t>
            </w:r>
          </w:p>
        </w:tc>
        <w:tc>
          <w:tcPr>
            <w:tcW w:w="964" w:type="dxa"/>
            <w:tcBorders>
              <w:top w:val="nil"/>
              <w:left w:val="nil"/>
              <w:bottom w:val="single" w:sz="4" w:space="0" w:color="auto"/>
              <w:right w:val="single" w:sz="4" w:space="0" w:color="auto"/>
            </w:tcBorders>
            <w:shd w:val="clear" w:color="auto" w:fill="auto"/>
            <w:noWrap/>
            <w:vAlign w:val="bottom"/>
          </w:tcPr>
          <w:p w14:paraId="07E21DF0" w14:textId="77777777" w:rsidR="00E52AC1" w:rsidRPr="00566204" w:rsidRDefault="00E52AC1" w:rsidP="00E52AC1">
            <w:pPr>
              <w:spacing w:after="0" w:line="240" w:lineRule="auto"/>
              <w:jc w:val="both"/>
              <w:rPr>
                <w:rFonts w:asciiTheme="majorHAnsi" w:eastAsia="Times New Roman" w:hAnsiTheme="majorHAnsi" w:cstheme="majorHAnsi"/>
                <w:i/>
                <w:iCs/>
                <w:color w:val="000000"/>
                <w:sz w:val="18"/>
                <w:szCs w:val="18"/>
              </w:rPr>
            </w:pPr>
            <w:r w:rsidRPr="00566204">
              <w:rPr>
                <w:rFonts w:asciiTheme="majorHAnsi" w:eastAsia="Times New Roman" w:hAnsiTheme="majorHAnsi" w:cstheme="majorHAnsi"/>
                <w:i/>
                <w:iCs/>
                <w:color w:val="000000"/>
                <w:sz w:val="18"/>
                <w:szCs w:val="18"/>
              </w:rPr>
              <w:t>251100</w:t>
            </w:r>
          </w:p>
        </w:tc>
        <w:tc>
          <w:tcPr>
            <w:tcW w:w="1004" w:type="dxa"/>
            <w:tcBorders>
              <w:top w:val="nil"/>
              <w:left w:val="nil"/>
              <w:bottom w:val="single" w:sz="4" w:space="0" w:color="auto"/>
              <w:right w:val="single" w:sz="4" w:space="0" w:color="auto"/>
            </w:tcBorders>
            <w:shd w:val="clear" w:color="auto" w:fill="auto"/>
            <w:noWrap/>
            <w:vAlign w:val="bottom"/>
          </w:tcPr>
          <w:p w14:paraId="08A33DB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15.68</w:t>
            </w:r>
          </w:p>
        </w:tc>
        <w:tc>
          <w:tcPr>
            <w:tcW w:w="900" w:type="dxa"/>
            <w:tcBorders>
              <w:top w:val="nil"/>
              <w:left w:val="nil"/>
              <w:bottom w:val="single" w:sz="4" w:space="0" w:color="auto"/>
              <w:right w:val="single" w:sz="4" w:space="0" w:color="auto"/>
            </w:tcBorders>
            <w:shd w:val="clear" w:color="auto" w:fill="auto"/>
            <w:noWrap/>
            <w:vAlign w:val="bottom"/>
          </w:tcPr>
          <w:p w14:paraId="7983011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20.70</w:t>
            </w:r>
          </w:p>
        </w:tc>
        <w:tc>
          <w:tcPr>
            <w:tcW w:w="900" w:type="dxa"/>
            <w:tcBorders>
              <w:top w:val="nil"/>
              <w:left w:val="nil"/>
              <w:bottom w:val="single" w:sz="4" w:space="0" w:color="auto"/>
              <w:right w:val="single" w:sz="4" w:space="0" w:color="auto"/>
            </w:tcBorders>
            <w:shd w:val="clear" w:color="auto" w:fill="auto"/>
            <w:noWrap/>
            <w:vAlign w:val="bottom"/>
          </w:tcPr>
          <w:p w14:paraId="31CE0CB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20.70</w:t>
            </w:r>
          </w:p>
        </w:tc>
        <w:tc>
          <w:tcPr>
            <w:tcW w:w="900" w:type="dxa"/>
            <w:tcBorders>
              <w:top w:val="nil"/>
              <w:left w:val="nil"/>
              <w:bottom w:val="single" w:sz="4" w:space="0" w:color="auto"/>
              <w:right w:val="single" w:sz="4" w:space="0" w:color="auto"/>
            </w:tcBorders>
            <w:shd w:val="clear" w:color="auto" w:fill="auto"/>
            <w:noWrap/>
            <w:vAlign w:val="bottom"/>
          </w:tcPr>
          <w:p w14:paraId="48CA092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20.70</w:t>
            </w:r>
          </w:p>
        </w:tc>
        <w:tc>
          <w:tcPr>
            <w:tcW w:w="948" w:type="dxa"/>
            <w:tcBorders>
              <w:top w:val="nil"/>
              <w:left w:val="nil"/>
              <w:bottom w:val="single" w:sz="4" w:space="0" w:color="auto"/>
              <w:right w:val="single" w:sz="4" w:space="0" w:color="auto"/>
            </w:tcBorders>
            <w:shd w:val="clear" w:color="auto" w:fill="auto"/>
            <w:noWrap/>
            <w:vAlign w:val="bottom"/>
          </w:tcPr>
          <w:p w14:paraId="09CE7DC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51BD10B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5.02</w:t>
            </w:r>
          </w:p>
        </w:tc>
        <w:tc>
          <w:tcPr>
            <w:tcW w:w="990" w:type="dxa"/>
            <w:tcBorders>
              <w:top w:val="nil"/>
              <w:left w:val="nil"/>
              <w:bottom w:val="single" w:sz="4" w:space="0" w:color="auto"/>
              <w:right w:val="single" w:sz="4" w:space="0" w:color="auto"/>
            </w:tcBorders>
            <w:shd w:val="clear" w:color="auto" w:fill="auto"/>
            <w:noWrap/>
            <w:vAlign w:val="bottom"/>
          </w:tcPr>
          <w:p w14:paraId="5D3818B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4C1A3B6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100.0</w:t>
            </w:r>
          </w:p>
        </w:tc>
        <w:tc>
          <w:tcPr>
            <w:tcW w:w="1080" w:type="dxa"/>
            <w:tcBorders>
              <w:top w:val="nil"/>
              <w:left w:val="nil"/>
              <w:bottom w:val="single" w:sz="4" w:space="0" w:color="auto"/>
              <w:right w:val="single" w:sz="4" w:space="0" w:color="auto"/>
            </w:tcBorders>
            <w:shd w:val="clear" w:color="auto" w:fill="auto"/>
            <w:noWrap/>
            <w:vAlign w:val="bottom"/>
          </w:tcPr>
          <w:p w14:paraId="25663E2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156" w:type="dxa"/>
            <w:tcBorders>
              <w:top w:val="nil"/>
              <w:left w:val="nil"/>
              <w:bottom w:val="single" w:sz="4" w:space="0" w:color="auto"/>
              <w:right w:val="single" w:sz="4" w:space="0" w:color="auto"/>
            </w:tcBorders>
            <w:shd w:val="clear" w:color="auto" w:fill="auto"/>
            <w:noWrap/>
            <w:vAlign w:val="bottom"/>
          </w:tcPr>
          <w:p w14:paraId="5E6B468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100.0</w:t>
            </w:r>
          </w:p>
        </w:tc>
      </w:tr>
      <w:tr w:rsidR="00E52AC1" w:rsidRPr="00991DD7" w14:paraId="30432E6B" w14:textId="77777777" w:rsidTr="00E52AC1">
        <w:trPr>
          <w:trHeight w:val="143"/>
        </w:trPr>
        <w:tc>
          <w:tcPr>
            <w:tcW w:w="4140" w:type="dxa"/>
            <w:tcBorders>
              <w:top w:val="nil"/>
              <w:left w:val="single" w:sz="4" w:space="0" w:color="auto"/>
              <w:bottom w:val="single" w:sz="4" w:space="0" w:color="auto"/>
              <w:right w:val="single" w:sz="4" w:space="0" w:color="auto"/>
            </w:tcBorders>
            <w:shd w:val="clear" w:color="auto" w:fill="D9E2F3" w:themeFill="accent5" w:themeFillTint="33"/>
            <w:vAlign w:val="bottom"/>
          </w:tcPr>
          <w:p w14:paraId="05373F3D"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D9E2F3" w:themeFill="accent5" w:themeFillTint="33"/>
            <w:noWrap/>
            <w:vAlign w:val="bottom"/>
          </w:tcPr>
          <w:p w14:paraId="3381AAFA" w14:textId="77777777" w:rsidR="00E52AC1" w:rsidRPr="00785BE2" w:rsidRDefault="00E52AC1" w:rsidP="00E52AC1">
            <w:pPr>
              <w:spacing w:after="0" w:line="240" w:lineRule="auto"/>
              <w:jc w:val="both"/>
              <w:rPr>
                <w:rFonts w:asciiTheme="majorHAnsi" w:eastAsia="Times New Roman" w:hAnsiTheme="majorHAnsi" w:cstheme="majorHAnsi"/>
                <w:b/>
                <w:i/>
                <w:iCs/>
                <w:color w:val="000000"/>
                <w:sz w:val="18"/>
                <w:szCs w:val="18"/>
              </w:rPr>
            </w:pPr>
            <w:r w:rsidRPr="00785BE2">
              <w:rPr>
                <w:rFonts w:asciiTheme="majorHAnsi" w:eastAsia="Times New Roman" w:hAnsiTheme="majorHAnsi" w:cstheme="majorHAnsi"/>
                <w:b/>
                <w:i/>
                <w:iCs/>
                <w:color w:val="000000"/>
                <w:sz w:val="18"/>
                <w:szCs w:val="18"/>
              </w:rPr>
              <w:t>254</w:t>
            </w:r>
          </w:p>
        </w:tc>
        <w:tc>
          <w:tcPr>
            <w:tcW w:w="1004" w:type="dxa"/>
            <w:tcBorders>
              <w:top w:val="nil"/>
              <w:left w:val="nil"/>
              <w:bottom w:val="single" w:sz="4" w:space="0" w:color="auto"/>
              <w:right w:val="single" w:sz="4" w:space="0" w:color="auto"/>
            </w:tcBorders>
            <w:shd w:val="clear" w:color="auto" w:fill="D9E2F3" w:themeFill="accent5" w:themeFillTint="33"/>
            <w:noWrap/>
            <w:vAlign w:val="bottom"/>
          </w:tcPr>
          <w:p w14:paraId="10890BEB" w14:textId="77777777" w:rsidR="00E52AC1" w:rsidRPr="00785BE2" w:rsidRDefault="00E52AC1" w:rsidP="00E52AC1">
            <w:pPr>
              <w:spacing w:after="0" w:line="240" w:lineRule="auto"/>
              <w:jc w:val="center"/>
              <w:rPr>
                <w:rFonts w:asciiTheme="majorHAnsi" w:eastAsia="Times New Roman" w:hAnsiTheme="majorHAnsi" w:cstheme="majorHAnsi"/>
                <w:b/>
                <w:color w:val="000000"/>
                <w:sz w:val="18"/>
                <w:szCs w:val="18"/>
              </w:rPr>
            </w:pPr>
            <w:r w:rsidRPr="00785BE2">
              <w:rPr>
                <w:rFonts w:asciiTheme="majorHAnsi" w:eastAsia="Times New Roman" w:hAnsiTheme="majorHAnsi" w:cstheme="majorHAnsi"/>
                <w:b/>
                <w:color w:val="000000"/>
                <w:sz w:val="18"/>
                <w:szCs w:val="18"/>
              </w:rPr>
              <w:t>294.68</w:t>
            </w:r>
          </w:p>
        </w:tc>
        <w:tc>
          <w:tcPr>
            <w:tcW w:w="900" w:type="dxa"/>
            <w:tcBorders>
              <w:top w:val="nil"/>
              <w:left w:val="nil"/>
              <w:bottom w:val="single" w:sz="4" w:space="0" w:color="auto"/>
              <w:right w:val="single" w:sz="4" w:space="0" w:color="auto"/>
            </w:tcBorders>
            <w:shd w:val="clear" w:color="auto" w:fill="D9E2F3" w:themeFill="accent5" w:themeFillTint="33"/>
            <w:noWrap/>
            <w:vAlign w:val="bottom"/>
          </w:tcPr>
          <w:p w14:paraId="749AFAB4" w14:textId="77777777" w:rsidR="00E52AC1" w:rsidRPr="00785BE2" w:rsidRDefault="00E52AC1" w:rsidP="00E52AC1">
            <w:pPr>
              <w:spacing w:after="0" w:line="240" w:lineRule="auto"/>
              <w:jc w:val="center"/>
              <w:rPr>
                <w:rFonts w:asciiTheme="majorHAnsi" w:eastAsia="Times New Roman" w:hAnsiTheme="majorHAnsi" w:cstheme="majorHAnsi"/>
                <w:b/>
                <w:color w:val="000000"/>
                <w:sz w:val="18"/>
                <w:szCs w:val="18"/>
              </w:rPr>
            </w:pPr>
            <w:r w:rsidRPr="00785BE2">
              <w:rPr>
                <w:rFonts w:asciiTheme="majorHAnsi" w:eastAsia="Times New Roman" w:hAnsiTheme="majorHAnsi" w:cstheme="majorHAnsi"/>
                <w:b/>
                <w:color w:val="000000"/>
                <w:sz w:val="18"/>
                <w:szCs w:val="18"/>
              </w:rPr>
              <w:t>319.73</w:t>
            </w:r>
          </w:p>
        </w:tc>
        <w:tc>
          <w:tcPr>
            <w:tcW w:w="900" w:type="dxa"/>
            <w:tcBorders>
              <w:top w:val="nil"/>
              <w:left w:val="nil"/>
              <w:bottom w:val="single" w:sz="4" w:space="0" w:color="auto"/>
              <w:right w:val="single" w:sz="4" w:space="0" w:color="auto"/>
            </w:tcBorders>
            <w:shd w:val="clear" w:color="auto" w:fill="D9E2F3" w:themeFill="accent5" w:themeFillTint="33"/>
            <w:noWrap/>
            <w:vAlign w:val="bottom"/>
          </w:tcPr>
          <w:p w14:paraId="7890BE67" w14:textId="77777777" w:rsidR="00E52AC1" w:rsidRPr="00785BE2" w:rsidRDefault="00E52AC1" w:rsidP="00E52AC1">
            <w:pPr>
              <w:spacing w:after="0" w:line="240" w:lineRule="auto"/>
              <w:jc w:val="center"/>
              <w:rPr>
                <w:rFonts w:asciiTheme="majorHAnsi" w:eastAsia="Times New Roman" w:hAnsiTheme="majorHAnsi" w:cstheme="majorHAnsi"/>
                <w:b/>
                <w:color w:val="000000"/>
                <w:sz w:val="18"/>
                <w:szCs w:val="18"/>
              </w:rPr>
            </w:pPr>
            <w:r w:rsidRPr="00785BE2">
              <w:rPr>
                <w:rFonts w:asciiTheme="majorHAnsi" w:eastAsia="Times New Roman" w:hAnsiTheme="majorHAnsi" w:cstheme="majorHAnsi"/>
                <w:b/>
                <w:color w:val="000000"/>
                <w:sz w:val="18"/>
                <w:szCs w:val="18"/>
              </w:rPr>
              <w:t>303.29</w:t>
            </w:r>
          </w:p>
        </w:tc>
        <w:tc>
          <w:tcPr>
            <w:tcW w:w="900" w:type="dxa"/>
            <w:tcBorders>
              <w:top w:val="nil"/>
              <w:left w:val="nil"/>
              <w:bottom w:val="single" w:sz="4" w:space="0" w:color="auto"/>
              <w:right w:val="single" w:sz="4" w:space="0" w:color="auto"/>
            </w:tcBorders>
            <w:shd w:val="clear" w:color="auto" w:fill="D9E2F3" w:themeFill="accent5" w:themeFillTint="33"/>
            <w:noWrap/>
            <w:vAlign w:val="bottom"/>
          </w:tcPr>
          <w:p w14:paraId="63E56EBA" w14:textId="77777777" w:rsidR="00E52AC1" w:rsidRPr="00785BE2" w:rsidRDefault="00E52AC1" w:rsidP="00E52AC1">
            <w:pPr>
              <w:spacing w:after="0" w:line="240" w:lineRule="auto"/>
              <w:jc w:val="center"/>
              <w:rPr>
                <w:rFonts w:asciiTheme="majorHAnsi" w:eastAsia="Times New Roman" w:hAnsiTheme="majorHAnsi" w:cstheme="majorHAnsi"/>
                <w:b/>
                <w:color w:val="000000"/>
                <w:sz w:val="18"/>
                <w:szCs w:val="18"/>
              </w:rPr>
            </w:pPr>
            <w:r w:rsidRPr="00785BE2">
              <w:rPr>
                <w:rFonts w:asciiTheme="majorHAnsi" w:eastAsia="Times New Roman" w:hAnsiTheme="majorHAnsi" w:cstheme="majorHAnsi"/>
                <w:b/>
                <w:color w:val="000000"/>
                <w:sz w:val="18"/>
                <w:szCs w:val="18"/>
              </w:rPr>
              <w:t>303.21</w:t>
            </w:r>
          </w:p>
        </w:tc>
        <w:tc>
          <w:tcPr>
            <w:tcW w:w="948" w:type="dxa"/>
            <w:tcBorders>
              <w:top w:val="nil"/>
              <w:left w:val="nil"/>
              <w:bottom w:val="single" w:sz="4" w:space="0" w:color="auto"/>
              <w:right w:val="single" w:sz="4" w:space="0" w:color="auto"/>
            </w:tcBorders>
            <w:shd w:val="clear" w:color="auto" w:fill="D9E2F3" w:themeFill="accent5" w:themeFillTint="33"/>
            <w:noWrap/>
            <w:vAlign w:val="bottom"/>
          </w:tcPr>
          <w:p w14:paraId="73D5B267" w14:textId="77777777" w:rsidR="00E52AC1" w:rsidRPr="00785BE2" w:rsidRDefault="00E52AC1" w:rsidP="00E52AC1">
            <w:pPr>
              <w:spacing w:after="0" w:line="240" w:lineRule="auto"/>
              <w:jc w:val="center"/>
              <w:rPr>
                <w:rFonts w:asciiTheme="majorHAnsi" w:eastAsia="Times New Roman" w:hAnsiTheme="majorHAnsi" w:cstheme="majorHAnsi"/>
                <w:b/>
                <w:color w:val="000000"/>
                <w:sz w:val="18"/>
                <w:szCs w:val="18"/>
              </w:rPr>
            </w:pPr>
            <w:r w:rsidRPr="00785BE2">
              <w:rPr>
                <w:rFonts w:asciiTheme="majorHAnsi" w:eastAsia="Times New Roman" w:hAnsiTheme="majorHAnsi" w:cstheme="majorHAnsi"/>
                <w:b/>
                <w:color w:val="000000"/>
                <w:sz w:val="18"/>
                <w:szCs w:val="18"/>
              </w:rPr>
              <w:t>0.08</w:t>
            </w:r>
          </w:p>
        </w:tc>
        <w:tc>
          <w:tcPr>
            <w:tcW w:w="1080" w:type="dxa"/>
            <w:tcBorders>
              <w:top w:val="nil"/>
              <w:left w:val="nil"/>
              <w:bottom w:val="single" w:sz="4" w:space="0" w:color="auto"/>
              <w:right w:val="single" w:sz="4" w:space="0" w:color="auto"/>
            </w:tcBorders>
            <w:shd w:val="clear" w:color="auto" w:fill="D9E2F3" w:themeFill="accent5" w:themeFillTint="33"/>
            <w:noWrap/>
            <w:vAlign w:val="bottom"/>
          </w:tcPr>
          <w:p w14:paraId="682A1BA4" w14:textId="77777777" w:rsidR="00E52AC1" w:rsidRPr="00785BE2" w:rsidRDefault="00E52AC1" w:rsidP="00E52AC1">
            <w:pPr>
              <w:spacing w:after="0" w:line="240" w:lineRule="auto"/>
              <w:jc w:val="center"/>
              <w:rPr>
                <w:rFonts w:asciiTheme="majorHAnsi" w:eastAsia="Times New Roman" w:hAnsiTheme="majorHAnsi" w:cstheme="majorHAnsi"/>
                <w:b/>
                <w:color w:val="000000"/>
                <w:sz w:val="18"/>
                <w:szCs w:val="18"/>
              </w:rPr>
            </w:pPr>
            <w:r w:rsidRPr="00785BE2">
              <w:rPr>
                <w:rFonts w:asciiTheme="majorHAnsi" w:eastAsia="Times New Roman" w:hAnsiTheme="majorHAnsi" w:cstheme="majorHAnsi"/>
                <w:b/>
                <w:color w:val="000000"/>
                <w:sz w:val="18"/>
                <w:szCs w:val="18"/>
              </w:rPr>
              <w:t>25.05</w:t>
            </w:r>
          </w:p>
        </w:tc>
        <w:tc>
          <w:tcPr>
            <w:tcW w:w="990" w:type="dxa"/>
            <w:tcBorders>
              <w:top w:val="nil"/>
              <w:left w:val="nil"/>
              <w:bottom w:val="single" w:sz="4" w:space="0" w:color="auto"/>
              <w:right w:val="single" w:sz="4" w:space="0" w:color="auto"/>
            </w:tcBorders>
            <w:shd w:val="clear" w:color="auto" w:fill="D9E2F3" w:themeFill="accent5" w:themeFillTint="33"/>
            <w:noWrap/>
            <w:vAlign w:val="bottom"/>
          </w:tcPr>
          <w:p w14:paraId="32735718" w14:textId="77777777" w:rsidR="00E52AC1" w:rsidRPr="00785BE2" w:rsidRDefault="00E52AC1" w:rsidP="00E52AC1">
            <w:pPr>
              <w:spacing w:after="0" w:line="240" w:lineRule="auto"/>
              <w:jc w:val="center"/>
              <w:rPr>
                <w:rFonts w:asciiTheme="majorHAnsi" w:eastAsia="Times New Roman" w:hAnsiTheme="majorHAnsi" w:cstheme="majorHAnsi"/>
                <w:b/>
                <w:color w:val="000000"/>
                <w:sz w:val="18"/>
                <w:szCs w:val="18"/>
              </w:rPr>
            </w:pPr>
            <w:r w:rsidRPr="00785BE2">
              <w:rPr>
                <w:rFonts w:asciiTheme="majorHAnsi" w:eastAsia="Times New Roman" w:hAnsiTheme="majorHAnsi" w:cstheme="majorHAnsi"/>
                <w:b/>
                <w:color w:val="000000"/>
                <w:sz w:val="18"/>
                <w:szCs w:val="18"/>
              </w:rPr>
              <w:t>-16.44</w:t>
            </w:r>
          </w:p>
        </w:tc>
        <w:tc>
          <w:tcPr>
            <w:tcW w:w="990" w:type="dxa"/>
            <w:tcBorders>
              <w:top w:val="nil"/>
              <w:left w:val="nil"/>
              <w:bottom w:val="single" w:sz="4" w:space="0" w:color="auto"/>
              <w:right w:val="single" w:sz="4" w:space="0" w:color="auto"/>
            </w:tcBorders>
            <w:shd w:val="clear" w:color="auto" w:fill="D9E2F3" w:themeFill="accent5" w:themeFillTint="33"/>
            <w:noWrap/>
            <w:vAlign w:val="bottom"/>
          </w:tcPr>
          <w:p w14:paraId="0DE0F882" w14:textId="77777777" w:rsidR="00E52AC1" w:rsidRPr="00785BE2" w:rsidRDefault="00E52AC1" w:rsidP="00E52AC1">
            <w:pPr>
              <w:spacing w:after="0" w:line="240" w:lineRule="auto"/>
              <w:jc w:val="center"/>
              <w:rPr>
                <w:rFonts w:asciiTheme="majorHAnsi" w:eastAsia="Times New Roman" w:hAnsiTheme="majorHAnsi" w:cstheme="majorHAnsi"/>
                <w:b/>
                <w:color w:val="000000"/>
                <w:sz w:val="18"/>
                <w:szCs w:val="18"/>
              </w:rPr>
            </w:pPr>
            <w:r w:rsidRPr="00785BE2">
              <w:rPr>
                <w:rFonts w:asciiTheme="majorHAnsi" w:eastAsia="Times New Roman" w:hAnsiTheme="majorHAnsi" w:cstheme="majorHAnsi"/>
                <w:b/>
                <w:color w:val="000000"/>
                <w:sz w:val="18"/>
                <w:szCs w:val="18"/>
              </w:rPr>
              <w:t>94.86</w:t>
            </w:r>
          </w:p>
        </w:tc>
        <w:tc>
          <w:tcPr>
            <w:tcW w:w="1080" w:type="dxa"/>
            <w:tcBorders>
              <w:top w:val="nil"/>
              <w:left w:val="nil"/>
              <w:bottom w:val="single" w:sz="4" w:space="0" w:color="auto"/>
              <w:right w:val="single" w:sz="4" w:space="0" w:color="auto"/>
            </w:tcBorders>
            <w:shd w:val="clear" w:color="auto" w:fill="D9E2F3" w:themeFill="accent5" w:themeFillTint="33"/>
            <w:noWrap/>
            <w:vAlign w:val="bottom"/>
          </w:tcPr>
          <w:p w14:paraId="0AAA3CF7" w14:textId="77777777" w:rsidR="00E52AC1" w:rsidRPr="00785BE2" w:rsidRDefault="00E52AC1" w:rsidP="00E52AC1">
            <w:pPr>
              <w:spacing w:after="0" w:line="240" w:lineRule="auto"/>
              <w:jc w:val="center"/>
              <w:rPr>
                <w:rFonts w:asciiTheme="majorHAnsi" w:eastAsia="Times New Roman" w:hAnsiTheme="majorHAnsi" w:cstheme="majorHAnsi"/>
                <w:b/>
                <w:color w:val="000000"/>
                <w:sz w:val="18"/>
                <w:szCs w:val="18"/>
              </w:rPr>
            </w:pPr>
            <w:r w:rsidRPr="00785BE2">
              <w:rPr>
                <w:rFonts w:asciiTheme="majorHAnsi" w:eastAsia="Times New Roman" w:hAnsiTheme="majorHAnsi" w:cstheme="majorHAnsi"/>
                <w:b/>
                <w:color w:val="000000"/>
                <w:sz w:val="18"/>
                <w:szCs w:val="18"/>
              </w:rPr>
              <w:t>-16.52</w:t>
            </w:r>
          </w:p>
        </w:tc>
        <w:tc>
          <w:tcPr>
            <w:tcW w:w="1156" w:type="dxa"/>
            <w:tcBorders>
              <w:top w:val="nil"/>
              <w:left w:val="nil"/>
              <w:bottom w:val="single" w:sz="4" w:space="0" w:color="auto"/>
              <w:right w:val="single" w:sz="4" w:space="0" w:color="auto"/>
            </w:tcBorders>
            <w:shd w:val="clear" w:color="auto" w:fill="D9E2F3" w:themeFill="accent5" w:themeFillTint="33"/>
            <w:noWrap/>
            <w:vAlign w:val="bottom"/>
          </w:tcPr>
          <w:p w14:paraId="3FF189E0" w14:textId="77777777" w:rsidR="00E52AC1" w:rsidRPr="00785BE2" w:rsidRDefault="00E52AC1" w:rsidP="00E52AC1">
            <w:pPr>
              <w:spacing w:after="0" w:line="240" w:lineRule="auto"/>
              <w:jc w:val="center"/>
              <w:rPr>
                <w:rFonts w:asciiTheme="majorHAnsi" w:eastAsia="Times New Roman" w:hAnsiTheme="majorHAnsi" w:cstheme="majorHAnsi"/>
                <w:b/>
                <w:color w:val="000000"/>
                <w:sz w:val="18"/>
                <w:szCs w:val="18"/>
              </w:rPr>
            </w:pPr>
            <w:r w:rsidRPr="00785BE2">
              <w:rPr>
                <w:rFonts w:asciiTheme="majorHAnsi" w:eastAsia="Times New Roman" w:hAnsiTheme="majorHAnsi" w:cstheme="majorHAnsi"/>
                <w:b/>
                <w:color w:val="000000"/>
                <w:sz w:val="18"/>
                <w:szCs w:val="18"/>
              </w:rPr>
              <w:t>94.83</w:t>
            </w:r>
          </w:p>
        </w:tc>
      </w:tr>
      <w:tr w:rsidR="00E52AC1" w:rsidRPr="00991DD7" w14:paraId="487322FE" w14:textId="77777777" w:rsidTr="00E52AC1">
        <w:trPr>
          <w:trHeight w:val="143"/>
        </w:trPr>
        <w:tc>
          <w:tcPr>
            <w:tcW w:w="4140" w:type="dxa"/>
            <w:tcBorders>
              <w:top w:val="nil"/>
              <w:left w:val="single" w:sz="4" w:space="0" w:color="auto"/>
              <w:bottom w:val="single" w:sz="4" w:space="0" w:color="auto"/>
              <w:right w:val="single" w:sz="4" w:space="0" w:color="auto"/>
            </w:tcBorders>
            <w:shd w:val="clear" w:color="auto" w:fill="auto"/>
            <w:vAlign w:val="bottom"/>
          </w:tcPr>
          <w:p w14:paraId="1C5882C2"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566204">
              <w:rPr>
                <w:rFonts w:asciiTheme="majorHAnsi" w:eastAsia="Times New Roman" w:hAnsiTheme="majorHAnsi" w:cstheme="majorHAnsi"/>
                <w:b/>
                <w:bCs/>
                <w:color w:val="000000"/>
                <w:sz w:val="18"/>
                <w:szCs w:val="18"/>
              </w:rPr>
              <w:t>Subsidii acordate autorităților/instituțiilor publice la autogestiune</w:t>
            </w:r>
          </w:p>
        </w:tc>
        <w:tc>
          <w:tcPr>
            <w:tcW w:w="964" w:type="dxa"/>
            <w:tcBorders>
              <w:top w:val="nil"/>
              <w:left w:val="nil"/>
              <w:bottom w:val="single" w:sz="4" w:space="0" w:color="auto"/>
              <w:right w:val="single" w:sz="4" w:space="0" w:color="auto"/>
            </w:tcBorders>
            <w:shd w:val="clear" w:color="auto" w:fill="auto"/>
            <w:noWrap/>
            <w:vAlign w:val="bottom"/>
          </w:tcPr>
          <w:p w14:paraId="0A9D15AF" w14:textId="77777777" w:rsidR="00E52AC1" w:rsidRPr="00DB56A1" w:rsidRDefault="00E52AC1" w:rsidP="00E52AC1">
            <w:pPr>
              <w:spacing w:after="0" w:line="240" w:lineRule="auto"/>
              <w:jc w:val="both"/>
              <w:rPr>
                <w:rFonts w:asciiTheme="majorHAnsi" w:eastAsia="Times New Roman" w:hAnsiTheme="majorHAnsi" w:cstheme="majorHAnsi"/>
                <w:bCs/>
                <w:color w:val="000000"/>
                <w:sz w:val="18"/>
                <w:szCs w:val="18"/>
              </w:rPr>
            </w:pPr>
            <w:r w:rsidRPr="00DB56A1">
              <w:rPr>
                <w:rFonts w:asciiTheme="majorHAnsi" w:eastAsia="Times New Roman" w:hAnsiTheme="majorHAnsi" w:cstheme="majorHAnsi"/>
                <w:bCs/>
                <w:color w:val="000000"/>
                <w:sz w:val="18"/>
                <w:szCs w:val="18"/>
              </w:rPr>
              <w:t>254000</w:t>
            </w:r>
          </w:p>
        </w:tc>
        <w:tc>
          <w:tcPr>
            <w:tcW w:w="1004" w:type="dxa"/>
            <w:tcBorders>
              <w:top w:val="nil"/>
              <w:left w:val="nil"/>
              <w:bottom w:val="single" w:sz="4" w:space="0" w:color="auto"/>
              <w:right w:val="single" w:sz="4" w:space="0" w:color="auto"/>
            </w:tcBorders>
            <w:shd w:val="clear" w:color="auto" w:fill="auto"/>
            <w:noWrap/>
            <w:vAlign w:val="bottom"/>
          </w:tcPr>
          <w:p w14:paraId="47559FC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294.68</w:t>
            </w:r>
          </w:p>
        </w:tc>
        <w:tc>
          <w:tcPr>
            <w:tcW w:w="900" w:type="dxa"/>
            <w:tcBorders>
              <w:top w:val="nil"/>
              <w:left w:val="nil"/>
              <w:bottom w:val="single" w:sz="4" w:space="0" w:color="auto"/>
              <w:right w:val="single" w:sz="4" w:space="0" w:color="auto"/>
            </w:tcBorders>
            <w:shd w:val="clear" w:color="auto" w:fill="auto"/>
            <w:noWrap/>
            <w:vAlign w:val="bottom"/>
          </w:tcPr>
          <w:p w14:paraId="3AE09BB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319.73</w:t>
            </w:r>
          </w:p>
        </w:tc>
        <w:tc>
          <w:tcPr>
            <w:tcW w:w="900" w:type="dxa"/>
            <w:tcBorders>
              <w:top w:val="nil"/>
              <w:left w:val="nil"/>
              <w:bottom w:val="single" w:sz="4" w:space="0" w:color="auto"/>
              <w:right w:val="single" w:sz="4" w:space="0" w:color="auto"/>
            </w:tcBorders>
            <w:shd w:val="clear" w:color="auto" w:fill="auto"/>
            <w:noWrap/>
            <w:vAlign w:val="bottom"/>
          </w:tcPr>
          <w:p w14:paraId="55C3B62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303.29</w:t>
            </w:r>
          </w:p>
        </w:tc>
        <w:tc>
          <w:tcPr>
            <w:tcW w:w="900" w:type="dxa"/>
            <w:tcBorders>
              <w:top w:val="nil"/>
              <w:left w:val="nil"/>
              <w:bottom w:val="single" w:sz="4" w:space="0" w:color="auto"/>
              <w:right w:val="single" w:sz="4" w:space="0" w:color="auto"/>
            </w:tcBorders>
            <w:shd w:val="clear" w:color="auto" w:fill="auto"/>
            <w:noWrap/>
            <w:vAlign w:val="bottom"/>
          </w:tcPr>
          <w:p w14:paraId="503069E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303.21</w:t>
            </w:r>
          </w:p>
        </w:tc>
        <w:tc>
          <w:tcPr>
            <w:tcW w:w="948" w:type="dxa"/>
            <w:tcBorders>
              <w:top w:val="nil"/>
              <w:left w:val="nil"/>
              <w:bottom w:val="single" w:sz="4" w:space="0" w:color="auto"/>
              <w:right w:val="single" w:sz="4" w:space="0" w:color="auto"/>
            </w:tcBorders>
            <w:shd w:val="clear" w:color="auto" w:fill="auto"/>
            <w:noWrap/>
            <w:vAlign w:val="bottom"/>
          </w:tcPr>
          <w:p w14:paraId="6C5BE4C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0.08</w:t>
            </w:r>
          </w:p>
        </w:tc>
        <w:tc>
          <w:tcPr>
            <w:tcW w:w="1080" w:type="dxa"/>
            <w:tcBorders>
              <w:top w:val="nil"/>
              <w:left w:val="nil"/>
              <w:bottom w:val="single" w:sz="4" w:space="0" w:color="auto"/>
              <w:right w:val="single" w:sz="4" w:space="0" w:color="auto"/>
            </w:tcBorders>
            <w:shd w:val="clear" w:color="auto" w:fill="auto"/>
            <w:noWrap/>
            <w:vAlign w:val="bottom"/>
          </w:tcPr>
          <w:p w14:paraId="1C63F3D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25.05</w:t>
            </w:r>
          </w:p>
        </w:tc>
        <w:tc>
          <w:tcPr>
            <w:tcW w:w="990" w:type="dxa"/>
            <w:tcBorders>
              <w:top w:val="nil"/>
              <w:left w:val="nil"/>
              <w:bottom w:val="single" w:sz="4" w:space="0" w:color="auto"/>
              <w:right w:val="single" w:sz="4" w:space="0" w:color="auto"/>
            </w:tcBorders>
            <w:shd w:val="clear" w:color="auto" w:fill="auto"/>
            <w:noWrap/>
            <w:vAlign w:val="bottom"/>
          </w:tcPr>
          <w:p w14:paraId="418F5C3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-16.44</w:t>
            </w:r>
          </w:p>
        </w:tc>
        <w:tc>
          <w:tcPr>
            <w:tcW w:w="990" w:type="dxa"/>
            <w:tcBorders>
              <w:top w:val="nil"/>
              <w:left w:val="nil"/>
              <w:bottom w:val="single" w:sz="4" w:space="0" w:color="auto"/>
              <w:right w:val="single" w:sz="4" w:space="0" w:color="auto"/>
            </w:tcBorders>
            <w:shd w:val="clear" w:color="auto" w:fill="auto"/>
            <w:noWrap/>
            <w:vAlign w:val="bottom"/>
          </w:tcPr>
          <w:p w14:paraId="33D0CE1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94.86</w:t>
            </w:r>
          </w:p>
        </w:tc>
        <w:tc>
          <w:tcPr>
            <w:tcW w:w="1080" w:type="dxa"/>
            <w:tcBorders>
              <w:top w:val="nil"/>
              <w:left w:val="nil"/>
              <w:bottom w:val="single" w:sz="4" w:space="0" w:color="auto"/>
              <w:right w:val="single" w:sz="4" w:space="0" w:color="auto"/>
            </w:tcBorders>
            <w:shd w:val="clear" w:color="auto" w:fill="auto"/>
            <w:noWrap/>
            <w:vAlign w:val="bottom"/>
          </w:tcPr>
          <w:p w14:paraId="6C803A93" w14:textId="77777777" w:rsidR="00E52AC1" w:rsidRPr="00785BE2" w:rsidRDefault="00E52AC1" w:rsidP="00E52AC1">
            <w:pPr>
              <w:spacing w:after="0" w:line="240" w:lineRule="auto"/>
              <w:jc w:val="center"/>
              <w:rPr>
                <w:rFonts w:asciiTheme="majorHAnsi" w:eastAsia="Times New Roman" w:hAnsiTheme="majorHAnsi" w:cstheme="majorHAnsi"/>
                <w:color w:val="000000"/>
                <w:sz w:val="18"/>
                <w:szCs w:val="18"/>
              </w:rPr>
            </w:pPr>
            <w:r w:rsidRPr="00785BE2">
              <w:rPr>
                <w:rFonts w:asciiTheme="majorHAnsi" w:eastAsia="Times New Roman" w:hAnsiTheme="majorHAnsi" w:cstheme="majorHAnsi"/>
                <w:color w:val="000000"/>
                <w:sz w:val="18"/>
                <w:szCs w:val="18"/>
              </w:rPr>
              <w:t>-16.52</w:t>
            </w:r>
          </w:p>
        </w:tc>
        <w:tc>
          <w:tcPr>
            <w:tcW w:w="1156" w:type="dxa"/>
            <w:tcBorders>
              <w:top w:val="nil"/>
              <w:left w:val="nil"/>
              <w:bottom w:val="single" w:sz="4" w:space="0" w:color="auto"/>
              <w:right w:val="single" w:sz="4" w:space="0" w:color="auto"/>
            </w:tcBorders>
            <w:shd w:val="clear" w:color="auto" w:fill="auto"/>
            <w:noWrap/>
            <w:vAlign w:val="bottom"/>
          </w:tcPr>
          <w:p w14:paraId="0E5405E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94.83</w:t>
            </w:r>
          </w:p>
        </w:tc>
      </w:tr>
      <w:tr w:rsidR="00E52AC1" w:rsidRPr="00991DD7" w14:paraId="23AC9572" w14:textId="77777777" w:rsidTr="00E52AC1">
        <w:trPr>
          <w:trHeight w:val="143"/>
        </w:trPr>
        <w:tc>
          <w:tcPr>
            <w:tcW w:w="4140" w:type="dxa"/>
            <w:tcBorders>
              <w:top w:val="nil"/>
              <w:left w:val="single" w:sz="4" w:space="0" w:color="auto"/>
              <w:bottom w:val="single" w:sz="4" w:space="0" w:color="auto"/>
              <w:right w:val="single" w:sz="4" w:space="0" w:color="auto"/>
            </w:tcBorders>
            <w:shd w:val="clear" w:color="auto" w:fill="D9E2F3" w:themeFill="accent5" w:themeFillTint="33"/>
            <w:vAlign w:val="bottom"/>
          </w:tcPr>
          <w:p w14:paraId="04124D55" w14:textId="77777777" w:rsidR="00E52AC1" w:rsidRPr="00566204"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D9E2F3" w:themeFill="accent5" w:themeFillTint="33"/>
            <w:noWrap/>
            <w:vAlign w:val="bottom"/>
          </w:tcPr>
          <w:p w14:paraId="4D2D6E4D" w14:textId="77777777" w:rsidR="00E52AC1" w:rsidRPr="00A5775C" w:rsidRDefault="00E52AC1" w:rsidP="00E52AC1">
            <w:pPr>
              <w:spacing w:after="0" w:line="240" w:lineRule="auto"/>
              <w:jc w:val="both"/>
              <w:rPr>
                <w:rFonts w:asciiTheme="majorHAnsi" w:eastAsia="Times New Roman" w:hAnsiTheme="majorHAnsi" w:cstheme="majorHAnsi"/>
                <w:b/>
                <w:i/>
                <w:iCs/>
                <w:color w:val="000000"/>
                <w:sz w:val="18"/>
                <w:szCs w:val="18"/>
              </w:rPr>
            </w:pPr>
            <w:r w:rsidRPr="00A5775C">
              <w:rPr>
                <w:rFonts w:asciiTheme="majorHAnsi" w:eastAsia="Times New Roman" w:hAnsiTheme="majorHAnsi" w:cstheme="majorHAnsi"/>
                <w:b/>
                <w:i/>
                <w:iCs/>
                <w:color w:val="000000"/>
                <w:sz w:val="18"/>
                <w:szCs w:val="18"/>
              </w:rPr>
              <w:t>263</w:t>
            </w:r>
          </w:p>
        </w:tc>
        <w:tc>
          <w:tcPr>
            <w:tcW w:w="1004" w:type="dxa"/>
            <w:tcBorders>
              <w:top w:val="nil"/>
              <w:left w:val="nil"/>
              <w:bottom w:val="single" w:sz="4" w:space="0" w:color="auto"/>
              <w:right w:val="single" w:sz="4" w:space="0" w:color="auto"/>
            </w:tcBorders>
            <w:shd w:val="clear" w:color="auto" w:fill="D9E2F3" w:themeFill="accent5" w:themeFillTint="33"/>
            <w:noWrap/>
            <w:vAlign w:val="bottom"/>
          </w:tcPr>
          <w:p w14:paraId="62ED5131" w14:textId="77777777" w:rsidR="00E52AC1" w:rsidRPr="00A5775C" w:rsidRDefault="00E52AC1" w:rsidP="00E52AC1">
            <w:pPr>
              <w:spacing w:after="0" w:line="240" w:lineRule="auto"/>
              <w:jc w:val="center"/>
              <w:rPr>
                <w:rFonts w:asciiTheme="majorHAnsi" w:eastAsia="Times New Roman" w:hAnsiTheme="majorHAnsi" w:cstheme="majorHAnsi"/>
                <w:b/>
                <w:color w:val="000000"/>
                <w:sz w:val="18"/>
                <w:szCs w:val="18"/>
              </w:rPr>
            </w:pPr>
            <w:r w:rsidRPr="00A5775C">
              <w:rPr>
                <w:rFonts w:asciiTheme="majorHAnsi" w:eastAsia="Times New Roman" w:hAnsiTheme="majorHAnsi" w:cstheme="majorHAnsi"/>
                <w:b/>
                <w:color w:val="000000"/>
                <w:sz w:val="18"/>
                <w:szCs w:val="18"/>
              </w:rPr>
              <w:t>235.74</w:t>
            </w:r>
          </w:p>
        </w:tc>
        <w:tc>
          <w:tcPr>
            <w:tcW w:w="900" w:type="dxa"/>
            <w:tcBorders>
              <w:top w:val="nil"/>
              <w:left w:val="nil"/>
              <w:bottom w:val="single" w:sz="4" w:space="0" w:color="auto"/>
              <w:right w:val="single" w:sz="4" w:space="0" w:color="auto"/>
            </w:tcBorders>
            <w:shd w:val="clear" w:color="auto" w:fill="D9E2F3" w:themeFill="accent5" w:themeFillTint="33"/>
            <w:noWrap/>
            <w:vAlign w:val="bottom"/>
          </w:tcPr>
          <w:p w14:paraId="4550C11B" w14:textId="77777777" w:rsidR="00E52AC1" w:rsidRPr="00A5775C" w:rsidRDefault="00E52AC1" w:rsidP="00E52AC1">
            <w:pPr>
              <w:spacing w:after="0" w:line="240" w:lineRule="auto"/>
              <w:jc w:val="center"/>
              <w:rPr>
                <w:rFonts w:asciiTheme="majorHAnsi" w:eastAsia="Times New Roman" w:hAnsiTheme="majorHAnsi" w:cstheme="majorHAnsi"/>
                <w:b/>
                <w:color w:val="000000"/>
                <w:sz w:val="18"/>
                <w:szCs w:val="18"/>
              </w:rPr>
            </w:pPr>
            <w:r w:rsidRPr="00A5775C">
              <w:rPr>
                <w:rFonts w:asciiTheme="majorHAnsi" w:eastAsia="Times New Roman" w:hAnsiTheme="majorHAnsi" w:cstheme="majorHAnsi"/>
                <w:b/>
                <w:color w:val="000000"/>
                <w:sz w:val="18"/>
                <w:szCs w:val="18"/>
              </w:rPr>
              <w:t>230.03</w:t>
            </w:r>
          </w:p>
        </w:tc>
        <w:tc>
          <w:tcPr>
            <w:tcW w:w="900" w:type="dxa"/>
            <w:tcBorders>
              <w:top w:val="nil"/>
              <w:left w:val="nil"/>
              <w:bottom w:val="single" w:sz="4" w:space="0" w:color="auto"/>
              <w:right w:val="single" w:sz="4" w:space="0" w:color="auto"/>
            </w:tcBorders>
            <w:shd w:val="clear" w:color="auto" w:fill="D9E2F3" w:themeFill="accent5" w:themeFillTint="33"/>
            <w:noWrap/>
            <w:vAlign w:val="bottom"/>
          </w:tcPr>
          <w:p w14:paraId="460D0FC3" w14:textId="77777777" w:rsidR="00E52AC1" w:rsidRPr="00A5775C" w:rsidRDefault="00E52AC1" w:rsidP="00E52AC1">
            <w:pPr>
              <w:spacing w:after="0" w:line="240" w:lineRule="auto"/>
              <w:jc w:val="center"/>
              <w:rPr>
                <w:rFonts w:asciiTheme="majorHAnsi" w:eastAsia="Times New Roman" w:hAnsiTheme="majorHAnsi" w:cstheme="majorHAnsi"/>
                <w:b/>
                <w:color w:val="000000"/>
                <w:sz w:val="18"/>
                <w:szCs w:val="18"/>
              </w:rPr>
            </w:pPr>
            <w:r w:rsidRPr="00A5775C">
              <w:rPr>
                <w:rFonts w:asciiTheme="majorHAnsi" w:eastAsia="Times New Roman" w:hAnsiTheme="majorHAnsi" w:cstheme="majorHAnsi"/>
                <w:b/>
                <w:color w:val="000000"/>
                <w:sz w:val="18"/>
                <w:szCs w:val="18"/>
              </w:rPr>
              <w:t>223.32</w:t>
            </w:r>
          </w:p>
        </w:tc>
        <w:tc>
          <w:tcPr>
            <w:tcW w:w="900" w:type="dxa"/>
            <w:tcBorders>
              <w:top w:val="nil"/>
              <w:left w:val="nil"/>
              <w:bottom w:val="single" w:sz="4" w:space="0" w:color="auto"/>
              <w:right w:val="single" w:sz="4" w:space="0" w:color="auto"/>
            </w:tcBorders>
            <w:shd w:val="clear" w:color="auto" w:fill="D9E2F3" w:themeFill="accent5" w:themeFillTint="33"/>
            <w:noWrap/>
            <w:vAlign w:val="bottom"/>
          </w:tcPr>
          <w:p w14:paraId="7E227557" w14:textId="77777777" w:rsidR="00E52AC1" w:rsidRPr="00A5775C" w:rsidRDefault="00E52AC1" w:rsidP="00E52AC1">
            <w:pPr>
              <w:spacing w:after="0" w:line="240" w:lineRule="auto"/>
              <w:jc w:val="center"/>
              <w:rPr>
                <w:rFonts w:asciiTheme="majorHAnsi" w:eastAsia="Times New Roman" w:hAnsiTheme="majorHAnsi" w:cstheme="majorHAnsi"/>
                <w:b/>
                <w:color w:val="000000"/>
                <w:sz w:val="18"/>
                <w:szCs w:val="18"/>
              </w:rPr>
            </w:pPr>
            <w:r w:rsidRPr="00A5775C">
              <w:rPr>
                <w:rFonts w:asciiTheme="majorHAnsi" w:eastAsia="Times New Roman" w:hAnsiTheme="majorHAnsi" w:cstheme="majorHAnsi"/>
                <w:b/>
                <w:color w:val="000000"/>
                <w:sz w:val="18"/>
                <w:szCs w:val="18"/>
              </w:rPr>
              <w:t>223.32</w:t>
            </w:r>
          </w:p>
        </w:tc>
        <w:tc>
          <w:tcPr>
            <w:tcW w:w="948" w:type="dxa"/>
            <w:tcBorders>
              <w:top w:val="nil"/>
              <w:left w:val="nil"/>
              <w:bottom w:val="single" w:sz="4" w:space="0" w:color="auto"/>
              <w:right w:val="single" w:sz="4" w:space="0" w:color="auto"/>
            </w:tcBorders>
            <w:shd w:val="clear" w:color="auto" w:fill="D9E2F3" w:themeFill="accent5" w:themeFillTint="33"/>
            <w:noWrap/>
            <w:vAlign w:val="bottom"/>
          </w:tcPr>
          <w:p w14:paraId="0AFC9214" w14:textId="77777777" w:rsidR="00E52AC1" w:rsidRPr="00A5775C" w:rsidRDefault="00E52AC1" w:rsidP="00E52AC1">
            <w:pPr>
              <w:spacing w:after="0" w:line="240" w:lineRule="auto"/>
              <w:jc w:val="center"/>
              <w:rPr>
                <w:rFonts w:asciiTheme="majorHAnsi" w:eastAsia="Times New Roman" w:hAnsiTheme="majorHAnsi" w:cstheme="majorHAnsi"/>
                <w:b/>
                <w:color w:val="000000"/>
                <w:sz w:val="18"/>
                <w:szCs w:val="18"/>
              </w:rPr>
            </w:pPr>
            <w:r w:rsidRPr="00A5775C">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D9E2F3" w:themeFill="accent5" w:themeFillTint="33"/>
            <w:noWrap/>
            <w:vAlign w:val="bottom"/>
          </w:tcPr>
          <w:p w14:paraId="167CCC54" w14:textId="77777777" w:rsidR="00E52AC1" w:rsidRPr="00A5775C" w:rsidRDefault="00E52AC1" w:rsidP="00E52AC1">
            <w:pPr>
              <w:spacing w:after="0" w:line="240" w:lineRule="auto"/>
              <w:jc w:val="center"/>
              <w:rPr>
                <w:rFonts w:asciiTheme="majorHAnsi" w:eastAsia="Times New Roman" w:hAnsiTheme="majorHAnsi" w:cstheme="majorHAnsi"/>
                <w:b/>
                <w:color w:val="000000"/>
                <w:sz w:val="18"/>
                <w:szCs w:val="18"/>
              </w:rPr>
            </w:pPr>
            <w:r w:rsidRPr="00A5775C">
              <w:rPr>
                <w:rFonts w:asciiTheme="majorHAnsi" w:eastAsia="Times New Roman" w:hAnsiTheme="majorHAnsi" w:cstheme="majorHAnsi"/>
                <w:b/>
                <w:color w:val="000000"/>
                <w:sz w:val="18"/>
                <w:szCs w:val="18"/>
              </w:rPr>
              <w:t>-5.71</w:t>
            </w:r>
          </w:p>
        </w:tc>
        <w:tc>
          <w:tcPr>
            <w:tcW w:w="990" w:type="dxa"/>
            <w:tcBorders>
              <w:top w:val="nil"/>
              <w:left w:val="nil"/>
              <w:bottom w:val="single" w:sz="4" w:space="0" w:color="auto"/>
              <w:right w:val="single" w:sz="4" w:space="0" w:color="auto"/>
            </w:tcBorders>
            <w:shd w:val="clear" w:color="auto" w:fill="D9E2F3" w:themeFill="accent5" w:themeFillTint="33"/>
            <w:noWrap/>
            <w:vAlign w:val="bottom"/>
          </w:tcPr>
          <w:p w14:paraId="4CB77BCC" w14:textId="77777777" w:rsidR="00E52AC1" w:rsidRPr="00A5775C" w:rsidRDefault="00E52AC1" w:rsidP="00E52AC1">
            <w:pPr>
              <w:spacing w:after="0" w:line="240" w:lineRule="auto"/>
              <w:jc w:val="center"/>
              <w:rPr>
                <w:rFonts w:asciiTheme="majorHAnsi" w:eastAsia="Times New Roman" w:hAnsiTheme="majorHAnsi" w:cstheme="majorHAnsi"/>
                <w:b/>
                <w:color w:val="000000"/>
                <w:sz w:val="18"/>
                <w:szCs w:val="18"/>
              </w:rPr>
            </w:pPr>
            <w:r w:rsidRPr="00A5775C">
              <w:rPr>
                <w:rFonts w:asciiTheme="majorHAnsi" w:eastAsia="Times New Roman" w:hAnsiTheme="majorHAnsi" w:cstheme="majorHAnsi"/>
                <w:b/>
                <w:color w:val="000000"/>
                <w:sz w:val="18"/>
                <w:szCs w:val="18"/>
              </w:rPr>
              <w:t>-6.70</w:t>
            </w:r>
          </w:p>
        </w:tc>
        <w:tc>
          <w:tcPr>
            <w:tcW w:w="990" w:type="dxa"/>
            <w:tcBorders>
              <w:top w:val="nil"/>
              <w:left w:val="nil"/>
              <w:bottom w:val="single" w:sz="4" w:space="0" w:color="auto"/>
              <w:right w:val="single" w:sz="4" w:space="0" w:color="auto"/>
            </w:tcBorders>
            <w:shd w:val="clear" w:color="auto" w:fill="D9E2F3" w:themeFill="accent5" w:themeFillTint="33"/>
            <w:noWrap/>
            <w:vAlign w:val="bottom"/>
          </w:tcPr>
          <w:p w14:paraId="36150D50" w14:textId="77777777" w:rsidR="00E52AC1" w:rsidRPr="00A5775C" w:rsidRDefault="00E52AC1" w:rsidP="00E52AC1">
            <w:pPr>
              <w:spacing w:after="0" w:line="240" w:lineRule="auto"/>
              <w:jc w:val="center"/>
              <w:rPr>
                <w:rFonts w:asciiTheme="majorHAnsi" w:eastAsia="Times New Roman" w:hAnsiTheme="majorHAnsi" w:cstheme="majorHAnsi"/>
                <w:b/>
                <w:color w:val="000000"/>
                <w:sz w:val="18"/>
                <w:szCs w:val="18"/>
              </w:rPr>
            </w:pPr>
            <w:r w:rsidRPr="00A5775C">
              <w:rPr>
                <w:rFonts w:asciiTheme="majorHAnsi" w:eastAsia="Times New Roman" w:hAnsiTheme="majorHAnsi" w:cstheme="majorHAnsi"/>
                <w:b/>
                <w:color w:val="000000"/>
                <w:sz w:val="18"/>
                <w:szCs w:val="18"/>
              </w:rPr>
              <w:t>97.09</w:t>
            </w:r>
          </w:p>
        </w:tc>
        <w:tc>
          <w:tcPr>
            <w:tcW w:w="1080" w:type="dxa"/>
            <w:tcBorders>
              <w:top w:val="nil"/>
              <w:left w:val="nil"/>
              <w:bottom w:val="single" w:sz="4" w:space="0" w:color="auto"/>
              <w:right w:val="single" w:sz="4" w:space="0" w:color="auto"/>
            </w:tcBorders>
            <w:shd w:val="clear" w:color="auto" w:fill="D9E2F3" w:themeFill="accent5" w:themeFillTint="33"/>
            <w:noWrap/>
            <w:vAlign w:val="bottom"/>
          </w:tcPr>
          <w:p w14:paraId="60AC857C" w14:textId="77777777" w:rsidR="00E52AC1" w:rsidRPr="00A5775C" w:rsidRDefault="00E52AC1" w:rsidP="00E52AC1">
            <w:pPr>
              <w:spacing w:after="0" w:line="240" w:lineRule="auto"/>
              <w:jc w:val="center"/>
              <w:rPr>
                <w:rFonts w:asciiTheme="majorHAnsi" w:eastAsia="Times New Roman" w:hAnsiTheme="majorHAnsi" w:cstheme="majorHAnsi"/>
                <w:b/>
                <w:color w:val="000000"/>
                <w:sz w:val="18"/>
                <w:szCs w:val="18"/>
              </w:rPr>
            </w:pPr>
            <w:r w:rsidRPr="00A5775C">
              <w:rPr>
                <w:rFonts w:asciiTheme="majorHAnsi" w:eastAsia="Times New Roman" w:hAnsiTheme="majorHAnsi" w:cstheme="majorHAnsi"/>
                <w:b/>
                <w:color w:val="000000"/>
                <w:sz w:val="18"/>
                <w:szCs w:val="18"/>
              </w:rPr>
              <w:t>-6.70</w:t>
            </w:r>
          </w:p>
        </w:tc>
        <w:tc>
          <w:tcPr>
            <w:tcW w:w="1156" w:type="dxa"/>
            <w:tcBorders>
              <w:top w:val="nil"/>
              <w:left w:val="nil"/>
              <w:bottom w:val="single" w:sz="4" w:space="0" w:color="auto"/>
              <w:right w:val="single" w:sz="4" w:space="0" w:color="auto"/>
            </w:tcBorders>
            <w:shd w:val="clear" w:color="auto" w:fill="D9E2F3" w:themeFill="accent5" w:themeFillTint="33"/>
            <w:noWrap/>
            <w:vAlign w:val="bottom"/>
          </w:tcPr>
          <w:p w14:paraId="5589D491" w14:textId="77777777" w:rsidR="00E52AC1" w:rsidRPr="00A5775C" w:rsidRDefault="00E52AC1" w:rsidP="00E52AC1">
            <w:pPr>
              <w:spacing w:after="0" w:line="240" w:lineRule="auto"/>
              <w:jc w:val="center"/>
              <w:rPr>
                <w:rFonts w:asciiTheme="majorHAnsi" w:eastAsia="Times New Roman" w:hAnsiTheme="majorHAnsi" w:cstheme="majorHAnsi"/>
                <w:b/>
                <w:color w:val="000000"/>
                <w:sz w:val="18"/>
                <w:szCs w:val="18"/>
              </w:rPr>
            </w:pPr>
            <w:r w:rsidRPr="00A5775C">
              <w:rPr>
                <w:rFonts w:asciiTheme="majorHAnsi" w:eastAsia="Times New Roman" w:hAnsiTheme="majorHAnsi" w:cstheme="majorHAnsi"/>
                <w:b/>
                <w:color w:val="000000"/>
                <w:sz w:val="18"/>
                <w:szCs w:val="18"/>
              </w:rPr>
              <w:t>97.09</w:t>
            </w:r>
          </w:p>
        </w:tc>
      </w:tr>
      <w:tr w:rsidR="00E52AC1" w:rsidRPr="00991DD7" w14:paraId="592B3D4E" w14:textId="77777777" w:rsidTr="00E52AC1">
        <w:trPr>
          <w:trHeight w:val="143"/>
        </w:trPr>
        <w:tc>
          <w:tcPr>
            <w:tcW w:w="4140" w:type="dxa"/>
            <w:tcBorders>
              <w:top w:val="nil"/>
              <w:left w:val="single" w:sz="4" w:space="0" w:color="auto"/>
              <w:bottom w:val="single" w:sz="4" w:space="0" w:color="auto"/>
              <w:right w:val="single" w:sz="4" w:space="0" w:color="auto"/>
            </w:tcBorders>
            <w:shd w:val="clear" w:color="auto" w:fill="auto"/>
            <w:vAlign w:val="bottom"/>
          </w:tcPr>
          <w:p w14:paraId="2EEDF6EE" w14:textId="77777777" w:rsidR="00E52AC1" w:rsidRPr="008D6D21" w:rsidRDefault="00E52AC1" w:rsidP="00E52AC1">
            <w:pPr>
              <w:spacing w:after="0" w:line="240" w:lineRule="auto"/>
              <w:jc w:val="both"/>
              <w:rPr>
                <w:rFonts w:asciiTheme="majorHAnsi" w:eastAsia="Times New Roman" w:hAnsiTheme="majorHAnsi" w:cstheme="majorHAnsi"/>
                <w:b/>
                <w:bCs/>
                <w:color w:val="000000"/>
                <w:sz w:val="18"/>
                <w:szCs w:val="18"/>
              </w:rPr>
            </w:pPr>
            <w:r w:rsidRPr="008D6D21">
              <w:rPr>
                <w:rFonts w:asciiTheme="majorHAnsi" w:eastAsia="Times New Roman" w:hAnsiTheme="majorHAnsi" w:cstheme="majorHAnsi"/>
                <w:b/>
                <w:bCs/>
                <w:color w:val="000000"/>
                <w:sz w:val="18"/>
                <w:szCs w:val="18"/>
              </w:rPr>
              <w:t>Granturi curente acordate instituțiilor publice la autogestiune</w:t>
            </w:r>
          </w:p>
        </w:tc>
        <w:tc>
          <w:tcPr>
            <w:tcW w:w="964" w:type="dxa"/>
            <w:tcBorders>
              <w:top w:val="nil"/>
              <w:left w:val="nil"/>
              <w:bottom w:val="single" w:sz="4" w:space="0" w:color="auto"/>
              <w:right w:val="single" w:sz="4" w:space="0" w:color="auto"/>
            </w:tcBorders>
            <w:shd w:val="clear" w:color="auto" w:fill="auto"/>
            <w:noWrap/>
            <w:vAlign w:val="bottom"/>
          </w:tcPr>
          <w:p w14:paraId="7A26CAFE" w14:textId="77777777" w:rsidR="00E52AC1"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263110</w:t>
            </w:r>
          </w:p>
        </w:tc>
        <w:tc>
          <w:tcPr>
            <w:tcW w:w="1004" w:type="dxa"/>
            <w:tcBorders>
              <w:top w:val="nil"/>
              <w:left w:val="nil"/>
              <w:bottom w:val="single" w:sz="4" w:space="0" w:color="auto"/>
              <w:right w:val="single" w:sz="4" w:space="0" w:color="auto"/>
            </w:tcBorders>
            <w:shd w:val="clear" w:color="auto" w:fill="auto"/>
            <w:noWrap/>
            <w:vAlign w:val="bottom"/>
          </w:tcPr>
          <w:p w14:paraId="3D467DD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168.55</w:t>
            </w:r>
          </w:p>
        </w:tc>
        <w:tc>
          <w:tcPr>
            <w:tcW w:w="900" w:type="dxa"/>
            <w:tcBorders>
              <w:top w:val="nil"/>
              <w:left w:val="nil"/>
              <w:bottom w:val="single" w:sz="4" w:space="0" w:color="auto"/>
              <w:right w:val="single" w:sz="4" w:space="0" w:color="auto"/>
            </w:tcBorders>
            <w:shd w:val="clear" w:color="auto" w:fill="auto"/>
            <w:noWrap/>
            <w:vAlign w:val="bottom"/>
          </w:tcPr>
          <w:p w14:paraId="5457706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172.28</w:t>
            </w:r>
          </w:p>
        </w:tc>
        <w:tc>
          <w:tcPr>
            <w:tcW w:w="900" w:type="dxa"/>
            <w:tcBorders>
              <w:top w:val="nil"/>
              <w:left w:val="nil"/>
              <w:bottom w:val="single" w:sz="4" w:space="0" w:color="auto"/>
              <w:right w:val="single" w:sz="4" w:space="0" w:color="auto"/>
            </w:tcBorders>
            <w:shd w:val="clear" w:color="auto" w:fill="auto"/>
            <w:noWrap/>
            <w:vAlign w:val="bottom"/>
          </w:tcPr>
          <w:p w14:paraId="39803FE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166.28</w:t>
            </w:r>
          </w:p>
        </w:tc>
        <w:tc>
          <w:tcPr>
            <w:tcW w:w="900" w:type="dxa"/>
            <w:tcBorders>
              <w:top w:val="nil"/>
              <w:left w:val="nil"/>
              <w:bottom w:val="single" w:sz="4" w:space="0" w:color="auto"/>
              <w:right w:val="single" w:sz="4" w:space="0" w:color="auto"/>
            </w:tcBorders>
            <w:shd w:val="clear" w:color="auto" w:fill="auto"/>
            <w:noWrap/>
            <w:vAlign w:val="bottom"/>
          </w:tcPr>
          <w:p w14:paraId="0820D0B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166.28</w:t>
            </w:r>
          </w:p>
        </w:tc>
        <w:tc>
          <w:tcPr>
            <w:tcW w:w="948" w:type="dxa"/>
            <w:tcBorders>
              <w:top w:val="nil"/>
              <w:left w:val="nil"/>
              <w:bottom w:val="single" w:sz="4" w:space="0" w:color="auto"/>
              <w:right w:val="single" w:sz="4" w:space="0" w:color="auto"/>
            </w:tcBorders>
            <w:shd w:val="clear" w:color="auto" w:fill="auto"/>
            <w:noWrap/>
            <w:vAlign w:val="bottom"/>
          </w:tcPr>
          <w:p w14:paraId="6DF30A9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1FEA191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3.73</w:t>
            </w:r>
          </w:p>
        </w:tc>
        <w:tc>
          <w:tcPr>
            <w:tcW w:w="990" w:type="dxa"/>
            <w:tcBorders>
              <w:top w:val="nil"/>
              <w:left w:val="nil"/>
              <w:bottom w:val="single" w:sz="4" w:space="0" w:color="auto"/>
              <w:right w:val="single" w:sz="4" w:space="0" w:color="auto"/>
            </w:tcBorders>
            <w:shd w:val="clear" w:color="auto" w:fill="auto"/>
            <w:noWrap/>
            <w:vAlign w:val="bottom"/>
          </w:tcPr>
          <w:p w14:paraId="72D1B09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-5.99</w:t>
            </w:r>
          </w:p>
        </w:tc>
        <w:tc>
          <w:tcPr>
            <w:tcW w:w="990" w:type="dxa"/>
            <w:tcBorders>
              <w:top w:val="nil"/>
              <w:left w:val="nil"/>
              <w:bottom w:val="single" w:sz="4" w:space="0" w:color="auto"/>
              <w:right w:val="single" w:sz="4" w:space="0" w:color="auto"/>
            </w:tcBorders>
            <w:shd w:val="clear" w:color="auto" w:fill="auto"/>
            <w:noWrap/>
            <w:vAlign w:val="bottom"/>
          </w:tcPr>
          <w:p w14:paraId="717183B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96.52</w:t>
            </w:r>
          </w:p>
        </w:tc>
        <w:tc>
          <w:tcPr>
            <w:tcW w:w="1080" w:type="dxa"/>
            <w:tcBorders>
              <w:top w:val="nil"/>
              <w:left w:val="nil"/>
              <w:bottom w:val="single" w:sz="4" w:space="0" w:color="auto"/>
              <w:right w:val="single" w:sz="4" w:space="0" w:color="auto"/>
            </w:tcBorders>
            <w:shd w:val="clear" w:color="auto" w:fill="auto"/>
            <w:noWrap/>
            <w:vAlign w:val="bottom"/>
          </w:tcPr>
          <w:p w14:paraId="2AD83B6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-5.99</w:t>
            </w:r>
          </w:p>
        </w:tc>
        <w:tc>
          <w:tcPr>
            <w:tcW w:w="1156" w:type="dxa"/>
            <w:tcBorders>
              <w:top w:val="nil"/>
              <w:left w:val="nil"/>
              <w:bottom w:val="single" w:sz="4" w:space="0" w:color="auto"/>
              <w:right w:val="single" w:sz="4" w:space="0" w:color="auto"/>
            </w:tcBorders>
            <w:shd w:val="clear" w:color="auto" w:fill="auto"/>
            <w:noWrap/>
            <w:vAlign w:val="bottom"/>
          </w:tcPr>
          <w:p w14:paraId="446B085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96.52</w:t>
            </w:r>
          </w:p>
        </w:tc>
      </w:tr>
      <w:tr w:rsidR="00E52AC1" w:rsidRPr="00991DD7" w14:paraId="1C842262" w14:textId="77777777" w:rsidTr="00E52AC1">
        <w:trPr>
          <w:trHeight w:val="143"/>
        </w:trPr>
        <w:tc>
          <w:tcPr>
            <w:tcW w:w="4140" w:type="dxa"/>
            <w:tcBorders>
              <w:top w:val="nil"/>
              <w:left w:val="single" w:sz="4" w:space="0" w:color="auto"/>
              <w:bottom w:val="single" w:sz="4" w:space="0" w:color="auto"/>
              <w:right w:val="single" w:sz="4" w:space="0" w:color="auto"/>
            </w:tcBorders>
            <w:shd w:val="clear" w:color="auto" w:fill="auto"/>
            <w:vAlign w:val="bottom"/>
          </w:tcPr>
          <w:p w14:paraId="6ADBBB6A" w14:textId="77777777" w:rsidR="00E52AC1" w:rsidRPr="00566204" w:rsidRDefault="00E52AC1" w:rsidP="00E52AC1">
            <w:pPr>
              <w:spacing w:after="0" w:line="240" w:lineRule="auto"/>
              <w:jc w:val="both"/>
              <w:rPr>
                <w:rFonts w:asciiTheme="majorHAnsi" w:eastAsia="Times New Roman" w:hAnsiTheme="majorHAnsi" w:cstheme="majorHAnsi"/>
                <w:b/>
                <w:bCs/>
                <w:color w:val="000000"/>
                <w:sz w:val="18"/>
                <w:szCs w:val="18"/>
              </w:rPr>
            </w:pPr>
            <w:r w:rsidRPr="008D6D21">
              <w:rPr>
                <w:rFonts w:asciiTheme="majorHAnsi" w:eastAsia="Times New Roman" w:hAnsiTheme="majorHAnsi" w:cstheme="majorHAnsi"/>
                <w:b/>
                <w:bCs/>
                <w:color w:val="000000"/>
                <w:sz w:val="18"/>
                <w:szCs w:val="18"/>
              </w:rPr>
              <w:t>Granturi curente acordate altor beneficiari în interiorul țării</w:t>
            </w:r>
          </w:p>
        </w:tc>
        <w:tc>
          <w:tcPr>
            <w:tcW w:w="964" w:type="dxa"/>
            <w:tcBorders>
              <w:top w:val="nil"/>
              <w:left w:val="nil"/>
              <w:bottom w:val="single" w:sz="4" w:space="0" w:color="auto"/>
              <w:right w:val="single" w:sz="4" w:space="0" w:color="auto"/>
            </w:tcBorders>
            <w:shd w:val="clear" w:color="auto" w:fill="auto"/>
            <w:noWrap/>
            <w:vAlign w:val="bottom"/>
          </w:tcPr>
          <w:p w14:paraId="0AB1C8CC" w14:textId="77777777" w:rsidR="00E52AC1"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263190</w:t>
            </w:r>
          </w:p>
        </w:tc>
        <w:tc>
          <w:tcPr>
            <w:tcW w:w="1004" w:type="dxa"/>
            <w:tcBorders>
              <w:top w:val="nil"/>
              <w:left w:val="nil"/>
              <w:bottom w:val="single" w:sz="4" w:space="0" w:color="auto"/>
              <w:right w:val="single" w:sz="4" w:space="0" w:color="auto"/>
            </w:tcBorders>
            <w:shd w:val="clear" w:color="auto" w:fill="auto"/>
            <w:noWrap/>
            <w:vAlign w:val="bottom"/>
          </w:tcPr>
          <w:p w14:paraId="6170F42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1.65</w:t>
            </w:r>
          </w:p>
        </w:tc>
        <w:tc>
          <w:tcPr>
            <w:tcW w:w="900" w:type="dxa"/>
            <w:tcBorders>
              <w:top w:val="nil"/>
              <w:left w:val="nil"/>
              <w:bottom w:val="single" w:sz="4" w:space="0" w:color="auto"/>
              <w:right w:val="single" w:sz="4" w:space="0" w:color="auto"/>
            </w:tcBorders>
            <w:shd w:val="clear" w:color="auto" w:fill="auto"/>
            <w:noWrap/>
            <w:vAlign w:val="bottom"/>
          </w:tcPr>
          <w:p w14:paraId="455459C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3.07</w:t>
            </w:r>
          </w:p>
        </w:tc>
        <w:tc>
          <w:tcPr>
            <w:tcW w:w="900" w:type="dxa"/>
            <w:tcBorders>
              <w:top w:val="nil"/>
              <w:left w:val="nil"/>
              <w:bottom w:val="single" w:sz="4" w:space="0" w:color="auto"/>
              <w:right w:val="single" w:sz="4" w:space="0" w:color="auto"/>
            </w:tcBorders>
            <w:shd w:val="clear" w:color="auto" w:fill="auto"/>
            <w:noWrap/>
            <w:vAlign w:val="bottom"/>
          </w:tcPr>
          <w:p w14:paraId="50053C0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2.68</w:t>
            </w:r>
          </w:p>
        </w:tc>
        <w:tc>
          <w:tcPr>
            <w:tcW w:w="900" w:type="dxa"/>
            <w:tcBorders>
              <w:top w:val="nil"/>
              <w:left w:val="nil"/>
              <w:bottom w:val="single" w:sz="4" w:space="0" w:color="auto"/>
              <w:right w:val="single" w:sz="4" w:space="0" w:color="auto"/>
            </w:tcBorders>
            <w:shd w:val="clear" w:color="auto" w:fill="auto"/>
            <w:noWrap/>
            <w:vAlign w:val="bottom"/>
          </w:tcPr>
          <w:p w14:paraId="73DCA15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2.68</w:t>
            </w:r>
          </w:p>
        </w:tc>
        <w:tc>
          <w:tcPr>
            <w:tcW w:w="948" w:type="dxa"/>
            <w:tcBorders>
              <w:top w:val="nil"/>
              <w:left w:val="nil"/>
              <w:bottom w:val="single" w:sz="4" w:space="0" w:color="auto"/>
              <w:right w:val="single" w:sz="4" w:space="0" w:color="auto"/>
            </w:tcBorders>
            <w:shd w:val="clear" w:color="auto" w:fill="auto"/>
            <w:noWrap/>
            <w:vAlign w:val="bottom"/>
          </w:tcPr>
          <w:p w14:paraId="7227A8A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767D10B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1.42</w:t>
            </w:r>
          </w:p>
        </w:tc>
        <w:tc>
          <w:tcPr>
            <w:tcW w:w="990" w:type="dxa"/>
            <w:tcBorders>
              <w:top w:val="nil"/>
              <w:left w:val="nil"/>
              <w:bottom w:val="single" w:sz="4" w:space="0" w:color="auto"/>
              <w:right w:val="single" w:sz="4" w:space="0" w:color="auto"/>
            </w:tcBorders>
            <w:shd w:val="clear" w:color="auto" w:fill="auto"/>
            <w:noWrap/>
            <w:vAlign w:val="bottom"/>
          </w:tcPr>
          <w:p w14:paraId="36F7096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-0.39</w:t>
            </w:r>
          </w:p>
        </w:tc>
        <w:tc>
          <w:tcPr>
            <w:tcW w:w="990" w:type="dxa"/>
            <w:tcBorders>
              <w:top w:val="nil"/>
              <w:left w:val="nil"/>
              <w:bottom w:val="single" w:sz="4" w:space="0" w:color="auto"/>
              <w:right w:val="single" w:sz="4" w:space="0" w:color="auto"/>
            </w:tcBorders>
            <w:shd w:val="clear" w:color="auto" w:fill="auto"/>
            <w:noWrap/>
            <w:vAlign w:val="bottom"/>
          </w:tcPr>
          <w:p w14:paraId="3E31AFC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87.28</w:t>
            </w:r>
          </w:p>
        </w:tc>
        <w:tc>
          <w:tcPr>
            <w:tcW w:w="1080" w:type="dxa"/>
            <w:tcBorders>
              <w:top w:val="nil"/>
              <w:left w:val="nil"/>
              <w:bottom w:val="single" w:sz="4" w:space="0" w:color="auto"/>
              <w:right w:val="single" w:sz="4" w:space="0" w:color="auto"/>
            </w:tcBorders>
            <w:shd w:val="clear" w:color="auto" w:fill="auto"/>
            <w:noWrap/>
            <w:vAlign w:val="bottom"/>
          </w:tcPr>
          <w:p w14:paraId="133157F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-0.39</w:t>
            </w:r>
          </w:p>
        </w:tc>
        <w:tc>
          <w:tcPr>
            <w:tcW w:w="1156" w:type="dxa"/>
            <w:tcBorders>
              <w:top w:val="nil"/>
              <w:left w:val="nil"/>
              <w:bottom w:val="single" w:sz="4" w:space="0" w:color="auto"/>
              <w:right w:val="single" w:sz="4" w:space="0" w:color="auto"/>
            </w:tcBorders>
            <w:shd w:val="clear" w:color="auto" w:fill="auto"/>
            <w:noWrap/>
            <w:vAlign w:val="bottom"/>
          </w:tcPr>
          <w:p w14:paraId="6707423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87.28</w:t>
            </w:r>
          </w:p>
        </w:tc>
      </w:tr>
      <w:tr w:rsidR="00E52AC1" w:rsidRPr="00991DD7" w14:paraId="6AFBA27A" w14:textId="77777777" w:rsidTr="00E52AC1">
        <w:trPr>
          <w:trHeight w:val="143"/>
        </w:trPr>
        <w:tc>
          <w:tcPr>
            <w:tcW w:w="4140" w:type="dxa"/>
            <w:tcBorders>
              <w:top w:val="nil"/>
              <w:left w:val="single" w:sz="4" w:space="0" w:color="auto"/>
              <w:bottom w:val="single" w:sz="4" w:space="0" w:color="auto"/>
              <w:right w:val="single" w:sz="4" w:space="0" w:color="auto"/>
            </w:tcBorders>
            <w:shd w:val="clear" w:color="auto" w:fill="auto"/>
            <w:vAlign w:val="bottom"/>
          </w:tcPr>
          <w:p w14:paraId="1427BA62"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8D6D21">
              <w:rPr>
                <w:rFonts w:asciiTheme="majorHAnsi" w:eastAsia="Times New Roman" w:hAnsiTheme="majorHAnsi" w:cstheme="majorHAnsi"/>
                <w:b/>
                <w:bCs/>
                <w:color w:val="000000"/>
                <w:sz w:val="18"/>
                <w:szCs w:val="18"/>
              </w:rPr>
              <w:t>Granturi capitale acordate insti</w:t>
            </w:r>
            <w:r>
              <w:rPr>
                <w:rFonts w:asciiTheme="majorHAnsi" w:eastAsia="Times New Roman" w:hAnsiTheme="majorHAnsi" w:cstheme="majorHAnsi"/>
                <w:b/>
                <w:bCs/>
                <w:color w:val="000000"/>
                <w:sz w:val="18"/>
                <w:szCs w:val="18"/>
              </w:rPr>
              <w:t>tu</w:t>
            </w:r>
            <w:r w:rsidRPr="008D6D21">
              <w:rPr>
                <w:rFonts w:asciiTheme="majorHAnsi" w:eastAsia="Times New Roman" w:hAnsiTheme="majorHAnsi" w:cstheme="majorHAnsi"/>
                <w:b/>
                <w:bCs/>
                <w:color w:val="000000"/>
                <w:sz w:val="18"/>
                <w:szCs w:val="18"/>
              </w:rPr>
              <w:t>țiilor publice la autogestiune</w:t>
            </w:r>
          </w:p>
        </w:tc>
        <w:tc>
          <w:tcPr>
            <w:tcW w:w="964" w:type="dxa"/>
            <w:tcBorders>
              <w:top w:val="nil"/>
              <w:left w:val="nil"/>
              <w:bottom w:val="single" w:sz="4" w:space="0" w:color="auto"/>
              <w:right w:val="single" w:sz="4" w:space="0" w:color="auto"/>
            </w:tcBorders>
            <w:shd w:val="clear" w:color="auto" w:fill="auto"/>
            <w:noWrap/>
            <w:vAlign w:val="bottom"/>
          </w:tcPr>
          <w:p w14:paraId="5325FE98"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263210</w:t>
            </w:r>
          </w:p>
        </w:tc>
        <w:tc>
          <w:tcPr>
            <w:tcW w:w="1004" w:type="dxa"/>
            <w:tcBorders>
              <w:top w:val="nil"/>
              <w:left w:val="nil"/>
              <w:bottom w:val="single" w:sz="4" w:space="0" w:color="auto"/>
              <w:right w:val="single" w:sz="4" w:space="0" w:color="auto"/>
            </w:tcBorders>
            <w:shd w:val="clear" w:color="auto" w:fill="auto"/>
            <w:noWrap/>
            <w:vAlign w:val="bottom"/>
          </w:tcPr>
          <w:p w14:paraId="73A4E18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65.55</w:t>
            </w:r>
          </w:p>
        </w:tc>
        <w:tc>
          <w:tcPr>
            <w:tcW w:w="900" w:type="dxa"/>
            <w:tcBorders>
              <w:top w:val="nil"/>
              <w:left w:val="nil"/>
              <w:bottom w:val="single" w:sz="4" w:space="0" w:color="auto"/>
              <w:right w:val="single" w:sz="4" w:space="0" w:color="auto"/>
            </w:tcBorders>
            <w:shd w:val="clear" w:color="auto" w:fill="auto"/>
            <w:noWrap/>
            <w:vAlign w:val="bottom"/>
          </w:tcPr>
          <w:p w14:paraId="176C45B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53.66</w:t>
            </w:r>
          </w:p>
        </w:tc>
        <w:tc>
          <w:tcPr>
            <w:tcW w:w="900" w:type="dxa"/>
            <w:tcBorders>
              <w:top w:val="nil"/>
              <w:left w:val="nil"/>
              <w:bottom w:val="single" w:sz="4" w:space="0" w:color="auto"/>
              <w:right w:val="single" w:sz="4" w:space="0" w:color="auto"/>
            </w:tcBorders>
            <w:shd w:val="clear" w:color="auto" w:fill="auto"/>
            <w:noWrap/>
            <w:vAlign w:val="bottom"/>
          </w:tcPr>
          <w:p w14:paraId="2FBA6EB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53.34</w:t>
            </w:r>
          </w:p>
        </w:tc>
        <w:tc>
          <w:tcPr>
            <w:tcW w:w="900" w:type="dxa"/>
            <w:tcBorders>
              <w:top w:val="nil"/>
              <w:left w:val="nil"/>
              <w:bottom w:val="single" w:sz="4" w:space="0" w:color="auto"/>
              <w:right w:val="single" w:sz="4" w:space="0" w:color="auto"/>
            </w:tcBorders>
            <w:shd w:val="clear" w:color="auto" w:fill="auto"/>
            <w:noWrap/>
            <w:vAlign w:val="bottom"/>
          </w:tcPr>
          <w:p w14:paraId="1E3747E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53.34</w:t>
            </w:r>
          </w:p>
        </w:tc>
        <w:tc>
          <w:tcPr>
            <w:tcW w:w="948" w:type="dxa"/>
            <w:tcBorders>
              <w:top w:val="nil"/>
              <w:left w:val="nil"/>
              <w:bottom w:val="single" w:sz="4" w:space="0" w:color="auto"/>
              <w:right w:val="single" w:sz="4" w:space="0" w:color="auto"/>
            </w:tcBorders>
            <w:shd w:val="clear" w:color="auto" w:fill="auto"/>
            <w:noWrap/>
            <w:vAlign w:val="bottom"/>
          </w:tcPr>
          <w:p w14:paraId="49CDB9A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74578AD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-11.89</w:t>
            </w:r>
          </w:p>
        </w:tc>
        <w:tc>
          <w:tcPr>
            <w:tcW w:w="990" w:type="dxa"/>
            <w:tcBorders>
              <w:top w:val="nil"/>
              <w:left w:val="nil"/>
              <w:bottom w:val="single" w:sz="4" w:space="0" w:color="auto"/>
              <w:right w:val="single" w:sz="4" w:space="0" w:color="auto"/>
            </w:tcBorders>
            <w:shd w:val="clear" w:color="auto" w:fill="auto"/>
            <w:noWrap/>
            <w:vAlign w:val="bottom"/>
          </w:tcPr>
          <w:p w14:paraId="5D753D4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-0.32</w:t>
            </w:r>
          </w:p>
        </w:tc>
        <w:tc>
          <w:tcPr>
            <w:tcW w:w="990" w:type="dxa"/>
            <w:tcBorders>
              <w:top w:val="nil"/>
              <w:left w:val="nil"/>
              <w:bottom w:val="single" w:sz="4" w:space="0" w:color="auto"/>
              <w:right w:val="single" w:sz="4" w:space="0" w:color="auto"/>
            </w:tcBorders>
            <w:shd w:val="clear" w:color="auto" w:fill="auto"/>
            <w:noWrap/>
            <w:vAlign w:val="bottom"/>
          </w:tcPr>
          <w:p w14:paraId="75BCC66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99.41</w:t>
            </w:r>
          </w:p>
        </w:tc>
        <w:tc>
          <w:tcPr>
            <w:tcW w:w="1080" w:type="dxa"/>
            <w:tcBorders>
              <w:top w:val="nil"/>
              <w:left w:val="nil"/>
              <w:bottom w:val="single" w:sz="4" w:space="0" w:color="auto"/>
              <w:right w:val="single" w:sz="4" w:space="0" w:color="auto"/>
            </w:tcBorders>
            <w:shd w:val="clear" w:color="auto" w:fill="auto"/>
            <w:noWrap/>
            <w:vAlign w:val="bottom"/>
          </w:tcPr>
          <w:p w14:paraId="66142FB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-0.32</w:t>
            </w:r>
          </w:p>
        </w:tc>
        <w:tc>
          <w:tcPr>
            <w:tcW w:w="1156" w:type="dxa"/>
            <w:tcBorders>
              <w:top w:val="nil"/>
              <w:left w:val="nil"/>
              <w:bottom w:val="single" w:sz="4" w:space="0" w:color="auto"/>
              <w:right w:val="single" w:sz="4" w:space="0" w:color="auto"/>
            </w:tcBorders>
            <w:shd w:val="clear" w:color="auto" w:fill="auto"/>
            <w:noWrap/>
            <w:vAlign w:val="bottom"/>
          </w:tcPr>
          <w:p w14:paraId="2F765DD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99.41</w:t>
            </w:r>
          </w:p>
        </w:tc>
      </w:tr>
      <w:tr w:rsidR="00E52AC1" w:rsidRPr="00991DD7" w14:paraId="7E68F8FE" w14:textId="77777777" w:rsidTr="00E52AC1">
        <w:trPr>
          <w:trHeight w:val="143"/>
        </w:trPr>
        <w:tc>
          <w:tcPr>
            <w:tcW w:w="4140" w:type="dxa"/>
            <w:tcBorders>
              <w:top w:val="nil"/>
              <w:left w:val="single" w:sz="4" w:space="0" w:color="auto"/>
              <w:bottom w:val="single" w:sz="4" w:space="0" w:color="auto"/>
              <w:right w:val="single" w:sz="4" w:space="0" w:color="auto"/>
            </w:tcBorders>
            <w:shd w:val="clear" w:color="auto" w:fill="auto"/>
            <w:vAlign w:val="bottom"/>
          </w:tcPr>
          <w:p w14:paraId="52950F31"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8D6D21">
              <w:rPr>
                <w:rFonts w:asciiTheme="majorHAnsi" w:eastAsia="Times New Roman" w:hAnsiTheme="majorHAnsi" w:cstheme="majorHAnsi"/>
                <w:b/>
                <w:bCs/>
                <w:color w:val="000000"/>
                <w:sz w:val="18"/>
                <w:szCs w:val="18"/>
              </w:rPr>
              <w:t>Granturi acordate din contul proiectelor finanțate din surse</w:t>
            </w:r>
          </w:p>
        </w:tc>
        <w:tc>
          <w:tcPr>
            <w:tcW w:w="964" w:type="dxa"/>
            <w:tcBorders>
              <w:top w:val="nil"/>
              <w:left w:val="nil"/>
              <w:bottom w:val="single" w:sz="4" w:space="0" w:color="auto"/>
              <w:right w:val="single" w:sz="4" w:space="0" w:color="auto"/>
            </w:tcBorders>
            <w:shd w:val="clear" w:color="auto" w:fill="auto"/>
            <w:noWrap/>
            <w:vAlign w:val="bottom"/>
          </w:tcPr>
          <w:p w14:paraId="3B74A1CB" w14:textId="77777777" w:rsidR="00E52AC1"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263000</w:t>
            </w:r>
          </w:p>
        </w:tc>
        <w:tc>
          <w:tcPr>
            <w:tcW w:w="1004" w:type="dxa"/>
            <w:tcBorders>
              <w:top w:val="nil"/>
              <w:left w:val="nil"/>
              <w:bottom w:val="single" w:sz="4" w:space="0" w:color="auto"/>
              <w:right w:val="single" w:sz="4" w:space="0" w:color="auto"/>
            </w:tcBorders>
            <w:shd w:val="clear" w:color="auto" w:fill="auto"/>
            <w:noWrap/>
            <w:vAlign w:val="bottom"/>
          </w:tcPr>
          <w:p w14:paraId="046FBE2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4DDF2DC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1.02</w:t>
            </w:r>
          </w:p>
        </w:tc>
        <w:tc>
          <w:tcPr>
            <w:tcW w:w="900" w:type="dxa"/>
            <w:tcBorders>
              <w:top w:val="nil"/>
              <w:left w:val="nil"/>
              <w:bottom w:val="single" w:sz="4" w:space="0" w:color="auto"/>
              <w:right w:val="single" w:sz="4" w:space="0" w:color="auto"/>
            </w:tcBorders>
            <w:shd w:val="clear" w:color="auto" w:fill="auto"/>
            <w:noWrap/>
            <w:vAlign w:val="bottom"/>
          </w:tcPr>
          <w:p w14:paraId="05ECAB1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1.02</w:t>
            </w:r>
          </w:p>
        </w:tc>
        <w:tc>
          <w:tcPr>
            <w:tcW w:w="900" w:type="dxa"/>
            <w:tcBorders>
              <w:top w:val="nil"/>
              <w:left w:val="nil"/>
              <w:bottom w:val="single" w:sz="4" w:space="0" w:color="auto"/>
              <w:right w:val="single" w:sz="4" w:space="0" w:color="auto"/>
            </w:tcBorders>
            <w:shd w:val="clear" w:color="auto" w:fill="auto"/>
            <w:noWrap/>
            <w:vAlign w:val="bottom"/>
          </w:tcPr>
          <w:p w14:paraId="636CBC9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1.02</w:t>
            </w:r>
          </w:p>
        </w:tc>
        <w:tc>
          <w:tcPr>
            <w:tcW w:w="948" w:type="dxa"/>
            <w:tcBorders>
              <w:top w:val="nil"/>
              <w:left w:val="nil"/>
              <w:bottom w:val="single" w:sz="4" w:space="0" w:color="auto"/>
              <w:right w:val="single" w:sz="4" w:space="0" w:color="auto"/>
            </w:tcBorders>
            <w:shd w:val="clear" w:color="auto" w:fill="auto"/>
            <w:noWrap/>
            <w:vAlign w:val="bottom"/>
          </w:tcPr>
          <w:p w14:paraId="5D8AE26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341BD66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1.02</w:t>
            </w:r>
          </w:p>
        </w:tc>
        <w:tc>
          <w:tcPr>
            <w:tcW w:w="990" w:type="dxa"/>
            <w:tcBorders>
              <w:top w:val="nil"/>
              <w:left w:val="nil"/>
              <w:bottom w:val="single" w:sz="4" w:space="0" w:color="auto"/>
              <w:right w:val="single" w:sz="4" w:space="0" w:color="auto"/>
            </w:tcBorders>
            <w:shd w:val="clear" w:color="auto" w:fill="auto"/>
            <w:noWrap/>
            <w:vAlign w:val="bottom"/>
          </w:tcPr>
          <w:p w14:paraId="2AFC9FC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-0.08</w:t>
            </w:r>
          </w:p>
        </w:tc>
        <w:tc>
          <w:tcPr>
            <w:tcW w:w="990" w:type="dxa"/>
            <w:tcBorders>
              <w:top w:val="nil"/>
              <w:left w:val="nil"/>
              <w:bottom w:val="single" w:sz="4" w:space="0" w:color="auto"/>
              <w:right w:val="single" w:sz="4" w:space="0" w:color="auto"/>
            </w:tcBorders>
            <w:shd w:val="clear" w:color="auto" w:fill="auto"/>
            <w:noWrap/>
            <w:vAlign w:val="bottom"/>
          </w:tcPr>
          <w:p w14:paraId="388A934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100.00</w:t>
            </w:r>
          </w:p>
        </w:tc>
        <w:tc>
          <w:tcPr>
            <w:tcW w:w="1080" w:type="dxa"/>
            <w:tcBorders>
              <w:top w:val="nil"/>
              <w:left w:val="nil"/>
              <w:bottom w:val="single" w:sz="4" w:space="0" w:color="auto"/>
              <w:right w:val="single" w:sz="4" w:space="0" w:color="auto"/>
            </w:tcBorders>
            <w:shd w:val="clear" w:color="auto" w:fill="auto"/>
            <w:noWrap/>
            <w:vAlign w:val="bottom"/>
          </w:tcPr>
          <w:p w14:paraId="373FBEB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-0.08</w:t>
            </w:r>
          </w:p>
        </w:tc>
        <w:tc>
          <w:tcPr>
            <w:tcW w:w="1156" w:type="dxa"/>
            <w:tcBorders>
              <w:top w:val="nil"/>
              <w:left w:val="nil"/>
              <w:bottom w:val="single" w:sz="4" w:space="0" w:color="auto"/>
              <w:right w:val="single" w:sz="4" w:space="0" w:color="auto"/>
            </w:tcBorders>
            <w:shd w:val="clear" w:color="auto" w:fill="auto"/>
            <w:noWrap/>
            <w:vAlign w:val="bottom"/>
          </w:tcPr>
          <w:p w14:paraId="238347D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100.00</w:t>
            </w:r>
          </w:p>
        </w:tc>
      </w:tr>
      <w:tr w:rsidR="00E52AC1" w:rsidRPr="00991DD7" w14:paraId="4E9672E9" w14:textId="77777777" w:rsidTr="00E52AC1">
        <w:trPr>
          <w:trHeight w:val="143"/>
        </w:trPr>
        <w:tc>
          <w:tcPr>
            <w:tcW w:w="414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hideMark/>
          </w:tcPr>
          <w:p w14:paraId="1C253750"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5AC7C876" w14:textId="77777777" w:rsidR="00E52AC1" w:rsidRPr="00EA4165" w:rsidRDefault="00E52AC1" w:rsidP="00E52AC1">
            <w:pPr>
              <w:spacing w:after="0" w:line="240" w:lineRule="auto"/>
              <w:jc w:val="both"/>
              <w:rPr>
                <w:rFonts w:asciiTheme="majorHAnsi" w:eastAsia="Times New Roman" w:hAnsiTheme="majorHAnsi" w:cstheme="majorHAnsi"/>
                <w:b/>
                <w:i/>
                <w:iCs/>
                <w:color w:val="000000"/>
                <w:sz w:val="18"/>
                <w:szCs w:val="18"/>
              </w:rPr>
            </w:pPr>
            <w:r w:rsidRPr="00EA4165">
              <w:rPr>
                <w:rFonts w:asciiTheme="majorHAnsi" w:eastAsia="Times New Roman" w:hAnsiTheme="majorHAnsi" w:cstheme="majorHAnsi"/>
                <w:b/>
                <w:i/>
                <w:iCs/>
                <w:color w:val="000000"/>
                <w:sz w:val="18"/>
                <w:szCs w:val="18"/>
              </w:rPr>
              <w:t>272</w:t>
            </w:r>
          </w:p>
        </w:tc>
        <w:tc>
          <w:tcPr>
            <w:tcW w:w="1004"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3D622CE3" w14:textId="77777777" w:rsidR="00E52AC1" w:rsidRPr="00EA4165" w:rsidRDefault="00E52AC1" w:rsidP="00E52AC1">
            <w:pPr>
              <w:spacing w:after="0" w:line="240" w:lineRule="auto"/>
              <w:jc w:val="center"/>
              <w:rPr>
                <w:rFonts w:asciiTheme="majorHAnsi" w:eastAsia="Times New Roman" w:hAnsiTheme="majorHAnsi" w:cstheme="majorHAnsi"/>
                <w:b/>
                <w:color w:val="000000"/>
                <w:sz w:val="18"/>
                <w:szCs w:val="18"/>
              </w:rPr>
            </w:pPr>
            <w:r w:rsidRPr="00EA4165">
              <w:rPr>
                <w:rFonts w:asciiTheme="majorHAnsi" w:eastAsia="Times New Roman" w:hAnsiTheme="majorHAnsi" w:cstheme="majorHAnsi"/>
                <w:b/>
                <w:color w:val="000000"/>
                <w:sz w:val="18"/>
                <w:szCs w:val="18"/>
              </w:rPr>
              <w:t>0.88</w:t>
            </w:r>
          </w:p>
        </w:tc>
        <w:tc>
          <w:tcPr>
            <w:tcW w:w="900"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7A60C805" w14:textId="77777777" w:rsidR="00E52AC1" w:rsidRPr="00EA4165" w:rsidRDefault="00E52AC1" w:rsidP="00E52AC1">
            <w:pPr>
              <w:spacing w:after="0" w:line="240" w:lineRule="auto"/>
              <w:jc w:val="center"/>
              <w:rPr>
                <w:rFonts w:asciiTheme="majorHAnsi" w:eastAsia="Times New Roman" w:hAnsiTheme="majorHAnsi" w:cstheme="majorHAnsi"/>
                <w:b/>
                <w:color w:val="000000"/>
                <w:sz w:val="18"/>
                <w:szCs w:val="18"/>
              </w:rPr>
            </w:pPr>
            <w:r w:rsidRPr="00EA4165">
              <w:rPr>
                <w:rFonts w:asciiTheme="majorHAnsi" w:eastAsia="Times New Roman" w:hAnsiTheme="majorHAnsi" w:cstheme="majorHAnsi"/>
                <w:b/>
                <w:color w:val="000000"/>
                <w:sz w:val="18"/>
                <w:szCs w:val="18"/>
              </w:rPr>
              <w:t>0.96</w:t>
            </w:r>
          </w:p>
        </w:tc>
        <w:tc>
          <w:tcPr>
            <w:tcW w:w="900"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6DE65390" w14:textId="77777777" w:rsidR="00E52AC1" w:rsidRPr="00EA4165" w:rsidRDefault="00E52AC1" w:rsidP="00E52AC1">
            <w:pPr>
              <w:spacing w:after="0" w:line="240" w:lineRule="auto"/>
              <w:jc w:val="center"/>
              <w:rPr>
                <w:rFonts w:asciiTheme="majorHAnsi" w:eastAsia="Times New Roman" w:hAnsiTheme="majorHAnsi" w:cstheme="majorHAnsi"/>
                <w:b/>
                <w:color w:val="000000"/>
                <w:sz w:val="18"/>
                <w:szCs w:val="18"/>
              </w:rPr>
            </w:pPr>
            <w:r w:rsidRPr="00EA4165">
              <w:rPr>
                <w:rFonts w:asciiTheme="majorHAnsi" w:eastAsia="Times New Roman" w:hAnsiTheme="majorHAnsi" w:cstheme="majorHAnsi"/>
                <w:b/>
                <w:color w:val="000000"/>
                <w:sz w:val="18"/>
                <w:szCs w:val="18"/>
              </w:rPr>
              <w:t>0.61</w:t>
            </w:r>
          </w:p>
        </w:tc>
        <w:tc>
          <w:tcPr>
            <w:tcW w:w="900"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38209CF2" w14:textId="77777777" w:rsidR="00E52AC1" w:rsidRPr="00EA4165" w:rsidRDefault="00E52AC1" w:rsidP="00E52AC1">
            <w:pPr>
              <w:spacing w:after="0" w:line="240" w:lineRule="auto"/>
              <w:jc w:val="center"/>
              <w:rPr>
                <w:rFonts w:asciiTheme="majorHAnsi" w:eastAsia="Times New Roman" w:hAnsiTheme="majorHAnsi" w:cstheme="majorHAnsi"/>
                <w:b/>
                <w:color w:val="000000"/>
                <w:sz w:val="18"/>
                <w:szCs w:val="18"/>
              </w:rPr>
            </w:pPr>
            <w:r w:rsidRPr="00EA4165">
              <w:rPr>
                <w:rFonts w:asciiTheme="majorHAnsi" w:eastAsia="Times New Roman" w:hAnsiTheme="majorHAnsi" w:cstheme="majorHAnsi"/>
                <w:b/>
                <w:color w:val="000000"/>
                <w:sz w:val="18"/>
                <w:szCs w:val="18"/>
              </w:rPr>
              <w:t>0.61</w:t>
            </w:r>
          </w:p>
        </w:tc>
        <w:tc>
          <w:tcPr>
            <w:tcW w:w="948"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5631BD77" w14:textId="77777777" w:rsidR="00E52AC1" w:rsidRPr="00EA4165" w:rsidRDefault="00E52AC1" w:rsidP="00E52AC1">
            <w:pPr>
              <w:spacing w:after="0" w:line="240" w:lineRule="auto"/>
              <w:jc w:val="center"/>
              <w:rPr>
                <w:rFonts w:asciiTheme="majorHAnsi" w:eastAsia="Times New Roman" w:hAnsiTheme="majorHAnsi" w:cstheme="majorHAnsi"/>
                <w:b/>
                <w:color w:val="000000"/>
                <w:sz w:val="18"/>
                <w:szCs w:val="18"/>
              </w:rPr>
            </w:pPr>
            <w:r w:rsidRPr="00EA4165">
              <w:rPr>
                <w:rFonts w:asciiTheme="majorHAnsi" w:eastAsia="Times New Roman" w:hAnsiTheme="majorHAnsi" w:cstheme="majorHAnsi"/>
                <w:b/>
                <w:color w:val="000000"/>
                <w:sz w:val="18"/>
                <w:szCs w:val="18"/>
              </w:rPr>
              <w:t>0.00</w:t>
            </w:r>
          </w:p>
        </w:tc>
        <w:tc>
          <w:tcPr>
            <w:tcW w:w="1080"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4D3E57FE" w14:textId="77777777" w:rsidR="00E52AC1" w:rsidRPr="00EA4165" w:rsidRDefault="00E52AC1" w:rsidP="00E52AC1">
            <w:pPr>
              <w:spacing w:after="0" w:line="240" w:lineRule="auto"/>
              <w:jc w:val="center"/>
              <w:rPr>
                <w:rFonts w:asciiTheme="majorHAnsi" w:eastAsia="Times New Roman" w:hAnsiTheme="majorHAnsi" w:cstheme="majorHAnsi"/>
                <w:b/>
                <w:color w:val="000000"/>
                <w:sz w:val="18"/>
                <w:szCs w:val="18"/>
              </w:rPr>
            </w:pPr>
            <w:r w:rsidRPr="00EA4165">
              <w:rPr>
                <w:rFonts w:asciiTheme="majorHAnsi" w:eastAsia="Times New Roman" w:hAnsiTheme="majorHAnsi" w:cstheme="majorHAnsi"/>
                <w:b/>
                <w:color w:val="000000"/>
                <w:sz w:val="18"/>
                <w:szCs w:val="18"/>
              </w:rPr>
              <w:t>0.08</w:t>
            </w:r>
          </w:p>
        </w:tc>
        <w:tc>
          <w:tcPr>
            <w:tcW w:w="990"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6BC29C56" w14:textId="77777777" w:rsidR="00E52AC1" w:rsidRPr="00EA4165" w:rsidRDefault="00E52AC1" w:rsidP="00E52AC1">
            <w:pPr>
              <w:spacing w:after="0" w:line="240" w:lineRule="auto"/>
              <w:jc w:val="center"/>
              <w:rPr>
                <w:rFonts w:asciiTheme="majorHAnsi" w:eastAsia="Times New Roman" w:hAnsiTheme="majorHAnsi" w:cstheme="majorHAnsi"/>
                <w:b/>
                <w:color w:val="000000"/>
                <w:sz w:val="18"/>
                <w:szCs w:val="18"/>
              </w:rPr>
            </w:pPr>
            <w:r w:rsidRPr="00EA4165">
              <w:rPr>
                <w:rFonts w:asciiTheme="majorHAnsi" w:eastAsia="Times New Roman" w:hAnsiTheme="majorHAnsi" w:cstheme="majorHAnsi"/>
                <w:b/>
                <w:color w:val="000000"/>
                <w:sz w:val="18"/>
                <w:szCs w:val="18"/>
              </w:rPr>
              <w:t>-0.34</w:t>
            </w:r>
          </w:p>
        </w:tc>
        <w:tc>
          <w:tcPr>
            <w:tcW w:w="990"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23F4931E" w14:textId="77777777" w:rsidR="00E52AC1" w:rsidRPr="00EA4165" w:rsidRDefault="00E52AC1" w:rsidP="00E52AC1">
            <w:pPr>
              <w:spacing w:after="0" w:line="240" w:lineRule="auto"/>
              <w:jc w:val="center"/>
              <w:rPr>
                <w:rFonts w:asciiTheme="majorHAnsi" w:eastAsia="Times New Roman" w:hAnsiTheme="majorHAnsi" w:cstheme="majorHAnsi"/>
                <w:b/>
                <w:color w:val="000000"/>
                <w:sz w:val="18"/>
                <w:szCs w:val="18"/>
              </w:rPr>
            </w:pPr>
            <w:r w:rsidRPr="00EA4165">
              <w:rPr>
                <w:rFonts w:asciiTheme="majorHAnsi" w:eastAsia="Times New Roman" w:hAnsiTheme="majorHAnsi" w:cstheme="majorHAnsi"/>
                <w:b/>
                <w:color w:val="000000"/>
                <w:sz w:val="18"/>
                <w:szCs w:val="18"/>
              </w:rPr>
              <w:t>64.23</w:t>
            </w:r>
          </w:p>
        </w:tc>
        <w:tc>
          <w:tcPr>
            <w:tcW w:w="1080"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78BCB3BF" w14:textId="77777777" w:rsidR="00E52AC1" w:rsidRPr="00EA4165" w:rsidRDefault="00E52AC1" w:rsidP="00E52AC1">
            <w:pPr>
              <w:spacing w:after="0" w:line="240" w:lineRule="auto"/>
              <w:jc w:val="center"/>
              <w:rPr>
                <w:rFonts w:asciiTheme="majorHAnsi" w:eastAsia="Times New Roman" w:hAnsiTheme="majorHAnsi" w:cstheme="majorHAnsi"/>
                <w:b/>
                <w:color w:val="000000"/>
                <w:sz w:val="18"/>
                <w:szCs w:val="18"/>
              </w:rPr>
            </w:pPr>
            <w:r w:rsidRPr="00EA4165">
              <w:rPr>
                <w:rFonts w:asciiTheme="majorHAnsi" w:eastAsia="Times New Roman" w:hAnsiTheme="majorHAnsi" w:cstheme="majorHAnsi"/>
                <w:b/>
                <w:color w:val="000000"/>
                <w:sz w:val="18"/>
                <w:szCs w:val="18"/>
              </w:rPr>
              <w:t>-0.34</w:t>
            </w:r>
          </w:p>
        </w:tc>
        <w:tc>
          <w:tcPr>
            <w:tcW w:w="1156"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7A489C05" w14:textId="77777777" w:rsidR="00E52AC1" w:rsidRPr="00EA4165" w:rsidRDefault="00E52AC1" w:rsidP="00E52AC1">
            <w:pPr>
              <w:spacing w:after="0" w:line="240" w:lineRule="auto"/>
              <w:jc w:val="center"/>
              <w:rPr>
                <w:rFonts w:asciiTheme="majorHAnsi" w:eastAsia="Times New Roman" w:hAnsiTheme="majorHAnsi" w:cstheme="majorHAnsi"/>
                <w:b/>
                <w:color w:val="000000"/>
                <w:sz w:val="18"/>
                <w:szCs w:val="18"/>
              </w:rPr>
            </w:pPr>
            <w:r w:rsidRPr="00EA4165">
              <w:rPr>
                <w:rFonts w:asciiTheme="majorHAnsi" w:eastAsia="Times New Roman" w:hAnsiTheme="majorHAnsi" w:cstheme="majorHAnsi"/>
                <w:b/>
                <w:color w:val="000000"/>
                <w:sz w:val="18"/>
                <w:szCs w:val="18"/>
              </w:rPr>
              <w:t>64.23</w:t>
            </w:r>
          </w:p>
        </w:tc>
      </w:tr>
      <w:tr w:rsidR="00E52AC1" w:rsidRPr="00991DD7" w14:paraId="5A548843" w14:textId="77777777" w:rsidTr="00E52AC1">
        <w:trPr>
          <w:trHeight w:val="188"/>
        </w:trPr>
        <w:tc>
          <w:tcPr>
            <w:tcW w:w="41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C341A9"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Ajutoare bănești</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14:paraId="69BAFB9C"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272600</w:t>
            </w:r>
          </w:p>
        </w:tc>
        <w:tc>
          <w:tcPr>
            <w:tcW w:w="1004" w:type="dxa"/>
            <w:tcBorders>
              <w:top w:val="single" w:sz="4" w:space="0" w:color="auto"/>
              <w:left w:val="nil"/>
              <w:bottom w:val="single" w:sz="4" w:space="0" w:color="auto"/>
              <w:right w:val="single" w:sz="4" w:space="0" w:color="auto"/>
            </w:tcBorders>
            <w:shd w:val="clear" w:color="auto" w:fill="auto"/>
            <w:noWrap/>
            <w:vAlign w:val="bottom"/>
            <w:hideMark/>
          </w:tcPr>
          <w:p w14:paraId="45537C6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0.88</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2ED7F7A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0.96</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2E45582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0.61</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3554964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0.61</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14:paraId="091528A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BC4B3B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0.08</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142EECF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-0.34</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67457AC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64.23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F83DCD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-0.34</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14:paraId="30BCE97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64.23</w:t>
            </w:r>
          </w:p>
        </w:tc>
      </w:tr>
      <w:tr w:rsidR="00E52AC1" w:rsidRPr="00991DD7" w14:paraId="294DDAE0" w14:textId="77777777" w:rsidTr="00E52AC1">
        <w:trPr>
          <w:trHeight w:val="125"/>
        </w:trPr>
        <w:tc>
          <w:tcPr>
            <w:tcW w:w="4140" w:type="dxa"/>
            <w:tcBorders>
              <w:top w:val="nil"/>
              <w:left w:val="single" w:sz="4" w:space="0" w:color="auto"/>
              <w:bottom w:val="single" w:sz="4" w:space="0" w:color="auto"/>
              <w:right w:val="single" w:sz="4" w:space="0" w:color="auto"/>
            </w:tcBorders>
            <w:shd w:val="clear" w:color="auto" w:fill="D9E2F3" w:themeFill="accent5" w:themeFillTint="33"/>
            <w:vAlign w:val="bottom"/>
            <w:hideMark/>
          </w:tcPr>
          <w:p w14:paraId="77FC67F9"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D9E2F3" w:themeFill="accent5" w:themeFillTint="33"/>
            <w:noWrap/>
            <w:vAlign w:val="bottom"/>
            <w:hideMark/>
          </w:tcPr>
          <w:p w14:paraId="292DC268" w14:textId="77777777" w:rsidR="00E52AC1" w:rsidRPr="00516256" w:rsidRDefault="00E52AC1" w:rsidP="00E52AC1">
            <w:pPr>
              <w:spacing w:after="0" w:line="240" w:lineRule="auto"/>
              <w:jc w:val="both"/>
              <w:rPr>
                <w:rFonts w:asciiTheme="majorHAnsi" w:eastAsia="Times New Roman" w:hAnsiTheme="majorHAnsi" w:cstheme="majorHAnsi"/>
                <w:b/>
                <w:i/>
                <w:iCs/>
                <w:color w:val="000000"/>
                <w:sz w:val="18"/>
                <w:szCs w:val="18"/>
              </w:rPr>
            </w:pPr>
            <w:r w:rsidRPr="00516256">
              <w:rPr>
                <w:rFonts w:asciiTheme="majorHAnsi" w:eastAsia="Times New Roman" w:hAnsiTheme="majorHAnsi" w:cstheme="majorHAnsi"/>
                <w:b/>
                <w:i/>
                <w:iCs/>
                <w:color w:val="000000"/>
                <w:sz w:val="18"/>
                <w:szCs w:val="18"/>
              </w:rPr>
              <w:t>273</w:t>
            </w:r>
          </w:p>
        </w:tc>
        <w:tc>
          <w:tcPr>
            <w:tcW w:w="1004" w:type="dxa"/>
            <w:tcBorders>
              <w:top w:val="nil"/>
              <w:left w:val="nil"/>
              <w:bottom w:val="single" w:sz="4" w:space="0" w:color="auto"/>
              <w:right w:val="single" w:sz="4" w:space="0" w:color="auto"/>
            </w:tcBorders>
            <w:shd w:val="clear" w:color="auto" w:fill="D9E2F3" w:themeFill="accent5" w:themeFillTint="33"/>
            <w:noWrap/>
            <w:vAlign w:val="bottom"/>
            <w:hideMark/>
          </w:tcPr>
          <w:p w14:paraId="5B87C880" w14:textId="77777777" w:rsidR="00E52AC1" w:rsidRPr="00516256" w:rsidRDefault="00E52AC1" w:rsidP="00E52AC1">
            <w:pPr>
              <w:spacing w:after="0" w:line="240" w:lineRule="auto"/>
              <w:jc w:val="center"/>
              <w:rPr>
                <w:rFonts w:asciiTheme="majorHAnsi" w:eastAsia="Times New Roman" w:hAnsiTheme="majorHAnsi" w:cstheme="majorHAnsi"/>
                <w:b/>
                <w:color w:val="000000"/>
                <w:sz w:val="18"/>
                <w:szCs w:val="18"/>
              </w:rPr>
            </w:pPr>
            <w:r w:rsidRPr="00516256">
              <w:rPr>
                <w:rFonts w:asciiTheme="majorHAnsi" w:eastAsia="Times New Roman" w:hAnsiTheme="majorHAnsi" w:cstheme="majorHAnsi"/>
                <w:b/>
                <w:color w:val="000000"/>
                <w:sz w:val="18"/>
                <w:szCs w:val="18"/>
              </w:rPr>
              <w:t>5.91</w:t>
            </w:r>
          </w:p>
        </w:tc>
        <w:tc>
          <w:tcPr>
            <w:tcW w:w="900" w:type="dxa"/>
            <w:tcBorders>
              <w:top w:val="nil"/>
              <w:left w:val="nil"/>
              <w:bottom w:val="single" w:sz="4" w:space="0" w:color="auto"/>
              <w:right w:val="single" w:sz="4" w:space="0" w:color="auto"/>
            </w:tcBorders>
            <w:shd w:val="clear" w:color="auto" w:fill="D9E2F3" w:themeFill="accent5" w:themeFillTint="33"/>
            <w:noWrap/>
            <w:vAlign w:val="bottom"/>
            <w:hideMark/>
          </w:tcPr>
          <w:p w14:paraId="0323C39A" w14:textId="77777777" w:rsidR="00E52AC1" w:rsidRPr="00516256" w:rsidRDefault="00E52AC1" w:rsidP="00E52AC1">
            <w:pPr>
              <w:spacing w:after="0" w:line="240" w:lineRule="auto"/>
              <w:jc w:val="center"/>
              <w:rPr>
                <w:rFonts w:asciiTheme="majorHAnsi" w:eastAsia="Times New Roman" w:hAnsiTheme="majorHAnsi" w:cstheme="majorHAnsi"/>
                <w:b/>
                <w:color w:val="000000"/>
                <w:sz w:val="18"/>
                <w:szCs w:val="18"/>
              </w:rPr>
            </w:pPr>
            <w:r w:rsidRPr="00516256">
              <w:rPr>
                <w:rFonts w:asciiTheme="majorHAnsi" w:eastAsia="Times New Roman" w:hAnsiTheme="majorHAnsi" w:cstheme="majorHAnsi"/>
                <w:b/>
                <w:color w:val="000000"/>
                <w:sz w:val="18"/>
                <w:szCs w:val="18"/>
              </w:rPr>
              <w:t>10.80</w:t>
            </w:r>
          </w:p>
        </w:tc>
        <w:tc>
          <w:tcPr>
            <w:tcW w:w="900" w:type="dxa"/>
            <w:tcBorders>
              <w:top w:val="nil"/>
              <w:left w:val="nil"/>
              <w:bottom w:val="single" w:sz="4" w:space="0" w:color="auto"/>
              <w:right w:val="single" w:sz="4" w:space="0" w:color="auto"/>
            </w:tcBorders>
            <w:shd w:val="clear" w:color="auto" w:fill="D9E2F3" w:themeFill="accent5" w:themeFillTint="33"/>
            <w:noWrap/>
            <w:vAlign w:val="bottom"/>
            <w:hideMark/>
          </w:tcPr>
          <w:p w14:paraId="0E138A0B" w14:textId="77777777" w:rsidR="00E52AC1" w:rsidRPr="00516256" w:rsidRDefault="00E52AC1" w:rsidP="00E52AC1">
            <w:pPr>
              <w:spacing w:after="0" w:line="240" w:lineRule="auto"/>
              <w:jc w:val="center"/>
              <w:rPr>
                <w:rFonts w:asciiTheme="majorHAnsi" w:eastAsia="Times New Roman" w:hAnsiTheme="majorHAnsi" w:cstheme="majorHAnsi"/>
                <w:b/>
                <w:color w:val="000000"/>
                <w:sz w:val="18"/>
                <w:szCs w:val="18"/>
              </w:rPr>
            </w:pPr>
            <w:r w:rsidRPr="00516256">
              <w:rPr>
                <w:rFonts w:asciiTheme="majorHAnsi" w:eastAsia="Times New Roman" w:hAnsiTheme="majorHAnsi" w:cstheme="majorHAnsi"/>
                <w:b/>
                <w:color w:val="000000"/>
                <w:sz w:val="18"/>
                <w:szCs w:val="18"/>
              </w:rPr>
              <w:t>9.94</w:t>
            </w:r>
          </w:p>
        </w:tc>
        <w:tc>
          <w:tcPr>
            <w:tcW w:w="900" w:type="dxa"/>
            <w:tcBorders>
              <w:top w:val="nil"/>
              <w:left w:val="nil"/>
              <w:bottom w:val="single" w:sz="4" w:space="0" w:color="auto"/>
              <w:right w:val="single" w:sz="4" w:space="0" w:color="auto"/>
            </w:tcBorders>
            <w:shd w:val="clear" w:color="auto" w:fill="D9E2F3" w:themeFill="accent5" w:themeFillTint="33"/>
            <w:noWrap/>
            <w:vAlign w:val="bottom"/>
            <w:hideMark/>
          </w:tcPr>
          <w:p w14:paraId="1EA38A16" w14:textId="77777777" w:rsidR="00E52AC1" w:rsidRPr="00516256" w:rsidRDefault="00E52AC1" w:rsidP="00E52AC1">
            <w:pPr>
              <w:spacing w:after="0" w:line="240" w:lineRule="auto"/>
              <w:jc w:val="center"/>
              <w:rPr>
                <w:rFonts w:asciiTheme="majorHAnsi" w:eastAsia="Times New Roman" w:hAnsiTheme="majorHAnsi" w:cstheme="majorHAnsi"/>
                <w:b/>
                <w:color w:val="000000"/>
                <w:sz w:val="18"/>
                <w:szCs w:val="18"/>
              </w:rPr>
            </w:pPr>
            <w:r w:rsidRPr="00516256">
              <w:rPr>
                <w:rFonts w:asciiTheme="majorHAnsi" w:eastAsia="Times New Roman" w:hAnsiTheme="majorHAnsi" w:cstheme="majorHAnsi"/>
                <w:b/>
                <w:color w:val="000000"/>
                <w:sz w:val="18"/>
                <w:szCs w:val="18"/>
              </w:rPr>
              <w:t>9.94</w:t>
            </w:r>
          </w:p>
        </w:tc>
        <w:tc>
          <w:tcPr>
            <w:tcW w:w="948" w:type="dxa"/>
            <w:tcBorders>
              <w:top w:val="nil"/>
              <w:left w:val="nil"/>
              <w:bottom w:val="single" w:sz="4" w:space="0" w:color="auto"/>
              <w:right w:val="single" w:sz="4" w:space="0" w:color="auto"/>
            </w:tcBorders>
            <w:shd w:val="clear" w:color="auto" w:fill="D9E2F3" w:themeFill="accent5" w:themeFillTint="33"/>
            <w:noWrap/>
            <w:vAlign w:val="bottom"/>
            <w:hideMark/>
          </w:tcPr>
          <w:p w14:paraId="02F5406B" w14:textId="77777777" w:rsidR="00E52AC1" w:rsidRPr="00516256" w:rsidRDefault="00E52AC1" w:rsidP="00E52AC1">
            <w:pPr>
              <w:spacing w:after="0" w:line="240" w:lineRule="auto"/>
              <w:jc w:val="center"/>
              <w:rPr>
                <w:rFonts w:asciiTheme="majorHAnsi" w:eastAsia="Times New Roman" w:hAnsiTheme="majorHAnsi" w:cstheme="majorHAnsi"/>
                <w:b/>
                <w:color w:val="000000"/>
                <w:sz w:val="18"/>
                <w:szCs w:val="18"/>
              </w:rPr>
            </w:pPr>
            <w:r w:rsidRPr="00516256">
              <w:rPr>
                <w:rFonts w:asciiTheme="majorHAnsi" w:eastAsia="Times New Roman" w:hAnsiTheme="majorHAnsi" w:cstheme="majorHAnsi"/>
                <w:b/>
                <w:color w:val="000000"/>
                <w:sz w:val="18"/>
                <w:szCs w:val="18"/>
              </w:rPr>
              <w:t>0.05</w:t>
            </w:r>
          </w:p>
        </w:tc>
        <w:tc>
          <w:tcPr>
            <w:tcW w:w="1080" w:type="dxa"/>
            <w:tcBorders>
              <w:top w:val="nil"/>
              <w:left w:val="nil"/>
              <w:bottom w:val="single" w:sz="4" w:space="0" w:color="auto"/>
              <w:right w:val="single" w:sz="4" w:space="0" w:color="auto"/>
            </w:tcBorders>
            <w:shd w:val="clear" w:color="auto" w:fill="D9E2F3" w:themeFill="accent5" w:themeFillTint="33"/>
            <w:noWrap/>
            <w:vAlign w:val="bottom"/>
            <w:hideMark/>
          </w:tcPr>
          <w:p w14:paraId="15B4F4DB" w14:textId="77777777" w:rsidR="00E52AC1" w:rsidRPr="00516256" w:rsidRDefault="00E52AC1" w:rsidP="00E52AC1">
            <w:pPr>
              <w:spacing w:after="0" w:line="240" w:lineRule="auto"/>
              <w:jc w:val="center"/>
              <w:rPr>
                <w:rFonts w:asciiTheme="majorHAnsi" w:eastAsia="Times New Roman" w:hAnsiTheme="majorHAnsi" w:cstheme="majorHAnsi"/>
                <w:b/>
                <w:color w:val="000000"/>
                <w:sz w:val="18"/>
                <w:szCs w:val="18"/>
              </w:rPr>
            </w:pPr>
            <w:r w:rsidRPr="00516256">
              <w:rPr>
                <w:rFonts w:asciiTheme="majorHAnsi" w:eastAsia="Times New Roman" w:hAnsiTheme="majorHAnsi" w:cstheme="majorHAnsi"/>
                <w:b/>
                <w:color w:val="000000"/>
                <w:sz w:val="18"/>
                <w:szCs w:val="18"/>
              </w:rPr>
              <w:t>4.89</w:t>
            </w:r>
          </w:p>
        </w:tc>
        <w:tc>
          <w:tcPr>
            <w:tcW w:w="990" w:type="dxa"/>
            <w:tcBorders>
              <w:top w:val="nil"/>
              <w:left w:val="nil"/>
              <w:bottom w:val="single" w:sz="4" w:space="0" w:color="auto"/>
              <w:right w:val="single" w:sz="4" w:space="0" w:color="auto"/>
            </w:tcBorders>
            <w:shd w:val="clear" w:color="auto" w:fill="D9E2F3" w:themeFill="accent5" w:themeFillTint="33"/>
            <w:noWrap/>
            <w:vAlign w:val="bottom"/>
            <w:hideMark/>
          </w:tcPr>
          <w:p w14:paraId="5A2240F0" w14:textId="77777777" w:rsidR="00E52AC1" w:rsidRPr="00516256" w:rsidRDefault="00E52AC1" w:rsidP="00E52AC1">
            <w:pPr>
              <w:spacing w:after="0" w:line="240" w:lineRule="auto"/>
              <w:jc w:val="center"/>
              <w:rPr>
                <w:rFonts w:asciiTheme="majorHAnsi" w:eastAsia="Times New Roman" w:hAnsiTheme="majorHAnsi" w:cstheme="majorHAnsi"/>
                <w:b/>
                <w:color w:val="000000"/>
                <w:sz w:val="18"/>
                <w:szCs w:val="18"/>
              </w:rPr>
            </w:pPr>
            <w:r w:rsidRPr="00516256">
              <w:rPr>
                <w:rFonts w:asciiTheme="majorHAnsi" w:eastAsia="Times New Roman" w:hAnsiTheme="majorHAnsi" w:cstheme="majorHAnsi"/>
                <w:b/>
                <w:color w:val="000000"/>
                <w:sz w:val="18"/>
                <w:szCs w:val="18"/>
              </w:rPr>
              <w:t>-0.86</w:t>
            </w:r>
          </w:p>
        </w:tc>
        <w:tc>
          <w:tcPr>
            <w:tcW w:w="990" w:type="dxa"/>
            <w:tcBorders>
              <w:top w:val="nil"/>
              <w:left w:val="nil"/>
              <w:bottom w:val="single" w:sz="4" w:space="0" w:color="auto"/>
              <w:right w:val="single" w:sz="4" w:space="0" w:color="auto"/>
            </w:tcBorders>
            <w:shd w:val="clear" w:color="auto" w:fill="D9E2F3" w:themeFill="accent5" w:themeFillTint="33"/>
            <w:noWrap/>
            <w:vAlign w:val="bottom"/>
            <w:hideMark/>
          </w:tcPr>
          <w:p w14:paraId="6F221DB0" w14:textId="77777777" w:rsidR="00E52AC1" w:rsidRPr="00516256" w:rsidRDefault="00E52AC1" w:rsidP="00E52AC1">
            <w:pPr>
              <w:spacing w:after="0" w:line="240" w:lineRule="auto"/>
              <w:jc w:val="center"/>
              <w:rPr>
                <w:rFonts w:asciiTheme="majorHAnsi" w:eastAsia="Times New Roman" w:hAnsiTheme="majorHAnsi" w:cstheme="majorHAnsi"/>
                <w:b/>
                <w:color w:val="000000"/>
                <w:sz w:val="18"/>
                <w:szCs w:val="18"/>
              </w:rPr>
            </w:pPr>
            <w:r w:rsidRPr="00516256">
              <w:rPr>
                <w:rFonts w:asciiTheme="majorHAnsi" w:eastAsia="Times New Roman" w:hAnsiTheme="majorHAnsi" w:cstheme="majorHAnsi"/>
                <w:b/>
                <w:color w:val="000000"/>
                <w:sz w:val="18"/>
                <w:szCs w:val="18"/>
              </w:rPr>
              <w:t>92.05</w:t>
            </w:r>
          </w:p>
        </w:tc>
        <w:tc>
          <w:tcPr>
            <w:tcW w:w="1080" w:type="dxa"/>
            <w:tcBorders>
              <w:top w:val="nil"/>
              <w:left w:val="nil"/>
              <w:bottom w:val="single" w:sz="4" w:space="0" w:color="auto"/>
              <w:right w:val="single" w:sz="4" w:space="0" w:color="auto"/>
            </w:tcBorders>
            <w:shd w:val="clear" w:color="auto" w:fill="D9E2F3" w:themeFill="accent5" w:themeFillTint="33"/>
            <w:noWrap/>
            <w:vAlign w:val="bottom"/>
            <w:hideMark/>
          </w:tcPr>
          <w:p w14:paraId="0AD9D55D" w14:textId="77777777" w:rsidR="00E52AC1" w:rsidRPr="00516256" w:rsidRDefault="00E52AC1" w:rsidP="00E52AC1">
            <w:pPr>
              <w:spacing w:after="0" w:line="240" w:lineRule="auto"/>
              <w:jc w:val="center"/>
              <w:rPr>
                <w:rFonts w:asciiTheme="majorHAnsi" w:eastAsia="Times New Roman" w:hAnsiTheme="majorHAnsi" w:cstheme="majorHAnsi"/>
                <w:b/>
                <w:color w:val="000000"/>
                <w:sz w:val="18"/>
                <w:szCs w:val="18"/>
              </w:rPr>
            </w:pPr>
            <w:r w:rsidRPr="00516256">
              <w:rPr>
                <w:rFonts w:asciiTheme="majorHAnsi" w:eastAsia="Times New Roman" w:hAnsiTheme="majorHAnsi" w:cstheme="majorHAnsi"/>
                <w:b/>
                <w:color w:val="000000"/>
                <w:sz w:val="18"/>
                <w:szCs w:val="18"/>
              </w:rPr>
              <w:t>-0.86</w:t>
            </w:r>
          </w:p>
        </w:tc>
        <w:tc>
          <w:tcPr>
            <w:tcW w:w="1156" w:type="dxa"/>
            <w:tcBorders>
              <w:top w:val="nil"/>
              <w:left w:val="nil"/>
              <w:bottom w:val="single" w:sz="4" w:space="0" w:color="auto"/>
              <w:right w:val="single" w:sz="4" w:space="0" w:color="auto"/>
            </w:tcBorders>
            <w:shd w:val="clear" w:color="auto" w:fill="D9E2F3" w:themeFill="accent5" w:themeFillTint="33"/>
            <w:noWrap/>
            <w:vAlign w:val="bottom"/>
            <w:hideMark/>
          </w:tcPr>
          <w:p w14:paraId="61DAFDF7" w14:textId="77777777" w:rsidR="00E52AC1" w:rsidRPr="00516256" w:rsidRDefault="00E52AC1" w:rsidP="00E52AC1">
            <w:pPr>
              <w:spacing w:after="0" w:line="240" w:lineRule="auto"/>
              <w:jc w:val="center"/>
              <w:rPr>
                <w:rFonts w:asciiTheme="majorHAnsi" w:eastAsia="Times New Roman" w:hAnsiTheme="majorHAnsi" w:cstheme="majorHAnsi"/>
                <w:b/>
                <w:color w:val="000000"/>
                <w:sz w:val="18"/>
                <w:szCs w:val="18"/>
              </w:rPr>
            </w:pPr>
            <w:r w:rsidRPr="00516256">
              <w:rPr>
                <w:rFonts w:asciiTheme="majorHAnsi" w:eastAsia="Times New Roman" w:hAnsiTheme="majorHAnsi" w:cstheme="majorHAnsi"/>
                <w:b/>
                <w:color w:val="000000"/>
                <w:sz w:val="18"/>
                <w:szCs w:val="18"/>
              </w:rPr>
              <w:t>92.05</w:t>
            </w:r>
          </w:p>
        </w:tc>
      </w:tr>
      <w:tr w:rsidR="00E52AC1" w:rsidRPr="00991DD7" w14:paraId="5D2D238A" w14:textId="77777777" w:rsidTr="00E52AC1">
        <w:trPr>
          <w:trHeight w:val="260"/>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2AD29DAA"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Indemnizații la încetarea acțiunii contractului de munca</w:t>
            </w:r>
          </w:p>
        </w:tc>
        <w:tc>
          <w:tcPr>
            <w:tcW w:w="964" w:type="dxa"/>
            <w:tcBorders>
              <w:top w:val="nil"/>
              <w:left w:val="nil"/>
              <w:bottom w:val="single" w:sz="4" w:space="0" w:color="auto"/>
              <w:right w:val="single" w:sz="4" w:space="0" w:color="auto"/>
            </w:tcBorders>
            <w:shd w:val="clear" w:color="auto" w:fill="auto"/>
            <w:noWrap/>
            <w:vAlign w:val="bottom"/>
            <w:hideMark/>
          </w:tcPr>
          <w:p w14:paraId="6CF757E0"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273200</w:t>
            </w:r>
          </w:p>
        </w:tc>
        <w:tc>
          <w:tcPr>
            <w:tcW w:w="1004" w:type="dxa"/>
            <w:tcBorders>
              <w:top w:val="nil"/>
              <w:left w:val="nil"/>
              <w:bottom w:val="single" w:sz="4" w:space="0" w:color="auto"/>
              <w:right w:val="single" w:sz="4" w:space="0" w:color="auto"/>
            </w:tcBorders>
            <w:shd w:val="clear" w:color="auto" w:fill="auto"/>
            <w:noWrap/>
            <w:vAlign w:val="bottom"/>
            <w:hideMark/>
          </w:tcPr>
          <w:p w14:paraId="67F3136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3.21</w:t>
            </w:r>
          </w:p>
        </w:tc>
        <w:tc>
          <w:tcPr>
            <w:tcW w:w="900" w:type="dxa"/>
            <w:tcBorders>
              <w:top w:val="nil"/>
              <w:left w:val="nil"/>
              <w:bottom w:val="single" w:sz="4" w:space="0" w:color="auto"/>
              <w:right w:val="single" w:sz="4" w:space="0" w:color="auto"/>
            </w:tcBorders>
            <w:shd w:val="clear" w:color="auto" w:fill="auto"/>
            <w:noWrap/>
            <w:vAlign w:val="bottom"/>
            <w:hideMark/>
          </w:tcPr>
          <w:p w14:paraId="733C26F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5.79</w:t>
            </w:r>
          </w:p>
        </w:tc>
        <w:tc>
          <w:tcPr>
            <w:tcW w:w="900" w:type="dxa"/>
            <w:tcBorders>
              <w:top w:val="nil"/>
              <w:left w:val="nil"/>
              <w:bottom w:val="single" w:sz="4" w:space="0" w:color="auto"/>
              <w:right w:val="single" w:sz="4" w:space="0" w:color="auto"/>
            </w:tcBorders>
            <w:shd w:val="clear" w:color="auto" w:fill="auto"/>
            <w:noWrap/>
            <w:vAlign w:val="bottom"/>
            <w:hideMark/>
          </w:tcPr>
          <w:p w14:paraId="65AFB5A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5.48</w:t>
            </w:r>
          </w:p>
        </w:tc>
        <w:tc>
          <w:tcPr>
            <w:tcW w:w="900" w:type="dxa"/>
            <w:tcBorders>
              <w:top w:val="nil"/>
              <w:left w:val="nil"/>
              <w:bottom w:val="single" w:sz="4" w:space="0" w:color="auto"/>
              <w:right w:val="single" w:sz="4" w:space="0" w:color="auto"/>
            </w:tcBorders>
            <w:shd w:val="clear" w:color="auto" w:fill="auto"/>
            <w:noWrap/>
            <w:vAlign w:val="bottom"/>
            <w:hideMark/>
          </w:tcPr>
          <w:p w14:paraId="20D9E06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5.48</w:t>
            </w:r>
          </w:p>
        </w:tc>
        <w:tc>
          <w:tcPr>
            <w:tcW w:w="948" w:type="dxa"/>
            <w:tcBorders>
              <w:top w:val="nil"/>
              <w:left w:val="nil"/>
              <w:bottom w:val="single" w:sz="4" w:space="0" w:color="auto"/>
              <w:right w:val="single" w:sz="4" w:space="0" w:color="auto"/>
            </w:tcBorders>
            <w:shd w:val="clear" w:color="auto" w:fill="auto"/>
            <w:noWrap/>
            <w:vAlign w:val="bottom"/>
            <w:hideMark/>
          </w:tcPr>
          <w:p w14:paraId="6182A37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6BC6C49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2.58</w:t>
            </w:r>
          </w:p>
        </w:tc>
        <w:tc>
          <w:tcPr>
            <w:tcW w:w="990" w:type="dxa"/>
            <w:tcBorders>
              <w:top w:val="nil"/>
              <w:left w:val="nil"/>
              <w:bottom w:val="single" w:sz="4" w:space="0" w:color="auto"/>
              <w:right w:val="single" w:sz="4" w:space="0" w:color="auto"/>
            </w:tcBorders>
            <w:shd w:val="clear" w:color="auto" w:fill="auto"/>
            <w:noWrap/>
            <w:vAlign w:val="bottom"/>
            <w:hideMark/>
          </w:tcPr>
          <w:p w14:paraId="4371521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-0.30</w:t>
            </w:r>
          </w:p>
        </w:tc>
        <w:tc>
          <w:tcPr>
            <w:tcW w:w="990" w:type="dxa"/>
            <w:tcBorders>
              <w:top w:val="nil"/>
              <w:left w:val="nil"/>
              <w:bottom w:val="single" w:sz="4" w:space="0" w:color="auto"/>
              <w:right w:val="single" w:sz="4" w:space="0" w:color="auto"/>
            </w:tcBorders>
            <w:shd w:val="clear" w:color="auto" w:fill="auto"/>
            <w:noWrap/>
            <w:vAlign w:val="bottom"/>
            <w:hideMark/>
          </w:tcPr>
          <w:p w14:paraId="6D67FA4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94.78</w:t>
            </w:r>
          </w:p>
        </w:tc>
        <w:tc>
          <w:tcPr>
            <w:tcW w:w="1080" w:type="dxa"/>
            <w:tcBorders>
              <w:top w:val="nil"/>
              <w:left w:val="nil"/>
              <w:bottom w:val="single" w:sz="4" w:space="0" w:color="auto"/>
              <w:right w:val="single" w:sz="4" w:space="0" w:color="auto"/>
            </w:tcBorders>
            <w:shd w:val="clear" w:color="auto" w:fill="auto"/>
            <w:noWrap/>
            <w:vAlign w:val="bottom"/>
            <w:hideMark/>
          </w:tcPr>
          <w:p w14:paraId="48F9442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-0.30</w:t>
            </w:r>
          </w:p>
        </w:tc>
        <w:tc>
          <w:tcPr>
            <w:tcW w:w="1156" w:type="dxa"/>
            <w:tcBorders>
              <w:top w:val="nil"/>
              <w:left w:val="nil"/>
              <w:bottom w:val="single" w:sz="4" w:space="0" w:color="auto"/>
              <w:right w:val="single" w:sz="4" w:space="0" w:color="auto"/>
            </w:tcBorders>
            <w:shd w:val="clear" w:color="auto" w:fill="auto"/>
            <w:noWrap/>
            <w:vAlign w:val="bottom"/>
            <w:hideMark/>
          </w:tcPr>
          <w:p w14:paraId="1DB8FF7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94.86</w:t>
            </w:r>
          </w:p>
        </w:tc>
      </w:tr>
      <w:tr w:rsidR="00E52AC1" w:rsidRPr="00991DD7" w14:paraId="5B3E83AD" w14:textId="77777777" w:rsidTr="00E52AC1">
        <w:trPr>
          <w:trHeight w:val="611"/>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27B93E86"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Indemnizații pentru incapacitatea temporara de munca achitate din mijloacele financiare ale angajatorului</w:t>
            </w:r>
          </w:p>
        </w:tc>
        <w:tc>
          <w:tcPr>
            <w:tcW w:w="964" w:type="dxa"/>
            <w:tcBorders>
              <w:top w:val="nil"/>
              <w:left w:val="nil"/>
              <w:bottom w:val="single" w:sz="4" w:space="0" w:color="auto"/>
              <w:right w:val="single" w:sz="4" w:space="0" w:color="auto"/>
            </w:tcBorders>
            <w:shd w:val="clear" w:color="auto" w:fill="auto"/>
            <w:noWrap/>
            <w:vAlign w:val="bottom"/>
            <w:hideMark/>
          </w:tcPr>
          <w:p w14:paraId="08A068E9"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273500</w:t>
            </w:r>
          </w:p>
        </w:tc>
        <w:tc>
          <w:tcPr>
            <w:tcW w:w="1004" w:type="dxa"/>
            <w:tcBorders>
              <w:top w:val="nil"/>
              <w:left w:val="nil"/>
              <w:bottom w:val="single" w:sz="4" w:space="0" w:color="auto"/>
              <w:right w:val="single" w:sz="4" w:space="0" w:color="auto"/>
            </w:tcBorders>
            <w:shd w:val="clear" w:color="auto" w:fill="auto"/>
            <w:noWrap/>
            <w:vAlign w:val="bottom"/>
            <w:hideMark/>
          </w:tcPr>
          <w:p w14:paraId="0CE5580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2.70</w:t>
            </w:r>
          </w:p>
        </w:tc>
        <w:tc>
          <w:tcPr>
            <w:tcW w:w="900" w:type="dxa"/>
            <w:tcBorders>
              <w:top w:val="nil"/>
              <w:left w:val="nil"/>
              <w:bottom w:val="single" w:sz="4" w:space="0" w:color="auto"/>
              <w:right w:val="single" w:sz="4" w:space="0" w:color="auto"/>
            </w:tcBorders>
            <w:shd w:val="clear" w:color="auto" w:fill="auto"/>
            <w:noWrap/>
            <w:vAlign w:val="bottom"/>
            <w:hideMark/>
          </w:tcPr>
          <w:p w14:paraId="556F1D3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2.46</w:t>
            </w:r>
          </w:p>
        </w:tc>
        <w:tc>
          <w:tcPr>
            <w:tcW w:w="900" w:type="dxa"/>
            <w:tcBorders>
              <w:top w:val="nil"/>
              <w:left w:val="nil"/>
              <w:bottom w:val="single" w:sz="4" w:space="0" w:color="auto"/>
              <w:right w:val="single" w:sz="4" w:space="0" w:color="auto"/>
            </w:tcBorders>
            <w:shd w:val="clear" w:color="auto" w:fill="auto"/>
            <w:noWrap/>
            <w:vAlign w:val="bottom"/>
            <w:hideMark/>
          </w:tcPr>
          <w:p w14:paraId="22C1DAC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2.04</w:t>
            </w:r>
          </w:p>
        </w:tc>
        <w:tc>
          <w:tcPr>
            <w:tcW w:w="900" w:type="dxa"/>
            <w:tcBorders>
              <w:top w:val="nil"/>
              <w:left w:val="nil"/>
              <w:bottom w:val="single" w:sz="4" w:space="0" w:color="auto"/>
              <w:right w:val="single" w:sz="4" w:space="0" w:color="auto"/>
            </w:tcBorders>
            <w:shd w:val="clear" w:color="auto" w:fill="auto"/>
            <w:noWrap/>
            <w:vAlign w:val="bottom"/>
            <w:hideMark/>
          </w:tcPr>
          <w:p w14:paraId="01F28C1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2.03</w:t>
            </w:r>
          </w:p>
        </w:tc>
        <w:tc>
          <w:tcPr>
            <w:tcW w:w="948" w:type="dxa"/>
            <w:tcBorders>
              <w:top w:val="nil"/>
              <w:left w:val="nil"/>
              <w:bottom w:val="single" w:sz="4" w:space="0" w:color="auto"/>
              <w:right w:val="single" w:sz="4" w:space="0" w:color="auto"/>
            </w:tcBorders>
            <w:shd w:val="clear" w:color="auto" w:fill="auto"/>
            <w:noWrap/>
            <w:vAlign w:val="bottom"/>
            <w:hideMark/>
          </w:tcPr>
          <w:p w14:paraId="50F4FDA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0.05</w:t>
            </w:r>
          </w:p>
        </w:tc>
        <w:tc>
          <w:tcPr>
            <w:tcW w:w="1080" w:type="dxa"/>
            <w:tcBorders>
              <w:top w:val="nil"/>
              <w:left w:val="nil"/>
              <w:bottom w:val="single" w:sz="4" w:space="0" w:color="auto"/>
              <w:right w:val="single" w:sz="4" w:space="0" w:color="auto"/>
            </w:tcBorders>
            <w:shd w:val="clear" w:color="auto" w:fill="auto"/>
            <w:noWrap/>
            <w:vAlign w:val="bottom"/>
            <w:hideMark/>
          </w:tcPr>
          <w:p w14:paraId="61B3214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-0.24</w:t>
            </w:r>
          </w:p>
        </w:tc>
        <w:tc>
          <w:tcPr>
            <w:tcW w:w="990" w:type="dxa"/>
            <w:tcBorders>
              <w:top w:val="nil"/>
              <w:left w:val="nil"/>
              <w:bottom w:val="single" w:sz="4" w:space="0" w:color="auto"/>
              <w:right w:val="single" w:sz="4" w:space="0" w:color="auto"/>
            </w:tcBorders>
            <w:shd w:val="clear" w:color="auto" w:fill="auto"/>
            <w:noWrap/>
            <w:vAlign w:val="bottom"/>
            <w:hideMark/>
          </w:tcPr>
          <w:p w14:paraId="30112B3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-0.42</w:t>
            </w:r>
          </w:p>
        </w:tc>
        <w:tc>
          <w:tcPr>
            <w:tcW w:w="990" w:type="dxa"/>
            <w:tcBorders>
              <w:top w:val="nil"/>
              <w:left w:val="nil"/>
              <w:bottom w:val="single" w:sz="4" w:space="0" w:color="auto"/>
              <w:right w:val="single" w:sz="4" w:space="0" w:color="auto"/>
            </w:tcBorders>
            <w:shd w:val="clear" w:color="auto" w:fill="auto"/>
            <w:noWrap/>
            <w:vAlign w:val="bottom"/>
            <w:hideMark/>
          </w:tcPr>
          <w:p w14:paraId="1DB499B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82.86</w:t>
            </w:r>
          </w:p>
        </w:tc>
        <w:tc>
          <w:tcPr>
            <w:tcW w:w="1080" w:type="dxa"/>
            <w:tcBorders>
              <w:top w:val="nil"/>
              <w:left w:val="nil"/>
              <w:bottom w:val="single" w:sz="4" w:space="0" w:color="auto"/>
              <w:right w:val="single" w:sz="4" w:space="0" w:color="auto"/>
            </w:tcBorders>
            <w:shd w:val="clear" w:color="auto" w:fill="auto"/>
            <w:noWrap/>
            <w:vAlign w:val="bottom"/>
            <w:hideMark/>
          </w:tcPr>
          <w:p w14:paraId="3479605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-0.43</w:t>
            </w:r>
          </w:p>
        </w:tc>
        <w:tc>
          <w:tcPr>
            <w:tcW w:w="1156" w:type="dxa"/>
            <w:tcBorders>
              <w:top w:val="nil"/>
              <w:left w:val="nil"/>
              <w:bottom w:val="single" w:sz="4" w:space="0" w:color="auto"/>
              <w:right w:val="single" w:sz="4" w:space="0" w:color="auto"/>
            </w:tcBorders>
            <w:shd w:val="clear" w:color="auto" w:fill="auto"/>
            <w:noWrap/>
            <w:vAlign w:val="bottom"/>
            <w:hideMark/>
          </w:tcPr>
          <w:p w14:paraId="2F729EB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82.46</w:t>
            </w:r>
          </w:p>
        </w:tc>
      </w:tr>
      <w:tr w:rsidR="00E52AC1" w:rsidRPr="00991DD7" w14:paraId="7E9A027A" w14:textId="77777777" w:rsidTr="00E52AC1">
        <w:trPr>
          <w:trHeight w:val="116"/>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084E7777"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Alte prestații sociale ale angajatorilor</w:t>
            </w:r>
          </w:p>
        </w:tc>
        <w:tc>
          <w:tcPr>
            <w:tcW w:w="964" w:type="dxa"/>
            <w:tcBorders>
              <w:top w:val="nil"/>
              <w:left w:val="nil"/>
              <w:bottom w:val="single" w:sz="4" w:space="0" w:color="auto"/>
              <w:right w:val="single" w:sz="4" w:space="0" w:color="auto"/>
            </w:tcBorders>
            <w:shd w:val="clear" w:color="auto" w:fill="auto"/>
            <w:noWrap/>
            <w:vAlign w:val="bottom"/>
            <w:hideMark/>
          </w:tcPr>
          <w:p w14:paraId="4549CE1F"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273900</w:t>
            </w:r>
          </w:p>
        </w:tc>
        <w:tc>
          <w:tcPr>
            <w:tcW w:w="1004" w:type="dxa"/>
            <w:tcBorders>
              <w:top w:val="nil"/>
              <w:left w:val="nil"/>
              <w:bottom w:val="single" w:sz="4" w:space="0" w:color="auto"/>
              <w:right w:val="single" w:sz="4" w:space="0" w:color="auto"/>
            </w:tcBorders>
            <w:shd w:val="clear" w:color="auto" w:fill="auto"/>
            <w:noWrap/>
            <w:vAlign w:val="bottom"/>
            <w:hideMark/>
          </w:tcPr>
          <w:p w14:paraId="3B75567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1F8255C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2.55</w:t>
            </w:r>
          </w:p>
        </w:tc>
        <w:tc>
          <w:tcPr>
            <w:tcW w:w="900" w:type="dxa"/>
            <w:tcBorders>
              <w:top w:val="nil"/>
              <w:left w:val="nil"/>
              <w:bottom w:val="single" w:sz="4" w:space="0" w:color="auto"/>
              <w:right w:val="single" w:sz="4" w:space="0" w:color="auto"/>
            </w:tcBorders>
            <w:shd w:val="clear" w:color="auto" w:fill="auto"/>
            <w:noWrap/>
            <w:vAlign w:val="bottom"/>
            <w:hideMark/>
          </w:tcPr>
          <w:p w14:paraId="6622025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2.42</w:t>
            </w:r>
          </w:p>
        </w:tc>
        <w:tc>
          <w:tcPr>
            <w:tcW w:w="900" w:type="dxa"/>
            <w:tcBorders>
              <w:top w:val="nil"/>
              <w:left w:val="nil"/>
              <w:bottom w:val="single" w:sz="4" w:space="0" w:color="auto"/>
              <w:right w:val="single" w:sz="4" w:space="0" w:color="auto"/>
            </w:tcBorders>
            <w:shd w:val="clear" w:color="auto" w:fill="auto"/>
            <w:noWrap/>
            <w:vAlign w:val="bottom"/>
            <w:hideMark/>
          </w:tcPr>
          <w:p w14:paraId="41BFD8C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2.42</w:t>
            </w:r>
          </w:p>
        </w:tc>
        <w:tc>
          <w:tcPr>
            <w:tcW w:w="948" w:type="dxa"/>
            <w:tcBorders>
              <w:top w:val="nil"/>
              <w:left w:val="nil"/>
              <w:bottom w:val="single" w:sz="4" w:space="0" w:color="auto"/>
              <w:right w:val="single" w:sz="4" w:space="0" w:color="auto"/>
            </w:tcBorders>
            <w:shd w:val="clear" w:color="auto" w:fill="auto"/>
            <w:noWrap/>
            <w:vAlign w:val="bottom"/>
            <w:hideMark/>
          </w:tcPr>
          <w:p w14:paraId="77EB639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1C578A6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2.55</w:t>
            </w:r>
          </w:p>
        </w:tc>
        <w:tc>
          <w:tcPr>
            <w:tcW w:w="990" w:type="dxa"/>
            <w:tcBorders>
              <w:top w:val="nil"/>
              <w:left w:val="nil"/>
              <w:bottom w:val="single" w:sz="4" w:space="0" w:color="auto"/>
              <w:right w:val="single" w:sz="4" w:space="0" w:color="auto"/>
            </w:tcBorders>
            <w:shd w:val="clear" w:color="auto" w:fill="auto"/>
            <w:noWrap/>
            <w:vAlign w:val="bottom"/>
            <w:hideMark/>
          </w:tcPr>
          <w:p w14:paraId="6564FA9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-0.13</w:t>
            </w:r>
          </w:p>
        </w:tc>
        <w:tc>
          <w:tcPr>
            <w:tcW w:w="990" w:type="dxa"/>
            <w:tcBorders>
              <w:top w:val="nil"/>
              <w:left w:val="nil"/>
              <w:bottom w:val="single" w:sz="4" w:space="0" w:color="auto"/>
              <w:right w:val="single" w:sz="4" w:space="0" w:color="auto"/>
            </w:tcBorders>
            <w:shd w:val="clear" w:color="auto" w:fill="auto"/>
            <w:noWrap/>
            <w:vAlign w:val="bottom"/>
            <w:hideMark/>
          </w:tcPr>
          <w:p w14:paraId="6DED572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94.74</w:t>
            </w:r>
          </w:p>
        </w:tc>
        <w:tc>
          <w:tcPr>
            <w:tcW w:w="1080" w:type="dxa"/>
            <w:tcBorders>
              <w:top w:val="nil"/>
              <w:left w:val="nil"/>
              <w:bottom w:val="single" w:sz="4" w:space="0" w:color="auto"/>
              <w:right w:val="single" w:sz="4" w:space="0" w:color="auto"/>
            </w:tcBorders>
            <w:shd w:val="clear" w:color="auto" w:fill="auto"/>
            <w:noWrap/>
            <w:vAlign w:val="bottom"/>
            <w:hideMark/>
          </w:tcPr>
          <w:p w14:paraId="4535622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-0.13</w:t>
            </w:r>
          </w:p>
        </w:tc>
        <w:tc>
          <w:tcPr>
            <w:tcW w:w="1156" w:type="dxa"/>
            <w:tcBorders>
              <w:top w:val="nil"/>
              <w:left w:val="nil"/>
              <w:bottom w:val="single" w:sz="4" w:space="0" w:color="auto"/>
              <w:right w:val="single" w:sz="4" w:space="0" w:color="auto"/>
            </w:tcBorders>
            <w:shd w:val="clear" w:color="auto" w:fill="auto"/>
            <w:noWrap/>
            <w:vAlign w:val="bottom"/>
            <w:hideMark/>
          </w:tcPr>
          <w:p w14:paraId="2C02B30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95.00</w:t>
            </w:r>
          </w:p>
        </w:tc>
      </w:tr>
      <w:tr w:rsidR="00E52AC1" w:rsidRPr="00991DD7" w14:paraId="38E4E56D" w14:textId="77777777" w:rsidTr="00E52AC1">
        <w:trPr>
          <w:trHeight w:val="161"/>
        </w:trPr>
        <w:tc>
          <w:tcPr>
            <w:tcW w:w="4140" w:type="dxa"/>
            <w:tcBorders>
              <w:top w:val="nil"/>
              <w:left w:val="single" w:sz="4" w:space="0" w:color="auto"/>
              <w:bottom w:val="single" w:sz="4" w:space="0" w:color="auto"/>
              <w:right w:val="single" w:sz="4" w:space="0" w:color="auto"/>
            </w:tcBorders>
            <w:shd w:val="clear" w:color="auto" w:fill="D9E2F3" w:themeFill="accent5" w:themeFillTint="33"/>
            <w:vAlign w:val="bottom"/>
            <w:hideMark/>
          </w:tcPr>
          <w:p w14:paraId="755E0FB5"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D9E2F3" w:themeFill="accent5" w:themeFillTint="33"/>
            <w:noWrap/>
            <w:vAlign w:val="bottom"/>
            <w:hideMark/>
          </w:tcPr>
          <w:p w14:paraId="348D89AB" w14:textId="77777777" w:rsidR="00E52AC1" w:rsidRPr="004F2D67" w:rsidRDefault="00E52AC1" w:rsidP="00E52AC1">
            <w:pPr>
              <w:spacing w:after="0" w:line="240" w:lineRule="auto"/>
              <w:jc w:val="both"/>
              <w:rPr>
                <w:rFonts w:asciiTheme="majorHAnsi" w:eastAsia="Times New Roman" w:hAnsiTheme="majorHAnsi" w:cstheme="majorHAnsi"/>
                <w:b/>
                <w:i/>
                <w:iCs/>
                <w:color w:val="000000"/>
                <w:sz w:val="18"/>
                <w:szCs w:val="18"/>
              </w:rPr>
            </w:pPr>
            <w:r w:rsidRPr="004F2D67">
              <w:rPr>
                <w:rFonts w:asciiTheme="majorHAnsi" w:eastAsia="Times New Roman" w:hAnsiTheme="majorHAnsi" w:cstheme="majorHAnsi"/>
                <w:b/>
                <w:i/>
                <w:iCs/>
                <w:color w:val="000000"/>
                <w:sz w:val="18"/>
                <w:szCs w:val="18"/>
              </w:rPr>
              <w:t>281</w:t>
            </w:r>
          </w:p>
        </w:tc>
        <w:tc>
          <w:tcPr>
            <w:tcW w:w="1004" w:type="dxa"/>
            <w:tcBorders>
              <w:top w:val="nil"/>
              <w:left w:val="nil"/>
              <w:bottom w:val="single" w:sz="4" w:space="0" w:color="auto"/>
              <w:right w:val="single" w:sz="4" w:space="0" w:color="auto"/>
            </w:tcBorders>
            <w:shd w:val="clear" w:color="auto" w:fill="D9E2F3" w:themeFill="accent5" w:themeFillTint="33"/>
            <w:noWrap/>
            <w:vAlign w:val="bottom"/>
            <w:hideMark/>
          </w:tcPr>
          <w:p w14:paraId="34E722CA" w14:textId="77777777" w:rsidR="00E52AC1" w:rsidRPr="004F2D67" w:rsidRDefault="00E52AC1" w:rsidP="00E52AC1">
            <w:pPr>
              <w:spacing w:after="0" w:line="240" w:lineRule="auto"/>
              <w:jc w:val="center"/>
              <w:rPr>
                <w:rFonts w:asciiTheme="majorHAnsi" w:eastAsia="Times New Roman" w:hAnsiTheme="majorHAnsi" w:cstheme="majorHAnsi"/>
                <w:b/>
                <w:color w:val="000000"/>
                <w:sz w:val="18"/>
                <w:szCs w:val="18"/>
              </w:rPr>
            </w:pPr>
            <w:r w:rsidRPr="004F2D67">
              <w:rPr>
                <w:rFonts w:asciiTheme="majorHAnsi" w:eastAsia="Times New Roman" w:hAnsiTheme="majorHAnsi" w:cstheme="majorHAnsi"/>
                <w:b/>
                <w:color w:val="000000"/>
                <w:sz w:val="18"/>
                <w:szCs w:val="18"/>
              </w:rPr>
              <w:t>219.27</w:t>
            </w:r>
          </w:p>
        </w:tc>
        <w:tc>
          <w:tcPr>
            <w:tcW w:w="900" w:type="dxa"/>
            <w:tcBorders>
              <w:top w:val="nil"/>
              <w:left w:val="nil"/>
              <w:bottom w:val="single" w:sz="4" w:space="0" w:color="auto"/>
              <w:right w:val="single" w:sz="4" w:space="0" w:color="auto"/>
            </w:tcBorders>
            <w:shd w:val="clear" w:color="auto" w:fill="D9E2F3" w:themeFill="accent5" w:themeFillTint="33"/>
            <w:noWrap/>
            <w:vAlign w:val="bottom"/>
            <w:hideMark/>
          </w:tcPr>
          <w:p w14:paraId="222E65AB" w14:textId="77777777" w:rsidR="00E52AC1" w:rsidRPr="004F2D67" w:rsidRDefault="00E52AC1" w:rsidP="00E52AC1">
            <w:pPr>
              <w:spacing w:after="0" w:line="240" w:lineRule="auto"/>
              <w:jc w:val="center"/>
              <w:rPr>
                <w:rFonts w:asciiTheme="majorHAnsi" w:eastAsia="Times New Roman" w:hAnsiTheme="majorHAnsi" w:cstheme="majorHAnsi"/>
                <w:b/>
                <w:color w:val="000000"/>
                <w:sz w:val="18"/>
                <w:szCs w:val="18"/>
              </w:rPr>
            </w:pPr>
            <w:r w:rsidRPr="004F2D67">
              <w:rPr>
                <w:rFonts w:asciiTheme="majorHAnsi" w:eastAsia="Times New Roman" w:hAnsiTheme="majorHAnsi" w:cstheme="majorHAnsi"/>
                <w:b/>
                <w:color w:val="000000"/>
                <w:sz w:val="18"/>
                <w:szCs w:val="18"/>
              </w:rPr>
              <w:t>224.11</w:t>
            </w:r>
          </w:p>
        </w:tc>
        <w:tc>
          <w:tcPr>
            <w:tcW w:w="900" w:type="dxa"/>
            <w:tcBorders>
              <w:top w:val="nil"/>
              <w:left w:val="nil"/>
              <w:bottom w:val="single" w:sz="4" w:space="0" w:color="auto"/>
              <w:right w:val="single" w:sz="4" w:space="0" w:color="auto"/>
            </w:tcBorders>
            <w:shd w:val="clear" w:color="auto" w:fill="D9E2F3" w:themeFill="accent5" w:themeFillTint="33"/>
            <w:noWrap/>
            <w:vAlign w:val="bottom"/>
            <w:hideMark/>
          </w:tcPr>
          <w:p w14:paraId="68FF1321" w14:textId="77777777" w:rsidR="00E52AC1" w:rsidRPr="004F2D67" w:rsidRDefault="00E52AC1" w:rsidP="00E52AC1">
            <w:pPr>
              <w:spacing w:after="0" w:line="240" w:lineRule="auto"/>
              <w:jc w:val="center"/>
              <w:rPr>
                <w:rFonts w:asciiTheme="majorHAnsi" w:eastAsia="Times New Roman" w:hAnsiTheme="majorHAnsi" w:cstheme="majorHAnsi"/>
                <w:b/>
                <w:color w:val="000000"/>
                <w:sz w:val="18"/>
                <w:szCs w:val="18"/>
              </w:rPr>
            </w:pPr>
            <w:r w:rsidRPr="004F2D67">
              <w:rPr>
                <w:rFonts w:asciiTheme="majorHAnsi" w:eastAsia="Times New Roman" w:hAnsiTheme="majorHAnsi" w:cstheme="majorHAnsi"/>
                <w:b/>
                <w:color w:val="000000"/>
                <w:sz w:val="18"/>
                <w:szCs w:val="18"/>
              </w:rPr>
              <w:t>167.23</w:t>
            </w:r>
          </w:p>
        </w:tc>
        <w:tc>
          <w:tcPr>
            <w:tcW w:w="900" w:type="dxa"/>
            <w:tcBorders>
              <w:top w:val="nil"/>
              <w:left w:val="nil"/>
              <w:bottom w:val="single" w:sz="4" w:space="0" w:color="auto"/>
              <w:right w:val="single" w:sz="4" w:space="0" w:color="auto"/>
            </w:tcBorders>
            <w:shd w:val="clear" w:color="auto" w:fill="D9E2F3" w:themeFill="accent5" w:themeFillTint="33"/>
            <w:noWrap/>
            <w:vAlign w:val="bottom"/>
            <w:hideMark/>
          </w:tcPr>
          <w:p w14:paraId="1C8DDA2B" w14:textId="77777777" w:rsidR="00E52AC1" w:rsidRPr="004F2D67" w:rsidRDefault="00E52AC1" w:rsidP="00E52AC1">
            <w:pPr>
              <w:spacing w:after="0" w:line="240" w:lineRule="auto"/>
              <w:jc w:val="center"/>
              <w:rPr>
                <w:rFonts w:asciiTheme="majorHAnsi" w:eastAsia="Times New Roman" w:hAnsiTheme="majorHAnsi" w:cstheme="majorHAnsi"/>
                <w:b/>
                <w:color w:val="000000"/>
                <w:sz w:val="18"/>
                <w:szCs w:val="18"/>
              </w:rPr>
            </w:pPr>
            <w:r w:rsidRPr="004F2D67">
              <w:rPr>
                <w:rFonts w:asciiTheme="majorHAnsi" w:eastAsia="Times New Roman" w:hAnsiTheme="majorHAnsi" w:cstheme="majorHAnsi"/>
                <w:b/>
                <w:color w:val="000000"/>
                <w:sz w:val="18"/>
                <w:szCs w:val="18"/>
              </w:rPr>
              <w:t>167.44</w:t>
            </w:r>
          </w:p>
        </w:tc>
        <w:tc>
          <w:tcPr>
            <w:tcW w:w="948" w:type="dxa"/>
            <w:tcBorders>
              <w:top w:val="nil"/>
              <w:left w:val="nil"/>
              <w:bottom w:val="single" w:sz="4" w:space="0" w:color="auto"/>
              <w:right w:val="single" w:sz="4" w:space="0" w:color="auto"/>
            </w:tcBorders>
            <w:shd w:val="clear" w:color="auto" w:fill="D9E2F3" w:themeFill="accent5" w:themeFillTint="33"/>
            <w:noWrap/>
            <w:vAlign w:val="bottom"/>
            <w:hideMark/>
          </w:tcPr>
          <w:p w14:paraId="08F75CCC" w14:textId="77777777" w:rsidR="00E52AC1" w:rsidRPr="004F2D67" w:rsidRDefault="00E52AC1" w:rsidP="00E52AC1">
            <w:pPr>
              <w:spacing w:after="0" w:line="240" w:lineRule="auto"/>
              <w:jc w:val="center"/>
              <w:rPr>
                <w:rFonts w:asciiTheme="majorHAnsi" w:eastAsia="Times New Roman" w:hAnsiTheme="majorHAnsi" w:cstheme="majorHAnsi"/>
                <w:b/>
                <w:color w:val="000000"/>
                <w:sz w:val="18"/>
                <w:szCs w:val="18"/>
              </w:rPr>
            </w:pPr>
            <w:r w:rsidRPr="004F2D67">
              <w:rPr>
                <w:rFonts w:asciiTheme="majorHAnsi" w:eastAsia="Times New Roman" w:hAnsiTheme="majorHAnsi" w:cstheme="majorHAnsi"/>
                <w:b/>
                <w:color w:val="000000"/>
                <w:sz w:val="18"/>
                <w:szCs w:val="18"/>
              </w:rPr>
              <w:t>0.11</w:t>
            </w:r>
          </w:p>
        </w:tc>
        <w:tc>
          <w:tcPr>
            <w:tcW w:w="1080" w:type="dxa"/>
            <w:tcBorders>
              <w:top w:val="nil"/>
              <w:left w:val="nil"/>
              <w:bottom w:val="single" w:sz="4" w:space="0" w:color="auto"/>
              <w:right w:val="single" w:sz="4" w:space="0" w:color="auto"/>
            </w:tcBorders>
            <w:shd w:val="clear" w:color="auto" w:fill="D9E2F3" w:themeFill="accent5" w:themeFillTint="33"/>
            <w:noWrap/>
            <w:vAlign w:val="bottom"/>
            <w:hideMark/>
          </w:tcPr>
          <w:p w14:paraId="14AFA1EE" w14:textId="77777777" w:rsidR="00E52AC1" w:rsidRPr="004F2D67" w:rsidRDefault="00E52AC1" w:rsidP="00E52AC1">
            <w:pPr>
              <w:spacing w:after="0" w:line="240" w:lineRule="auto"/>
              <w:jc w:val="center"/>
              <w:rPr>
                <w:rFonts w:asciiTheme="majorHAnsi" w:eastAsia="Times New Roman" w:hAnsiTheme="majorHAnsi" w:cstheme="majorHAnsi"/>
                <w:b/>
                <w:color w:val="000000"/>
                <w:sz w:val="18"/>
                <w:szCs w:val="18"/>
              </w:rPr>
            </w:pPr>
            <w:r w:rsidRPr="004F2D67">
              <w:rPr>
                <w:rFonts w:asciiTheme="majorHAnsi" w:eastAsia="Times New Roman" w:hAnsiTheme="majorHAnsi" w:cstheme="majorHAnsi"/>
                <w:b/>
                <w:color w:val="000000"/>
                <w:sz w:val="18"/>
                <w:szCs w:val="18"/>
              </w:rPr>
              <w:t>4.83</w:t>
            </w:r>
          </w:p>
        </w:tc>
        <w:tc>
          <w:tcPr>
            <w:tcW w:w="990" w:type="dxa"/>
            <w:tcBorders>
              <w:top w:val="nil"/>
              <w:left w:val="nil"/>
              <w:bottom w:val="single" w:sz="4" w:space="0" w:color="auto"/>
              <w:right w:val="single" w:sz="4" w:space="0" w:color="auto"/>
            </w:tcBorders>
            <w:shd w:val="clear" w:color="auto" w:fill="D9E2F3" w:themeFill="accent5" w:themeFillTint="33"/>
            <w:noWrap/>
            <w:vAlign w:val="bottom"/>
            <w:hideMark/>
          </w:tcPr>
          <w:p w14:paraId="30E3D432" w14:textId="77777777" w:rsidR="00E52AC1" w:rsidRPr="004F2D67" w:rsidRDefault="00E52AC1" w:rsidP="00E52AC1">
            <w:pPr>
              <w:spacing w:after="0" w:line="240" w:lineRule="auto"/>
              <w:jc w:val="center"/>
              <w:rPr>
                <w:rFonts w:asciiTheme="majorHAnsi" w:eastAsia="Times New Roman" w:hAnsiTheme="majorHAnsi" w:cstheme="majorHAnsi"/>
                <w:b/>
                <w:color w:val="000000"/>
                <w:sz w:val="18"/>
                <w:szCs w:val="18"/>
              </w:rPr>
            </w:pPr>
            <w:r w:rsidRPr="004F2D67">
              <w:rPr>
                <w:rFonts w:asciiTheme="majorHAnsi" w:eastAsia="Times New Roman" w:hAnsiTheme="majorHAnsi" w:cstheme="majorHAnsi"/>
                <w:b/>
                <w:color w:val="000000"/>
                <w:sz w:val="18"/>
                <w:szCs w:val="18"/>
              </w:rPr>
              <w:t>-56.88</w:t>
            </w:r>
          </w:p>
        </w:tc>
        <w:tc>
          <w:tcPr>
            <w:tcW w:w="990" w:type="dxa"/>
            <w:tcBorders>
              <w:top w:val="nil"/>
              <w:left w:val="nil"/>
              <w:bottom w:val="single" w:sz="4" w:space="0" w:color="auto"/>
              <w:right w:val="single" w:sz="4" w:space="0" w:color="auto"/>
            </w:tcBorders>
            <w:shd w:val="clear" w:color="auto" w:fill="D9E2F3" w:themeFill="accent5" w:themeFillTint="33"/>
            <w:noWrap/>
            <w:vAlign w:val="bottom"/>
            <w:hideMark/>
          </w:tcPr>
          <w:p w14:paraId="2F504680" w14:textId="77777777" w:rsidR="00E52AC1" w:rsidRPr="004F2D67" w:rsidRDefault="00E52AC1" w:rsidP="00E52AC1">
            <w:pPr>
              <w:spacing w:after="0" w:line="240" w:lineRule="auto"/>
              <w:jc w:val="center"/>
              <w:rPr>
                <w:rFonts w:asciiTheme="majorHAnsi" w:eastAsia="Times New Roman" w:hAnsiTheme="majorHAnsi" w:cstheme="majorHAnsi"/>
                <w:b/>
                <w:color w:val="000000"/>
                <w:sz w:val="18"/>
                <w:szCs w:val="18"/>
              </w:rPr>
            </w:pPr>
            <w:r w:rsidRPr="004F2D67">
              <w:rPr>
                <w:rFonts w:asciiTheme="majorHAnsi" w:eastAsia="Times New Roman" w:hAnsiTheme="majorHAnsi" w:cstheme="majorHAnsi"/>
                <w:b/>
                <w:color w:val="000000"/>
                <w:sz w:val="18"/>
                <w:szCs w:val="18"/>
              </w:rPr>
              <w:t>74.62</w:t>
            </w:r>
          </w:p>
        </w:tc>
        <w:tc>
          <w:tcPr>
            <w:tcW w:w="1080" w:type="dxa"/>
            <w:tcBorders>
              <w:top w:val="nil"/>
              <w:left w:val="nil"/>
              <w:bottom w:val="single" w:sz="4" w:space="0" w:color="auto"/>
              <w:right w:val="single" w:sz="4" w:space="0" w:color="auto"/>
            </w:tcBorders>
            <w:shd w:val="clear" w:color="auto" w:fill="D9E2F3" w:themeFill="accent5" w:themeFillTint="33"/>
            <w:noWrap/>
            <w:vAlign w:val="bottom"/>
            <w:hideMark/>
          </w:tcPr>
          <w:p w14:paraId="35AD6927" w14:textId="77777777" w:rsidR="00E52AC1" w:rsidRPr="004F2D67" w:rsidRDefault="00E52AC1" w:rsidP="00E52AC1">
            <w:pPr>
              <w:spacing w:after="0" w:line="240" w:lineRule="auto"/>
              <w:jc w:val="center"/>
              <w:rPr>
                <w:rFonts w:asciiTheme="majorHAnsi" w:eastAsia="Times New Roman" w:hAnsiTheme="majorHAnsi" w:cstheme="majorHAnsi"/>
                <w:b/>
                <w:color w:val="000000"/>
                <w:sz w:val="18"/>
                <w:szCs w:val="18"/>
              </w:rPr>
            </w:pPr>
            <w:r w:rsidRPr="004F2D67">
              <w:rPr>
                <w:rFonts w:asciiTheme="majorHAnsi" w:eastAsia="Times New Roman" w:hAnsiTheme="majorHAnsi" w:cstheme="majorHAnsi"/>
                <w:b/>
                <w:color w:val="000000"/>
                <w:sz w:val="18"/>
                <w:szCs w:val="18"/>
              </w:rPr>
              <w:t>-56.67</w:t>
            </w:r>
          </w:p>
        </w:tc>
        <w:tc>
          <w:tcPr>
            <w:tcW w:w="1156" w:type="dxa"/>
            <w:tcBorders>
              <w:top w:val="nil"/>
              <w:left w:val="nil"/>
              <w:bottom w:val="single" w:sz="4" w:space="0" w:color="auto"/>
              <w:right w:val="single" w:sz="4" w:space="0" w:color="auto"/>
            </w:tcBorders>
            <w:shd w:val="clear" w:color="auto" w:fill="D9E2F3" w:themeFill="accent5" w:themeFillTint="33"/>
            <w:noWrap/>
            <w:vAlign w:val="bottom"/>
            <w:hideMark/>
          </w:tcPr>
          <w:p w14:paraId="58A7D00A" w14:textId="77777777" w:rsidR="00E52AC1" w:rsidRPr="004F2D67" w:rsidRDefault="00E52AC1" w:rsidP="00E52AC1">
            <w:pPr>
              <w:spacing w:after="0" w:line="240" w:lineRule="auto"/>
              <w:jc w:val="center"/>
              <w:rPr>
                <w:rFonts w:asciiTheme="majorHAnsi" w:eastAsia="Times New Roman" w:hAnsiTheme="majorHAnsi" w:cstheme="majorHAnsi"/>
                <w:b/>
                <w:color w:val="000000"/>
                <w:sz w:val="18"/>
                <w:szCs w:val="18"/>
              </w:rPr>
            </w:pPr>
            <w:r w:rsidRPr="004F2D67">
              <w:rPr>
                <w:rFonts w:asciiTheme="majorHAnsi" w:eastAsia="Times New Roman" w:hAnsiTheme="majorHAnsi" w:cstheme="majorHAnsi"/>
                <w:b/>
                <w:color w:val="000000"/>
                <w:sz w:val="18"/>
                <w:szCs w:val="18"/>
              </w:rPr>
              <w:t>74.71</w:t>
            </w:r>
          </w:p>
        </w:tc>
      </w:tr>
      <w:tr w:rsidR="00E52AC1" w:rsidRPr="00991DD7" w14:paraId="59FD71A4" w14:textId="77777777" w:rsidTr="00E52AC1">
        <w:trPr>
          <w:trHeight w:val="126"/>
        </w:trPr>
        <w:tc>
          <w:tcPr>
            <w:tcW w:w="4140" w:type="dxa"/>
            <w:tcBorders>
              <w:top w:val="nil"/>
              <w:left w:val="single" w:sz="4" w:space="0" w:color="auto"/>
              <w:bottom w:val="single" w:sz="4" w:space="0" w:color="auto"/>
              <w:right w:val="single" w:sz="4" w:space="0" w:color="auto"/>
            </w:tcBorders>
            <w:shd w:val="clear" w:color="auto" w:fill="auto"/>
            <w:vAlign w:val="bottom"/>
          </w:tcPr>
          <w:p w14:paraId="40425F9D"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0A6282">
              <w:rPr>
                <w:rFonts w:asciiTheme="majorHAnsi" w:eastAsia="Times New Roman" w:hAnsiTheme="majorHAnsi" w:cstheme="majorHAnsi"/>
                <w:b/>
                <w:bCs/>
                <w:color w:val="000000"/>
                <w:sz w:val="18"/>
                <w:szCs w:val="18"/>
              </w:rPr>
              <w:t>Cotizații</w:t>
            </w:r>
            <w:r>
              <w:rPr>
                <w:rFonts w:asciiTheme="majorHAnsi" w:eastAsia="Times New Roman" w:hAnsiTheme="majorHAnsi" w:cstheme="majorHAnsi"/>
                <w:b/>
                <w:bCs/>
                <w:color w:val="000000"/>
                <w:sz w:val="18"/>
                <w:szCs w:val="18"/>
              </w:rPr>
              <w:t xml:space="preserve"> î</w:t>
            </w:r>
            <w:r w:rsidRPr="000A6282">
              <w:rPr>
                <w:rFonts w:asciiTheme="majorHAnsi" w:eastAsia="Times New Roman" w:hAnsiTheme="majorHAnsi" w:cstheme="majorHAnsi"/>
                <w:b/>
                <w:bCs/>
                <w:color w:val="000000"/>
                <w:sz w:val="18"/>
                <w:szCs w:val="18"/>
              </w:rPr>
              <w:t>n organizațiile internaționale</w:t>
            </w:r>
          </w:p>
        </w:tc>
        <w:tc>
          <w:tcPr>
            <w:tcW w:w="964" w:type="dxa"/>
            <w:tcBorders>
              <w:top w:val="nil"/>
              <w:left w:val="nil"/>
              <w:bottom w:val="single" w:sz="4" w:space="0" w:color="auto"/>
              <w:right w:val="single" w:sz="4" w:space="0" w:color="auto"/>
            </w:tcBorders>
            <w:shd w:val="clear" w:color="auto" w:fill="auto"/>
            <w:noWrap/>
            <w:vAlign w:val="bottom"/>
          </w:tcPr>
          <w:p w14:paraId="4D5ADBC8"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281110</w:t>
            </w:r>
          </w:p>
        </w:tc>
        <w:tc>
          <w:tcPr>
            <w:tcW w:w="1004" w:type="dxa"/>
            <w:tcBorders>
              <w:top w:val="nil"/>
              <w:left w:val="nil"/>
              <w:bottom w:val="single" w:sz="4" w:space="0" w:color="auto"/>
              <w:right w:val="single" w:sz="4" w:space="0" w:color="auto"/>
            </w:tcBorders>
            <w:shd w:val="clear" w:color="auto" w:fill="auto"/>
            <w:noWrap/>
            <w:vAlign w:val="bottom"/>
          </w:tcPr>
          <w:p w14:paraId="31AE680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0AD92B9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0.07</w:t>
            </w:r>
          </w:p>
        </w:tc>
        <w:tc>
          <w:tcPr>
            <w:tcW w:w="900" w:type="dxa"/>
            <w:tcBorders>
              <w:top w:val="nil"/>
              <w:left w:val="nil"/>
              <w:bottom w:val="single" w:sz="4" w:space="0" w:color="auto"/>
              <w:right w:val="single" w:sz="4" w:space="0" w:color="auto"/>
            </w:tcBorders>
            <w:shd w:val="clear" w:color="auto" w:fill="auto"/>
            <w:noWrap/>
            <w:vAlign w:val="bottom"/>
          </w:tcPr>
          <w:p w14:paraId="4868D91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795C9CB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tcPr>
          <w:p w14:paraId="70F5317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0978389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0.07</w:t>
            </w:r>
          </w:p>
        </w:tc>
        <w:tc>
          <w:tcPr>
            <w:tcW w:w="990" w:type="dxa"/>
            <w:tcBorders>
              <w:top w:val="nil"/>
              <w:left w:val="nil"/>
              <w:bottom w:val="single" w:sz="4" w:space="0" w:color="auto"/>
              <w:right w:val="single" w:sz="4" w:space="0" w:color="auto"/>
            </w:tcBorders>
            <w:shd w:val="clear" w:color="auto" w:fill="auto"/>
            <w:noWrap/>
            <w:vAlign w:val="bottom"/>
          </w:tcPr>
          <w:p w14:paraId="641FCAE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-0.07</w:t>
            </w:r>
          </w:p>
        </w:tc>
        <w:tc>
          <w:tcPr>
            <w:tcW w:w="990" w:type="dxa"/>
            <w:tcBorders>
              <w:top w:val="nil"/>
              <w:left w:val="nil"/>
              <w:bottom w:val="single" w:sz="4" w:space="0" w:color="auto"/>
              <w:right w:val="single" w:sz="4" w:space="0" w:color="auto"/>
            </w:tcBorders>
            <w:shd w:val="clear" w:color="auto" w:fill="auto"/>
            <w:noWrap/>
            <w:vAlign w:val="bottom"/>
          </w:tcPr>
          <w:p w14:paraId="32B7D5C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5191600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-0.07</w:t>
            </w:r>
          </w:p>
        </w:tc>
        <w:tc>
          <w:tcPr>
            <w:tcW w:w="1156" w:type="dxa"/>
            <w:tcBorders>
              <w:top w:val="nil"/>
              <w:left w:val="nil"/>
              <w:bottom w:val="single" w:sz="4" w:space="0" w:color="auto"/>
              <w:right w:val="single" w:sz="4" w:space="0" w:color="auto"/>
            </w:tcBorders>
            <w:shd w:val="clear" w:color="auto" w:fill="auto"/>
            <w:noWrap/>
            <w:vAlign w:val="bottom"/>
          </w:tcPr>
          <w:p w14:paraId="511CD3F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499818B6" w14:textId="77777777" w:rsidTr="00E52AC1">
        <w:trPr>
          <w:trHeight w:val="186"/>
        </w:trPr>
        <w:tc>
          <w:tcPr>
            <w:tcW w:w="4140" w:type="dxa"/>
            <w:tcBorders>
              <w:top w:val="nil"/>
              <w:left w:val="single" w:sz="4" w:space="0" w:color="auto"/>
              <w:bottom w:val="single" w:sz="4" w:space="0" w:color="auto"/>
              <w:right w:val="single" w:sz="4" w:space="0" w:color="auto"/>
            </w:tcBorders>
            <w:shd w:val="clear" w:color="auto" w:fill="auto"/>
            <w:vAlign w:val="bottom"/>
          </w:tcPr>
          <w:p w14:paraId="6AFD8D86"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0A6282">
              <w:rPr>
                <w:rFonts w:asciiTheme="majorHAnsi" w:eastAsia="Times New Roman" w:hAnsiTheme="majorHAnsi" w:cstheme="majorHAnsi"/>
                <w:b/>
                <w:bCs/>
                <w:color w:val="000000"/>
                <w:sz w:val="18"/>
                <w:szCs w:val="18"/>
              </w:rPr>
              <w:t>Bursa de studii studenților autohtoni</w:t>
            </w:r>
          </w:p>
        </w:tc>
        <w:tc>
          <w:tcPr>
            <w:tcW w:w="964" w:type="dxa"/>
            <w:tcBorders>
              <w:top w:val="nil"/>
              <w:left w:val="nil"/>
              <w:bottom w:val="single" w:sz="4" w:space="0" w:color="auto"/>
              <w:right w:val="single" w:sz="4" w:space="0" w:color="auto"/>
            </w:tcBorders>
            <w:shd w:val="clear" w:color="auto" w:fill="auto"/>
            <w:noWrap/>
            <w:vAlign w:val="bottom"/>
          </w:tcPr>
          <w:p w14:paraId="1C2B2B91"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281211</w:t>
            </w:r>
          </w:p>
        </w:tc>
        <w:tc>
          <w:tcPr>
            <w:tcW w:w="1004" w:type="dxa"/>
            <w:tcBorders>
              <w:top w:val="nil"/>
              <w:left w:val="nil"/>
              <w:bottom w:val="single" w:sz="4" w:space="0" w:color="auto"/>
              <w:right w:val="single" w:sz="4" w:space="0" w:color="auto"/>
            </w:tcBorders>
            <w:shd w:val="clear" w:color="auto" w:fill="auto"/>
            <w:noWrap/>
            <w:vAlign w:val="bottom"/>
          </w:tcPr>
          <w:p w14:paraId="3F33241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2.39</w:t>
            </w:r>
          </w:p>
        </w:tc>
        <w:tc>
          <w:tcPr>
            <w:tcW w:w="900" w:type="dxa"/>
            <w:tcBorders>
              <w:top w:val="nil"/>
              <w:left w:val="nil"/>
              <w:bottom w:val="single" w:sz="4" w:space="0" w:color="auto"/>
              <w:right w:val="single" w:sz="4" w:space="0" w:color="auto"/>
            </w:tcBorders>
            <w:shd w:val="clear" w:color="auto" w:fill="auto"/>
            <w:noWrap/>
            <w:vAlign w:val="bottom"/>
          </w:tcPr>
          <w:p w14:paraId="27FBFB4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1.90</w:t>
            </w:r>
          </w:p>
        </w:tc>
        <w:tc>
          <w:tcPr>
            <w:tcW w:w="900" w:type="dxa"/>
            <w:tcBorders>
              <w:top w:val="nil"/>
              <w:left w:val="nil"/>
              <w:bottom w:val="single" w:sz="4" w:space="0" w:color="auto"/>
              <w:right w:val="single" w:sz="4" w:space="0" w:color="auto"/>
            </w:tcBorders>
            <w:shd w:val="clear" w:color="auto" w:fill="auto"/>
            <w:noWrap/>
            <w:vAlign w:val="bottom"/>
          </w:tcPr>
          <w:p w14:paraId="08E33E0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1.79</w:t>
            </w:r>
          </w:p>
        </w:tc>
        <w:tc>
          <w:tcPr>
            <w:tcW w:w="900" w:type="dxa"/>
            <w:tcBorders>
              <w:top w:val="nil"/>
              <w:left w:val="nil"/>
              <w:bottom w:val="single" w:sz="4" w:space="0" w:color="auto"/>
              <w:right w:val="single" w:sz="4" w:space="0" w:color="auto"/>
            </w:tcBorders>
            <w:shd w:val="clear" w:color="auto" w:fill="auto"/>
            <w:noWrap/>
            <w:vAlign w:val="bottom"/>
          </w:tcPr>
          <w:p w14:paraId="10CFD36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1.79</w:t>
            </w:r>
          </w:p>
        </w:tc>
        <w:tc>
          <w:tcPr>
            <w:tcW w:w="948" w:type="dxa"/>
            <w:tcBorders>
              <w:top w:val="nil"/>
              <w:left w:val="nil"/>
              <w:bottom w:val="single" w:sz="4" w:space="0" w:color="auto"/>
              <w:right w:val="single" w:sz="4" w:space="0" w:color="auto"/>
            </w:tcBorders>
            <w:shd w:val="clear" w:color="auto" w:fill="auto"/>
            <w:noWrap/>
            <w:vAlign w:val="bottom"/>
          </w:tcPr>
          <w:p w14:paraId="0FEE2B7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3F05BF7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-0.49</w:t>
            </w:r>
          </w:p>
        </w:tc>
        <w:tc>
          <w:tcPr>
            <w:tcW w:w="990" w:type="dxa"/>
            <w:tcBorders>
              <w:top w:val="nil"/>
              <w:left w:val="nil"/>
              <w:bottom w:val="single" w:sz="4" w:space="0" w:color="auto"/>
              <w:right w:val="single" w:sz="4" w:space="0" w:color="auto"/>
            </w:tcBorders>
            <w:shd w:val="clear" w:color="auto" w:fill="auto"/>
            <w:noWrap/>
            <w:vAlign w:val="bottom"/>
          </w:tcPr>
          <w:p w14:paraId="5A8FB05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-0.11</w:t>
            </w:r>
          </w:p>
        </w:tc>
        <w:tc>
          <w:tcPr>
            <w:tcW w:w="990" w:type="dxa"/>
            <w:tcBorders>
              <w:top w:val="nil"/>
              <w:left w:val="nil"/>
              <w:bottom w:val="single" w:sz="4" w:space="0" w:color="auto"/>
              <w:right w:val="single" w:sz="4" w:space="0" w:color="auto"/>
            </w:tcBorders>
            <w:shd w:val="clear" w:color="auto" w:fill="auto"/>
            <w:noWrap/>
            <w:vAlign w:val="bottom"/>
          </w:tcPr>
          <w:p w14:paraId="556BFD1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94.27</w:t>
            </w:r>
          </w:p>
        </w:tc>
        <w:tc>
          <w:tcPr>
            <w:tcW w:w="1080" w:type="dxa"/>
            <w:tcBorders>
              <w:top w:val="nil"/>
              <w:left w:val="nil"/>
              <w:bottom w:val="single" w:sz="4" w:space="0" w:color="auto"/>
              <w:right w:val="single" w:sz="4" w:space="0" w:color="auto"/>
            </w:tcBorders>
            <w:shd w:val="clear" w:color="auto" w:fill="auto"/>
            <w:noWrap/>
            <w:vAlign w:val="bottom"/>
          </w:tcPr>
          <w:p w14:paraId="2AD8A01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-0.11</w:t>
            </w:r>
          </w:p>
        </w:tc>
        <w:tc>
          <w:tcPr>
            <w:tcW w:w="1156" w:type="dxa"/>
            <w:tcBorders>
              <w:top w:val="nil"/>
              <w:left w:val="nil"/>
              <w:bottom w:val="single" w:sz="4" w:space="0" w:color="auto"/>
              <w:right w:val="single" w:sz="4" w:space="0" w:color="auto"/>
            </w:tcBorders>
            <w:shd w:val="clear" w:color="auto" w:fill="auto"/>
            <w:noWrap/>
            <w:vAlign w:val="bottom"/>
          </w:tcPr>
          <w:p w14:paraId="5382523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94.27</w:t>
            </w:r>
          </w:p>
        </w:tc>
      </w:tr>
      <w:tr w:rsidR="00E52AC1" w:rsidRPr="00991DD7" w14:paraId="1B0C1452" w14:textId="77777777" w:rsidTr="00E52AC1">
        <w:trPr>
          <w:trHeight w:val="245"/>
        </w:trPr>
        <w:tc>
          <w:tcPr>
            <w:tcW w:w="4140" w:type="dxa"/>
            <w:tcBorders>
              <w:top w:val="nil"/>
              <w:left w:val="single" w:sz="4" w:space="0" w:color="auto"/>
              <w:bottom w:val="single" w:sz="4" w:space="0" w:color="auto"/>
              <w:right w:val="single" w:sz="4" w:space="0" w:color="auto"/>
            </w:tcBorders>
            <w:shd w:val="clear" w:color="auto" w:fill="auto"/>
            <w:vAlign w:val="bottom"/>
          </w:tcPr>
          <w:p w14:paraId="6AF8E212"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0A6282">
              <w:rPr>
                <w:rFonts w:asciiTheme="majorHAnsi" w:eastAsia="Times New Roman" w:hAnsiTheme="majorHAnsi" w:cstheme="majorHAnsi"/>
                <w:b/>
                <w:bCs/>
                <w:color w:val="000000"/>
                <w:sz w:val="18"/>
                <w:szCs w:val="18"/>
              </w:rPr>
              <w:t>Burse sociale studenților autohtoni</w:t>
            </w:r>
          </w:p>
        </w:tc>
        <w:tc>
          <w:tcPr>
            <w:tcW w:w="964" w:type="dxa"/>
            <w:tcBorders>
              <w:top w:val="nil"/>
              <w:left w:val="nil"/>
              <w:bottom w:val="single" w:sz="4" w:space="0" w:color="auto"/>
              <w:right w:val="single" w:sz="4" w:space="0" w:color="auto"/>
            </w:tcBorders>
            <w:shd w:val="clear" w:color="auto" w:fill="auto"/>
            <w:noWrap/>
            <w:vAlign w:val="bottom"/>
          </w:tcPr>
          <w:p w14:paraId="6905B237"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281221</w:t>
            </w:r>
          </w:p>
        </w:tc>
        <w:tc>
          <w:tcPr>
            <w:tcW w:w="1004" w:type="dxa"/>
            <w:tcBorders>
              <w:top w:val="nil"/>
              <w:left w:val="nil"/>
              <w:bottom w:val="single" w:sz="4" w:space="0" w:color="auto"/>
              <w:right w:val="single" w:sz="4" w:space="0" w:color="auto"/>
            </w:tcBorders>
            <w:shd w:val="clear" w:color="auto" w:fill="auto"/>
            <w:noWrap/>
            <w:vAlign w:val="bottom"/>
          </w:tcPr>
          <w:p w14:paraId="1A92D48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0DF106A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0.19</w:t>
            </w:r>
          </w:p>
        </w:tc>
        <w:tc>
          <w:tcPr>
            <w:tcW w:w="900" w:type="dxa"/>
            <w:tcBorders>
              <w:top w:val="nil"/>
              <w:left w:val="nil"/>
              <w:bottom w:val="single" w:sz="4" w:space="0" w:color="auto"/>
              <w:right w:val="single" w:sz="4" w:space="0" w:color="auto"/>
            </w:tcBorders>
            <w:shd w:val="clear" w:color="auto" w:fill="auto"/>
            <w:noWrap/>
            <w:vAlign w:val="bottom"/>
          </w:tcPr>
          <w:p w14:paraId="72982D6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0.19</w:t>
            </w:r>
          </w:p>
        </w:tc>
        <w:tc>
          <w:tcPr>
            <w:tcW w:w="900" w:type="dxa"/>
            <w:tcBorders>
              <w:top w:val="nil"/>
              <w:left w:val="nil"/>
              <w:bottom w:val="single" w:sz="4" w:space="0" w:color="auto"/>
              <w:right w:val="single" w:sz="4" w:space="0" w:color="auto"/>
            </w:tcBorders>
            <w:shd w:val="clear" w:color="auto" w:fill="auto"/>
            <w:noWrap/>
            <w:vAlign w:val="bottom"/>
          </w:tcPr>
          <w:p w14:paraId="5313676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0.19</w:t>
            </w:r>
          </w:p>
        </w:tc>
        <w:tc>
          <w:tcPr>
            <w:tcW w:w="948" w:type="dxa"/>
            <w:tcBorders>
              <w:top w:val="nil"/>
              <w:left w:val="nil"/>
              <w:bottom w:val="single" w:sz="4" w:space="0" w:color="auto"/>
              <w:right w:val="single" w:sz="4" w:space="0" w:color="auto"/>
            </w:tcBorders>
            <w:shd w:val="clear" w:color="auto" w:fill="auto"/>
            <w:noWrap/>
            <w:vAlign w:val="bottom"/>
          </w:tcPr>
          <w:p w14:paraId="2A725B8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002EB2C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0.19</w:t>
            </w:r>
          </w:p>
        </w:tc>
        <w:tc>
          <w:tcPr>
            <w:tcW w:w="990" w:type="dxa"/>
            <w:tcBorders>
              <w:top w:val="nil"/>
              <w:left w:val="nil"/>
              <w:bottom w:val="single" w:sz="4" w:space="0" w:color="auto"/>
              <w:right w:val="single" w:sz="4" w:space="0" w:color="auto"/>
            </w:tcBorders>
            <w:shd w:val="clear" w:color="auto" w:fill="auto"/>
            <w:noWrap/>
            <w:vAlign w:val="bottom"/>
          </w:tcPr>
          <w:p w14:paraId="1A8D102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30B160D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99.93</w:t>
            </w:r>
          </w:p>
        </w:tc>
        <w:tc>
          <w:tcPr>
            <w:tcW w:w="1080" w:type="dxa"/>
            <w:tcBorders>
              <w:top w:val="nil"/>
              <w:left w:val="nil"/>
              <w:bottom w:val="single" w:sz="4" w:space="0" w:color="auto"/>
              <w:right w:val="single" w:sz="4" w:space="0" w:color="auto"/>
            </w:tcBorders>
            <w:shd w:val="clear" w:color="auto" w:fill="auto"/>
            <w:noWrap/>
            <w:vAlign w:val="bottom"/>
          </w:tcPr>
          <w:p w14:paraId="1FDC000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156" w:type="dxa"/>
            <w:tcBorders>
              <w:top w:val="nil"/>
              <w:left w:val="nil"/>
              <w:bottom w:val="single" w:sz="4" w:space="0" w:color="auto"/>
              <w:right w:val="single" w:sz="4" w:space="0" w:color="auto"/>
            </w:tcBorders>
            <w:shd w:val="clear" w:color="auto" w:fill="auto"/>
            <w:noWrap/>
            <w:vAlign w:val="bottom"/>
          </w:tcPr>
          <w:p w14:paraId="55FB0C1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99.93</w:t>
            </w:r>
          </w:p>
        </w:tc>
      </w:tr>
      <w:tr w:rsidR="00E52AC1" w:rsidRPr="00991DD7" w14:paraId="27590BA8" w14:textId="77777777" w:rsidTr="00E52AC1">
        <w:trPr>
          <w:trHeight w:val="36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39743D38"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Pr>
                <w:rFonts w:asciiTheme="majorHAnsi" w:eastAsia="Times New Roman" w:hAnsiTheme="majorHAnsi" w:cstheme="majorHAnsi"/>
                <w:b/>
                <w:bCs/>
                <w:color w:val="000000"/>
                <w:sz w:val="18"/>
                <w:szCs w:val="18"/>
              </w:rPr>
              <w:t>Plăț</w:t>
            </w:r>
            <w:r w:rsidRPr="00991DD7">
              <w:rPr>
                <w:rFonts w:asciiTheme="majorHAnsi" w:eastAsia="Times New Roman" w:hAnsiTheme="majorHAnsi" w:cstheme="majorHAnsi"/>
                <w:b/>
                <w:bCs/>
                <w:color w:val="000000"/>
                <w:sz w:val="18"/>
                <w:szCs w:val="18"/>
              </w:rPr>
              <w:t>i aferente documentelor executorii cu executare benevola</w:t>
            </w:r>
          </w:p>
        </w:tc>
        <w:tc>
          <w:tcPr>
            <w:tcW w:w="964" w:type="dxa"/>
            <w:tcBorders>
              <w:top w:val="nil"/>
              <w:left w:val="nil"/>
              <w:bottom w:val="single" w:sz="4" w:space="0" w:color="auto"/>
              <w:right w:val="single" w:sz="4" w:space="0" w:color="auto"/>
            </w:tcBorders>
            <w:shd w:val="clear" w:color="auto" w:fill="auto"/>
            <w:noWrap/>
            <w:vAlign w:val="bottom"/>
            <w:hideMark/>
          </w:tcPr>
          <w:p w14:paraId="3B5D665C"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281361</w:t>
            </w:r>
          </w:p>
        </w:tc>
        <w:tc>
          <w:tcPr>
            <w:tcW w:w="1004" w:type="dxa"/>
            <w:tcBorders>
              <w:top w:val="nil"/>
              <w:left w:val="nil"/>
              <w:bottom w:val="single" w:sz="4" w:space="0" w:color="auto"/>
              <w:right w:val="single" w:sz="4" w:space="0" w:color="auto"/>
            </w:tcBorders>
            <w:shd w:val="clear" w:color="auto" w:fill="auto"/>
            <w:noWrap/>
            <w:vAlign w:val="bottom"/>
            <w:hideMark/>
          </w:tcPr>
          <w:p w14:paraId="092CA92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1.89</w:t>
            </w:r>
          </w:p>
        </w:tc>
        <w:tc>
          <w:tcPr>
            <w:tcW w:w="900" w:type="dxa"/>
            <w:tcBorders>
              <w:top w:val="nil"/>
              <w:left w:val="nil"/>
              <w:bottom w:val="single" w:sz="4" w:space="0" w:color="auto"/>
              <w:right w:val="single" w:sz="4" w:space="0" w:color="auto"/>
            </w:tcBorders>
            <w:shd w:val="clear" w:color="auto" w:fill="auto"/>
            <w:noWrap/>
            <w:vAlign w:val="bottom"/>
            <w:hideMark/>
          </w:tcPr>
          <w:p w14:paraId="1162B6F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1.98</w:t>
            </w:r>
          </w:p>
        </w:tc>
        <w:tc>
          <w:tcPr>
            <w:tcW w:w="900" w:type="dxa"/>
            <w:tcBorders>
              <w:top w:val="nil"/>
              <w:left w:val="nil"/>
              <w:bottom w:val="single" w:sz="4" w:space="0" w:color="auto"/>
              <w:right w:val="single" w:sz="4" w:space="0" w:color="auto"/>
            </w:tcBorders>
            <w:shd w:val="clear" w:color="auto" w:fill="auto"/>
            <w:noWrap/>
            <w:vAlign w:val="bottom"/>
            <w:hideMark/>
          </w:tcPr>
          <w:p w14:paraId="1312854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1.54</w:t>
            </w:r>
          </w:p>
        </w:tc>
        <w:tc>
          <w:tcPr>
            <w:tcW w:w="900" w:type="dxa"/>
            <w:tcBorders>
              <w:top w:val="nil"/>
              <w:left w:val="nil"/>
              <w:bottom w:val="single" w:sz="4" w:space="0" w:color="auto"/>
              <w:right w:val="single" w:sz="4" w:space="0" w:color="auto"/>
            </w:tcBorders>
            <w:shd w:val="clear" w:color="auto" w:fill="auto"/>
            <w:noWrap/>
            <w:vAlign w:val="bottom"/>
            <w:hideMark/>
          </w:tcPr>
          <w:p w14:paraId="4890340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1.59</w:t>
            </w:r>
          </w:p>
        </w:tc>
        <w:tc>
          <w:tcPr>
            <w:tcW w:w="948" w:type="dxa"/>
            <w:tcBorders>
              <w:top w:val="nil"/>
              <w:left w:val="nil"/>
              <w:bottom w:val="single" w:sz="4" w:space="0" w:color="auto"/>
              <w:right w:val="single" w:sz="4" w:space="0" w:color="auto"/>
            </w:tcBorders>
            <w:shd w:val="clear" w:color="auto" w:fill="auto"/>
            <w:noWrap/>
            <w:vAlign w:val="bottom"/>
            <w:hideMark/>
          </w:tcPr>
          <w:p w14:paraId="5F281F8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214F0A2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0.09</w:t>
            </w:r>
          </w:p>
        </w:tc>
        <w:tc>
          <w:tcPr>
            <w:tcW w:w="990" w:type="dxa"/>
            <w:tcBorders>
              <w:top w:val="nil"/>
              <w:left w:val="nil"/>
              <w:bottom w:val="single" w:sz="4" w:space="0" w:color="auto"/>
              <w:right w:val="single" w:sz="4" w:space="0" w:color="auto"/>
            </w:tcBorders>
            <w:shd w:val="clear" w:color="auto" w:fill="auto"/>
            <w:noWrap/>
            <w:vAlign w:val="bottom"/>
            <w:hideMark/>
          </w:tcPr>
          <w:p w14:paraId="7044B71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-0.44</w:t>
            </w:r>
          </w:p>
        </w:tc>
        <w:tc>
          <w:tcPr>
            <w:tcW w:w="990" w:type="dxa"/>
            <w:tcBorders>
              <w:top w:val="nil"/>
              <w:left w:val="nil"/>
              <w:bottom w:val="single" w:sz="4" w:space="0" w:color="auto"/>
              <w:right w:val="single" w:sz="4" w:space="0" w:color="auto"/>
            </w:tcBorders>
            <w:shd w:val="clear" w:color="auto" w:fill="auto"/>
            <w:noWrap/>
            <w:vAlign w:val="bottom"/>
            <w:hideMark/>
          </w:tcPr>
          <w:p w14:paraId="1731713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77.93</w:t>
            </w:r>
          </w:p>
        </w:tc>
        <w:tc>
          <w:tcPr>
            <w:tcW w:w="1080" w:type="dxa"/>
            <w:tcBorders>
              <w:top w:val="nil"/>
              <w:left w:val="nil"/>
              <w:bottom w:val="single" w:sz="4" w:space="0" w:color="auto"/>
              <w:right w:val="single" w:sz="4" w:space="0" w:color="auto"/>
            </w:tcBorders>
            <w:shd w:val="clear" w:color="auto" w:fill="auto"/>
            <w:noWrap/>
            <w:vAlign w:val="bottom"/>
            <w:hideMark/>
          </w:tcPr>
          <w:p w14:paraId="5ED0D56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-0.39</w:t>
            </w:r>
          </w:p>
        </w:tc>
        <w:tc>
          <w:tcPr>
            <w:tcW w:w="1156" w:type="dxa"/>
            <w:tcBorders>
              <w:top w:val="nil"/>
              <w:left w:val="nil"/>
              <w:bottom w:val="single" w:sz="4" w:space="0" w:color="auto"/>
              <w:right w:val="single" w:sz="4" w:space="0" w:color="auto"/>
            </w:tcBorders>
            <w:shd w:val="clear" w:color="auto" w:fill="auto"/>
            <w:noWrap/>
            <w:vAlign w:val="bottom"/>
            <w:hideMark/>
          </w:tcPr>
          <w:p w14:paraId="0C97670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80.35</w:t>
            </w:r>
          </w:p>
        </w:tc>
      </w:tr>
      <w:tr w:rsidR="00E52AC1" w:rsidRPr="00991DD7" w14:paraId="4CCD7A7A" w14:textId="77777777" w:rsidTr="00E52AC1">
        <w:trPr>
          <w:trHeight w:val="368"/>
        </w:trPr>
        <w:tc>
          <w:tcPr>
            <w:tcW w:w="4140" w:type="dxa"/>
            <w:tcBorders>
              <w:top w:val="nil"/>
              <w:left w:val="single" w:sz="4" w:space="0" w:color="auto"/>
              <w:bottom w:val="single" w:sz="4" w:space="0" w:color="auto"/>
              <w:right w:val="single" w:sz="4" w:space="0" w:color="auto"/>
            </w:tcBorders>
            <w:shd w:val="clear" w:color="auto" w:fill="auto"/>
            <w:vAlign w:val="bottom"/>
          </w:tcPr>
          <w:p w14:paraId="1E20ECC6" w14:textId="77777777" w:rsidR="00E52AC1" w:rsidRDefault="00E52AC1" w:rsidP="00E52AC1">
            <w:pPr>
              <w:spacing w:after="0" w:line="240" w:lineRule="auto"/>
              <w:jc w:val="both"/>
              <w:rPr>
                <w:rFonts w:asciiTheme="majorHAnsi" w:eastAsia="Times New Roman" w:hAnsiTheme="majorHAnsi" w:cstheme="majorHAnsi"/>
                <w:b/>
                <w:bCs/>
                <w:color w:val="000000"/>
                <w:sz w:val="18"/>
                <w:szCs w:val="18"/>
              </w:rPr>
            </w:pPr>
            <w:r w:rsidRPr="002E44D4">
              <w:rPr>
                <w:rFonts w:asciiTheme="majorHAnsi" w:eastAsia="Times New Roman" w:hAnsiTheme="majorHAnsi" w:cstheme="majorHAnsi"/>
                <w:b/>
                <w:bCs/>
                <w:color w:val="000000"/>
                <w:sz w:val="18"/>
                <w:szCs w:val="18"/>
              </w:rPr>
              <w:t>Plăti aferente documentelor executorii cu executare silita</w:t>
            </w:r>
          </w:p>
        </w:tc>
        <w:tc>
          <w:tcPr>
            <w:tcW w:w="964" w:type="dxa"/>
            <w:tcBorders>
              <w:top w:val="nil"/>
              <w:left w:val="nil"/>
              <w:bottom w:val="single" w:sz="4" w:space="0" w:color="auto"/>
              <w:right w:val="single" w:sz="4" w:space="0" w:color="auto"/>
            </w:tcBorders>
            <w:shd w:val="clear" w:color="auto" w:fill="auto"/>
            <w:noWrap/>
            <w:vAlign w:val="bottom"/>
          </w:tcPr>
          <w:p w14:paraId="70281901"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281362</w:t>
            </w:r>
          </w:p>
        </w:tc>
        <w:tc>
          <w:tcPr>
            <w:tcW w:w="1004" w:type="dxa"/>
            <w:tcBorders>
              <w:top w:val="nil"/>
              <w:left w:val="nil"/>
              <w:bottom w:val="single" w:sz="4" w:space="0" w:color="auto"/>
              <w:right w:val="single" w:sz="4" w:space="0" w:color="auto"/>
            </w:tcBorders>
            <w:shd w:val="clear" w:color="auto" w:fill="auto"/>
            <w:noWrap/>
            <w:vAlign w:val="bottom"/>
          </w:tcPr>
          <w:p w14:paraId="4D543A9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33589D2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6992BDE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3D8B6E9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tcPr>
          <w:p w14:paraId="291DF7B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7DB3DF3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78866D3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581887C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401D00E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156" w:type="dxa"/>
            <w:tcBorders>
              <w:top w:val="nil"/>
              <w:left w:val="nil"/>
              <w:bottom w:val="single" w:sz="4" w:space="0" w:color="auto"/>
              <w:right w:val="single" w:sz="4" w:space="0" w:color="auto"/>
            </w:tcBorders>
            <w:shd w:val="clear" w:color="auto" w:fill="auto"/>
            <w:noWrap/>
            <w:vAlign w:val="bottom"/>
          </w:tcPr>
          <w:p w14:paraId="33B89F8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064E92BD" w14:textId="77777777" w:rsidTr="00E52AC1">
        <w:trPr>
          <w:trHeight w:val="368"/>
        </w:trPr>
        <w:tc>
          <w:tcPr>
            <w:tcW w:w="4140" w:type="dxa"/>
            <w:tcBorders>
              <w:top w:val="nil"/>
              <w:left w:val="single" w:sz="4" w:space="0" w:color="auto"/>
              <w:bottom w:val="single" w:sz="4" w:space="0" w:color="auto"/>
              <w:right w:val="single" w:sz="4" w:space="0" w:color="auto"/>
            </w:tcBorders>
            <w:shd w:val="clear" w:color="auto" w:fill="auto"/>
            <w:vAlign w:val="bottom"/>
          </w:tcPr>
          <w:p w14:paraId="01E07224" w14:textId="77777777" w:rsidR="00E52AC1" w:rsidRDefault="00E52AC1" w:rsidP="00E52AC1">
            <w:pPr>
              <w:spacing w:after="0" w:line="240" w:lineRule="auto"/>
              <w:jc w:val="both"/>
              <w:rPr>
                <w:rFonts w:asciiTheme="majorHAnsi" w:eastAsia="Times New Roman" w:hAnsiTheme="majorHAnsi" w:cstheme="majorHAnsi"/>
                <w:b/>
                <w:bCs/>
                <w:color w:val="000000"/>
                <w:sz w:val="18"/>
                <w:szCs w:val="18"/>
              </w:rPr>
            </w:pPr>
            <w:r w:rsidRPr="002E44D4">
              <w:rPr>
                <w:rFonts w:asciiTheme="majorHAnsi" w:eastAsia="Times New Roman" w:hAnsiTheme="majorHAnsi" w:cstheme="majorHAnsi"/>
                <w:b/>
                <w:bCs/>
                <w:color w:val="000000"/>
                <w:sz w:val="18"/>
                <w:szCs w:val="18"/>
              </w:rPr>
              <w:t>Taxe amenzi penalități si alte plăti obligatorii</w:t>
            </w:r>
          </w:p>
        </w:tc>
        <w:tc>
          <w:tcPr>
            <w:tcW w:w="964" w:type="dxa"/>
            <w:tcBorders>
              <w:top w:val="nil"/>
              <w:left w:val="nil"/>
              <w:bottom w:val="single" w:sz="4" w:space="0" w:color="auto"/>
              <w:right w:val="single" w:sz="4" w:space="0" w:color="auto"/>
            </w:tcBorders>
            <w:shd w:val="clear" w:color="auto" w:fill="auto"/>
            <w:noWrap/>
            <w:vAlign w:val="bottom"/>
          </w:tcPr>
          <w:p w14:paraId="1A877E10"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281400</w:t>
            </w:r>
          </w:p>
        </w:tc>
        <w:tc>
          <w:tcPr>
            <w:tcW w:w="1004" w:type="dxa"/>
            <w:tcBorders>
              <w:top w:val="nil"/>
              <w:left w:val="nil"/>
              <w:bottom w:val="single" w:sz="4" w:space="0" w:color="auto"/>
              <w:right w:val="single" w:sz="4" w:space="0" w:color="auto"/>
            </w:tcBorders>
            <w:shd w:val="clear" w:color="auto" w:fill="auto"/>
            <w:noWrap/>
            <w:vAlign w:val="bottom"/>
          </w:tcPr>
          <w:p w14:paraId="5AFBDB0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0B0E29E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0.64</w:t>
            </w:r>
          </w:p>
        </w:tc>
        <w:tc>
          <w:tcPr>
            <w:tcW w:w="900" w:type="dxa"/>
            <w:tcBorders>
              <w:top w:val="nil"/>
              <w:left w:val="nil"/>
              <w:bottom w:val="single" w:sz="4" w:space="0" w:color="auto"/>
              <w:right w:val="single" w:sz="4" w:space="0" w:color="auto"/>
            </w:tcBorders>
            <w:shd w:val="clear" w:color="auto" w:fill="auto"/>
            <w:noWrap/>
            <w:vAlign w:val="bottom"/>
          </w:tcPr>
          <w:p w14:paraId="396B648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0.56</w:t>
            </w:r>
          </w:p>
        </w:tc>
        <w:tc>
          <w:tcPr>
            <w:tcW w:w="900" w:type="dxa"/>
            <w:tcBorders>
              <w:top w:val="nil"/>
              <w:left w:val="nil"/>
              <w:bottom w:val="single" w:sz="4" w:space="0" w:color="auto"/>
              <w:right w:val="single" w:sz="4" w:space="0" w:color="auto"/>
            </w:tcBorders>
            <w:shd w:val="clear" w:color="auto" w:fill="auto"/>
            <w:noWrap/>
            <w:vAlign w:val="bottom"/>
          </w:tcPr>
          <w:p w14:paraId="67FB88E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0.74</w:t>
            </w:r>
          </w:p>
        </w:tc>
        <w:tc>
          <w:tcPr>
            <w:tcW w:w="948" w:type="dxa"/>
            <w:tcBorders>
              <w:top w:val="nil"/>
              <w:left w:val="nil"/>
              <w:bottom w:val="single" w:sz="4" w:space="0" w:color="auto"/>
              <w:right w:val="single" w:sz="4" w:space="0" w:color="auto"/>
            </w:tcBorders>
            <w:shd w:val="clear" w:color="auto" w:fill="auto"/>
            <w:noWrap/>
            <w:vAlign w:val="bottom"/>
          </w:tcPr>
          <w:p w14:paraId="37C09A5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0.11</w:t>
            </w:r>
          </w:p>
        </w:tc>
        <w:tc>
          <w:tcPr>
            <w:tcW w:w="1080" w:type="dxa"/>
            <w:tcBorders>
              <w:top w:val="nil"/>
              <w:left w:val="nil"/>
              <w:bottom w:val="single" w:sz="4" w:space="0" w:color="auto"/>
              <w:right w:val="single" w:sz="4" w:space="0" w:color="auto"/>
            </w:tcBorders>
            <w:shd w:val="clear" w:color="auto" w:fill="auto"/>
            <w:noWrap/>
            <w:vAlign w:val="bottom"/>
          </w:tcPr>
          <w:p w14:paraId="72ED652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0.64</w:t>
            </w:r>
          </w:p>
        </w:tc>
        <w:tc>
          <w:tcPr>
            <w:tcW w:w="990" w:type="dxa"/>
            <w:tcBorders>
              <w:top w:val="nil"/>
              <w:left w:val="nil"/>
              <w:bottom w:val="single" w:sz="4" w:space="0" w:color="auto"/>
              <w:right w:val="single" w:sz="4" w:space="0" w:color="auto"/>
            </w:tcBorders>
            <w:shd w:val="clear" w:color="auto" w:fill="auto"/>
            <w:noWrap/>
            <w:vAlign w:val="bottom"/>
          </w:tcPr>
          <w:p w14:paraId="184D69F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-0.08</w:t>
            </w:r>
          </w:p>
        </w:tc>
        <w:tc>
          <w:tcPr>
            <w:tcW w:w="990" w:type="dxa"/>
            <w:tcBorders>
              <w:top w:val="nil"/>
              <w:left w:val="nil"/>
              <w:bottom w:val="single" w:sz="4" w:space="0" w:color="auto"/>
              <w:right w:val="single" w:sz="4" w:space="0" w:color="auto"/>
            </w:tcBorders>
            <w:shd w:val="clear" w:color="auto" w:fill="auto"/>
            <w:noWrap/>
            <w:vAlign w:val="bottom"/>
          </w:tcPr>
          <w:p w14:paraId="6CE6435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87.35</w:t>
            </w:r>
          </w:p>
        </w:tc>
        <w:tc>
          <w:tcPr>
            <w:tcW w:w="1080" w:type="dxa"/>
            <w:tcBorders>
              <w:top w:val="nil"/>
              <w:left w:val="nil"/>
              <w:bottom w:val="single" w:sz="4" w:space="0" w:color="auto"/>
              <w:right w:val="single" w:sz="4" w:space="0" w:color="auto"/>
            </w:tcBorders>
            <w:shd w:val="clear" w:color="auto" w:fill="auto"/>
            <w:noWrap/>
            <w:vAlign w:val="bottom"/>
          </w:tcPr>
          <w:p w14:paraId="58B2B6C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0.11</w:t>
            </w:r>
          </w:p>
        </w:tc>
        <w:tc>
          <w:tcPr>
            <w:tcW w:w="1156" w:type="dxa"/>
            <w:tcBorders>
              <w:top w:val="nil"/>
              <w:left w:val="nil"/>
              <w:bottom w:val="single" w:sz="4" w:space="0" w:color="auto"/>
              <w:right w:val="single" w:sz="4" w:space="0" w:color="auto"/>
            </w:tcBorders>
            <w:shd w:val="clear" w:color="auto" w:fill="auto"/>
            <w:noWrap/>
            <w:vAlign w:val="bottom"/>
          </w:tcPr>
          <w:p w14:paraId="5B19C2A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116.62</w:t>
            </w:r>
          </w:p>
        </w:tc>
      </w:tr>
      <w:tr w:rsidR="00E52AC1" w:rsidRPr="00991DD7" w14:paraId="1C6D9499" w14:textId="77777777" w:rsidTr="00E52AC1">
        <w:trPr>
          <w:trHeight w:val="368"/>
        </w:trPr>
        <w:tc>
          <w:tcPr>
            <w:tcW w:w="4140" w:type="dxa"/>
            <w:tcBorders>
              <w:top w:val="nil"/>
              <w:left w:val="single" w:sz="4" w:space="0" w:color="auto"/>
              <w:bottom w:val="single" w:sz="4" w:space="0" w:color="auto"/>
              <w:right w:val="single" w:sz="4" w:space="0" w:color="auto"/>
            </w:tcBorders>
            <w:shd w:val="clear" w:color="auto" w:fill="auto"/>
            <w:vAlign w:val="bottom"/>
          </w:tcPr>
          <w:p w14:paraId="0F600400" w14:textId="77777777" w:rsidR="00E52AC1" w:rsidRDefault="00E52AC1" w:rsidP="00E52AC1">
            <w:pPr>
              <w:spacing w:after="0" w:line="240" w:lineRule="auto"/>
              <w:jc w:val="both"/>
              <w:rPr>
                <w:rFonts w:asciiTheme="majorHAnsi" w:eastAsia="Times New Roman" w:hAnsiTheme="majorHAnsi" w:cstheme="majorHAnsi"/>
                <w:b/>
                <w:bCs/>
                <w:color w:val="000000"/>
                <w:sz w:val="18"/>
                <w:szCs w:val="18"/>
              </w:rPr>
            </w:pPr>
            <w:r w:rsidRPr="002E44D4">
              <w:rPr>
                <w:rFonts w:asciiTheme="majorHAnsi" w:eastAsia="Times New Roman" w:hAnsiTheme="majorHAnsi" w:cstheme="majorHAnsi"/>
                <w:b/>
                <w:bCs/>
                <w:color w:val="000000"/>
                <w:sz w:val="18"/>
                <w:szCs w:val="18"/>
              </w:rPr>
              <w:t>Rambursarea mijloacelor bugetare din anii precedenți la autoritatea /instituția bugetară</w:t>
            </w:r>
          </w:p>
        </w:tc>
        <w:tc>
          <w:tcPr>
            <w:tcW w:w="964" w:type="dxa"/>
            <w:tcBorders>
              <w:top w:val="nil"/>
              <w:left w:val="nil"/>
              <w:bottom w:val="single" w:sz="4" w:space="0" w:color="auto"/>
              <w:right w:val="single" w:sz="4" w:space="0" w:color="auto"/>
            </w:tcBorders>
            <w:shd w:val="clear" w:color="auto" w:fill="auto"/>
            <w:noWrap/>
            <w:vAlign w:val="bottom"/>
          </w:tcPr>
          <w:p w14:paraId="71863556"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281500</w:t>
            </w:r>
          </w:p>
        </w:tc>
        <w:tc>
          <w:tcPr>
            <w:tcW w:w="1004" w:type="dxa"/>
            <w:tcBorders>
              <w:top w:val="nil"/>
              <w:left w:val="nil"/>
              <w:bottom w:val="single" w:sz="4" w:space="0" w:color="auto"/>
              <w:right w:val="single" w:sz="4" w:space="0" w:color="auto"/>
            </w:tcBorders>
            <w:shd w:val="clear" w:color="auto" w:fill="auto"/>
            <w:noWrap/>
            <w:vAlign w:val="bottom"/>
          </w:tcPr>
          <w:p w14:paraId="44B90D1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0A37238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005A265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1D7EAC7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tcPr>
          <w:p w14:paraId="1FAAC2D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7501C57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6002314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4F28C40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69F662C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156" w:type="dxa"/>
            <w:tcBorders>
              <w:top w:val="nil"/>
              <w:left w:val="nil"/>
              <w:bottom w:val="single" w:sz="4" w:space="0" w:color="auto"/>
              <w:right w:val="single" w:sz="4" w:space="0" w:color="auto"/>
            </w:tcBorders>
            <w:shd w:val="clear" w:color="auto" w:fill="auto"/>
            <w:noWrap/>
            <w:vAlign w:val="bottom"/>
          </w:tcPr>
          <w:p w14:paraId="2C38DC7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644BF2FD" w14:textId="77777777" w:rsidTr="00E52AC1">
        <w:trPr>
          <w:trHeight w:val="368"/>
        </w:trPr>
        <w:tc>
          <w:tcPr>
            <w:tcW w:w="4140" w:type="dxa"/>
            <w:tcBorders>
              <w:top w:val="nil"/>
              <w:left w:val="single" w:sz="4" w:space="0" w:color="auto"/>
              <w:bottom w:val="single" w:sz="4" w:space="0" w:color="auto"/>
              <w:right w:val="single" w:sz="4" w:space="0" w:color="auto"/>
            </w:tcBorders>
            <w:shd w:val="clear" w:color="auto" w:fill="auto"/>
            <w:vAlign w:val="bottom"/>
          </w:tcPr>
          <w:p w14:paraId="32EA783E" w14:textId="77777777" w:rsidR="00E52AC1" w:rsidRDefault="00E52AC1" w:rsidP="00E52AC1">
            <w:pPr>
              <w:spacing w:after="0" w:line="240" w:lineRule="auto"/>
              <w:jc w:val="both"/>
              <w:rPr>
                <w:rFonts w:asciiTheme="majorHAnsi" w:eastAsia="Times New Roman" w:hAnsiTheme="majorHAnsi" w:cstheme="majorHAnsi"/>
                <w:b/>
                <w:bCs/>
                <w:color w:val="000000"/>
                <w:sz w:val="18"/>
                <w:szCs w:val="18"/>
              </w:rPr>
            </w:pPr>
            <w:r w:rsidRPr="002E44D4">
              <w:rPr>
                <w:rFonts w:asciiTheme="majorHAnsi" w:eastAsia="Times New Roman" w:hAnsiTheme="majorHAnsi" w:cstheme="majorHAnsi"/>
                <w:b/>
                <w:bCs/>
                <w:color w:val="000000"/>
                <w:sz w:val="18"/>
                <w:szCs w:val="18"/>
              </w:rPr>
              <w:t>Alte cheltuieli în baza de contracte cu persoane fizice</w:t>
            </w:r>
          </w:p>
        </w:tc>
        <w:tc>
          <w:tcPr>
            <w:tcW w:w="964" w:type="dxa"/>
            <w:tcBorders>
              <w:top w:val="nil"/>
              <w:left w:val="nil"/>
              <w:bottom w:val="single" w:sz="4" w:space="0" w:color="auto"/>
              <w:right w:val="single" w:sz="4" w:space="0" w:color="auto"/>
            </w:tcBorders>
            <w:shd w:val="clear" w:color="auto" w:fill="auto"/>
            <w:noWrap/>
            <w:vAlign w:val="bottom"/>
          </w:tcPr>
          <w:p w14:paraId="6813A103" w14:textId="77777777" w:rsidR="00E52AC1"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281600</w:t>
            </w:r>
          </w:p>
        </w:tc>
        <w:tc>
          <w:tcPr>
            <w:tcW w:w="1004" w:type="dxa"/>
            <w:tcBorders>
              <w:top w:val="nil"/>
              <w:left w:val="nil"/>
              <w:bottom w:val="single" w:sz="4" w:space="0" w:color="auto"/>
              <w:right w:val="single" w:sz="4" w:space="0" w:color="auto"/>
            </w:tcBorders>
            <w:shd w:val="clear" w:color="auto" w:fill="auto"/>
            <w:noWrap/>
            <w:vAlign w:val="bottom"/>
          </w:tcPr>
          <w:p w14:paraId="5414DCA9"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134.16</w:t>
            </w:r>
          </w:p>
        </w:tc>
        <w:tc>
          <w:tcPr>
            <w:tcW w:w="900" w:type="dxa"/>
            <w:tcBorders>
              <w:top w:val="nil"/>
              <w:left w:val="nil"/>
              <w:bottom w:val="single" w:sz="4" w:space="0" w:color="auto"/>
              <w:right w:val="single" w:sz="4" w:space="0" w:color="auto"/>
            </w:tcBorders>
            <w:shd w:val="clear" w:color="auto" w:fill="auto"/>
            <w:noWrap/>
            <w:vAlign w:val="bottom"/>
          </w:tcPr>
          <w:p w14:paraId="3F6220CD"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lang w:val="en-US"/>
              </w:rPr>
            </w:pPr>
            <w:r w:rsidRPr="00AA0B20">
              <w:rPr>
                <w:rFonts w:asciiTheme="majorHAnsi" w:eastAsia="Times New Roman" w:hAnsiTheme="majorHAnsi" w:cstheme="majorHAnsi"/>
                <w:color w:val="000000" w:themeColor="text1"/>
                <w:sz w:val="18"/>
                <w:szCs w:val="18"/>
                <w:lang w:val="en-US"/>
              </w:rPr>
              <w:t>151.64</w:t>
            </w:r>
          </w:p>
        </w:tc>
        <w:tc>
          <w:tcPr>
            <w:tcW w:w="900" w:type="dxa"/>
            <w:tcBorders>
              <w:top w:val="nil"/>
              <w:left w:val="nil"/>
              <w:bottom w:val="single" w:sz="4" w:space="0" w:color="auto"/>
              <w:right w:val="single" w:sz="4" w:space="0" w:color="auto"/>
            </w:tcBorders>
            <w:shd w:val="clear" w:color="auto" w:fill="auto"/>
            <w:noWrap/>
            <w:vAlign w:val="bottom"/>
          </w:tcPr>
          <w:p w14:paraId="32913768"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98.92</w:t>
            </w:r>
          </w:p>
        </w:tc>
        <w:tc>
          <w:tcPr>
            <w:tcW w:w="900" w:type="dxa"/>
            <w:tcBorders>
              <w:top w:val="nil"/>
              <w:left w:val="nil"/>
              <w:bottom w:val="single" w:sz="4" w:space="0" w:color="auto"/>
              <w:right w:val="single" w:sz="4" w:space="0" w:color="auto"/>
            </w:tcBorders>
            <w:shd w:val="clear" w:color="auto" w:fill="auto"/>
            <w:noWrap/>
            <w:vAlign w:val="bottom"/>
          </w:tcPr>
          <w:p w14:paraId="08076FF2"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98.92</w:t>
            </w:r>
          </w:p>
        </w:tc>
        <w:tc>
          <w:tcPr>
            <w:tcW w:w="948" w:type="dxa"/>
            <w:tcBorders>
              <w:top w:val="nil"/>
              <w:left w:val="nil"/>
              <w:bottom w:val="single" w:sz="4" w:space="0" w:color="auto"/>
              <w:right w:val="single" w:sz="4" w:space="0" w:color="auto"/>
            </w:tcBorders>
            <w:shd w:val="clear" w:color="auto" w:fill="auto"/>
            <w:noWrap/>
            <w:vAlign w:val="bottom"/>
          </w:tcPr>
          <w:p w14:paraId="205E3E41"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5A8704F3"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17.47</w:t>
            </w:r>
          </w:p>
        </w:tc>
        <w:tc>
          <w:tcPr>
            <w:tcW w:w="990" w:type="dxa"/>
            <w:tcBorders>
              <w:top w:val="nil"/>
              <w:left w:val="nil"/>
              <w:bottom w:val="single" w:sz="4" w:space="0" w:color="auto"/>
              <w:right w:val="single" w:sz="4" w:space="0" w:color="auto"/>
            </w:tcBorders>
            <w:shd w:val="clear" w:color="auto" w:fill="auto"/>
            <w:noWrap/>
            <w:vAlign w:val="bottom"/>
          </w:tcPr>
          <w:p w14:paraId="08D5C71B"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-52.72</w:t>
            </w:r>
          </w:p>
        </w:tc>
        <w:tc>
          <w:tcPr>
            <w:tcW w:w="990" w:type="dxa"/>
            <w:tcBorders>
              <w:top w:val="nil"/>
              <w:left w:val="nil"/>
              <w:bottom w:val="single" w:sz="4" w:space="0" w:color="auto"/>
              <w:right w:val="single" w:sz="4" w:space="0" w:color="auto"/>
            </w:tcBorders>
            <w:shd w:val="clear" w:color="auto" w:fill="auto"/>
            <w:noWrap/>
            <w:vAlign w:val="bottom"/>
          </w:tcPr>
          <w:p w14:paraId="0C440EB5"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65.23</w:t>
            </w:r>
          </w:p>
        </w:tc>
        <w:tc>
          <w:tcPr>
            <w:tcW w:w="1080" w:type="dxa"/>
            <w:tcBorders>
              <w:top w:val="nil"/>
              <w:left w:val="nil"/>
              <w:bottom w:val="single" w:sz="4" w:space="0" w:color="auto"/>
              <w:right w:val="single" w:sz="4" w:space="0" w:color="auto"/>
            </w:tcBorders>
            <w:shd w:val="clear" w:color="auto" w:fill="auto"/>
            <w:noWrap/>
            <w:vAlign w:val="bottom"/>
          </w:tcPr>
          <w:p w14:paraId="29F4FC90"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-53.72</w:t>
            </w:r>
          </w:p>
        </w:tc>
        <w:tc>
          <w:tcPr>
            <w:tcW w:w="1156" w:type="dxa"/>
            <w:tcBorders>
              <w:top w:val="nil"/>
              <w:left w:val="nil"/>
              <w:bottom w:val="single" w:sz="4" w:space="0" w:color="auto"/>
              <w:right w:val="single" w:sz="4" w:space="0" w:color="auto"/>
            </w:tcBorders>
            <w:shd w:val="clear" w:color="auto" w:fill="auto"/>
            <w:noWrap/>
            <w:vAlign w:val="bottom"/>
          </w:tcPr>
          <w:p w14:paraId="3689ECBE"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65.23</w:t>
            </w:r>
          </w:p>
        </w:tc>
      </w:tr>
      <w:tr w:rsidR="00E52AC1" w:rsidRPr="00991DD7" w14:paraId="0EAE8B88" w14:textId="77777777" w:rsidTr="00E52AC1">
        <w:trPr>
          <w:trHeight w:val="368"/>
        </w:trPr>
        <w:tc>
          <w:tcPr>
            <w:tcW w:w="4140" w:type="dxa"/>
            <w:tcBorders>
              <w:top w:val="nil"/>
              <w:left w:val="single" w:sz="4" w:space="0" w:color="auto"/>
              <w:bottom w:val="single" w:sz="4" w:space="0" w:color="auto"/>
              <w:right w:val="single" w:sz="4" w:space="0" w:color="auto"/>
            </w:tcBorders>
            <w:shd w:val="clear" w:color="auto" w:fill="auto"/>
            <w:vAlign w:val="bottom"/>
          </w:tcPr>
          <w:p w14:paraId="50B5B611" w14:textId="77777777" w:rsidR="00E52AC1" w:rsidRDefault="00E52AC1" w:rsidP="00E52AC1">
            <w:pPr>
              <w:spacing w:after="0" w:line="240" w:lineRule="auto"/>
              <w:jc w:val="both"/>
              <w:rPr>
                <w:rFonts w:asciiTheme="majorHAnsi" w:eastAsia="Times New Roman" w:hAnsiTheme="majorHAnsi" w:cstheme="majorHAnsi"/>
                <w:b/>
                <w:bCs/>
                <w:color w:val="000000"/>
                <w:sz w:val="18"/>
                <w:szCs w:val="18"/>
              </w:rPr>
            </w:pPr>
            <w:r w:rsidRPr="002E44D4">
              <w:rPr>
                <w:rFonts w:asciiTheme="majorHAnsi" w:eastAsia="Times New Roman" w:hAnsiTheme="majorHAnsi" w:cstheme="majorHAnsi"/>
                <w:b/>
                <w:bCs/>
                <w:color w:val="000000"/>
                <w:sz w:val="18"/>
                <w:szCs w:val="18"/>
              </w:rPr>
              <w:t>Comanda de stat pentru pregătirea cadrelor</w:t>
            </w:r>
          </w:p>
        </w:tc>
        <w:tc>
          <w:tcPr>
            <w:tcW w:w="964" w:type="dxa"/>
            <w:tcBorders>
              <w:top w:val="nil"/>
              <w:left w:val="nil"/>
              <w:bottom w:val="single" w:sz="4" w:space="0" w:color="auto"/>
              <w:right w:val="single" w:sz="4" w:space="0" w:color="auto"/>
            </w:tcBorders>
            <w:shd w:val="clear" w:color="auto" w:fill="auto"/>
            <w:noWrap/>
            <w:vAlign w:val="bottom"/>
          </w:tcPr>
          <w:p w14:paraId="66168211" w14:textId="77777777" w:rsidR="00E52AC1"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281800</w:t>
            </w:r>
          </w:p>
        </w:tc>
        <w:tc>
          <w:tcPr>
            <w:tcW w:w="1004" w:type="dxa"/>
            <w:tcBorders>
              <w:top w:val="nil"/>
              <w:left w:val="nil"/>
              <w:bottom w:val="single" w:sz="4" w:space="0" w:color="auto"/>
              <w:right w:val="single" w:sz="4" w:space="0" w:color="auto"/>
            </w:tcBorders>
            <w:shd w:val="clear" w:color="auto" w:fill="auto"/>
            <w:noWrap/>
            <w:vAlign w:val="bottom"/>
          </w:tcPr>
          <w:p w14:paraId="0888A27E"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11.16</w:t>
            </w:r>
          </w:p>
        </w:tc>
        <w:tc>
          <w:tcPr>
            <w:tcW w:w="900" w:type="dxa"/>
            <w:tcBorders>
              <w:top w:val="nil"/>
              <w:left w:val="nil"/>
              <w:bottom w:val="single" w:sz="4" w:space="0" w:color="auto"/>
              <w:right w:val="single" w:sz="4" w:space="0" w:color="auto"/>
            </w:tcBorders>
            <w:shd w:val="clear" w:color="auto" w:fill="auto"/>
            <w:noWrap/>
            <w:vAlign w:val="bottom"/>
          </w:tcPr>
          <w:p w14:paraId="7CCE66DB"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154CCA69"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3DFDD285"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0.00</w:t>
            </w:r>
          </w:p>
        </w:tc>
        <w:tc>
          <w:tcPr>
            <w:tcW w:w="948" w:type="dxa"/>
            <w:tcBorders>
              <w:top w:val="nil"/>
              <w:left w:val="nil"/>
              <w:bottom w:val="single" w:sz="4" w:space="0" w:color="auto"/>
              <w:right w:val="single" w:sz="4" w:space="0" w:color="auto"/>
            </w:tcBorders>
            <w:shd w:val="clear" w:color="auto" w:fill="auto"/>
            <w:noWrap/>
            <w:vAlign w:val="bottom"/>
          </w:tcPr>
          <w:p w14:paraId="4D8210E2"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11CE7C68"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-11.16</w:t>
            </w:r>
          </w:p>
        </w:tc>
        <w:tc>
          <w:tcPr>
            <w:tcW w:w="990" w:type="dxa"/>
            <w:tcBorders>
              <w:top w:val="nil"/>
              <w:left w:val="nil"/>
              <w:bottom w:val="single" w:sz="4" w:space="0" w:color="auto"/>
              <w:right w:val="single" w:sz="4" w:space="0" w:color="auto"/>
            </w:tcBorders>
            <w:shd w:val="clear" w:color="auto" w:fill="auto"/>
            <w:noWrap/>
            <w:vAlign w:val="bottom"/>
          </w:tcPr>
          <w:p w14:paraId="39874E24"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16CD82F0"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6524EC14"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-0.00</w:t>
            </w:r>
          </w:p>
        </w:tc>
        <w:tc>
          <w:tcPr>
            <w:tcW w:w="1156" w:type="dxa"/>
            <w:tcBorders>
              <w:top w:val="nil"/>
              <w:left w:val="nil"/>
              <w:bottom w:val="single" w:sz="4" w:space="0" w:color="auto"/>
              <w:right w:val="single" w:sz="4" w:space="0" w:color="auto"/>
            </w:tcBorders>
            <w:shd w:val="clear" w:color="auto" w:fill="auto"/>
            <w:noWrap/>
            <w:vAlign w:val="bottom"/>
          </w:tcPr>
          <w:p w14:paraId="5481B2A0"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0.00</w:t>
            </w:r>
          </w:p>
        </w:tc>
      </w:tr>
      <w:tr w:rsidR="00E52AC1" w:rsidRPr="00991DD7" w14:paraId="575CBC6D" w14:textId="77777777" w:rsidTr="00E52AC1">
        <w:trPr>
          <w:trHeight w:val="368"/>
        </w:trPr>
        <w:tc>
          <w:tcPr>
            <w:tcW w:w="4140" w:type="dxa"/>
            <w:tcBorders>
              <w:top w:val="nil"/>
              <w:left w:val="single" w:sz="4" w:space="0" w:color="auto"/>
              <w:bottom w:val="single" w:sz="4" w:space="0" w:color="auto"/>
              <w:right w:val="single" w:sz="4" w:space="0" w:color="auto"/>
            </w:tcBorders>
            <w:shd w:val="clear" w:color="auto" w:fill="auto"/>
            <w:vAlign w:val="bottom"/>
          </w:tcPr>
          <w:p w14:paraId="592B86FE" w14:textId="77777777" w:rsidR="00E52AC1" w:rsidRDefault="00E52AC1" w:rsidP="00E52AC1">
            <w:pPr>
              <w:spacing w:after="0" w:line="240" w:lineRule="auto"/>
              <w:jc w:val="both"/>
              <w:rPr>
                <w:rFonts w:asciiTheme="majorHAnsi" w:eastAsia="Times New Roman" w:hAnsiTheme="majorHAnsi" w:cstheme="majorHAnsi"/>
                <w:b/>
                <w:bCs/>
                <w:color w:val="000000"/>
                <w:sz w:val="18"/>
                <w:szCs w:val="18"/>
              </w:rPr>
            </w:pPr>
            <w:r w:rsidRPr="002E44D4">
              <w:rPr>
                <w:rFonts w:asciiTheme="majorHAnsi" w:eastAsia="Times New Roman" w:hAnsiTheme="majorHAnsi" w:cstheme="majorHAnsi"/>
                <w:b/>
                <w:bCs/>
                <w:color w:val="000000"/>
                <w:sz w:val="18"/>
                <w:szCs w:val="18"/>
              </w:rPr>
              <w:t>Comanda de stat pentru pregătirea cadrelor</w:t>
            </w:r>
          </w:p>
        </w:tc>
        <w:tc>
          <w:tcPr>
            <w:tcW w:w="964" w:type="dxa"/>
            <w:tcBorders>
              <w:top w:val="nil"/>
              <w:left w:val="nil"/>
              <w:bottom w:val="single" w:sz="4" w:space="0" w:color="auto"/>
              <w:right w:val="single" w:sz="4" w:space="0" w:color="auto"/>
            </w:tcBorders>
            <w:shd w:val="clear" w:color="auto" w:fill="auto"/>
            <w:noWrap/>
            <w:vAlign w:val="bottom"/>
          </w:tcPr>
          <w:p w14:paraId="75E6AD04" w14:textId="77777777" w:rsidR="00E52AC1"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281811</w:t>
            </w:r>
          </w:p>
        </w:tc>
        <w:tc>
          <w:tcPr>
            <w:tcW w:w="1004" w:type="dxa"/>
            <w:tcBorders>
              <w:top w:val="nil"/>
              <w:left w:val="nil"/>
              <w:bottom w:val="single" w:sz="4" w:space="0" w:color="auto"/>
              <w:right w:val="single" w:sz="4" w:space="0" w:color="auto"/>
            </w:tcBorders>
            <w:shd w:val="clear" w:color="auto" w:fill="auto"/>
            <w:noWrap/>
            <w:vAlign w:val="bottom"/>
          </w:tcPr>
          <w:p w14:paraId="2D885E20"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53.62</w:t>
            </w:r>
          </w:p>
        </w:tc>
        <w:tc>
          <w:tcPr>
            <w:tcW w:w="900" w:type="dxa"/>
            <w:tcBorders>
              <w:top w:val="nil"/>
              <w:left w:val="nil"/>
              <w:bottom w:val="single" w:sz="4" w:space="0" w:color="auto"/>
              <w:right w:val="single" w:sz="4" w:space="0" w:color="auto"/>
            </w:tcBorders>
            <w:shd w:val="clear" w:color="auto" w:fill="auto"/>
            <w:noWrap/>
            <w:vAlign w:val="bottom"/>
          </w:tcPr>
          <w:p w14:paraId="638FCC36"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61.79</w:t>
            </w:r>
          </w:p>
        </w:tc>
        <w:tc>
          <w:tcPr>
            <w:tcW w:w="900" w:type="dxa"/>
            <w:tcBorders>
              <w:top w:val="nil"/>
              <w:left w:val="nil"/>
              <w:bottom w:val="single" w:sz="4" w:space="0" w:color="auto"/>
              <w:right w:val="single" w:sz="4" w:space="0" w:color="auto"/>
            </w:tcBorders>
            <w:shd w:val="clear" w:color="auto" w:fill="auto"/>
            <w:noWrap/>
            <w:vAlign w:val="bottom"/>
          </w:tcPr>
          <w:p w14:paraId="1E9A249D"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59.71</w:t>
            </w:r>
          </w:p>
        </w:tc>
        <w:tc>
          <w:tcPr>
            <w:tcW w:w="900" w:type="dxa"/>
            <w:tcBorders>
              <w:top w:val="nil"/>
              <w:left w:val="nil"/>
              <w:bottom w:val="single" w:sz="4" w:space="0" w:color="auto"/>
              <w:right w:val="single" w:sz="4" w:space="0" w:color="auto"/>
            </w:tcBorders>
            <w:shd w:val="clear" w:color="auto" w:fill="auto"/>
            <w:noWrap/>
            <w:vAlign w:val="bottom"/>
          </w:tcPr>
          <w:p w14:paraId="1A7B4B37"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59.71</w:t>
            </w:r>
          </w:p>
        </w:tc>
        <w:tc>
          <w:tcPr>
            <w:tcW w:w="948" w:type="dxa"/>
            <w:tcBorders>
              <w:top w:val="nil"/>
              <w:left w:val="nil"/>
              <w:bottom w:val="single" w:sz="4" w:space="0" w:color="auto"/>
              <w:right w:val="single" w:sz="4" w:space="0" w:color="auto"/>
            </w:tcBorders>
            <w:shd w:val="clear" w:color="auto" w:fill="auto"/>
            <w:noWrap/>
            <w:vAlign w:val="bottom"/>
          </w:tcPr>
          <w:p w14:paraId="07014EF5"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583EB58A"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8.16</w:t>
            </w:r>
          </w:p>
        </w:tc>
        <w:tc>
          <w:tcPr>
            <w:tcW w:w="990" w:type="dxa"/>
            <w:tcBorders>
              <w:top w:val="nil"/>
              <w:left w:val="nil"/>
              <w:bottom w:val="single" w:sz="4" w:space="0" w:color="auto"/>
              <w:right w:val="single" w:sz="4" w:space="0" w:color="auto"/>
            </w:tcBorders>
            <w:shd w:val="clear" w:color="auto" w:fill="auto"/>
            <w:noWrap/>
            <w:vAlign w:val="bottom"/>
          </w:tcPr>
          <w:p w14:paraId="78C7533C"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-2.08</w:t>
            </w:r>
          </w:p>
        </w:tc>
        <w:tc>
          <w:tcPr>
            <w:tcW w:w="990" w:type="dxa"/>
            <w:tcBorders>
              <w:top w:val="nil"/>
              <w:left w:val="nil"/>
              <w:bottom w:val="single" w:sz="4" w:space="0" w:color="auto"/>
              <w:right w:val="single" w:sz="4" w:space="0" w:color="auto"/>
            </w:tcBorders>
            <w:shd w:val="clear" w:color="auto" w:fill="auto"/>
            <w:noWrap/>
            <w:vAlign w:val="bottom"/>
          </w:tcPr>
          <w:p w14:paraId="11D1186A"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96.63</w:t>
            </w:r>
          </w:p>
        </w:tc>
        <w:tc>
          <w:tcPr>
            <w:tcW w:w="1080" w:type="dxa"/>
            <w:tcBorders>
              <w:top w:val="nil"/>
              <w:left w:val="nil"/>
              <w:bottom w:val="single" w:sz="4" w:space="0" w:color="auto"/>
              <w:right w:val="single" w:sz="4" w:space="0" w:color="auto"/>
            </w:tcBorders>
            <w:shd w:val="clear" w:color="auto" w:fill="auto"/>
            <w:noWrap/>
            <w:vAlign w:val="bottom"/>
          </w:tcPr>
          <w:p w14:paraId="1DA2587A"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-2.08</w:t>
            </w:r>
          </w:p>
        </w:tc>
        <w:tc>
          <w:tcPr>
            <w:tcW w:w="1156" w:type="dxa"/>
            <w:tcBorders>
              <w:top w:val="nil"/>
              <w:left w:val="nil"/>
              <w:bottom w:val="single" w:sz="4" w:space="0" w:color="auto"/>
              <w:right w:val="single" w:sz="4" w:space="0" w:color="auto"/>
            </w:tcBorders>
            <w:shd w:val="clear" w:color="auto" w:fill="auto"/>
            <w:noWrap/>
            <w:vAlign w:val="bottom"/>
          </w:tcPr>
          <w:p w14:paraId="7828FC1C"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96.36</w:t>
            </w:r>
          </w:p>
        </w:tc>
      </w:tr>
      <w:tr w:rsidR="00E52AC1" w:rsidRPr="00991DD7" w14:paraId="3499EF54" w14:textId="77777777" w:rsidTr="00E52AC1">
        <w:trPr>
          <w:trHeight w:val="368"/>
        </w:trPr>
        <w:tc>
          <w:tcPr>
            <w:tcW w:w="4140" w:type="dxa"/>
            <w:tcBorders>
              <w:top w:val="nil"/>
              <w:left w:val="single" w:sz="4" w:space="0" w:color="auto"/>
              <w:bottom w:val="single" w:sz="4" w:space="0" w:color="auto"/>
              <w:right w:val="single" w:sz="4" w:space="0" w:color="auto"/>
            </w:tcBorders>
            <w:shd w:val="clear" w:color="auto" w:fill="auto"/>
            <w:vAlign w:val="bottom"/>
          </w:tcPr>
          <w:p w14:paraId="1BB57DFD" w14:textId="77777777" w:rsidR="00E52AC1" w:rsidRDefault="00E52AC1" w:rsidP="00E52AC1">
            <w:pPr>
              <w:spacing w:after="0" w:line="240" w:lineRule="auto"/>
              <w:jc w:val="both"/>
              <w:rPr>
                <w:rFonts w:asciiTheme="majorHAnsi" w:eastAsia="Times New Roman" w:hAnsiTheme="majorHAnsi" w:cstheme="majorHAnsi"/>
                <w:b/>
                <w:bCs/>
                <w:color w:val="000000"/>
                <w:sz w:val="18"/>
                <w:szCs w:val="18"/>
              </w:rPr>
            </w:pPr>
            <w:r w:rsidRPr="002E44D4">
              <w:rPr>
                <w:rFonts w:asciiTheme="majorHAnsi" w:eastAsia="Times New Roman" w:hAnsiTheme="majorHAnsi" w:cstheme="majorHAnsi"/>
                <w:b/>
                <w:bCs/>
                <w:color w:val="000000"/>
                <w:sz w:val="18"/>
                <w:szCs w:val="18"/>
              </w:rPr>
              <w:t>Indemnizații membrilor Consiliului pentru dezvoltare strategică</w:t>
            </w:r>
          </w:p>
        </w:tc>
        <w:tc>
          <w:tcPr>
            <w:tcW w:w="964" w:type="dxa"/>
            <w:tcBorders>
              <w:top w:val="nil"/>
              <w:left w:val="nil"/>
              <w:bottom w:val="single" w:sz="4" w:space="0" w:color="auto"/>
              <w:right w:val="single" w:sz="4" w:space="0" w:color="auto"/>
            </w:tcBorders>
            <w:shd w:val="clear" w:color="auto" w:fill="auto"/>
            <w:noWrap/>
            <w:vAlign w:val="bottom"/>
          </w:tcPr>
          <w:p w14:paraId="1CAF04F7" w14:textId="77777777" w:rsidR="00E52AC1"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281812</w:t>
            </w:r>
          </w:p>
        </w:tc>
        <w:tc>
          <w:tcPr>
            <w:tcW w:w="1004" w:type="dxa"/>
            <w:tcBorders>
              <w:top w:val="nil"/>
              <w:left w:val="nil"/>
              <w:bottom w:val="single" w:sz="4" w:space="0" w:color="auto"/>
              <w:right w:val="single" w:sz="4" w:space="0" w:color="auto"/>
            </w:tcBorders>
            <w:shd w:val="clear" w:color="auto" w:fill="auto"/>
            <w:noWrap/>
            <w:vAlign w:val="bottom"/>
          </w:tcPr>
          <w:p w14:paraId="015E3819"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0.42</w:t>
            </w:r>
          </w:p>
        </w:tc>
        <w:tc>
          <w:tcPr>
            <w:tcW w:w="900" w:type="dxa"/>
            <w:tcBorders>
              <w:top w:val="nil"/>
              <w:left w:val="nil"/>
              <w:bottom w:val="single" w:sz="4" w:space="0" w:color="auto"/>
              <w:right w:val="single" w:sz="4" w:space="0" w:color="auto"/>
            </w:tcBorders>
            <w:shd w:val="clear" w:color="auto" w:fill="auto"/>
            <w:noWrap/>
            <w:vAlign w:val="bottom"/>
          </w:tcPr>
          <w:p w14:paraId="169ACBAF"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0.37</w:t>
            </w:r>
          </w:p>
        </w:tc>
        <w:tc>
          <w:tcPr>
            <w:tcW w:w="900" w:type="dxa"/>
            <w:tcBorders>
              <w:top w:val="nil"/>
              <w:left w:val="nil"/>
              <w:bottom w:val="single" w:sz="4" w:space="0" w:color="auto"/>
              <w:right w:val="single" w:sz="4" w:space="0" w:color="auto"/>
            </w:tcBorders>
            <w:shd w:val="clear" w:color="auto" w:fill="auto"/>
            <w:noWrap/>
            <w:vAlign w:val="bottom"/>
          </w:tcPr>
          <w:p w14:paraId="4B84BFAF"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0.08</w:t>
            </w:r>
          </w:p>
        </w:tc>
        <w:tc>
          <w:tcPr>
            <w:tcW w:w="900" w:type="dxa"/>
            <w:tcBorders>
              <w:top w:val="nil"/>
              <w:left w:val="nil"/>
              <w:bottom w:val="single" w:sz="4" w:space="0" w:color="auto"/>
              <w:right w:val="single" w:sz="4" w:space="0" w:color="auto"/>
            </w:tcBorders>
            <w:shd w:val="clear" w:color="auto" w:fill="auto"/>
            <w:noWrap/>
            <w:vAlign w:val="bottom"/>
          </w:tcPr>
          <w:p w14:paraId="3EBA6A03"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0.08</w:t>
            </w:r>
          </w:p>
        </w:tc>
        <w:tc>
          <w:tcPr>
            <w:tcW w:w="948" w:type="dxa"/>
            <w:tcBorders>
              <w:top w:val="nil"/>
              <w:left w:val="nil"/>
              <w:bottom w:val="single" w:sz="4" w:space="0" w:color="auto"/>
              <w:right w:val="single" w:sz="4" w:space="0" w:color="auto"/>
            </w:tcBorders>
            <w:shd w:val="clear" w:color="auto" w:fill="auto"/>
            <w:noWrap/>
            <w:vAlign w:val="bottom"/>
          </w:tcPr>
          <w:p w14:paraId="1081D78D"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6036E342"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0.05</w:t>
            </w:r>
          </w:p>
        </w:tc>
        <w:tc>
          <w:tcPr>
            <w:tcW w:w="990" w:type="dxa"/>
            <w:tcBorders>
              <w:top w:val="nil"/>
              <w:left w:val="nil"/>
              <w:bottom w:val="single" w:sz="4" w:space="0" w:color="auto"/>
              <w:right w:val="single" w:sz="4" w:space="0" w:color="auto"/>
            </w:tcBorders>
            <w:shd w:val="clear" w:color="auto" w:fill="auto"/>
            <w:noWrap/>
            <w:vAlign w:val="bottom"/>
          </w:tcPr>
          <w:p w14:paraId="34B94D2B"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-0.28</w:t>
            </w:r>
          </w:p>
        </w:tc>
        <w:tc>
          <w:tcPr>
            <w:tcW w:w="990" w:type="dxa"/>
            <w:tcBorders>
              <w:top w:val="nil"/>
              <w:left w:val="nil"/>
              <w:bottom w:val="single" w:sz="4" w:space="0" w:color="auto"/>
              <w:right w:val="single" w:sz="4" w:space="0" w:color="auto"/>
            </w:tcBorders>
            <w:shd w:val="clear" w:color="auto" w:fill="auto"/>
            <w:noWrap/>
            <w:vAlign w:val="bottom"/>
          </w:tcPr>
          <w:p w14:paraId="43D23D91"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22.93</w:t>
            </w:r>
          </w:p>
        </w:tc>
        <w:tc>
          <w:tcPr>
            <w:tcW w:w="1080" w:type="dxa"/>
            <w:tcBorders>
              <w:top w:val="nil"/>
              <w:left w:val="nil"/>
              <w:bottom w:val="single" w:sz="4" w:space="0" w:color="auto"/>
              <w:right w:val="single" w:sz="4" w:space="0" w:color="auto"/>
            </w:tcBorders>
            <w:shd w:val="clear" w:color="auto" w:fill="auto"/>
            <w:noWrap/>
            <w:vAlign w:val="bottom"/>
          </w:tcPr>
          <w:p w14:paraId="7390C06F"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-0.28</w:t>
            </w:r>
          </w:p>
        </w:tc>
        <w:tc>
          <w:tcPr>
            <w:tcW w:w="1156" w:type="dxa"/>
            <w:tcBorders>
              <w:top w:val="nil"/>
              <w:left w:val="nil"/>
              <w:bottom w:val="single" w:sz="4" w:space="0" w:color="auto"/>
              <w:right w:val="single" w:sz="4" w:space="0" w:color="auto"/>
            </w:tcBorders>
            <w:shd w:val="clear" w:color="auto" w:fill="auto"/>
            <w:noWrap/>
            <w:vAlign w:val="bottom"/>
          </w:tcPr>
          <w:p w14:paraId="13335D96"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22.93</w:t>
            </w:r>
          </w:p>
        </w:tc>
      </w:tr>
      <w:tr w:rsidR="00E52AC1" w:rsidRPr="00991DD7" w14:paraId="0208FFB3" w14:textId="77777777" w:rsidTr="00E52AC1">
        <w:trPr>
          <w:trHeight w:val="368"/>
        </w:trPr>
        <w:tc>
          <w:tcPr>
            <w:tcW w:w="4140" w:type="dxa"/>
            <w:tcBorders>
              <w:top w:val="nil"/>
              <w:left w:val="single" w:sz="4" w:space="0" w:color="auto"/>
              <w:bottom w:val="single" w:sz="4" w:space="0" w:color="auto"/>
              <w:right w:val="single" w:sz="4" w:space="0" w:color="auto"/>
            </w:tcBorders>
            <w:shd w:val="clear" w:color="auto" w:fill="auto"/>
            <w:vAlign w:val="bottom"/>
          </w:tcPr>
          <w:p w14:paraId="107F26F6" w14:textId="77777777" w:rsidR="00E52AC1" w:rsidRDefault="00E52AC1" w:rsidP="00E52AC1">
            <w:pPr>
              <w:spacing w:after="0" w:line="240" w:lineRule="auto"/>
              <w:jc w:val="both"/>
              <w:rPr>
                <w:rFonts w:asciiTheme="majorHAnsi" w:eastAsia="Times New Roman" w:hAnsiTheme="majorHAnsi" w:cstheme="majorHAnsi"/>
                <w:b/>
                <w:bCs/>
                <w:color w:val="000000"/>
                <w:sz w:val="18"/>
                <w:szCs w:val="18"/>
              </w:rPr>
            </w:pPr>
            <w:r w:rsidRPr="002E44D4">
              <w:rPr>
                <w:rFonts w:asciiTheme="majorHAnsi" w:eastAsia="Times New Roman" w:hAnsiTheme="majorHAnsi" w:cstheme="majorHAnsi"/>
                <w:b/>
                <w:bCs/>
                <w:color w:val="000000"/>
                <w:sz w:val="18"/>
                <w:szCs w:val="18"/>
              </w:rPr>
              <w:t>Alte cheltuieli curente</w:t>
            </w:r>
          </w:p>
        </w:tc>
        <w:tc>
          <w:tcPr>
            <w:tcW w:w="964" w:type="dxa"/>
            <w:tcBorders>
              <w:top w:val="nil"/>
              <w:left w:val="nil"/>
              <w:bottom w:val="single" w:sz="4" w:space="0" w:color="auto"/>
              <w:right w:val="single" w:sz="4" w:space="0" w:color="auto"/>
            </w:tcBorders>
            <w:shd w:val="clear" w:color="auto" w:fill="auto"/>
            <w:noWrap/>
            <w:vAlign w:val="bottom"/>
          </w:tcPr>
          <w:p w14:paraId="79065CBE" w14:textId="77777777" w:rsidR="00E52AC1"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281900</w:t>
            </w:r>
          </w:p>
        </w:tc>
        <w:tc>
          <w:tcPr>
            <w:tcW w:w="1004" w:type="dxa"/>
            <w:tcBorders>
              <w:top w:val="nil"/>
              <w:left w:val="nil"/>
              <w:bottom w:val="single" w:sz="4" w:space="0" w:color="auto"/>
              <w:right w:val="single" w:sz="4" w:space="0" w:color="auto"/>
            </w:tcBorders>
            <w:shd w:val="clear" w:color="auto" w:fill="auto"/>
            <w:noWrap/>
            <w:vAlign w:val="bottom"/>
          </w:tcPr>
          <w:p w14:paraId="0420D9C4"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15.65</w:t>
            </w:r>
          </w:p>
        </w:tc>
        <w:tc>
          <w:tcPr>
            <w:tcW w:w="900" w:type="dxa"/>
            <w:tcBorders>
              <w:top w:val="nil"/>
              <w:left w:val="nil"/>
              <w:bottom w:val="single" w:sz="4" w:space="0" w:color="auto"/>
              <w:right w:val="single" w:sz="4" w:space="0" w:color="auto"/>
            </w:tcBorders>
            <w:shd w:val="clear" w:color="auto" w:fill="auto"/>
            <w:noWrap/>
            <w:vAlign w:val="bottom"/>
          </w:tcPr>
          <w:p w14:paraId="7B4EE7AD"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5.54</w:t>
            </w:r>
          </w:p>
        </w:tc>
        <w:tc>
          <w:tcPr>
            <w:tcW w:w="900" w:type="dxa"/>
            <w:tcBorders>
              <w:top w:val="nil"/>
              <w:left w:val="nil"/>
              <w:bottom w:val="single" w:sz="4" w:space="0" w:color="auto"/>
              <w:right w:val="single" w:sz="4" w:space="0" w:color="auto"/>
            </w:tcBorders>
            <w:shd w:val="clear" w:color="auto" w:fill="auto"/>
            <w:noWrap/>
            <w:vAlign w:val="bottom"/>
          </w:tcPr>
          <w:p w14:paraId="1D1ACFE3"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4.44</w:t>
            </w:r>
          </w:p>
        </w:tc>
        <w:tc>
          <w:tcPr>
            <w:tcW w:w="900" w:type="dxa"/>
            <w:tcBorders>
              <w:top w:val="nil"/>
              <w:left w:val="nil"/>
              <w:bottom w:val="single" w:sz="4" w:space="0" w:color="auto"/>
              <w:right w:val="single" w:sz="4" w:space="0" w:color="auto"/>
            </w:tcBorders>
            <w:shd w:val="clear" w:color="auto" w:fill="auto"/>
            <w:noWrap/>
            <w:vAlign w:val="bottom"/>
          </w:tcPr>
          <w:p w14:paraId="28A5EAA5"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4.41</w:t>
            </w:r>
          </w:p>
        </w:tc>
        <w:tc>
          <w:tcPr>
            <w:tcW w:w="948" w:type="dxa"/>
            <w:tcBorders>
              <w:top w:val="nil"/>
              <w:left w:val="nil"/>
              <w:bottom w:val="single" w:sz="4" w:space="0" w:color="auto"/>
              <w:right w:val="single" w:sz="4" w:space="0" w:color="auto"/>
            </w:tcBorders>
            <w:shd w:val="clear" w:color="auto" w:fill="auto"/>
            <w:noWrap/>
            <w:vAlign w:val="bottom"/>
          </w:tcPr>
          <w:p w14:paraId="002771BF"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0443498A"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-10.10</w:t>
            </w:r>
          </w:p>
        </w:tc>
        <w:tc>
          <w:tcPr>
            <w:tcW w:w="990" w:type="dxa"/>
            <w:tcBorders>
              <w:top w:val="nil"/>
              <w:left w:val="nil"/>
              <w:bottom w:val="single" w:sz="4" w:space="0" w:color="auto"/>
              <w:right w:val="single" w:sz="4" w:space="0" w:color="auto"/>
            </w:tcBorders>
            <w:shd w:val="clear" w:color="auto" w:fill="auto"/>
            <w:noWrap/>
            <w:vAlign w:val="bottom"/>
          </w:tcPr>
          <w:p w14:paraId="2468D980"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-1.10</w:t>
            </w:r>
          </w:p>
        </w:tc>
        <w:tc>
          <w:tcPr>
            <w:tcW w:w="990" w:type="dxa"/>
            <w:tcBorders>
              <w:top w:val="nil"/>
              <w:left w:val="nil"/>
              <w:bottom w:val="single" w:sz="4" w:space="0" w:color="auto"/>
              <w:right w:val="single" w:sz="4" w:space="0" w:color="auto"/>
            </w:tcBorders>
            <w:shd w:val="clear" w:color="auto" w:fill="auto"/>
            <w:noWrap/>
            <w:vAlign w:val="bottom"/>
          </w:tcPr>
          <w:p w14:paraId="656CC559"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80.16</w:t>
            </w:r>
          </w:p>
        </w:tc>
        <w:tc>
          <w:tcPr>
            <w:tcW w:w="1080" w:type="dxa"/>
            <w:tcBorders>
              <w:top w:val="nil"/>
              <w:left w:val="nil"/>
              <w:bottom w:val="single" w:sz="4" w:space="0" w:color="auto"/>
              <w:right w:val="single" w:sz="4" w:space="0" w:color="auto"/>
            </w:tcBorders>
            <w:shd w:val="clear" w:color="auto" w:fill="auto"/>
            <w:noWrap/>
            <w:vAlign w:val="bottom"/>
          </w:tcPr>
          <w:p w14:paraId="18DBC3AF"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-1.14</w:t>
            </w:r>
          </w:p>
        </w:tc>
        <w:tc>
          <w:tcPr>
            <w:tcW w:w="1156" w:type="dxa"/>
            <w:tcBorders>
              <w:top w:val="nil"/>
              <w:left w:val="nil"/>
              <w:bottom w:val="single" w:sz="4" w:space="0" w:color="auto"/>
              <w:right w:val="single" w:sz="4" w:space="0" w:color="auto"/>
            </w:tcBorders>
            <w:shd w:val="clear" w:color="auto" w:fill="auto"/>
            <w:noWrap/>
            <w:vAlign w:val="bottom"/>
          </w:tcPr>
          <w:p w14:paraId="41EED25D"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79.54</w:t>
            </w:r>
          </w:p>
        </w:tc>
      </w:tr>
      <w:tr w:rsidR="00E52AC1" w:rsidRPr="00991DD7" w14:paraId="3C185209" w14:textId="77777777" w:rsidTr="00E52AC1">
        <w:trPr>
          <w:trHeight w:val="197"/>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2E461533"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hideMark/>
          </w:tcPr>
          <w:p w14:paraId="51A80E96" w14:textId="77777777" w:rsidR="00E52AC1" w:rsidRPr="001C4BAB" w:rsidRDefault="00E52AC1" w:rsidP="00E52AC1">
            <w:pPr>
              <w:spacing w:after="0" w:line="240" w:lineRule="auto"/>
              <w:jc w:val="both"/>
              <w:rPr>
                <w:rFonts w:asciiTheme="majorHAnsi" w:eastAsia="Times New Roman" w:hAnsiTheme="majorHAnsi" w:cstheme="majorHAnsi"/>
                <w:b/>
                <w:i/>
                <w:iCs/>
                <w:color w:val="000000"/>
                <w:sz w:val="18"/>
                <w:szCs w:val="18"/>
              </w:rPr>
            </w:pPr>
            <w:r w:rsidRPr="001C4BAB">
              <w:rPr>
                <w:rFonts w:asciiTheme="majorHAnsi" w:eastAsia="Times New Roman" w:hAnsiTheme="majorHAnsi" w:cstheme="majorHAnsi"/>
                <w:b/>
                <w:i/>
                <w:iCs/>
                <w:color w:val="000000"/>
                <w:sz w:val="18"/>
                <w:szCs w:val="18"/>
              </w:rPr>
              <w:t>282</w:t>
            </w:r>
          </w:p>
        </w:tc>
        <w:tc>
          <w:tcPr>
            <w:tcW w:w="1004" w:type="dxa"/>
            <w:tcBorders>
              <w:top w:val="nil"/>
              <w:left w:val="nil"/>
              <w:bottom w:val="single" w:sz="4" w:space="0" w:color="auto"/>
              <w:right w:val="single" w:sz="4" w:space="0" w:color="auto"/>
            </w:tcBorders>
            <w:shd w:val="clear" w:color="auto" w:fill="auto"/>
            <w:noWrap/>
            <w:vAlign w:val="bottom"/>
            <w:hideMark/>
          </w:tcPr>
          <w:p w14:paraId="37445ECB" w14:textId="77777777" w:rsidR="00E52AC1" w:rsidRPr="001C4BAB" w:rsidRDefault="00E52AC1" w:rsidP="00E52AC1">
            <w:pPr>
              <w:spacing w:after="0" w:line="240" w:lineRule="auto"/>
              <w:jc w:val="center"/>
              <w:rPr>
                <w:rFonts w:asciiTheme="majorHAnsi" w:eastAsia="Times New Roman" w:hAnsiTheme="majorHAnsi" w:cstheme="majorHAnsi"/>
                <w:b/>
                <w:color w:val="000000"/>
                <w:sz w:val="18"/>
                <w:szCs w:val="18"/>
              </w:rPr>
            </w:pPr>
            <w:r w:rsidRPr="001C4BAB">
              <w:rPr>
                <w:rFonts w:asciiTheme="majorHAnsi" w:eastAsia="Times New Roman" w:hAnsiTheme="majorHAnsi" w:cstheme="majorHAnsi"/>
                <w:b/>
                <w:color w:val="000000"/>
                <w:sz w:val="18"/>
                <w:szCs w:val="18"/>
              </w:rPr>
              <w:t>158.60</w:t>
            </w:r>
          </w:p>
        </w:tc>
        <w:tc>
          <w:tcPr>
            <w:tcW w:w="900" w:type="dxa"/>
            <w:tcBorders>
              <w:top w:val="nil"/>
              <w:left w:val="nil"/>
              <w:bottom w:val="single" w:sz="4" w:space="0" w:color="auto"/>
              <w:right w:val="single" w:sz="4" w:space="0" w:color="auto"/>
            </w:tcBorders>
            <w:shd w:val="clear" w:color="auto" w:fill="auto"/>
            <w:noWrap/>
            <w:vAlign w:val="bottom"/>
            <w:hideMark/>
          </w:tcPr>
          <w:p w14:paraId="54F56477" w14:textId="77777777" w:rsidR="00E52AC1" w:rsidRPr="001C4BAB" w:rsidRDefault="00E52AC1" w:rsidP="00E52AC1">
            <w:pPr>
              <w:spacing w:after="0" w:line="240" w:lineRule="auto"/>
              <w:jc w:val="center"/>
              <w:rPr>
                <w:rFonts w:asciiTheme="majorHAnsi" w:eastAsia="Times New Roman" w:hAnsiTheme="majorHAnsi" w:cstheme="majorHAnsi"/>
                <w:b/>
                <w:color w:val="000000"/>
                <w:sz w:val="18"/>
                <w:szCs w:val="18"/>
              </w:rPr>
            </w:pPr>
            <w:r w:rsidRPr="001C4BAB">
              <w:rPr>
                <w:rFonts w:asciiTheme="majorHAnsi" w:eastAsia="Times New Roman" w:hAnsiTheme="majorHAnsi" w:cstheme="majorHAnsi"/>
                <w:b/>
                <w:color w:val="000000"/>
                <w:sz w:val="18"/>
                <w:szCs w:val="18"/>
              </w:rPr>
              <w:t>77.26</w:t>
            </w:r>
          </w:p>
        </w:tc>
        <w:tc>
          <w:tcPr>
            <w:tcW w:w="900" w:type="dxa"/>
            <w:tcBorders>
              <w:top w:val="nil"/>
              <w:left w:val="nil"/>
              <w:bottom w:val="single" w:sz="4" w:space="0" w:color="auto"/>
              <w:right w:val="single" w:sz="4" w:space="0" w:color="auto"/>
            </w:tcBorders>
            <w:shd w:val="clear" w:color="auto" w:fill="auto"/>
            <w:noWrap/>
            <w:vAlign w:val="bottom"/>
            <w:hideMark/>
          </w:tcPr>
          <w:p w14:paraId="651C1773" w14:textId="77777777" w:rsidR="00E52AC1" w:rsidRPr="001C4BAB" w:rsidRDefault="00E52AC1" w:rsidP="00E52AC1">
            <w:pPr>
              <w:spacing w:after="0" w:line="240" w:lineRule="auto"/>
              <w:jc w:val="center"/>
              <w:rPr>
                <w:rFonts w:asciiTheme="majorHAnsi" w:eastAsia="Times New Roman" w:hAnsiTheme="majorHAnsi" w:cstheme="majorHAnsi"/>
                <w:b/>
                <w:color w:val="000000"/>
                <w:sz w:val="18"/>
                <w:szCs w:val="18"/>
              </w:rPr>
            </w:pPr>
            <w:r w:rsidRPr="001C4BAB">
              <w:rPr>
                <w:rFonts w:asciiTheme="majorHAnsi" w:eastAsia="Times New Roman" w:hAnsiTheme="majorHAnsi" w:cstheme="majorHAnsi"/>
                <w:b/>
                <w:color w:val="000000"/>
                <w:sz w:val="18"/>
                <w:szCs w:val="18"/>
              </w:rPr>
              <w:t>8.25</w:t>
            </w:r>
          </w:p>
        </w:tc>
        <w:tc>
          <w:tcPr>
            <w:tcW w:w="900" w:type="dxa"/>
            <w:tcBorders>
              <w:top w:val="nil"/>
              <w:left w:val="nil"/>
              <w:bottom w:val="single" w:sz="4" w:space="0" w:color="auto"/>
              <w:right w:val="single" w:sz="4" w:space="0" w:color="auto"/>
            </w:tcBorders>
            <w:shd w:val="clear" w:color="auto" w:fill="auto"/>
            <w:noWrap/>
            <w:vAlign w:val="bottom"/>
            <w:hideMark/>
          </w:tcPr>
          <w:p w14:paraId="01BC780A" w14:textId="77777777" w:rsidR="00E52AC1" w:rsidRPr="001C4BAB" w:rsidRDefault="00E52AC1" w:rsidP="00E52AC1">
            <w:pPr>
              <w:spacing w:after="0" w:line="240" w:lineRule="auto"/>
              <w:jc w:val="center"/>
              <w:rPr>
                <w:rFonts w:asciiTheme="majorHAnsi" w:eastAsia="Times New Roman" w:hAnsiTheme="majorHAnsi" w:cstheme="majorHAnsi"/>
                <w:b/>
                <w:color w:val="000000"/>
                <w:sz w:val="18"/>
                <w:szCs w:val="18"/>
              </w:rPr>
            </w:pPr>
            <w:r w:rsidRPr="001C4BAB">
              <w:rPr>
                <w:rFonts w:asciiTheme="majorHAnsi" w:eastAsia="Times New Roman" w:hAnsiTheme="majorHAnsi" w:cstheme="majorHAnsi"/>
                <w:b/>
                <w:color w:val="000000"/>
                <w:sz w:val="18"/>
                <w:szCs w:val="18"/>
              </w:rPr>
              <w:t>8.34</w:t>
            </w:r>
          </w:p>
        </w:tc>
        <w:tc>
          <w:tcPr>
            <w:tcW w:w="948" w:type="dxa"/>
            <w:tcBorders>
              <w:top w:val="nil"/>
              <w:left w:val="nil"/>
              <w:bottom w:val="single" w:sz="4" w:space="0" w:color="auto"/>
              <w:right w:val="single" w:sz="4" w:space="0" w:color="auto"/>
            </w:tcBorders>
            <w:shd w:val="clear" w:color="auto" w:fill="auto"/>
            <w:noWrap/>
            <w:vAlign w:val="bottom"/>
            <w:hideMark/>
          </w:tcPr>
          <w:p w14:paraId="3655C245" w14:textId="77777777" w:rsidR="00E52AC1" w:rsidRPr="001C4BAB" w:rsidRDefault="00E52AC1" w:rsidP="00E52AC1">
            <w:pPr>
              <w:spacing w:after="0" w:line="240" w:lineRule="auto"/>
              <w:jc w:val="center"/>
              <w:rPr>
                <w:rFonts w:asciiTheme="majorHAnsi" w:eastAsia="Times New Roman" w:hAnsiTheme="majorHAnsi" w:cstheme="majorHAnsi"/>
                <w:b/>
                <w:color w:val="000000"/>
                <w:sz w:val="18"/>
                <w:szCs w:val="18"/>
              </w:rPr>
            </w:pPr>
            <w:r w:rsidRPr="001C4BAB">
              <w:rPr>
                <w:rFonts w:asciiTheme="majorHAnsi" w:eastAsia="Times New Roman" w:hAnsiTheme="majorHAnsi" w:cstheme="majorHAnsi"/>
                <w:b/>
                <w:color w:val="000000"/>
                <w:sz w:val="18"/>
                <w:szCs w:val="18"/>
              </w:rPr>
              <w:t>0.18</w:t>
            </w:r>
          </w:p>
        </w:tc>
        <w:tc>
          <w:tcPr>
            <w:tcW w:w="1080" w:type="dxa"/>
            <w:tcBorders>
              <w:top w:val="nil"/>
              <w:left w:val="nil"/>
              <w:bottom w:val="single" w:sz="4" w:space="0" w:color="auto"/>
              <w:right w:val="single" w:sz="4" w:space="0" w:color="auto"/>
            </w:tcBorders>
            <w:shd w:val="clear" w:color="auto" w:fill="auto"/>
            <w:noWrap/>
            <w:vAlign w:val="bottom"/>
            <w:hideMark/>
          </w:tcPr>
          <w:p w14:paraId="130A921C" w14:textId="77777777" w:rsidR="00E52AC1" w:rsidRPr="001C4BAB" w:rsidRDefault="00E52AC1" w:rsidP="00E52AC1">
            <w:pPr>
              <w:spacing w:after="0" w:line="240" w:lineRule="auto"/>
              <w:jc w:val="center"/>
              <w:rPr>
                <w:rFonts w:asciiTheme="majorHAnsi" w:eastAsia="Times New Roman" w:hAnsiTheme="majorHAnsi" w:cstheme="majorHAnsi"/>
                <w:b/>
                <w:color w:val="000000"/>
                <w:sz w:val="18"/>
                <w:szCs w:val="18"/>
              </w:rPr>
            </w:pPr>
            <w:r w:rsidRPr="001C4BAB">
              <w:rPr>
                <w:rFonts w:asciiTheme="majorHAnsi" w:eastAsia="Times New Roman" w:hAnsiTheme="majorHAnsi" w:cstheme="majorHAnsi"/>
                <w:b/>
                <w:color w:val="000000"/>
                <w:sz w:val="18"/>
                <w:szCs w:val="18"/>
              </w:rPr>
              <w:t>-81.34</w:t>
            </w:r>
          </w:p>
        </w:tc>
        <w:tc>
          <w:tcPr>
            <w:tcW w:w="990" w:type="dxa"/>
            <w:tcBorders>
              <w:top w:val="nil"/>
              <w:left w:val="nil"/>
              <w:bottom w:val="single" w:sz="4" w:space="0" w:color="auto"/>
              <w:right w:val="single" w:sz="4" w:space="0" w:color="auto"/>
            </w:tcBorders>
            <w:shd w:val="clear" w:color="auto" w:fill="auto"/>
            <w:noWrap/>
            <w:vAlign w:val="bottom"/>
            <w:hideMark/>
          </w:tcPr>
          <w:p w14:paraId="1793F9C4" w14:textId="77777777" w:rsidR="00E52AC1" w:rsidRPr="001C4BAB" w:rsidRDefault="00E52AC1" w:rsidP="00E52AC1">
            <w:pPr>
              <w:spacing w:after="0" w:line="240" w:lineRule="auto"/>
              <w:jc w:val="center"/>
              <w:rPr>
                <w:rFonts w:asciiTheme="majorHAnsi" w:eastAsia="Times New Roman" w:hAnsiTheme="majorHAnsi" w:cstheme="majorHAnsi"/>
                <w:b/>
                <w:color w:val="000000"/>
                <w:sz w:val="18"/>
                <w:szCs w:val="18"/>
              </w:rPr>
            </w:pPr>
            <w:r w:rsidRPr="001C4BAB">
              <w:rPr>
                <w:rFonts w:asciiTheme="majorHAnsi" w:eastAsia="Times New Roman" w:hAnsiTheme="majorHAnsi" w:cstheme="majorHAnsi"/>
                <w:b/>
                <w:color w:val="000000"/>
                <w:sz w:val="18"/>
                <w:szCs w:val="18"/>
              </w:rPr>
              <w:t>-69.02</w:t>
            </w:r>
          </w:p>
        </w:tc>
        <w:tc>
          <w:tcPr>
            <w:tcW w:w="990" w:type="dxa"/>
            <w:tcBorders>
              <w:top w:val="nil"/>
              <w:left w:val="nil"/>
              <w:bottom w:val="single" w:sz="4" w:space="0" w:color="auto"/>
              <w:right w:val="single" w:sz="4" w:space="0" w:color="auto"/>
            </w:tcBorders>
            <w:shd w:val="clear" w:color="auto" w:fill="auto"/>
            <w:noWrap/>
            <w:vAlign w:val="bottom"/>
            <w:hideMark/>
          </w:tcPr>
          <w:p w14:paraId="22E19385" w14:textId="77777777" w:rsidR="00E52AC1" w:rsidRPr="001C4BAB" w:rsidRDefault="00E52AC1" w:rsidP="00E52AC1">
            <w:pPr>
              <w:spacing w:after="0" w:line="240" w:lineRule="auto"/>
              <w:jc w:val="center"/>
              <w:rPr>
                <w:rFonts w:asciiTheme="majorHAnsi" w:eastAsia="Times New Roman" w:hAnsiTheme="majorHAnsi" w:cstheme="majorHAnsi"/>
                <w:b/>
                <w:color w:val="000000"/>
                <w:sz w:val="18"/>
                <w:szCs w:val="18"/>
              </w:rPr>
            </w:pPr>
            <w:r w:rsidRPr="001C4BAB">
              <w:rPr>
                <w:rFonts w:asciiTheme="majorHAnsi" w:eastAsia="Times New Roman" w:hAnsiTheme="majorHAnsi" w:cstheme="majorHAnsi"/>
                <w:b/>
                <w:color w:val="000000"/>
                <w:sz w:val="18"/>
                <w:szCs w:val="18"/>
              </w:rPr>
              <w:t>10.67</w:t>
            </w:r>
          </w:p>
        </w:tc>
        <w:tc>
          <w:tcPr>
            <w:tcW w:w="1080" w:type="dxa"/>
            <w:tcBorders>
              <w:top w:val="nil"/>
              <w:left w:val="nil"/>
              <w:bottom w:val="single" w:sz="4" w:space="0" w:color="auto"/>
              <w:right w:val="single" w:sz="4" w:space="0" w:color="auto"/>
            </w:tcBorders>
            <w:shd w:val="clear" w:color="auto" w:fill="auto"/>
            <w:noWrap/>
            <w:vAlign w:val="bottom"/>
            <w:hideMark/>
          </w:tcPr>
          <w:p w14:paraId="42E51B73" w14:textId="77777777" w:rsidR="00E52AC1" w:rsidRPr="001C4BAB" w:rsidRDefault="00E52AC1" w:rsidP="00E52AC1">
            <w:pPr>
              <w:spacing w:after="0" w:line="240" w:lineRule="auto"/>
              <w:jc w:val="center"/>
              <w:rPr>
                <w:rFonts w:asciiTheme="majorHAnsi" w:eastAsia="Times New Roman" w:hAnsiTheme="majorHAnsi" w:cstheme="majorHAnsi"/>
                <w:b/>
                <w:color w:val="000000"/>
                <w:sz w:val="18"/>
                <w:szCs w:val="18"/>
              </w:rPr>
            </w:pPr>
            <w:r w:rsidRPr="001C4BAB">
              <w:rPr>
                <w:rFonts w:asciiTheme="majorHAnsi" w:eastAsia="Times New Roman" w:hAnsiTheme="majorHAnsi" w:cstheme="majorHAnsi"/>
                <w:b/>
                <w:color w:val="000000"/>
                <w:sz w:val="18"/>
                <w:szCs w:val="18"/>
              </w:rPr>
              <w:t>-68.92</w:t>
            </w:r>
          </w:p>
        </w:tc>
        <w:tc>
          <w:tcPr>
            <w:tcW w:w="1156" w:type="dxa"/>
            <w:tcBorders>
              <w:top w:val="nil"/>
              <w:left w:val="nil"/>
              <w:bottom w:val="single" w:sz="4" w:space="0" w:color="auto"/>
              <w:right w:val="single" w:sz="4" w:space="0" w:color="auto"/>
            </w:tcBorders>
            <w:shd w:val="clear" w:color="auto" w:fill="auto"/>
            <w:noWrap/>
            <w:vAlign w:val="bottom"/>
            <w:hideMark/>
          </w:tcPr>
          <w:p w14:paraId="6A5AE537" w14:textId="77777777" w:rsidR="00E52AC1" w:rsidRPr="001C4BAB" w:rsidRDefault="00E52AC1" w:rsidP="00E52AC1">
            <w:pPr>
              <w:spacing w:after="0" w:line="240" w:lineRule="auto"/>
              <w:jc w:val="center"/>
              <w:rPr>
                <w:rFonts w:asciiTheme="majorHAnsi" w:eastAsia="Times New Roman" w:hAnsiTheme="majorHAnsi" w:cstheme="majorHAnsi"/>
                <w:b/>
                <w:color w:val="000000"/>
                <w:sz w:val="18"/>
                <w:szCs w:val="18"/>
              </w:rPr>
            </w:pPr>
            <w:r w:rsidRPr="001C4BAB">
              <w:rPr>
                <w:rFonts w:asciiTheme="majorHAnsi" w:eastAsia="Times New Roman" w:hAnsiTheme="majorHAnsi" w:cstheme="majorHAnsi"/>
                <w:b/>
                <w:color w:val="000000"/>
                <w:sz w:val="18"/>
                <w:szCs w:val="18"/>
              </w:rPr>
              <w:t>10.80</w:t>
            </w:r>
          </w:p>
        </w:tc>
      </w:tr>
      <w:tr w:rsidR="00E52AC1" w:rsidRPr="00991DD7" w14:paraId="13F69D07" w14:textId="77777777" w:rsidTr="00E52AC1">
        <w:trPr>
          <w:trHeight w:val="503"/>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0C10020F"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Cheltuieli capitale pentru lucrări topografogeodezice de cartografie si cadastru</w:t>
            </w:r>
          </w:p>
        </w:tc>
        <w:tc>
          <w:tcPr>
            <w:tcW w:w="964" w:type="dxa"/>
            <w:tcBorders>
              <w:top w:val="nil"/>
              <w:left w:val="nil"/>
              <w:bottom w:val="single" w:sz="4" w:space="0" w:color="auto"/>
              <w:right w:val="single" w:sz="4" w:space="0" w:color="auto"/>
            </w:tcBorders>
            <w:shd w:val="clear" w:color="auto" w:fill="auto"/>
            <w:noWrap/>
            <w:vAlign w:val="bottom"/>
            <w:hideMark/>
          </w:tcPr>
          <w:p w14:paraId="5D2BA44F"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282100</w:t>
            </w:r>
          </w:p>
        </w:tc>
        <w:tc>
          <w:tcPr>
            <w:tcW w:w="1004" w:type="dxa"/>
            <w:tcBorders>
              <w:top w:val="nil"/>
              <w:left w:val="nil"/>
              <w:bottom w:val="single" w:sz="4" w:space="0" w:color="auto"/>
              <w:right w:val="single" w:sz="4" w:space="0" w:color="auto"/>
            </w:tcBorders>
            <w:shd w:val="clear" w:color="auto" w:fill="auto"/>
            <w:noWrap/>
            <w:vAlign w:val="bottom"/>
            <w:hideMark/>
          </w:tcPr>
          <w:p w14:paraId="6E4B40A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158.60</w:t>
            </w:r>
          </w:p>
        </w:tc>
        <w:tc>
          <w:tcPr>
            <w:tcW w:w="900" w:type="dxa"/>
            <w:tcBorders>
              <w:top w:val="nil"/>
              <w:left w:val="nil"/>
              <w:bottom w:val="single" w:sz="4" w:space="0" w:color="auto"/>
              <w:right w:val="single" w:sz="4" w:space="0" w:color="auto"/>
            </w:tcBorders>
            <w:shd w:val="clear" w:color="auto" w:fill="auto"/>
            <w:noWrap/>
            <w:vAlign w:val="bottom"/>
            <w:hideMark/>
          </w:tcPr>
          <w:p w14:paraId="57FBBA8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77.26</w:t>
            </w:r>
          </w:p>
        </w:tc>
        <w:tc>
          <w:tcPr>
            <w:tcW w:w="900" w:type="dxa"/>
            <w:tcBorders>
              <w:top w:val="nil"/>
              <w:left w:val="nil"/>
              <w:bottom w:val="single" w:sz="4" w:space="0" w:color="auto"/>
              <w:right w:val="single" w:sz="4" w:space="0" w:color="auto"/>
            </w:tcBorders>
            <w:shd w:val="clear" w:color="auto" w:fill="auto"/>
            <w:noWrap/>
            <w:vAlign w:val="bottom"/>
            <w:hideMark/>
          </w:tcPr>
          <w:p w14:paraId="6F2FBD0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8.25</w:t>
            </w:r>
          </w:p>
        </w:tc>
        <w:tc>
          <w:tcPr>
            <w:tcW w:w="900" w:type="dxa"/>
            <w:tcBorders>
              <w:top w:val="nil"/>
              <w:left w:val="nil"/>
              <w:bottom w:val="single" w:sz="4" w:space="0" w:color="auto"/>
              <w:right w:val="single" w:sz="4" w:space="0" w:color="auto"/>
            </w:tcBorders>
            <w:shd w:val="clear" w:color="auto" w:fill="auto"/>
            <w:noWrap/>
            <w:vAlign w:val="bottom"/>
            <w:hideMark/>
          </w:tcPr>
          <w:p w14:paraId="1574D77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8.34</w:t>
            </w:r>
          </w:p>
        </w:tc>
        <w:tc>
          <w:tcPr>
            <w:tcW w:w="948" w:type="dxa"/>
            <w:tcBorders>
              <w:top w:val="nil"/>
              <w:left w:val="nil"/>
              <w:bottom w:val="single" w:sz="4" w:space="0" w:color="auto"/>
              <w:right w:val="single" w:sz="4" w:space="0" w:color="auto"/>
            </w:tcBorders>
            <w:shd w:val="clear" w:color="auto" w:fill="auto"/>
            <w:noWrap/>
            <w:vAlign w:val="bottom"/>
            <w:hideMark/>
          </w:tcPr>
          <w:p w14:paraId="3E7BDE1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0.18</w:t>
            </w:r>
          </w:p>
        </w:tc>
        <w:tc>
          <w:tcPr>
            <w:tcW w:w="1080" w:type="dxa"/>
            <w:tcBorders>
              <w:top w:val="nil"/>
              <w:left w:val="nil"/>
              <w:bottom w:val="single" w:sz="4" w:space="0" w:color="auto"/>
              <w:right w:val="single" w:sz="4" w:space="0" w:color="auto"/>
            </w:tcBorders>
            <w:shd w:val="clear" w:color="auto" w:fill="auto"/>
            <w:noWrap/>
            <w:vAlign w:val="bottom"/>
            <w:hideMark/>
          </w:tcPr>
          <w:p w14:paraId="310489C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-81.34</w:t>
            </w:r>
          </w:p>
        </w:tc>
        <w:tc>
          <w:tcPr>
            <w:tcW w:w="990" w:type="dxa"/>
            <w:tcBorders>
              <w:top w:val="nil"/>
              <w:left w:val="nil"/>
              <w:bottom w:val="single" w:sz="4" w:space="0" w:color="auto"/>
              <w:right w:val="single" w:sz="4" w:space="0" w:color="auto"/>
            </w:tcBorders>
            <w:shd w:val="clear" w:color="auto" w:fill="auto"/>
            <w:noWrap/>
            <w:vAlign w:val="bottom"/>
            <w:hideMark/>
          </w:tcPr>
          <w:p w14:paraId="1626543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-69.02</w:t>
            </w:r>
          </w:p>
        </w:tc>
        <w:tc>
          <w:tcPr>
            <w:tcW w:w="990" w:type="dxa"/>
            <w:tcBorders>
              <w:top w:val="nil"/>
              <w:left w:val="nil"/>
              <w:bottom w:val="single" w:sz="4" w:space="0" w:color="auto"/>
              <w:right w:val="single" w:sz="4" w:space="0" w:color="auto"/>
            </w:tcBorders>
            <w:shd w:val="clear" w:color="auto" w:fill="auto"/>
            <w:noWrap/>
            <w:vAlign w:val="bottom"/>
            <w:hideMark/>
          </w:tcPr>
          <w:p w14:paraId="577968F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10.67</w:t>
            </w:r>
          </w:p>
        </w:tc>
        <w:tc>
          <w:tcPr>
            <w:tcW w:w="1080" w:type="dxa"/>
            <w:tcBorders>
              <w:top w:val="nil"/>
              <w:left w:val="nil"/>
              <w:bottom w:val="single" w:sz="4" w:space="0" w:color="auto"/>
              <w:right w:val="single" w:sz="4" w:space="0" w:color="auto"/>
            </w:tcBorders>
            <w:shd w:val="clear" w:color="auto" w:fill="auto"/>
            <w:noWrap/>
            <w:vAlign w:val="bottom"/>
            <w:hideMark/>
          </w:tcPr>
          <w:p w14:paraId="67BBD0C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-68.92</w:t>
            </w:r>
          </w:p>
        </w:tc>
        <w:tc>
          <w:tcPr>
            <w:tcW w:w="1156" w:type="dxa"/>
            <w:tcBorders>
              <w:top w:val="nil"/>
              <w:left w:val="nil"/>
              <w:bottom w:val="single" w:sz="4" w:space="0" w:color="auto"/>
              <w:right w:val="single" w:sz="4" w:space="0" w:color="auto"/>
            </w:tcBorders>
            <w:shd w:val="clear" w:color="auto" w:fill="auto"/>
            <w:noWrap/>
            <w:vAlign w:val="bottom"/>
            <w:hideMark/>
          </w:tcPr>
          <w:p w14:paraId="2B4512F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10.80</w:t>
            </w:r>
          </w:p>
        </w:tc>
      </w:tr>
      <w:tr w:rsidR="00E52AC1" w:rsidRPr="00991DD7" w14:paraId="7F1249AA" w14:textId="77777777" w:rsidTr="00E52AC1">
        <w:trPr>
          <w:trHeight w:val="197"/>
        </w:trPr>
        <w:tc>
          <w:tcPr>
            <w:tcW w:w="4140" w:type="dxa"/>
            <w:tcBorders>
              <w:top w:val="nil"/>
              <w:left w:val="single" w:sz="4" w:space="0" w:color="auto"/>
              <w:bottom w:val="single" w:sz="4" w:space="0" w:color="auto"/>
              <w:right w:val="single" w:sz="4" w:space="0" w:color="auto"/>
            </w:tcBorders>
            <w:shd w:val="clear" w:color="auto" w:fill="D9E2F3" w:themeFill="accent5" w:themeFillTint="33"/>
            <w:vAlign w:val="bottom"/>
            <w:hideMark/>
          </w:tcPr>
          <w:p w14:paraId="76F2C798"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D9E2F3" w:themeFill="accent5" w:themeFillTint="33"/>
            <w:noWrap/>
            <w:vAlign w:val="bottom"/>
            <w:hideMark/>
          </w:tcPr>
          <w:p w14:paraId="5ADFF8F2" w14:textId="77777777" w:rsidR="00E52AC1" w:rsidRPr="009C3182" w:rsidRDefault="00E52AC1" w:rsidP="00E52AC1">
            <w:pPr>
              <w:spacing w:after="0" w:line="240" w:lineRule="auto"/>
              <w:jc w:val="both"/>
              <w:rPr>
                <w:rFonts w:asciiTheme="majorHAnsi" w:eastAsia="Times New Roman" w:hAnsiTheme="majorHAnsi" w:cstheme="majorHAnsi"/>
                <w:b/>
                <w:i/>
                <w:iCs/>
                <w:color w:val="000000"/>
                <w:sz w:val="18"/>
                <w:szCs w:val="18"/>
              </w:rPr>
            </w:pPr>
            <w:r w:rsidRPr="009C3182">
              <w:rPr>
                <w:rFonts w:asciiTheme="majorHAnsi" w:eastAsia="Times New Roman" w:hAnsiTheme="majorHAnsi" w:cstheme="majorHAnsi"/>
                <w:b/>
                <w:i/>
                <w:iCs/>
                <w:color w:val="000000"/>
                <w:sz w:val="18"/>
                <w:szCs w:val="18"/>
              </w:rPr>
              <w:t>289</w:t>
            </w:r>
          </w:p>
        </w:tc>
        <w:tc>
          <w:tcPr>
            <w:tcW w:w="1004" w:type="dxa"/>
            <w:tcBorders>
              <w:top w:val="nil"/>
              <w:left w:val="nil"/>
              <w:bottom w:val="single" w:sz="4" w:space="0" w:color="auto"/>
              <w:right w:val="single" w:sz="4" w:space="0" w:color="auto"/>
            </w:tcBorders>
            <w:shd w:val="clear" w:color="auto" w:fill="D9E2F3" w:themeFill="accent5" w:themeFillTint="33"/>
            <w:noWrap/>
            <w:vAlign w:val="bottom"/>
            <w:hideMark/>
          </w:tcPr>
          <w:p w14:paraId="5D5E36F3" w14:textId="77777777" w:rsidR="00E52AC1" w:rsidRPr="009C3182" w:rsidRDefault="00E52AC1" w:rsidP="00E52AC1">
            <w:pPr>
              <w:spacing w:after="0" w:line="240" w:lineRule="auto"/>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0.00</w:t>
            </w:r>
          </w:p>
        </w:tc>
        <w:tc>
          <w:tcPr>
            <w:tcW w:w="900" w:type="dxa"/>
            <w:tcBorders>
              <w:top w:val="nil"/>
              <w:left w:val="nil"/>
              <w:bottom w:val="single" w:sz="4" w:space="0" w:color="auto"/>
              <w:right w:val="single" w:sz="4" w:space="0" w:color="auto"/>
            </w:tcBorders>
            <w:shd w:val="clear" w:color="auto" w:fill="D9E2F3" w:themeFill="accent5" w:themeFillTint="33"/>
            <w:noWrap/>
            <w:vAlign w:val="bottom"/>
            <w:hideMark/>
          </w:tcPr>
          <w:p w14:paraId="026EFCB8" w14:textId="77777777" w:rsidR="00E52AC1" w:rsidRPr="009C3182" w:rsidRDefault="00E52AC1" w:rsidP="00E52AC1">
            <w:pPr>
              <w:spacing w:after="0" w:line="240" w:lineRule="auto"/>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0.00</w:t>
            </w:r>
          </w:p>
        </w:tc>
        <w:tc>
          <w:tcPr>
            <w:tcW w:w="900" w:type="dxa"/>
            <w:tcBorders>
              <w:top w:val="nil"/>
              <w:left w:val="nil"/>
              <w:bottom w:val="single" w:sz="4" w:space="0" w:color="auto"/>
              <w:right w:val="single" w:sz="4" w:space="0" w:color="auto"/>
            </w:tcBorders>
            <w:shd w:val="clear" w:color="auto" w:fill="D9E2F3" w:themeFill="accent5" w:themeFillTint="33"/>
            <w:noWrap/>
            <w:vAlign w:val="bottom"/>
            <w:hideMark/>
          </w:tcPr>
          <w:p w14:paraId="76E1DCA8" w14:textId="77777777" w:rsidR="00E52AC1" w:rsidRPr="009C3182" w:rsidRDefault="00E52AC1" w:rsidP="00E52AC1">
            <w:pPr>
              <w:spacing w:after="0" w:line="240" w:lineRule="auto"/>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0.00</w:t>
            </w:r>
          </w:p>
        </w:tc>
        <w:tc>
          <w:tcPr>
            <w:tcW w:w="900" w:type="dxa"/>
            <w:tcBorders>
              <w:top w:val="nil"/>
              <w:left w:val="nil"/>
              <w:bottom w:val="single" w:sz="4" w:space="0" w:color="auto"/>
              <w:right w:val="single" w:sz="4" w:space="0" w:color="auto"/>
            </w:tcBorders>
            <w:shd w:val="clear" w:color="auto" w:fill="D9E2F3" w:themeFill="accent5" w:themeFillTint="33"/>
            <w:noWrap/>
            <w:vAlign w:val="bottom"/>
            <w:hideMark/>
          </w:tcPr>
          <w:p w14:paraId="51DB139E" w14:textId="77777777" w:rsidR="00E52AC1" w:rsidRPr="009C3182" w:rsidRDefault="00E52AC1" w:rsidP="00E52AC1">
            <w:pPr>
              <w:spacing w:after="0" w:line="240" w:lineRule="auto"/>
              <w:jc w:val="center"/>
              <w:rPr>
                <w:rFonts w:asciiTheme="majorHAnsi" w:eastAsia="Times New Roman" w:hAnsiTheme="majorHAnsi" w:cstheme="majorHAnsi"/>
                <w:b/>
                <w:color w:val="000000"/>
                <w:sz w:val="18"/>
                <w:szCs w:val="18"/>
              </w:rPr>
            </w:pPr>
            <w:r w:rsidRPr="009C3182">
              <w:rPr>
                <w:rFonts w:asciiTheme="majorHAnsi" w:eastAsia="Times New Roman" w:hAnsiTheme="majorHAnsi" w:cstheme="majorHAnsi"/>
                <w:b/>
                <w:color w:val="000000"/>
                <w:sz w:val="18"/>
                <w:szCs w:val="18"/>
              </w:rPr>
              <w:t>655.19</w:t>
            </w:r>
          </w:p>
        </w:tc>
        <w:tc>
          <w:tcPr>
            <w:tcW w:w="948" w:type="dxa"/>
            <w:tcBorders>
              <w:top w:val="nil"/>
              <w:left w:val="nil"/>
              <w:bottom w:val="single" w:sz="4" w:space="0" w:color="auto"/>
              <w:right w:val="single" w:sz="4" w:space="0" w:color="auto"/>
            </w:tcBorders>
            <w:shd w:val="clear" w:color="auto" w:fill="D9E2F3" w:themeFill="accent5" w:themeFillTint="33"/>
            <w:noWrap/>
            <w:vAlign w:val="bottom"/>
            <w:hideMark/>
          </w:tcPr>
          <w:p w14:paraId="5C8C653F" w14:textId="77777777" w:rsidR="00E52AC1" w:rsidRPr="009C3182" w:rsidRDefault="00E52AC1" w:rsidP="00E52AC1">
            <w:pPr>
              <w:spacing w:after="0" w:line="240" w:lineRule="auto"/>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D9E2F3" w:themeFill="accent5" w:themeFillTint="33"/>
            <w:noWrap/>
            <w:vAlign w:val="bottom"/>
            <w:hideMark/>
          </w:tcPr>
          <w:p w14:paraId="1114FB5B" w14:textId="77777777" w:rsidR="00E52AC1" w:rsidRPr="009C3182" w:rsidRDefault="00E52AC1" w:rsidP="00E52AC1">
            <w:pPr>
              <w:spacing w:after="0" w:line="240" w:lineRule="auto"/>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0.00</w:t>
            </w:r>
          </w:p>
        </w:tc>
        <w:tc>
          <w:tcPr>
            <w:tcW w:w="990" w:type="dxa"/>
            <w:tcBorders>
              <w:top w:val="nil"/>
              <w:left w:val="nil"/>
              <w:bottom w:val="single" w:sz="4" w:space="0" w:color="auto"/>
              <w:right w:val="single" w:sz="4" w:space="0" w:color="auto"/>
            </w:tcBorders>
            <w:shd w:val="clear" w:color="auto" w:fill="D9E2F3" w:themeFill="accent5" w:themeFillTint="33"/>
            <w:noWrap/>
            <w:vAlign w:val="bottom"/>
            <w:hideMark/>
          </w:tcPr>
          <w:p w14:paraId="6CFB80E3" w14:textId="77777777" w:rsidR="00E52AC1" w:rsidRPr="009C3182" w:rsidRDefault="00E52AC1" w:rsidP="00E52AC1">
            <w:pPr>
              <w:spacing w:after="0" w:line="240" w:lineRule="auto"/>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0.00</w:t>
            </w:r>
          </w:p>
        </w:tc>
        <w:tc>
          <w:tcPr>
            <w:tcW w:w="990" w:type="dxa"/>
            <w:tcBorders>
              <w:top w:val="nil"/>
              <w:left w:val="nil"/>
              <w:bottom w:val="single" w:sz="4" w:space="0" w:color="auto"/>
              <w:right w:val="single" w:sz="4" w:space="0" w:color="auto"/>
            </w:tcBorders>
            <w:shd w:val="clear" w:color="auto" w:fill="D9E2F3" w:themeFill="accent5" w:themeFillTint="33"/>
            <w:noWrap/>
            <w:vAlign w:val="bottom"/>
            <w:hideMark/>
          </w:tcPr>
          <w:p w14:paraId="078C7277" w14:textId="77777777" w:rsidR="00E52AC1" w:rsidRPr="009C3182" w:rsidRDefault="00E52AC1" w:rsidP="00E52AC1">
            <w:pPr>
              <w:spacing w:after="0" w:line="240" w:lineRule="auto"/>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D9E2F3" w:themeFill="accent5" w:themeFillTint="33"/>
            <w:noWrap/>
            <w:vAlign w:val="bottom"/>
            <w:hideMark/>
          </w:tcPr>
          <w:p w14:paraId="320FE538" w14:textId="77777777" w:rsidR="00E52AC1" w:rsidRPr="009C3182" w:rsidRDefault="00E52AC1" w:rsidP="00E52AC1">
            <w:pPr>
              <w:spacing w:after="0" w:line="240" w:lineRule="auto"/>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655.19</w:t>
            </w:r>
          </w:p>
        </w:tc>
        <w:tc>
          <w:tcPr>
            <w:tcW w:w="1156" w:type="dxa"/>
            <w:tcBorders>
              <w:top w:val="nil"/>
              <w:left w:val="nil"/>
              <w:bottom w:val="single" w:sz="4" w:space="0" w:color="auto"/>
              <w:right w:val="single" w:sz="4" w:space="0" w:color="auto"/>
            </w:tcBorders>
            <w:shd w:val="clear" w:color="auto" w:fill="D9E2F3" w:themeFill="accent5" w:themeFillTint="33"/>
            <w:noWrap/>
            <w:vAlign w:val="bottom"/>
            <w:hideMark/>
          </w:tcPr>
          <w:p w14:paraId="26D972B5" w14:textId="77777777" w:rsidR="00E52AC1" w:rsidRPr="009C3182" w:rsidRDefault="00E52AC1" w:rsidP="00E52AC1">
            <w:pPr>
              <w:spacing w:after="0" w:line="240" w:lineRule="auto"/>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0.00</w:t>
            </w:r>
          </w:p>
        </w:tc>
      </w:tr>
      <w:tr w:rsidR="00E52AC1" w:rsidRPr="00991DD7" w14:paraId="1E210C5C" w14:textId="77777777" w:rsidTr="00E52AC1">
        <w:trPr>
          <w:trHeight w:val="143"/>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7BA0FCA2"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Cheltuieli privind ieșirea activelor</w:t>
            </w:r>
          </w:p>
        </w:tc>
        <w:tc>
          <w:tcPr>
            <w:tcW w:w="964" w:type="dxa"/>
            <w:tcBorders>
              <w:top w:val="nil"/>
              <w:left w:val="nil"/>
              <w:bottom w:val="single" w:sz="4" w:space="0" w:color="auto"/>
              <w:right w:val="single" w:sz="4" w:space="0" w:color="auto"/>
            </w:tcBorders>
            <w:shd w:val="clear" w:color="auto" w:fill="auto"/>
            <w:noWrap/>
            <w:vAlign w:val="bottom"/>
            <w:hideMark/>
          </w:tcPr>
          <w:p w14:paraId="6A08D90C"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289100</w:t>
            </w:r>
          </w:p>
        </w:tc>
        <w:tc>
          <w:tcPr>
            <w:tcW w:w="1004" w:type="dxa"/>
            <w:tcBorders>
              <w:top w:val="nil"/>
              <w:left w:val="nil"/>
              <w:bottom w:val="single" w:sz="4" w:space="0" w:color="auto"/>
              <w:right w:val="single" w:sz="4" w:space="0" w:color="auto"/>
            </w:tcBorders>
            <w:shd w:val="clear" w:color="auto" w:fill="auto"/>
            <w:noWrap/>
            <w:vAlign w:val="bottom"/>
            <w:hideMark/>
          </w:tcPr>
          <w:p w14:paraId="707B877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4E098FF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5FE5C52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0CC89C9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5.73</w:t>
            </w:r>
          </w:p>
        </w:tc>
        <w:tc>
          <w:tcPr>
            <w:tcW w:w="948" w:type="dxa"/>
            <w:tcBorders>
              <w:top w:val="nil"/>
              <w:left w:val="nil"/>
              <w:bottom w:val="single" w:sz="4" w:space="0" w:color="auto"/>
              <w:right w:val="single" w:sz="4" w:space="0" w:color="auto"/>
            </w:tcBorders>
            <w:shd w:val="clear" w:color="auto" w:fill="auto"/>
            <w:noWrap/>
            <w:vAlign w:val="bottom"/>
            <w:hideMark/>
          </w:tcPr>
          <w:p w14:paraId="072C34A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45EBF44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0807484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1A6D52C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6F0DFEA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5.73</w:t>
            </w:r>
          </w:p>
        </w:tc>
        <w:tc>
          <w:tcPr>
            <w:tcW w:w="1156" w:type="dxa"/>
            <w:tcBorders>
              <w:top w:val="nil"/>
              <w:left w:val="nil"/>
              <w:bottom w:val="single" w:sz="4" w:space="0" w:color="auto"/>
              <w:right w:val="single" w:sz="4" w:space="0" w:color="auto"/>
            </w:tcBorders>
            <w:shd w:val="clear" w:color="auto" w:fill="auto"/>
            <w:noWrap/>
            <w:vAlign w:val="bottom"/>
            <w:hideMark/>
          </w:tcPr>
          <w:p w14:paraId="06EF1C6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r>
      <w:tr w:rsidR="00E52AC1" w:rsidRPr="00991DD7" w14:paraId="55283F6F" w14:textId="77777777" w:rsidTr="00E52AC1">
        <w:trPr>
          <w:trHeight w:val="27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74E3EBB4"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Cheltuieli privind transmiterea activelor cu titlu gratuit</w:t>
            </w:r>
          </w:p>
        </w:tc>
        <w:tc>
          <w:tcPr>
            <w:tcW w:w="964" w:type="dxa"/>
            <w:tcBorders>
              <w:top w:val="nil"/>
              <w:left w:val="nil"/>
              <w:bottom w:val="single" w:sz="4" w:space="0" w:color="auto"/>
              <w:right w:val="single" w:sz="4" w:space="0" w:color="auto"/>
            </w:tcBorders>
            <w:shd w:val="clear" w:color="auto" w:fill="auto"/>
            <w:noWrap/>
            <w:vAlign w:val="bottom"/>
            <w:hideMark/>
          </w:tcPr>
          <w:p w14:paraId="66D640C4"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289200</w:t>
            </w:r>
          </w:p>
        </w:tc>
        <w:tc>
          <w:tcPr>
            <w:tcW w:w="1004" w:type="dxa"/>
            <w:tcBorders>
              <w:top w:val="nil"/>
              <w:left w:val="nil"/>
              <w:bottom w:val="single" w:sz="4" w:space="0" w:color="auto"/>
              <w:right w:val="single" w:sz="4" w:space="0" w:color="auto"/>
            </w:tcBorders>
            <w:shd w:val="clear" w:color="auto" w:fill="auto"/>
            <w:noWrap/>
            <w:vAlign w:val="bottom"/>
            <w:hideMark/>
          </w:tcPr>
          <w:p w14:paraId="447F7A1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697BAAD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48567FF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97893A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609.92</w:t>
            </w:r>
          </w:p>
        </w:tc>
        <w:tc>
          <w:tcPr>
            <w:tcW w:w="948" w:type="dxa"/>
            <w:tcBorders>
              <w:top w:val="nil"/>
              <w:left w:val="nil"/>
              <w:bottom w:val="single" w:sz="4" w:space="0" w:color="auto"/>
              <w:right w:val="single" w:sz="4" w:space="0" w:color="auto"/>
            </w:tcBorders>
            <w:shd w:val="clear" w:color="auto" w:fill="auto"/>
            <w:noWrap/>
            <w:vAlign w:val="bottom"/>
            <w:hideMark/>
          </w:tcPr>
          <w:p w14:paraId="61C554D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6A54C0E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50784C7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321AF53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4F3EBD8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609.92</w:t>
            </w:r>
          </w:p>
        </w:tc>
        <w:tc>
          <w:tcPr>
            <w:tcW w:w="1156" w:type="dxa"/>
            <w:tcBorders>
              <w:top w:val="nil"/>
              <w:left w:val="nil"/>
              <w:bottom w:val="single" w:sz="4" w:space="0" w:color="auto"/>
              <w:right w:val="single" w:sz="4" w:space="0" w:color="auto"/>
            </w:tcBorders>
            <w:shd w:val="clear" w:color="auto" w:fill="auto"/>
            <w:noWrap/>
            <w:vAlign w:val="bottom"/>
            <w:hideMark/>
          </w:tcPr>
          <w:p w14:paraId="34F925B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r>
      <w:tr w:rsidR="00E52AC1" w:rsidRPr="00991DD7" w14:paraId="4121465E" w14:textId="77777777" w:rsidTr="00E52AC1">
        <w:trPr>
          <w:trHeight w:val="278"/>
        </w:trPr>
        <w:tc>
          <w:tcPr>
            <w:tcW w:w="4140" w:type="dxa"/>
            <w:tcBorders>
              <w:top w:val="nil"/>
              <w:left w:val="single" w:sz="4" w:space="0" w:color="auto"/>
              <w:bottom w:val="single" w:sz="4" w:space="0" w:color="auto"/>
              <w:right w:val="single" w:sz="4" w:space="0" w:color="auto"/>
            </w:tcBorders>
            <w:shd w:val="clear" w:color="auto" w:fill="auto"/>
            <w:vAlign w:val="bottom"/>
          </w:tcPr>
          <w:p w14:paraId="04166563"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2E44D4">
              <w:rPr>
                <w:rFonts w:asciiTheme="majorHAnsi" w:eastAsia="Times New Roman" w:hAnsiTheme="majorHAnsi" w:cstheme="majorHAnsi"/>
                <w:b/>
                <w:bCs/>
                <w:color w:val="000000"/>
                <w:sz w:val="18"/>
                <w:szCs w:val="18"/>
              </w:rPr>
              <w:t>Cheltuieli aferente deprecierii activelor (reducerea valorii)</w:t>
            </w:r>
          </w:p>
        </w:tc>
        <w:tc>
          <w:tcPr>
            <w:tcW w:w="964" w:type="dxa"/>
            <w:tcBorders>
              <w:top w:val="nil"/>
              <w:left w:val="nil"/>
              <w:bottom w:val="single" w:sz="4" w:space="0" w:color="auto"/>
              <w:right w:val="single" w:sz="4" w:space="0" w:color="auto"/>
            </w:tcBorders>
            <w:shd w:val="clear" w:color="auto" w:fill="auto"/>
            <w:noWrap/>
            <w:vAlign w:val="bottom"/>
          </w:tcPr>
          <w:p w14:paraId="6A3C3531"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289300</w:t>
            </w:r>
          </w:p>
        </w:tc>
        <w:tc>
          <w:tcPr>
            <w:tcW w:w="1004" w:type="dxa"/>
            <w:tcBorders>
              <w:top w:val="nil"/>
              <w:left w:val="nil"/>
              <w:bottom w:val="single" w:sz="4" w:space="0" w:color="auto"/>
              <w:right w:val="single" w:sz="4" w:space="0" w:color="auto"/>
            </w:tcBorders>
            <w:shd w:val="clear" w:color="auto" w:fill="auto"/>
            <w:noWrap/>
            <w:vAlign w:val="bottom"/>
          </w:tcPr>
          <w:p w14:paraId="22D19BC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5E51E84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0747B99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65A8981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2.81</w:t>
            </w:r>
          </w:p>
        </w:tc>
        <w:tc>
          <w:tcPr>
            <w:tcW w:w="948" w:type="dxa"/>
            <w:tcBorders>
              <w:top w:val="nil"/>
              <w:left w:val="nil"/>
              <w:bottom w:val="single" w:sz="4" w:space="0" w:color="auto"/>
              <w:right w:val="single" w:sz="4" w:space="0" w:color="auto"/>
            </w:tcBorders>
            <w:shd w:val="clear" w:color="auto" w:fill="auto"/>
            <w:noWrap/>
            <w:vAlign w:val="bottom"/>
          </w:tcPr>
          <w:p w14:paraId="0FE0C02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3C39027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72208F0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661D07A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02BB0CA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2.81</w:t>
            </w:r>
          </w:p>
        </w:tc>
        <w:tc>
          <w:tcPr>
            <w:tcW w:w="1156" w:type="dxa"/>
            <w:tcBorders>
              <w:top w:val="nil"/>
              <w:left w:val="nil"/>
              <w:bottom w:val="single" w:sz="4" w:space="0" w:color="auto"/>
              <w:right w:val="single" w:sz="4" w:space="0" w:color="auto"/>
            </w:tcBorders>
            <w:shd w:val="clear" w:color="auto" w:fill="auto"/>
            <w:noWrap/>
            <w:vAlign w:val="bottom"/>
          </w:tcPr>
          <w:p w14:paraId="5CE10FA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r>
      <w:tr w:rsidR="00E52AC1" w:rsidRPr="00991DD7" w14:paraId="35026A2B" w14:textId="77777777" w:rsidTr="00E52AC1">
        <w:trPr>
          <w:trHeight w:val="179"/>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34955B71"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Alte cheltuieli ale instituțiilor bugetare</w:t>
            </w:r>
          </w:p>
        </w:tc>
        <w:tc>
          <w:tcPr>
            <w:tcW w:w="964" w:type="dxa"/>
            <w:tcBorders>
              <w:top w:val="nil"/>
              <w:left w:val="nil"/>
              <w:bottom w:val="single" w:sz="4" w:space="0" w:color="auto"/>
              <w:right w:val="single" w:sz="4" w:space="0" w:color="auto"/>
            </w:tcBorders>
            <w:shd w:val="clear" w:color="auto" w:fill="auto"/>
            <w:noWrap/>
            <w:vAlign w:val="bottom"/>
            <w:hideMark/>
          </w:tcPr>
          <w:p w14:paraId="60E1C8FA"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289900</w:t>
            </w:r>
          </w:p>
        </w:tc>
        <w:tc>
          <w:tcPr>
            <w:tcW w:w="1004" w:type="dxa"/>
            <w:tcBorders>
              <w:top w:val="nil"/>
              <w:left w:val="nil"/>
              <w:bottom w:val="single" w:sz="4" w:space="0" w:color="auto"/>
              <w:right w:val="single" w:sz="4" w:space="0" w:color="auto"/>
            </w:tcBorders>
            <w:shd w:val="clear" w:color="auto" w:fill="auto"/>
            <w:noWrap/>
            <w:vAlign w:val="bottom"/>
            <w:hideMark/>
          </w:tcPr>
          <w:p w14:paraId="50E8113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71EA12A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BDA3AB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E0AE17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36.72</w:t>
            </w:r>
          </w:p>
        </w:tc>
        <w:tc>
          <w:tcPr>
            <w:tcW w:w="948" w:type="dxa"/>
            <w:tcBorders>
              <w:top w:val="nil"/>
              <w:left w:val="nil"/>
              <w:bottom w:val="single" w:sz="4" w:space="0" w:color="auto"/>
              <w:right w:val="single" w:sz="4" w:space="0" w:color="auto"/>
            </w:tcBorders>
            <w:shd w:val="clear" w:color="auto" w:fill="auto"/>
            <w:noWrap/>
            <w:vAlign w:val="bottom"/>
            <w:hideMark/>
          </w:tcPr>
          <w:p w14:paraId="4279209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3BE368A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1E33239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2AEA206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72EA6F4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36.72</w:t>
            </w:r>
          </w:p>
        </w:tc>
        <w:tc>
          <w:tcPr>
            <w:tcW w:w="1156" w:type="dxa"/>
            <w:tcBorders>
              <w:top w:val="nil"/>
              <w:left w:val="nil"/>
              <w:bottom w:val="single" w:sz="4" w:space="0" w:color="auto"/>
              <w:right w:val="single" w:sz="4" w:space="0" w:color="auto"/>
            </w:tcBorders>
            <w:shd w:val="clear" w:color="auto" w:fill="auto"/>
            <w:noWrap/>
            <w:vAlign w:val="bottom"/>
            <w:hideMark/>
          </w:tcPr>
          <w:p w14:paraId="26BCD34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r>
      <w:tr w:rsidR="00E52AC1" w:rsidRPr="00991DD7" w14:paraId="2DCCF0D3"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38AFB483"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Sold operațional (3=1-2)</w:t>
            </w:r>
          </w:p>
        </w:tc>
        <w:tc>
          <w:tcPr>
            <w:tcW w:w="964" w:type="dxa"/>
            <w:tcBorders>
              <w:top w:val="nil"/>
              <w:left w:val="nil"/>
              <w:bottom w:val="single" w:sz="4" w:space="0" w:color="auto"/>
              <w:right w:val="single" w:sz="4" w:space="0" w:color="auto"/>
            </w:tcBorders>
            <w:shd w:val="clear" w:color="auto" w:fill="auto"/>
            <w:noWrap/>
            <w:vAlign w:val="bottom"/>
            <w:hideMark/>
          </w:tcPr>
          <w:p w14:paraId="47ACC49B"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p>
        </w:tc>
        <w:tc>
          <w:tcPr>
            <w:tcW w:w="1004" w:type="dxa"/>
            <w:tcBorders>
              <w:top w:val="nil"/>
              <w:left w:val="nil"/>
              <w:bottom w:val="single" w:sz="4" w:space="0" w:color="auto"/>
              <w:right w:val="single" w:sz="4" w:space="0" w:color="auto"/>
            </w:tcBorders>
            <w:shd w:val="clear" w:color="auto" w:fill="auto"/>
            <w:noWrap/>
            <w:vAlign w:val="bottom"/>
            <w:hideMark/>
          </w:tcPr>
          <w:p w14:paraId="49FF3EEE"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-383.65</w:t>
            </w:r>
          </w:p>
        </w:tc>
        <w:tc>
          <w:tcPr>
            <w:tcW w:w="900" w:type="dxa"/>
            <w:tcBorders>
              <w:top w:val="nil"/>
              <w:left w:val="nil"/>
              <w:bottom w:val="single" w:sz="4" w:space="0" w:color="auto"/>
              <w:right w:val="single" w:sz="4" w:space="0" w:color="auto"/>
            </w:tcBorders>
            <w:shd w:val="clear" w:color="auto" w:fill="auto"/>
            <w:noWrap/>
            <w:vAlign w:val="bottom"/>
            <w:hideMark/>
          </w:tcPr>
          <w:p w14:paraId="601E1B62"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-224.28</w:t>
            </w:r>
          </w:p>
        </w:tc>
        <w:tc>
          <w:tcPr>
            <w:tcW w:w="900" w:type="dxa"/>
            <w:tcBorders>
              <w:top w:val="nil"/>
              <w:left w:val="nil"/>
              <w:bottom w:val="single" w:sz="4" w:space="0" w:color="auto"/>
              <w:right w:val="single" w:sz="4" w:space="0" w:color="auto"/>
            </w:tcBorders>
            <w:shd w:val="clear" w:color="auto" w:fill="auto"/>
            <w:noWrap/>
            <w:vAlign w:val="bottom"/>
            <w:hideMark/>
          </w:tcPr>
          <w:p w14:paraId="7E0D6028"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1.81</w:t>
            </w:r>
          </w:p>
        </w:tc>
        <w:tc>
          <w:tcPr>
            <w:tcW w:w="900" w:type="dxa"/>
            <w:tcBorders>
              <w:top w:val="nil"/>
              <w:left w:val="nil"/>
              <w:bottom w:val="single" w:sz="4" w:space="0" w:color="auto"/>
              <w:right w:val="single" w:sz="4" w:space="0" w:color="auto"/>
            </w:tcBorders>
            <w:shd w:val="clear" w:color="auto" w:fill="auto"/>
            <w:noWrap/>
            <w:vAlign w:val="bottom"/>
            <w:hideMark/>
          </w:tcPr>
          <w:p w14:paraId="622ECB66"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-242.68</w:t>
            </w:r>
          </w:p>
        </w:tc>
        <w:tc>
          <w:tcPr>
            <w:tcW w:w="948" w:type="dxa"/>
            <w:tcBorders>
              <w:top w:val="nil"/>
              <w:left w:val="nil"/>
              <w:bottom w:val="single" w:sz="4" w:space="0" w:color="auto"/>
              <w:right w:val="single" w:sz="4" w:space="0" w:color="auto"/>
            </w:tcBorders>
            <w:shd w:val="clear" w:color="auto" w:fill="auto"/>
            <w:noWrap/>
            <w:vAlign w:val="bottom"/>
            <w:hideMark/>
          </w:tcPr>
          <w:p w14:paraId="383E0569"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3E626290"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159.37</w:t>
            </w:r>
          </w:p>
        </w:tc>
        <w:tc>
          <w:tcPr>
            <w:tcW w:w="990" w:type="dxa"/>
            <w:tcBorders>
              <w:top w:val="nil"/>
              <w:left w:val="nil"/>
              <w:bottom w:val="single" w:sz="4" w:space="0" w:color="auto"/>
              <w:right w:val="single" w:sz="4" w:space="0" w:color="auto"/>
            </w:tcBorders>
            <w:shd w:val="clear" w:color="auto" w:fill="auto"/>
            <w:noWrap/>
            <w:vAlign w:val="bottom"/>
            <w:hideMark/>
          </w:tcPr>
          <w:p w14:paraId="5F6C0AD9"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226.09</w:t>
            </w:r>
          </w:p>
        </w:tc>
        <w:tc>
          <w:tcPr>
            <w:tcW w:w="990" w:type="dxa"/>
            <w:tcBorders>
              <w:top w:val="nil"/>
              <w:left w:val="nil"/>
              <w:bottom w:val="single" w:sz="4" w:space="0" w:color="auto"/>
              <w:right w:val="single" w:sz="4" w:space="0" w:color="auto"/>
            </w:tcBorders>
            <w:shd w:val="clear" w:color="auto" w:fill="auto"/>
            <w:noWrap/>
            <w:vAlign w:val="bottom"/>
          </w:tcPr>
          <w:p w14:paraId="4EE90D2F"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-0.81</w:t>
            </w:r>
          </w:p>
        </w:tc>
        <w:tc>
          <w:tcPr>
            <w:tcW w:w="1080" w:type="dxa"/>
            <w:tcBorders>
              <w:top w:val="nil"/>
              <w:left w:val="nil"/>
              <w:bottom w:val="single" w:sz="4" w:space="0" w:color="auto"/>
              <w:right w:val="single" w:sz="4" w:space="0" w:color="auto"/>
            </w:tcBorders>
            <w:shd w:val="clear" w:color="auto" w:fill="auto"/>
            <w:noWrap/>
            <w:vAlign w:val="bottom"/>
            <w:hideMark/>
          </w:tcPr>
          <w:p w14:paraId="5DABA28F"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-18.40</w:t>
            </w:r>
          </w:p>
        </w:tc>
        <w:tc>
          <w:tcPr>
            <w:tcW w:w="1156" w:type="dxa"/>
            <w:tcBorders>
              <w:top w:val="nil"/>
              <w:left w:val="nil"/>
              <w:bottom w:val="single" w:sz="4" w:space="0" w:color="auto"/>
              <w:right w:val="single" w:sz="4" w:space="0" w:color="auto"/>
            </w:tcBorders>
            <w:shd w:val="clear" w:color="auto" w:fill="auto"/>
            <w:noWrap/>
            <w:vAlign w:val="bottom"/>
            <w:hideMark/>
          </w:tcPr>
          <w:p w14:paraId="1C8823AA"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108.20</w:t>
            </w:r>
          </w:p>
        </w:tc>
      </w:tr>
      <w:tr w:rsidR="00E52AC1" w:rsidRPr="00991DD7" w14:paraId="496699C6" w14:textId="77777777" w:rsidTr="00E52AC1">
        <w:trPr>
          <w:trHeight w:val="402"/>
        </w:trPr>
        <w:tc>
          <w:tcPr>
            <w:tcW w:w="4140"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2A3F8DBE"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III, ACTIVE NEFINANCIARE</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14:paraId="632D899D"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p>
        </w:tc>
        <w:tc>
          <w:tcPr>
            <w:tcW w:w="1004" w:type="dxa"/>
            <w:tcBorders>
              <w:top w:val="nil"/>
              <w:left w:val="nil"/>
              <w:bottom w:val="single" w:sz="4" w:space="0" w:color="auto"/>
              <w:right w:val="single" w:sz="4" w:space="0" w:color="auto"/>
            </w:tcBorders>
            <w:shd w:val="clear" w:color="auto" w:fill="FBE4D5" w:themeFill="accent2" w:themeFillTint="33"/>
            <w:noWrap/>
            <w:vAlign w:val="center"/>
            <w:hideMark/>
          </w:tcPr>
          <w:p w14:paraId="650532D6"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589.32</w:t>
            </w:r>
          </w:p>
        </w:tc>
        <w:tc>
          <w:tcPr>
            <w:tcW w:w="900" w:type="dxa"/>
            <w:tcBorders>
              <w:top w:val="nil"/>
              <w:left w:val="nil"/>
              <w:bottom w:val="single" w:sz="4" w:space="0" w:color="auto"/>
              <w:right w:val="single" w:sz="4" w:space="0" w:color="auto"/>
            </w:tcBorders>
            <w:shd w:val="clear" w:color="auto" w:fill="FBE4D5" w:themeFill="accent2" w:themeFillTint="33"/>
            <w:noWrap/>
            <w:vAlign w:val="center"/>
            <w:hideMark/>
          </w:tcPr>
          <w:p w14:paraId="137C1DAD"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377.47</w:t>
            </w:r>
          </w:p>
        </w:tc>
        <w:tc>
          <w:tcPr>
            <w:tcW w:w="900" w:type="dxa"/>
            <w:tcBorders>
              <w:top w:val="nil"/>
              <w:left w:val="nil"/>
              <w:bottom w:val="single" w:sz="4" w:space="0" w:color="auto"/>
              <w:right w:val="single" w:sz="4" w:space="0" w:color="auto"/>
            </w:tcBorders>
            <w:shd w:val="clear" w:color="auto" w:fill="FBE4D5" w:themeFill="accent2" w:themeFillTint="33"/>
            <w:noWrap/>
            <w:vAlign w:val="center"/>
            <w:hideMark/>
          </w:tcPr>
          <w:p w14:paraId="1B8B38D6"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207.43</w:t>
            </w:r>
          </w:p>
        </w:tc>
        <w:tc>
          <w:tcPr>
            <w:tcW w:w="900" w:type="dxa"/>
            <w:tcBorders>
              <w:top w:val="nil"/>
              <w:left w:val="nil"/>
              <w:bottom w:val="single" w:sz="4" w:space="0" w:color="auto"/>
              <w:right w:val="single" w:sz="4" w:space="0" w:color="auto"/>
            </w:tcBorders>
            <w:shd w:val="clear" w:color="auto" w:fill="FBE4D5" w:themeFill="accent2" w:themeFillTint="33"/>
            <w:noWrap/>
            <w:vAlign w:val="center"/>
            <w:hideMark/>
          </w:tcPr>
          <w:p w14:paraId="47102C0E"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0.00</w:t>
            </w:r>
          </w:p>
        </w:tc>
        <w:tc>
          <w:tcPr>
            <w:tcW w:w="948" w:type="dxa"/>
            <w:tcBorders>
              <w:top w:val="nil"/>
              <w:left w:val="nil"/>
              <w:bottom w:val="single" w:sz="4" w:space="0" w:color="auto"/>
              <w:right w:val="single" w:sz="4" w:space="0" w:color="auto"/>
            </w:tcBorders>
            <w:shd w:val="clear" w:color="auto" w:fill="FBE4D5" w:themeFill="accent2" w:themeFillTint="33"/>
            <w:noWrap/>
            <w:vAlign w:val="center"/>
            <w:hideMark/>
          </w:tcPr>
          <w:p w14:paraId="5276E569"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0.19</w:t>
            </w:r>
          </w:p>
        </w:tc>
        <w:tc>
          <w:tcPr>
            <w:tcW w:w="1080" w:type="dxa"/>
            <w:tcBorders>
              <w:top w:val="nil"/>
              <w:left w:val="nil"/>
              <w:bottom w:val="single" w:sz="4" w:space="0" w:color="auto"/>
              <w:right w:val="single" w:sz="4" w:space="0" w:color="auto"/>
            </w:tcBorders>
            <w:shd w:val="clear" w:color="auto" w:fill="FBE4D5" w:themeFill="accent2" w:themeFillTint="33"/>
            <w:noWrap/>
            <w:vAlign w:val="center"/>
            <w:hideMark/>
          </w:tcPr>
          <w:p w14:paraId="364BBC32"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-211.85</w:t>
            </w:r>
          </w:p>
        </w:tc>
        <w:tc>
          <w:tcPr>
            <w:tcW w:w="990" w:type="dxa"/>
            <w:tcBorders>
              <w:top w:val="nil"/>
              <w:left w:val="nil"/>
              <w:bottom w:val="single" w:sz="4" w:space="0" w:color="auto"/>
              <w:right w:val="single" w:sz="4" w:space="0" w:color="auto"/>
            </w:tcBorders>
            <w:shd w:val="clear" w:color="auto" w:fill="FBE4D5" w:themeFill="accent2" w:themeFillTint="33"/>
            <w:noWrap/>
            <w:vAlign w:val="center"/>
            <w:hideMark/>
          </w:tcPr>
          <w:p w14:paraId="127F95D8"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-170.03</w:t>
            </w:r>
          </w:p>
        </w:tc>
        <w:tc>
          <w:tcPr>
            <w:tcW w:w="990" w:type="dxa"/>
            <w:tcBorders>
              <w:top w:val="nil"/>
              <w:left w:val="nil"/>
              <w:bottom w:val="single" w:sz="4" w:space="0" w:color="auto"/>
              <w:right w:val="single" w:sz="4" w:space="0" w:color="auto"/>
            </w:tcBorders>
            <w:shd w:val="clear" w:color="auto" w:fill="FBE4D5" w:themeFill="accent2" w:themeFillTint="33"/>
            <w:noWrap/>
            <w:vAlign w:val="center"/>
          </w:tcPr>
          <w:p w14:paraId="43A4447A"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54.95</w:t>
            </w:r>
          </w:p>
        </w:tc>
        <w:tc>
          <w:tcPr>
            <w:tcW w:w="1080" w:type="dxa"/>
            <w:tcBorders>
              <w:top w:val="nil"/>
              <w:left w:val="nil"/>
              <w:bottom w:val="single" w:sz="4" w:space="0" w:color="auto"/>
              <w:right w:val="single" w:sz="4" w:space="0" w:color="auto"/>
            </w:tcBorders>
            <w:shd w:val="clear" w:color="auto" w:fill="FBE4D5" w:themeFill="accent2" w:themeFillTint="33"/>
            <w:noWrap/>
            <w:vAlign w:val="center"/>
            <w:hideMark/>
          </w:tcPr>
          <w:p w14:paraId="0FE3E154"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-377.47</w:t>
            </w:r>
          </w:p>
        </w:tc>
        <w:tc>
          <w:tcPr>
            <w:tcW w:w="1156" w:type="dxa"/>
            <w:tcBorders>
              <w:top w:val="nil"/>
              <w:left w:val="nil"/>
              <w:bottom w:val="single" w:sz="4" w:space="0" w:color="auto"/>
              <w:right w:val="single" w:sz="4" w:space="0" w:color="auto"/>
            </w:tcBorders>
            <w:shd w:val="clear" w:color="auto" w:fill="FBE4D5" w:themeFill="accent2" w:themeFillTint="33"/>
            <w:noWrap/>
            <w:vAlign w:val="center"/>
            <w:hideMark/>
          </w:tcPr>
          <w:p w14:paraId="3448014C"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0.00</w:t>
            </w:r>
          </w:p>
        </w:tc>
      </w:tr>
      <w:tr w:rsidR="00E52AC1" w:rsidRPr="00991DD7" w14:paraId="4F0339F1" w14:textId="77777777" w:rsidTr="00E52AC1">
        <w:trPr>
          <w:trHeight w:val="170"/>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0026209E"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hideMark/>
          </w:tcPr>
          <w:p w14:paraId="51BDFF26" w14:textId="77777777" w:rsidR="00E52AC1" w:rsidRPr="003E2D54" w:rsidRDefault="00E52AC1" w:rsidP="00E52AC1">
            <w:pPr>
              <w:spacing w:after="0" w:line="240" w:lineRule="auto"/>
              <w:jc w:val="both"/>
              <w:rPr>
                <w:rFonts w:asciiTheme="majorHAnsi" w:eastAsia="Times New Roman" w:hAnsiTheme="majorHAnsi" w:cstheme="majorHAnsi"/>
                <w:b/>
                <w:i/>
                <w:iCs/>
                <w:color w:val="000000"/>
                <w:sz w:val="18"/>
                <w:szCs w:val="18"/>
              </w:rPr>
            </w:pPr>
            <w:r w:rsidRPr="003E2D54">
              <w:rPr>
                <w:rFonts w:asciiTheme="majorHAnsi" w:eastAsia="Times New Roman" w:hAnsiTheme="majorHAnsi" w:cstheme="majorHAnsi"/>
                <w:b/>
                <w:i/>
                <w:iCs/>
                <w:color w:val="000000"/>
                <w:sz w:val="18"/>
                <w:szCs w:val="18"/>
              </w:rPr>
              <w:t>311</w:t>
            </w:r>
          </w:p>
        </w:tc>
        <w:tc>
          <w:tcPr>
            <w:tcW w:w="1004" w:type="dxa"/>
            <w:tcBorders>
              <w:top w:val="nil"/>
              <w:left w:val="nil"/>
              <w:bottom w:val="single" w:sz="4" w:space="0" w:color="auto"/>
              <w:right w:val="single" w:sz="4" w:space="0" w:color="auto"/>
            </w:tcBorders>
            <w:shd w:val="clear" w:color="auto" w:fill="auto"/>
            <w:noWrap/>
            <w:vAlign w:val="bottom"/>
            <w:hideMark/>
          </w:tcPr>
          <w:p w14:paraId="00F24607"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35.99</w:t>
            </w:r>
          </w:p>
        </w:tc>
        <w:tc>
          <w:tcPr>
            <w:tcW w:w="900" w:type="dxa"/>
            <w:tcBorders>
              <w:top w:val="nil"/>
              <w:left w:val="nil"/>
              <w:bottom w:val="single" w:sz="4" w:space="0" w:color="auto"/>
              <w:right w:val="single" w:sz="4" w:space="0" w:color="auto"/>
            </w:tcBorders>
            <w:shd w:val="clear" w:color="auto" w:fill="auto"/>
            <w:noWrap/>
            <w:vAlign w:val="bottom"/>
            <w:hideMark/>
          </w:tcPr>
          <w:p w14:paraId="697527A6"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56.19</w:t>
            </w:r>
          </w:p>
        </w:tc>
        <w:tc>
          <w:tcPr>
            <w:tcW w:w="900" w:type="dxa"/>
            <w:tcBorders>
              <w:top w:val="nil"/>
              <w:left w:val="nil"/>
              <w:bottom w:val="single" w:sz="4" w:space="0" w:color="auto"/>
              <w:right w:val="single" w:sz="4" w:space="0" w:color="auto"/>
            </w:tcBorders>
            <w:shd w:val="clear" w:color="auto" w:fill="auto"/>
            <w:noWrap/>
            <w:vAlign w:val="bottom"/>
            <w:hideMark/>
          </w:tcPr>
          <w:p w14:paraId="4E7EF27B"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50.44</w:t>
            </w:r>
          </w:p>
        </w:tc>
        <w:tc>
          <w:tcPr>
            <w:tcW w:w="900" w:type="dxa"/>
            <w:tcBorders>
              <w:top w:val="nil"/>
              <w:left w:val="nil"/>
              <w:bottom w:val="single" w:sz="4" w:space="0" w:color="auto"/>
              <w:right w:val="single" w:sz="4" w:space="0" w:color="auto"/>
            </w:tcBorders>
            <w:shd w:val="clear" w:color="auto" w:fill="auto"/>
            <w:noWrap/>
            <w:vAlign w:val="bottom"/>
            <w:hideMark/>
          </w:tcPr>
          <w:p w14:paraId="7729428E"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04EB34AE"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4E50AAB0"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20.20</w:t>
            </w:r>
          </w:p>
        </w:tc>
        <w:tc>
          <w:tcPr>
            <w:tcW w:w="990" w:type="dxa"/>
            <w:tcBorders>
              <w:top w:val="nil"/>
              <w:left w:val="nil"/>
              <w:bottom w:val="single" w:sz="4" w:space="0" w:color="auto"/>
              <w:right w:val="single" w:sz="4" w:space="0" w:color="auto"/>
            </w:tcBorders>
            <w:shd w:val="clear" w:color="auto" w:fill="auto"/>
            <w:noWrap/>
            <w:vAlign w:val="bottom"/>
            <w:hideMark/>
          </w:tcPr>
          <w:p w14:paraId="07B0F39D"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-5.76</w:t>
            </w:r>
          </w:p>
        </w:tc>
        <w:tc>
          <w:tcPr>
            <w:tcW w:w="990" w:type="dxa"/>
            <w:tcBorders>
              <w:top w:val="nil"/>
              <w:left w:val="nil"/>
              <w:bottom w:val="single" w:sz="4" w:space="0" w:color="auto"/>
              <w:right w:val="single" w:sz="4" w:space="0" w:color="auto"/>
            </w:tcBorders>
            <w:shd w:val="clear" w:color="auto" w:fill="auto"/>
            <w:noWrap/>
            <w:vAlign w:val="bottom"/>
            <w:hideMark/>
          </w:tcPr>
          <w:p w14:paraId="2A7E8110"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89.76</w:t>
            </w:r>
          </w:p>
        </w:tc>
        <w:tc>
          <w:tcPr>
            <w:tcW w:w="1080" w:type="dxa"/>
            <w:tcBorders>
              <w:top w:val="nil"/>
              <w:left w:val="nil"/>
              <w:bottom w:val="single" w:sz="4" w:space="0" w:color="auto"/>
              <w:right w:val="single" w:sz="4" w:space="0" w:color="auto"/>
            </w:tcBorders>
            <w:shd w:val="clear" w:color="auto" w:fill="auto"/>
            <w:noWrap/>
            <w:vAlign w:val="bottom"/>
            <w:hideMark/>
          </w:tcPr>
          <w:p w14:paraId="522A1109"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-56.19</w:t>
            </w:r>
          </w:p>
        </w:tc>
        <w:tc>
          <w:tcPr>
            <w:tcW w:w="1156" w:type="dxa"/>
            <w:tcBorders>
              <w:top w:val="nil"/>
              <w:left w:val="nil"/>
              <w:bottom w:val="single" w:sz="4" w:space="0" w:color="auto"/>
              <w:right w:val="single" w:sz="4" w:space="0" w:color="auto"/>
            </w:tcBorders>
            <w:shd w:val="clear" w:color="auto" w:fill="auto"/>
            <w:noWrap/>
            <w:vAlign w:val="bottom"/>
            <w:hideMark/>
          </w:tcPr>
          <w:p w14:paraId="32DC7863"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0.00</w:t>
            </w:r>
          </w:p>
        </w:tc>
      </w:tr>
      <w:tr w:rsidR="00E52AC1" w:rsidRPr="00991DD7" w14:paraId="517E8781" w14:textId="77777777" w:rsidTr="00E52AC1">
        <w:trPr>
          <w:trHeight w:val="18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49D2B36F"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Reparații capitale ale clădirilor</w:t>
            </w:r>
          </w:p>
        </w:tc>
        <w:tc>
          <w:tcPr>
            <w:tcW w:w="964" w:type="dxa"/>
            <w:tcBorders>
              <w:top w:val="nil"/>
              <w:left w:val="nil"/>
              <w:bottom w:val="single" w:sz="4" w:space="0" w:color="auto"/>
              <w:right w:val="single" w:sz="4" w:space="0" w:color="auto"/>
            </w:tcBorders>
            <w:shd w:val="clear" w:color="auto" w:fill="auto"/>
            <w:noWrap/>
            <w:vAlign w:val="bottom"/>
            <w:hideMark/>
          </w:tcPr>
          <w:p w14:paraId="333A7DD8"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311120</w:t>
            </w:r>
          </w:p>
        </w:tc>
        <w:tc>
          <w:tcPr>
            <w:tcW w:w="1004" w:type="dxa"/>
            <w:tcBorders>
              <w:top w:val="nil"/>
              <w:left w:val="nil"/>
              <w:bottom w:val="single" w:sz="4" w:space="0" w:color="auto"/>
              <w:right w:val="single" w:sz="4" w:space="0" w:color="auto"/>
            </w:tcBorders>
            <w:shd w:val="clear" w:color="auto" w:fill="auto"/>
            <w:noWrap/>
            <w:vAlign w:val="bottom"/>
            <w:hideMark/>
          </w:tcPr>
          <w:p w14:paraId="65FA9D1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35.99</w:t>
            </w:r>
          </w:p>
        </w:tc>
        <w:tc>
          <w:tcPr>
            <w:tcW w:w="900" w:type="dxa"/>
            <w:tcBorders>
              <w:top w:val="nil"/>
              <w:left w:val="nil"/>
              <w:bottom w:val="single" w:sz="4" w:space="0" w:color="auto"/>
              <w:right w:val="single" w:sz="4" w:space="0" w:color="auto"/>
            </w:tcBorders>
            <w:shd w:val="clear" w:color="auto" w:fill="auto"/>
            <w:noWrap/>
            <w:vAlign w:val="bottom"/>
            <w:hideMark/>
          </w:tcPr>
          <w:p w14:paraId="5A6A2C9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56.19</w:t>
            </w:r>
          </w:p>
        </w:tc>
        <w:tc>
          <w:tcPr>
            <w:tcW w:w="900" w:type="dxa"/>
            <w:tcBorders>
              <w:top w:val="nil"/>
              <w:left w:val="nil"/>
              <w:bottom w:val="single" w:sz="4" w:space="0" w:color="auto"/>
              <w:right w:val="single" w:sz="4" w:space="0" w:color="auto"/>
            </w:tcBorders>
            <w:shd w:val="clear" w:color="auto" w:fill="auto"/>
            <w:noWrap/>
            <w:vAlign w:val="bottom"/>
            <w:hideMark/>
          </w:tcPr>
          <w:p w14:paraId="363E5D0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50.44</w:t>
            </w:r>
          </w:p>
        </w:tc>
        <w:tc>
          <w:tcPr>
            <w:tcW w:w="900" w:type="dxa"/>
            <w:tcBorders>
              <w:top w:val="nil"/>
              <w:left w:val="nil"/>
              <w:bottom w:val="single" w:sz="4" w:space="0" w:color="auto"/>
              <w:right w:val="single" w:sz="4" w:space="0" w:color="auto"/>
            </w:tcBorders>
            <w:shd w:val="clear" w:color="auto" w:fill="auto"/>
            <w:noWrap/>
            <w:vAlign w:val="bottom"/>
            <w:hideMark/>
          </w:tcPr>
          <w:p w14:paraId="11838EC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7F09AC8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312CAC6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20.20</w:t>
            </w:r>
          </w:p>
        </w:tc>
        <w:tc>
          <w:tcPr>
            <w:tcW w:w="990" w:type="dxa"/>
            <w:tcBorders>
              <w:top w:val="nil"/>
              <w:left w:val="nil"/>
              <w:bottom w:val="single" w:sz="4" w:space="0" w:color="auto"/>
              <w:right w:val="single" w:sz="4" w:space="0" w:color="auto"/>
            </w:tcBorders>
            <w:shd w:val="clear" w:color="auto" w:fill="auto"/>
            <w:noWrap/>
            <w:vAlign w:val="bottom"/>
            <w:hideMark/>
          </w:tcPr>
          <w:p w14:paraId="19DDF07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-5.76</w:t>
            </w:r>
          </w:p>
        </w:tc>
        <w:tc>
          <w:tcPr>
            <w:tcW w:w="990" w:type="dxa"/>
            <w:tcBorders>
              <w:top w:val="nil"/>
              <w:left w:val="nil"/>
              <w:bottom w:val="single" w:sz="4" w:space="0" w:color="auto"/>
              <w:right w:val="single" w:sz="4" w:space="0" w:color="auto"/>
            </w:tcBorders>
            <w:shd w:val="clear" w:color="auto" w:fill="auto"/>
            <w:noWrap/>
            <w:vAlign w:val="bottom"/>
            <w:hideMark/>
          </w:tcPr>
          <w:p w14:paraId="725EB5E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89.76</w:t>
            </w:r>
          </w:p>
        </w:tc>
        <w:tc>
          <w:tcPr>
            <w:tcW w:w="1080" w:type="dxa"/>
            <w:tcBorders>
              <w:top w:val="nil"/>
              <w:left w:val="nil"/>
              <w:bottom w:val="single" w:sz="4" w:space="0" w:color="auto"/>
              <w:right w:val="single" w:sz="4" w:space="0" w:color="auto"/>
            </w:tcBorders>
            <w:shd w:val="clear" w:color="auto" w:fill="auto"/>
            <w:noWrap/>
            <w:vAlign w:val="bottom"/>
            <w:hideMark/>
          </w:tcPr>
          <w:p w14:paraId="36766E3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-56.19</w:t>
            </w:r>
          </w:p>
        </w:tc>
        <w:tc>
          <w:tcPr>
            <w:tcW w:w="1156" w:type="dxa"/>
            <w:tcBorders>
              <w:top w:val="nil"/>
              <w:left w:val="nil"/>
              <w:bottom w:val="single" w:sz="4" w:space="0" w:color="auto"/>
              <w:right w:val="single" w:sz="4" w:space="0" w:color="auto"/>
            </w:tcBorders>
            <w:shd w:val="clear" w:color="auto" w:fill="auto"/>
            <w:noWrap/>
            <w:vAlign w:val="bottom"/>
            <w:hideMark/>
          </w:tcPr>
          <w:p w14:paraId="786EE61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4E5A73CE" w14:textId="77777777" w:rsidTr="00E52AC1">
        <w:trPr>
          <w:trHeight w:val="107"/>
        </w:trPr>
        <w:tc>
          <w:tcPr>
            <w:tcW w:w="4140" w:type="dxa"/>
            <w:tcBorders>
              <w:top w:val="nil"/>
              <w:left w:val="single" w:sz="4" w:space="0" w:color="auto"/>
              <w:bottom w:val="single" w:sz="4" w:space="0" w:color="auto"/>
              <w:right w:val="single" w:sz="4" w:space="0" w:color="auto"/>
            </w:tcBorders>
            <w:shd w:val="clear" w:color="auto" w:fill="auto"/>
            <w:vAlign w:val="bottom"/>
          </w:tcPr>
          <w:p w14:paraId="7E2136B4"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tcPr>
          <w:p w14:paraId="5B3C853C" w14:textId="77777777" w:rsidR="00E52AC1" w:rsidRPr="00F23B72" w:rsidRDefault="00E52AC1" w:rsidP="00E52AC1">
            <w:pPr>
              <w:spacing w:after="0" w:line="240" w:lineRule="auto"/>
              <w:jc w:val="both"/>
              <w:rPr>
                <w:rFonts w:asciiTheme="majorHAnsi" w:eastAsia="Times New Roman" w:hAnsiTheme="majorHAnsi" w:cstheme="majorHAnsi"/>
                <w:b/>
                <w:i/>
                <w:iCs/>
                <w:color w:val="000000"/>
                <w:sz w:val="18"/>
                <w:szCs w:val="18"/>
              </w:rPr>
            </w:pPr>
            <w:r w:rsidRPr="00F23B72">
              <w:rPr>
                <w:rFonts w:asciiTheme="majorHAnsi" w:eastAsia="Times New Roman" w:hAnsiTheme="majorHAnsi" w:cstheme="majorHAnsi"/>
                <w:b/>
                <w:i/>
                <w:iCs/>
                <w:color w:val="000000"/>
                <w:sz w:val="18"/>
                <w:szCs w:val="18"/>
              </w:rPr>
              <w:t>312</w:t>
            </w:r>
          </w:p>
        </w:tc>
        <w:tc>
          <w:tcPr>
            <w:tcW w:w="1004" w:type="dxa"/>
            <w:tcBorders>
              <w:top w:val="nil"/>
              <w:left w:val="nil"/>
              <w:bottom w:val="single" w:sz="4" w:space="0" w:color="auto"/>
              <w:right w:val="single" w:sz="4" w:space="0" w:color="auto"/>
            </w:tcBorders>
            <w:shd w:val="clear" w:color="auto" w:fill="auto"/>
            <w:noWrap/>
            <w:vAlign w:val="bottom"/>
          </w:tcPr>
          <w:p w14:paraId="3BD033BA" w14:textId="77777777" w:rsidR="00E52AC1" w:rsidRPr="00F23B72" w:rsidRDefault="00E52AC1" w:rsidP="00E52AC1">
            <w:pPr>
              <w:spacing w:after="0" w:line="240" w:lineRule="auto"/>
              <w:jc w:val="center"/>
              <w:rPr>
                <w:rFonts w:asciiTheme="majorHAnsi" w:eastAsia="Times New Roman" w:hAnsiTheme="majorHAnsi" w:cstheme="majorHAnsi"/>
                <w:b/>
                <w:color w:val="000000"/>
                <w:sz w:val="18"/>
                <w:szCs w:val="18"/>
              </w:rPr>
            </w:pPr>
            <w:r w:rsidRPr="00F23B72">
              <w:rPr>
                <w:rFonts w:asciiTheme="majorHAnsi" w:eastAsia="Times New Roman" w:hAnsiTheme="majorHAnsi" w:cstheme="majorHAnsi"/>
                <w:b/>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3D5D33BF" w14:textId="77777777" w:rsidR="00E52AC1" w:rsidRPr="00F23B72" w:rsidRDefault="00E52AC1" w:rsidP="00E52AC1">
            <w:pPr>
              <w:spacing w:after="0" w:line="240" w:lineRule="auto"/>
              <w:jc w:val="center"/>
              <w:rPr>
                <w:rFonts w:asciiTheme="majorHAnsi" w:eastAsia="Times New Roman" w:hAnsiTheme="majorHAnsi" w:cstheme="majorHAnsi"/>
                <w:b/>
                <w:color w:val="000000"/>
                <w:sz w:val="18"/>
                <w:szCs w:val="18"/>
              </w:rPr>
            </w:pPr>
            <w:r w:rsidRPr="00F23B72">
              <w:rPr>
                <w:rFonts w:asciiTheme="majorHAnsi" w:eastAsia="Times New Roman" w:hAnsiTheme="majorHAnsi" w:cstheme="majorHAnsi"/>
                <w:b/>
                <w:color w:val="000000"/>
                <w:sz w:val="18"/>
                <w:szCs w:val="18"/>
              </w:rPr>
              <w:t>0.31</w:t>
            </w:r>
          </w:p>
        </w:tc>
        <w:tc>
          <w:tcPr>
            <w:tcW w:w="900" w:type="dxa"/>
            <w:tcBorders>
              <w:top w:val="nil"/>
              <w:left w:val="nil"/>
              <w:bottom w:val="single" w:sz="4" w:space="0" w:color="auto"/>
              <w:right w:val="single" w:sz="4" w:space="0" w:color="auto"/>
            </w:tcBorders>
            <w:shd w:val="clear" w:color="auto" w:fill="auto"/>
            <w:noWrap/>
            <w:vAlign w:val="bottom"/>
          </w:tcPr>
          <w:p w14:paraId="3B9703AC" w14:textId="77777777" w:rsidR="00E52AC1" w:rsidRPr="00F23B72" w:rsidRDefault="00E52AC1" w:rsidP="00E52AC1">
            <w:pPr>
              <w:spacing w:after="0" w:line="240" w:lineRule="auto"/>
              <w:jc w:val="center"/>
              <w:rPr>
                <w:rFonts w:asciiTheme="majorHAnsi" w:eastAsia="Times New Roman" w:hAnsiTheme="majorHAnsi" w:cstheme="majorHAnsi"/>
                <w:b/>
                <w:color w:val="000000"/>
                <w:sz w:val="18"/>
                <w:szCs w:val="18"/>
              </w:rPr>
            </w:pPr>
            <w:r w:rsidRPr="00F23B72">
              <w:rPr>
                <w:rFonts w:asciiTheme="majorHAnsi" w:eastAsia="Times New Roman" w:hAnsiTheme="majorHAnsi" w:cstheme="majorHAnsi"/>
                <w:b/>
                <w:color w:val="000000"/>
                <w:sz w:val="18"/>
                <w:szCs w:val="18"/>
              </w:rPr>
              <w:t>0.24</w:t>
            </w:r>
          </w:p>
        </w:tc>
        <w:tc>
          <w:tcPr>
            <w:tcW w:w="900" w:type="dxa"/>
            <w:tcBorders>
              <w:top w:val="nil"/>
              <w:left w:val="nil"/>
              <w:bottom w:val="single" w:sz="4" w:space="0" w:color="auto"/>
              <w:right w:val="single" w:sz="4" w:space="0" w:color="auto"/>
            </w:tcBorders>
            <w:shd w:val="clear" w:color="auto" w:fill="auto"/>
            <w:noWrap/>
            <w:vAlign w:val="bottom"/>
          </w:tcPr>
          <w:p w14:paraId="2B74BCCB" w14:textId="77777777" w:rsidR="00E52AC1" w:rsidRPr="00F23B72" w:rsidRDefault="00E52AC1" w:rsidP="00E52AC1">
            <w:pPr>
              <w:spacing w:after="0" w:line="240" w:lineRule="auto"/>
              <w:jc w:val="center"/>
              <w:rPr>
                <w:rFonts w:asciiTheme="majorHAnsi" w:eastAsia="Times New Roman" w:hAnsiTheme="majorHAnsi" w:cstheme="majorHAnsi"/>
                <w:b/>
                <w:color w:val="000000"/>
                <w:sz w:val="18"/>
                <w:szCs w:val="18"/>
              </w:rPr>
            </w:pPr>
            <w:r w:rsidRPr="00F23B72">
              <w:rPr>
                <w:rFonts w:asciiTheme="majorHAnsi" w:eastAsia="Times New Roman" w:hAnsiTheme="majorHAnsi" w:cstheme="majorHAnsi"/>
                <w:b/>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tcPr>
          <w:p w14:paraId="387B9362" w14:textId="77777777" w:rsidR="00E52AC1" w:rsidRPr="00F23B72" w:rsidRDefault="00E52AC1" w:rsidP="00E52AC1">
            <w:pPr>
              <w:spacing w:after="0" w:line="240" w:lineRule="auto"/>
              <w:jc w:val="center"/>
              <w:rPr>
                <w:rFonts w:asciiTheme="majorHAnsi" w:eastAsia="Times New Roman" w:hAnsiTheme="majorHAnsi" w:cstheme="majorHAnsi"/>
                <w:b/>
                <w:color w:val="000000"/>
                <w:sz w:val="18"/>
                <w:szCs w:val="18"/>
              </w:rPr>
            </w:pPr>
            <w:r w:rsidRPr="00F23B72">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77D1F60F" w14:textId="77777777" w:rsidR="00E52AC1" w:rsidRPr="00F23B72" w:rsidRDefault="00E52AC1" w:rsidP="00E52AC1">
            <w:pPr>
              <w:spacing w:after="0" w:line="240" w:lineRule="auto"/>
              <w:jc w:val="center"/>
              <w:rPr>
                <w:rFonts w:asciiTheme="majorHAnsi" w:eastAsia="Times New Roman" w:hAnsiTheme="majorHAnsi" w:cstheme="majorHAnsi"/>
                <w:b/>
                <w:color w:val="000000"/>
                <w:sz w:val="18"/>
                <w:szCs w:val="18"/>
              </w:rPr>
            </w:pPr>
            <w:r w:rsidRPr="00F23B72">
              <w:rPr>
                <w:rFonts w:asciiTheme="majorHAnsi" w:eastAsia="Times New Roman" w:hAnsiTheme="majorHAnsi" w:cstheme="majorHAnsi"/>
                <w:b/>
                <w:color w:val="000000"/>
                <w:sz w:val="18"/>
                <w:szCs w:val="18"/>
              </w:rPr>
              <w:t>0.31</w:t>
            </w:r>
          </w:p>
        </w:tc>
        <w:tc>
          <w:tcPr>
            <w:tcW w:w="990" w:type="dxa"/>
            <w:tcBorders>
              <w:top w:val="nil"/>
              <w:left w:val="nil"/>
              <w:bottom w:val="single" w:sz="4" w:space="0" w:color="auto"/>
              <w:right w:val="single" w:sz="4" w:space="0" w:color="auto"/>
            </w:tcBorders>
            <w:shd w:val="clear" w:color="auto" w:fill="auto"/>
            <w:noWrap/>
            <w:vAlign w:val="bottom"/>
          </w:tcPr>
          <w:p w14:paraId="4CD98706" w14:textId="77777777" w:rsidR="00E52AC1" w:rsidRPr="00F23B72" w:rsidRDefault="00E52AC1" w:rsidP="00E52AC1">
            <w:pPr>
              <w:spacing w:after="0" w:line="240" w:lineRule="auto"/>
              <w:jc w:val="center"/>
              <w:rPr>
                <w:rFonts w:asciiTheme="majorHAnsi" w:eastAsia="Times New Roman" w:hAnsiTheme="majorHAnsi" w:cstheme="majorHAnsi"/>
                <w:b/>
                <w:color w:val="000000"/>
                <w:sz w:val="18"/>
                <w:szCs w:val="18"/>
              </w:rPr>
            </w:pPr>
            <w:r w:rsidRPr="00F23B72">
              <w:rPr>
                <w:rFonts w:asciiTheme="majorHAnsi" w:eastAsia="Times New Roman" w:hAnsiTheme="majorHAnsi" w:cstheme="majorHAnsi"/>
                <w:b/>
                <w:color w:val="000000"/>
                <w:sz w:val="18"/>
                <w:szCs w:val="18"/>
              </w:rPr>
              <w:t>-0.07</w:t>
            </w:r>
          </w:p>
        </w:tc>
        <w:tc>
          <w:tcPr>
            <w:tcW w:w="990" w:type="dxa"/>
            <w:tcBorders>
              <w:top w:val="nil"/>
              <w:left w:val="nil"/>
              <w:bottom w:val="single" w:sz="4" w:space="0" w:color="auto"/>
              <w:right w:val="single" w:sz="4" w:space="0" w:color="auto"/>
            </w:tcBorders>
            <w:shd w:val="clear" w:color="auto" w:fill="auto"/>
            <w:noWrap/>
            <w:vAlign w:val="bottom"/>
          </w:tcPr>
          <w:p w14:paraId="501DC878" w14:textId="77777777" w:rsidR="00E52AC1" w:rsidRPr="00F23B72" w:rsidRDefault="00E52AC1" w:rsidP="00E52AC1">
            <w:pPr>
              <w:spacing w:after="0" w:line="240" w:lineRule="auto"/>
              <w:jc w:val="center"/>
              <w:rPr>
                <w:rFonts w:asciiTheme="majorHAnsi" w:eastAsia="Times New Roman" w:hAnsiTheme="majorHAnsi" w:cstheme="majorHAnsi"/>
                <w:b/>
                <w:color w:val="000000"/>
                <w:sz w:val="18"/>
                <w:szCs w:val="18"/>
              </w:rPr>
            </w:pPr>
            <w:r w:rsidRPr="00F23B72">
              <w:rPr>
                <w:rFonts w:asciiTheme="majorHAnsi" w:eastAsia="Times New Roman" w:hAnsiTheme="majorHAnsi" w:cstheme="majorHAnsi"/>
                <w:b/>
                <w:color w:val="000000"/>
                <w:sz w:val="18"/>
                <w:szCs w:val="18"/>
              </w:rPr>
              <w:t>78.14</w:t>
            </w:r>
          </w:p>
        </w:tc>
        <w:tc>
          <w:tcPr>
            <w:tcW w:w="1080" w:type="dxa"/>
            <w:tcBorders>
              <w:top w:val="nil"/>
              <w:left w:val="nil"/>
              <w:bottom w:val="single" w:sz="4" w:space="0" w:color="auto"/>
              <w:right w:val="single" w:sz="4" w:space="0" w:color="auto"/>
            </w:tcBorders>
            <w:shd w:val="clear" w:color="auto" w:fill="auto"/>
            <w:noWrap/>
            <w:vAlign w:val="bottom"/>
          </w:tcPr>
          <w:p w14:paraId="21A094E3" w14:textId="77777777" w:rsidR="00E52AC1" w:rsidRPr="00F23B72" w:rsidRDefault="00E52AC1" w:rsidP="00E52AC1">
            <w:pPr>
              <w:spacing w:after="0" w:line="240" w:lineRule="auto"/>
              <w:jc w:val="center"/>
              <w:rPr>
                <w:rFonts w:asciiTheme="majorHAnsi" w:eastAsia="Times New Roman" w:hAnsiTheme="majorHAnsi" w:cstheme="majorHAnsi"/>
                <w:b/>
                <w:color w:val="000000"/>
                <w:sz w:val="18"/>
                <w:szCs w:val="18"/>
              </w:rPr>
            </w:pPr>
            <w:r w:rsidRPr="00F23B72">
              <w:rPr>
                <w:rFonts w:asciiTheme="majorHAnsi" w:eastAsia="Times New Roman" w:hAnsiTheme="majorHAnsi" w:cstheme="majorHAnsi"/>
                <w:b/>
                <w:color w:val="000000"/>
                <w:sz w:val="18"/>
                <w:szCs w:val="18"/>
              </w:rPr>
              <w:t>-0.31</w:t>
            </w:r>
          </w:p>
        </w:tc>
        <w:tc>
          <w:tcPr>
            <w:tcW w:w="1156" w:type="dxa"/>
            <w:tcBorders>
              <w:top w:val="nil"/>
              <w:left w:val="nil"/>
              <w:bottom w:val="single" w:sz="4" w:space="0" w:color="auto"/>
              <w:right w:val="single" w:sz="4" w:space="0" w:color="auto"/>
            </w:tcBorders>
            <w:shd w:val="clear" w:color="auto" w:fill="auto"/>
            <w:noWrap/>
            <w:vAlign w:val="bottom"/>
          </w:tcPr>
          <w:p w14:paraId="287C9485" w14:textId="77777777" w:rsidR="00E52AC1" w:rsidRPr="00F23B72" w:rsidRDefault="00E52AC1" w:rsidP="00E52AC1">
            <w:pPr>
              <w:spacing w:after="0" w:line="240" w:lineRule="auto"/>
              <w:jc w:val="center"/>
              <w:rPr>
                <w:rFonts w:asciiTheme="majorHAnsi" w:eastAsia="Times New Roman" w:hAnsiTheme="majorHAnsi" w:cstheme="majorHAnsi"/>
                <w:b/>
                <w:color w:val="000000"/>
                <w:sz w:val="18"/>
                <w:szCs w:val="18"/>
              </w:rPr>
            </w:pPr>
            <w:r w:rsidRPr="00F23B72">
              <w:rPr>
                <w:rFonts w:asciiTheme="majorHAnsi" w:eastAsia="Times New Roman" w:hAnsiTheme="majorHAnsi" w:cstheme="majorHAnsi"/>
                <w:b/>
                <w:color w:val="000000"/>
                <w:sz w:val="18"/>
                <w:szCs w:val="18"/>
              </w:rPr>
              <w:t>0.00</w:t>
            </w:r>
          </w:p>
        </w:tc>
      </w:tr>
      <w:tr w:rsidR="00E52AC1" w:rsidRPr="00991DD7" w14:paraId="3A54B6A7" w14:textId="77777777" w:rsidTr="00E52AC1">
        <w:trPr>
          <w:trHeight w:val="107"/>
        </w:trPr>
        <w:tc>
          <w:tcPr>
            <w:tcW w:w="4140" w:type="dxa"/>
            <w:tcBorders>
              <w:top w:val="nil"/>
              <w:left w:val="single" w:sz="4" w:space="0" w:color="auto"/>
              <w:bottom w:val="single" w:sz="4" w:space="0" w:color="auto"/>
              <w:right w:val="single" w:sz="4" w:space="0" w:color="auto"/>
            </w:tcBorders>
            <w:shd w:val="clear" w:color="auto" w:fill="auto"/>
            <w:vAlign w:val="bottom"/>
          </w:tcPr>
          <w:p w14:paraId="7F19763B"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C02B4">
              <w:rPr>
                <w:rFonts w:asciiTheme="majorHAnsi" w:eastAsia="Times New Roman" w:hAnsiTheme="majorHAnsi" w:cstheme="majorHAnsi"/>
                <w:b/>
                <w:bCs/>
                <w:color w:val="000000"/>
                <w:sz w:val="18"/>
                <w:szCs w:val="18"/>
              </w:rPr>
              <w:t>Procurarea construcțiilor speciale</w:t>
            </w:r>
          </w:p>
        </w:tc>
        <w:tc>
          <w:tcPr>
            <w:tcW w:w="964" w:type="dxa"/>
            <w:tcBorders>
              <w:top w:val="nil"/>
              <w:left w:val="nil"/>
              <w:bottom w:val="single" w:sz="4" w:space="0" w:color="auto"/>
              <w:right w:val="single" w:sz="4" w:space="0" w:color="auto"/>
            </w:tcBorders>
            <w:shd w:val="clear" w:color="auto" w:fill="auto"/>
            <w:noWrap/>
            <w:vAlign w:val="bottom"/>
          </w:tcPr>
          <w:p w14:paraId="0ED9B1D1"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312110</w:t>
            </w:r>
          </w:p>
        </w:tc>
        <w:tc>
          <w:tcPr>
            <w:tcW w:w="1004" w:type="dxa"/>
            <w:tcBorders>
              <w:top w:val="nil"/>
              <w:left w:val="nil"/>
              <w:bottom w:val="single" w:sz="4" w:space="0" w:color="auto"/>
              <w:right w:val="single" w:sz="4" w:space="0" w:color="auto"/>
            </w:tcBorders>
            <w:shd w:val="clear" w:color="auto" w:fill="auto"/>
            <w:noWrap/>
            <w:vAlign w:val="bottom"/>
          </w:tcPr>
          <w:p w14:paraId="5087667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7573686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0.29</w:t>
            </w:r>
          </w:p>
        </w:tc>
        <w:tc>
          <w:tcPr>
            <w:tcW w:w="900" w:type="dxa"/>
            <w:tcBorders>
              <w:top w:val="nil"/>
              <w:left w:val="nil"/>
              <w:bottom w:val="single" w:sz="4" w:space="0" w:color="auto"/>
              <w:right w:val="single" w:sz="4" w:space="0" w:color="auto"/>
            </w:tcBorders>
            <w:shd w:val="clear" w:color="auto" w:fill="auto"/>
            <w:noWrap/>
            <w:vAlign w:val="bottom"/>
          </w:tcPr>
          <w:p w14:paraId="677A257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0.23</w:t>
            </w:r>
          </w:p>
        </w:tc>
        <w:tc>
          <w:tcPr>
            <w:tcW w:w="900" w:type="dxa"/>
            <w:tcBorders>
              <w:top w:val="nil"/>
              <w:left w:val="nil"/>
              <w:bottom w:val="single" w:sz="4" w:space="0" w:color="auto"/>
              <w:right w:val="single" w:sz="4" w:space="0" w:color="auto"/>
            </w:tcBorders>
            <w:shd w:val="clear" w:color="auto" w:fill="auto"/>
            <w:noWrap/>
            <w:vAlign w:val="bottom"/>
          </w:tcPr>
          <w:p w14:paraId="53FB460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tcPr>
          <w:p w14:paraId="69BA5C8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2D7D572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0.29</w:t>
            </w:r>
          </w:p>
        </w:tc>
        <w:tc>
          <w:tcPr>
            <w:tcW w:w="990" w:type="dxa"/>
            <w:tcBorders>
              <w:top w:val="nil"/>
              <w:left w:val="nil"/>
              <w:bottom w:val="single" w:sz="4" w:space="0" w:color="auto"/>
              <w:right w:val="single" w:sz="4" w:space="0" w:color="auto"/>
            </w:tcBorders>
            <w:shd w:val="clear" w:color="auto" w:fill="auto"/>
            <w:noWrap/>
            <w:vAlign w:val="bottom"/>
          </w:tcPr>
          <w:p w14:paraId="3C863DE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-0.06</w:t>
            </w:r>
          </w:p>
        </w:tc>
        <w:tc>
          <w:tcPr>
            <w:tcW w:w="990" w:type="dxa"/>
            <w:tcBorders>
              <w:top w:val="nil"/>
              <w:left w:val="nil"/>
              <w:bottom w:val="single" w:sz="4" w:space="0" w:color="auto"/>
              <w:right w:val="single" w:sz="4" w:space="0" w:color="auto"/>
            </w:tcBorders>
            <w:shd w:val="clear" w:color="auto" w:fill="auto"/>
            <w:noWrap/>
            <w:vAlign w:val="bottom"/>
          </w:tcPr>
          <w:p w14:paraId="0501979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79.25</w:t>
            </w:r>
          </w:p>
        </w:tc>
        <w:tc>
          <w:tcPr>
            <w:tcW w:w="1080" w:type="dxa"/>
            <w:tcBorders>
              <w:top w:val="nil"/>
              <w:left w:val="nil"/>
              <w:bottom w:val="single" w:sz="4" w:space="0" w:color="auto"/>
              <w:right w:val="single" w:sz="4" w:space="0" w:color="auto"/>
            </w:tcBorders>
            <w:shd w:val="clear" w:color="auto" w:fill="auto"/>
            <w:noWrap/>
            <w:vAlign w:val="bottom"/>
          </w:tcPr>
          <w:p w14:paraId="292253E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-0.29</w:t>
            </w:r>
          </w:p>
        </w:tc>
        <w:tc>
          <w:tcPr>
            <w:tcW w:w="1156" w:type="dxa"/>
            <w:tcBorders>
              <w:top w:val="nil"/>
              <w:left w:val="nil"/>
              <w:bottom w:val="single" w:sz="4" w:space="0" w:color="auto"/>
              <w:right w:val="single" w:sz="4" w:space="0" w:color="auto"/>
            </w:tcBorders>
            <w:shd w:val="clear" w:color="auto" w:fill="auto"/>
            <w:noWrap/>
            <w:vAlign w:val="bottom"/>
          </w:tcPr>
          <w:p w14:paraId="24FA888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66C32BF9" w14:textId="77777777" w:rsidTr="00E52AC1">
        <w:trPr>
          <w:trHeight w:val="107"/>
        </w:trPr>
        <w:tc>
          <w:tcPr>
            <w:tcW w:w="4140" w:type="dxa"/>
            <w:tcBorders>
              <w:top w:val="nil"/>
              <w:left w:val="single" w:sz="4" w:space="0" w:color="auto"/>
              <w:bottom w:val="single" w:sz="4" w:space="0" w:color="auto"/>
              <w:right w:val="single" w:sz="4" w:space="0" w:color="auto"/>
            </w:tcBorders>
            <w:shd w:val="clear" w:color="auto" w:fill="auto"/>
            <w:vAlign w:val="bottom"/>
          </w:tcPr>
          <w:p w14:paraId="5EEFF810"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C02B4">
              <w:rPr>
                <w:rFonts w:asciiTheme="majorHAnsi" w:eastAsia="Times New Roman" w:hAnsiTheme="majorHAnsi" w:cstheme="majorHAnsi"/>
                <w:b/>
                <w:bCs/>
                <w:color w:val="000000"/>
                <w:sz w:val="18"/>
                <w:szCs w:val="18"/>
              </w:rPr>
              <w:t>Reparații capitale ale construcțiilor speciale</w:t>
            </w:r>
          </w:p>
        </w:tc>
        <w:tc>
          <w:tcPr>
            <w:tcW w:w="964" w:type="dxa"/>
            <w:tcBorders>
              <w:top w:val="nil"/>
              <w:left w:val="nil"/>
              <w:bottom w:val="single" w:sz="4" w:space="0" w:color="auto"/>
              <w:right w:val="single" w:sz="4" w:space="0" w:color="auto"/>
            </w:tcBorders>
            <w:shd w:val="clear" w:color="auto" w:fill="auto"/>
            <w:noWrap/>
            <w:vAlign w:val="bottom"/>
          </w:tcPr>
          <w:p w14:paraId="370C5E05"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312120</w:t>
            </w:r>
          </w:p>
        </w:tc>
        <w:tc>
          <w:tcPr>
            <w:tcW w:w="1004" w:type="dxa"/>
            <w:tcBorders>
              <w:top w:val="nil"/>
              <w:left w:val="nil"/>
              <w:bottom w:val="single" w:sz="4" w:space="0" w:color="auto"/>
              <w:right w:val="single" w:sz="4" w:space="0" w:color="auto"/>
            </w:tcBorders>
            <w:shd w:val="clear" w:color="auto" w:fill="auto"/>
            <w:noWrap/>
            <w:vAlign w:val="bottom"/>
          </w:tcPr>
          <w:p w14:paraId="707FC85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7135D2B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0.02</w:t>
            </w:r>
          </w:p>
        </w:tc>
        <w:tc>
          <w:tcPr>
            <w:tcW w:w="900" w:type="dxa"/>
            <w:tcBorders>
              <w:top w:val="nil"/>
              <w:left w:val="nil"/>
              <w:bottom w:val="single" w:sz="4" w:space="0" w:color="auto"/>
              <w:right w:val="single" w:sz="4" w:space="0" w:color="auto"/>
            </w:tcBorders>
            <w:shd w:val="clear" w:color="auto" w:fill="auto"/>
            <w:noWrap/>
            <w:vAlign w:val="bottom"/>
          </w:tcPr>
          <w:p w14:paraId="38E10B3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0.01</w:t>
            </w:r>
          </w:p>
        </w:tc>
        <w:tc>
          <w:tcPr>
            <w:tcW w:w="900" w:type="dxa"/>
            <w:tcBorders>
              <w:top w:val="nil"/>
              <w:left w:val="nil"/>
              <w:bottom w:val="single" w:sz="4" w:space="0" w:color="auto"/>
              <w:right w:val="single" w:sz="4" w:space="0" w:color="auto"/>
            </w:tcBorders>
            <w:shd w:val="clear" w:color="auto" w:fill="auto"/>
            <w:noWrap/>
            <w:vAlign w:val="bottom"/>
          </w:tcPr>
          <w:p w14:paraId="2C79513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tcPr>
          <w:p w14:paraId="452DA94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03C51EF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0.02</w:t>
            </w:r>
          </w:p>
        </w:tc>
        <w:tc>
          <w:tcPr>
            <w:tcW w:w="990" w:type="dxa"/>
            <w:tcBorders>
              <w:top w:val="nil"/>
              <w:left w:val="nil"/>
              <w:bottom w:val="single" w:sz="4" w:space="0" w:color="auto"/>
              <w:right w:val="single" w:sz="4" w:space="0" w:color="auto"/>
            </w:tcBorders>
            <w:shd w:val="clear" w:color="auto" w:fill="auto"/>
            <w:noWrap/>
            <w:vAlign w:val="bottom"/>
          </w:tcPr>
          <w:p w14:paraId="3C42508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-0.01</w:t>
            </w:r>
          </w:p>
        </w:tc>
        <w:tc>
          <w:tcPr>
            <w:tcW w:w="990" w:type="dxa"/>
            <w:tcBorders>
              <w:top w:val="nil"/>
              <w:left w:val="nil"/>
              <w:bottom w:val="single" w:sz="4" w:space="0" w:color="auto"/>
              <w:right w:val="single" w:sz="4" w:space="0" w:color="auto"/>
            </w:tcBorders>
            <w:shd w:val="clear" w:color="auto" w:fill="auto"/>
            <w:noWrap/>
            <w:vAlign w:val="bottom"/>
          </w:tcPr>
          <w:p w14:paraId="5717767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64.38</w:t>
            </w:r>
          </w:p>
        </w:tc>
        <w:tc>
          <w:tcPr>
            <w:tcW w:w="1080" w:type="dxa"/>
            <w:tcBorders>
              <w:top w:val="nil"/>
              <w:left w:val="nil"/>
              <w:bottom w:val="single" w:sz="4" w:space="0" w:color="auto"/>
              <w:right w:val="single" w:sz="4" w:space="0" w:color="auto"/>
            </w:tcBorders>
            <w:shd w:val="clear" w:color="auto" w:fill="auto"/>
            <w:noWrap/>
            <w:vAlign w:val="bottom"/>
          </w:tcPr>
          <w:p w14:paraId="3A27F0D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-0.02</w:t>
            </w:r>
          </w:p>
        </w:tc>
        <w:tc>
          <w:tcPr>
            <w:tcW w:w="1156" w:type="dxa"/>
            <w:tcBorders>
              <w:top w:val="nil"/>
              <w:left w:val="nil"/>
              <w:bottom w:val="single" w:sz="4" w:space="0" w:color="auto"/>
              <w:right w:val="single" w:sz="4" w:space="0" w:color="auto"/>
            </w:tcBorders>
            <w:shd w:val="clear" w:color="auto" w:fill="auto"/>
            <w:noWrap/>
            <w:vAlign w:val="bottom"/>
          </w:tcPr>
          <w:p w14:paraId="294F6AD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175A756D" w14:textId="77777777" w:rsidTr="00E52AC1">
        <w:trPr>
          <w:trHeight w:val="107"/>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687AD62E"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hideMark/>
          </w:tcPr>
          <w:p w14:paraId="4B77A409" w14:textId="77777777" w:rsidR="00E52AC1" w:rsidRPr="00982178" w:rsidRDefault="00E52AC1" w:rsidP="00E52AC1">
            <w:pPr>
              <w:spacing w:after="0" w:line="240" w:lineRule="auto"/>
              <w:jc w:val="both"/>
              <w:rPr>
                <w:rFonts w:asciiTheme="majorHAnsi" w:eastAsia="Times New Roman" w:hAnsiTheme="majorHAnsi" w:cstheme="majorHAnsi"/>
                <w:b/>
                <w:i/>
                <w:iCs/>
                <w:color w:val="000000"/>
                <w:sz w:val="18"/>
                <w:szCs w:val="18"/>
              </w:rPr>
            </w:pPr>
            <w:r w:rsidRPr="00982178">
              <w:rPr>
                <w:rFonts w:asciiTheme="majorHAnsi" w:eastAsia="Times New Roman" w:hAnsiTheme="majorHAnsi" w:cstheme="majorHAnsi"/>
                <w:b/>
                <w:i/>
                <w:iCs/>
                <w:color w:val="000000"/>
                <w:sz w:val="18"/>
                <w:szCs w:val="18"/>
              </w:rPr>
              <w:t>314</w:t>
            </w:r>
          </w:p>
        </w:tc>
        <w:tc>
          <w:tcPr>
            <w:tcW w:w="1004" w:type="dxa"/>
            <w:tcBorders>
              <w:top w:val="nil"/>
              <w:left w:val="nil"/>
              <w:bottom w:val="single" w:sz="4" w:space="0" w:color="auto"/>
              <w:right w:val="single" w:sz="4" w:space="0" w:color="auto"/>
            </w:tcBorders>
            <w:shd w:val="clear" w:color="auto" w:fill="auto"/>
            <w:noWrap/>
            <w:vAlign w:val="bottom"/>
            <w:hideMark/>
          </w:tcPr>
          <w:p w14:paraId="47DCDABD" w14:textId="77777777" w:rsidR="00E52AC1" w:rsidRPr="00982178" w:rsidRDefault="00E52AC1" w:rsidP="00E52AC1">
            <w:pPr>
              <w:spacing w:after="0" w:line="240" w:lineRule="auto"/>
              <w:jc w:val="center"/>
              <w:rPr>
                <w:rFonts w:asciiTheme="majorHAnsi" w:eastAsia="Times New Roman" w:hAnsiTheme="majorHAnsi" w:cstheme="majorHAnsi"/>
                <w:b/>
                <w:color w:val="000000"/>
                <w:sz w:val="18"/>
                <w:szCs w:val="18"/>
              </w:rPr>
            </w:pPr>
            <w:r w:rsidRPr="00982178">
              <w:rPr>
                <w:rFonts w:asciiTheme="majorHAnsi" w:eastAsia="Times New Roman" w:hAnsiTheme="majorHAnsi" w:cstheme="majorHAnsi"/>
                <w:b/>
                <w:color w:val="000000"/>
                <w:sz w:val="18"/>
                <w:szCs w:val="18"/>
              </w:rPr>
              <w:t>88.05</w:t>
            </w:r>
          </w:p>
        </w:tc>
        <w:tc>
          <w:tcPr>
            <w:tcW w:w="900" w:type="dxa"/>
            <w:tcBorders>
              <w:top w:val="nil"/>
              <w:left w:val="nil"/>
              <w:bottom w:val="single" w:sz="4" w:space="0" w:color="auto"/>
              <w:right w:val="single" w:sz="4" w:space="0" w:color="auto"/>
            </w:tcBorders>
            <w:shd w:val="clear" w:color="auto" w:fill="auto"/>
            <w:noWrap/>
            <w:vAlign w:val="bottom"/>
            <w:hideMark/>
          </w:tcPr>
          <w:p w14:paraId="7EC06CF5" w14:textId="77777777" w:rsidR="00E52AC1" w:rsidRPr="00982178" w:rsidRDefault="00E52AC1" w:rsidP="00E52AC1">
            <w:pPr>
              <w:spacing w:after="0" w:line="240" w:lineRule="auto"/>
              <w:jc w:val="center"/>
              <w:rPr>
                <w:rFonts w:asciiTheme="majorHAnsi" w:eastAsia="Times New Roman" w:hAnsiTheme="majorHAnsi" w:cstheme="majorHAnsi"/>
                <w:b/>
                <w:color w:val="000000"/>
                <w:sz w:val="18"/>
                <w:szCs w:val="18"/>
              </w:rPr>
            </w:pPr>
            <w:r w:rsidRPr="00982178">
              <w:rPr>
                <w:rFonts w:asciiTheme="majorHAnsi" w:eastAsia="Times New Roman" w:hAnsiTheme="majorHAnsi" w:cstheme="majorHAnsi"/>
                <w:b/>
                <w:color w:val="000000"/>
                <w:sz w:val="18"/>
                <w:szCs w:val="18"/>
              </w:rPr>
              <w:t>59.49</w:t>
            </w:r>
          </w:p>
        </w:tc>
        <w:tc>
          <w:tcPr>
            <w:tcW w:w="900" w:type="dxa"/>
            <w:tcBorders>
              <w:top w:val="nil"/>
              <w:left w:val="nil"/>
              <w:bottom w:val="single" w:sz="4" w:space="0" w:color="auto"/>
              <w:right w:val="single" w:sz="4" w:space="0" w:color="auto"/>
            </w:tcBorders>
            <w:shd w:val="clear" w:color="auto" w:fill="auto"/>
            <w:noWrap/>
            <w:vAlign w:val="bottom"/>
            <w:hideMark/>
          </w:tcPr>
          <w:p w14:paraId="3720ED36" w14:textId="77777777" w:rsidR="00E52AC1" w:rsidRPr="00982178" w:rsidRDefault="00E52AC1" w:rsidP="00E52AC1">
            <w:pPr>
              <w:spacing w:after="0" w:line="240" w:lineRule="auto"/>
              <w:jc w:val="center"/>
              <w:rPr>
                <w:rFonts w:asciiTheme="majorHAnsi" w:eastAsia="Times New Roman" w:hAnsiTheme="majorHAnsi" w:cstheme="majorHAnsi"/>
                <w:b/>
                <w:color w:val="000000"/>
                <w:sz w:val="18"/>
                <w:szCs w:val="18"/>
              </w:rPr>
            </w:pPr>
            <w:r w:rsidRPr="00982178">
              <w:rPr>
                <w:rFonts w:asciiTheme="majorHAnsi" w:eastAsia="Times New Roman" w:hAnsiTheme="majorHAnsi" w:cstheme="majorHAnsi"/>
                <w:b/>
                <w:color w:val="000000"/>
                <w:sz w:val="18"/>
                <w:szCs w:val="18"/>
              </w:rPr>
              <w:t>32.67</w:t>
            </w:r>
          </w:p>
        </w:tc>
        <w:tc>
          <w:tcPr>
            <w:tcW w:w="900" w:type="dxa"/>
            <w:tcBorders>
              <w:top w:val="nil"/>
              <w:left w:val="nil"/>
              <w:bottom w:val="single" w:sz="4" w:space="0" w:color="auto"/>
              <w:right w:val="single" w:sz="4" w:space="0" w:color="auto"/>
            </w:tcBorders>
            <w:shd w:val="clear" w:color="auto" w:fill="auto"/>
            <w:noWrap/>
            <w:vAlign w:val="bottom"/>
            <w:hideMark/>
          </w:tcPr>
          <w:p w14:paraId="0539145A" w14:textId="77777777" w:rsidR="00E52AC1" w:rsidRPr="00982178" w:rsidRDefault="00E52AC1" w:rsidP="00E52AC1">
            <w:pPr>
              <w:spacing w:after="0" w:line="240" w:lineRule="auto"/>
              <w:jc w:val="center"/>
              <w:rPr>
                <w:rFonts w:asciiTheme="majorHAnsi" w:eastAsia="Times New Roman" w:hAnsiTheme="majorHAnsi" w:cstheme="majorHAnsi"/>
                <w:b/>
                <w:color w:val="000000"/>
                <w:sz w:val="18"/>
                <w:szCs w:val="18"/>
              </w:rPr>
            </w:pPr>
            <w:r w:rsidRPr="00982178">
              <w:rPr>
                <w:rFonts w:asciiTheme="majorHAnsi" w:eastAsia="Times New Roman" w:hAnsiTheme="majorHAnsi" w:cstheme="majorHAnsi"/>
                <w:b/>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79CE6B1A" w14:textId="77777777" w:rsidR="00E52AC1" w:rsidRPr="00982178" w:rsidRDefault="00E52AC1" w:rsidP="00E52AC1">
            <w:pPr>
              <w:spacing w:after="0" w:line="240" w:lineRule="auto"/>
              <w:jc w:val="center"/>
              <w:rPr>
                <w:rFonts w:asciiTheme="majorHAnsi" w:eastAsia="Times New Roman" w:hAnsiTheme="majorHAnsi" w:cstheme="majorHAnsi"/>
                <w:b/>
                <w:color w:val="000000"/>
                <w:sz w:val="18"/>
                <w:szCs w:val="18"/>
              </w:rPr>
            </w:pPr>
            <w:r w:rsidRPr="00982178">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7EEFBD4D" w14:textId="77777777" w:rsidR="00E52AC1" w:rsidRPr="00982178" w:rsidRDefault="00E52AC1" w:rsidP="00E52AC1">
            <w:pPr>
              <w:spacing w:after="0" w:line="240" w:lineRule="auto"/>
              <w:jc w:val="center"/>
              <w:rPr>
                <w:rFonts w:asciiTheme="majorHAnsi" w:eastAsia="Times New Roman" w:hAnsiTheme="majorHAnsi" w:cstheme="majorHAnsi"/>
                <w:b/>
                <w:color w:val="000000"/>
                <w:sz w:val="18"/>
                <w:szCs w:val="18"/>
              </w:rPr>
            </w:pPr>
            <w:r w:rsidRPr="00982178">
              <w:rPr>
                <w:rFonts w:asciiTheme="majorHAnsi" w:eastAsia="Times New Roman" w:hAnsiTheme="majorHAnsi" w:cstheme="majorHAnsi"/>
                <w:b/>
                <w:color w:val="000000"/>
                <w:sz w:val="18"/>
                <w:szCs w:val="18"/>
              </w:rPr>
              <w:t>-28.56</w:t>
            </w:r>
          </w:p>
        </w:tc>
        <w:tc>
          <w:tcPr>
            <w:tcW w:w="990" w:type="dxa"/>
            <w:tcBorders>
              <w:top w:val="nil"/>
              <w:left w:val="nil"/>
              <w:bottom w:val="single" w:sz="4" w:space="0" w:color="auto"/>
              <w:right w:val="single" w:sz="4" w:space="0" w:color="auto"/>
            </w:tcBorders>
            <w:shd w:val="clear" w:color="auto" w:fill="auto"/>
            <w:noWrap/>
            <w:vAlign w:val="bottom"/>
            <w:hideMark/>
          </w:tcPr>
          <w:p w14:paraId="4E3E32BA" w14:textId="77777777" w:rsidR="00E52AC1" w:rsidRPr="00982178" w:rsidRDefault="00E52AC1" w:rsidP="00E52AC1">
            <w:pPr>
              <w:spacing w:after="0" w:line="240" w:lineRule="auto"/>
              <w:jc w:val="center"/>
              <w:rPr>
                <w:rFonts w:asciiTheme="majorHAnsi" w:eastAsia="Times New Roman" w:hAnsiTheme="majorHAnsi" w:cstheme="majorHAnsi"/>
                <w:b/>
                <w:color w:val="000000"/>
                <w:sz w:val="18"/>
                <w:szCs w:val="18"/>
              </w:rPr>
            </w:pPr>
            <w:r w:rsidRPr="00982178">
              <w:rPr>
                <w:rFonts w:asciiTheme="majorHAnsi" w:eastAsia="Times New Roman" w:hAnsiTheme="majorHAnsi" w:cstheme="majorHAnsi"/>
                <w:b/>
                <w:color w:val="000000"/>
                <w:sz w:val="18"/>
                <w:szCs w:val="18"/>
              </w:rPr>
              <w:t>-26.82</w:t>
            </w:r>
          </w:p>
        </w:tc>
        <w:tc>
          <w:tcPr>
            <w:tcW w:w="990" w:type="dxa"/>
            <w:tcBorders>
              <w:top w:val="nil"/>
              <w:left w:val="nil"/>
              <w:bottom w:val="single" w:sz="4" w:space="0" w:color="auto"/>
              <w:right w:val="single" w:sz="4" w:space="0" w:color="auto"/>
            </w:tcBorders>
            <w:shd w:val="clear" w:color="auto" w:fill="auto"/>
            <w:noWrap/>
            <w:vAlign w:val="bottom"/>
            <w:hideMark/>
          </w:tcPr>
          <w:p w14:paraId="432CD7DF" w14:textId="77777777" w:rsidR="00E52AC1" w:rsidRPr="00982178" w:rsidRDefault="00E52AC1" w:rsidP="00E52AC1">
            <w:pPr>
              <w:spacing w:after="0" w:line="240" w:lineRule="auto"/>
              <w:jc w:val="center"/>
              <w:rPr>
                <w:rFonts w:asciiTheme="majorHAnsi" w:eastAsia="Times New Roman" w:hAnsiTheme="majorHAnsi" w:cstheme="majorHAnsi"/>
                <w:b/>
                <w:color w:val="000000"/>
                <w:sz w:val="18"/>
                <w:szCs w:val="18"/>
              </w:rPr>
            </w:pPr>
            <w:r w:rsidRPr="00982178">
              <w:rPr>
                <w:rFonts w:asciiTheme="majorHAnsi" w:eastAsia="Times New Roman" w:hAnsiTheme="majorHAnsi" w:cstheme="majorHAnsi"/>
                <w:b/>
                <w:color w:val="000000"/>
                <w:sz w:val="18"/>
                <w:szCs w:val="18"/>
              </w:rPr>
              <w:t>54.92</w:t>
            </w:r>
          </w:p>
        </w:tc>
        <w:tc>
          <w:tcPr>
            <w:tcW w:w="1080" w:type="dxa"/>
            <w:tcBorders>
              <w:top w:val="nil"/>
              <w:left w:val="nil"/>
              <w:bottom w:val="single" w:sz="4" w:space="0" w:color="auto"/>
              <w:right w:val="single" w:sz="4" w:space="0" w:color="auto"/>
            </w:tcBorders>
            <w:shd w:val="clear" w:color="auto" w:fill="auto"/>
            <w:noWrap/>
            <w:vAlign w:val="bottom"/>
            <w:hideMark/>
          </w:tcPr>
          <w:p w14:paraId="2A6258BC" w14:textId="77777777" w:rsidR="00E52AC1" w:rsidRPr="00982178" w:rsidRDefault="00E52AC1" w:rsidP="00E52AC1">
            <w:pPr>
              <w:spacing w:after="0" w:line="240" w:lineRule="auto"/>
              <w:jc w:val="center"/>
              <w:rPr>
                <w:rFonts w:asciiTheme="majorHAnsi" w:eastAsia="Times New Roman" w:hAnsiTheme="majorHAnsi" w:cstheme="majorHAnsi"/>
                <w:b/>
                <w:color w:val="000000"/>
                <w:sz w:val="18"/>
                <w:szCs w:val="18"/>
              </w:rPr>
            </w:pPr>
            <w:r w:rsidRPr="00982178">
              <w:rPr>
                <w:rFonts w:asciiTheme="majorHAnsi" w:eastAsia="Times New Roman" w:hAnsiTheme="majorHAnsi" w:cstheme="majorHAnsi"/>
                <w:b/>
                <w:color w:val="000000"/>
                <w:sz w:val="18"/>
                <w:szCs w:val="18"/>
              </w:rPr>
              <w:t>-59.49</w:t>
            </w:r>
          </w:p>
        </w:tc>
        <w:tc>
          <w:tcPr>
            <w:tcW w:w="1156" w:type="dxa"/>
            <w:tcBorders>
              <w:top w:val="nil"/>
              <w:left w:val="nil"/>
              <w:bottom w:val="single" w:sz="4" w:space="0" w:color="auto"/>
              <w:right w:val="single" w:sz="4" w:space="0" w:color="auto"/>
            </w:tcBorders>
            <w:shd w:val="clear" w:color="auto" w:fill="auto"/>
            <w:noWrap/>
            <w:vAlign w:val="bottom"/>
            <w:hideMark/>
          </w:tcPr>
          <w:p w14:paraId="19F2EC28" w14:textId="77777777" w:rsidR="00E52AC1" w:rsidRPr="00982178" w:rsidRDefault="00E52AC1" w:rsidP="00E52AC1">
            <w:pPr>
              <w:spacing w:after="0" w:line="240" w:lineRule="auto"/>
              <w:jc w:val="center"/>
              <w:rPr>
                <w:rFonts w:asciiTheme="majorHAnsi" w:eastAsia="Times New Roman" w:hAnsiTheme="majorHAnsi" w:cstheme="majorHAnsi"/>
                <w:b/>
                <w:color w:val="000000"/>
                <w:sz w:val="18"/>
                <w:szCs w:val="18"/>
              </w:rPr>
            </w:pPr>
            <w:r w:rsidRPr="00982178">
              <w:rPr>
                <w:rFonts w:asciiTheme="majorHAnsi" w:eastAsia="Times New Roman" w:hAnsiTheme="majorHAnsi" w:cstheme="majorHAnsi"/>
                <w:b/>
                <w:color w:val="000000"/>
                <w:sz w:val="18"/>
                <w:szCs w:val="18"/>
              </w:rPr>
              <w:t>0.00</w:t>
            </w:r>
          </w:p>
        </w:tc>
      </w:tr>
      <w:tr w:rsidR="00E52AC1" w:rsidRPr="00991DD7" w14:paraId="36B2888A" w14:textId="77777777" w:rsidTr="00E52AC1">
        <w:trPr>
          <w:trHeight w:val="197"/>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0457A799"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Procurarea mașinilor si utilajelor</w:t>
            </w:r>
          </w:p>
        </w:tc>
        <w:tc>
          <w:tcPr>
            <w:tcW w:w="964" w:type="dxa"/>
            <w:tcBorders>
              <w:top w:val="nil"/>
              <w:left w:val="nil"/>
              <w:bottom w:val="single" w:sz="4" w:space="0" w:color="auto"/>
              <w:right w:val="single" w:sz="4" w:space="0" w:color="auto"/>
            </w:tcBorders>
            <w:shd w:val="clear" w:color="auto" w:fill="auto"/>
            <w:noWrap/>
            <w:vAlign w:val="bottom"/>
            <w:hideMark/>
          </w:tcPr>
          <w:p w14:paraId="31C5599F"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314110</w:t>
            </w:r>
          </w:p>
        </w:tc>
        <w:tc>
          <w:tcPr>
            <w:tcW w:w="1004" w:type="dxa"/>
            <w:tcBorders>
              <w:top w:val="nil"/>
              <w:left w:val="nil"/>
              <w:bottom w:val="single" w:sz="4" w:space="0" w:color="auto"/>
              <w:right w:val="single" w:sz="4" w:space="0" w:color="auto"/>
            </w:tcBorders>
            <w:shd w:val="clear" w:color="auto" w:fill="auto"/>
            <w:noWrap/>
            <w:vAlign w:val="bottom"/>
            <w:hideMark/>
          </w:tcPr>
          <w:p w14:paraId="7B0BF5B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88.05</w:t>
            </w:r>
          </w:p>
        </w:tc>
        <w:tc>
          <w:tcPr>
            <w:tcW w:w="900" w:type="dxa"/>
            <w:tcBorders>
              <w:top w:val="nil"/>
              <w:left w:val="nil"/>
              <w:bottom w:val="single" w:sz="4" w:space="0" w:color="auto"/>
              <w:right w:val="single" w:sz="4" w:space="0" w:color="auto"/>
            </w:tcBorders>
            <w:shd w:val="clear" w:color="auto" w:fill="auto"/>
            <w:noWrap/>
            <w:vAlign w:val="bottom"/>
            <w:hideMark/>
          </w:tcPr>
          <w:p w14:paraId="14DE35D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59.49</w:t>
            </w:r>
          </w:p>
        </w:tc>
        <w:tc>
          <w:tcPr>
            <w:tcW w:w="900" w:type="dxa"/>
            <w:tcBorders>
              <w:top w:val="nil"/>
              <w:left w:val="nil"/>
              <w:bottom w:val="single" w:sz="4" w:space="0" w:color="auto"/>
              <w:right w:val="single" w:sz="4" w:space="0" w:color="auto"/>
            </w:tcBorders>
            <w:shd w:val="clear" w:color="auto" w:fill="auto"/>
            <w:noWrap/>
            <w:vAlign w:val="bottom"/>
            <w:hideMark/>
          </w:tcPr>
          <w:p w14:paraId="2BC524B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32.67</w:t>
            </w:r>
          </w:p>
        </w:tc>
        <w:tc>
          <w:tcPr>
            <w:tcW w:w="900" w:type="dxa"/>
            <w:tcBorders>
              <w:top w:val="nil"/>
              <w:left w:val="nil"/>
              <w:bottom w:val="single" w:sz="4" w:space="0" w:color="auto"/>
              <w:right w:val="single" w:sz="4" w:space="0" w:color="auto"/>
            </w:tcBorders>
            <w:shd w:val="clear" w:color="auto" w:fill="auto"/>
            <w:noWrap/>
            <w:vAlign w:val="bottom"/>
            <w:hideMark/>
          </w:tcPr>
          <w:p w14:paraId="451F757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62EA84B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59F3221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-28.56</w:t>
            </w:r>
          </w:p>
        </w:tc>
        <w:tc>
          <w:tcPr>
            <w:tcW w:w="990" w:type="dxa"/>
            <w:tcBorders>
              <w:top w:val="nil"/>
              <w:left w:val="nil"/>
              <w:bottom w:val="single" w:sz="4" w:space="0" w:color="auto"/>
              <w:right w:val="single" w:sz="4" w:space="0" w:color="auto"/>
            </w:tcBorders>
            <w:shd w:val="clear" w:color="auto" w:fill="auto"/>
            <w:noWrap/>
            <w:vAlign w:val="bottom"/>
            <w:hideMark/>
          </w:tcPr>
          <w:p w14:paraId="5F6EFD7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-26.82</w:t>
            </w:r>
          </w:p>
        </w:tc>
        <w:tc>
          <w:tcPr>
            <w:tcW w:w="990" w:type="dxa"/>
            <w:tcBorders>
              <w:top w:val="nil"/>
              <w:left w:val="nil"/>
              <w:bottom w:val="single" w:sz="4" w:space="0" w:color="auto"/>
              <w:right w:val="single" w:sz="4" w:space="0" w:color="auto"/>
            </w:tcBorders>
            <w:shd w:val="clear" w:color="auto" w:fill="auto"/>
            <w:noWrap/>
            <w:vAlign w:val="bottom"/>
            <w:hideMark/>
          </w:tcPr>
          <w:p w14:paraId="3FFE411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54.92</w:t>
            </w:r>
          </w:p>
        </w:tc>
        <w:tc>
          <w:tcPr>
            <w:tcW w:w="1080" w:type="dxa"/>
            <w:tcBorders>
              <w:top w:val="nil"/>
              <w:left w:val="nil"/>
              <w:bottom w:val="single" w:sz="4" w:space="0" w:color="auto"/>
              <w:right w:val="single" w:sz="4" w:space="0" w:color="auto"/>
            </w:tcBorders>
            <w:shd w:val="clear" w:color="auto" w:fill="auto"/>
            <w:noWrap/>
            <w:vAlign w:val="bottom"/>
            <w:hideMark/>
          </w:tcPr>
          <w:p w14:paraId="1813725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w:t>
            </w:r>
            <w:r>
              <w:rPr>
                <w:rFonts w:asciiTheme="majorHAnsi" w:eastAsia="Times New Roman" w:hAnsiTheme="majorHAnsi" w:cstheme="majorHAnsi"/>
                <w:color w:val="000000"/>
                <w:sz w:val="18"/>
                <w:szCs w:val="18"/>
              </w:rPr>
              <w:t>59.49</w:t>
            </w:r>
          </w:p>
        </w:tc>
        <w:tc>
          <w:tcPr>
            <w:tcW w:w="1156" w:type="dxa"/>
            <w:tcBorders>
              <w:top w:val="nil"/>
              <w:left w:val="nil"/>
              <w:bottom w:val="single" w:sz="4" w:space="0" w:color="auto"/>
              <w:right w:val="single" w:sz="4" w:space="0" w:color="auto"/>
            </w:tcBorders>
            <w:shd w:val="clear" w:color="auto" w:fill="auto"/>
            <w:noWrap/>
            <w:vAlign w:val="bottom"/>
            <w:hideMark/>
          </w:tcPr>
          <w:p w14:paraId="3D1701F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r>
      <w:tr w:rsidR="00E52AC1" w:rsidRPr="00991DD7" w14:paraId="49CAF496" w14:textId="77777777" w:rsidTr="00E52AC1">
        <w:trPr>
          <w:trHeight w:val="80"/>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7A2CF7FC"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hideMark/>
          </w:tcPr>
          <w:p w14:paraId="2A32874B" w14:textId="77777777" w:rsidR="00E52AC1" w:rsidRPr="00BC4472" w:rsidRDefault="00E52AC1" w:rsidP="00E52AC1">
            <w:pPr>
              <w:spacing w:after="0" w:line="240" w:lineRule="auto"/>
              <w:jc w:val="both"/>
              <w:rPr>
                <w:rFonts w:asciiTheme="majorHAnsi" w:eastAsia="Times New Roman" w:hAnsiTheme="majorHAnsi" w:cstheme="majorHAnsi"/>
                <w:b/>
                <w:i/>
                <w:iCs/>
                <w:color w:val="000000"/>
                <w:sz w:val="18"/>
                <w:szCs w:val="18"/>
              </w:rPr>
            </w:pPr>
            <w:r w:rsidRPr="00BC4472">
              <w:rPr>
                <w:rFonts w:asciiTheme="majorHAnsi" w:eastAsia="Times New Roman" w:hAnsiTheme="majorHAnsi" w:cstheme="majorHAnsi"/>
                <w:b/>
                <w:i/>
                <w:iCs/>
                <w:color w:val="000000"/>
                <w:sz w:val="18"/>
                <w:szCs w:val="18"/>
              </w:rPr>
              <w:t>315</w:t>
            </w:r>
          </w:p>
        </w:tc>
        <w:tc>
          <w:tcPr>
            <w:tcW w:w="1004" w:type="dxa"/>
            <w:tcBorders>
              <w:top w:val="nil"/>
              <w:left w:val="nil"/>
              <w:bottom w:val="single" w:sz="4" w:space="0" w:color="auto"/>
              <w:right w:val="single" w:sz="4" w:space="0" w:color="auto"/>
            </w:tcBorders>
            <w:shd w:val="clear" w:color="auto" w:fill="auto"/>
            <w:noWrap/>
            <w:vAlign w:val="bottom"/>
            <w:hideMark/>
          </w:tcPr>
          <w:p w14:paraId="6F7D0EC0" w14:textId="77777777" w:rsidR="00E52AC1" w:rsidRPr="00BC4472" w:rsidRDefault="00E52AC1" w:rsidP="00E52AC1">
            <w:pPr>
              <w:spacing w:after="0" w:line="240" w:lineRule="auto"/>
              <w:jc w:val="center"/>
              <w:rPr>
                <w:rFonts w:asciiTheme="majorHAnsi" w:eastAsia="Times New Roman" w:hAnsiTheme="majorHAnsi" w:cstheme="majorHAnsi"/>
                <w:b/>
                <w:color w:val="000000"/>
                <w:sz w:val="18"/>
                <w:szCs w:val="18"/>
              </w:rPr>
            </w:pPr>
            <w:r w:rsidRPr="00BC4472">
              <w:rPr>
                <w:rFonts w:asciiTheme="majorHAnsi" w:eastAsia="Times New Roman" w:hAnsiTheme="majorHAnsi" w:cstheme="majorHAnsi"/>
                <w:b/>
                <w:color w:val="000000"/>
                <w:sz w:val="18"/>
                <w:szCs w:val="18"/>
              </w:rPr>
              <w:t>4.12</w:t>
            </w:r>
          </w:p>
        </w:tc>
        <w:tc>
          <w:tcPr>
            <w:tcW w:w="900" w:type="dxa"/>
            <w:tcBorders>
              <w:top w:val="nil"/>
              <w:left w:val="nil"/>
              <w:bottom w:val="single" w:sz="4" w:space="0" w:color="auto"/>
              <w:right w:val="single" w:sz="4" w:space="0" w:color="auto"/>
            </w:tcBorders>
            <w:shd w:val="clear" w:color="auto" w:fill="auto"/>
            <w:noWrap/>
            <w:vAlign w:val="bottom"/>
            <w:hideMark/>
          </w:tcPr>
          <w:p w14:paraId="2BABD908" w14:textId="77777777" w:rsidR="00E52AC1" w:rsidRPr="00BC4472" w:rsidRDefault="00E52AC1" w:rsidP="00E52AC1">
            <w:pPr>
              <w:spacing w:after="0" w:line="240" w:lineRule="auto"/>
              <w:jc w:val="center"/>
              <w:rPr>
                <w:rFonts w:asciiTheme="majorHAnsi" w:eastAsia="Times New Roman" w:hAnsiTheme="majorHAnsi" w:cstheme="majorHAnsi"/>
                <w:b/>
                <w:color w:val="000000"/>
                <w:sz w:val="18"/>
                <w:szCs w:val="18"/>
              </w:rPr>
            </w:pPr>
            <w:r w:rsidRPr="00BC4472">
              <w:rPr>
                <w:rFonts w:asciiTheme="majorHAnsi" w:eastAsia="Times New Roman" w:hAnsiTheme="majorHAnsi" w:cstheme="majorHAnsi"/>
                <w:b/>
                <w:color w:val="000000"/>
                <w:sz w:val="18"/>
                <w:szCs w:val="18"/>
              </w:rPr>
              <w:t>4.02</w:t>
            </w:r>
          </w:p>
        </w:tc>
        <w:tc>
          <w:tcPr>
            <w:tcW w:w="900" w:type="dxa"/>
            <w:tcBorders>
              <w:top w:val="nil"/>
              <w:left w:val="nil"/>
              <w:bottom w:val="single" w:sz="4" w:space="0" w:color="auto"/>
              <w:right w:val="single" w:sz="4" w:space="0" w:color="auto"/>
            </w:tcBorders>
            <w:shd w:val="clear" w:color="auto" w:fill="auto"/>
            <w:noWrap/>
            <w:vAlign w:val="bottom"/>
            <w:hideMark/>
          </w:tcPr>
          <w:p w14:paraId="7AB1D65A" w14:textId="77777777" w:rsidR="00E52AC1" w:rsidRPr="00BC4472" w:rsidRDefault="00E52AC1" w:rsidP="00E52AC1">
            <w:pPr>
              <w:spacing w:after="0" w:line="240" w:lineRule="auto"/>
              <w:jc w:val="center"/>
              <w:rPr>
                <w:rFonts w:asciiTheme="majorHAnsi" w:eastAsia="Times New Roman" w:hAnsiTheme="majorHAnsi" w:cstheme="majorHAnsi"/>
                <w:b/>
                <w:color w:val="000000"/>
                <w:sz w:val="18"/>
                <w:szCs w:val="18"/>
              </w:rPr>
            </w:pPr>
            <w:r w:rsidRPr="00BC4472">
              <w:rPr>
                <w:rFonts w:asciiTheme="majorHAnsi" w:eastAsia="Times New Roman" w:hAnsiTheme="majorHAnsi" w:cstheme="majorHAnsi"/>
                <w:b/>
                <w:color w:val="000000"/>
                <w:sz w:val="18"/>
                <w:szCs w:val="18"/>
              </w:rPr>
              <w:t>3.82</w:t>
            </w:r>
          </w:p>
        </w:tc>
        <w:tc>
          <w:tcPr>
            <w:tcW w:w="900" w:type="dxa"/>
            <w:tcBorders>
              <w:top w:val="nil"/>
              <w:left w:val="nil"/>
              <w:bottom w:val="single" w:sz="4" w:space="0" w:color="auto"/>
              <w:right w:val="single" w:sz="4" w:space="0" w:color="auto"/>
            </w:tcBorders>
            <w:shd w:val="clear" w:color="auto" w:fill="auto"/>
            <w:noWrap/>
            <w:vAlign w:val="bottom"/>
            <w:hideMark/>
          </w:tcPr>
          <w:p w14:paraId="137941B8" w14:textId="77777777" w:rsidR="00E52AC1" w:rsidRPr="00BC4472" w:rsidRDefault="00E52AC1" w:rsidP="00E52AC1">
            <w:pPr>
              <w:spacing w:after="0" w:line="240" w:lineRule="auto"/>
              <w:jc w:val="center"/>
              <w:rPr>
                <w:rFonts w:asciiTheme="majorHAnsi" w:eastAsia="Times New Roman" w:hAnsiTheme="majorHAnsi" w:cstheme="majorHAnsi"/>
                <w:b/>
                <w:color w:val="000000"/>
                <w:sz w:val="18"/>
                <w:szCs w:val="18"/>
              </w:rPr>
            </w:pPr>
            <w:r w:rsidRPr="00BC4472">
              <w:rPr>
                <w:rFonts w:asciiTheme="majorHAnsi" w:eastAsia="Times New Roman" w:hAnsiTheme="majorHAnsi" w:cstheme="majorHAnsi"/>
                <w:b/>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2DDAEF9C" w14:textId="77777777" w:rsidR="00E52AC1" w:rsidRPr="00BC4472" w:rsidRDefault="00E52AC1" w:rsidP="00E52AC1">
            <w:pPr>
              <w:spacing w:after="0" w:line="240" w:lineRule="auto"/>
              <w:jc w:val="center"/>
              <w:rPr>
                <w:rFonts w:asciiTheme="majorHAnsi" w:eastAsia="Times New Roman" w:hAnsiTheme="majorHAnsi" w:cstheme="majorHAnsi"/>
                <w:b/>
                <w:color w:val="000000"/>
                <w:sz w:val="18"/>
                <w:szCs w:val="18"/>
              </w:rPr>
            </w:pPr>
            <w:r w:rsidRPr="00BC4472">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4326FD40" w14:textId="77777777" w:rsidR="00E52AC1" w:rsidRPr="00BC4472" w:rsidRDefault="00E52AC1" w:rsidP="00E52AC1">
            <w:pPr>
              <w:spacing w:after="0" w:line="240" w:lineRule="auto"/>
              <w:jc w:val="center"/>
              <w:rPr>
                <w:rFonts w:asciiTheme="majorHAnsi" w:eastAsia="Times New Roman" w:hAnsiTheme="majorHAnsi" w:cstheme="majorHAnsi"/>
                <w:b/>
                <w:color w:val="000000"/>
                <w:sz w:val="18"/>
                <w:szCs w:val="18"/>
              </w:rPr>
            </w:pPr>
            <w:r w:rsidRPr="00BC4472">
              <w:rPr>
                <w:rFonts w:asciiTheme="majorHAnsi" w:eastAsia="Times New Roman" w:hAnsiTheme="majorHAnsi" w:cstheme="majorHAnsi"/>
                <w:b/>
                <w:color w:val="000000"/>
                <w:sz w:val="18"/>
                <w:szCs w:val="18"/>
              </w:rPr>
              <w:t>-0.09</w:t>
            </w:r>
          </w:p>
        </w:tc>
        <w:tc>
          <w:tcPr>
            <w:tcW w:w="990" w:type="dxa"/>
            <w:tcBorders>
              <w:top w:val="nil"/>
              <w:left w:val="nil"/>
              <w:bottom w:val="single" w:sz="4" w:space="0" w:color="auto"/>
              <w:right w:val="single" w:sz="4" w:space="0" w:color="auto"/>
            </w:tcBorders>
            <w:shd w:val="clear" w:color="auto" w:fill="auto"/>
            <w:noWrap/>
            <w:vAlign w:val="bottom"/>
            <w:hideMark/>
          </w:tcPr>
          <w:p w14:paraId="49CE6853" w14:textId="77777777" w:rsidR="00E52AC1" w:rsidRPr="00BC4472" w:rsidRDefault="00E52AC1" w:rsidP="00E52AC1">
            <w:pPr>
              <w:spacing w:after="0" w:line="240" w:lineRule="auto"/>
              <w:jc w:val="center"/>
              <w:rPr>
                <w:rFonts w:asciiTheme="majorHAnsi" w:eastAsia="Times New Roman" w:hAnsiTheme="majorHAnsi" w:cstheme="majorHAnsi"/>
                <w:b/>
                <w:color w:val="000000"/>
                <w:sz w:val="18"/>
                <w:szCs w:val="18"/>
              </w:rPr>
            </w:pPr>
            <w:r w:rsidRPr="00BC4472">
              <w:rPr>
                <w:rFonts w:asciiTheme="majorHAnsi" w:eastAsia="Times New Roman" w:hAnsiTheme="majorHAnsi" w:cstheme="majorHAnsi"/>
                <w:b/>
                <w:color w:val="000000"/>
                <w:sz w:val="18"/>
                <w:szCs w:val="18"/>
              </w:rPr>
              <w:t>-0.21</w:t>
            </w:r>
          </w:p>
        </w:tc>
        <w:tc>
          <w:tcPr>
            <w:tcW w:w="990" w:type="dxa"/>
            <w:tcBorders>
              <w:top w:val="nil"/>
              <w:left w:val="nil"/>
              <w:bottom w:val="single" w:sz="4" w:space="0" w:color="auto"/>
              <w:right w:val="single" w:sz="4" w:space="0" w:color="auto"/>
            </w:tcBorders>
            <w:shd w:val="clear" w:color="auto" w:fill="auto"/>
            <w:noWrap/>
            <w:vAlign w:val="bottom"/>
            <w:hideMark/>
          </w:tcPr>
          <w:p w14:paraId="0E851D75" w14:textId="77777777" w:rsidR="00E52AC1" w:rsidRPr="00BC4472" w:rsidRDefault="00E52AC1" w:rsidP="00E52AC1">
            <w:pPr>
              <w:spacing w:after="0" w:line="240" w:lineRule="auto"/>
              <w:jc w:val="center"/>
              <w:rPr>
                <w:rFonts w:asciiTheme="majorHAnsi" w:eastAsia="Times New Roman" w:hAnsiTheme="majorHAnsi" w:cstheme="majorHAnsi"/>
                <w:b/>
                <w:color w:val="000000"/>
                <w:sz w:val="18"/>
                <w:szCs w:val="18"/>
              </w:rPr>
            </w:pPr>
            <w:r w:rsidRPr="00BC4472">
              <w:rPr>
                <w:rFonts w:asciiTheme="majorHAnsi" w:eastAsia="Times New Roman" w:hAnsiTheme="majorHAnsi" w:cstheme="majorHAnsi"/>
                <w:b/>
                <w:color w:val="000000"/>
                <w:sz w:val="18"/>
                <w:szCs w:val="18"/>
              </w:rPr>
              <w:t>94.80</w:t>
            </w:r>
          </w:p>
        </w:tc>
        <w:tc>
          <w:tcPr>
            <w:tcW w:w="1080" w:type="dxa"/>
            <w:tcBorders>
              <w:top w:val="nil"/>
              <w:left w:val="nil"/>
              <w:bottom w:val="single" w:sz="4" w:space="0" w:color="auto"/>
              <w:right w:val="single" w:sz="4" w:space="0" w:color="auto"/>
            </w:tcBorders>
            <w:shd w:val="clear" w:color="auto" w:fill="auto"/>
            <w:noWrap/>
            <w:vAlign w:val="bottom"/>
            <w:hideMark/>
          </w:tcPr>
          <w:p w14:paraId="23C7DB29" w14:textId="77777777" w:rsidR="00E52AC1" w:rsidRPr="00BC4472" w:rsidRDefault="00E52AC1" w:rsidP="00E52AC1">
            <w:pPr>
              <w:spacing w:after="0" w:line="240" w:lineRule="auto"/>
              <w:jc w:val="center"/>
              <w:rPr>
                <w:rFonts w:asciiTheme="majorHAnsi" w:eastAsia="Times New Roman" w:hAnsiTheme="majorHAnsi" w:cstheme="majorHAnsi"/>
                <w:b/>
                <w:color w:val="000000"/>
                <w:sz w:val="18"/>
                <w:szCs w:val="18"/>
              </w:rPr>
            </w:pPr>
            <w:r w:rsidRPr="00BC4472">
              <w:rPr>
                <w:rFonts w:asciiTheme="majorHAnsi" w:eastAsia="Times New Roman" w:hAnsiTheme="majorHAnsi" w:cstheme="majorHAnsi"/>
                <w:b/>
                <w:color w:val="000000"/>
                <w:sz w:val="18"/>
                <w:szCs w:val="18"/>
              </w:rPr>
              <w:t>-4.02</w:t>
            </w:r>
          </w:p>
        </w:tc>
        <w:tc>
          <w:tcPr>
            <w:tcW w:w="1156" w:type="dxa"/>
            <w:tcBorders>
              <w:top w:val="nil"/>
              <w:left w:val="nil"/>
              <w:bottom w:val="single" w:sz="4" w:space="0" w:color="auto"/>
              <w:right w:val="single" w:sz="4" w:space="0" w:color="auto"/>
            </w:tcBorders>
            <w:shd w:val="clear" w:color="auto" w:fill="auto"/>
            <w:noWrap/>
            <w:vAlign w:val="bottom"/>
            <w:hideMark/>
          </w:tcPr>
          <w:p w14:paraId="452F7C93" w14:textId="77777777" w:rsidR="00E52AC1" w:rsidRPr="00BC4472" w:rsidRDefault="00E52AC1" w:rsidP="00E52AC1">
            <w:pPr>
              <w:spacing w:after="0" w:line="240" w:lineRule="auto"/>
              <w:jc w:val="center"/>
              <w:rPr>
                <w:rFonts w:asciiTheme="majorHAnsi" w:eastAsia="Times New Roman" w:hAnsiTheme="majorHAnsi" w:cstheme="majorHAnsi"/>
                <w:b/>
                <w:color w:val="000000"/>
                <w:sz w:val="18"/>
                <w:szCs w:val="18"/>
              </w:rPr>
            </w:pPr>
            <w:r w:rsidRPr="00BC4472">
              <w:rPr>
                <w:rFonts w:asciiTheme="majorHAnsi" w:eastAsia="Times New Roman" w:hAnsiTheme="majorHAnsi" w:cstheme="majorHAnsi"/>
                <w:b/>
                <w:color w:val="000000"/>
                <w:sz w:val="18"/>
                <w:szCs w:val="18"/>
              </w:rPr>
              <w:t>0.00</w:t>
            </w:r>
          </w:p>
        </w:tc>
      </w:tr>
      <w:tr w:rsidR="00E52AC1" w:rsidRPr="00991DD7" w14:paraId="262357C0" w14:textId="77777777" w:rsidTr="00E52AC1">
        <w:trPr>
          <w:trHeight w:val="215"/>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0A15E886"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Procurarea mijloacelor de transport</w:t>
            </w:r>
          </w:p>
        </w:tc>
        <w:tc>
          <w:tcPr>
            <w:tcW w:w="964" w:type="dxa"/>
            <w:tcBorders>
              <w:top w:val="nil"/>
              <w:left w:val="nil"/>
              <w:bottom w:val="single" w:sz="4" w:space="0" w:color="auto"/>
              <w:right w:val="single" w:sz="4" w:space="0" w:color="auto"/>
            </w:tcBorders>
            <w:shd w:val="clear" w:color="auto" w:fill="auto"/>
            <w:noWrap/>
            <w:vAlign w:val="bottom"/>
            <w:hideMark/>
          </w:tcPr>
          <w:p w14:paraId="058621D8"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315110</w:t>
            </w:r>
          </w:p>
        </w:tc>
        <w:tc>
          <w:tcPr>
            <w:tcW w:w="1004" w:type="dxa"/>
            <w:tcBorders>
              <w:top w:val="nil"/>
              <w:left w:val="nil"/>
              <w:bottom w:val="single" w:sz="4" w:space="0" w:color="auto"/>
              <w:right w:val="single" w:sz="4" w:space="0" w:color="auto"/>
            </w:tcBorders>
            <w:shd w:val="clear" w:color="auto" w:fill="auto"/>
            <w:noWrap/>
            <w:vAlign w:val="bottom"/>
            <w:hideMark/>
          </w:tcPr>
          <w:p w14:paraId="05CD01B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3.71</w:t>
            </w:r>
          </w:p>
        </w:tc>
        <w:tc>
          <w:tcPr>
            <w:tcW w:w="900" w:type="dxa"/>
            <w:tcBorders>
              <w:top w:val="nil"/>
              <w:left w:val="nil"/>
              <w:bottom w:val="single" w:sz="4" w:space="0" w:color="auto"/>
              <w:right w:val="single" w:sz="4" w:space="0" w:color="auto"/>
            </w:tcBorders>
            <w:shd w:val="clear" w:color="auto" w:fill="auto"/>
            <w:noWrap/>
            <w:vAlign w:val="bottom"/>
            <w:hideMark/>
          </w:tcPr>
          <w:p w14:paraId="24C6627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3.88</w:t>
            </w:r>
          </w:p>
        </w:tc>
        <w:tc>
          <w:tcPr>
            <w:tcW w:w="900" w:type="dxa"/>
            <w:tcBorders>
              <w:top w:val="nil"/>
              <w:left w:val="nil"/>
              <w:bottom w:val="single" w:sz="4" w:space="0" w:color="auto"/>
              <w:right w:val="single" w:sz="4" w:space="0" w:color="auto"/>
            </w:tcBorders>
            <w:shd w:val="clear" w:color="auto" w:fill="auto"/>
            <w:noWrap/>
            <w:vAlign w:val="bottom"/>
            <w:hideMark/>
          </w:tcPr>
          <w:p w14:paraId="69BCBC3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3.80</w:t>
            </w:r>
          </w:p>
        </w:tc>
        <w:tc>
          <w:tcPr>
            <w:tcW w:w="900" w:type="dxa"/>
            <w:tcBorders>
              <w:top w:val="nil"/>
              <w:left w:val="nil"/>
              <w:bottom w:val="single" w:sz="4" w:space="0" w:color="auto"/>
              <w:right w:val="single" w:sz="4" w:space="0" w:color="auto"/>
            </w:tcBorders>
            <w:shd w:val="clear" w:color="auto" w:fill="auto"/>
            <w:noWrap/>
            <w:vAlign w:val="bottom"/>
            <w:hideMark/>
          </w:tcPr>
          <w:p w14:paraId="088E227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4FCBF7F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5EF4409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-0.17</w:t>
            </w:r>
          </w:p>
        </w:tc>
        <w:tc>
          <w:tcPr>
            <w:tcW w:w="990" w:type="dxa"/>
            <w:tcBorders>
              <w:top w:val="nil"/>
              <w:left w:val="nil"/>
              <w:bottom w:val="single" w:sz="4" w:space="0" w:color="auto"/>
              <w:right w:val="single" w:sz="4" w:space="0" w:color="auto"/>
            </w:tcBorders>
            <w:shd w:val="clear" w:color="auto" w:fill="auto"/>
            <w:noWrap/>
            <w:vAlign w:val="bottom"/>
            <w:hideMark/>
          </w:tcPr>
          <w:p w14:paraId="5B5F428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-0.08</w:t>
            </w:r>
          </w:p>
        </w:tc>
        <w:tc>
          <w:tcPr>
            <w:tcW w:w="990" w:type="dxa"/>
            <w:tcBorders>
              <w:top w:val="nil"/>
              <w:left w:val="nil"/>
              <w:bottom w:val="single" w:sz="4" w:space="0" w:color="auto"/>
              <w:right w:val="single" w:sz="4" w:space="0" w:color="auto"/>
            </w:tcBorders>
            <w:shd w:val="clear" w:color="auto" w:fill="auto"/>
            <w:noWrap/>
            <w:vAlign w:val="bottom"/>
            <w:hideMark/>
          </w:tcPr>
          <w:p w14:paraId="708885D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97.93</w:t>
            </w:r>
          </w:p>
        </w:tc>
        <w:tc>
          <w:tcPr>
            <w:tcW w:w="1080" w:type="dxa"/>
            <w:tcBorders>
              <w:top w:val="nil"/>
              <w:left w:val="nil"/>
              <w:bottom w:val="single" w:sz="4" w:space="0" w:color="auto"/>
              <w:right w:val="single" w:sz="4" w:space="0" w:color="auto"/>
            </w:tcBorders>
            <w:shd w:val="clear" w:color="auto" w:fill="auto"/>
            <w:noWrap/>
            <w:vAlign w:val="bottom"/>
            <w:hideMark/>
          </w:tcPr>
          <w:p w14:paraId="4084786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w:t>
            </w:r>
            <w:r>
              <w:rPr>
                <w:rFonts w:asciiTheme="majorHAnsi" w:eastAsia="Times New Roman" w:hAnsiTheme="majorHAnsi" w:cstheme="majorHAnsi"/>
                <w:color w:val="000000"/>
                <w:sz w:val="18"/>
                <w:szCs w:val="18"/>
              </w:rPr>
              <w:t>3.88</w:t>
            </w:r>
          </w:p>
        </w:tc>
        <w:tc>
          <w:tcPr>
            <w:tcW w:w="1156" w:type="dxa"/>
            <w:tcBorders>
              <w:top w:val="nil"/>
              <w:left w:val="nil"/>
              <w:bottom w:val="single" w:sz="4" w:space="0" w:color="auto"/>
              <w:right w:val="single" w:sz="4" w:space="0" w:color="auto"/>
            </w:tcBorders>
            <w:shd w:val="clear" w:color="auto" w:fill="auto"/>
            <w:noWrap/>
            <w:vAlign w:val="bottom"/>
            <w:hideMark/>
          </w:tcPr>
          <w:p w14:paraId="350BF0D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r>
      <w:tr w:rsidR="00E52AC1" w:rsidRPr="00991DD7" w14:paraId="044C2D08" w14:textId="77777777" w:rsidTr="00E52AC1">
        <w:trPr>
          <w:trHeight w:val="58"/>
        </w:trPr>
        <w:tc>
          <w:tcPr>
            <w:tcW w:w="4140" w:type="dxa"/>
            <w:tcBorders>
              <w:top w:val="nil"/>
              <w:left w:val="single" w:sz="4" w:space="0" w:color="auto"/>
              <w:bottom w:val="single" w:sz="4" w:space="0" w:color="auto"/>
              <w:right w:val="single" w:sz="4" w:space="0" w:color="auto"/>
            </w:tcBorders>
            <w:shd w:val="clear" w:color="auto" w:fill="auto"/>
            <w:vAlign w:val="bottom"/>
          </w:tcPr>
          <w:p w14:paraId="34EA2CF4"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E41028">
              <w:rPr>
                <w:rFonts w:asciiTheme="majorHAnsi" w:eastAsia="Times New Roman" w:hAnsiTheme="majorHAnsi" w:cstheme="majorHAnsi"/>
                <w:b/>
                <w:bCs/>
                <w:color w:val="000000"/>
                <w:sz w:val="18"/>
                <w:szCs w:val="18"/>
              </w:rPr>
              <w:t>Reparații capitale ale mijloacelor de transport</w:t>
            </w:r>
          </w:p>
        </w:tc>
        <w:tc>
          <w:tcPr>
            <w:tcW w:w="964" w:type="dxa"/>
            <w:tcBorders>
              <w:top w:val="nil"/>
              <w:left w:val="nil"/>
              <w:bottom w:val="single" w:sz="4" w:space="0" w:color="auto"/>
              <w:right w:val="single" w:sz="4" w:space="0" w:color="auto"/>
            </w:tcBorders>
            <w:shd w:val="clear" w:color="auto" w:fill="auto"/>
            <w:noWrap/>
            <w:vAlign w:val="bottom"/>
          </w:tcPr>
          <w:p w14:paraId="16CB5C11"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315120</w:t>
            </w:r>
          </w:p>
        </w:tc>
        <w:tc>
          <w:tcPr>
            <w:tcW w:w="1004" w:type="dxa"/>
            <w:tcBorders>
              <w:top w:val="nil"/>
              <w:left w:val="nil"/>
              <w:bottom w:val="single" w:sz="4" w:space="0" w:color="auto"/>
              <w:right w:val="single" w:sz="4" w:space="0" w:color="auto"/>
            </w:tcBorders>
            <w:shd w:val="clear" w:color="auto" w:fill="auto"/>
            <w:noWrap/>
            <w:vAlign w:val="bottom"/>
          </w:tcPr>
          <w:p w14:paraId="1297C05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0.41</w:t>
            </w:r>
          </w:p>
        </w:tc>
        <w:tc>
          <w:tcPr>
            <w:tcW w:w="900" w:type="dxa"/>
            <w:tcBorders>
              <w:top w:val="nil"/>
              <w:left w:val="nil"/>
              <w:bottom w:val="single" w:sz="4" w:space="0" w:color="auto"/>
              <w:right w:val="single" w:sz="4" w:space="0" w:color="auto"/>
            </w:tcBorders>
            <w:shd w:val="clear" w:color="auto" w:fill="auto"/>
            <w:noWrap/>
            <w:vAlign w:val="bottom"/>
          </w:tcPr>
          <w:p w14:paraId="62BA53A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0.15</w:t>
            </w:r>
          </w:p>
        </w:tc>
        <w:tc>
          <w:tcPr>
            <w:tcW w:w="900" w:type="dxa"/>
            <w:tcBorders>
              <w:top w:val="nil"/>
              <w:left w:val="nil"/>
              <w:bottom w:val="single" w:sz="4" w:space="0" w:color="auto"/>
              <w:right w:val="single" w:sz="4" w:space="0" w:color="auto"/>
            </w:tcBorders>
            <w:shd w:val="clear" w:color="auto" w:fill="auto"/>
            <w:noWrap/>
            <w:vAlign w:val="bottom"/>
          </w:tcPr>
          <w:p w14:paraId="2127C7D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0.02</w:t>
            </w:r>
          </w:p>
        </w:tc>
        <w:tc>
          <w:tcPr>
            <w:tcW w:w="900" w:type="dxa"/>
            <w:tcBorders>
              <w:top w:val="nil"/>
              <w:left w:val="nil"/>
              <w:bottom w:val="single" w:sz="4" w:space="0" w:color="auto"/>
              <w:right w:val="single" w:sz="4" w:space="0" w:color="auto"/>
            </w:tcBorders>
            <w:shd w:val="clear" w:color="auto" w:fill="auto"/>
            <w:noWrap/>
            <w:vAlign w:val="bottom"/>
          </w:tcPr>
          <w:p w14:paraId="0E2985D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tcPr>
          <w:p w14:paraId="69FFD4E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1696A4C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-0.26</w:t>
            </w:r>
          </w:p>
        </w:tc>
        <w:tc>
          <w:tcPr>
            <w:tcW w:w="990" w:type="dxa"/>
            <w:tcBorders>
              <w:top w:val="nil"/>
              <w:left w:val="nil"/>
              <w:bottom w:val="single" w:sz="4" w:space="0" w:color="auto"/>
              <w:right w:val="single" w:sz="4" w:space="0" w:color="auto"/>
            </w:tcBorders>
            <w:shd w:val="clear" w:color="auto" w:fill="auto"/>
            <w:noWrap/>
            <w:vAlign w:val="bottom"/>
          </w:tcPr>
          <w:p w14:paraId="2C3CA63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-0.13</w:t>
            </w:r>
          </w:p>
        </w:tc>
        <w:tc>
          <w:tcPr>
            <w:tcW w:w="990" w:type="dxa"/>
            <w:tcBorders>
              <w:top w:val="nil"/>
              <w:left w:val="nil"/>
              <w:bottom w:val="single" w:sz="4" w:space="0" w:color="auto"/>
              <w:right w:val="single" w:sz="4" w:space="0" w:color="auto"/>
            </w:tcBorders>
            <w:shd w:val="clear" w:color="auto" w:fill="auto"/>
            <w:noWrap/>
            <w:vAlign w:val="bottom"/>
          </w:tcPr>
          <w:p w14:paraId="2DC039E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12.76</w:t>
            </w:r>
          </w:p>
        </w:tc>
        <w:tc>
          <w:tcPr>
            <w:tcW w:w="1080" w:type="dxa"/>
            <w:tcBorders>
              <w:top w:val="nil"/>
              <w:left w:val="nil"/>
              <w:bottom w:val="single" w:sz="4" w:space="0" w:color="auto"/>
              <w:right w:val="single" w:sz="4" w:space="0" w:color="auto"/>
            </w:tcBorders>
            <w:shd w:val="clear" w:color="auto" w:fill="auto"/>
            <w:noWrap/>
            <w:vAlign w:val="bottom"/>
          </w:tcPr>
          <w:p w14:paraId="427960A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-0.15</w:t>
            </w:r>
          </w:p>
        </w:tc>
        <w:tc>
          <w:tcPr>
            <w:tcW w:w="1156" w:type="dxa"/>
            <w:tcBorders>
              <w:top w:val="nil"/>
              <w:left w:val="nil"/>
              <w:bottom w:val="single" w:sz="4" w:space="0" w:color="auto"/>
              <w:right w:val="single" w:sz="4" w:space="0" w:color="auto"/>
            </w:tcBorders>
            <w:shd w:val="clear" w:color="auto" w:fill="auto"/>
            <w:noWrap/>
            <w:vAlign w:val="bottom"/>
          </w:tcPr>
          <w:p w14:paraId="457DC06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31249B72" w14:textId="77777777" w:rsidTr="00E52AC1">
        <w:trPr>
          <w:trHeight w:val="5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7968430D"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hideMark/>
          </w:tcPr>
          <w:p w14:paraId="2FE13DF0" w14:textId="77777777" w:rsidR="00E52AC1" w:rsidRPr="001D1222" w:rsidRDefault="00E52AC1" w:rsidP="00E52AC1">
            <w:pPr>
              <w:spacing w:after="0" w:line="240" w:lineRule="auto"/>
              <w:jc w:val="both"/>
              <w:rPr>
                <w:rFonts w:asciiTheme="majorHAnsi" w:eastAsia="Times New Roman" w:hAnsiTheme="majorHAnsi" w:cstheme="majorHAnsi"/>
                <w:b/>
                <w:i/>
                <w:iCs/>
                <w:color w:val="000000"/>
                <w:sz w:val="18"/>
                <w:szCs w:val="18"/>
              </w:rPr>
            </w:pPr>
            <w:r w:rsidRPr="001D1222">
              <w:rPr>
                <w:rFonts w:asciiTheme="majorHAnsi" w:eastAsia="Times New Roman" w:hAnsiTheme="majorHAnsi" w:cstheme="majorHAnsi"/>
                <w:b/>
                <w:i/>
                <w:iCs/>
                <w:color w:val="000000"/>
                <w:sz w:val="18"/>
                <w:szCs w:val="18"/>
              </w:rPr>
              <w:t>316</w:t>
            </w:r>
          </w:p>
        </w:tc>
        <w:tc>
          <w:tcPr>
            <w:tcW w:w="1004" w:type="dxa"/>
            <w:tcBorders>
              <w:top w:val="nil"/>
              <w:left w:val="nil"/>
              <w:bottom w:val="single" w:sz="4" w:space="0" w:color="auto"/>
              <w:right w:val="single" w:sz="4" w:space="0" w:color="auto"/>
            </w:tcBorders>
            <w:shd w:val="clear" w:color="auto" w:fill="auto"/>
            <w:noWrap/>
            <w:vAlign w:val="bottom"/>
            <w:hideMark/>
          </w:tcPr>
          <w:p w14:paraId="6F11EF89" w14:textId="77777777" w:rsidR="00E52AC1" w:rsidRPr="001D1222" w:rsidRDefault="00E52AC1" w:rsidP="00E52AC1">
            <w:pPr>
              <w:spacing w:after="0" w:line="240" w:lineRule="auto"/>
              <w:jc w:val="center"/>
              <w:rPr>
                <w:rFonts w:asciiTheme="majorHAnsi" w:eastAsia="Times New Roman" w:hAnsiTheme="majorHAnsi" w:cstheme="majorHAnsi"/>
                <w:b/>
                <w:color w:val="000000"/>
                <w:sz w:val="18"/>
                <w:szCs w:val="18"/>
              </w:rPr>
            </w:pPr>
            <w:r w:rsidRPr="001D1222">
              <w:rPr>
                <w:rFonts w:asciiTheme="majorHAnsi" w:eastAsia="Times New Roman" w:hAnsiTheme="majorHAnsi" w:cstheme="majorHAnsi"/>
                <w:b/>
                <w:color w:val="000000"/>
                <w:sz w:val="18"/>
                <w:szCs w:val="18"/>
              </w:rPr>
              <w:t>21.23</w:t>
            </w:r>
          </w:p>
        </w:tc>
        <w:tc>
          <w:tcPr>
            <w:tcW w:w="900" w:type="dxa"/>
            <w:tcBorders>
              <w:top w:val="nil"/>
              <w:left w:val="nil"/>
              <w:bottom w:val="single" w:sz="4" w:space="0" w:color="auto"/>
              <w:right w:val="single" w:sz="4" w:space="0" w:color="auto"/>
            </w:tcBorders>
            <w:shd w:val="clear" w:color="auto" w:fill="auto"/>
            <w:noWrap/>
            <w:vAlign w:val="bottom"/>
            <w:hideMark/>
          </w:tcPr>
          <w:p w14:paraId="1E1F4253" w14:textId="77777777" w:rsidR="00E52AC1" w:rsidRPr="001D1222" w:rsidRDefault="00E52AC1" w:rsidP="00E52AC1">
            <w:pPr>
              <w:spacing w:after="0" w:line="240" w:lineRule="auto"/>
              <w:jc w:val="center"/>
              <w:rPr>
                <w:rFonts w:asciiTheme="majorHAnsi" w:eastAsia="Times New Roman" w:hAnsiTheme="majorHAnsi" w:cstheme="majorHAnsi"/>
                <w:b/>
                <w:color w:val="000000"/>
                <w:sz w:val="18"/>
                <w:szCs w:val="18"/>
              </w:rPr>
            </w:pPr>
            <w:r w:rsidRPr="001D1222">
              <w:rPr>
                <w:rFonts w:asciiTheme="majorHAnsi" w:eastAsia="Times New Roman" w:hAnsiTheme="majorHAnsi" w:cstheme="majorHAnsi"/>
                <w:b/>
                <w:color w:val="000000"/>
                <w:sz w:val="18"/>
                <w:szCs w:val="18"/>
              </w:rPr>
              <w:t>18.13</w:t>
            </w:r>
          </w:p>
        </w:tc>
        <w:tc>
          <w:tcPr>
            <w:tcW w:w="900" w:type="dxa"/>
            <w:tcBorders>
              <w:top w:val="nil"/>
              <w:left w:val="nil"/>
              <w:bottom w:val="single" w:sz="4" w:space="0" w:color="auto"/>
              <w:right w:val="single" w:sz="4" w:space="0" w:color="auto"/>
            </w:tcBorders>
            <w:shd w:val="clear" w:color="auto" w:fill="auto"/>
            <w:noWrap/>
            <w:vAlign w:val="bottom"/>
            <w:hideMark/>
          </w:tcPr>
          <w:p w14:paraId="30401ED4" w14:textId="77777777" w:rsidR="00E52AC1" w:rsidRPr="001D1222" w:rsidRDefault="00E52AC1" w:rsidP="00E52AC1">
            <w:pPr>
              <w:spacing w:after="0" w:line="240" w:lineRule="auto"/>
              <w:jc w:val="center"/>
              <w:rPr>
                <w:rFonts w:asciiTheme="majorHAnsi" w:eastAsia="Times New Roman" w:hAnsiTheme="majorHAnsi" w:cstheme="majorHAnsi"/>
                <w:b/>
                <w:color w:val="000000"/>
                <w:sz w:val="18"/>
                <w:szCs w:val="18"/>
              </w:rPr>
            </w:pPr>
            <w:r w:rsidRPr="001D1222">
              <w:rPr>
                <w:rFonts w:asciiTheme="majorHAnsi" w:eastAsia="Times New Roman" w:hAnsiTheme="majorHAnsi" w:cstheme="majorHAnsi"/>
                <w:b/>
                <w:color w:val="000000"/>
                <w:sz w:val="18"/>
                <w:szCs w:val="18"/>
              </w:rPr>
              <w:t>5.38</w:t>
            </w:r>
          </w:p>
        </w:tc>
        <w:tc>
          <w:tcPr>
            <w:tcW w:w="900" w:type="dxa"/>
            <w:tcBorders>
              <w:top w:val="nil"/>
              <w:left w:val="nil"/>
              <w:bottom w:val="single" w:sz="4" w:space="0" w:color="auto"/>
              <w:right w:val="single" w:sz="4" w:space="0" w:color="auto"/>
            </w:tcBorders>
            <w:shd w:val="clear" w:color="auto" w:fill="auto"/>
            <w:noWrap/>
            <w:vAlign w:val="bottom"/>
            <w:hideMark/>
          </w:tcPr>
          <w:p w14:paraId="26EB7918" w14:textId="77777777" w:rsidR="00E52AC1" w:rsidRPr="001D1222" w:rsidRDefault="00E52AC1" w:rsidP="00E52AC1">
            <w:pPr>
              <w:spacing w:after="0" w:line="240" w:lineRule="auto"/>
              <w:jc w:val="center"/>
              <w:rPr>
                <w:rFonts w:asciiTheme="majorHAnsi" w:eastAsia="Times New Roman" w:hAnsiTheme="majorHAnsi" w:cstheme="majorHAnsi"/>
                <w:b/>
                <w:color w:val="000000"/>
                <w:sz w:val="18"/>
                <w:szCs w:val="18"/>
              </w:rPr>
            </w:pPr>
            <w:r w:rsidRPr="001D1222">
              <w:rPr>
                <w:rFonts w:asciiTheme="majorHAnsi" w:eastAsia="Times New Roman" w:hAnsiTheme="majorHAnsi" w:cstheme="majorHAnsi"/>
                <w:b/>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32914B89" w14:textId="77777777" w:rsidR="00E52AC1" w:rsidRPr="001D1222" w:rsidRDefault="00E52AC1" w:rsidP="00E52AC1">
            <w:pPr>
              <w:spacing w:after="0" w:line="240" w:lineRule="auto"/>
              <w:jc w:val="center"/>
              <w:rPr>
                <w:rFonts w:asciiTheme="majorHAnsi" w:eastAsia="Times New Roman" w:hAnsiTheme="majorHAnsi" w:cstheme="majorHAnsi"/>
                <w:b/>
                <w:color w:val="000000"/>
                <w:sz w:val="18"/>
                <w:szCs w:val="18"/>
              </w:rPr>
            </w:pPr>
            <w:r w:rsidRPr="001D1222">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0B0B9AFE" w14:textId="77777777" w:rsidR="00E52AC1" w:rsidRPr="001D1222" w:rsidRDefault="00E52AC1" w:rsidP="00E52AC1">
            <w:pPr>
              <w:spacing w:after="0" w:line="240" w:lineRule="auto"/>
              <w:jc w:val="center"/>
              <w:rPr>
                <w:rFonts w:asciiTheme="majorHAnsi" w:eastAsia="Times New Roman" w:hAnsiTheme="majorHAnsi" w:cstheme="majorHAnsi"/>
                <w:b/>
                <w:color w:val="000000"/>
                <w:sz w:val="18"/>
                <w:szCs w:val="18"/>
              </w:rPr>
            </w:pPr>
            <w:r w:rsidRPr="001D1222">
              <w:rPr>
                <w:rFonts w:asciiTheme="majorHAnsi" w:eastAsia="Times New Roman" w:hAnsiTheme="majorHAnsi" w:cstheme="majorHAnsi"/>
                <w:b/>
                <w:color w:val="000000"/>
                <w:sz w:val="18"/>
                <w:szCs w:val="18"/>
              </w:rPr>
              <w:t>-3.10</w:t>
            </w:r>
          </w:p>
        </w:tc>
        <w:tc>
          <w:tcPr>
            <w:tcW w:w="990" w:type="dxa"/>
            <w:tcBorders>
              <w:top w:val="nil"/>
              <w:left w:val="nil"/>
              <w:bottom w:val="single" w:sz="4" w:space="0" w:color="auto"/>
              <w:right w:val="single" w:sz="4" w:space="0" w:color="auto"/>
            </w:tcBorders>
            <w:shd w:val="clear" w:color="auto" w:fill="auto"/>
            <w:noWrap/>
            <w:vAlign w:val="bottom"/>
            <w:hideMark/>
          </w:tcPr>
          <w:p w14:paraId="5745BC0B" w14:textId="77777777" w:rsidR="00E52AC1" w:rsidRPr="001D1222" w:rsidRDefault="00E52AC1" w:rsidP="00E52AC1">
            <w:pPr>
              <w:spacing w:after="0" w:line="240" w:lineRule="auto"/>
              <w:jc w:val="center"/>
              <w:rPr>
                <w:rFonts w:asciiTheme="majorHAnsi" w:eastAsia="Times New Roman" w:hAnsiTheme="majorHAnsi" w:cstheme="majorHAnsi"/>
                <w:b/>
                <w:color w:val="000000"/>
                <w:sz w:val="18"/>
                <w:szCs w:val="18"/>
              </w:rPr>
            </w:pPr>
            <w:r w:rsidRPr="001D1222">
              <w:rPr>
                <w:rFonts w:asciiTheme="majorHAnsi" w:eastAsia="Times New Roman" w:hAnsiTheme="majorHAnsi" w:cstheme="majorHAnsi"/>
                <w:b/>
                <w:color w:val="000000"/>
                <w:sz w:val="18"/>
                <w:szCs w:val="18"/>
              </w:rPr>
              <w:t>-12.75</w:t>
            </w:r>
          </w:p>
        </w:tc>
        <w:tc>
          <w:tcPr>
            <w:tcW w:w="990" w:type="dxa"/>
            <w:tcBorders>
              <w:top w:val="nil"/>
              <w:left w:val="nil"/>
              <w:bottom w:val="single" w:sz="4" w:space="0" w:color="auto"/>
              <w:right w:val="single" w:sz="4" w:space="0" w:color="auto"/>
            </w:tcBorders>
            <w:shd w:val="clear" w:color="auto" w:fill="auto"/>
            <w:noWrap/>
            <w:vAlign w:val="bottom"/>
            <w:hideMark/>
          </w:tcPr>
          <w:p w14:paraId="294BCD8F" w14:textId="77777777" w:rsidR="00E52AC1" w:rsidRPr="001D1222" w:rsidRDefault="00E52AC1" w:rsidP="00E52AC1">
            <w:pPr>
              <w:spacing w:after="0" w:line="240" w:lineRule="auto"/>
              <w:jc w:val="center"/>
              <w:rPr>
                <w:rFonts w:asciiTheme="majorHAnsi" w:eastAsia="Times New Roman" w:hAnsiTheme="majorHAnsi" w:cstheme="majorHAnsi"/>
                <w:b/>
                <w:color w:val="000000"/>
                <w:sz w:val="18"/>
                <w:szCs w:val="18"/>
              </w:rPr>
            </w:pPr>
            <w:r w:rsidRPr="001D1222">
              <w:rPr>
                <w:rFonts w:asciiTheme="majorHAnsi" w:eastAsia="Times New Roman" w:hAnsiTheme="majorHAnsi" w:cstheme="majorHAnsi"/>
                <w:b/>
                <w:color w:val="000000"/>
                <w:sz w:val="18"/>
                <w:szCs w:val="18"/>
              </w:rPr>
              <w:t>29.68</w:t>
            </w:r>
          </w:p>
        </w:tc>
        <w:tc>
          <w:tcPr>
            <w:tcW w:w="1080" w:type="dxa"/>
            <w:tcBorders>
              <w:top w:val="nil"/>
              <w:left w:val="nil"/>
              <w:bottom w:val="single" w:sz="4" w:space="0" w:color="auto"/>
              <w:right w:val="single" w:sz="4" w:space="0" w:color="auto"/>
            </w:tcBorders>
            <w:shd w:val="clear" w:color="auto" w:fill="auto"/>
            <w:noWrap/>
            <w:vAlign w:val="bottom"/>
            <w:hideMark/>
          </w:tcPr>
          <w:p w14:paraId="5C19BF70" w14:textId="77777777" w:rsidR="00E52AC1" w:rsidRPr="001D1222" w:rsidRDefault="00E52AC1" w:rsidP="00E52AC1">
            <w:pPr>
              <w:spacing w:after="0" w:line="240" w:lineRule="auto"/>
              <w:jc w:val="center"/>
              <w:rPr>
                <w:rFonts w:asciiTheme="majorHAnsi" w:eastAsia="Times New Roman" w:hAnsiTheme="majorHAnsi" w:cstheme="majorHAnsi"/>
                <w:b/>
                <w:color w:val="000000"/>
                <w:sz w:val="18"/>
                <w:szCs w:val="18"/>
              </w:rPr>
            </w:pPr>
            <w:r w:rsidRPr="001D1222">
              <w:rPr>
                <w:rFonts w:asciiTheme="majorHAnsi" w:eastAsia="Times New Roman" w:hAnsiTheme="majorHAnsi" w:cstheme="majorHAnsi"/>
                <w:b/>
                <w:color w:val="000000"/>
                <w:sz w:val="18"/>
                <w:szCs w:val="18"/>
              </w:rPr>
              <w:t>-18.13</w:t>
            </w:r>
          </w:p>
        </w:tc>
        <w:tc>
          <w:tcPr>
            <w:tcW w:w="1156" w:type="dxa"/>
            <w:tcBorders>
              <w:top w:val="nil"/>
              <w:left w:val="nil"/>
              <w:bottom w:val="single" w:sz="4" w:space="0" w:color="auto"/>
              <w:right w:val="single" w:sz="4" w:space="0" w:color="auto"/>
            </w:tcBorders>
            <w:shd w:val="clear" w:color="auto" w:fill="auto"/>
            <w:noWrap/>
            <w:vAlign w:val="bottom"/>
            <w:hideMark/>
          </w:tcPr>
          <w:p w14:paraId="62D21961" w14:textId="77777777" w:rsidR="00E52AC1" w:rsidRPr="001D1222" w:rsidRDefault="00E52AC1" w:rsidP="00E52AC1">
            <w:pPr>
              <w:spacing w:after="0" w:line="240" w:lineRule="auto"/>
              <w:jc w:val="center"/>
              <w:rPr>
                <w:rFonts w:asciiTheme="majorHAnsi" w:eastAsia="Times New Roman" w:hAnsiTheme="majorHAnsi" w:cstheme="majorHAnsi"/>
                <w:b/>
                <w:color w:val="000000"/>
                <w:sz w:val="18"/>
                <w:szCs w:val="18"/>
              </w:rPr>
            </w:pPr>
            <w:r w:rsidRPr="001D1222">
              <w:rPr>
                <w:rFonts w:asciiTheme="majorHAnsi" w:eastAsia="Times New Roman" w:hAnsiTheme="majorHAnsi" w:cstheme="majorHAnsi"/>
                <w:b/>
                <w:color w:val="000000"/>
                <w:sz w:val="18"/>
                <w:szCs w:val="18"/>
              </w:rPr>
              <w:t>0.00</w:t>
            </w:r>
          </w:p>
        </w:tc>
      </w:tr>
      <w:tr w:rsidR="00E52AC1" w:rsidRPr="00991DD7" w14:paraId="09AF0A4C" w14:textId="77777777" w:rsidTr="00E52AC1">
        <w:trPr>
          <w:trHeight w:val="116"/>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646C2BE5"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Procurarea uneltelor si sculelor inventarului de producere si gospodăresc</w:t>
            </w:r>
          </w:p>
        </w:tc>
        <w:tc>
          <w:tcPr>
            <w:tcW w:w="964" w:type="dxa"/>
            <w:tcBorders>
              <w:top w:val="nil"/>
              <w:left w:val="nil"/>
              <w:bottom w:val="single" w:sz="4" w:space="0" w:color="auto"/>
              <w:right w:val="single" w:sz="4" w:space="0" w:color="auto"/>
            </w:tcBorders>
            <w:shd w:val="clear" w:color="auto" w:fill="auto"/>
            <w:noWrap/>
            <w:vAlign w:val="bottom"/>
            <w:hideMark/>
          </w:tcPr>
          <w:p w14:paraId="24DCD4F9"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316110</w:t>
            </w:r>
          </w:p>
        </w:tc>
        <w:tc>
          <w:tcPr>
            <w:tcW w:w="1004" w:type="dxa"/>
            <w:tcBorders>
              <w:top w:val="nil"/>
              <w:left w:val="nil"/>
              <w:bottom w:val="single" w:sz="4" w:space="0" w:color="auto"/>
              <w:right w:val="single" w:sz="4" w:space="0" w:color="auto"/>
            </w:tcBorders>
            <w:shd w:val="clear" w:color="auto" w:fill="auto"/>
            <w:noWrap/>
            <w:vAlign w:val="bottom"/>
            <w:hideMark/>
          </w:tcPr>
          <w:p w14:paraId="46E313B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21.23</w:t>
            </w:r>
          </w:p>
        </w:tc>
        <w:tc>
          <w:tcPr>
            <w:tcW w:w="900" w:type="dxa"/>
            <w:tcBorders>
              <w:top w:val="nil"/>
              <w:left w:val="nil"/>
              <w:bottom w:val="single" w:sz="4" w:space="0" w:color="auto"/>
              <w:right w:val="single" w:sz="4" w:space="0" w:color="auto"/>
            </w:tcBorders>
            <w:shd w:val="clear" w:color="auto" w:fill="auto"/>
            <w:noWrap/>
            <w:vAlign w:val="bottom"/>
            <w:hideMark/>
          </w:tcPr>
          <w:p w14:paraId="1077793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18.13</w:t>
            </w:r>
          </w:p>
        </w:tc>
        <w:tc>
          <w:tcPr>
            <w:tcW w:w="900" w:type="dxa"/>
            <w:tcBorders>
              <w:top w:val="nil"/>
              <w:left w:val="nil"/>
              <w:bottom w:val="single" w:sz="4" w:space="0" w:color="auto"/>
              <w:right w:val="single" w:sz="4" w:space="0" w:color="auto"/>
            </w:tcBorders>
            <w:shd w:val="clear" w:color="auto" w:fill="auto"/>
            <w:noWrap/>
            <w:vAlign w:val="bottom"/>
            <w:hideMark/>
          </w:tcPr>
          <w:p w14:paraId="52712B5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5.38</w:t>
            </w:r>
          </w:p>
        </w:tc>
        <w:tc>
          <w:tcPr>
            <w:tcW w:w="900" w:type="dxa"/>
            <w:tcBorders>
              <w:top w:val="nil"/>
              <w:left w:val="nil"/>
              <w:bottom w:val="single" w:sz="4" w:space="0" w:color="auto"/>
              <w:right w:val="single" w:sz="4" w:space="0" w:color="auto"/>
            </w:tcBorders>
            <w:shd w:val="clear" w:color="auto" w:fill="auto"/>
            <w:noWrap/>
            <w:vAlign w:val="bottom"/>
            <w:hideMark/>
          </w:tcPr>
          <w:p w14:paraId="5A994B1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45E306C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3186D99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-3.10</w:t>
            </w:r>
          </w:p>
        </w:tc>
        <w:tc>
          <w:tcPr>
            <w:tcW w:w="990" w:type="dxa"/>
            <w:tcBorders>
              <w:top w:val="nil"/>
              <w:left w:val="nil"/>
              <w:bottom w:val="single" w:sz="4" w:space="0" w:color="auto"/>
              <w:right w:val="single" w:sz="4" w:space="0" w:color="auto"/>
            </w:tcBorders>
            <w:shd w:val="clear" w:color="auto" w:fill="auto"/>
            <w:noWrap/>
            <w:vAlign w:val="bottom"/>
            <w:hideMark/>
          </w:tcPr>
          <w:p w14:paraId="1D55D6D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-12.75</w:t>
            </w:r>
          </w:p>
        </w:tc>
        <w:tc>
          <w:tcPr>
            <w:tcW w:w="990" w:type="dxa"/>
            <w:tcBorders>
              <w:top w:val="nil"/>
              <w:left w:val="nil"/>
              <w:bottom w:val="single" w:sz="4" w:space="0" w:color="auto"/>
              <w:right w:val="single" w:sz="4" w:space="0" w:color="auto"/>
            </w:tcBorders>
            <w:shd w:val="clear" w:color="auto" w:fill="auto"/>
            <w:noWrap/>
            <w:vAlign w:val="bottom"/>
            <w:hideMark/>
          </w:tcPr>
          <w:p w14:paraId="011FA1F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29.68</w:t>
            </w:r>
          </w:p>
        </w:tc>
        <w:tc>
          <w:tcPr>
            <w:tcW w:w="1080" w:type="dxa"/>
            <w:tcBorders>
              <w:top w:val="nil"/>
              <w:left w:val="nil"/>
              <w:bottom w:val="single" w:sz="4" w:space="0" w:color="auto"/>
              <w:right w:val="single" w:sz="4" w:space="0" w:color="auto"/>
            </w:tcBorders>
            <w:shd w:val="clear" w:color="auto" w:fill="auto"/>
            <w:noWrap/>
            <w:vAlign w:val="bottom"/>
            <w:hideMark/>
          </w:tcPr>
          <w:p w14:paraId="359457F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w:t>
            </w:r>
            <w:r>
              <w:rPr>
                <w:rFonts w:asciiTheme="majorHAnsi" w:eastAsia="Times New Roman" w:hAnsiTheme="majorHAnsi" w:cstheme="majorHAnsi"/>
                <w:color w:val="000000"/>
                <w:sz w:val="18"/>
                <w:szCs w:val="18"/>
              </w:rPr>
              <w:t>18.13</w:t>
            </w:r>
          </w:p>
        </w:tc>
        <w:tc>
          <w:tcPr>
            <w:tcW w:w="1156" w:type="dxa"/>
            <w:tcBorders>
              <w:top w:val="nil"/>
              <w:left w:val="nil"/>
              <w:bottom w:val="single" w:sz="4" w:space="0" w:color="auto"/>
              <w:right w:val="single" w:sz="4" w:space="0" w:color="auto"/>
            </w:tcBorders>
            <w:shd w:val="clear" w:color="auto" w:fill="auto"/>
            <w:noWrap/>
            <w:vAlign w:val="bottom"/>
            <w:hideMark/>
          </w:tcPr>
          <w:p w14:paraId="1700830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r>
      <w:tr w:rsidR="00E52AC1" w:rsidRPr="00991DD7" w14:paraId="541F19E9" w14:textId="77777777" w:rsidTr="00E52AC1">
        <w:trPr>
          <w:trHeight w:val="125"/>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1B2AB0EC"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hideMark/>
          </w:tcPr>
          <w:p w14:paraId="4FD200C3" w14:textId="77777777" w:rsidR="00E52AC1" w:rsidRPr="000029DF" w:rsidRDefault="00E52AC1" w:rsidP="00E52AC1">
            <w:pPr>
              <w:spacing w:after="0" w:line="240" w:lineRule="auto"/>
              <w:jc w:val="both"/>
              <w:rPr>
                <w:rFonts w:asciiTheme="majorHAnsi" w:eastAsia="Times New Roman" w:hAnsiTheme="majorHAnsi" w:cstheme="majorHAnsi"/>
                <w:b/>
                <w:i/>
                <w:iCs/>
                <w:color w:val="000000"/>
                <w:sz w:val="18"/>
                <w:szCs w:val="18"/>
              </w:rPr>
            </w:pPr>
            <w:r w:rsidRPr="000029DF">
              <w:rPr>
                <w:rFonts w:asciiTheme="majorHAnsi" w:eastAsia="Times New Roman" w:hAnsiTheme="majorHAnsi" w:cstheme="majorHAnsi"/>
                <w:b/>
                <w:i/>
                <w:iCs/>
                <w:color w:val="000000"/>
                <w:sz w:val="18"/>
                <w:szCs w:val="18"/>
              </w:rPr>
              <w:t>317</w:t>
            </w:r>
          </w:p>
        </w:tc>
        <w:tc>
          <w:tcPr>
            <w:tcW w:w="1004" w:type="dxa"/>
            <w:tcBorders>
              <w:top w:val="nil"/>
              <w:left w:val="nil"/>
              <w:bottom w:val="single" w:sz="4" w:space="0" w:color="auto"/>
              <w:right w:val="single" w:sz="4" w:space="0" w:color="auto"/>
            </w:tcBorders>
            <w:shd w:val="clear" w:color="auto" w:fill="auto"/>
            <w:noWrap/>
            <w:vAlign w:val="bottom"/>
            <w:hideMark/>
          </w:tcPr>
          <w:p w14:paraId="46740711" w14:textId="77777777" w:rsidR="00E52AC1" w:rsidRPr="000029DF" w:rsidRDefault="00E52AC1" w:rsidP="00E52AC1">
            <w:pPr>
              <w:spacing w:after="0" w:line="240" w:lineRule="auto"/>
              <w:jc w:val="center"/>
              <w:rPr>
                <w:rFonts w:asciiTheme="majorHAnsi" w:eastAsia="Times New Roman" w:hAnsiTheme="majorHAnsi" w:cstheme="majorHAnsi"/>
                <w:b/>
                <w:color w:val="000000"/>
                <w:sz w:val="18"/>
                <w:szCs w:val="18"/>
              </w:rPr>
            </w:pPr>
            <w:r w:rsidRPr="000029DF">
              <w:rPr>
                <w:rFonts w:asciiTheme="majorHAnsi" w:eastAsia="Times New Roman" w:hAnsiTheme="majorHAnsi" w:cstheme="majorHAnsi"/>
                <w:b/>
                <w:color w:val="000000"/>
                <w:sz w:val="18"/>
                <w:szCs w:val="18"/>
              </w:rPr>
              <w:t>320.39</w:t>
            </w:r>
          </w:p>
        </w:tc>
        <w:tc>
          <w:tcPr>
            <w:tcW w:w="900" w:type="dxa"/>
            <w:tcBorders>
              <w:top w:val="nil"/>
              <w:left w:val="nil"/>
              <w:bottom w:val="single" w:sz="4" w:space="0" w:color="auto"/>
              <w:right w:val="single" w:sz="4" w:space="0" w:color="auto"/>
            </w:tcBorders>
            <w:shd w:val="clear" w:color="auto" w:fill="auto"/>
            <w:noWrap/>
            <w:vAlign w:val="bottom"/>
            <w:hideMark/>
          </w:tcPr>
          <w:p w14:paraId="6C3FE2ED" w14:textId="77777777" w:rsidR="00E52AC1" w:rsidRPr="000029DF" w:rsidRDefault="00E52AC1" w:rsidP="00E52AC1">
            <w:pPr>
              <w:spacing w:after="0" w:line="240" w:lineRule="auto"/>
              <w:jc w:val="center"/>
              <w:rPr>
                <w:rFonts w:asciiTheme="majorHAnsi" w:eastAsia="Times New Roman" w:hAnsiTheme="majorHAnsi" w:cstheme="majorHAnsi"/>
                <w:b/>
                <w:color w:val="000000"/>
                <w:sz w:val="18"/>
                <w:szCs w:val="18"/>
              </w:rPr>
            </w:pPr>
            <w:r w:rsidRPr="000029DF">
              <w:rPr>
                <w:rFonts w:asciiTheme="majorHAnsi" w:eastAsia="Times New Roman" w:hAnsiTheme="majorHAnsi" w:cstheme="majorHAnsi"/>
                <w:b/>
                <w:color w:val="000000"/>
                <w:sz w:val="18"/>
                <w:szCs w:val="18"/>
              </w:rPr>
              <w:t>106.44</w:t>
            </w:r>
          </w:p>
        </w:tc>
        <w:tc>
          <w:tcPr>
            <w:tcW w:w="900" w:type="dxa"/>
            <w:tcBorders>
              <w:top w:val="nil"/>
              <w:left w:val="nil"/>
              <w:bottom w:val="single" w:sz="4" w:space="0" w:color="auto"/>
              <w:right w:val="single" w:sz="4" w:space="0" w:color="auto"/>
            </w:tcBorders>
            <w:shd w:val="clear" w:color="auto" w:fill="auto"/>
            <w:noWrap/>
            <w:vAlign w:val="bottom"/>
            <w:hideMark/>
          </w:tcPr>
          <w:p w14:paraId="69F19070" w14:textId="77777777" w:rsidR="00E52AC1" w:rsidRPr="000029DF" w:rsidRDefault="00E52AC1" w:rsidP="00E52AC1">
            <w:pPr>
              <w:spacing w:after="0" w:line="240" w:lineRule="auto"/>
              <w:jc w:val="center"/>
              <w:rPr>
                <w:rFonts w:asciiTheme="majorHAnsi" w:eastAsia="Times New Roman" w:hAnsiTheme="majorHAnsi" w:cstheme="majorHAnsi"/>
                <w:b/>
                <w:color w:val="000000"/>
                <w:sz w:val="18"/>
                <w:szCs w:val="18"/>
              </w:rPr>
            </w:pPr>
            <w:r w:rsidRPr="000029DF">
              <w:rPr>
                <w:rFonts w:asciiTheme="majorHAnsi" w:eastAsia="Times New Roman" w:hAnsiTheme="majorHAnsi" w:cstheme="majorHAnsi"/>
                <w:b/>
                <w:color w:val="000000"/>
                <w:sz w:val="18"/>
                <w:szCs w:val="18"/>
              </w:rPr>
              <w:t>43.95</w:t>
            </w:r>
          </w:p>
        </w:tc>
        <w:tc>
          <w:tcPr>
            <w:tcW w:w="900" w:type="dxa"/>
            <w:tcBorders>
              <w:top w:val="nil"/>
              <w:left w:val="nil"/>
              <w:bottom w:val="single" w:sz="4" w:space="0" w:color="auto"/>
              <w:right w:val="single" w:sz="4" w:space="0" w:color="auto"/>
            </w:tcBorders>
            <w:shd w:val="clear" w:color="auto" w:fill="auto"/>
            <w:noWrap/>
            <w:vAlign w:val="bottom"/>
            <w:hideMark/>
          </w:tcPr>
          <w:p w14:paraId="733EF9B8" w14:textId="77777777" w:rsidR="00E52AC1" w:rsidRPr="000029DF" w:rsidRDefault="00E52AC1" w:rsidP="00E52AC1">
            <w:pPr>
              <w:spacing w:after="0" w:line="240" w:lineRule="auto"/>
              <w:jc w:val="center"/>
              <w:rPr>
                <w:rFonts w:asciiTheme="majorHAnsi" w:eastAsia="Times New Roman" w:hAnsiTheme="majorHAnsi" w:cstheme="majorHAnsi"/>
                <w:b/>
                <w:color w:val="000000"/>
                <w:sz w:val="18"/>
                <w:szCs w:val="18"/>
              </w:rPr>
            </w:pPr>
            <w:r w:rsidRPr="000029DF">
              <w:rPr>
                <w:rFonts w:asciiTheme="majorHAnsi" w:eastAsia="Times New Roman" w:hAnsiTheme="majorHAnsi" w:cstheme="majorHAnsi"/>
                <w:b/>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51FEEA4C" w14:textId="77777777" w:rsidR="00E52AC1" w:rsidRPr="000029DF" w:rsidRDefault="00E52AC1" w:rsidP="00E52AC1">
            <w:pPr>
              <w:spacing w:after="0" w:line="240" w:lineRule="auto"/>
              <w:jc w:val="center"/>
              <w:rPr>
                <w:rFonts w:asciiTheme="majorHAnsi" w:eastAsia="Times New Roman" w:hAnsiTheme="majorHAnsi" w:cstheme="majorHAnsi"/>
                <w:b/>
                <w:color w:val="000000"/>
                <w:sz w:val="18"/>
                <w:szCs w:val="18"/>
              </w:rPr>
            </w:pPr>
            <w:r w:rsidRPr="000029DF">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3B6F5986" w14:textId="77777777" w:rsidR="00E52AC1" w:rsidRPr="000029DF" w:rsidRDefault="00E52AC1" w:rsidP="00E52AC1">
            <w:pPr>
              <w:spacing w:after="0" w:line="240" w:lineRule="auto"/>
              <w:jc w:val="center"/>
              <w:rPr>
                <w:rFonts w:asciiTheme="majorHAnsi" w:eastAsia="Times New Roman" w:hAnsiTheme="majorHAnsi" w:cstheme="majorHAnsi"/>
                <w:b/>
                <w:color w:val="000000"/>
                <w:sz w:val="18"/>
                <w:szCs w:val="18"/>
              </w:rPr>
            </w:pPr>
            <w:r w:rsidRPr="000029DF">
              <w:rPr>
                <w:rFonts w:asciiTheme="majorHAnsi" w:eastAsia="Times New Roman" w:hAnsiTheme="majorHAnsi" w:cstheme="majorHAnsi"/>
                <w:b/>
                <w:color w:val="000000"/>
                <w:sz w:val="18"/>
                <w:szCs w:val="18"/>
              </w:rPr>
              <w:t>-213.65</w:t>
            </w:r>
          </w:p>
        </w:tc>
        <w:tc>
          <w:tcPr>
            <w:tcW w:w="990" w:type="dxa"/>
            <w:tcBorders>
              <w:top w:val="nil"/>
              <w:left w:val="nil"/>
              <w:bottom w:val="single" w:sz="4" w:space="0" w:color="auto"/>
              <w:right w:val="single" w:sz="4" w:space="0" w:color="auto"/>
            </w:tcBorders>
            <w:shd w:val="clear" w:color="auto" w:fill="auto"/>
            <w:noWrap/>
            <w:vAlign w:val="bottom"/>
            <w:hideMark/>
          </w:tcPr>
          <w:p w14:paraId="39CA4372" w14:textId="77777777" w:rsidR="00E52AC1" w:rsidRPr="000029DF" w:rsidRDefault="00E52AC1" w:rsidP="00E52AC1">
            <w:pPr>
              <w:spacing w:after="0" w:line="240" w:lineRule="auto"/>
              <w:jc w:val="center"/>
              <w:rPr>
                <w:rFonts w:asciiTheme="majorHAnsi" w:eastAsia="Times New Roman" w:hAnsiTheme="majorHAnsi" w:cstheme="majorHAnsi"/>
                <w:b/>
                <w:color w:val="000000"/>
                <w:sz w:val="18"/>
                <w:szCs w:val="18"/>
              </w:rPr>
            </w:pPr>
            <w:r w:rsidRPr="000029DF">
              <w:rPr>
                <w:rFonts w:asciiTheme="majorHAnsi" w:eastAsia="Times New Roman" w:hAnsiTheme="majorHAnsi" w:cstheme="majorHAnsi"/>
                <w:b/>
                <w:color w:val="000000"/>
                <w:sz w:val="18"/>
                <w:szCs w:val="18"/>
              </w:rPr>
              <w:t>-62.49</w:t>
            </w:r>
          </w:p>
        </w:tc>
        <w:tc>
          <w:tcPr>
            <w:tcW w:w="990" w:type="dxa"/>
            <w:tcBorders>
              <w:top w:val="nil"/>
              <w:left w:val="nil"/>
              <w:bottom w:val="single" w:sz="4" w:space="0" w:color="auto"/>
              <w:right w:val="single" w:sz="4" w:space="0" w:color="auto"/>
            </w:tcBorders>
            <w:shd w:val="clear" w:color="auto" w:fill="auto"/>
            <w:noWrap/>
            <w:vAlign w:val="bottom"/>
            <w:hideMark/>
          </w:tcPr>
          <w:p w14:paraId="1F8A371F" w14:textId="77777777" w:rsidR="00E52AC1" w:rsidRPr="000029DF" w:rsidRDefault="00E52AC1" w:rsidP="00E52AC1">
            <w:pPr>
              <w:spacing w:after="0" w:line="240" w:lineRule="auto"/>
              <w:jc w:val="center"/>
              <w:rPr>
                <w:rFonts w:asciiTheme="majorHAnsi" w:eastAsia="Times New Roman" w:hAnsiTheme="majorHAnsi" w:cstheme="majorHAnsi"/>
                <w:b/>
                <w:color w:val="000000"/>
                <w:sz w:val="18"/>
                <w:szCs w:val="18"/>
              </w:rPr>
            </w:pPr>
            <w:r w:rsidRPr="000029DF">
              <w:rPr>
                <w:rFonts w:asciiTheme="majorHAnsi" w:eastAsia="Times New Roman" w:hAnsiTheme="majorHAnsi" w:cstheme="majorHAnsi"/>
                <w:b/>
                <w:color w:val="000000"/>
                <w:sz w:val="18"/>
                <w:szCs w:val="18"/>
              </w:rPr>
              <w:t>41.29</w:t>
            </w:r>
          </w:p>
        </w:tc>
        <w:tc>
          <w:tcPr>
            <w:tcW w:w="1080" w:type="dxa"/>
            <w:tcBorders>
              <w:top w:val="nil"/>
              <w:left w:val="nil"/>
              <w:bottom w:val="single" w:sz="4" w:space="0" w:color="auto"/>
              <w:right w:val="single" w:sz="4" w:space="0" w:color="auto"/>
            </w:tcBorders>
            <w:shd w:val="clear" w:color="auto" w:fill="auto"/>
            <w:noWrap/>
            <w:vAlign w:val="bottom"/>
            <w:hideMark/>
          </w:tcPr>
          <w:p w14:paraId="14715769" w14:textId="77777777" w:rsidR="00E52AC1" w:rsidRPr="000029DF" w:rsidRDefault="00E52AC1" w:rsidP="00E52AC1">
            <w:pPr>
              <w:spacing w:after="0" w:line="240" w:lineRule="auto"/>
              <w:jc w:val="center"/>
              <w:rPr>
                <w:rFonts w:asciiTheme="majorHAnsi" w:eastAsia="Times New Roman" w:hAnsiTheme="majorHAnsi" w:cstheme="majorHAnsi"/>
                <w:b/>
                <w:color w:val="000000"/>
                <w:sz w:val="18"/>
                <w:szCs w:val="18"/>
              </w:rPr>
            </w:pPr>
            <w:r w:rsidRPr="000029DF">
              <w:rPr>
                <w:rFonts w:asciiTheme="majorHAnsi" w:eastAsia="Times New Roman" w:hAnsiTheme="majorHAnsi" w:cstheme="majorHAnsi"/>
                <w:b/>
                <w:color w:val="000000"/>
                <w:sz w:val="18"/>
                <w:szCs w:val="18"/>
              </w:rPr>
              <w:t>-106.44</w:t>
            </w:r>
          </w:p>
        </w:tc>
        <w:tc>
          <w:tcPr>
            <w:tcW w:w="1156" w:type="dxa"/>
            <w:tcBorders>
              <w:top w:val="nil"/>
              <w:left w:val="nil"/>
              <w:bottom w:val="single" w:sz="4" w:space="0" w:color="auto"/>
              <w:right w:val="single" w:sz="4" w:space="0" w:color="auto"/>
            </w:tcBorders>
            <w:shd w:val="clear" w:color="auto" w:fill="auto"/>
            <w:noWrap/>
            <w:vAlign w:val="bottom"/>
            <w:hideMark/>
          </w:tcPr>
          <w:p w14:paraId="5B3324FE" w14:textId="77777777" w:rsidR="00E52AC1" w:rsidRPr="000029DF" w:rsidRDefault="00E52AC1" w:rsidP="00E52AC1">
            <w:pPr>
              <w:spacing w:after="0" w:line="240" w:lineRule="auto"/>
              <w:jc w:val="center"/>
              <w:rPr>
                <w:rFonts w:asciiTheme="majorHAnsi" w:eastAsia="Times New Roman" w:hAnsiTheme="majorHAnsi" w:cstheme="majorHAnsi"/>
                <w:b/>
                <w:color w:val="000000"/>
                <w:sz w:val="18"/>
                <w:szCs w:val="18"/>
              </w:rPr>
            </w:pPr>
            <w:r w:rsidRPr="000029DF">
              <w:rPr>
                <w:rFonts w:asciiTheme="majorHAnsi" w:eastAsia="Times New Roman" w:hAnsiTheme="majorHAnsi" w:cstheme="majorHAnsi"/>
                <w:b/>
                <w:color w:val="000000"/>
                <w:sz w:val="18"/>
                <w:szCs w:val="18"/>
              </w:rPr>
              <w:t>0.00</w:t>
            </w:r>
          </w:p>
        </w:tc>
      </w:tr>
      <w:tr w:rsidR="00E52AC1" w:rsidRPr="00991DD7" w14:paraId="0367E3AB" w14:textId="77777777" w:rsidTr="00E52AC1">
        <w:trPr>
          <w:trHeight w:val="242"/>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4831E03A"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Procurarea activelor nemateriale</w:t>
            </w:r>
          </w:p>
        </w:tc>
        <w:tc>
          <w:tcPr>
            <w:tcW w:w="964" w:type="dxa"/>
            <w:tcBorders>
              <w:top w:val="nil"/>
              <w:left w:val="nil"/>
              <w:bottom w:val="single" w:sz="4" w:space="0" w:color="auto"/>
              <w:right w:val="single" w:sz="4" w:space="0" w:color="auto"/>
            </w:tcBorders>
            <w:shd w:val="clear" w:color="auto" w:fill="auto"/>
            <w:noWrap/>
            <w:vAlign w:val="bottom"/>
            <w:hideMark/>
          </w:tcPr>
          <w:p w14:paraId="3C73F014"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317110</w:t>
            </w:r>
          </w:p>
        </w:tc>
        <w:tc>
          <w:tcPr>
            <w:tcW w:w="1004" w:type="dxa"/>
            <w:tcBorders>
              <w:top w:val="nil"/>
              <w:left w:val="nil"/>
              <w:bottom w:val="single" w:sz="4" w:space="0" w:color="auto"/>
              <w:right w:val="single" w:sz="4" w:space="0" w:color="auto"/>
            </w:tcBorders>
            <w:shd w:val="clear" w:color="auto" w:fill="auto"/>
            <w:noWrap/>
            <w:vAlign w:val="bottom"/>
            <w:hideMark/>
          </w:tcPr>
          <w:p w14:paraId="46CE156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320.39</w:t>
            </w:r>
          </w:p>
        </w:tc>
        <w:tc>
          <w:tcPr>
            <w:tcW w:w="900" w:type="dxa"/>
            <w:tcBorders>
              <w:top w:val="nil"/>
              <w:left w:val="nil"/>
              <w:bottom w:val="single" w:sz="4" w:space="0" w:color="auto"/>
              <w:right w:val="single" w:sz="4" w:space="0" w:color="auto"/>
            </w:tcBorders>
            <w:shd w:val="clear" w:color="auto" w:fill="auto"/>
            <w:noWrap/>
            <w:vAlign w:val="bottom"/>
            <w:hideMark/>
          </w:tcPr>
          <w:p w14:paraId="6B178D4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106.44</w:t>
            </w:r>
          </w:p>
        </w:tc>
        <w:tc>
          <w:tcPr>
            <w:tcW w:w="900" w:type="dxa"/>
            <w:tcBorders>
              <w:top w:val="nil"/>
              <w:left w:val="nil"/>
              <w:bottom w:val="single" w:sz="4" w:space="0" w:color="auto"/>
              <w:right w:val="single" w:sz="4" w:space="0" w:color="auto"/>
            </w:tcBorders>
            <w:shd w:val="clear" w:color="auto" w:fill="auto"/>
            <w:noWrap/>
            <w:vAlign w:val="bottom"/>
            <w:hideMark/>
          </w:tcPr>
          <w:p w14:paraId="0193782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43.95</w:t>
            </w:r>
          </w:p>
        </w:tc>
        <w:tc>
          <w:tcPr>
            <w:tcW w:w="900" w:type="dxa"/>
            <w:tcBorders>
              <w:top w:val="nil"/>
              <w:left w:val="nil"/>
              <w:bottom w:val="single" w:sz="4" w:space="0" w:color="auto"/>
              <w:right w:val="single" w:sz="4" w:space="0" w:color="auto"/>
            </w:tcBorders>
            <w:shd w:val="clear" w:color="auto" w:fill="auto"/>
            <w:noWrap/>
            <w:vAlign w:val="bottom"/>
            <w:hideMark/>
          </w:tcPr>
          <w:p w14:paraId="1174E27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4C20732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13ED890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-213.65</w:t>
            </w:r>
          </w:p>
        </w:tc>
        <w:tc>
          <w:tcPr>
            <w:tcW w:w="990" w:type="dxa"/>
            <w:tcBorders>
              <w:top w:val="nil"/>
              <w:left w:val="nil"/>
              <w:bottom w:val="single" w:sz="4" w:space="0" w:color="auto"/>
              <w:right w:val="single" w:sz="4" w:space="0" w:color="auto"/>
            </w:tcBorders>
            <w:shd w:val="clear" w:color="auto" w:fill="auto"/>
            <w:noWrap/>
            <w:vAlign w:val="bottom"/>
            <w:hideMark/>
          </w:tcPr>
          <w:p w14:paraId="1AAF819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-62.49</w:t>
            </w:r>
          </w:p>
        </w:tc>
        <w:tc>
          <w:tcPr>
            <w:tcW w:w="990" w:type="dxa"/>
            <w:tcBorders>
              <w:top w:val="nil"/>
              <w:left w:val="nil"/>
              <w:bottom w:val="single" w:sz="4" w:space="0" w:color="auto"/>
              <w:right w:val="single" w:sz="4" w:space="0" w:color="auto"/>
            </w:tcBorders>
            <w:shd w:val="clear" w:color="auto" w:fill="auto"/>
            <w:noWrap/>
            <w:vAlign w:val="bottom"/>
            <w:hideMark/>
          </w:tcPr>
          <w:p w14:paraId="5A0BCE8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41.29</w:t>
            </w:r>
          </w:p>
        </w:tc>
        <w:tc>
          <w:tcPr>
            <w:tcW w:w="1080" w:type="dxa"/>
            <w:tcBorders>
              <w:top w:val="nil"/>
              <w:left w:val="nil"/>
              <w:bottom w:val="single" w:sz="4" w:space="0" w:color="auto"/>
              <w:right w:val="single" w:sz="4" w:space="0" w:color="auto"/>
            </w:tcBorders>
            <w:shd w:val="clear" w:color="auto" w:fill="auto"/>
            <w:noWrap/>
            <w:vAlign w:val="bottom"/>
            <w:hideMark/>
          </w:tcPr>
          <w:p w14:paraId="11FF0C3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-106.44</w:t>
            </w:r>
          </w:p>
        </w:tc>
        <w:tc>
          <w:tcPr>
            <w:tcW w:w="1156" w:type="dxa"/>
            <w:tcBorders>
              <w:top w:val="nil"/>
              <w:left w:val="nil"/>
              <w:bottom w:val="single" w:sz="4" w:space="0" w:color="auto"/>
              <w:right w:val="single" w:sz="4" w:space="0" w:color="auto"/>
            </w:tcBorders>
            <w:shd w:val="clear" w:color="auto" w:fill="auto"/>
            <w:noWrap/>
            <w:vAlign w:val="bottom"/>
            <w:hideMark/>
          </w:tcPr>
          <w:p w14:paraId="0084D83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r>
      <w:tr w:rsidR="00E52AC1" w:rsidRPr="00991DD7" w14:paraId="2F59ACF3" w14:textId="77777777" w:rsidTr="00E52AC1">
        <w:trPr>
          <w:trHeight w:val="89"/>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4395CC3F"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hideMark/>
          </w:tcPr>
          <w:p w14:paraId="64C969E7" w14:textId="77777777" w:rsidR="00E52AC1" w:rsidRPr="002F387E" w:rsidRDefault="00E52AC1" w:rsidP="00E52AC1">
            <w:pPr>
              <w:spacing w:after="0" w:line="240" w:lineRule="auto"/>
              <w:jc w:val="both"/>
              <w:rPr>
                <w:rFonts w:asciiTheme="majorHAnsi" w:eastAsia="Times New Roman" w:hAnsiTheme="majorHAnsi" w:cstheme="majorHAnsi"/>
                <w:b/>
                <w:i/>
                <w:iCs/>
                <w:color w:val="000000"/>
                <w:sz w:val="18"/>
                <w:szCs w:val="18"/>
              </w:rPr>
            </w:pPr>
            <w:r w:rsidRPr="002F387E">
              <w:rPr>
                <w:rFonts w:asciiTheme="majorHAnsi" w:eastAsia="Times New Roman" w:hAnsiTheme="majorHAnsi" w:cstheme="majorHAnsi"/>
                <w:b/>
                <w:i/>
                <w:iCs/>
                <w:color w:val="000000"/>
                <w:sz w:val="18"/>
                <w:szCs w:val="18"/>
              </w:rPr>
              <w:t>318</w:t>
            </w:r>
          </w:p>
        </w:tc>
        <w:tc>
          <w:tcPr>
            <w:tcW w:w="1004" w:type="dxa"/>
            <w:tcBorders>
              <w:top w:val="nil"/>
              <w:left w:val="nil"/>
              <w:bottom w:val="single" w:sz="4" w:space="0" w:color="auto"/>
              <w:right w:val="single" w:sz="4" w:space="0" w:color="auto"/>
            </w:tcBorders>
            <w:shd w:val="clear" w:color="auto" w:fill="auto"/>
            <w:noWrap/>
            <w:vAlign w:val="bottom"/>
            <w:hideMark/>
          </w:tcPr>
          <w:p w14:paraId="1DF0BBC8" w14:textId="77777777" w:rsidR="00E52AC1" w:rsidRPr="002F387E" w:rsidRDefault="00E52AC1" w:rsidP="00E52AC1">
            <w:pPr>
              <w:spacing w:after="0" w:line="240" w:lineRule="auto"/>
              <w:jc w:val="center"/>
              <w:rPr>
                <w:rFonts w:asciiTheme="majorHAnsi" w:eastAsia="Times New Roman" w:hAnsiTheme="majorHAnsi" w:cstheme="majorHAnsi"/>
                <w:b/>
                <w:color w:val="000000"/>
                <w:sz w:val="18"/>
                <w:szCs w:val="18"/>
              </w:rPr>
            </w:pPr>
            <w:r w:rsidRPr="002F387E">
              <w:rPr>
                <w:rFonts w:asciiTheme="majorHAnsi" w:eastAsia="Times New Roman" w:hAnsiTheme="majorHAnsi" w:cstheme="majorHAnsi"/>
                <w:b/>
                <w:color w:val="000000"/>
                <w:sz w:val="18"/>
                <w:szCs w:val="18"/>
              </w:rPr>
              <w:t>0.21</w:t>
            </w:r>
          </w:p>
        </w:tc>
        <w:tc>
          <w:tcPr>
            <w:tcW w:w="900" w:type="dxa"/>
            <w:tcBorders>
              <w:top w:val="nil"/>
              <w:left w:val="nil"/>
              <w:bottom w:val="single" w:sz="4" w:space="0" w:color="auto"/>
              <w:right w:val="single" w:sz="4" w:space="0" w:color="auto"/>
            </w:tcBorders>
            <w:shd w:val="clear" w:color="auto" w:fill="auto"/>
            <w:noWrap/>
            <w:vAlign w:val="bottom"/>
            <w:hideMark/>
          </w:tcPr>
          <w:p w14:paraId="37609A9C" w14:textId="77777777" w:rsidR="00E52AC1" w:rsidRPr="002F387E" w:rsidRDefault="00E52AC1" w:rsidP="00E52AC1">
            <w:pPr>
              <w:spacing w:after="0" w:line="240" w:lineRule="auto"/>
              <w:jc w:val="center"/>
              <w:rPr>
                <w:rFonts w:asciiTheme="majorHAnsi" w:eastAsia="Times New Roman" w:hAnsiTheme="majorHAnsi" w:cstheme="majorHAnsi"/>
                <w:b/>
                <w:color w:val="000000"/>
                <w:sz w:val="18"/>
                <w:szCs w:val="18"/>
              </w:rPr>
            </w:pPr>
            <w:r w:rsidRPr="002F387E">
              <w:rPr>
                <w:rFonts w:asciiTheme="majorHAnsi" w:eastAsia="Times New Roman" w:hAnsiTheme="majorHAnsi" w:cstheme="majorHAnsi"/>
                <w:b/>
                <w:color w:val="000000"/>
                <w:sz w:val="18"/>
                <w:szCs w:val="18"/>
              </w:rPr>
              <w:t>0.08</w:t>
            </w:r>
          </w:p>
        </w:tc>
        <w:tc>
          <w:tcPr>
            <w:tcW w:w="900" w:type="dxa"/>
            <w:tcBorders>
              <w:top w:val="nil"/>
              <w:left w:val="nil"/>
              <w:bottom w:val="single" w:sz="4" w:space="0" w:color="auto"/>
              <w:right w:val="single" w:sz="4" w:space="0" w:color="auto"/>
            </w:tcBorders>
            <w:shd w:val="clear" w:color="auto" w:fill="auto"/>
            <w:noWrap/>
            <w:vAlign w:val="bottom"/>
            <w:hideMark/>
          </w:tcPr>
          <w:p w14:paraId="101819EF" w14:textId="77777777" w:rsidR="00E52AC1" w:rsidRPr="002F387E" w:rsidRDefault="00E52AC1" w:rsidP="00E52AC1">
            <w:pPr>
              <w:spacing w:after="0" w:line="240" w:lineRule="auto"/>
              <w:jc w:val="center"/>
              <w:rPr>
                <w:rFonts w:asciiTheme="majorHAnsi" w:eastAsia="Times New Roman" w:hAnsiTheme="majorHAnsi" w:cstheme="majorHAnsi"/>
                <w:b/>
                <w:color w:val="000000"/>
                <w:sz w:val="18"/>
                <w:szCs w:val="18"/>
              </w:rPr>
            </w:pPr>
            <w:r w:rsidRPr="002F387E">
              <w:rPr>
                <w:rFonts w:asciiTheme="majorHAnsi" w:eastAsia="Times New Roman" w:hAnsiTheme="majorHAnsi" w:cstheme="majorHAnsi"/>
                <w:b/>
                <w:color w:val="000000"/>
                <w:sz w:val="18"/>
                <w:szCs w:val="18"/>
              </w:rPr>
              <w:t>0.06</w:t>
            </w:r>
          </w:p>
        </w:tc>
        <w:tc>
          <w:tcPr>
            <w:tcW w:w="900" w:type="dxa"/>
            <w:tcBorders>
              <w:top w:val="nil"/>
              <w:left w:val="nil"/>
              <w:bottom w:val="single" w:sz="4" w:space="0" w:color="auto"/>
              <w:right w:val="single" w:sz="4" w:space="0" w:color="auto"/>
            </w:tcBorders>
            <w:shd w:val="clear" w:color="auto" w:fill="auto"/>
            <w:noWrap/>
            <w:vAlign w:val="bottom"/>
            <w:hideMark/>
          </w:tcPr>
          <w:p w14:paraId="07A78F57" w14:textId="77777777" w:rsidR="00E52AC1" w:rsidRPr="002F387E" w:rsidRDefault="00E52AC1" w:rsidP="00E52AC1">
            <w:pPr>
              <w:spacing w:after="0" w:line="240" w:lineRule="auto"/>
              <w:jc w:val="center"/>
              <w:rPr>
                <w:rFonts w:asciiTheme="majorHAnsi" w:eastAsia="Times New Roman" w:hAnsiTheme="majorHAnsi" w:cstheme="majorHAnsi"/>
                <w:b/>
                <w:color w:val="000000"/>
                <w:sz w:val="18"/>
                <w:szCs w:val="18"/>
              </w:rPr>
            </w:pPr>
            <w:r w:rsidRPr="002F387E">
              <w:rPr>
                <w:rFonts w:asciiTheme="majorHAnsi" w:eastAsia="Times New Roman" w:hAnsiTheme="majorHAnsi" w:cstheme="majorHAnsi"/>
                <w:b/>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4232A1D8" w14:textId="77777777" w:rsidR="00E52AC1" w:rsidRPr="002F387E" w:rsidRDefault="00E52AC1" w:rsidP="00E52AC1">
            <w:pPr>
              <w:spacing w:after="0" w:line="240" w:lineRule="auto"/>
              <w:jc w:val="center"/>
              <w:rPr>
                <w:rFonts w:asciiTheme="majorHAnsi" w:eastAsia="Times New Roman" w:hAnsiTheme="majorHAnsi" w:cstheme="majorHAnsi"/>
                <w:b/>
                <w:color w:val="000000"/>
                <w:sz w:val="18"/>
                <w:szCs w:val="18"/>
              </w:rPr>
            </w:pPr>
            <w:r w:rsidRPr="002F387E">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2B77BFE0" w14:textId="77777777" w:rsidR="00E52AC1" w:rsidRPr="002F387E" w:rsidRDefault="00E52AC1" w:rsidP="00E52AC1">
            <w:pPr>
              <w:spacing w:after="0" w:line="240" w:lineRule="auto"/>
              <w:jc w:val="center"/>
              <w:rPr>
                <w:rFonts w:asciiTheme="majorHAnsi" w:eastAsia="Times New Roman" w:hAnsiTheme="majorHAnsi" w:cstheme="majorHAnsi"/>
                <w:b/>
                <w:color w:val="000000"/>
                <w:sz w:val="18"/>
                <w:szCs w:val="18"/>
              </w:rPr>
            </w:pPr>
            <w:r w:rsidRPr="002F387E">
              <w:rPr>
                <w:rFonts w:asciiTheme="majorHAnsi" w:eastAsia="Times New Roman" w:hAnsiTheme="majorHAnsi" w:cstheme="majorHAnsi"/>
                <w:b/>
                <w:color w:val="000000"/>
                <w:sz w:val="18"/>
                <w:szCs w:val="18"/>
              </w:rPr>
              <w:t>-0.13</w:t>
            </w:r>
          </w:p>
        </w:tc>
        <w:tc>
          <w:tcPr>
            <w:tcW w:w="990" w:type="dxa"/>
            <w:tcBorders>
              <w:top w:val="nil"/>
              <w:left w:val="nil"/>
              <w:bottom w:val="single" w:sz="4" w:space="0" w:color="auto"/>
              <w:right w:val="single" w:sz="4" w:space="0" w:color="auto"/>
            </w:tcBorders>
            <w:shd w:val="clear" w:color="auto" w:fill="auto"/>
            <w:noWrap/>
            <w:vAlign w:val="bottom"/>
            <w:hideMark/>
          </w:tcPr>
          <w:p w14:paraId="2C08B723" w14:textId="77777777" w:rsidR="00E52AC1" w:rsidRPr="002F387E" w:rsidRDefault="00E52AC1" w:rsidP="00E52AC1">
            <w:pPr>
              <w:spacing w:after="0" w:line="240" w:lineRule="auto"/>
              <w:jc w:val="center"/>
              <w:rPr>
                <w:rFonts w:asciiTheme="majorHAnsi" w:eastAsia="Times New Roman" w:hAnsiTheme="majorHAnsi" w:cstheme="majorHAnsi"/>
                <w:b/>
                <w:color w:val="000000"/>
                <w:sz w:val="18"/>
                <w:szCs w:val="18"/>
              </w:rPr>
            </w:pPr>
            <w:r w:rsidRPr="002F387E">
              <w:rPr>
                <w:rFonts w:asciiTheme="majorHAnsi" w:eastAsia="Times New Roman" w:hAnsiTheme="majorHAnsi" w:cstheme="majorHAnsi"/>
                <w:b/>
                <w:color w:val="000000"/>
                <w:sz w:val="18"/>
                <w:szCs w:val="18"/>
              </w:rPr>
              <w:t>-0.02</w:t>
            </w:r>
          </w:p>
        </w:tc>
        <w:tc>
          <w:tcPr>
            <w:tcW w:w="990" w:type="dxa"/>
            <w:tcBorders>
              <w:top w:val="nil"/>
              <w:left w:val="nil"/>
              <w:bottom w:val="single" w:sz="4" w:space="0" w:color="auto"/>
              <w:right w:val="single" w:sz="4" w:space="0" w:color="auto"/>
            </w:tcBorders>
            <w:shd w:val="clear" w:color="auto" w:fill="auto"/>
            <w:noWrap/>
            <w:vAlign w:val="bottom"/>
            <w:hideMark/>
          </w:tcPr>
          <w:p w14:paraId="65668D7C" w14:textId="77777777" w:rsidR="00E52AC1" w:rsidRPr="002F387E" w:rsidRDefault="00E52AC1" w:rsidP="00E52AC1">
            <w:pPr>
              <w:spacing w:after="0" w:line="240" w:lineRule="auto"/>
              <w:jc w:val="center"/>
              <w:rPr>
                <w:rFonts w:asciiTheme="majorHAnsi" w:eastAsia="Times New Roman" w:hAnsiTheme="majorHAnsi" w:cstheme="majorHAnsi"/>
                <w:b/>
                <w:color w:val="000000"/>
                <w:sz w:val="18"/>
                <w:szCs w:val="18"/>
              </w:rPr>
            </w:pPr>
            <w:r w:rsidRPr="002F387E">
              <w:rPr>
                <w:rFonts w:asciiTheme="majorHAnsi" w:eastAsia="Times New Roman" w:hAnsiTheme="majorHAnsi" w:cstheme="majorHAnsi"/>
                <w:b/>
                <w:color w:val="000000"/>
                <w:sz w:val="18"/>
                <w:szCs w:val="18"/>
              </w:rPr>
              <w:t>79.97</w:t>
            </w:r>
          </w:p>
        </w:tc>
        <w:tc>
          <w:tcPr>
            <w:tcW w:w="1080" w:type="dxa"/>
            <w:tcBorders>
              <w:top w:val="nil"/>
              <w:left w:val="nil"/>
              <w:bottom w:val="single" w:sz="4" w:space="0" w:color="auto"/>
              <w:right w:val="single" w:sz="4" w:space="0" w:color="auto"/>
            </w:tcBorders>
            <w:shd w:val="clear" w:color="auto" w:fill="auto"/>
            <w:noWrap/>
            <w:vAlign w:val="bottom"/>
            <w:hideMark/>
          </w:tcPr>
          <w:p w14:paraId="2A4EAABC" w14:textId="77777777" w:rsidR="00E52AC1" w:rsidRPr="002F387E" w:rsidRDefault="00E52AC1" w:rsidP="00E52AC1">
            <w:pPr>
              <w:spacing w:after="0" w:line="240" w:lineRule="auto"/>
              <w:jc w:val="center"/>
              <w:rPr>
                <w:rFonts w:asciiTheme="majorHAnsi" w:eastAsia="Times New Roman" w:hAnsiTheme="majorHAnsi" w:cstheme="majorHAnsi"/>
                <w:b/>
                <w:color w:val="000000"/>
                <w:sz w:val="18"/>
                <w:szCs w:val="18"/>
              </w:rPr>
            </w:pPr>
            <w:r w:rsidRPr="002F387E">
              <w:rPr>
                <w:rFonts w:asciiTheme="majorHAnsi" w:eastAsia="Times New Roman" w:hAnsiTheme="majorHAnsi" w:cstheme="majorHAnsi"/>
                <w:b/>
                <w:color w:val="000000"/>
                <w:sz w:val="18"/>
                <w:szCs w:val="18"/>
              </w:rPr>
              <w:t>-0.08</w:t>
            </w:r>
          </w:p>
        </w:tc>
        <w:tc>
          <w:tcPr>
            <w:tcW w:w="1156" w:type="dxa"/>
            <w:tcBorders>
              <w:top w:val="nil"/>
              <w:left w:val="nil"/>
              <w:bottom w:val="single" w:sz="4" w:space="0" w:color="auto"/>
              <w:right w:val="single" w:sz="4" w:space="0" w:color="auto"/>
            </w:tcBorders>
            <w:shd w:val="clear" w:color="auto" w:fill="auto"/>
            <w:noWrap/>
            <w:vAlign w:val="bottom"/>
            <w:hideMark/>
          </w:tcPr>
          <w:p w14:paraId="26F8BC39" w14:textId="77777777" w:rsidR="00E52AC1" w:rsidRPr="002F387E" w:rsidRDefault="00E52AC1" w:rsidP="00E52AC1">
            <w:pPr>
              <w:spacing w:after="0" w:line="240" w:lineRule="auto"/>
              <w:jc w:val="center"/>
              <w:rPr>
                <w:rFonts w:asciiTheme="majorHAnsi" w:eastAsia="Times New Roman" w:hAnsiTheme="majorHAnsi" w:cstheme="majorHAnsi"/>
                <w:b/>
                <w:color w:val="000000"/>
                <w:sz w:val="18"/>
                <w:szCs w:val="18"/>
              </w:rPr>
            </w:pPr>
            <w:r w:rsidRPr="002F387E">
              <w:rPr>
                <w:rFonts w:asciiTheme="majorHAnsi" w:eastAsia="Times New Roman" w:hAnsiTheme="majorHAnsi" w:cstheme="majorHAnsi"/>
                <w:b/>
                <w:color w:val="000000"/>
                <w:sz w:val="18"/>
                <w:szCs w:val="18"/>
              </w:rPr>
              <w:t>0.00</w:t>
            </w:r>
          </w:p>
        </w:tc>
      </w:tr>
      <w:tr w:rsidR="00E52AC1" w:rsidRPr="00991DD7" w14:paraId="1F0CF944" w14:textId="77777777" w:rsidTr="00E52AC1">
        <w:trPr>
          <w:trHeight w:val="143"/>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1E4CC2BE"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Procurarea altor mijloace fixe</w:t>
            </w:r>
          </w:p>
        </w:tc>
        <w:tc>
          <w:tcPr>
            <w:tcW w:w="964" w:type="dxa"/>
            <w:tcBorders>
              <w:top w:val="nil"/>
              <w:left w:val="nil"/>
              <w:bottom w:val="single" w:sz="4" w:space="0" w:color="auto"/>
              <w:right w:val="single" w:sz="4" w:space="0" w:color="auto"/>
            </w:tcBorders>
            <w:shd w:val="clear" w:color="auto" w:fill="auto"/>
            <w:noWrap/>
            <w:vAlign w:val="bottom"/>
            <w:hideMark/>
          </w:tcPr>
          <w:p w14:paraId="01D7AC0C"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318110</w:t>
            </w:r>
          </w:p>
        </w:tc>
        <w:tc>
          <w:tcPr>
            <w:tcW w:w="1004" w:type="dxa"/>
            <w:tcBorders>
              <w:top w:val="nil"/>
              <w:left w:val="nil"/>
              <w:bottom w:val="single" w:sz="4" w:space="0" w:color="auto"/>
              <w:right w:val="single" w:sz="4" w:space="0" w:color="auto"/>
            </w:tcBorders>
            <w:shd w:val="clear" w:color="auto" w:fill="auto"/>
            <w:noWrap/>
            <w:vAlign w:val="bottom"/>
            <w:hideMark/>
          </w:tcPr>
          <w:p w14:paraId="49F0049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0.21</w:t>
            </w:r>
          </w:p>
        </w:tc>
        <w:tc>
          <w:tcPr>
            <w:tcW w:w="900" w:type="dxa"/>
            <w:tcBorders>
              <w:top w:val="nil"/>
              <w:left w:val="nil"/>
              <w:bottom w:val="single" w:sz="4" w:space="0" w:color="auto"/>
              <w:right w:val="single" w:sz="4" w:space="0" w:color="auto"/>
            </w:tcBorders>
            <w:shd w:val="clear" w:color="auto" w:fill="auto"/>
            <w:noWrap/>
            <w:vAlign w:val="bottom"/>
            <w:hideMark/>
          </w:tcPr>
          <w:p w14:paraId="17ED634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0.08</w:t>
            </w:r>
          </w:p>
        </w:tc>
        <w:tc>
          <w:tcPr>
            <w:tcW w:w="900" w:type="dxa"/>
            <w:tcBorders>
              <w:top w:val="nil"/>
              <w:left w:val="nil"/>
              <w:bottom w:val="single" w:sz="4" w:space="0" w:color="auto"/>
              <w:right w:val="single" w:sz="4" w:space="0" w:color="auto"/>
            </w:tcBorders>
            <w:shd w:val="clear" w:color="auto" w:fill="auto"/>
            <w:noWrap/>
            <w:vAlign w:val="bottom"/>
            <w:hideMark/>
          </w:tcPr>
          <w:p w14:paraId="0906C21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0.06</w:t>
            </w:r>
          </w:p>
        </w:tc>
        <w:tc>
          <w:tcPr>
            <w:tcW w:w="900" w:type="dxa"/>
            <w:tcBorders>
              <w:top w:val="nil"/>
              <w:left w:val="nil"/>
              <w:bottom w:val="single" w:sz="4" w:space="0" w:color="auto"/>
              <w:right w:val="single" w:sz="4" w:space="0" w:color="auto"/>
            </w:tcBorders>
            <w:shd w:val="clear" w:color="auto" w:fill="auto"/>
            <w:noWrap/>
            <w:vAlign w:val="bottom"/>
            <w:hideMark/>
          </w:tcPr>
          <w:p w14:paraId="635176C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47476D0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1A2E046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-0.13</w:t>
            </w:r>
          </w:p>
        </w:tc>
        <w:tc>
          <w:tcPr>
            <w:tcW w:w="990" w:type="dxa"/>
            <w:tcBorders>
              <w:top w:val="nil"/>
              <w:left w:val="nil"/>
              <w:bottom w:val="single" w:sz="4" w:space="0" w:color="auto"/>
              <w:right w:val="single" w:sz="4" w:space="0" w:color="auto"/>
            </w:tcBorders>
            <w:shd w:val="clear" w:color="auto" w:fill="auto"/>
            <w:noWrap/>
            <w:vAlign w:val="bottom"/>
            <w:hideMark/>
          </w:tcPr>
          <w:p w14:paraId="726C987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-0.02</w:t>
            </w:r>
          </w:p>
        </w:tc>
        <w:tc>
          <w:tcPr>
            <w:tcW w:w="990" w:type="dxa"/>
            <w:tcBorders>
              <w:top w:val="nil"/>
              <w:left w:val="nil"/>
              <w:bottom w:val="single" w:sz="4" w:space="0" w:color="auto"/>
              <w:right w:val="single" w:sz="4" w:space="0" w:color="auto"/>
            </w:tcBorders>
            <w:shd w:val="clear" w:color="auto" w:fill="auto"/>
            <w:noWrap/>
            <w:vAlign w:val="bottom"/>
            <w:hideMark/>
          </w:tcPr>
          <w:p w14:paraId="4B23243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79.97</w:t>
            </w:r>
          </w:p>
        </w:tc>
        <w:tc>
          <w:tcPr>
            <w:tcW w:w="1080" w:type="dxa"/>
            <w:tcBorders>
              <w:top w:val="nil"/>
              <w:left w:val="nil"/>
              <w:bottom w:val="single" w:sz="4" w:space="0" w:color="auto"/>
              <w:right w:val="single" w:sz="4" w:space="0" w:color="auto"/>
            </w:tcBorders>
            <w:shd w:val="clear" w:color="auto" w:fill="auto"/>
            <w:noWrap/>
            <w:vAlign w:val="bottom"/>
            <w:hideMark/>
          </w:tcPr>
          <w:p w14:paraId="1E322BC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-0.08</w:t>
            </w:r>
          </w:p>
        </w:tc>
        <w:tc>
          <w:tcPr>
            <w:tcW w:w="1156" w:type="dxa"/>
            <w:tcBorders>
              <w:top w:val="nil"/>
              <w:left w:val="nil"/>
              <w:bottom w:val="single" w:sz="4" w:space="0" w:color="auto"/>
              <w:right w:val="single" w:sz="4" w:space="0" w:color="auto"/>
            </w:tcBorders>
            <w:shd w:val="clear" w:color="auto" w:fill="auto"/>
            <w:noWrap/>
            <w:vAlign w:val="bottom"/>
            <w:hideMark/>
          </w:tcPr>
          <w:p w14:paraId="05C62F3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r>
      <w:tr w:rsidR="00E52AC1" w:rsidRPr="00991DD7" w14:paraId="0D9C000A" w14:textId="77777777" w:rsidTr="00E52AC1">
        <w:trPr>
          <w:trHeight w:val="58"/>
        </w:trPr>
        <w:tc>
          <w:tcPr>
            <w:tcW w:w="4140" w:type="dxa"/>
            <w:tcBorders>
              <w:top w:val="nil"/>
              <w:left w:val="single" w:sz="4" w:space="0" w:color="auto"/>
              <w:bottom w:val="single" w:sz="4" w:space="0" w:color="auto"/>
              <w:right w:val="single" w:sz="4" w:space="0" w:color="auto"/>
            </w:tcBorders>
            <w:shd w:val="clear" w:color="auto" w:fill="auto"/>
            <w:vAlign w:val="bottom"/>
          </w:tcPr>
          <w:p w14:paraId="4FC35B5A"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tcPr>
          <w:p w14:paraId="149467A3" w14:textId="77777777" w:rsidR="00E52AC1" w:rsidRPr="00296BDD" w:rsidRDefault="00E52AC1" w:rsidP="00E52AC1">
            <w:pPr>
              <w:spacing w:after="0" w:line="240" w:lineRule="auto"/>
              <w:jc w:val="both"/>
              <w:rPr>
                <w:rFonts w:asciiTheme="majorHAnsi" w:eastAsia="Times New Roman" w:hAnsiTheme="majorHAnsi" w:cstheme="majorHAnsi"/>
                <w:b/>
                <w:i/>
                <w:iCs/>
                <w:color w:val="000000"/>
                <w:sz w:val="18"/>
                <w:szCs w:val="18"/>
              </w:rPr>
            </w:pPr>
            <w:r w:rsidRPr="00296BDD">
              <w:rPr>
                <w:rFonts w:asciiTheme="majorHAnsi" w:eastAsia="Times New Roman" w:hAnsiTheme="majorHAnsi" w:cstheme="majorHAnsi"/>
                <w:b/>
                <w:i/>
                <w:iCs/>
                <w:color w:val="000000"/>
                <w:sz w:val="18"/>
                <w:szCs w:val="18"/>
              </w:rPr>
              <w:t>319</w:t>
            </w:r>
          </w:p>
        </w:tc>
        <w:tc>
          <w:tcPr>
            <w:tcW w:w="1004" w:type="dxa"/>
            <w:tcBorders>
              <w:top w:val="nil"/>
              <w:left w:val="nil"/>
              <w:bottom w:val="single" w:sz="4" w:space="0" w:color="auto"/>
              <w:right w:val="single" w:sz="4" w:space="0" w:color="auto"/>
            </w:tcBorders>
            <w:shd w:val="clear" w:color="auto" w:fill="auto"/>
            <w:noWrap/>
            <w:vAlign w:val="bottom"/>
          </w:tcPr>
          <w:p w14:paraId="1C5886D3" w14:textId="77777777" w:rsidR="00E52AC1" w:rsidRPr="00296BDD" w:rsidRDefault="00E52AC1" w:rsidP="00E52AC1">
            <w:pPr>
              <w:spacing w:after="0" w:line="240" w:lineRule="auto"/>
              <w:jc w:val="center"/>
              <w:rPr>
                <w:rFonts w:asciiTheme="majorHAnsi" w:eastAsia="Times New Roman" w:hAnsiTheme="majorHAnsi" w:cstheme="majorHAnsi"/>
                <w:b/>
                <w:color w:val="000000"/>
                <w:sz w:val="18"/>
                <w:szCs w:val="18"/>
              </w:rPr>
            </w:pPr>
            <w:r w:rsidRPr="00296BDD">
              <w:rPr>
                <w:rFonts w:asciiTheme="majorHAnsi" w:eastAsia="Times New Roman" w:hAnsiTheme="majorHAnsi" w:cstheme="majorHAnsi"/>
                <w:b/>
                <w:color w:val="000000"/>
                <w:sz w:val="18"/>
                <w:szCs w:val="18"/>
              </w:rPr>
              <w:t>35.8</w:t>
            </w:r>
          </w:p>
        </w:tc>
        <w:tc>
          <w:tcPr>
            <w:tcW w:w="900" w:type="dxa"/>
            <w:tcBorders>
              <w:top w:val="nil"/>
              <w:left w:val="nil"/>
              <w:bottom w:val="single" w:sz="4" w:space="0" w:color="auto"/>
              <w:right w:val="single" w:sz="4" w:space="0" w:color="auto"/>
            </w:tcBorders>
            <w:shd w:val="clear" w:color="auto" w:fill="auto"/>
            <w:noWrap/>
            <w:vAlign w:val="bottom"/>
          </w:tcPr>
          <w:p w14:paraId="0B38FF62" w14:textId="77777777" w:rsidR="00E52AC1" w:rsidRPr="00296BDD" w:rsidRDefault="00E52AC1" w:rsidP="00E52AC1">
            <w:pPr>
              <w:spacing w:after="0" w:line="240" w:lineRule="auto"/>
              <w:jc w:val="center"/>
              <w:rPr>
                <w:rFonts w:asciiTheme="majorHAnsi" w:eastAsia="Times New Roman" w:hAnsiTheme="majorHAnsi" w:cstheme="majorHAnsi"/>
                <w:b/>
                <w:color w:val="000000"/>
                <w:sz w:val="18"/>
                <w:szCs w:val="18"/>
              </w:rPr>
            </w:pPr>
            <w:r w:rsidRPr="00296BDD">
              <w:rPr>
                <w:rFonts w:asciiTheme="majorHAnsi" w:eastAsia="Times New Roman" w:hAnsiTheme="majorHAnsi" w:cstheme="majorHAnsi"/>
                <w:b/>
                <w:color w:val="000000"/>
                <w:sz w:val="18"/>
                <w:szCs w:val="18"/>
              </w:rPr>
              <w:t>30.00</w:t>
            </w:r>
          </w:p>
        </w:tc>
        <w:tc>
          <w:tcPr>
            <w:tcW w:w="900" w:type="dxa"/>
            <w:tcBorders>
              <w:top w:val="nil"/>
              <w:left w:val="nil"/>
              <w:bottom w:val="single" w:sz="4" w:space="0" w:color="auto"/>
              <w:right w:val="single" w:sz="4" w:space="0" w:color="auto"/>
            </w:tcBorders>
            <w:shd w:val="clear" w:color="auto" w:fill="auto"/>
            <w:noWrap/>
            <w:vAlign w:val="bottom"/>
          </w:tcPr>
          <w:p w14:paraId="24AA04F5" w14:textId="77777777" w:rsidR="00E52AC1" w:rsidRPr="00296BDD" w:rsidRDefault="00E52AC1" w:rsidP="00E52AC1">
            <w:pPr>
              <w:spacing w:after="0" w:line="240" w:lineRule="auto"/>
              <w:jc w:val="center"/>
              <w:rPr>
                <w:rFonts w:asciiTheme="majorHAnsi" w:eastAsia="Times New Roman" w:hAnsiTheme="majorHAnsi" w:cstheme="majorHAnsi"/>
                <w:b/>
                <w:color w:val="000000"/>
                <w:sz w:val="18"/>
                <w:szCs w:val="18"/>
              </w:rPr>
            </w:pPr>
            <w:r w:rsidRPr="00296BDD">
              <w:rPr>
                <w:rFonts w:asciiTheme="majorHAnsi" w:eastAsia="Times New Roman" w:hAnsiTheme="majorHAnsi" w:cstheme="majorHAnsi"/>
                <w:b/>
                <w:color w:val="000000"/>
                <w:sz w:val="18"/>
                <w:szCs w:val="18"/>
              </w:rPr>
              <w:t>0.28</w:t>
            </w:r>
          </w:p>
        </w:tc>
        <w:tc>
          <w:tcPr>
            <w:tcW w:w="900" w:type="dxa"/>
            <w:tcBorders>
              <w:top w:val="nil"/>
              <w:left w:val="nil"/>
              <w:bottom w:val="single" w:sz="4" w:space="0" w:color="auto"/>
              <w:right w:val="single" w:sz="4" w:space="0" w:color="auto"/>
            </w:tcBorders>
            <w:shd w:val="clear" w:color="auto" w:fill="auto"/>
            <w:noWrap/>
            <w:vAlign w:val="bottom"/>
          </w:tcPr>
          <w:p w14:paraId="298CE0E1" w14:textId="77777777" w:rsidR="00E52AC1" w:rsidRPr="00296BDD" w:rsidRDefault="00E52AC1" w:rsidP="00E52AC1">
            <w:pPr>
              <w:spacing w:after="0" w:line="240" w:lineRule="auto"/>
              <w:jc w:val="center"/>
              <w:rPr>
                <w:rFonts w:asciiTheme="majorHAnsi" w:eastAsia="Times New Roman" w:hAnsiTheme="majorHAnsi" w:cstheme="majorHAnsi"/>
                <w:b/>
                <w:color w:val="000000"/>
                <w:sz w:val="18"/>
                <w:szCs w:val="18"/>
              </w:rPr>
            </w:pPr>
            <w:r w:rsidRPr="00296BDD">
              <w:rPr>
                <w:rFonts w:asciiTheme="majorHAnsi" w:eastAsia="Times New Roman" w:hAnsiTheme="majorHAnsi" w:cstheme="majorHAnsi"/>
                <w:b/>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tcPr>
          <w:p w14:paraId="1C9BE238" w14:textId="77777777" w:rsidR="00E52AC1" w:rsidRPr="00296BDD" w:rsidRDefault="00E52AC1" w:rsidP="00E52AC1">
            <w:pPr>
              <w:spacing w:after="0" w:line="240" w:lineRule="auto"/>
              <w:jc w:val="center"/>
              <w:rPr>
                <w:rFonts w:asciiTheme="majorHAnsi" w:eastAsia="Times New Roman" w:hAnsiTheme="majorHAnsi" w:cstheme="majorHAnsi"/>
                <w:b/>
                <w:color w:val="000000"/>
                <w:sz w:val="18"/>
                <w:szCs w:val="18"/>
              </w:rPr>
            </w:pPr>
            <w:r w:rsidRPr="00296BDD">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234246F4" w14:textId="77777777" w:rsidR="00E52AC1" w:rsidRPr="00296BDD" w:rsidRDefault="00E52AC1" w:rsidP="00E52AC1">
            <w:pPr>
              <w:spacing w:after="0" w:line="240" w:lineRule="auto"/>
              <w:jc w:val="center"/>
              <w:rPr>
                <w:rFonts w:asciiTheme="majorHAnsi" w:eastAsia="Times New Roman" w:hAnsiTheme="majorHAnsi" w:cstheme="majorHAnsi"/>
                <w:b/>
                <w:color w:val="000000"/>
                <w:sz w:val="18"/>
                <w:szCs w:val="18"/>
              </w:rPr>
            </w:pPr>
            <w:r w:rsidRPr="00296BDD">
              <w:rPr>
                <w:rFonts w:asciiTheme="majorHAnsi" w:eastAsia="Times New Roman" w:hAnsiTheme="majorHAnsi" w:cstheme="majorHAnsi"/>
                <w:b/>
                <w:color w:val="000000"/>
                <w:sz w:val="18"/>
                <w:szCs w:val="18"/>
              </w:rPr>
              <w:t>-5.8</w:t>
            </w:r>
          </w:p>
        </w:tc>
        <w:tc>
          <w:tcPr>
            <w:tcW w:w="990" w:type="dxa"/>
            <w:tcBorders>
              <w:top w:val="nil"/>
              <w:left w:val="nil"/>
              <w:bottom w:val="single" w:sz="4" w:space="0" w:color="auto"/>
              <w:right w:val="single" w:sz="4" w:space="0" w:color="auto"/>
            </w:tcBorders>
            <w:shd w:val="clear" w:color="auto" w:fill="auto"/>
            <w:noWrap/>
            <w:vAlign w:val="bottom"/>
          </w:tcPr>
          <w:p w14:paraId="40A8B27E" w14:textId="77777777" w:rsidR="00E52AC1" w:rsidRPr="00296BDD" w:rsidRDefault="00E52AC1" w:rsidP="00E52AC1">
            <w:pPr>
              <w:spacing w:after="0" w:line="240" w:lineRule="auto"/>
              <w:jc w:val="center"/>
              <w:rPr>
                <w:rFonts w:asciiTheme="majorHAnsi" w:eastAsia="Times New Roman" w:hAnsiTheme="majorHAnsi" w:cstheme="majorHAnsi"/>
                <w:b/>
                <w:color w:val="000000"/>
                <w:sz w:val="18"/>
                <w:szCs w:val="18"/>
              </w:rPr>
            </w:pPr>
            <w:r w:rsidRPr="00296BDD">
              <w:rPr>
                <w:rFonts w:asciiTheme="majorHAnsi" w:eastAsia="Times New Roman" w:hAnsiTheme="majorHAnsi" w:cstheme="majorHAnsi"/>
                <w:b/>
                <w:color w:val="000000"/>
                <w:sz w:val="18"/>
                <w:szCs w:val="18"/>
              </w:rPr>
              <w:t>-29.72</w:t>
            </w:r>
          </w:p>
        </w:tc>
        <w:tc>
          <w:tcPr>
            <w:tcW w:w="990" w:type="dxa"/>
            <w:tcBorders>
              <w:top w:val="nil"/>
              <w:left w:val="nil"/>
              <w:bottom w:val="single" w:sz="4" w:space="0" w:color="auto"/>
              <w:right w:val="single" w:sz="4" w:space="0" w:color="auto"/>
            </w:tcBorders>
            <w:shd w:val="clear" w:color="auto" w:fill="auto"/>
            <w:noWrap/>
            <w:vAlign w:val="bottom"/>
          </w:tcPr>
          <w:p w14:paraId="22D459ED" w14:textId="77777777" w:rsidR="00E52AC1" w:rsidRPr="00296BDD" w:rsidRDefault="00E52AC1" w:rsidP="00E52AC1">
            <w:pPr>
              <w:spacing w:after="0" w:line="240" w:lineRule="auto"/>
              <w:jc w:val="center"/>
              <w:rPr>
                <w:rFonts w:asciiTheme="majorHAnsi" w:eastAsia="Times New Roman" w:hAnsiTheme="majorHAnsi" w:cstheme="majorHAnsi"/>
                <w:b/>
                <w:color w:val="000000"/>
                <w:sz w:val="18"/>
                <w:szCs w:val="18"/>
              </w:rPr>
            </w:pPr>
            <w:r w:rsidRPr="00296BDD">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478A9DE2" w14:textId="77777777" w:rsidR="00E52AC1" w:rsidRPr="00296BDD" w:rsidRDefault="00E52AC1" w:rsidP="00E52AC1">
            <w:pPr>
              <w:spacing w:after="0" w:line="240" w:lineRule="auto"/>
              <w:jc w:val="center"/>
              <w:rPr>
                <w:rFonts w:asciiTheme="majorHAnsi" w:eastAsia="Times New Roman" w:hAnsiTheme="majorHAnsi" w:cstheme="majorHAnsi"/>
                <w:b/>
                <w:color w:val="000000"/>
                <w:sz w:val="18"/>
                <w:szCs w:val="18"/>
              </w:rPr>
            </w:pPr>
            <w:r w:rsidRPr="00296BDD">
              <w:rPr>
                <w:rFonts w:asciiTheme="majorHAnsi" w:eastAsia="Times New Roman" w:hAnsiTheme="majorHAnsi" w:cstheme="majorHAnsi"/>
                <w:b/>
                <w:color w:val="000000"/>
                <w:sz w:val="18"/>
                <w:szCs w:val="18"/>
              </w:rPr>
              <w:t>-30.00</w:t>
            </w:r>
          </w:p>
        </w:tc>
        <w:tc>
          <w:tcPr>
            <w:tcW w:w="1156" w:type="dxa"/>
            <w:tcBorders>
              <w:top w:val="nil"/>
              <w:left w:val="nil"/>
              <w:bottom w:val="single" w:sz="4" w:space="0" w:color="auto"/>
              <w:right w:val="single" w:sz="4" w:space="0" w:color="auto"/>
            </w:tcBorders>
            <w:shd w:val="clear" w:color="auto" w:fill="auto"/>
            <w:noWrap/>
            <w:vAlign w:val="bottom"/>
          </w:tcPr>
          <w:p w14:paraId="2BD7B734" w14:textId="77777777" w:rsidR="00E52AC1" w:rsidRPr="00296BDD" w:rsidRDefault="00E52AC1" w:rsidP="00E52AC1">
            <w:pPr>
              <w:spacing w:after="0" w:line="240" w:lineRule="auto"/>
              <w:jc w:val="center"/>
              <w:rPr>
                <w:rFonts w:asciiTheme="majorHAnsi" w:eastAsia="Times New Roman" w:hAnsiTheme="majorHAnsi" w:cstheme="majorHAnsi"/>
                <w:b/>
                <w:color w:val="000000"/>
                <w:sz w:val="18"/>
                <w:szCs w:val="18"/>
              </w:rPr>
            </w:pPr>
            <w:r w:rsidRPr="00296BDD">
              <w:rPr>
                <w:rFonts w:asciiTheme="majorHAnsi" w:eastAsia="Times New Roman" w:hAnsiTheme="majorHAnsi" w:cstheme="majorHAnsi"/>
                <w:b/>
                <w:color w:val="000000"/>
                <w:sz w:val="18"/>
                <w:szCs w:val="18"/>
              </w:rPr>
              <w:t>0.00</w:t>
            </w:r>
          </w:p>
        </w:tc>
      </w:tr>
      <w:tr w:rsidR="00E52AC1" w:rsidRPr="00991DD7" w14:paraId="5F4BF0E2" w14:textId="77777777" w:rsidTr="00E52AC1">
        <w:trPr>
          <w:trHeight w:val="58"/>
        </w:trPr>
        <w:tc>
          <w:tcPr>
            <w:tcW w:w="4140" w:type="dxa"/>
            <w:tcBorders>
              <w:top w:val="nil"/>
              <w:left w:val="single" w:sz="4" w:space="0" w:color="auto"/>
              <w:bottom w:val="single" w:sz="4" w:space="0" w:color="auto"/>
              <w:right w:val="single" w:sz="4" w:space="0" w:color="auto"/>
            </w:tcBorders>
            <w:shd w:val="clear" w:color="auto" w:fill="auto"/>
            <w:vAlign w:val="bottom"/>
          </w:tcPr>
          <w:p w14:paraId="34BA3150"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E41028">
              <w:rPr>
                <w:rFonts w:asciiTheme="majorHAnsi" w:eastAsia="Times New Roman" w:hAnsiTheme="majorHAnsi" w:cstheme="majorHAnsi"/>
                <w:b/>
                <w:bCs/>
                <w:color w:val="000000"/>
                <w:sz w:val="18"/>
                <w:szCs w:val="18"/>
              </w:rPr>
              <w:t>Alte investiții capitale în active materiale în curs de execuții</w:t>
            </w:r>
          </w:p>
        </w:tc>
        <w:tc>
          <w:tcPr>
            <w:tcW w:w="964" w:type="dxa"/>
            <w:tcBorders>
              <w:top w:val="nil"/>
              <w:left w:val="nil"/>
              <w:bottom w:val="single" w:sz="4" w:space="0" w:color="auto"/>
              <w:right w:val="single" w:sz="4" w:space="0" w:color="auto"/>
            </w:tcBorders>
            <w:shd w:val="clear" w:color="auto" w:fill="auto"/>
            <w:noWrap/>
            <w:vAlign w:val="bottom"/>
          </w:tcPr>
          <w:p w14:paraId="66028DF2"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319290</w:t>
            </w:r>
          </w:p>
        </w:tc>
        <w:tc>
          <w:tcPr>
            <w:tcW w:w="1004" w:type="dxa"/>
            <w:tcBorders>
              <w:top w:val="nil"/>
              <w:left w:val="nil"/>
              <w:bottom w:val="single" w:sz="4" w:space="0" w:color="auto"/>
              <w:right w:val="single" w:sz="4" w:space="0" w:color="auto"/>
            </w:tcBorders>
            <w:shd w:val="clear" w:color="auto" w:fill="auto"/>
            <w:noWrap/>
            <w:vAlign w:val="bottom"/>
          </w:tcPr>
          <w:p w14:paraId="0B0C6C7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3.00</w:t>
            </w:r>
          </w:p>
        </w:tc>
        <w:tc>
          <w:tcPr>
            <w:tcW w:w="900" w:type="dxa"/>
            <w:tcBorders>
              <w:top w:val="nil"/>
              <w:left w:val="nil"/>
              <w:bottom w:val="single" w:sz="4" w:space="0" w:color="auto"/>
              <w:right w:val="single" w:sz="4" w:space="0" w:color="auto"/>
            </w:tcBorders>
            <w:shd w:val="clear" w:color="auto" w:fill="auto"/>
            <w:noWrap/>
            <w:vAlign w:val="bottom"/>
          </w:tcPr>
          <w:p w14:paraId="76AA964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09541BB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7AB7903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tcPr>
          <w:p w14:paraId="6F25A22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11CA369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-3.00</w:t>
            </w:r>
          </w:p>
        </w:tc>
        <w:tc>
          <w:tcPr>
            <w:tcW w:w="990" w:type="dxa"/>
            <w:tcBorders>
              <w:top w:val="nil"/>
              <w:left w:val="nil"/>
              <w:bottom w:val="single" w:sz="4" w:space="0" w:color="auto"/>
              <w:right w:val="single" w:sz="4" w:space="0" w:color="auto"/>
            </w:tcBorders>
            <w:shd w:val="clear" w:color="auto" w:fill="auto"/>
            <w:noWrap/>
            <w:vAlign w:val="bottom"/>
          </w:tcPr>
          <w:p w14:paraId="159D0DE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452B48F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289ACA6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156" w:type="dxa"/>
            <w:tcBorders>
              <w:top w:val="nil"/>
              <w:left w:val="nil"/>
              <w:bottom w:val="single" w:sz="4" w:space="0" w:color="auto"/>
              <w:right w:val="single" w:sz="4" w:space="0" w:color="auto"/>
            </w:tcBorders>
            <w:shd w:val="clear" w:color="auto" w:fill="auto"/>
            <w:noWrap/>
            <w:vAlign w:val="bottom"/>
          </w:tcPr>
          <w:p w14:paraId="5552A9E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30F9C0C5" w14:textId="77777777" w:rsidTr="00E52AC1">
        <w:trPr>
          <w:trHeight w:val="58"/>
        </w:trPr>
        <w:tc>
          <w:tcPr>
            <w:tcW w:w="4140" w:type="dxa"/>
            <w:tcBorders>
              <w:top w:val="nil"/>
              <w:left w:val="single" w:sz="4" w:space="0" w:color="auto"/>
              <w:bottom w:val="single" w:sz="4" w:space="0" w:color="auto"/>
              <w:right w:val="single" w:sz="4" w:space="0" w:color="auto"/>
            </w:tcBorders>
            <w:shd w:val="clear" w:color="auto" w:fill="auto"/>
            <w:vAlign w:val="bottom"/>
          </w:tcPr>
          <w:p w14:paraId="7F64E743"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E41028">
              <w:rPr>
                <w:rFonts w:asciiTheme="majorHAnsi" w:eastAsia="Times New Roman" w:hAnsiTheme="majorHAnsi" w:cstheme="majorHAnsi"/>
                <w:b/>
                <w:bCs/>
                <w:color w:val="000000"/>
                <w:sz w:val="18"/>
                <w:szCs w:val="18"/>
              </w:rPr>
              <w:t>Clădiri in curs de execuție</w:t>
            </w:r>
          </w:p>
        </w:tc>
        <w:tc>
          <w:tcPr>
            <w:tcW w:w="964" w:type="dxa"/>
            <w:tcBorders>
              <w:top w:val="nil"/>
              <w:left w:val="nil"/>
              <w:bottom w:val="single" w:sz="4" w:space="0" w:color="auto"/>
              <w:right w:val="single" w:sz="4" w:space="0" w:color="auto"/>
            </w:tcBorders>
            <w:shd w:val="clear" w:color="auto" w:fill="auto"/>
            <w:noWrap/>
            <w:vAlign w:val="bottom"/>
          </w:tcPr>
          <w:p w14:paraId="5D08FB63"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319210</w:t>
            </w:r>
          </w:p>
        </w:tc>
        <w:tc>
          <w:tcPr>
            <w:tcW w:w="1004" w:type="dxa"/>
            <w:tcBorders>
              <w:top w:val="nil"/>
              <w:left w:val="nil"/>
              <w:bottom w:val="single" w:sz="4" w:space="0" w:color="auto"/>
              <w:right w:val="single" w:sz="4" w:space="0" w:color="auto"/>
            </w:tcBorders>
            <w:shd w:val="clear" w:color="auto" w:fill="auto"/>
            <w:noWrap/>
            <w:vAlign w:val="bottom"/>
          </w:tcPr>
          <w:p w14:paraId="3CA0DD2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32.68</w:t>
            </w:r>
          </w:p>
        </w:tc>
        <w:tc>
          <w:tcPr>
            <w:tcW w:w="900" w:type="dxa"/>
            <w:tcBorders>
              <w:top w:val="nil"/>
              <w:left w:val="nil"/>
              <w:bottom w:val="single" w:sz="4" w:space="0" w:color="auto"/>
              <w:right w:val="single" w:sz="4" w:space="0" w:color="auto"/>
            </w:tcBorders>
            <w:shd w:val="clear" w:color="auto" w:fill="auto"/>
            <w:noWrap/>
            <w:vAlign w:val="bottom"/>
          </w:tcPr>
          <w:p w14:paraId="0251195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30.00</w:t>
            </w:r>
          </w:p>
        </w:tc>
        <w:tc>
          <w:tcPr>
            <w:tcW w:w="900" w:type="dxa"/>
            <w:tcBorders>
              <w:top w:val="nil"/>
              <w:left w:val="nil"/>
              <w:bottom w:val="single" w:sz="4" w:space="0" w:color="auto"/>
              <w:right w:val="single" w:sz="4" w:space="0" w:color="auto"/>
            </w:tcBorders>
            <w:shd w:val="clear" w:color="auto" w:fill="auto"/>
            <w:noWrap/>
            <w:vAlign w:val="bottom"/>
          </w:tcPr>
          <w:p w14:paraId="7C46790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0.28</w:t>
            </w:r>
          </w:p>
        </w:tc>
        <w:tc>
          <w:tcPr>
            <w:tcW w:w="900" w:type="dxa"/>
            <w:tcBorders>
              <w:top w:val="nil"/>
              <w:left w:val="nil"/>
              <w:bottom w:val="single" w:sz="4" w:space="0" w:color="auto"/>
              <w:right w:val="single" w:sz="4" w:space="0" w:color="auto"/>
            </w:tcBorders>
            <w:shd w:val="clear" w:color="auto" w:fill="auto"/>
            <w:noWrap/>
            <w:vAlign w:val="bottom"/>
          </w:tcPr>
          <w:p w14:paraId="369DA12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tcPr>
          <w:p w14:paraId="583CABD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2A9919F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-2.68</w:t>
            </w:r>
          </w:p>
        </w:tc>
        <w:tc>
          <w:tcPr>
            <w:tcW w:w="990" w:type="dxa"/>
            <w:tcBorders>
              <w:top w:val="nil"/>
              <w:left w:val="nil"/>
              <w:bottom w:val="single" w:sz="4" w:space="0" w:color="auto"/>
              <w:right w:val="single" w:sz="4" w:space="0" w:color="auto"/>
            </w:tcBorders>
            <w:shd w:val="clear" w:color="auto" w:fill="auto"/>
            <w:noWrap/>
            <w:vAlign w:val="bottom"/>
          </w:tcPr>
          <w:p w14:paraId="4E850D4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-29.72</w:t>
            </w:r>
          </w:p>
        </w:tc>
        <w:tc>
          <w:tcPr>
            <w:tcW w:w="990" w:type="dxa"/>
            <w:tcBorders>
              <w:top w:val="nil"/>
              <w:left w:val="nil"/>
              <w:bottom w:val="single" w:sz="4" w:space="0" w:color="auto"/>
              <w:right w:val="single" w:sz="4" w:space="0" w:color="auto"/>
            </w:tcBorders>
            <w:shd w:val="clear" w:color="auto" w:fill="auto"/>
            <w:noWrap/>
            <w:vAlign w:val="bottom"/>
          </w:tcPr>
          <w:p w14:paraId="615BA87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145A121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-30.00</w:t>
            </w:r>
          </w:p>
        </w:tc>
        <w:tc>
          <w:tcPr>
            <w:tcW w:w="1156" w:type="dxa"/>
            <w:tcBorders>
              <w:top w:val="nil"/>
              <w:left w:val="nil"/>
              <w:bottom w:val="single" w:sz="4" w:space="0" w:color="auto"/>
              <w:right w:val="single" w:sz="4" w:space="0" w:color="auto"/>
            </w:tcBorders>
            <w:shd w:val="clear" w:color="auto" w:fill="auto"/>
            <w:noWrap/>
            <w:vAlign w:val="bottom"/>
          </w:tcPr>
          <w:p w14:paraId="5E745BF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5D4C7949" w14:textId="77777777" w:rsidTr="00E52AC1">
        <w:trPr>
          <w:trHeight w:val="58"/>
        </w:trPr>
        <w:tc>
          <w:tcPr>
            <w:tcW w:w="4140" w:type="dxa"/>
            <w:tcBorders>
              <w:top w:val="nil"/>
              <w:left w:val="single" w:sz="4" w:space="0" w:color="auto"/>
              <w:bottom w:val="single" w:sz="4" w:space="0" w:color="auto"/>
              <w:right w:val="single" w:sz="4" w:space="0" w:color="auto"/>
            </w:tcBorders>
            <w:shd w:val="clear" w:color="auto" w:fill="auto"/>
            <w:vAlign w:val="bottom"/>
          </w:tcPr>
          <w:p w14:paraId="78650075"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E41028">
              <w:rPr>
                <w:rFonts w:asciiTheme="majorHAnsi" w:eastAsia="Times New Roman" w:hAnsiTheme="majorHAnsi" w:cstheme="majorHAnsi"/>
                <w:b/>
                <w:bCs/>
                <w:color w:val="000000"/>
                <w:sz w:val="18"/>
                <w:szCs w:val="18"/>
              </w:rPr>
              <w:t>Pregătirea proiectelor</w:t>
            </w:r>
          </w:p>
        </w:tc>
        <w:tc>
          <w:tcPr>
            <w:tcW w:w="964" w:type="dxa"/>
            <w:tcBorders>
              <w:top w:val="nil"/>
              <w:left w:val="nil"/>
              <w:bottom w:val="single" w:sz="4" w:space="0" w:color="auto"/>
              <w:right w:val="single" w:sz="4" w:space="0" w:color="auto"/>
            </w:tcBorders>
            <w:shd w:val="clear" w:color="auto" w:fill="auto"/>
            <w:noWrap/>
            <w:vAlign w:val="bottom"/>
          </w:tcPr>
          <w:p w14:paraId="55CF7FDD"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319240</w:t>
            </w:r>
          </w:p>
        </w:tc>
        <w:tc>
          <w:tcPr>
            <w:tcW w:w="1004" w:type="dxa"/>
            <w:tcBorders>
              <w:top w:val="nil"/>
              <w:left w:val="nil"/>
              <w:bottom w:val="single" w:sz="4" w:space="0" w:color="auto"/>
              <w:right w:val="single" w:sz="4" w:space="0" w:color="auto"/>
            </w:tcBorders>
            <w:shd w:val="clear" w:color="auto" w:fill="auto"/>
            <w:noWrap/>
            <w:vAlign w:val="bottom"/>
          </w:tcPr>
          <w:p w14:paraId="146928C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0.12</w:t>
            </w:r>
          </w:p>
        </w:tc>
        <w:tc>
          <w:tcPr>
            <w:tcW w:w="900" w:type="dxa"/>
            <w:tcBorders>
              <w:top w:val="nil"/>
              <w:left w:val="nil"/>
              <w:bottom w:val="single" w:sz="4" w:space="0" w:color="auto"/>
              <w:right w:val="single" w:sz="4" w:space="0" w:color="auto"/>
            </w:tcBorders>
            <w:shd w:val="clear" w:color="auto" w:fill="auto"/>
            <w:noWrap/>
            <w:vAlign w:val="bottom"/>
          </w:tcPr>
          <w:p w14:paraId="214D94C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3850C11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0D0CC82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tcPr>
          <w:p w14:paraId="3E6670F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7B09229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-0.12</w:t>
            </w:r>
          </w:p>
        </w:tc>
        <w:tc>
          <w:tcPr>
            <w:tcW w:w="990" w:type="dxa"/>
            <w:tcBorders>
              <w:top w:val="nil"/>
              <w:left w:val="nil"/>
              <w:bottom w:val="single" w:sz="4" w:space="0" w:color="auto"/>
              <w:right w:val="single" w:sz="4" w:space="0" w:color="auto"/>
            </w:tcBorders>
            <w:shd w:val="clear" w:color="auto" w:fill="auto"/>
            <w:noWrap/>
            <w:vAlign w:val="bottom"/>
          </w:tcPr>
          <w:p w14:paraId="28814A7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0313371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133612A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156" w:type="dxa"/>
            <w:tcBorders>
              <w:top w:val="nil"/>
              <w:left w:val="nil"/>
              <w:bottom w:val="single" w:sz="4" w:space="0" w:color="auto"/>
              <w:right w:val="single" w:sz="4" w:space="0" w:color="auto"/>
            </w:tcBorders>
            <w:shd w:val="clear" w:color="auto" w:fill="auto"/>
            <w:noWrap/>
            <w:vAlign w:val="bottom"/>
          </w:tcPr>
          <w:p w14:paraId="1C755BB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2405FAB2" w14:textId="77777777" w:rsidTr="00E52AC1">
        <w:trPr>
          <w:trHeight w:val="5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59D5BE62"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hideMark/>
          </w:tcPr>
          <w:p w14:paraId="77F59FC6" w14:textId="77777777" w:rsidR="00E52AC1" w:rsidRPr="001C2E9E" w:rsidRDefault="00E52AC1" w:rsidP="00E52AC1">
            <w:pPr>
              <w:spacing w:after="0" w:line="240" w:lineRule="auto"/>
              <w:jc w:val="both"/>
              <w:rPr>
                <w:rFonts w:asciiTheme="majorHAnsi" w:eastAsia="Times New Roman" w:hAnsiTheme="majorHAnsi" w:cstheme="majorHAnsi"/>
                <w:b/>
                <w:i/>
                <w:iCs/>
                <w:color w:val="000000"/>
                <w:sz w:val="18"/>
                <w:szCs w:val="18"/>
              </w:rPr>
            </w:pPr>
            <w:r w:rsidRPr="001C2E9E">
              <w:rPr>
                <w:rFonts w:asciiTheme="majorHAnsi" w:eastAsia="Times New Roman" w:hAnsiTheme="majorHAnsi" w:cstheme="majorHAnsi"/>
                <w:b/>
                <w:i/>
                <w:iCs/>
                <w:color w:val="000000"/>
                <w:sz w:val="18"/>
                <w:szCs w:val="18"/>
              </w:rPr>
              <w:t>331</w:t>
            </w:r>
          </w:p>
        </w:tc>
        <w:tc>
          <w:tcPr>
            <w:tcW w:w="1004" w:type="dxa"/>
            <w:tcBorders>
              <w:top w:val="nil"/>
              <w:left w:val="nil"/>
              <w:bottom w:val="single" w:sz="4" w:space="0" w:color="auto"/>
              <w:right w:val="single" w:sz="4" w:space="0" w:color="auto"/>
            </w:tcBorders>
            <w:shd w:val="clear" w:color="auto" w:fill="auto"/>
            <w:noWrap/>
            <w:vAlign w:val="bottom"/>
            <w:hideMark/>
          </w:tcPr>
          <w:p w14:paraId="24FF5788" w14:textId="77777777" w:rsidR="00E52AC1" w:rsidRPr="001C2E9E" w:rsidRDefault="00E52AC1" w:rsidP="00E52AC1">
            <w:pPr>
              <w:spacing w:after="0" w:line="240" w:lineRule="auto"/>
              <w:jc w:val="center"/>
              <w:rPr>
                <w:rFonts w:asciiTheme="majorHAnsi" w:eastAsia="Times New Roman" w:hAnsiTheme="majorHAnsi" w:cstheme="majorHAnsi"/>
                <w:b/>
                <w:color w:val="000000"/>
                <w:sz w:val="18"/>
                <w:szCs w:val="18"/>
              </w:rPr>
            </w:pPr>
            <w:r w:rsidRPr="001C2E9E">
              <w:rPr>
                <w:rFonts w:asciiTheme="majorHAnsi" w:eastAsia="Times New Roman" w:hAnsiTheme="majorHAnsi" w:cstheme="majorHAnsi"/>
                <w:b/>
                <w:color w:val="000000"/>
                <w:sz w:val="18"/>
                <w:szCs w:val="18"/>
              </w:rPr>
              <w:t>29.42</w:t>
            </w:r>
          </w:p>
        </w:tc>
        <w:tc>
          <w:tcPr>
            <w:tcW w:w="900" w:type="dxa"/>
            <w:tcBorders>
              <w:top w:val="nil"/>
              <w:left w:val="nil"/>
              <w:bottom w:val="single" w:sz="4" w:space="0" w:color="auto"/>
              <w:right w:val="single" w:sz="4" w:space="0" w:color="auto"/>
            </w:tcBorders>
            <w:shd w:val="clear" w:color="auto" w:fill="auto"/>
            <w:noWrap/>
            <w:vAlign w:val="bottom"/>
            <w:hideMark/>
          </w:tcPr>
          <w:p w14:paraId="72CDC5C2" w14:textId="77777777" w:rsidR="00E52AC1" w:rsidRPr="001C2E9E" w:rsidRDefault="00E52AC1" w:rsidP="00E52AC1">
            <w:pPr>
              <w:spacing w:after="0" w:line="240" w:lineRule="auto"/>
              <w:jc w:val="center"/>
              <w:rPr>
                <w:rFonts w:asciiTheme="majorHAnsi" w:eastAsia="Times New Roman" w:hAnsiTheme="majorHAnsi" w:cstheme="majorHAnsi"/>
                <w:b/>
                <w:color w:val="000000"/>
                <w:sz w:val="18"/>
                <w:szCs w:val="18"/>
              </w:rPr>
            </w:pPr>
            <w:r w:rsidRPr="001C2E9E">
              <w:rPr>
                <w:rFonts w:asciiTheme="majorHAnsi" w:eastAsia="Times New Roman" w:hAnsiTheme="majorHAnsi" w:cstheme="majorHAnsi"/>
                <w:b/>
                <w:color w:val="000000"/>
                <w:sz w:val="18"/>
                <w:szCs w:val="18"/>
              </w:rPr>
              <w:t>31.18</w:t>
            </w:r>
          </w:p>
        </w:tc>
        <w:tc>
          <w:tcPr>
            <w:tcW w:w="900" w:type="dxa"/>
            <w:tcBorders>
              <w:top w:val="nil"/>
              <w:left w:val="nil"/>
              <w:bottom w:val="single" w:sz="4" w:space="0" w:color="auto"/>
              <w:right w:val="single" w:sz="4" w:space="0" w:color="auto"/>
            </w:tcBorders>
            <w:shd w:val="clear" w:color="auto" w:fill="auto"/>
            <w:noWrap/>
            <w:vAlign w:val="bottom"/>
            <w:hideMark/>
          </w:tcPr>
          <w:p w14:paraId="5B289D02" w14:textId="77777777" w:rsidR="00E52AC1" w:rsidRPr="001C2E9E" w:rsidRDefault="00E52AC1" w:rsidP="00E52AC1">
            <w:pPr>
              <w:spacing w:after="0" w:line="240" w:lineRule="auto"/>
              <w:jc w:val="center"/>
              <w:rPr>
                <w:rFonts w:asciiTheme="majorHAnsi" w:eastAsia="Times New Roman" w:hAnsiTheme="majorHAnsi" w:cstheme="majorHAnsi"/>
                <w:b/>
                <w:color w:val="000000"/>
                <w:sz w:val="18"/>
                <w:szCs w:val="18"/>
              </w:rPr>
            </w:pPr>
            <w:r w:rsidRPr="001C2E9E">
              <w:rPr>
                <w:rFonts w:asciiTheme="majorHAnsi" w:eastAsia="Times New Roman" w:hAnsiTheme="majorHAnsi" w:cstheme="majorHAnsi"/>
                <w:b/>
                <w:color w:val="000000"/>
                <w:sz w:val="18"/>
                <w:szCs w:val="18"/>
              </w:rPr>
              <w:t>29.24</w:t>
            </w:r>
          </w:p>
        </w:tc>
        <w:tc>
          <w:tcPr>
            <w:tcW w:w="900" w:type="dxa"/>
            <w:tcBorders>
              <w:top w:val="nil"/>
              <w:left w:val="nil"/>
              <w:bottom w:val="single" w:sz="4" w:space="0" w:color="auto"/>
              <w:right w:val="single" w:sz="4" w:space="0" w:color="auto"/>
            </w:tcBorders>
            <w:shd w:val="clear" w:color="auto" w:fill="auto"/>
            <w:noWrap/>
            <w:vAlign w:val="bottom"/>
            <w:hideMark/>
          </w:tcPr>
          <w:p w14:paraId="401C478B" w14:textId="77777777" w:rsidR="00E52AC1" w:rsidRPr="001C2E9E" w:rsidRDefault="00E52AC1" w:rsidP="00E52AC1">
            <w:pPr>
              <w:spacing w:after="0" w:line="240" w:lineRule="auto"/>
              <w:jc w:val="center"/>
              <w:rPr>
                <w:rFonts w:asciiTheme="majorHAnsi" w:eastAsia="Times New Roman" w:hAnsiTheme="majorHAnsi" w:cstheme="majorHAnsi"/>
                <w:b/>
                <w:color w:val="000000"/>
                <w:sz w:val="18"/>
                <w:szCs w:val="18"/>
              </w:rPr>
            </w:pPr>
            <w:r w:rsidRPr="001C2E9E">
              <w:rPr>
                <w:rFonts w:asciiTheme="majorHAnsi" w:eastAsia="Times New Roman" w:hAnsiTheme="majorHAnsi" w:cstheme="majorHAnsi"/>
                <w:b/>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17F175F7" w14:textId="77777777" w:rsidR="00E52AC1" w:rsidRPr="001C2E9E" w:rsidRDefault="00E52AC1" w:rsidP="00E52AC1">
            <w:pPr>
              <w:spacing w:after="0" w:line="240" w:lineRule="auto"/>
              <w:jc w:val="center"/>
              <w:rPr>
                <w:rFonts w:asciiTheme="majorHAnsi" w:eastAsia="Times New Roman" w:hAnsiTheme="majorHAnsi" w:cstheme="majorHAnsi"/>
                <w:b/>
                <w:color w:val="000000"/>
                <w:sz w:val="18"/>
                <w:szCs w:val="18"/>
              </w:rPr>
            </w:pPr>
            <w:r w:rsidRPr="001C2E9E">
              <w:rPr>
                <w:rFonts w:asciiTheme="majorHAnsi" w:eastAsia="Times New Roman" w:hAnsiTheme="majorHAnsi" w:cstheme="majorHAnsi"/>
                <w:b/>
                <w:color w:val="000000"/>
                <w:sz w:val="18"/>
                <w:szCs w:val="18"/>
              </w:rPr>
              <w:t>0.11</w:t>
            </w:r>
          </w:p>
        </w:tc>
        <w:tc>
          <w:tcPr>
            <w:tcW w:w="1080" w:type="dxa"/>
            <w:tcBorders>
              <w:top w:val="nil"/>
              <w:left w:val="nil"/>
              <w:bottom w:val="single" w:sz="4" w:space="0" w:color="auto"/>
              <w:right w:val="single" w:sz="4" w:space="0" w:color="auto"/>
            </w:tcBorders>
            <w:shd w:val="clear" w:color="auto" w:fill="auto"/>
            <w:noWrap/>
            <w:vAlign w:val="bottom"/>
            <w:hideMark/>
          </w:tcPr>
          <w:p w14:paraId="25474FBC" w14:textId="77777777" w:rsidR="00E52AC1" w:rsidRPr="001C2E9E" w:rsidRDefault="00E52AC1" w:rsidP="00E52AC1">
            <w:pPr>
              <w:spacing w:after="0" w:line="240" w:lineRule="auto"/>
              <w:jc w:val="center"/>
              <w:rPr>
                <w:rFonts w:asciiTheme="majorHAnsi" w:eastAsia="Times New Roman" w:hAnsiTheme="majorHAnsi" w:cstheme="majorHAnsi"/>
                <w:b/>
                <w:color w:val="000000"/>
                <w:sz w:val="18"/>
                <w:szCs w:val="18"/>
              </w:rPr>
            </w:pPr>
            <w:r w:rsidRPr="001C2E9E">
              <w:rPr>
                <w:rFonts w:asciiTheme="majorHAnsi" w:eastAsia="Times New Roman" w:hAnsiTheme="majorHAnsi" w:cstheme="majorHAnsi"/>
                <w:b/>
                <w:color w:val="000000"/>
                <w:sz w:val="18"/>
                <w:szCs w:val="18"/>
              </w:rPr>
              <w:t>1.76</w:t>
            </w:r>
          </w:p>
        </w:tc>
        <w:tc>
          <w:tcPr>
            <w:tcW w:w="990" w:type="dxa"/>
            <w:tcBorders>
              <w:top w:val="nil"/>
              <w:left w:val="nil"/>
              <w:bottom w:val="single" w:sz="4" w:space="0" w:color="auto"/>
              <w:right w:val="single" w:sz="4" w:space="0" w:color="auto"/>
            </w:tcBorders>
            <w:shd w:val="clear" w:color="auto" w:fill="auto"/>
            <w:noWrap/>
            <w:vAlign w:val="bottom"/>
            <w:hideMark/>
          </w:tcPr>
          <w:p w14:paraId="3BCAB251" w14:textId="77777777" w:rsidR="00E52AC1" w:rsidRPr="001C2E9E" w:rsidRDefault="00E52AC1" w:rsidP="00E52AC1">
            <w:pPr>
              <w:spacing w:after="0" w:line="240" w:lineRule="auto"/>
              <w:jc w:val="center"/>
              <w:rPr>
                <w:rFonts w:asciiTheme="majorHAnsi" w:eastAsia="Times New Roman" w:hAnsiTheme="majorHAnsi" w:cstheme="majorHAnsi"/>
                <w:b/>
                <w:color w:val="000000"/>
                <w:sz w:val="18"/>
                <w:szCs w:val="18"/>
              </w:rPr>
            </w:pPr>
            <w:r w:rsidRPr="001C2E9E">
              <w:rPr>
                <w:rFonts w:asciiTheme="majorHAnsi" w:eastAsia="Times New Roman" w:hAnsiTheme="majorHAnsi" w:cstheme="majorHAnsi"/>
                <w:b/>
                <w:color w:val="000000"/>
                <w:sz w:val="18"/>
                <w:szCs w:val="18"/>
              </w:rPr>
              <w:t>-1.94</w:t>
            </w:r>
          </w:p>
        </w:tc>
        <w:tc>
          <w:tcPr>
            <w:tcW w:w="990" w:type="dxa"/>
            <w:tcBorders>
              <w:top w:val="nil"/>
              <w:left w:val="nil"/>
              <w:bottom w:val="single" w:sz="4" w:space="0" w:color="auto"/>
              <w:right w:val="single" w:sz="4" w:space="0" w:color="auto"/>
            </w:tcBorders>
            <w:shd w:val="clear" w:color="auto" w:fill="auto"/>
            <w:noWrap/>
            <w:vAlign w:val="bottom"/>
            <w:hideMark/>
          </w:tcPr>
          <w:p w14:paraId="6A27B127" w14:textId="77777777" w:rsidR="00E52AC1" w:rsidRPr="001C2E9E" w:rsidRDefault="00E52AC1" w:rsidP="00E52AC1">
            <w:pPr>
              <w:spacing w:after="0" w:line="240" w:lineRule="auto"/>
              <w:jc w:val="center"/>
              <w:rPr>
                <w:rFonts w:asciiTheme="majorHAnsi" w:eastAsia="Times New Roman" w:hAnsiTheme="majorHAnsi" w:cstheme="majorHAnsi"/>
                <w:b/>
                <w:color w:val="000000"/>
                <w:sz w:val="18"/>
                <w:szCs w:val="18"/>
              </w:rPr>
            </w:pPr>
            <w:r w:rsidRPr="001C2E9E">
              <w:rPr>
                <w:rFonts w:asciiTheme="majorHAnsi" w:eastAsia="Times New Roman" w:hAnsiTheme="majorHAnsi" w:cstheme="majorHAnsi"/>
                <w:b/>
                <w:color w:val="000000"/>
                <w:sz w:val="18"/>
                <w:szCs w:val="18"/>
              </w:rPr>
              <w:t>93.79</w:t>
            </w:r>
          </w:p>
        </w:tc>
        <w:tc>
          <w:tcPr>
            <w:tcW w:w="1080" w:type="dxa"/>
            <w:tcBorders>
              <w:top w:val="nil"/>
              <w:left w:val="nil"/>
              <w:bottom w:val="single" w:sz="4" w:space="0" w:color="auto"/>
              <w:right w:val="single" w:sz="4" w:space="0" w:color="auto"/>
            </w:tcBorders>
            <w:shd w:val="clear" w:color="auto" w:fill="auto"/>
            <w:noWrap/>
            <w:vAlign w:val="bottom"/>
            <w:hideMark/>
          </w:tcPr>
          <w:p w14:paraId="0FC41C4F" w14:textId="77777777" w:rsidR="00E52AC1" w:rsidRPr="001C2E9E" w:rsidRDefault="00E52AC1" w:rsidP="00E52AC1">
            <w:pPr>
              <w:spacing w:after="0" w:line="240" w:lineRule="auto"/>
              <w:jc w:val="center"/>
              <w:rPr>
                <w:rFonts w:asciiTheme="majorHAnsi" w:eastAsia="Times New Roman" w:hAnsiTheme="majorHAnsi" w:cstheme="majorHAnsi"/>
                <w:b/>
                <w:color w:val="000000"/>
                <w:sz w:val="18"/>
                <w:szCs w:val="18"/>
              </w:rPr>
            </w:pPr>
            <w:r w:rsidRPr="001C2E9E">
              <w:rPr>
                <w:rFonts w:asciiTheme="majorHAnsi" w:eastAsia="Times New Roman" w:hAnsiTheme="majorHAnsi" w:cstheme="majorHAnsi"/>
                <w:b/>
                <w:color w:val="000000"/>
                <w:sz w:val="18"/>
                <w:szCs w:val="18"/>
              </w:rPr>
              <w:t>-31.18</w:t>
            </w:r>
          </w:p>
        </w:tc>
        <w:tc>
          <w:tcPr>
            <w:tcW w:w="1156" w:type="dxa"/>
            <w:tcBorders>
              <w:top w:val="nil"/>
              <w:left w:val="nil"/>
              <w:bottom w:val="single" w:sz="4" w:space="0" w:color="auto"/>
              <w:right w:val="single" w:sz="4" w:space="0" w:color="auto"/>
            </w:tcBorders>
            <w:shd w:val="clear" w:color="auto" w:fill="auto"/>
            <w:noWrap/>
            <w:vAlign w:val="bottom"/>
            <w:hideMark/>
          </w:tcPr>
          <w:p w14:paraId="717EAED4" w14:textId="77777777" w:rsidR="00E52AC1" w:rsidRPr="001C2E9E" w:rsidRDefault="00E52AC1" w:rsidP="00E52AC1">
            <w:pPr>
              <w:spacing w:after="0" w:line="240" w:lineRule="auto"/>
              <w:jc w:val="center"/>
              <w:rPr>
                <w:rFonts w:asciiTheme="majorHAnsi" w:eastAsia="Times New Roman" w:hAnsiTheme="majorHAnsi" w:cstheme="majorHAnsi"/>
                <w:b/>
                <w:color w:val="000000"/>
                <w:sz w:val="18"/>
                <w:szCs w:val="18"/>
              </w:rPr>
            </w:pPr>
            <w:r w:rsidRPr="001C2E9E">
              <w:rPr>
                <w:rFonts w:asciiTheme="majorHAnsi" w:eastAsia="Times New Roman" w:hAnsiTheme="majorHAnsi" w:cstheme="majorHAnsi"/>
                <w:b/>
                <w:color w:val="000000"/>
                <w:sz w:val="18"/>
                <w:szCs w:val="18"/>
              </w:rPr>
              <w:t>0.00</w:t>
            </w:r>
          </w:p>
        </w:tc>
      </w:tr>
      <w:tr w:rsidR="00E52AC1" w:rsidRPr="00991DD7" w14:paraId="0DFD6A46" w14:textId="77777777" w:rsidTr="00E52AC1">
        <w:trPr>
          <w:trHeight w:val="116"/>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146F45ED"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Procurarea combustibilului carburanților si lubrifianților</w:t>
            </w:r>
          </w:p>
        </w:tc>
        <w:tc>
          <w:tcPr>
            <w:tcW w:w="964" w:type="dxa"/>
            <w:tcBorders>
              <w:top w:val="nil"/>
              <w:left w:val="nil"/>
              <w:bottom w:val="single" w:sz="4" w:space="0" w:color="auto"/>
              <w:right w:val="single" w:sz="4" w:space="0" w:color="auto"/>
            </w:tcBorders>
            <w:shd w:val="clear" w:color="auto" w:fill="auto"/>
            <w:noWrap/>
            <w:vAlign w:val="bottom"/>
            <w:hideMark/>
          </w:tcPr>
          <w:p w14:paraId="0BDA3E9D"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331110</w:t>
            </w:r>
          </w:p>
        </w:tc>
        <w:tc>
          <w:tcPr>
            <w:tcW w:w="1004" w:type="dxa"/>
            <w:tcBorders>
              <w:top w:val="nil"/>
              <w:left w:val="nil"/>
              <w:bottom w:val="single" w:sz="4" w:space="0" w:color="auto"/>
              <w:right w:val="single" w:sz="4" w:space="0" w:color="auto"/>
            </w:tcBorders>
            <w:shd w:val="clear" w:color="auto" w:fill="auto"/>
            <w:noWrap/>
            <w:vAlign w:val="bottom"/>
            <w:hideMark/>
          </w:tcPr>
          <w:p w14:paraId="4EA0B24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29.42</w:t>
            </w:r>
          </w:p>
        </w:tc>
        <w:tc>
          <w:tcPr>
            <w:tcW w:w="900" w:type="dxa"/>
            <w:tcBorders>
              <w:top w:val="nil"/>
              <w:left w:val="nil"/>
              <w:bottom w:val="single" w:sz="4" w:space="0" w:color="auto"/>
              <w:right w:val="single" w:sz="4" w:space="0" w:color="auto"/>
            </w:tcBorders>
            <w:shd w:val="clear" w:color="auto" w:fill="auto"/>
            <w:noWrap/>
            <w:vAlign w:val="bottom"/>
            <w:hideMark/>
          </w:tcPr>
          <w:p w14:paraId="05E40BD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31.18</w:t>
            </w:r>
          </w:p>
        </w:tc>
        <w:tc>
          <w:tcPr>
            <w:tcW w:w="900" w:type="dxa"/>
            <w:tcBorders>
              <w:top w:val="nil"/>
              <w:left w:val="nil"/>
              <w:bottom w:val="single" w:sz="4" w:space="0" w:color="auto"/>
              <w:right w:val="single" w:sz="4" w:space="0" w:color="auto"/>
            </w:tcBorders>
            <w:shd w:val="clear" w:color="auto" w:fill="auto"/>
            <w:noWrap/>
            <w:vAlign w:val="bottom"/>
            <w:hideMark/>
          </w:tcPr>
          <w:p w14:paraId="18A6D38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29.24</w:t>
            </w:r>
          </w:p>
        </w:tc>
        <w:tc>
          <w:tcPr>
            <w:tcW w:w="900" w:type="dxa"/>
            <w:tcBorders>
              <w:top w:val="nil"/>
              <w:left w:val="nil"/>
              <w:bottom w:val="single" w:sz="4" w:space="0" w:color="auto"/>
              <w:right w:val="single" w:sz="4" w:space="0" w:color="auto"/>
            </w:tcBorders>
            <w:shd w:val="clear" w:color="auto" w:fill="auto"/>
            <w:noWrap/>
            <w:vAlign w:val="bottom"/>
            <w:hideMark/>
          </w:tcPr>
          <w:p w14:paraId="530CCFA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2D86568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0.11</w:t>
            </w:r>
          </w:p>
        </w:tc>
        <w:tc>
          <w:tcPr>
            <w:tcW w:w="1080" w:type="dxa"/>
            <w:tcBorders>
              <w:top w:val="nil"/>
              <w:left w:val="nil"/>
              <w:bottom w:val="single" w:sz="4" w:space="0" w:color="auto"/>
              <w:right w:val="single" w:sz="4" w:space="0" w:color="auto"/>
            </w:tcBorders>
            <w:shd w:val="clear" w:color="auto" w:fill="auto"/>
            <w:noWrap/>
            <w:vAlign w:val="bottom"/>
            <w:hideMark/>
          </w:tcPr>
          <w:p w14:paraId="15B2BA1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1.76</w:t>
            </w:r>
          </w:p>
        </w:tc>
        <w:tc>
          <w:tcPr>
            <w:tcW w:w="990" w:type="dxa"/>
            <w:tcBorders>
              <w:top w:val="nil"/>
              <w:left w:val="nil"/>
              <w:bottom w:val="single" w:sz="4" w:space="0" w:color="auto"/>
              <w:right w:val="single" w:sz="4" w:space="0" w:color="auto"/>
            </w:tcBorders>
            <w:shd w:val="clear" w:color="auto" w:fill="auto"/>
            <w:noWrap/>
            <w:vAlign w:val="bottom"/>
            <w:hideMark/>
          </w:tcPr>
          <w:p w14:paraId="0498A7B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-1.94</w:t>
            </w:r>
          </w:p>
        </w:tc>
        <w:tc>
          <w:tcPr>
            <w:tcW w:w="990" w:type="dxa"/>
            <w:tcBorders>
              <w:top w:val="nil"/>
              <w:left w:val="nil"/>
              <w:bottom w:val="single" w:sz="4" w:space="0" w:color="auto"/>
              <w:right w:val="single" w:sz="4" w:space="0" w:color="auto"/>
            </w:tcBorders>
            <w:shd w:val="clear" w:color="auto" w:fill="auto"/>
            <w:noWrap/>
            <w:vAlign w:val="bottom"/>
            <w:hideMark/>
          </w:tcPr>
          <w:p w14:paraId="6F660DC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93.79</w:t>
            </w:r>
          </w:p>
        </w:tc>
        <w:tc>
          <w:tcPr>
            <w:tcW w:w="1080" w:type="dxa"/>
            <w:tcBorders>
              <w:top w:val="nil"/>
              <w:left w:val="nil"/>
              <w:bottom w:val="single" w:sz="4" w:space="0" w:color="auto"/>
              <w:right w:val="single" w:sz="4" w:space="0" w:color="auto"/>
            </w:tcBorders>
            <w:shd w:val="clear" w:color="auto" w:fill="auto"/>
            <w:noWrap/>
            <w:vAlign w:val="bottom"/>
            <w:hideMark/>
          </w:tcPr>
          <w:p w14:paraId="392AD13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w:t>
            </w:r>
            <w:r>
              <w:rPr>
                <w:rFonts w:asciiTheme="majorHAnsi" w:eastAsia="Times New Roman" w:hAnsiTheme="majorHAnsi" w:cstheme="majorHAnsi"/>
                <w:color w:val="000000"/>
                <w:sz w:val="18"/>
                <w:szCs w:val="18"/>
              </w:rPr>
              <w:t>31.18</w:t>
            </w:r>
          </w:p>
        </w:tc>
        <w:tc>
          <w:tcPr>
            <w:tcW w:w="1156" w:type="dxa"/>
            <w:tcBorders>
              <w:top w:val="nil"/>
              <w:left w:val="nil"/>
              <w:bottom w:val="single" w:sz="4" w:space="0" w:color="auto"/>
              <w:right w:val="single" w:sz="4" w:space="0" w:color="auto"/>
            </w:tcBorders>
            <w:shd w:val="clear" w:color="auto" w:fill="auto"/>
            <w:noWrap/>
            <w:vAlign w:val="bottom"/>
            <w:hideMark/>
          </w:tcPr>
          <w:p w14:paraId="3AA95A6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r>
      <w:tr w:rsidR="00E52AC1" w:rsidRPr="00991DD7" w14:paraId="410A4C14" w14:textId="77777777" w:rsidTr="00E52AC1">
        <w:trPr>
          <w:trHeight w:val="125"/>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4DE2BEE5"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hideMark/>
          </w:tcPr>
          <w:p w14:paraId="0EC22B44" w14:textId="77777777" w:rsidR="00E52AC1" w:rsidRPr="00105469" w:rsidRDefault="00E52AC1" w:rsidP="00E52AC1">
            <w:pPr>
              <w:spacing w:after="0" w:line="240" w:lineRule="auto"/>
              <w:jc w:val="both"/>
              <w:rPr>
                <w:rFonts w:asciiTheme="majorHAnsi" w:eastAsia="Times New Roman" w:hAnsiTheme="majorHAnsi" w:cstheme="majorHAnsi"/>
                <w:b/>
                <w:i/>
                <w:iCs/>
                <w:color w:val="000000"/>
                <w:sz w:val="18"/>
                <w:szCs w:val="18"/>
              </w:rPr>
            </w:pPr>
            <w:r w:rsidRPr="00105469">
              <w:rPr>
                <w:rFonts w:asciiTheme="majorHAnsi" w:eastAsia="Times New Roman" w:hAnsiTheme="majorHAnsi" w:cstheme="majorHAnsi"/>
                <w:b/>
                <w:i/>
                <w:iCs/>
                <w:color w:val="000000"/>
                <w:sz w:val="18"/>
                <w:szCs w:val="18"/>
              </w:rPr>
              <w:t>332</w:t>
            </w:r>
          </w:p>
        </w:tc>
        <w:tc>
          <w:tcPr>
            <w:tcW w:w="1004" w:type="dxa"/>
            <w:tcBorders>
              <w:top w:val="nil"/>
              <w:left w:val="nil"/>
              <w:bottom w:val="single" w:sz="4" w:space="0" w:color="auto"/>
              <w:right w:val="single" w:sz="4" w:space="0" w:color="auto"/>
            </w:tcBorders>
            <w:shd w:val="clear" w:color="auto" w:fill="auto"/>
            <w:noWrap/>
            <w:vAlign w:val="bottom"/>
            <w:hideMark/>
          </w:tcPr>
          <w:p w14:paraId="4A027B89" w14:textId="77777777" w:rsidR="00E52AC1" w:rsidRPr="00105469" w:rsidRDefault="00E52AC1" w:rsidP="00E52AC1">
            <w:pPr>
              <w:spacing w:after="0" w:line="240" w:lineRule="auto"/>
              <w:jc w:val="center"/>
              <w:rPr>
                <w:rFonts w:asciiTheme="majorHAnsi" w:eastAsia="Times New Roman" w:hAnsiTheme="majorHAnsi" w:cstheme="majorHAnsi"/>
                <w:b/>
                <w:color w:val="000000"/>
                <w:sz w:val="18"/>
                <w:szCs w:val="18"/>
              </w:rPr>
            </w:pPr>
            <w:r w:rsidRPr="00105469">
              <w:rPr>
                <w:rFonts w:asciiTheme="majorHAnsi" w:eastAsia="Times New Roman" w:hAnsiTheme="majorHAnsi" w:cstheme="majorHAnsi"/>
                <w:b/>
                <w:color w:val="000000"/>
                <w:sz w:val="18"/>
                <w:szCs w:val="18"/>
              </w:rPr>
              <w:t>24.76</w:t>
            </w:r>
          </w:p>
        </w:tc>
        <w:tc>
          <w:tcPr>
            <w:tcW w:w="900" w:type="dxa"/>
            <w:tcBorders>
              <w:top w:val="nil"/>
              <w:left w:val="nil"/>
              <w:bottom w:val="single" w:sz="4" w:space="0" w:color="auto"/>
              <w:right w:val="single" w:sz="4" w:space="0" w:color="auto"/>
            </w:tcBorders>
            <w:shd w:val="clear" w:color="auto" w:fill="auto"/>
            <w:noWrap/>
            <w:vAlign w:val="bottom"/>
            <w:hideMark/>
          </w:tcPr>
          <w:p w14:paraId="5C4A1A93" w14:textId="77777777" w:rsidR="00E52AC1" w:rsidRPr="00105469" w:rsidRDefault="00E52AC1" w:rsidP="00E52AC1">
            <w:pPr>
              <w:spacing w:after="0" w:line="240" w:lineRule="auto"/>
              <w:jc w:val="center"/>
              <w:rPr>
                <w:rFonts w:asciiTheme="majorHAnsi" w:eastAsia="Times New Roman" w:hAnsiTheme="majorHAnsi" w:cstheme="majorHAnsi"/>
                <w:b/>
                <w:color w:val="000000"/>
                <w:sz w:val="18"/>
                <w:szCs w:val="18"/>
              </w:rPr>
            </w:pPr>
            <w:r w:rsidRPr="00105469">
              <w:rPr>
                <w:rFonts w:asciiTheme="majorHAnsi" w:eastAsia="Times New Roman" w:hAnsiTheme="majorHAnsi" w:cstheme="majorHAnsi"/>
                <w:b/>
                <w:color w:val="000000"/>
                <w:sz w:val="18"/>
                <w:szCs w:val="18"/>
              </w:rPr>
              <w:t>25.99</w:t>
            </w:r>
          </w:p>
        </w:tc>
        <w:tc>
          <w:tcPr>
            <w:tcW w:w="900" w:type="dxa"/>
            <w:tcBorders>
              <w:top w:val="nil"/>
              <w:left w:val="nil"/>
              <w:bottom w:val="single" w:sz="4" w:space="0" w:color="auto"/>
              <w:right w:val="single" w:sz="4" w:space="0" w:color="auto"/>
            </w:tcBorders>
            <w:shd w:val="clear" w:color="auto" w:fill="auto"/>
            <w:noWrap/>
            <w:vAlign w:val="bottom"/>
            <w:hideMark/>
          </w:tcPr>
          <w:p w14:paraId="21EA5125" w14:textId="77777777" w:rsidR="00E52AC1" w:rsidRPr="00105469" w:rsidRDefault="00E52AC1" w:rsidP="00E52AC1">
            <w:pPr>
              <w:spacing w:after="0" w:line="240" w:lineRule="auto"/>
              <w:jc w:val="center"/>
              <w:rPr>
                <w:rFonts w:asciiTheme="majorHAnsi" w:eastAsia="Times New Roman" w:hAnsiTheme="majorHAnsi" w:cstheme="majorHAnsi"/>
                <w:b/>
                <w:color w:val="000000"/>
                <w:sz w:val="18"/>
                <w:szCs w:val="18"/>
              </w:rPr>
            </w:pPr>
            <w:r w:rsidRPr="00105469">
              <w:rPr>
                <w:rFonts w:asciiTheme="majorHAnsi" w:eastAsia="Times New Roman" w:hAnsiTheme="majorHAnsi" w:cstheme="majorHAnsi"/>
                <w:b/>
                <w:color w:val="000000"/>
                <w:sz w:val="18"/>
                <w:szCs w:val="18"/>
              </w:rPr>
              <w:t>10.32</w:t>
            </w:r>
          </w:p>
        </w:tc>
        <w:tc>
          <w:tcPr>
            <w:tcW w:w="900" w:type="dxa"/>
            <w:tcBorders>
              <w:top w:val="nil"/>
              <w:left w:val="nil"/>
              <w:bottom w:val="single" w:sz="4" w:space="0" w:color="auto"/>
              <w:right w:val="single" w:sz="4" w:space="0" w:color="auto"/>
            </w:tcBorders>
            <w:shd w:val="clear" w:color="auto" w:fill="auto"/>
            <w:noWrap/>
            <w:vAlign w:val="bottom"/>
            <w:hideMark/>
          </w:tcPr>
          <w:p w14:paraId="3537C6D1" w14:textId="77777777" w:rsidR="00E52AC1" w:rsidRPr="00105469" w:rsidRDefault="00E52AC1" w:rsidP="00E52AC1">
            <w:pPr>
              <w:spacing w:after="0" w:line="240" w:lineRule="auto"/>
              <w:jc w:val="center"/>
              <w:rPr>
                <w:rFonts w:asciiTheme="majorHAnsi" w:eastAsia="Times New Roman" w:hAnsiTheme="majorHAnsi" w:cstheme="majorHAnsi"/>
                <w:b/>
                <w:color w:val="000000"/>
                <w:sz w:val="18"/>
                <w:szCs w:val="18"/>
              </w:rPr>
            </w:pPr>
            <w:r w:rsidRPr="00105469">
              <w:rPr>
                <w:rFonts w:asciiTheme="majorHAnsi" w:eastAsia="Times New Roman" w:hAnsiTheme="majorHAnsi" w:cstheme="majorHAnsi"/>
                <w:b/>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37D3199E" w14:textId="77777777" w:rsidR="00E52AC1" w:rsidRPr="00105469" w:rsidRDefault="00E52AC1" w:rsidP="00E52AC1">
            <w:pPr>
              <w:spacing w:after="0" w:line="240" w:lineRule="auto"/>
              <w:jc w:val="center"/>
              <w:rPr>
                <w:rFonts w:asciiTheme="majorHAnsi" w:eastAsia="Times New Roman" w:hAnsiTheme="majorHAnsi" w:cstheme="majorHAnsi"/>
                <w:b/>
                <w:color w:val="000000"/>
                <w:sz w:val="18"/>
                <w:szCs w:val="18"/>
              </w:rPr>
            </w:pPr>
            <w:r w:rsidRPr="00105469">
              <w:rPr>
                <w:rFonts w:asciiTheme="majorHAnsi" w:eastAsia="Times New Roman" w:hAnsiTheme="majorHAnsi" w:cstheme="majorHAnsi"/>
                <w:b/>
                <w:color w:val="000000"/>
                <w:sz w:val="18"/>
                <w:szCs w:val="18"/>
              </w:rPr>
              <w:t>0.01</w:t>
            </w:r>
          </w:p>
        </w:tc>
        <w:tc>
          <w:tcPr>
            <w:tcW w:w="1080" w:type="dxa"/>
            <w:tcBorders>
              <w:top w:val="nil"/>
              <w:left w:val="nil"/>
              <w:bottom w:val="single" w:sz="4" w:space="0" w:color="auto"/>
              <w:right w:val="single" w:sz="4" w:space="0" w:color="auto"/>
            </w:tcBorders>
            <w:shd w:val="clear" w:color="auto" w:fill="auto"/>
            <w:noWrap/>
            <w:vAlign w:val="bottom"/>
            <w:hideMark/>
          </w:tcPr>
          <w:p w14:paraId="388A8622" w14:textId="77777777" w:rsidR="00E52AC1" w:rsidRPr="00105469" w:rsidRDefault="00E52AC1" w:rsidP="00E52AC1">
            <w:pPr>
              <w:spacing w:after="0" w:line="240" w:lineRule="auto"/>
              <w:jc w:val="center"/>
              <w:rPr>
                <w:rFonts w:asciiTheme="majorHAnsi" w:eastAsia="Times New Roman" w:hAnsiTheme="majorHAnsi" w:cstheme="majorHAnsi"/>
                <w:b/>
                <w:color w:val="000000"/>
                <w:sz w:val="18"/>
                <w:szCs w:val="18"/>
              </w:rPr>
            </w:pPr>
            <w:r w:rsidRPr="00105469">
              <w:rPr>
                <w:rFonts w:asciiTheme="majorHAnsi" w:eastAsia="Times New Roman" w:hAnsiTheme="majorHAnsi" w:cstheme="majorHAnsi"/>
                <w:b/>
                <w:color w:val="000000"/>
                <w:sz w:val="18"/>
                <w:szCs w:val="18"/>
              </w:rPr>
              <w:t>1.23</w:t>
            </w:r>
          </w:p>
        </w:tc>
        <w:tc>
          <w:tcPr>
            <w:tcW w:w="990" w:type="dxa"/>
            <w:tcBorders>
              <w:top w:val="nil"/>
              <w:left w:val="nil"/>
              <w:bottom w:val="single" w:sz="4" w:space="0" w:color="auto"/>
              <w:right w:val="single" w:sz="4" w:space="0" w:color="auto"/>
            </w:tcBorders>
            <w:shd w:val="clear" w:color="auto" w:fill="auto"/>
            <w:noWrap/>
            <w:vAlign w:val="bottom"/>
            <w:hideMark/>
          </w:tcPr>
          <w:p w14:paraId="3548A7FC" w14:textId="77777777" w:rsidR="00E52AC1" w:rsidRPr="00105469" w:rsidRDefault="00E52AC1" w:rsidP="00E52AC1">
            <w:pPr>
              <w:spacing w:after="0" w:line="240" w:lineRule="auto"/>
              <w:jc w:val="center"/>
              <w:rPr>
                <w:rFonts w:asciiTheme="majorHAnsi" w:eastAsia="Times New Roman" w:hAnsiTheme="majorHAnsi" w:cstheme="majorHAnsi"/>
                <w:b/>
                <w:color w:val="000000"/>
                <w:sz w:val="18"/>
                <w:szCs w:val="18"/>
              </w:rPr>
            </w:pPr>
            <w:r w:rsidRPr="00105469">
              <w:rPr>
                <w:rFonts w:asciiTheme="majorHAnsi" w:eastAsia="Times New Roman" w:hAnsiTheme="majorHAnsi" w:cstheme="majorHAnsi"/>
                <w:b/>
                <w:color w:val="000000"/>
                <w:sz w:val="18"/>
                <w:szCs w:val="18"/>
              </w:rPr>
              <w:t>-15.67</w:t>
            </w:r>
          </w:p>
        </w:tc>
        <w:tc>
          <w:tcPr>
            <w:tcW w:w="990" w:type="dxa"/>
            <w:tcBorders>
              <w:top w:val="nil"/>
              <w:left w:val="nil"/>
              <w:bottom w:val="single" w:sz="4" w:space="0" w:color="auto"/>
              <w:right w:val="single" w:sz="4" w:space="0" w:color="auto"/>
            </w:tcBorders>
            <w:shd w:val="clear" w:color="auto" w:fill="auto"/>
            <w:noWrap/>
            <w:vAlign w:val="bottom"/>
            <w:hideMark/>
          </w:tcPr>
          <w:p w14:paraId="3F613C06" w14:textId="77777777" w:rsidR="00E52AC1" w:rsidRPr="00105469" w:rsidRDefault="00E52AC1" w:rsidP="00E52AC1">
            <w:pPr>
              <w:spacing w:after="0" w:line="240" w:lineRule="auto"/>
              <w:jc w:val="center"/>
              <w:rPr>
                <w:rFonts w:asciiTheme="majorHAnsi" w:eastAsia="Times New Roman" w:hAnsiTheme="majorHAnsi" w:cstheme="majorHAnsi"/>
                <w:b/>
                <w:color w:val="000000"/>
                <w:sz w:val="18"/>
                <w:szCs w:val="18"/>
              </w:rPr>
            </w:pPr>
            <w:r w:rsidRPr="00105469">
              <w:rPr>
                <w:rFonts w:asciiTheme="majorHAnsi" w:eastAsia="Times New Roman" w:hAnsiTheme="majorHAnsi" w:cstheme="majorHAnsi"/>
                <w:b/>
                <w:color w:val="000000"/>
                <w:sz w:val="18"/>
                <w:szCs w:val="18"/>
              </w:rPr>
              <w:t>39.71</w:t>
            </w:r>
          </w:p>
        </w:tc>
        <w:tc>
          <w:tcPr>
            <w:tcW w:w="1080" w:type="dxa"/>
            <w:tcBorders>
              <w:top w:val="nil"/>
              <w:left w:val="nil"/>
              <w:bottom w:val="single" w:sz="4" w:space="0" w:color="auto"/>
              <w:right w:val="single" w:sz="4" w:space="0" w:color="auto"/>
            </w:tcBorders>
            <w:shd w:val="clear" w:color="auto" w:fill="auto"/>
            <w:noWrap/>
            <w:vAlign w:val="bottom"/>
            <w:hideMark/>
          </w:tcPr>
          <w:p w14:paraId="104884FB" w14:textId="77777777" w:rsidR="00E52AC1" w:rsidRPr="00105469" w:rsidRDefault="00E52AC1" w:rsidP="00E52AC1">
            <w:pPr>
              <w:spacing w:after="0" w:line="240" w:lineRule="auto"/>
              <w:jc w:val="center"/>
              <w:rPr>
                <w:rFonts w:asciiTheme="majorHAnsi" w:eastAsia="Times New Roman" w:hAnsiTheme="majorHAnsi" w:cstheme="majorHAnsi"/>
                <w:b/>
                <w:color w:val="000000"/>
                <w:sz w:val="18"/>
                <w:szCs w:val="18"/>
              </w:rPr>
            </w:pPr>
            <w:r w:rsidRPr="00105469">
              <w:rPr>
                <w:rFonts w:asciiTheme="majorHAnsi" w:eastAsia="Times New Roman" w:hAnsiTheme="majorHAnsi" w:cstheme="majorHAnsi"/>
                <w:b/>
                <w:color w:val="000000"/>
                <w:sz w:val="18"/>
                <w:szCs w:val="18"/>
              </w:rPr>
              <w:t>-25.99</w:t>
            </w:r>
          </w:p>
        </w:tc>
        <w:tc>
          <w:tcPr>
            <w:tcW w:w="1156" w:type="dxa"/>
            <w:tcBorders>
              <w:top w:val="nil"/>
              <w:left w:val="nil"/>
              <w:bottom w:val="single" w:sz="4" w:space="0" w:color="auto"/>
              <w:right w:val="single" w:sz="4" w:space="0" w:color="auto"/>
            </w:tcBorders>
            <w:shd w:val="clear" w:color="auto" w:fill="auto"/>
            <w:noWrap/>
            <w:vAlign w:val="bottom"/>
            <w:hideMark/>
          </w:tcPr>
          <w:p w14:paraId="492239A5" w14:textId="77777777" w:rsidR="00E52AC1" w:rsidRPr="00105469" w:rsidRDefault="00E52AC1" w:rsidP="00E52AC1">
            <w:pPr>
              <w:spacing w:after="0" w:line="240" w:lineRule="auto"/>
              <w:jc w:val="center"/>
              <w:rPr>
                <w:rFonts w:asciiTheme="majorHAnsi" w:eastAsia="Times New Roman" w:hAnsiTheme="majorHAnsi" w:cstheme="majorHAnsi"/>
                <w:b/>
                <w:color w:val="000000"/>
                <w:sz w:val="18"/>
                <w:szCs w:val="18"/>
              </w:rPr>
            </w:pPr>
            <w:r w:rsidRPr="00105469">
              <w:rPr>
                <w:rFonts w:asciiTheme="majorHAnsi" w:eastAsia="Times New Roman" w:hAnsiTheme="majorHAnsi" w:cstheme="majorHAnsi"/>
                <w:b/>
                <w:color w:val="000000"/>
                <w:sz w:val="18"/>
                <w:szCs w:val="18"/>
              </w:rPr>
              <w:t>0.00</w:t>
            </w:r>
          </w:p>
        </w:tc>
      </w:tr>
      <w:tr w:rsidR="00E52AC1" w:rsidRPr="00991DD7" w14:paraId="647C68C7" w14:textId="77777777" w:rsidTr="00E52AC1">
        <w:trPr>
          <w:trHeight w:val="251"/>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43156CA3"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Procurarea pieselor de schimb</w:t>
            </w:r>
          </w:p>
        </w:tc>
        <w:tc>
          <w:tcPr>
            <w:tcW w:w="964" w:type="dxa"/>
            <w:tcBorders>
              <w:top w:val="nil"/>
              <w:left w:val="nil"/>
              <w:bottom w:val="single" w:sz="4" w:space="0" w:color="auto"/>
              <w:right w:val="single" w:sz="4" w:space="0" w:color="auto"/>
            </w:tcBorders>
            <w:shd w:val="clear" w:color="auto" w:fill="auto"/>
            <w:noWrap/>
            <w:vAlign w:val="bottom"/>
            <w:hideMark/>
          </w:tcPr>
          <w:p w14:paraId="27F58D19"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332110</w:t>
            </w:r>
          </w:p>
        </w:tc>
        <w:tc>
          <w:tcPr>
            <w:tcW w:w="1004" w:type="dxa"/>
            <w:tcBorders>
              <w:top w:val="nil"/>
              <w:left w:val="nil"/>
              <w:bottom w:val="single" w:sz="4" w:space="0" w:color="auto"/>
              <w:right w:val="single" w:sz="4" w:space="0" w:color="auto"/>
            </w:tcBorders>
            <w:shd w:val="clear" w:color="auto" w:fill="auto"/>
            <w:noWrap/>
            <w:vAlign w:val="bottom"/>
            <w:hideMark/>
          </w:tcPr>
          <w:p w14:paraId="1232B06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24.76</w:t>
            </w:r>
          </w:p>
        </w:tc>
        <w:tc>
          <w:tcPr>
            <w:tcW w:w="900" w:type="dxa"/>
            <w:tcBorders>
              <w:top w:val="nil"/>
              <w:left w:val="nil"/>
              <w:bottom w:val="single" w:sz="4" w:space="0" w:color="auto"/>
              <w:right w:val="single" w:sz="4" w:space="0" w:color="auto"/>
            </w:tcBorders>
            <w:shd w:val="clear" w:color="auto" w:fill="auto"/>
            <w:noWrap/>
            <w:vAlign w:val="bottom"/>
            <w:hideMark/>
          </w:tcPr>
          <w:p w14:paraId="3DA7363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25.99</w:t>
            </w:r>
          </w:p>
        </w:tc>
        <w:tc>
          <w:tcPr>
            <w:tcW w:w="900" w:type="dxa"/>
            <w:tcBorders>
              <w:top w:val="nil"/>
              <w:left w:val="nil"/>
              <w:bottom w:val="single" w:sz="4" w:space="0" w:color="auto"/>
              <w:right w:val="single" w:sz="4" w:space="0" w:color="auto"/>
            </w:tcBorders>
            <w:shd w:val="clear" w:color="auto" w:fill="auto"/>
            <w:noWrap/>
            <w:vAlign w:val="bottom"/>
            <w:hideMark/>
          </w:tcPr>
          <w:p w14:paraId="52D7B60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10.32</w:t>
            </w:r>
          </w:p>
        </w:tc>
        <w:tc>
          <w:tcPr>
            <w:tcW w:w="900" w:type="dxa"/>
            <w:tcBorders>
              <w:top w:val="nil"/>
              <w:left w:val="nil"/>
              <w:bottom w:val="single" w:sz="4" w:space="0" w:color="auto"/>
              <w:right w:val="single" w:sz="4" w:space="0" w:color="auto"/>
            </w:tcBorders>
            <w:shd w:val="clear" w:color="auto" w:fill="auto"/>
            <w:noWrap/>
            <w:vAlign w:val="bottom"/>
            <w:hideMark/>
          </w:tcPr>
          <w:p w14:paraId="386FAA9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2EEF966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0.01</w:t>
            </w:r>
          </w:p>
        </w:tc>
        <w:tc>
          <w:tcPr>
            <w:tcW w:w="1080" w:type="dxa"/>
            <w:tcBorders>
              <w:top w:val="nil"/>
              <w:left w:val="nil"/>
              <w:bottom w:val="single" w:sz="4" w:space="0" w:color="auto"/>
              <w:right w:val="single" w:sz="4" w:space="0" w:color="auto"/>
            </w:tcBorders>
            <w:shd w:val="clear" w:color="auto" w:fill="auto"/>
            <w:noWrap/>
            <w:vAlign w:val="bottom"/>
            <w:hideMark/>
          </w:tcPr>
          <w:p w14:paraId="386AC95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1.23</w:t>
            </w:r>
          </w:p>
        </w:tc>
        <w:tc>
          <w:tcPr>
            <w:tcW w:w="990" w:type="dxa"/>
            <w:tcBorders>
              <w:top w:val="nil"/>
              <w:left w:val="nil"/>
              <w:bottom w:val="single" w:sz="4" w:space="0" w:color="auto"/>
              <w:right w:val="single" w:sz="4" w:space="0" w:color="auto"/>
            </w:tcBorders>
            <w:shd w:val="clear" w:color="auto" w:fill="auto"/>
            <w:noWrap/>
            <w:vAlign w:val="bottom"/>
            <w:hideMark/>
          </w:tcPr>
          <w:p w14:paraId="73B9C33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-15.67</w:t>
            </w:r>
          </w:p>
        </w:tc>
        <w:tc>
          <w:tcPr>
            <w:tcW w:w="990" w:type="dxa"/>
            <w:tcBorders>
              <w:top w:val="nil"/>
              <w:left w:val="nil"/>
              <w:bottom w:val="single" w:sz="4" w:space="0" w:color="auto"/>
              <w:right w:val="single" w:sz="4" w:space="0" w:color="auto"/>
            </w:tcBorders>
            <w:shd w:val="clear" w:color="auto" w:fill="auto"/>
            <w:noWrap/>
            <w:vAlign w:val="bottom"/>
            <w:hideMark/>
          </w:tcPr>
          <w:p w14:paraId="3884492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39.71</w:t>
            </w:r>
          </w:p>
        </w:tc>
        <w:tc>
          <w:tcPr>
            <w:tcW w:w="1080" w:type="dxa"/>
            <w:tcBorders>
              <w:top w:val="nil"/>
              <w:left w:val="nil"/>
              <w:bottom w:val="single" w:sz="4" w:space="0" w:color="auto"/>
              <w:right w:val="single" w:sz="4" w:space="0" w:color="auto"/>
            </w:tcBorders>
            <w:shd w:val="clear" w:color="auto" w:fill="auto"/>
            <w:noWrap/>
            <w:vAlign w:val="bottom"/>
            <w:hideMark/>
          </w:tcPr>
          <w:p w14:paraId="45F6AA4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w:t>
            </w:r>
            <w:r>
              <w:rPr>
                <w:rFonts w:asciiTheme="majorHAnsi" w:eastAsia="Times New Roman" w:hAnsiTheme="majorHAnsi" w:cstheme="majorHAnsi"/>
                <w:color w:val="000000"/>
                <w:sz w:val="18"/>
                <w:szCs w:val="18"/>
              </w:rPr>
              <w:t>25.99</w:t>
            </w:r>
          </w:p>
        </w:tc>
        <w:tc>
          <w:tcPr>
            <w:tcW w:w="1156" w:type="dxa"/>
            <w:tcBorders>
              <w:top w:val="nil"/>
              <w:left w:val="nil"/>
              <w:bottom w:val="single" w:sz="4" w:space="0" w:color="auto"/>
              <w:right w:val="single" w:sz="4" w:space="0" w:color="auto"/>
            </w:tcBorders>
            <w:shd w:val="clear" w:color="auto" w:fill="auto"/>
            <w:noWrap/>
            <w:vAlign w:val="bottom"/>
            <w:hideMark/>
          </w:tcPr>
          <w:p w14:paraId="22EFCC4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r>
      <w:tr w:rsidR="00E52AC1" w:rsidRPr="00991DD7" w14:paraId="0AFCAD03" w14:textId="77777777" w:rsidTr="00E52AC1">
        <w:trPr>
          <w:trHeight w:val="161"/>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13CC81D9"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hideMark/>
          </w:tcPr>
          <w:p w14:paraId="279E165C" w14:textId="77777777" w:rsidR="00E52AC1" w:rsidRPr="00995743" w:rsidRDefault="00E52AC1" w:rsidP="00E52AC1">
            <w:pPr>
              <w:spacing w:after="0" w:line="240" w:lineRule="auto"/>
              <w:jc w:val="both"/>
              <w:rPr>
                <w:rFonts w:asciiTheme="majorHAnsi" w:eastAsia="Times New Roman" w:hAnsiTheme="majorHAnsi" w:cstheme="majorHAnsi"/>
                <w:b/>
                <w:i/>
                <w:iCs/>
                <w:color w:val="000000"/>
                <w:sz w:val="18"/>
                <w:szCs w:val="18"/>
              </w:rPr>
            </w:pPr>
            <w:r w:rsidRPr="00995743">
              <w:rPr>
                <w:rFonts w:asciiTheme="majorHAnsi" w:eastAsia="Times New Roman" w:hAnsiTheme="majorHAnsi" w:cstheme="majorHAnsi"/>
                <w:b/>
                <w:i/>
                <w:iCs/>
                <w:color w:val="000000"/>
                <w:sz w:val="18"/>
                <w:szCs w:val="18"/>
              </w:rPr>
              <w:t>333</w:t>
            </w:r>
          </w:p>
        </w:tc>
        <w:tc>
          <w:tcPr>
            <w:tcW w:w="1004" w:type="dxa"/>
            <w:tcBorders>
              <w:top w:val="nil"/>
              <w:left w:val="nil"/>
              <w:bottom w:val="single" w:sz="4" w:space="0" w:color="auto"/>
              <w:right w:val="single" w:sz="4" w:space="0" w:color="auto"/>
            </w:tcBorders>
            <w:shd w:val="clear" w:color="auto" w:fill="auto"/>
            <w:noWrap/>
            <w:vAlign w:val="bottom"/>
            <w:hideMark/>
          </w:tcPr>
          <w:p w14:paraId="76CC878F" w14:textId="77777777" w:rsidR="00E52AC1" w:rsidRPr="00995743" w:rsidRDefault="00E52AC1" w:rsidP="00E52AC1">
            <w:pPr>
              <w:spacing w:after="0" w:line="240" w:lineRule="auto"/>
              <w:jc w:val="center"/>
              <w:rPr>
                <w:rFonts w:asciiTheme="majorHAnsi" w:eastAsia="Times New Roman" w:hAnsiTheme="majorHAnsi" w:cstheme="majorHAnsi"/>
                <w:b/>
                <w:color w:val="000000"/>
                <w:sz w:val="18"/>
                <w:szCs w:val="18"/>
              </w:rPr>
            </w:pPr>
            <w:r w:rsidRPr="00995743">
              <w:rPr>
                <w:rFonts w:asciiTheme="majorHAnsi" w:eastAsia="Times New Roman" w:hAnsiTheme="majorHAnsi" w:cstheme="majorHAnsi"/>
                <w:b/>
                <w:color w:val="000000"/>
                <w:sz w:val="18"/>
                <w:szCs w:val="18"/>
              </w:rPr>
              <w:t>1.11</w:t>
            </w:r>
          </w:p>
        </w:tc>
        <w:tc>
          <w:tcPr>
            <w:tcW w:w="900" w:type="dxa"/>
            <w:tcBorders>
              <w:top w:val="nil"/>
              <w:left w:val="nil"/>
              <w:bottom w:val="single" w:sz="4" w:space="0" w:color="auto"/>
              <w:right w:val="single" w:sz="4" w:space="0" w:color="auto"/>
            </w:tcBorders>
            <w:shd w:val="clear" w:color="auto" w:fill="auto"/>
            <w:noWrap/>
            <w:vAlign w:val="bottom"/>
            <w:hideMark/>
          </w:tcPr>
          <w:p w14:paraId="1F79655F" w14:textId="77777777" w:rsidR="00E52AC1" w:rsidRPr="00995743" w:rsidRDefault="00E52AC1" w:rsidP="00E52AC1">
            <w:pPr>
              <w:spacing w:after="0" w:line="240" w:lineRule="auto"/>
              <w:jc w:val="center"/>
              <w:rPr>
                <w:rFonts w:asciiTheme="majorHAnsi" w:eastAsia="Times New Roman" w:hAnsiTheme="majorHAnsi" w:cstheme="majorHAnsi"/>
                <w:b/>
                <w:color w:val="000000"/>
                <w:sz w:val="18"/>
                <w:szCs w:val="18"/>
              </w:rPr>
            </w:pPr>
            <w:r w:rsidRPr="00995743">
              <w:rPr>
                <w:rFonts w:asciiTheme="majorHAnsi" w:eastAsia="Times New Roman" w:hAnsiTheme="majorHAnsi" w:cstheme="majorHAnsi"/>
                <w:b/>
                <w:color w:val="000000"/>
                <w:sz w:val="18"/>
                <w:szCs w:val="18"/>
              </w:rPr>
              <w:t>1.14</w:t>
            </w:r>
          </w:p>
        </w:tc>
        <w:tc>
          <w:tcPr>
            <w:tcW w:w="900" w:type="dxa"/>
            <w:tcBorders>
              <w:top w:val="nil"/>
              <w:left w:val="nil"/>
              <w:bottom w:val="single" w:sz="4" w:space="0" w:color="auto"/>
              <w:right w:val="single" w:sz="4" w:space="0" w:color="auto"/>
            </w:tcBorders>
            <w:shd w:val="clear" w:color="auto" w:fill="auto"/>
            <w:noWrap/>
            <w:vAlign w:val="bottom"/>
            <w:hideMark/>
          </w:tcPr>
          <w:p w14:paraId="0F32C10F" w14:textId="77777777" w:rsidR="00E52AC1" w:rsidRPr="00995743" w:rsidRDefault="00E52AC1" w:rsidP="00E52AC1">
            <w:pPr>
              <w:spacing w:after="0" w:line="240" w:lineRule="auto"/>
              <w:jc w:val="center"/>
              <w:rPr>
                <w:rFonts w:asciiTheme="majorHAnsi" w:eastAsia="Times New Roman" w:hAnsiTheme="majorHAnsi" w:cstheme="majorHAnsi"/>
                <w:b/>
                <w:color w:val="000000"/>
                <w:sz w:val="18"/>
                <w:szCs w:val="18"/>
              </w:rPr>
            </w:pPr>
            <w:r w:rsidRPr="00995743">
              <w:rPr>
                <w:rFonts w:asciiTheme="majorHAnsi" w:eastAsia="Times New Roman" w:hAnsiTheme="majorHAnsi" w:cstheme="majorHAnsi"/>
                <w:b/>
                <w:color w:val="000000"/>
                <w:sz w:val="18"/>
                <w:szCs w:val="18"/>
              </w:rPr>
              <w:t>0.69</w:t>
            </w:r>
          </w:p>
        </w:tc>
        <w:tc>
          <w:tcPr>
            <w:tcW w:w="900" w:type="dxa"/>
            <w:tcBorders>
              <w:top w:val="nil"/>
              <w:left w:val="nil"/>
              <w:bottom w:val="single" w:sz="4" w:space="0" w:color="auto"/>
              <w:right w:val="single" w:sz="4" w:space="0" w:color="auto"/>
            </w:tcBorders>
            <w:shd w:val="clear" w:color="auto" w:fill="auto"/>
            <w:noWrap/>
            <w:vAlign w:val="bottom"/>
            <w:hideMark/>
          </w:tcPr>
          <w:p w14:paraId="2925243B" w14:textId="77777777" w:rsidR="00E52AC1" w:rsidRPr="00995743" w:rsidRDefault="00E52AC1" w:rsidP="00E52AC1">
            <w:pPr>
              <w:spacing w:after="0" w:line="240" w:lineRule="auto"/>
              <w:jc w:val="center"/>
              <w:rPr>
                <w:rFonts w:asciiTheme="majorHAnsi" w:eastAsia="Times New Roman" w:hAnsiTheme="majorHAnsi" w:cstheme="majorHAnsi"/>
                <w:b/>
                <w:color w:val="000000"/>
                <w:sz w:val="18"/>
                <w:szCs w:val="18"/>
              </w:rPr>
            </w:pPr>
            <w:r w:rsidRPr="00995743">
              <w:rPr>
                <w:rFonts w:asciiTheme="majorHAnsi" w:eastAsia="Times New Roman" w:hAnsiTheme="majorHAnsi" w:cstheme="majorHAnsi"/>
                <w:b/>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10EBC5BA" w14:textId="77777777" w:rsidR="00E52AC1" w:rsidRPr="00995743" w:rsidRDefault="00E52AC1" w:rsidP="00E52AC1">
            <w:pPr>
              <w:spacing w:after="0" w:line="240" w:lineRule="auto"/>
              <w:jc w:val="center"/>
              <w:rPr>
                <w:rFonts w:asciiTheme="majorHAnsi" w:eastAsia="Times New Roman" w:hAnsiTheme="majorHAnsi" w:cstheme="majorHAnsi"/>
                <w:b/>
                <w:color w:val="000000"/>
                <w:sz w:val="18"/>
                <w:szCs w:val="18"/>
              </w:rPr>
            </w:pPr>
            <w:r w:rsidRPr="00995743">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400D1F53" w14:textId="77777777" w:rsidR="00E52AC1" w:rsidRPr="00995743" w:rsidRDefault="00E52AC1" w:rsidP="00E52AC1">
            <w:pPr>
              <w:spacing w:after="0" w:line="240" w:lineRule="auto"/>
              <w:jc w:val="center"/>
              <w:rPr>
                <w:rFonts w:asciiTheme="majorHAnsi" w:eastAsia="Times New Roman" w:hAnsiTheme="majorHAnsi" w:cstheme="majorHAnsi"/>
                <w:b/>
                <w:color w:val="000000"/>
                <w:sz w:val="18"/>
                <w:szCs w:val="18"/>
              </w:rPr>
            </w:pPr>
            <w:r w:rsidRPr="00995743">
              <w:rPr>
                <w:rFonts w:asciiTheme="majorHAnsi" w:eastAsia="Times New Roman" w:hAnsiTheme="majorHAnsi" w:cstheme="majorHAnsi"/>
                <w:b/>
                <w:color w:val="000000"/>
                <w:sz w:val="18"/>
                <w:szCs w:val="18"/>
              </w:rPr>
              <w:t>0.03</w:t>
            </w:r>
          </w:p>
        </w:tc>
        <w:tc>
          <w:tcPr>
            <w:tcW w:w="990" w:type="dxa"/>
            <w:tcBorders>
              <w:top w:val="nil"/>
              <w:left w:val="nil"/>
              <w:bottom w:val="single" w:sz="4" w:space="0" w:color="auto"/>
              <w:right w:val="single" w:sz="4" w:space="0" w:color="auto"/>
            </w:tcBorders>
            <w:shd w:val="clear" w:color="auto" w:fill="auto"/>
            <w:noWrap/>
            <w:vAlign w:val="bottom"/>
            <w:hideMark/>
          </w:tcPr>
          <w:p w14:paraId="52779A2E" w14:textId="77777777" w:rsidR="00E52AC1" w:rsidRPr="00995743" w:rsidRDefault="00E52AC1" w:rsidP="00E52AC1">
            <w:pPr>
              <w:spacing w:after="0" w:line="240" w:lineRule="auto"/>
              <w:jc w:val="center"/>
              <w:rPr>
                <w:rFonts w:asciiTheme="majorHAnsi" w:eastAsia="Times New Roman" w:hAnsiTheme="majorHAnsi" w:cstheme="majorHAnsi"/>
                <w:b/>
                <w:color w:val="000000"/>
                <w:sz w:val="18"/>
                <w:szCs w:val="18"/>
              </w:rPr>
            </w:pPr>
            <w:r w:rsidRPr="00995743">
              <w:rPr>
                <w:rFonts w:asciiTheme="majorHAnsi" w:eastAsia="Times New Roman" w:hAnsiTheme="majorHAnsi" w:cstheme="majorHAnsi"/>
                <w:b/>
                <w:color w:val="000000"/>
                <w:sz w:val="18"/>
                <w:szCs w:val="18"/>
              </w:rPr>
              <w:t>-0.45</w:t>
            </w:r>
          </w:p>
        </w:tc>
        <w:tc>
          <w:tcPr>
            <w:tcW w:w="990" w:type="dxa"/>
            <w:tcBorders>
              <w:top w:val="nil"/>
              <w:left w:val="nil"/>
              <w:bottom w:val="single" w:sz="4" w:space="0" w:color="auto"/>
              <w:right w:val="single" w:sz="4" w:space="0" w:color="auto"/>
            </w:tcBorders>
            <w:shd w:val="clear" w:color="auto" w:fill="auto"/>
            <w:noWrap/>
            <w:vAlign w:val="bottom"/>
            <w:hideMark/>
          </w:tcPr>
          <w:p w14:paraId="5162A72F" w14:textId="77777777" w:rsidR="00E52AC1" w:rsidRPr="00995743" w:rsidRDefault="00E52AC1" w:rsidP="00E52AC1">
            <w:pPr>
              <w:spacing w:after="0" w:line="240" w:lineRule="auto"/>
              <w:jc w:val="center"/>
              <w:rPr>
                <w:rFonts w:asciiTheme="majorHAnsi" w:eastAsia="Times New Roman" w:hAnsiTheme="majorHAnsi" w:cstheme="majorHAnsi"/>
                <w:b/>
                <w:color w:val="000000"/>
                <w:sz w:val="18"/>
                <w:szCs w:val="18"/>
              </w:rPr>
            </w:pPr>
            <w:r w:rsidRPr="00995743">
              <w:rPr>
                <w:rFonts w:asciiTheme="majorHAnsi" w:eastAsia="Times New Roman" w:hAnsiTheme="majorHAnsi" w:cstheme="majorHAnsi"/>
                <w:b/>
                <w:color w:val="000000"/>
                <w:sz w:val="18"/>
                <w:szCs w:val="18"/>
              </w:rPr>
              <w:t>60.41</w:t>
            </w:r>
          </w:p>
        </w:tc>
        <w:tc>
          <w:tcPr>
            <w:tcW w:w="1080" w:type="dxa"/>
            <w:tcBorders>
              <w:top w:val="nil"/>
              <w:left w:val="nil"/>
              <w:bottom w:val="single" w:sz="4" w:space="0" w:color="auto"/>
              <w:right w:val="single" w:sz="4" w:space="0" w:color="auto"/>
            </w:tcBorders>
            <w:shd w:val="clear" w:color="auto" w:fill="auto"/>
            <w:noWrap/>
            <w:vAlign w:val="bottom"/>
            <w:hideMark/>
          </w:tcPr>
          <w:p w14:paraId="50B4930F" w14:textId="77777777" w:rsidR="00E52AC1" w:rsidRPr="00995743" w:rsidRDefault="00E52AC1" w:rsidP="00E52AC1">
            <w:pPr>
              <w:spacing w:after="0" w:line="240" w:lineRule="auto"/>
              <w:jc w:val="center"/>
              <w:rPr>
                <w:rFonts w:asciiTheme="majorHAnsi" w:eastAsia="Times New Roman" w:hAnsiTheme="majorHAnsi" w:cstheme="majorHAnsi"/>
                <w:b/>
                <w:color w:val="000000"/>
                <w:sz w:val="18"/>
                <w:szCs w:val="18"/>
              </w:rPr>
            </w:pPr>
            <w:r w:rsidRPr="00995743">
              <w:rPr>
                <w:rFonts w:asciiTheme="majorHAnsi" w:eastAsia="Times New Roman" w:hAnsiTheme="majorHAnsi" w:cstheme="majorHAnsi"/>
                <w:b/>
                <w:color w:val="000000"/>
                <w:sz w:val="18"/>
                <w:szCs w:val="18"/>
              </w:rPr>
              <w:t>-1.14</w:t>
            </w:r>
          </w:p>
        </w:tc>
        <w:tc>
          <w:tcPr>
            <w:tcW w:w="1156" w:type="dxa"/>
            <w:tcBorders>
              <w:top w:val="nil"/>
              <w:left w:val="nil"/>
              <w:bottom w:val="single" w:sz="4" w:space="0" w:color="auto"/>
              <w:right w:val="single" w:sz="4" w:space="0" w:color="auto"/>
            </w:tcBorders>
            <w:shd w:val="clear" w:color="auto" w:fill="auto"/>
            <w:noWrap/>
            <w:vAlign w:val="bottom"/>
            <w:hideMark/>
          </w:tcPr>
          <w:p w14:paraId="3A7A9040" w14:textId="77777777" w:rsidR="00E52AC1" w:rsidRPr="00995743" w:rsidRDefault="00E52AC1" w:rsidP="00E52AC1">
            <w:pPr>
              <w:spacing w:after="0" w:line="240" w:lineRule="auto"/>
              <w:jc w:val="center"/>
              <w:rPr>
                <w:rFonts w:asciiTheme="majorHAnsi" w:eastAsia="Times New Roman" w:hAnsiTheme="majorHAnsi" w:cstheme="majorHAnsi"/>
                <w:b/>
                <w:color w:val="000000"/>
                <w:sz w:val="18"/>
                <w:szCs w:val="18"/>
              </w:rPr>
            </w:pPr>
            <w:r w:rsidRPr="00995743">
              <w:rPr>
                <w:rFonts w:asciiTheme="majorHAnsi" w:eastAsia="Times New Roman" w:hAnsiTheme="majorHAnsi" w:cstheme="majorHAnsi"/>
                <w:b/>
                <w:color w:val="000000"/>
                <w:sz w:val="18"/>
                <w:szCs w:val="18"/>
              </w:rPr>
              <w:t>0.00</w:t>
            </w:r>
          </w:p>
        </w:tc>
      </w:tr>
      <w:tr w:rsidR="00E52AC1" w:rsidRPr="00991DD7" w14:paraId="2019DB89" w14:textId="77777777" w:rsidTr="00E52AC1">
        <w:trPr>
          <w:trHeight w:val="125"/>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1A8603B0"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Procurarea produselor alimentare</w:t>
            </w:r>
          </w:p>
        </w:tc>
        <w:tc>
          <w:tcPr>
            <w:tcW w:w="964" w:type="dxa"/>
            <w:tcBorders>
              <w:top w:val="nil"/>
              <w:left w:val="nil"/>
              <w:bottom w:val="single" w:sz="4" w:space="0" w:color="auto"/>
              <w:right w:val="single" w:sz="4" w:space="0" w:color="auto"/>
            </w:tcBorders>
            <w:shd w:val="clear" w:color="auto" w:fill="auto"/>
            <w:noWrap/>
            <w:vAlign w:val="bottom"/>
            <w:hideMark/>
          </w:tcPr>
          <w:p w14:paraId="2248483D"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333110</w:t>
            </w:r>
          </w:p>
        </w:tc>
        <w:tc>
          <w:tcPr>
            <w:tcW w:w="1004" w:type="dxa"/>
            <w:tcBorders>
              <w:top w:val="nil"/>
              <w:left w:val="nil"/>
              <w:bottom w:val="single" w:sz="4" w:space="0" w:color="auto"/>
              <w:right w:val="single" w:sz="4" w:space="0" w:color="auto"/>
            </w:tcBorders>
            <w:shd w:val="clear" w:color="auto" w:fill="auto"/>
            <w:noWrap/>
            <w:vAlign w:val="bottom"/>
            <w:hideMark/>
          </w:tcPr>
          <w:p w14:paraId="4A0802B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1.11</w:t>
            </w:r>
          </w:p>
        </w:tc>
        <w:tc>
          <w:tcPr>
            <w:tcW w:w="900" w:type="dxa"/>
            <w:tcBorders>
              <w:top w:val="nil"/>
              <w:left w:val="nil"/>
              <w:bottom w:val="single" w:sz="4" w:space="0" w:color="auto"/>
              <w:right w:val="single" w:sz="4" w:space="0" w:color="auto"/>
            </w:tcBorders>
            <w:shd w:val="clear" w:color="auto" w:fill="auto"/>
            <w:noWrap/>
            <w:vAlign w:val="bottom"/>
            <w:hideMark/>
          </w:tcPr>
          <w:p w14:paraId="305CBC9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1.14</w:t>
            </w:r>
          </w:p>
        </w:tc>
        <w:tc>
          <w:tcPr>
            <w:tcW w:w="900" w:type="dxa"/>
            <w:tcBorders>
              <w:top w:val="nil"/>
              <w:left w:val="nil"/>
              <w:bottom w:val="single" w:sz="4" w:space="0" w:color="auto"/>
              <w:right w:val="single" w:sz="4" w:space="0" w:color="auto"/>
            </w:tcBorders>
            <w:shd w:val="clear" w:color="auto" w:fill="auto"/>
            <w:noWrap/>
            <w:vAlign w:val="bottom"/>
            <w:hideMark/>
          </w:tcPr>
          <w:p w14:paraId="70BB905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0.69</w:t>
            </w:r>
          </w:p>
        </w:tc>
        <w:tc>
          <w:tcPr>
            <w:tcW w:w="900" w:type="dxa"/>
            <w:tcBorders>
              <w:top w:val="nil"/>
              <w:left w:val="nil"/>
              <w:bottom w:val="single" w:sz="4" w:space="0" w:color="auto"/>
              <w:right w:val="single" w:sz="4" w:space="0" w:color="auto"/>
            </w:tcBorders>
            <w:shd w:val="clear" w:color="auto" w:fill="auto"/>
            <w:noWrap/>
            <w:vAlign w:val="bottom"/>
            <w:hideMark/>
          </w:tcPr>
          <w:p w14:paraId="669E6A1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665915F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02ACE9F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0.03</w:t>
            </w:r>
          </w:p>
        </w:tc>
        <w:tc>
          <w:tcPr>
            <w:tcW w:w="990" w:type="dxa"/>
            <w:tcBorders>
              <w:top w:val="nil"/>
              <w:left w:val="nil"/>
              <w:bottom w:val="single" w:sz="4" w:space="0" w:color="auto"/>
              <w:right w:val="single" w:sz="4" w:space="0" w:color="auto"/>
            </w:tcBorders>
            <w:shd w:val="clear" w:color="auto" w:fill="auto"/>
            <w:noWrap/>
            <w:vAlign w:val="bottom"/>
            <w:hideMark/>
          </w:tcPr>
          <w:p w14:paraId="3E979F6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-0.45</w:t>
            </w:r>
          </w:p>
        </w:tc>
        <w:tc>
          <w:tcPr>
            <w:tcW w:w="990" w:type="dxa"/>
            <w:tcBorders>
              <w:top w:val="nil"/>
              <w:left w:val="nil"/>
              <w:bottom w:val="single" w:sz="4" w:space="0" w:color="auto"/>
              <w:right w:val="single" w:sz="4" w:space="0" w:color="auto"/>
            </w:tcBorders>
            <w:shd w:val="clear" w:color="auto" w:fill="auto"/>
            <w:noWrap/>
            <w:vAlign w:val="bottom"/>
            <w:hideMark/>
          </w:tcPr>
          <w:p w14:paraId="59CA74D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60.41</w:t>
            </w:r>
          </w:p>
        </w:tc>
        <w:tc>
          <w:tcPr>
            <w:tcW w:w="1080" w:type="dxa"/>
            <w:tcBorders>
              <w:top w:val="nil"/>
              <w:left w:val="nil"/>
              <w:bottom w:val="single" w:sz="4" w:space="0" w:color="auto"/>
              <w:right w:val="single" w:sz="4" w:space="0" w:color="auto"/>
            </w:tcBorders>
            <w:shd w:val="clear" w:color="auto" w:fill="auto"/>
            <w:noWrap/>
            <w:vAlign w:val="bottom"/>
            <w:hideMark/>
          </w:tcPr>
          <w:p w14:paraId="46F0CE0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w:t>
            </w:r>
            <w:r>
              <w:rPr>
                <w:rFonts w:asciiTheme="majorHAnsi" w:eastAsia="Times New Roman" w:hAnsiTheme="majorHAnsi" w:cstheme="majorHAnsi"/>
                <w:color w:val="000000"/>
                <w:sz w:val="18"/>
                <w:szCs w:val="18"/>
              </w:rPr>
              <w:t>1.14</w:t>
            </w:r>
          </w:p>
        </w:tc>
        <w:tc>
          <w:tcPr>
            <w:tcW w:w="1156" w:type="dxa"/>
            <w:tcBorders>
              <w:top w:val="nil"/>
              <w:left w:val="nil"/>
              <w:bottom w:val="single" w:sz="4" w:space="0" w:color="auto"/>
              <w:right w:val="single" w:sz="4" w:space="0" w:color="auto"/>
            </w:tcBorders>
            <w:shd w:val="clear" w:color="auto" w:fill="auto"/>
            <w:noWrap/>
            <w:vAlign w:val="bottom"/>
            <w:hideMark/>
          </w:tcPr>
          <w:p w14:paraId="1F1C69F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r>
      <w:tr w:rsidR="00E52AC1" w:rsidRPr="00991DD7" w14:paraId="35EADD05" w14:textId="77777777" w:rsidTr="00E52AC1">
        <w:trPr>
          <w:trHeight w:val="71"/>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1B07D018"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hideMark/>
          </w:tcPr>
          <w:p w14:paraId="15C6DA79" w14:textId="77777777" w:rsidR="00E52AC1" w:rsidRPr="00995743" w:rsidRDefault="00E52AC1" w:rsidP="00E52AC1">
            <w:pPr>
              <w:spacing w:after="0" w:line="240" w:lineRule="auto"/>
              <w:jc w:val="both"/>
              <w:rPr>
                <w:rFonts w:asciiTheme="majorHAnsi" w:eastAsia="Times New Roman" w:hAnsiTheme="majorHAnsi" w:cstheme="majorHAnsi"/>
                <w:b/>
                <w:i/>
                <w:iCs/>
                <w:color w:val="000000"/>
                <w:sz w:val="18"/>
                <w:szCs w:val="18"/>
              </w:rPr>
            </w:pPr>
            <w:r w:rsidRPr="00995743">
              <w:rPr>
                <w:rFonts w:asciiTheme="majorHAnsi" w:eastAsia="Times New Roman" w:hAnsiTheme="majorHAnsi" w:cstheme="majorHAnsi"/>
                <w:b/>
                <w:i/>
                <w:iCs/>
                <w:color w:val="000000"/>
                <w:sz w:val="18"/>
                <w:szCs w:val="18"/>
              </w:rPr>
              <w:t>334</w:t>
            </w:r>
          </w:p>
        </w:tc>
        <w:tc>
          <w:tcPr>
            <w:tcW w:w="1004" w:type="dxa"/>
            <w:tcBorders>
              <w:top w:val="nil"/>
              <w:left w:val="nil"/>
              <w:bottom w:val="single" w:sz="4" w:space="0" w:color="auto"/>
              <w:right w:val="single" w:sz="4" w:space="0" w:color="auto"/>
            </w:tcBorders>
            <w:shd w:val="clear" w:color="auto" w:fill="auto"/>
            <w:noWrap/>
            <w:vAlign w:val="bottom"/>
            <w:hideMark/>
          </w:tcPr>
          <w:p w14:paraId="08B81ED0" w14:textId="77777777" w:rsidR="00E52AC1" w:rsidRPr="00995743" w:rsidRDefault="00E52AC1" w:rsidP="00E52AC1">
            <w:pPr>
              <w:spacing w:after="0" w:line="240" w:lineRule="auto"/>
              <w:jc w:val="center"/>
              <w:rPr>
                <w:rFonts w:asciiTheme="majorHAnsi" w:eastAsia="Times New Roman" w:hAnsiTheme="majorHAnsi" w:cstheme="majorHAnsi"/>
                <w:b/>
                <w:color w:val="000000"/>
                <w:sz w:val="18"/>
                <w:szCs w:val="18"/>
              </w:rPr>
            </w:pPr>
            <w:r w:rsidRPr="00995743">
              <w:rPr>
                <w:rFonts w:asciiTheme="majorHAnsi" w:eastAsia="Times New Roman" w:hAnsiTheme="majorHAnsi" w:cstheme="majorHAnsi"/>
                <w:b/>
                <w:color w:val="000000"/>
                <w:sz w:val="18"/>
                <w:szCs w:val="18"/>
              </w:rPr>
              <w:t>1.04</w:t>
            </w:r>
          </w:p>
        </w:tc>
        <w:tc>
          <w:tcPr>
            <w:tcW w:w="900" w:type="dxa"/>
            <w:tcBorders>
              <w:top w:val="nil"/>
              <w:left w:val="nil"/>
              <w:bottom w:val="single" w:sz="4" w:space="0" w:color="auto"/>
              <w:right w:val="single" w:sz="4" w:space="0" w:color="auto"/>
            </w:tcBorders>
            <w:shd w:val="clear" w:color="auto" w:fill="auto"/>
            <w:noWrap/>
            <w:vAlign w:val="bottom"/>
            <w:hideMark/>
          </w:tcPr>
          <w:p w14:paraId="1A82D6A6" w14:textId="77777777" w:rsidR="00E52AC1" w:rsidRPr="00995743" w:rsidRDefault="00E52AC1" w:rsidP="00E52AC1">
            <w:pPr>
              <w:spacing w:after="0" w:line="240" w:lineRule="auto"/>
              <w:jc w:val="center"/>
              <w:rPr>
                <w:rFonts w:asciiTheme="majorHAnsi" w:eastAsia="Times New Roman" w:hAnsiTheme="majorHAnsi" w:cstheme="majorHAnsi"/>
                <w:b/>
                <w:color w:val="000000"/>
                <w:sz w:val="18"/>
                <w:szCs w:val="18"/>
              </w:rPr>
            </w:pPr>
            <w:r w:rsidRPr="00995743">
              <w:rPr>
                <w:rFonts w:asciiTheme="majorHAnsi" w:eastAsia="Times New Roman" w:hAnsiTheme="majorHAnsi" w:cstheme="majorHAnsi"/>
                <w:b/>
                <w:color w:val="000000"/>
                <w:sz w:val="18"/>
                <w:szCs w:val="18"/>
              </w:rPr>
              <w:t>0.50</w:t>
            </w:r>
          </w:p>
        </w:tc>
        <w:tc>
          <w:tcPr>
            <w:tcW w:w="900" w:type="dxa"/>
            <w:tcBorders>
              <w:top w:val="nil"/>
              <w:left w:val="nil"/>
              <w:bottom w:val="single" w:sz="4" w:space="0" w:color="auto"/>
              <w:right w:val="single" w:sz="4" w:space="0" w:color="auto"/>
            </w:tcBorders>
            <w:shd w:val="clear" w:color="auto" w:fill="auto"/>
            <w:noWrap/>
            <w:vAlign w:val="bottom"/>
            <w:hideMark/>
          </w:tcPr>
          <w:p w14:paraId="287163EA" w14:textId="77777777" w:rsidR="00E52AC1" w:rsidRPr="00995743" w:rsidRDefault="00E52AC1" w:rsidP="00E52AC1">
            <w:pPr>
              <w:spacing w:after="0" w:line="240" w:lineRule="auto"/>
              <w:jc w:val="center"/>
              <w:rPr>
                <w:rFonts w:asciiTheme="majorHAnsi" w:eastAsia="Times New Roman" w:hAnsiTheme="majorHAnsi" w:cstheme="majorHAnsi"/>
                <w:b/>
                <w:color w:val="000000"/>
                <w:sz w:val="18"/>
                <w:szCs w:val="18"/>
              </w:rPr>
            </w:pPr>
            <w:r w:rsidRPr="00995743">
              <w:rPr>
                <w:rFonts w:asciiTheme="majorHAnsi" w:eastAsia="Times New Roman" w:hAnsiTheme="majorHAnsi" w:cstheme="majorHAnsi"/>
                <w:b/>
                <w:color w:val="000000"/>
                <w:sz w:val="18"/>
                <w:szCs w:val="18"/>
              </w:rPr>
              <w:t>0.40</w:t>
            </w:r>
          </w:p>
        </w:tc>
        <w:tc>
          <w:tcPr>
            <w:tcW w:w="900" w:type="dxa"/>
            <w:tcBorders>
              <w:top w:val="nil"/>
              <w:left w:val="nil"/>
              <w:bottom w:val="single" w:sz="4" w:space="0" w:color="auto"/>
              <w:right w:val="single" w:sz="4" w:space="0" w:color="auto"/>
            </w:tcBorders>
            <w:shd w:val="clear" w:color="auto" w:fill="auto"/>
            <w:noWrap/>
            <w:vAlign w:val="bottom"/>
            <w:hideMark/>
          </w:tcPr>
          <w:p w14:paraId="2112D809" w14:textId="77777777" w:rsidR="00E52AC1" w:rsidRPr="00995743" w:rsidRDefault="00E52AC1" w:rsidP="00E52AC1">
            <w:pPr>
              <w:spacing w:after="0" w:line="240" w:lineRule="auto"/>
              <w:jc w:val="center"/>
              <w:rPr>
                <w:rFonts w:asciiTheme="majorHAnsi" w:eastAsia="Times New Roman" w:hAnsiTheme="majorHAnsi" w:cstheme="majorHAnsi"/>
                <w:b/>
                <w:color w:val="000000"/>
                <w:sz w:val="18"/>
                <w:szCs w:val="18"/>
              </w:rPr>
            </w:pPr>
            <w:r w:rsidRPr="00995743">
              <w:rPr>
                <w:rFonts w:asciiTheme="majorHAnsi" w:eastAsia="Times New Roman" w:hAnsiTheme="majorHAnsi" w:cstheme="majorHAnsi"/>
                <w:b/>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6AF68471" w14:textId="77777777" w:rsidR="00E52AC1" w:rsidRPr="00995743" w:rsidRDefault="00E52AC1" w:rsidP="00E52AC1">
            <w:pPr>
              <w:spacing w:after="0" w:line="240" w:lineRule="auto"/>
              <w:jc w:val="center"/>
              <w:rPr>
                <w:rFonts w:asciiTheme="majorHAnsi" w:eastAsia="Times New Roman" w:hAnsiTheme="majorHAnsi" w:cstheme="majorHAnsi"/>
                <w:b/>
                <w:color w:val="000000"/>
                <w:sz w:val="18"/>
                <w:szCs w:val="18"/>
              </w:rPr>
            </w:pPr>
            <w:r w:rsidRPr="00995743">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0E43E594" w14:textId="77777777" w:rsidR="00E52AC1" w:rsidRPr="00995743" w:rsidRDefault="00E52AC1" w:rsidP="00E52AC1">
            <w:pPr>
              <w:spacing w:after="0" w:line="240" w:lineRule="auto"/>
              <w:jc w:val="center"/>
              <w:rPr>
                <w:rFonts w:asciiTheme="majorHAnsi" w:eastAsia="Times New Roman" w:hAnsiTheme="majorHAnsi" w:cstheme="majorHAnsi"/>
                <w:b/>
                <w:color w:val="000000"/>
                <w:sz w:val="18"/>
                <w:szCs w:val="18"/>
              </w:rPr>
            </w:pPr>
            <w:r w:rsidRPr="00995743">
              <w:rPr>
                <w:rFonts w:asciiTheme="majorHAnsi" w:eastAsia="Times New Roman" w:hAnsiTheme="majorHAnsi" w:cstheme="majorHAnsi"/>
                <w:b/>
                <w:color w:val="000000"/>
                <w:sz w:val="18"/>
                <w:szCs w:val="18"/>
              </w:rPr>
              <w:t>-0.54</w:t>
            </w:r>
          </w:p>
        </w:tc>
        <w:tc>
          <w:tcPr>
            <w:tcW w:w="990" w:type="dxa"/>
            <w:tcBorders>
              <w:top w:val="nil"/>
              <w:left w:val="nil"/>
              <w:bottom w:val="single" w:sz="4" w:space="0" w:color="auto"/>
              <w:right w:val="single" w:sz="4" w:space="0" w:color="auto"/>
            </w:tcBorders>
            <w:shd w:val="clear" w:color="auto" w:fill="auto"/>
            <w:noWrap/>
            <w:vAlign w:val="bottom"/>
            <w:hideMark/>
          </w:tcPr>
          <w:p w14:paraId="5DCB226D" w14:textId="77777777" w:rsidR="00E52AC1" w:rsidRPr="00995743" w:rsidRDefault="00E52AC1" w:rsidP="00E52AC1">
            <w:pPr>
              <w:spacing w:after="0" w:line="240" w:lineRule="auto"/>
              <w:jc w:val="center"/>
              <w:rPr>
                <w:rFonts w:asciiTheme="majorHAnsi" w:eastAsia="Times New Roman" w:hAnsiTheme="majorHAnsi" w:cstheme="majorHAnsi"/>
                <w:b/>
                <w:color w:val="000000"/>
                <w:sz w:val="18"/>
                <w:szCs w:val="18"/>
              </w:rPr>
            </w:pPr>
            <w:r w:rsidRPr="00995743">
              <w:rPr>
                <w:rFonts w:asciiTheme="majorHAnsi" w:eastAsia="Times New Roman" w:hAnsiTheme="majorHAnsi" w:cstheme="majorHAnsi"/>
                <w:b/>
                <w:color w:val="000000"/>
                <w:sz w:val="18"/>
                <w:szCs w:val="18"/>
              </w:rPr>
              <w:t>-0.10</w:t>
            </w:r>
          </w:p>
        </w:tc>
        <w:tc>
          <w:tcPr>
            <w:tcW w:w="990" w:type="dxa"/>
            <w:tcBorders>
              <w:top w:val="nil"/>
              <w:left w:val="nil"/>
              <w:bottom w:val="single" w:sz="4" w:space="0" w:color="auto"/>
              <w:right w:val="single" w:sz="4" w:space="0" w:color="auto"/>
            </w:tcBorders>
            <w:shd w:val="clear" w:color="auto" w:fill="auto"/>
            <w:noWrap/>
            <w:vAlign w:val="bottom"/>
            <w:hideMark/>
          </w:tcPr>
          <w:p w14:paraId="54F48A43" w14:textId="77777777" w:rsidR="00E52AC1" w:rsidRPr="00995743" w:rsidRDefault="00E52AC1" w:rsidP="00E52AC1">
            <w:pPr>
              <w:spacing w:after="0" w:line="240" w:lineRule="auto"/>
              <w:jc w:val="center"/>
              <w:rPr>
                <w:rFonts w:asciiTheme="majorHAnsi" w:eastAsia="Times New Roman" w:hAnsiTheme="majorHAnsi" w:cstheme="majorHAnsi"/>
                <w:b/>
                <w:color w:val="000000"/>
                <w:sz w:val="18"/>
                <w:szCs w:val="18"/>
              </w:rPr>
            </w:pPr>
            <w:r w:rsidRPr="00995743">
              <w:rPr>
                <w:rFonts w:asciiTheme="majorHAnsi" w:eastAsia="Times New Roman" w:hAnsiTheme="majorHAnsi" w:cstheme="majorHAnsi"/>
                <w:b/>
                <w:color w:val="000000"/>
                <w:sz w:val="18"/>
                <w:szCs w:val="18"/>
              </w:rPr>
              <w:t>80.01</w:t>
            </w:r>
          </w:p>
        </w:tc>
        <w:tc>
          <w:tcPr>
            <w:tcW w:w="1080" w:type="dxa"/>
            <w:tcBorders>
              <w:top w:val="nil"/>
              <w:left w:val="nil"/>
              <w:bottom w:val="single" w:sz="4" w:space="0" w:color="auto"/>
              <w:right w:val="single" w:sz="4" w:space="0" w:color="auto"/>
            </w:tcBorders>
            <w:shd w:val="clear" w:color="auto" w:fill="auto"/>
            <w:noWrap/>
            <w:vAlign w:val="bottom"/>
            <w:hideMark/>
          </w:tcPr>
          <w:p w14:paraId="4468FDF0" w14:textId="77777777" w:rsidR="00E52AC1" w:rsidRPr="00995743" w:rsidRDefault="00E52AC1" w:rsidP="00E52AC1">
            <w:pPr>
              <w:spacing w:after="0" w:line="240" w:lineRule="auto"/>
              <w:jc w:val="center"/>
              <w:rPr>
                <w:rFonts w:asciiTheme="majorHAnsi" w:eastAsia="Times New Roman" w:hAnsiTheme="majorHAnsi" w:cstheme="majorHAnsi"/>
                <w:b/>
                <w:color w:val="000000"/>
                <w:sz w:val="18"/>
                <w:szCs w:val="18"/>
              </w:rPr>
            </w:pPr>
            <w:r w:rsidRPr="00995743">
              <w:rPr>
                <w:rFonts w:asciiTheme="majorHAnsi" w:eastAsia="Times New Roman" w:hAnsiTheme="majorHAnsi" w:cstheme="majorHAnsi"/>
                <w:b/>
                <w:color w:val="000000"/>
                <w:sz w:val="18"/>
                <w:szCs w:val="18"/>
              </w:rPr>
              <w:t>-0.50</w:t>
            </w:r>
          </w:p>
        </w:tc>
        <w:tc>
          <w:tcPr>
            <w:tcW w:w="1156" w:type="dxa"/>
            <w:tcBorders>
              <w:top w:val="nil"/>
              <w:left w:val="nil"/>
              <w:bottom w:val="single" w:sz="4" w:space="0" w:color="auto"/>
              <w:right w:val="single" w:sz="4" w:space="0" w:color="auto"/>
            </w:tcBorders>
            <w:shd w:val="clear" w:color="auto" w:fill="auto"/>
            <w:noWrap/>
            <w:vAlign w:val="bottom"/>
            <w:hideMark/>
          </w:tcPr>
          <w:p w14:paraId="0AE2B29D" w14:textId="77777777" w:rsidR="00E52AC1" w:rsidRPr="00995743" w:rsidRDefault="00E52AC1" w:rsidP="00E52AC1">
            <w:pPr>
              <w:spacing w:after="0" w:line="240" w:lineRule="auto"/>
              <w:jc w:val="center"/>
              <w:rPr>
                <w:rFonts w:asciiTheme="majorHAnsi" w:eastAsia="Times New Roman" w:hAnsiTheme="majorHAnsi" w:cstheme="majorHAnsi"/>
                <w:b/>
                <w:color w:val="000000"/>
                <w:sz w:val="18"/>
                <w:szCs w:val="18"/>
              </w:rPr>
            </w:pPr>
            <w:r w:rsidRPr="00995743">
              <w:rPr>
                <w:rFonts w:asciiTheme="majorHAnsi" w:eastAsia="Times New Roman" w:hAnsiTheme="majorHAnsi" w:cstheme="majorHAnsi"/>
                <w:b/>
                <w:color w:val="000000"/>
                <w:sz w:val="18"/>
                <w:szCs w:val="18"/>
              </w:rPr>
              <w:t>0.00</w:t>
            </w:r>
          </w:p>
        </w:tc>
      </w:tr>
      <w:tr w:rsidR="00E52AC1" w:rsidRPr="00991DD7" w14:paraId="1817CCB7" w14:textId="77777777" w:rsidTr="00E52AC1">
        <w:trPr>
          <w:trHeight w:val="206"/>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0E2DD433"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Procurarea medicamentelor si materialelor sanitare</w:t>
            </w:r>
          </w:p>
        </w:tc>
        <w:tc>
          <w:tcPr>
            <w:tcW w:w="964" w:type="dxa"/>
            <w:tcBorders>
              <w:top w:val="nil"/>
              <w:left w:val="nil"/>
              <w:bottom w:val="single" w:sz="4" w:space="0" w:color="auto"/>
              <w:right w:val="single" w:sz="4" w:space="0" w:color="auto"/>
            </w:tcBorders>
            <w:shd w:val="clear" w:color="auto" w:fill="auto"/>
            <w:noWrap/>
            <w:vAlign w:val="bottom"/>
            <w:hideMark/>
          </w:tcPr>
          <w:p w14:paraId="0F3251AB"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334110</w:t>
            </w:r>
          </w:p>
        </w:tc>
        <w:tc>
          <w:tcPr>
            <w:tcW w:w="1004" w:type="dxa"/>
            <w:tcBorders>
              <w:top w:val="nil"/>
              <w:left w:val="nil"/>
              <w:bottom w:val="single" w:sz="4" w:space="0" w:color="auto"/>
              <w:right w:val="single" w:sz="4" w:space="0" w:color="auto"/>
            </w:tcBorders>
            <w:shd w:val="clear" w:color="auto" w:fill="auto"/>
            <w:noWrap/>
            <w:vAlign w:val="bottom"/>
            <w:hideMark/>
          </w:tcPr>
          <w:p w14:paraId="1873B5E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1.04</w:t>
            </w:r>
          </w:p>
        </w:tc>
        <w:tc>
          <w:tcPr>
            <w:tcW w:w="900" w:type="dxa"/>
            <w:tcBorders>
              <w:top w:val="nil"/>
              <w:left w:val="nil"/>
              <w:bottom w:val="single" w:sz="4" w:space="0" w:color="auto"/>
              <w:right w:val="single" w:sz="4" w:space="0" w:color="auto"/>
            </w:tcBorders>
            <w:shd w:val="clear" w:color="auto" w:fill="auto"/>
            <w:noWrap/>
            <w:vAlign w:val="bottom"/>
            <w:hideMark/>
          </w:tcPr>
          <w:p w14:paraId="2A1571C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0.50</w:t>
            </w:r>
          </w:p>
        </w:tc>
        <w:tc>
          <w:tcPr>
            <w:tcW w:w="900" w:type="dxa"/>
            <w:tcBorders>
              <w:top w:val="nil"/>
              <w:left w:val="nil"/>
              <w:bottom w:val="single" w:sz="4" w:space="0" w:color="auto"/>
              <w:right w:val="single" w:sz="4" w:space="0" w:color="auto"/>
            </w:tcBorders>
            <w:shd w:val="clear" w:color="auto" w:fill="auto"/>
            <w:noWrap/>
            <w:vAlign w:val="bottom"/>
            <w:hideMark/>
          </w:tcPr>
          <w:p w14:paraId="13B993A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0.40</w:t>
            </w:r>
          </w:p>
        </w:tc>
        <w:tc>
          <w:tcPr>
            <w:tcW w:w="900" w:type="dxa"/>
            <w:tcBorders>
              <w:top w:val="nil"/>
              <w:left w:val="nil"/>
              <w:bottom w:val="single" w:sz="4" w:space="0" w:color="auto"/>
              <w:right w:val="single" w:sz="4" w:space="0" w:color="auto"/>
            </w:tcBorders>
            <w:shd w:val="clear" w:color="auto" w:fill="auto"/>
            <w:noWrap/>
            <w:vAlign w:val="bottom"/>
            <w:hideMark/>
          </w:tcPr>
          <w:p w14:paraId="5161B99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2D19CCD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51D43F0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-0.54</w:t>
            </w:r>
          </w:p>
        </w:tc>
        <w:tc>
          <w:tcPr>
            <w:tcW w:w="990" w:type="dxa"/>
            <w:tcBorders>
              <w:top w:val="nil"/>
              <w:left w:val="nil"/>
              <w:bottom w:val="single" w:sz="4" w:space="0" w:color="auto"/>
              <w:right w:val="single" w:sz="4" w:space="0" w:color="auto"/>
            </w:tcBorders>
            <w:shd w:val="clear" w:color="auto" w:fill="auto"/>
            <w:noWrap/>
            <w:vAlign w:val="bottom"/>
            <w:hideMark/>
          </w:tcPr>
          <w:p w14:paraId="5682D11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-0.10</w:t>
            </w:r>
          </w:p>
        </w:tc>
        <w:tc>
          <w:tcPr>
            <w:tcW w:w="990" w:type="dxa"/>
            <w:tcBorders>
              <w:top w:val="nil"/>
              <w:left w:val="nil"/>
              <w:bottom w:val="single" w:sz="4" w:space="0" w:color="auto"/>
              <w:right w:val="single" w:sz="4" w:space="0" w:color="auto"/>
            </w:tcBorders>
            <w:shd w:val="clear" w:color="auto" w:fill="auto"/>
            <w:noWrap/>
            <w:vAlign w:val="bottom"/>
            <w:hideMark/>
          </w:tcPr>
          <w:p w14:paraId="739C98F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80.01</w:t>
            </w:r>
          </w:p>
        </w:tc>
        <w:tc>
          <w:tcPr>
            <w:tcW w:w="1080" w:type="dxa"/>
            <w:tcBorders>
              <w:top w:val="nil"/>
              <w:left w:val="nil"/>
              <w:bottom w:val="single" w:sz="4" w:space="0" w:color="auto"/>
              <w:right w:val="single" w:sz="4" w:space="0" w:color="auto"/>
            </w:tcBorders>
            <w:shd w:val="clear" w:color="auto" w:fill="auto"/>
            <w:noWrap/>
            <w:vAlign w:val="bottom"/>
            <w:hideMark/>
          </w:tcPr>
          <w:p w14:paraId="59A49F8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-0.50</w:t>
            </w:r>
          </w:p>
        </w:tc>
        <w:tc>
          <w:tcPr>
            <w:tcW w:w="1156" w:type="dxa"/>
            <w:tcBorders>
              <w:top w:val="nil"/>
              <w:left w:val="nil"/>
              <w:bottom w:val="single" w:sz="4" w:space="0" w:color="auto"/>
              <w:right w:val="single" w:sz="4" w:space="0" w:color="auto"/>
            </w:tcBorders>
            <w:shd w:val="clear" w:color="auto" w:fill="auto"/>
            <w:noWrap/>
            <w:vAlign w:val="bottom"/>
            <w:hideMark/>
          </w:tcPr>
          <w:p w14:paraId="1B89FF6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r>
      <w:tr w:rsidR="00E52AC1" w:rsidRPr="00991DD7" w14:paraId="0831454A" w14:textId="77777777" w:rsidTr="00E52AC1">
        <w:trPr>
          <w:trHeight w:val="206"/>
        </w:trPr>
        <w:tc>
          <w:tcPr>
            <w:tcW w:w="4140" w:type="dxa"/>
            <w:tcBorders>
              <w:top w:val="nil"/>
              <w:left w:val="single" w:sz="4" w:space="0" w:color="auto"/>
              <w:bottom w:val="single" w:sz="4" w:space="0" w:color="auto"/>
              <w:right w:val="single" w:sz="4" w:space="0" w:color="auto"/>
            </w:tcBorders>
            <w:shd w:val="clear" w:color="auto" w:fill="auto"/>
            <w:vAlign w:val="bottom"/>
          </w:tcPr>
          <w:p w14:paraId="64154818"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tcPr>
          <w:p w14:paraId="1F7BA2BA" w14:textId="77777777" w:rsidR="00E52AC1" w:rsidRPr="004753F6" w:rsidRDefault="00E52AC1" w:rsidP="00E52AC1">
            <w:pPr>
              <w:spacing w:after="0" w:line="240" w:lineRule="auto"/>
              <w:jc w:val="both"/>
              <w:rPr>
                <w:rFonts w:asciiTheme="majorHAnsi" w:eastAsia="Times New Roman" w:hAnsiTheme="majorHAnsi" w:cstheme="majorHAnsi"/>
                <w:b/>
                <w:i/>
                <w:iCs/>
                <w:color w:val="000000"/>
                <w:sz w:val="18"/>
                <w:szCs w:val="18"/>
              </w:rPr>
            </w:pPr>
            <w:r w:rsidRPr="004753F6">
              <w:rPr>
                <w:rFonts w:asciiTheme="majorHAnsi" w:eastAsia="Times New Roman" w:hAnsiTheme="majorHAnsi" w:cstheme="majorHAnsi"/>
                <w:b/>
                <w:i/>
                <w:iCs/>
                <w:color w:val="000000"/>
                <w:sz w:val="18"/>
                <w:szCs w:val="18"/>
              </w:rPr>
              <w:t>335</w:t>
            </w:r>
          </w:p>
        </w:tc>
        <w:tc>
          <w:tcPr>
            <w:tcW w:w="1004" w:type="dxa"/>
            <w:tcBorders>
              <w:top w:val="nil"/>
              <w:left w:val="nil"/>
              <w:bottom w:val="single" w:sz="4" w:space="0" w:color="auto"/>
              <w:right w:val="single" w:sz="4" w:space="0" w:color="auto"/>
            </w:tcBorders>
            <w:shd w:val="clear" w:color="auto" w:fill="auto"/>
            <w:noWrap/>
            <w:vAlign w:val="bottom"/>
          </w:tcPr>
          <w:p w14:paraId="651E8386" w14:textId="77777777" w:rsidR="00E52AC1" w:rsidRPr="004753F6" w:rsidRDefault="00E52AC1" w:rsidP="00E52AC1">
            <w:pPr>
              <w:spacing w:after="0" w:line="240" w:lineRule="auto"/>
              <w:jc w:val="center"/>
              <w:rPr>
                <w:rFonts w:asciiTheme="majorHAnsi" w:eastAsia="Times New Roman" w:hAnsiTheme="majorHAnsi" w:cstheme="majorHAnsi"/>
                <w:b/>
                <w:color w:val="000000"/>
                <w:sz w:val="18"/>
                <w:szCs w:val="18"/>
              </w:rPr>
            </w:pPr>
            <w:r w:rsidRPr="004753F6">
              <w:rPr>
                <w:rFonts w:asciiTheme="majorHAnsi" w:eastAsia="Times New Roman" w:hAnsiTheme="majorHAnsi" w:cstheme="majorHAnsi"/>
                <w:b/>
                <w:color w:val="000000"/>
                <w:sz w:val="18"/>
                <w:szCs w:val="18"/>
              </w:rPr>
              <w:t>0.004</w:t>
            </w:r>
          </w:p>
        </w:tc>
        <w:tc>
          <w:tcPr>
            <w:tcW w:w="900" w:type="dxa"/>
            <w:tcBorders>
              <w:top w:val="nil"/>
              <w:left w:val="nil"/>
              <w:bottom w:val="single" w:sz="4" w:space="0" w:color="auto"/>
              <w:right w:val="single" w:sz="4" w:space="0" w:color="auto"/>
            </w:tcBorders>
            <w:shd w:val="clear" w:color="auto" w:fill="auto"/>
            <w:noWrap/>
            <w:vAlign w:val="bottom"/>
          </w:tcPr>
          <w:p w14:paraId="5EA8903B" w14:textId="77777777" w:rsidR="00E52AC1" w:rsidRPr="004753F6" w:rsidRDefault="00E52AC1" w:rsidP="00E52AC1">
            <w:pPr>
              <w:spacing w:after="0" w:line="240" w:lineRule="auto"/>
              <w:jc w:val="center"/>
              <w:rPr>
                <w:rFonts w:asciiTheme="majorHAnsi" w:eastAsia="Times New Roman" w:hAnsiTheme="majorHAnsi" w:cstheme="majorHAnsi"/>
                <w:b/>
                <w:color w:val="000000"/>
                <w:sz w:val="18"/>
                <w:szCs w:val="18"/>
              </w:rPr>
            </w:pPr>
            <w:r w:rsidRPr="004753F6">
              <w:rPr>
                <w:rFonts w:asciiTheme="majorHAnsi" w:eastAsia="Times New Roman" w:hAnsiTheme="majorHAnsi" w:cstheme="majorHAnsi"/>
                <w:b/>
                <w:color w:val="000000"/>
                <w:sz w:val="18"/>
                <w:szCs w:val="18"/>
              </w:rPr>
              <w:t>0.004</w:t>
            </w:r>
          </w:p>
        </w:tc>
        <w:tc>
          <w:tcPr>
            <w:tcW w:w="900" w:type="dxa"/>
            <w:tcBorders>
              <w:top w:val="nil"/>
              <w:left w:val="nil"/>
              <w:bottom w:val="single" w:sz="4" w:space="0" w:color="auto"/>
              <w:right w:val="single" w:sz="4" w:space="0" w:color="auto"/>
            </w:tcBorders>
            <w:shd w:val="clear" w:color="auto" w:fill="auto"/>
            <w:noWrap/>
            <w:vAlign w:val="bottom"/>
          </w:tcPr>
          <w:p w14:paraId="03B21E80" w14:textId="77777777" w:rsidR="00E52AC1" w:rsidRPr="004753F6" w:rsidRDefault="00E52AC1" w:rsidP="00E52AC1">
            <w:pPr>
              <w:spacing w:after="0" w:line="240" w:lineRule="auto"/>
              <w:jc w:val="center"/>
              <w:rPr>
                <w:rFonts w:asciiTheme="majorHAnsi" w:eastAsia="Times New Roman" w:hAnsiTheme="majorHAnsi" w:cstheme="majorHAnsi"/>
                <w:b/>
                <w:color w:val="000000"/>
                <w:sz w:val="18"/>
                <w:szCs w:val="18"/>
              </w:rPr>
            </w:pPr>
            <w:r w:rsidRPr="004753F6">
              <w:rPr>
                <w:rFonts w:asciiTheme="majorHAnsi" w:eastAsia="Times New Roman" w:hAnsiTheme="majorHAnsi" w:cstheme="majorHAnsi"/>
                <w:b/>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6348B9AA" w14:textId="77777777" w:rsidR="00E52AC1" w:rsidRPr="004753F6" w:rsidRDefault="00E52AC1" w:rsidP="00E52AC1">
            <w:pPr>
              <w:spacing w:after="0" w:line="240" w:lineRule="auto"/>
              <w:jc w:val="center"/>
              <w:rPr>
                <w:rFonts w:asciiTheme="majorHAnsi" w:eastAsia="Times New Roman" w:hAnsiTheme="majorHAnsi" w:cstheme="majorHAnsi"/>
                <w:b/>
                <w:color w:val="000000"/>
                <w:sz w:val="18"/>
                <w:szCs w:val="18"/>
              </w:rPr>
            </w:pPr>
            <w:r w:rsidRPr="004753F6">
              <w:rPr>
                <w:rFonts w:asciiTheme="majorHAnsi" w:eastAsia="Times New Roman" w:hAnsiTheme="majorHAnsi" w:cstheme="majorHAnsi"/>
                <w:b/>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tcPr>
          <w:p w14:paraId="78078C31" w14:textId="77777777" w:rsidR="00E52AC1" w:rsidRPr="004753F6" w:rsidRDefault="00E52AC1" w:rsidP="00E52AC1">
            <w:pPr>
              <w:spacing w:after="0" w:line="240" w:lineRule="auto"/>
              <w:jc w:val="center"/>
              <w:rPr>
                <w:rFonts w:asciiTheme="majorHAnsi" w:eastAsia="Times New Roman" w:hAnsiTheme="majorHAnsi" w:cstheme="majorHAnsi"/>
                <w:b/>
                <w:color w:val="000000"/>
                <w:sz w:val="18"/>
                <w:szCs w:val="18"/>
              </w:rPr>
            </w:pPr>
            <w:r w:rsidRPr="004753F6">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549A210C" w14:textId="77777777" w:rsidR="00E52AC1" w:rsidRPr="004753F6" w:rsidRDefault="00E52AC1" w:rsidP="00E52AC1">
            <w:pPr>
              <w:spacing w:after="0" w:line="240" w:lineRule="auto"/>
              <w:jc w:val="center"/>
              <w:rPr>
                <w:rFonts w:asciiTheme="majorHAnsi" w:eastAsia="Times New Roman" w:hAnsiTheme="majorHAnsi" w:cstheme="majorHAnsi"/>
                <w:b/>
                <w:color w:val="000000"/>
                <w:sz w:val="18"/>
                <w:szCs w:val="18"/>
              </w:rPr>
            </w:pPr>
            <w:r w:rsidRPr="004753F6">
              <w:rPr>
                <w:rFonts w:asciiTheme="majorHAnsi" w:eastAsia="Times New Roman" w:hAnsiTheme="majorHAnsi" w:cstheme="majorHAnsi"/>
                <w:b/>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37F29CE8" w14:textId="77777777" w:rsidR="00E52AC1" w:rsidRPr="004753F6" w:rsidRDefault="00E52AC1" w:rsidP="00E52AC1">
            <w:pPr>
              <w:spacing w:after="0" w:line="240" w:lineRule="auto"/>
              <w:jc w:val="center"/>
              <w:rPr>
                <w:rFonts w:asciiTheme="majorHAnsi" w:eastAsia="Times New Roman" w:hAnsiTheme="majorHAnsi" w:cstheme="majorHAnsi"/>
                <w:b/>
                <w:color w:val="000000"/>
                <w:sz w:val="18"/>
                <w:szCs w:val="18"/>
              </w:rPr>
            </w:pPr>
            <w:r w:rsidRPr="004753F6">
              <w:rPr>
                <w:rFonts w:asciiTheme="majorHAnsi" w:eastAsia="Times New Roman" w:hAnsiTheme="majorHAnsi" w:cstheme="majorHAnsi"/>
                <w:b/>
                <w:color w:val="000000"/>
                <w:sz w:val="18"/>
                <w:szCs w:val="18"/>
              </w:rPr>
              <w:t>-0.004</w:t>
            </w:r>
          </w:p>
        </w:tc>
        <w:tc>
          <w:tcPr>
            <w:tcW w:w="990" w:type="dxa"/>
            <w:tcBorders>
              <w:top w:val="nil"/>
              <w:left w:val="nil"/>
              <w:bottom w:val="single" w:sz="4" w:space="0" w:color="auto"/>
              <w:right w:val="single" w:sz="4" w:space="0" w:color="auto"/>
            </w:tcBorders>
            <w:shd w:val="clear" w:color="auto" w:fill="auto"/>
            <w:noWrap/>
            <w:vAlign w:val="bottom"/>
          </w:tcPr>
          <w:p w14:paraId="717A380F" w14:textId="77777777" w:rsidR="00E52AC1" w:rsidRPr="004753F6" w:rsidRDefault="00E52AC1" w:rsidP="00E52AC1">
            <w:pPr>
              <w:spacing w:after="0" w:line="240" w:lineRule="auto"/>
              <w:jc w:val="center"/>
              <w:rPr>
                <w:rFonts w:asciiTheme="majorHAnsi" w:eastAsia="Times New Roman" w:hAnsiTheme="majorHAnsi" w:cstheme="majorHAnsi"/>
                <w:b/>
                <w:color w:val="000000"/>
                <w:sz w:val="18"/>
                <w:szCs w:val="18"/>
              </w:rPr>
            </w:pPr>
            <w:r w:rsidRPr="004753F6">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78C59819" w14:textId="77777777" w:rsidR="00E52AC1" w:rsidRPr="004753F6" w:rsidRDefault="00E52AC1" w:rsidP="00E52AC1">
            <w:pPr>
              <w:spacing w:after="0" w:line="240" w:lineRule="auto"/>
              <w:jc w:val="center"/>
              <w:rPr>
                <w:rFonts w:asciiTheme="majorHAnsi" w:eastAsia="Times New Roman" w:hAnsiTheme="majorHAnsi" w:cstheme="majorHAnsi"/>
                <w:b/>
                <w:color w:val="000000"/>
                <w:sz w:val="18"/>
                <w:szCs w:val="18"/>
              </w:rPr>
            </w:pPr>
            <w:r w:rsidRPr="004753F6">
              <w:rPr>
                <w:rFonts w:asciiTheme="majorHAnsi" w:eastAsia="Times New Roman" w:hAnsiTheme="majorHAnsi" w:cstheme="majorHAnsi"/>
                <w:b/>
                <w:color w:val="000000"/>
                <w:sz w:val="18"/>
                <w:szCs w:val="18"/>
              </w:rPr>
              <w:t>-0.004</w:t>
            </w:r>
          </w:p>
        </w:tc>
        <w:tc>
          <w:tcPr>
            <w:tcW w:w="1156" w:type="dxa"/>
            <w:tcBorders>
              <w:top w:val="nil"/>
              <w:left w:val="nil"/>
              <w:bottom w:val="single" w:sz="4" w:space="0" w:color="auto"/>
              <w:right w:val="single" w:sz="4" w:space="0" w:color="auto"/>
            </w:tcBorders>
            <w:shd w:val="clear" w:color="auto" w:fill="auto"/>
            <w:noWrap/>
            <w:vAlign w:val="bottom"/>
          </w:tcPr>
          <w:p w14:paraId="4F68F2A3" w14:textId="77777777" w:rsidR="00E52AC1" w:rsidRPr="004753F6" w:rsidRDefault="00E52AC1" w:rsidP="00E52AC1">
            <w:pPr>
              <w:spacing w:after="0" w:line="240" w:lineRule="auto"/>
              <w:jc w:val="center"/>
              <w:rPr>
                <w:rFonts w:asciiTheme="majorHAnsi" w:eastAsia="Times New Roman" w:hAnsiTheme="majorHAnsi" w:cstheme="majorHAnsi"/>
                <w:b/>
                <w:color w:val="000000"/>
                <w:sz w:val="18"/>
                <w:szCs w:val="18"/>
              </w:rPr>
            </w:pPr>
            <w:r w:rsidRPr="004753F6">
              <w:rPr>
                <w:rFonts w:asciiTheme="majorHAnsi" w:eastAsia="Times New Roman" w:hAnsiTheme="majorHAnsi" w:cstheme="majorHAnsi"/>
                <w:b/>
                <w:color w:val="000000"/>
                <w:sz w:val="18"/>
                <w:szCs w:val="18"/>
              </w:rPr>
              <w:t>0.00</w:t>
            </w:r>
          </w:p>
        </w:tc>
      </w:tr>
      <w:tr w:rsidR="00E52AC1" w:rsidRPr="00991DD7" w14:paraId="3F793096" w14:textId="77777777" w:rsidTr="00E52AC1">
        <w:trPr>
          <w:trHeight w:val="206"/>
        </w:trPr>
        <w:tc>
          <w:tcPr>
            <w:tcW w:w="4140" w:type="dxa"/>
            <w:tcBorders>
              <w:top w:val="nil"/>
              <w:left w:val="single" w:sz="4" w:space="0" w:color="auto"/>
              <w:bottom w:val="single" w:sz="4" w:space="0" w:color="auto"/>
              <w:right w:val="single" w:sz="4" w:space="0" w:color="auto"/>
            </w:tcBorders>
            <w:shd w:val="clear" w:color="auto" w:fill="auto"/>
            <w:vAlign w:val="bottom"/>
          </w:tcPr>
          <w:p w14:paraId="653BD4D6"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E41028">
              <w:rPr>
                <w:rFonts w:asciiTheme="majorHAnsi" w:eastAsia="Times New Roman" w:hAnsiTheme="majorHAnsi" w:cstheme="majorHAnsi"/>
                <w:b/>
                <w:bCs/>
                <w:color w:val="000000"/>
                <w:sz w:val="18"/>
                <w:szCs w:val="18"/>
              </w:rPr>
              <w:t>Procurarea materialelor pentru scopuri didactice științifice si alte scopuri</w:t>
            </w:r>
          </w:p>
        </w:tc>
        <w:tc>
          <w:tcPr>
            <w:tcW w:w="964" w:type="dxa"/>
            <w:tcBorders>
              <w:top w:val="nil"/>
              <w:left w:val="nil"/>
              <w:bottom w:val="single" w:sz="4" w:space="0" w:color="auto"/>
              <w:right w:val="single" w:sz="4" w:space="0" w:color="auto"/>
            </w:tcBorders>
            <w:shd w:val="clear" w:color="auto" w:fill="auto"/>
            <w:noWrap/>
            <w:vAlign w:val="bottom"/>
          </w:tcPr>
          <w:p w14:paraId="43611558"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335110</w:t>
            </w:r>
          </w:p>
        </w:tc>
        <w:tc>
          <w:tcPr>
            <w:tcW w:w="1004" w:type="dxa"/>
            <w:tcBorders>
              <w:top w:val="nil"/>
              <w:left w:val="nil"/>
              <w:bottom w:val="single" w:sz="4" w:space="0" w:color="auto"/>
              <w:right w:val="single" w:sz="4" w:space="0" w:color="auto"/>
            </w:tcBorders>
            <w:shd w:val="clear" w:color="auto" w:fill="auto"/>
            <w:noWrap/>
            <w:vAlign w:val="bottom"/>
          </w:tcPr>
          <w:p w14:paraId="7E7CB79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0.004</w:t>
            </w:r>
          </w:p>
        </w:tc>
        <w:tc>
          <w:tcPr>
            <w:tcW w:w="900" w:type="dxa"/>
            <w:tcBorders>
              <w:top w:val="nil"/>
              <w:left w:val="nil"/>
              <w:bottom w:val="single" w:sz="4" w:space="0" w:color="auto"/>
              <w:right w:val="single" w:sz="4" w:space="0" w:color="auto"/>
            </w:tcBorders>
            <w:shd w:val="clear" w:color="auto" w:fill="auto"/>
            <w:noWrap/>
            <w:vAlign w:val="bottom"/>
          </w:tcPr>
          <w:p w14:paraId="119D22C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0.004</w:t>
            </w:r>
          </w:p>
        </w:tc>
        <w:tc>
          <w:tcPr>
            <w:tcW w:w="900" w:type="dxa"/>
            <w:tcBorders>
              <w:top w:val="nil"/>
              <w:left w:val="nil"/>
              <w:bottom w:val="single" w:sz="4" w:space="0" w:color="auto"/>
              <w:right w:val="single" w:sz="4" w:space="0" w:color="auto"/>
            </w:tcBorders>
            <w:shd w:val="clear" w:color="auto" w:fill="auto"/>
            <w:noWrap/>
            <w:vAlign w:val="bottom"/>
          </w:tcPr>
          <w:p w14:paraId="544B37C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64A7BC2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tcPr>
          <w:p w14:paraId="11EB50B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0B831BD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3FD0183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-0.004</w:t>
            </w:r>
          </w:p>
        </w:tc>
        <w:tc>
          <w:tcPr>
            <w:tcW w:w="990" w:type="dxa"/>
            <w:tcBorders>
              <w:top w:val="nil"/>
              <w:left w:val="nil"/>
              <w:bottom w:val="single" w:sz="4" w:space="0" w:color="auto"/>
              <w:right w:val="single" w:sz="4" w:space="0" w:color="auto"/>
            </w:tcBorders>
            <w:shd w:val="clear" w:color="auto" w:fill="auto"/>
            <w:noWrap/>
            <w:vAlign w:val="bottom"/>
          </w:tcPr>
          <w:p w14:paraId="2D3ED62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5EAA183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-0.004</w:t>
            </w:r>
          </w:p>
        </w:tc>
        <w:tc>
          <w:tcPr>
            <w:tcW w:w="1156" w:type="dxa"/>
            <w:tcBorders>
              <w:top w:val="nil"/>
              <w:left w:val="nil"/>
              <w:bottom w:val="single" w:sz="4" w:space="0" w:color="auto"/>
              <w:right w:val="single" w:sz="4" w:space="0" w:color="auto"/>
            </w:tcBorders>
            <w:shd w:val="clear" w:color="auto" w:fill="auto"/>
            <w:noWrap/>
            <w:vAlign w:val="bottom"/>
          </w:tcPr>
          <w:p w14:paraId="3E6EE5F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1583D9BD" w14:textId="77777777" w:rsidTr="00E52AC1">
        <w:trPr>
          <w:trHeight w:val="5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2749CE00"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hideMark/>
          </w:tcPr>
          <w:p w14:paraId="557091DE" w14:textId="77777777" w:rsidR="00E52AC1" w:rsidRPr="00774F28" w:rsidRDefault="00E52AC1" w:rsidP="00E52AC1">
            <w:pPr>
              <w:spacing w:after="0" w:line="240" w:lineRule="auto"/>
              <w:jc w:val="both"/>
              <w:rPr>
                <w:rFonts w:asciiTheme="majorHAnsi" w:eastAsia="Times New Roman" w:hAnsiTheme="majorHAnsi" w:cstheme="majorHAnsi"/>
                <w:b/>
                <w:i/>
                <w:iCs/>
                <w:color w:val="000000"/>
                <w:sz w:val="18"/>
                <w:szCs w:val="18"/>
              </w:rPr>
            </w:pPr>
            <w:r w:rsidRPr="00774F28">
              <w:rPr>
                <w:rFonts w:asciiTheme="majorHAnsi" w:eastAsia="Times New Roman" w:hAnsiTheme="majorHAnsi" w:cstheme="majorHAnsi"/>
                <w:b/>
                <w:i/>
                <w:iCs/>
                <w:color w:val="000000"/>
                <w:sz w:val="18"/>
                <w:szCs w:val="18"/>
              </w:rPr>
              <w:t>336</w:t>
            </w:r>
          </w:p>
        </w:tc>
        <w:tc>
          <w:tcPr>
            <w:tcW w:w="1004" w:type="dxa"/>
            <w:tcBorders>
              <w:top w:val="nil"/>
              <w:left w:val="nil"/>
              <w:bottom w:val="single" w:sz="4" w:space="0" w:color="auto"/>
              <w:right w:val="single" w:sz="4" w:space="0" w:color="auto"/>
            </w:tcBorders>
            <w:shd w:val="clear" w:color="auto" w:fill="auto"/>
            <w:noWrap/>
            <w:vAlign w:val="bottom"/>
            <w:hideMark/>
          </w:tcPr>
          <w:p w14:paraId="5A98D082" w14:textId="77777777" w:rsidR="00E52AC1" w:rsidRPr="00774F28" w:rsidRDefault="00E52AC1" w:rsidP="00E52AC1">
            <w:pPr>
              <w:spacing w:after="0" w:line="240" w:lineRule="auto"/>
              <w:jc w:val="center"/>
              <w:rPr>
                <w:rFonts w:asciiTheme="majorHAnsi" w:eastAsia="Times New Roman" w:hAnsiTheme="majorHAnsi" w:cstheme="majorHAnsi"/>
                <w:b/>
                <w:color w:val="000000"/>
                <w:sz w:val="18"/>
                <w:szCs w:val="18"/>
              </w:rPr>
            </w:pPr>
            <w:r w:rsidRPr="00774F28">
              <w:rPr>
                <w:rFonts w:asciiTheme="majorHAnsi" w:eastAsia="Times New Roman" w:hAnsiTheme="majorHAnsi" w:cstheme="majorHAnsi"/>
                <w:b/>
                <w:color w:val="000000"/>
                <w:sz w:val="18"/>
                <w:szCs w:val="18"/>
              </w:rPr>
              <w:t>13.26</w:t>
            </w:r>
          </w:p>
        </w:tc>
        <w:tc>
          <w:tcPr>
            <w:tcW w:w="900" w:type="dxa"/>
            <w:tcBorders>
              <w:top w:val="nil"/>
              <w:left w:val="nil"/>
              <w:bottom w:val="single" w:sz="4" w:space="0" w:color="auto"/>
              <w:right w:val="single" w:sz="4" w:space="0" w:color="auto"/>
            </w:tcBorders>
            <w:shd w:val="clear" w:color="auto" w:fill="auto"/>
            <w:noWrap/>
            <w:vAlign w:val="bottom"/>
            <w:hideMark/>
          </w:tcPr>
          <w:p w14:paraId="3383E36B" w14:textId="77777777" w:rsidR="00E52AC1" w:rsidRPr="00774F28" w:rsidRDefault="00E52AC1" w:rsidP="00E52AC1">
            <w:pPr>
              <w:spacing w:after="0" w:line="240" w:lineRule="auto"/>
              <w:jc w:val="center"/>
              <w:rPr>
                <w:rFonts w:asciiTheme="majorHAnsi" w:eastAsia="Times New Roman" w:hAnsiTheme="majorHAnsi" w:cstheme="majorHAnsi"/>
                <w:b/>
                <w:color w:val="000000"/>
                <w:sz w:val="18"/>
                <w:szCs w:val="18"/>
              </w:rPr>
            </w:pPr>
            <w:r w:rsidRPr="00774F28">
              <w:rPr>
                <w:rFonts w:asciiTheme="majorHAnsi" w:eastAsia="Times New Roman" w:hAnsiTheme="majorHAnsi" w:cstheme="majorHAnsi"/>
                <w:b/>
                <w:color w:val="000000"/>
                <w:sz w:val="18"/>
                <w:szCs w:val="18"/>
              </w:rPr>
              <w:t>13.51</w:t>
            </w:r>
          </w:p>
        </w:tc>
        <w:tc>
          <w:tcPr>
            <w:tcW w:w="900" w:type="dxa"/>
            <w:tcBorders>
              <w:top w:val="nil"/>
              <w:left w:val="nil"/>
              <w:bottom w:val="single" w:sz="4" w:space="0" w:color="auto"/>
              <w:right w:val="single" w:sz="4" w:space="0" w:color="auto"/>
            </w:tcBorders>
            <w:shd w:val="clear" w:color="auto" w:fill="auto"/>
            <w:noWrap/>
            <w:vAlign w:val="bottom"/>
            <w:hideMark/>
          </w:tcPr>
          <w:p w14:paraId="65B851B1" w14:textId="77777777" w:rsidR="00E52AC1" w:rsidRPr="00774F28" w:rsidRDefault="00E52AC1" w:rsidP="00E52AC1">
            <w:pPr>
              <w:spacing w:after="0" w:line="240" w:lineRule="auto"/>
              <w:jc w:val="center"/>
              <w:rPr>
                <w:rFonts w:asciiTheme="majorHAnsi" w:eastAsia="Times New Roman" w:hAnsiTheme="majorHAnsi" w:cstheme="majorHAnsi"/>
                <w:b/>
                <w:color w:val="000000"/>
                <w:sz w:val="18"/>
                <w:szCs w:val="18"/>
              </w:rPr>
            </w:pPr>
            <w:r w:rsidRPr="00774F28">
              <w:rPr>
                <w:rFonts w:asciiTheme="majorHAnsi" w:eastAsia="Times New Roman" w:hAnsiTheme="majorHAnsi" w:cstheme="majorHAnsi"/>
                <w:b/>
                <w:color w:val="000000"/>
                <w:sz w:val="18"/>
                <w:szCs w:val="18"/>
              </w:rPr>
              <w:t>11.21</w:t>
            </w:r>
          </w:p>
        </w:tc>
        <w:tc>
          <w:tcPr>
            <w:tcW w:w="900" w:type="dxa"/>
            <w:tcBorders>
              <w:top w:val="nil"/>
              <w:left w:val="nil"/>
              <w:bottom w:val="single" w:sz="4" w:space="0" w:color="auto"/>
              <w:right w:val="single" w:sz="4" w:space="0" w:color="auto"/>
            </w:tcBorders>
            <w:shd w:val="clear" w:color="auto" w:fill="auto"/>
            <w:noWrap/>
            <w:vAlign w:val="bottom"/>
            <w:hideMark/>
          </w:tcPr>
          <w:p w14:paraId="6B22DAA0" w14:textId="77777777" w:rsidR="00E52AC1" w:rsidRPr="00774F28" w:rsidRDefault="00E52AC1" w:rsidP="00E52AC1">
            <w:pPr>
              <w:spacing w:after="0" w:line="240" w:lineRule="auto"/>
              <w:jc w:val="center"/>
              <w:rPr>
                <w:rFonts w:asciiTheme="majorHAnsi" w:eastAsia="Times New Roman" w:hAnsiTheme="majorHAnsi" w:cstheme="majorHAnsi"/>
                <w:b/>
                <w:color w:val="000000"/>
                <w:sz w:val="18"/>
                <w:szCs w:val="18"/>
              </w:rPr>
            </w:pPr>
            <w:r w:rsidRPr="00774F28">
              <w:rPr>
                <w:rFonts w:asciiTheme="majorHAnsi" w:eastAsia="Times New Roman" w:hAnsiTheme="majorHAnsi" w:cstheme="majorHAnsi"/>
                <w:b/>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332A1879" w14:textId="77777777" w:rsidR="00E52AC1" w:rsidRPr="00774F28" w:rsidRDefault="00E52AC1" w:rsidP="00E52AC1">
            <w:pPr>
              <w:spacing w:after="0" w:line="240" w:lineRule="auto"/>
              <w:jc w:val="center"/>
              <w:rPr>
                <w:rFonts w:asciiTheme="majorHAnsi" w:eastAsia="Times New Roman" w:hAnsiTheme="majorHAnsi" w:cstheme="majorHAnsi"/>
                <w:b/>
                <w:color w:val="000000"/>
                <w:sz w:val="18"/>
                <w:szCs w:val="18"/>
              </w:rPr>
            </w:pPr>
            <w:r w:rsidRPr="00774F28">
              <w:rPr>
                <w:rFonts w:asciiTheme="majorHAnsi" w:eastAsia="Times New Roman" w:hAnsiTheme="majorHAnsi" w:cstheme="majorHAnsi"/>
                <w:b/>
                <w:color w:val="000000"/>
                <w:sz w:val="18"/>
                <w:szCs w:val="18"/>
              </w:rPr>
              <w:t>0.03</w:t>
            </w:r>
          </w:p>
        </w:tc>
        <w:tc>
          <w:tcPr>
            <w:tcW w:w="1080" w:type="dxa"/>
            <w:tcBorders>
              <w:top w:val="nil"/>
              <w:left w:val="nil"/>
              <w:bottom w:val="single" w:sz="4" w:space="0" w:color="auto"/>
              <w:right w:val="single" w:sz="4" w:space="0" w:color="auto"/>
            </w:tcBorders>
            <w:shd w:val="clear" w:color="auto" w:fill="auto"/>
            <w:noWrap/>
            <w:vAlign w:val="bottom"/>
            <w:hideMark/>
          </w:tcPr>
          <w:p w14:paraId="70F9A69B" w14:textId="77777777" w:rsidR="00E52AC1" w:rsidRPr="00774F28" w:rsidRDefault="00E52AC1" w:rsidP="00E52AC1">
            <w:pPr>
              <w:spacing w:after="0" w:line="240" w:lineRule="auto"/>
              <w:jc w:val="center"/>
              <w:rPr>
                <w:rFonts w:asciiTheme="majorHAnsi" w:eastAsia="Times New Roman" w:hAnsiTheme="majorHAnsi" w:cstheme="majorHAnsi"/>
                <w:b/>
                <w:color w:val="000000"/>
                <w:sz w:val="18"/>
                <w:szCs w:val="18"/>
              </w:rPr>
            </w:pPr>
            <w:r w:rsidRPr="00774F28">
              <w:rPr>
                <w:rFonts w:asciiTheme="majorHAnsi" w:eastAsia="Times New Roman" w:hAnsiTheme="majorHAnsi" w:cstheme="majorHAnsi"/>
                <w:b/>
                <w:color w:val="000000"/>
                <w:sz w:val="18"/>
                <w:szCs w:val="18"/>
              </w:rPr>
              <w:t>0.25</w:t>
            </w:r>
          </w:p>
        </w:tc>
        <w:tc>
          <w:tcPr>
            <w:tcW w:w="990" w:type="dxa"/>
            <w:tcBorders>
              <w:top w:val="nil"/>
              <w:left w:val="nil"/>
              <w:bottom w:val="single" w:sz="4" w:space="0" w:color="auto"/>
              <w:right w:val="single" w:sz="4" w:space="0" w:color="auto"/>
            </w:tcBorders>
            <w:shd w:val="clear" w:color="auto" w:fill="auto"/>
            <w:noWrap/>
            <w:vAlign w:val="bottom"/>
            <w:hideMark/>
          </w:tcPr>
          <w:p w14:paraId="3479818B" w14:textId="77777777" w:rsidR="00E52AC1" w:rsidRPr="00774F28" w:rsidRDefault="00E52AC1" w:rsidP="00E52AC1">
            <w:pPr>
              <w:spacing w:after="0" w:line="240" w:lineRule="auto"/>
              <w:jc w:val="center"/>
              <w:rPr>
                <w:rFonts w:asciiTheme="majorHAnsi" w:eastAsia="Times New Roman" w:hAnsiTheme="majorHAnsi" w:cstheme="majorHAnsi"/>
                <w:b/>
                <w:color w:val="000000"/>
                <w:sz w:val="18"/>
                <w:szCs w:val="18"/>
              </w:rPr>
            </w:pPr>
            <w:r w:rsidRPr="00774F28">
              <w:rPr>
                <w:rFonts w:asciiTheme="majorHAnsi" w:eastAsia="Times New Roman" w:hAnsiTheme="majorHAnsi" w:cstheme="majorHAnsi"/>
                <w:b/>
                <w:color w:val="000000"/>
                <w:sz w:val="18"/>
                <w:szCs w:val="18"/>
              </w:rPr>
              <w:t>-2.30</w:t>
            </w:r>
          </w:p>
        </w:tc>
        <w:tc>
          <w:tcPr>
            <w:tcW w:w="990" w:type="dxa"/>
            <w:tcBorders>
              <w:top w:val="nil"/>
              <w:left w:val="nil"/>
              <w:bottom w:val="single" w:sz="4" w:space="0" w:color="auto"/>
              <w:right w:val="single" w:sz="4" w:space="0" w:color="auto"/>
            </w:tcBorders>
            <w:shd w:val="clear" w:color="auto" w:fill="auto"/>
            <w:noWrap/>
            <w:vAlign w:val="bottom"/>
            <w:hideMark/>
          </w:tcPr>
          <w:p w14:paraId="346B8771" w14:textId="77777777" w:rsidR="00E52AC1" w:rsidRPr="00774F28" w:rsidRDefault="00E52AC1" w:rsidP="00E52AC1">
            <w:pPr>
              <w:spacing w:after="0" w:line="240" w:lineRule="auto"/>
              <w:jc w:val="center"/>
              <w:rPr>
                <w:rFonts w:asciiTheme="majorHAnsi" w:eastAsia="Times New Roman" w:hAnsiTheme="majorHAnsi" w:cstheme="majorHAnsi"/>
                <w:b/>
                <w:color w:val="000000"/>
                <w:sz w:val="18"/>
                <w:szCs w:val="18"/>
              </w:rPr>
            </w:pPr>
            <w:r w:rsidRPr="00774F28">
              <w:rPr>
                <w:rFonts w:asciiTheme="majorHAnsi" w:eastAsia="Times New Roman" w:hAnsiTheme="majorHAnsi" w:cstheme="majorHAnsi"/>
                <w:b/>
                <w:color w:val="000000"/>
                <w:sz w:val="18"/>
                <w:szCs w:val="18"/>
              </w:rPr>
              <w:t>82.98</w:t>
            </w:r>
          </w:p>
        </w:tc>
        <w:tc>
          <w:tcPr>
            <w:tcW w:w="1080" w:type="dxa"/>
            <w:tcBorders>
              <w:top w:val="nil"/>
              <w:left w:val="nil"/>
              <w:bottom w:val="single" w:sz="4" w:space="0" w:color="auto"/>
              <w:right w:val="single" w:sz="4" w:space="0" w:color="auto"/>
            </w:tcBorders>
            <w:shd w:val="clear" w:color="auto" w:fill="auto"/>
            <w:noWrap/>
            <w:vAlign w:val="bottom"/>
            <w:hideMark/>
          </w:tcPr>
          <w:p w14:paraId="1C37BAA4" w14:textId="77777777" w:rsidR="00E52AC1" w:rsidRPr="00774F28" w:rsidRDefault="00E52AC1" w:rsidP="00E52AC1">
            <w:pPr>
              <w:spacing w:after="0" w:line="240" w:lineRule="auto"/>
              <w:jc w:val="center"/>
              <w:rPr>
                <w:rFonts w:asciiTheme="majorHAnsi" w:eastAsia="Times New Roman" w:hAnsiTheme="majorHAnsi" w:cstheme="majorHAnsi"/>
                <w:b/>
                <w:color w:val="000000"/>
                <w:sz w:val="18"/>
                <w:szCs w:val="18"/>
              </w:rPr>
            </w:pPr>
            <w:r w:rsidRPr="00774F28">
              <w:rPr>
                <w:rFonts w:asciiTheme="majorHAnsi" w:eastAsia="Times New Roman" w:hAnsiTheme="majorHAnsi" w:cstheme="majorHAnsi"/>
                <w:b/>
                <w:color w:val="000000"/>
                <w:sz w:val="18"/>
                <w:szCs w:val="18"/>
              </w:rPr>
              <w:t>-13.51</w:t>
            </w:r>
          </w:p>
        </w:tc>
        <w:tc>
          <w:tcPr>
            <w:tcW w:w="1156" w:type="dxa"/>
            <w:tcBorders>
              <w:top w:val="nil"/>
              <w:left w:val="nil"/>
              <w:bottom w:val="single" w:sz="4" w:space="0" w:color="auto"/>
              <w:right w:val="single" w:sz="4" w:space="0" w:color="auto"/>
            </w:tcBorders>
            <w:shd w:val="clear" w:color="auto" w:fill="auto"/>
            <w:noWrap/>
            <w:vAlign w:val="bottom"/>
            <w:hideMark/>
          </w:tcPr>
          <w:p w14:paraId="20FFEF16" w14:textId="77777777" w:rsidR="00E52AC1" w:rsidRPr="00774F28" w:rsidRDefault="00E52AC1" w:rsidP="00E52AC1">
            <w:pPr>
              <w:spacing w:after="0" w:line="240" w:lineRule="auto"/>
              <w:jc w:val="center"/>
              <w:rPr>
                <w:rFonts w:asciiTheme="majorHAnsi" w:eastAsia="Times New Roman" w:hAnsiTheme="majorHAnsi" w:cstheme="majorHAnsi"/>
                <w:b/>
                <w:color w:val="000000"/>
                <w:sz w:val="18"/>
                <w:szCs w:val="18"/>
              </w:rPr>
            </w:pPr>
            <w:r w:rsidRPr="00774F28">
              <w:rPr>
                <w:rFonts w:asciiTheme="majorHAnsi" w:eastAsia="Times New Roman" w:hAnsiTheme="majorHAnsi" w:cstheme="majorHAnsi"/>
                <w:b/>
                <w:color w:val="000000"/>
                <w:sz w:val="18"/>
                <w:szCs w:val="18"/>
              </w:rPr>
              <w:t>0.00</w:t>
            </w:r>
          </w:p>
        </w:tc>
      </w:tr>
      <w:tr w:rsidR="00E52AC1" w:rsidRPr="00991DD7" w14:paraId="6EEB0756" w14:textId="77777777" w:rsidTr="00E52AC1">
        <w:trPr>
          <w:trHeight w:val="341"/>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7E44EAB8"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Procurarea materialelor de uz gospodăresc si rechizitelor de birou</w:t>
            </w:r>
          </w:p>
        </w:tc>
        <w:tc>
          <w:tcPr>
            <w:tcW w:w="964" w:type="dxa"/>
            <w:tcBorders>
              <w:top w:val="nil"/>
              <w:left w:val="nil"/>
              <w:bottom w:val="single" w:sz="4" w:space="0" w:color="auto"/>
              <w:right w:val="single" w:sz="4" w:space="0" w:color="auto"/>
            </w:tcBorders>
            <w:shd w:val="clear" w:color="auto" w:fill="auto"/>
            <w:noWrap/>
            <w:vAlign w:val="bottom"/>
            <w:hideMark/>
          </w:tcPr>
          <w:p w14:paraId="34ED847D"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336110</w:t>
            </w:r>
          </w:p>
        </w:tc>
        <w:tc>
          <w:tcPr>
            <w:tcW w:w="1004" w:type="dxa"/>
            <w:tcBorders>
              <w:top w:val="nil"/>
              <w:left w:val="nil"/>
              <w:bottom w:val="single" w:sz="4" w:space="0" w:color="auto"/>
              <w:right w:val="single" w:sz="4" w:space="0" w:color="auto"/>
            </w:tcBorders>
            <w:shd w:val="clear" w:color="auto" w:fill="auto"/>
            <w:noWrap/>
            <w:vAlign w:val="bottom"/>
            <w:hideMark/>
          </w:tcPr>
          <w:p w14:paraId="17007BC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13.26</w:t>
            </w:r>
          </w:p>
        </w:tc>
        <w:tc>
          <w:tcPr>
            <w:tcW w:w="900" w:type="dxa"/>
            <w:tcBorders>
              <w:top w:val="nil"/>
              <w:left w:val="nil"/>
              <w:bottom w:val="single" w:sz="4" w:space="0" w:color="auto"/>
              <w:right w:val="single" w:sz="4" w:space="0" w:color="auto"/>
            </w:tcBorders>
            <w:shd w:val="clear" w:color="auto" w:fill="auto"/>
            <w:noWrap/>
            <w:vAlign w:val="bottom"/>
            <w:hideMark/>
          </w:tcPr>
          <w:p w14:paraId="0898C53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13.51</w:t>
            </w:r>
          </w:p>
        </w:tc>
        <w:tc>
          <w:tcPr>
            <w:tcW w:w="900" w:type="dxa"/>
            <w:tcBorders>
              <w:top w:val="nil"/>
              <w:left w:val="nil"/>
              <w:bottom w:val="single" w:sz="4" w:space="0" w:color="auto"/>
              <w:right w:val="single" w:sz="4" w:space="0" w:color="auto"/>
            </w:tcBorders>
            <w:shd w:val="clear" w:color="auto" w:fill="auto"/>
            <w:noWrap/>
            <w:vAlign w:val="bottom"/>
            <w:hideMark/>
          </w:tcPr>
          <w:p w14:paraId="67D21BC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11.21</w:t>
            </w:r>
          </w:p>
        </w:tc>
        <w:tc>
          <w:tcPr>
            <w:tcW w:w="900" w:type="dxa"/>
            <w:tcBorders>
              <w:top w:val="nil"/>
              <w:left w:val="nil"/>
              <w:bottom w:val="single" w:sz="4" w:space="0" w:color="auto"/>
              <w:right w:val="single" w:sz="4" w:space="0" w:color="auto"/>
            </w:tcBorders>
            <w:shd w:val="clear" w:color="auto" w:fill="auto"/>
            <w:noWrap/>
            <w:vAlign w:val="bottom"/>
            <w:hideMark/>
          </w:tcPr>
          <w:p w14:paraId="0281855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3DE5AD8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0.03</w:t>
            </w:r>
          </w:p>
        </w:tc>
        <w:tc>
          <w:tcPr>
            <w:tcW w:w="1080" w:type="dxa"/>
            <w:tcBorders>
              <w:top w:val="nil"/>
              <w:left w:val="nil"/>
              <w:bottom w:val="single" w:sz="4" w:space="0" w:color="auto"/>
              <w:right w:val="single" w:sz="4" w:space="0" w:color="auto"/>
            </w:tcBorders>
            <w:shd w:val="clear" w:color="auto" w:fill="auto"/>
            <w:noWrap/>
            <w:vAlign w:val="bottom"/>
            <w:hideMark/>
          </w:tcPr>
          <w:p w14:paraId="2F3EFA1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0.25</w:t>
            </w:r>
          </w:p>
        </w:tc>
        <w:tc>
          <w:tcPr>
            <w:tcW w:w="990" w:type="dxa"/>
            <w:tcBorders>
              <w:top w:val="nil"/>
              <w:left w:val="nil"/>
              <w:bottom w:val="single" w:sz="4" w:space="0" w:color="auto"/>
              <w:right w:val="single" w:sz="4" w:space="0" w:color="auto"/>
            </w:tcBorders>
            <w:shd w:val="clear" w:color="auto" w:fill="auto"/>
            <w:noWrap/>
            <w:vAlign w:val="bottom"/>
            <w:hideMark/>
          </w:tcPr>
          <w:p w14:paraId="1E0D6AB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-2.30</w:t>
            </w:r>
          </w:p>
        </w:tc>
        <w:tc>
          <w:tcPr>
            <w:tcW w:w="990" w:type="dxa"/>
            <w:tcBorders>
              <w:top w:val="nil"/>
              <w:left w:val="nil"/>
              <w:bottom w:val="single" w:sz="4" w:space="0" w:color="auto"/>
              <w:right w:val="single" w:sz="4" w:space="0" w:color="auto"/>
            </w:tcBorders>
            <w:shd w:val="clear" w:color="auto" w:fill="auto"/>
            <w:noWrap/>
            <w:vAlign w:val="bottom"/>
            <w:hideMark/>
          </w:tcPr>
          <w:p w14:paraId="03C311C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82.98</w:t>
            </w:r>
          </w:p>
        </w:tc>
        <w:tc>
          <w:tcPr>
            <w:tcW w:w="1080" w:type="dxa"/>
            <w:tcBorders>
              <w:top w:val="nil"/>
              <w:left w:val="nil"/>
              <w:bottom w:val="single" w:sz="4" w:space="0" w:color="auto"/>
              <w:right w:val="single" w:sz="4" w:space="0" w:color="auto"/>
            </w:tcBorders>
            <w:shd w:val="clear" w:color="auto" w:fill="auto"/>
            <w:noWrap/>
            <w:vAlign w:val="bottom"/>
            <w:hideMark/>
          </w:tcPr>
          <w:p w14:paraId="6D8E7E7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-13.51</w:t>
            </w:r>
          </w:p>
        </w:tc>
        <w:tc>
          <w:tcPr>
            <w:tcW w:w="1156" w:type="dxa"/>
            <w:tcBorders>
              <w:top w:val="nil"/>
              <w:left w:val="nil"/>
              <w:bottom w:val="single" w:sz="4" w:space="0" w:color="auto"/>
              <w:right w:val="single" w:sz="4" w:space="0" w:color="auto"/>
            </w:tcBorders>
            <w:shd w:val="clear" w:color="auto" w:fill="auto"/>
            <w:noWrap/>
            <w:vAlign w:val="bottom"/>
            <w:hideMark/>
          </w:tcPr>
          <w:p w14:paraId="0E97C19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r>
      <w:tr w:rsidR="00E52AC1" w:rsidRPr="00991DD7" w14:paraId="08F558E6" w14:textId="77777777" w:rsidTr="00E52AC1">
        <w:trPr>
          <w:trHeight w:val="107"/>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498558A4"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hideMark/>
          </w:tcPr>
          <w:p w14:paraId="1BA662B9" w14:textId="77777777" w:rsidR="00E52AC1" w:rsidRPr="000B5832" w:rsidRDefault="00E52AC1" w:rsidP="00E52AC1">
            <w:pPr>
              <w:spacing w:after="0" w:line="240" w:lineRule="auto"/>
              <w:jc w:val="both"/>
              <w:rPr>
                <w:rFonts w:asciiTheme="majorHAnsi" w:eastAsia="Times New Roman" w:hAnsiTheme="majorHAnsi" w:cstheme="majorHAnsi"/>
                <w:b/>
                <w:i/>
                <w:iCs/>
                <w:color w:val="000000"/>
                <w:sz w:val="18"/>
                <w:szCs w:val="18"/>
              </w:rPr>
            </w:pPr>
            <w:r w:rsidRPr="000B5832">
              <w:rPr>
                <w:rFonts w:asciiTheme="majorHAnsi" w:eastAsia="Times New Roman" w:hAnsiTheme="majorHAnsi" w:cstheme="majorHAnsi"/>
                <w:b/>
                <w:i/>
                <w:iCs/>
                <w:color w:val="000000"/>
                <w:sz w:val="18"/>
                <w:szCs w:val="18"/>
              </w:rPr>
              <w:t>337</w:t>
            </w:r>
          </w:p>
        </w:tc>
        <w:tc>
          <w:tcPr>
            <w:tcW w:w="1004" w:type="dxa"/>
            <w:tcBorders>
              <w:top w:val="nil"/>
              <w:left w:val="nil"/>
              <w:bottom w:val="single" w:sz="4" w:space="0" w:color="auto"/>
              <w:right w:val="single" w:sz="4" w:space="0" w:color="auto"/>
            </w:tcBorders>
            <w:shd w:val="clear" w:color="auto" w:fill="auto"/>
            <w:noWrap/>
            <w:vAlign w:val="bottom"/>
            <w:hideMark/>
          </w:tcPr>
          <w:p w14:paraId="59261033" w14:textId="77777777" w:rsidR="00E52AC1" w:rsidRPr="000B5832" w:rsidRDefault="00E52AC1" w:rsidP="00E52AC1">
            <w:pPr>
              <w:spacing w:after="0" w:line="240" w:lineRule="auto"/>
              <w:jc w:val="center"/>
              <w:rPr>
                <w:rFonts w:asciiTheme="majorHAnsi" w:eastAsia="Times New Roman" w:hAnsiTheme="majorHAnsi" w:cstheme="majorHAnsi"/>
                <w:b/>
                <w:color w:val="000000"/>
                <w:sz w:val="18"/>
                <w:szCs w:val="18"/>
              </w:rPr>
            </w:pPr>
            <w:r w:rsidRPr="000B5832">
              <w:rPr>
                <w:rFonts w:asciiTheme="majorHAnsi" w:eastAsia="Times New Roman" w:hAnsiTheme="majorHAnsi" w:cstheme="majorHAnsi"/>
                <w:b/>
                <w:color w:val="000000"/>
                <w:sz w:val="18"/>
                <w:szCs w:val="18"/>
              </w:rPr>
              <w:t>5.53</w:t>
            </w:r>
          </w:p>
        </w:tc>
        <w:tc>
          <w:tcPr>
            <w:tcW w:w="900" w:type="dxa"/>
            <w:tcBorders>
              <w:top w:val="nil"/>
              <w:left w:val="nil"/>
              <w:bottom w:val="single" w:sz="4" w:space="0" w:color="auto"/>
              <w:right w:val="single" w:sz="4" w:space="0" w:color="auto"/>
            </w:tcBorders>
            <w:shd w:val="clear" w:color="auto" w:fill="auto"/>
            <w:noWrap/>
            <w:vAlign w:val="bottom"/>
            <w:hideMark/>
          </w:tcPr>
          <w:p w14:paraId="244848D3" w14:textId="77777777" w:rsidR="00E52AC1" w:rsidRPr="000B5832" w:rsidRDefault="00E52AC1" w:rsidP="00E52AC1">
            <w:pPr>
              <w:spacing w:after="0" w:line="240" w:lineRule="auto"/>
              <w:jc w:val="center"/>
              <w:rPr>
                <w:rFonts w:asciiTheme="majorHAnsi" w:eastAsia="Times New Roman" w:hAnsiTheme="majorHAnsi" w:cstheme="majorHAnsi"/>
                <w:b/>
                <w:color w:val="000000"/>
                <w:sz w:val="18"/>
                <w:szCs w:val="18"/>
              </w:rPr>
            </w:pPr>
            <w:r w:rsidRPr="000B5832">
              <w:rPr>
                <w:rFonts w:asciiTheme="majorHAnsi" w:eastAsia="Times New Roman" w:hAnsiTheme="majorHAnsi" w:cstheme="majorHAnsi"/>
                <w:b/>
                <w:color w:val="000000"/>
                <w:sz w:val="18"/>
                <w:szCs w:val="18"/>
              </w:rPr>
              <w:t>19.30</w:t>
            </w:r>
          </w:p>
        </w:tc>
        <w:tc>
          <w:tcPr>
            <w:tcW w:w="900" w:type="dxa"/>
            <w:tcBorders>
              <w:top w:val="nil"/>
              <w:left w:val="nil"/>
              <w:bottom w:val="single" w:sz="4" w:space="0" w:color="auto"/>
              <w:right w:val="single" w:sz="4" w:space="0" w:color="auto"/>
            </w:tcBorders>
            <w:shd w:val="clear" w:color="auto" w:fill="auto"/>
            <w:noWrap/>
            <w:vAlign w:val="bottom"/>
            <w:hideMark/>
          </w:tcPr>
          <w:p w14:paraId="041E8765" w14:textId="77777777" w:rsidR="00E52AC1" w:rsidRPr="000B5832" w:rsidRDefault="00E52AC1" w:rsidP="00E52AC1">
            <w:pPr>
              <w:spacing w:after="0" w:line="240" w:lineRule="auto"/>
              <w:jc w:val="center"/>
              <w:rPr>
                <w:rFonts w:asciiTheme="majorHAnsi" w:eastAsia="Times New Roman" w:hAnsiTheme="majorHAnsi" w:cstheme="majorHAnsi"/>
                <w:b/>
                <w:color w:val="000000"/>
                <w:sz w:val="18"/>
                <w:szCs w:val="18"/>
              </w:rPr>
            </w:pPr>
            <w:r w:rsidRPr="000B5832">
              <w:rPr>
                <w:rFonts w:asciiTheme="majorHAnsi" w:eastAsia="Times New Roman" w:hAnsiTheme="majorHAnsi" w:cstheme="majorHAnsi"/>
                <w:b/>
                <w:color w:val="000000"/>
                <w:sz w:val="18"/>
                <w:szCs w:val="18"/>
              </w:rPr>
              <w:t>10.82</w:t>
            </w:r>
          </w:p>
        </w:tc>
        <w:tc>
          <w:tcPr>
            <w:tcW w:w="900" w:type="dxa"/>
            <w:tcBorders>
              <w:top w:val="nil"/>
              <w:left w:val="nil"/>
              <w:bottom w:val="single" w:sz="4" w:space="0" w:color="auto"/>
              <w:right w:val="single" w:sz="4" w:space="0" w:color="auto"/>
            </w:tcBorders>
            <w:shd w:val="clear" w:color="auto" w:fill="auto"/>
            <w:noWrap/>
            <w:vAlign w:val="bottom"/>
            <w:hideMark/>
          </w:tcPr>
          <w:p w14:paraId="223CDEC6" w14:textId="77777777" w:rsidR="00E52AC1" w:rsidRPr="000B5832" w:rsidRDefault="00E52AC1" w:rsidP="00E52AC1">
            <w:pPr>
              <w:spacing w:after="0" w:line="240" w:lineRule="auto"/>
              <w:jc w:val="center"/>
              <w:rPr>
                <w:rFonts w:asciiTheme="majorHAnsi" w:eastAsia="Times New Roman" w:hAnsiTheme="majorHAnsi" w:cstheme="majorHAnsi"/>
                <w:b/>
                <w:color w:val="000000"/>
                <w:sz w:val="18"/>
                <w:szCs w:val="18"/>
              </w:rPr>
            </w:pPr>
            <w:r w:rsidRPr="000B5832">
              <w:rPr>
                <w:rFonts w:asciiTheme="majorHAnsi" w:eastAsia="Times New Roman" w:hAnsiTheme="majorHAnsi" w:cstheme="majorHAnsi"/>
                <w:b/>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143B046F" w14:textId="77777777" w:rsidR="00E52AC1" w:rsidRPr="000B5832" w:rsidRDefault="00E52AC1" w:rsidP="00E52AC1">
            <w:pPr>
              <w:spacing w:after="0" w:line="240" w:lineRule="auto"/>
              <w:jc w:val="center"/>
              <w:rPr>
                <w:rFonts w:asciiTheme="majorHAnsi" w:eastAsia="Times New Roman" w:hAnsiTheme="majorHAnsi" w:cstheme="majorHAnsi"/>
                <w:b/>
                <w:color w:val="000000"/>
                <w:sz w:val="18"/>
                <w:szCs w:val="18"/>
              </w:rPr>
            </w:pPr>
            <w:r w:rsidRPr="000B5832">
              <w:rPr>
                <w:rFonts w:asciiTheme="majorHAnsi" w:eastAsia="Times New Roman" w:hAnsiTheme="majorHAnsi" w:cstheme="majorHAnsi"/>
                <w:b/>
                <w:color w:val="000000"/>
                <w:sz w:val="18"/>
                <w:szCs w:val="18"/>
              </w:rPr>
              <w:t>0.02</w:t>
            </w:r>
          </w:p>
        </w:tc>
        <w:tc>
          <w:tcPr>
            <w:tcW w:w="1080" w:type="dxa"/>
            <w:tcBorders>
              <w:top w:val="nil"/>
              <w:left w:val="nil"/>
              <w:bottom w:val="single" w:sz="4" w:space="0" w:color="auto"/>
              <w:right w:val="single" w:sz="4" w:space="0" w:color="auto"/>
            </w:tcBorders>
            <w:shd w:val="clear" w:color="auto" w:fill="auto"/>
            <w:noWrap/>
            <w:vAlign w:val="bottom"/>
            <w:hideMark/>
          </w:tcPr>
          <w:p w14:paraId="3725DA23" w14:textId="77777777" w:rsidR="00E52AC1" w:rsidRPr="000B5832" w:rsidRDefault="00E52AC1" w:rsidP="00E52AC1">
            <w:pPr>
              <w:spacing w:after="0" w:line="240" w:lineRule="auto"/>
              <w:jc w:val="center"/>
              <w:rPr>
                <w:rFonts w:asciiTheme="majorHAnsi" w:eastAsia="Times New Roman" w:hAnsiTheme="majorHAnsi" w:cstheme="majorHAnsi"/>
                <w:b/>
                <w:color w:val="000000"/>
                <w:sz w:val="18"/>
                <w:szCs w:val="18"/>
              </w:rPr>
            </w:pPr>
            <w:r w:rsidRPr="000B5832">
              <w:rPr>
                <w:rFonts w:asciiTheme="majorHAnsi" w:eastAsia="Times New Roman" w:hAnsiTheme="majorHAnsi" w:cstheme="majorHAnsi"/>
                <w:b/>
                <w:color w:val="000000"/>
                <w:sz w:val="18"/>
                <w:szCs w:val="18"/>
              </w:rPr>
              <w:t>13.77</w:t>
            </w:r>
          </w:p>
        </w:tc>
        <w:tc>
          <w:tcPr>
            <w:tcW w:w="990" w:type="dxa"/>
            <w:tcBorders>
              <w:top w:val="nil"/>
              <w:left w:val="nil"/>
              <w:bottom w:val="single" w:sz="4" w:space="0" w:color="auto"/>
              <w:right w:val="single" w:sz="4" w:space="0" w:color="auto"/>
            </w:tcBorders>
            <w:shd w:val="clear" w:color="auto" w:fill="auto"/>
            <w:noWrap/>
            <w:vAlign w:val="bottom"/>
            <w:hideMark/>
          </w:tcPr>
          <w:p w14:paraId="422E32F4" w14:textId="77777777" w:rsidR="00E52AC1" w:rsidRPr="000B5832" w:rsidRDefault="00E52AC1" w:rsidP="00E52AC1">
            <w:pPr>
              <w:spacing w:after="0" w:line="240" w:lineRule="auto"/>
              <w:jc w:val="center"/>
              <w:rPr>
                <w:rFonts w:asciiTheme="majorHAnsi" w:eastAsia="Times New Roman" w:hAnsiTheme="majorHAnsi" w:cstheme="majorHAnsi"/>
                <w:b/>
                <w:color w:val="000000"/>
                <w:sz w:val="18"/>
                <w:szCs w:val="18"/>
              </w:rPr>
            </w:pPr>
            <w:r w:rsidRPr="000B5832">
              <w:rPr>
                <w:rFonts w:asciiTheme="majorHAnsi" w:eastAsia="Times New Roman" w:hAnsiTheme="majorHAnsi" w:cstheme="majorHAnsi"/>
                <w:b/>
                <w:color w:val="000000"/>
                <w:sz w:val="18"/>
                <w:szCs w:val="18"/>
              </w:rPr>
              <w:t>-8.48</w:t>
            </w:r>
          </w:p>
        </w:tc>
        <w:tc>
          <w:tcPr>
            <w:tcW w:w="990" w:type="dxa"/>
            <w:tcBorders>
              <w:top w:val="nil"/>
              <w:left w:val="nil"/>
              <w:bottom w:val="single" w:sz="4" w:space="0" w:color="auto"/>
              <w:right w:val="single" w:sz="4" w:space="0" w:color="auto"/>
            </w:tcBorders>
            <w:shd w:val="clear" w:color="auto" w:fill="auto"/>
            <w:noWrap/>
            <w:vAlign w:val="bottom"/>
            <w:hideMark/>
          </w:tcPr>
          <w:p w14:paraId="01658400" w14:textId="77777777" w:rsidR="00E52AC1" w:rsidRPr="000B5832" w:rsidRDefault="00E52AC1" w:rsidP="00E52AC1">
            <w:pPr>
              <w:spacing w:after="0" w:line="240" w:lineRule="auto"/>
              <w:jc w:val="center"/>
              <w:rPr>
                <w:rFonts w:asciiTheme="majorHAnsi" w:eastAsia="Times New Roman" w:hAnsiTheme="majorHAnsi" w:cstheme="majorHAnsi"/>
                <w:b/>
                <w:color w:val="000000"/>
                <w:sz w:val="18"/>
                <w:szCs w:val="18"/>
              </w:rPr>
            </w:pPr>
            <w:r w:rsidRPr="000B5832">
              <w:rPr>
                <w:rFonts w:asciiTheme="majorHAnsi" w:eastAsia="Times New Roman" w:hAnsiTheme="majorHAnsi" w:cstheme="majorHAnsi"/>
                <w:b/>
                <w:color w:val="000000"/>
                <w:sz w:val="18"/>
                <w:szCs w:val="18"/>
              </w:rPr>
              <w:t>56.08</w:t>
            </w:r>
          </w:p>
        </w:tc>
        <w:tc>
          <w:tcPr>
            <w:tcW w:w="1080" w:type="dxa"/>
            <w:tcBorders>
              <w:top w:val="nil"/>
              <w:left w:val="nil"/>
              <w:bottom w:val="single" w:sz="4" w:space="0" w:color="auto"/>
              <w:right w:val="single" w:sz="4" w:space="0" w:color="auto"/>
            </w:tcBorders>
            <w:shd w:val="clear" w:color="auto" w:fill="auto"/>
            <w:noWrap/>
            <w:vAlign w:val="bottom"/>
            <w:hideMark/>
          </w:tcPr>
          <w:p w14:paraId="2E85A0CF" w14:textId="77777777" w:rsidR="00E52AC1" w:rsidRPr="000B5832" w:rsidRDefault="00E52AC1" w:rsidP="00E52AC1">
            <w:pPr>
              <w:spacing w:after="0" w:line="240" w:lineRule="auto"/>
              <w:jc w:val="center"/>
              <w:rPr>
                <w:rFonts w:asciiTheme="majorHAnsi" w:eastAsia="Times New Roman" w:hAnsiTheme="majorHAnsi" w:cstheme="majorHAnsi"/>
                <w:b/>
                <w:color w:val="000000"/>
                <w:sz w:val="18"/>
                <w:szCs w:val="18"/>
              </w:rPr>
            </w:pPr>
            <w:r w:rsidRPr="000B5832">
              <w:rPr>
                <w:rFonts w:asciiTheme="majorHAnsi" w:eastAsia="Times New Roman" w:hAnsiTheme="majorHAnsi" w:cstheme="majorHAnsi"/>
                <w:b/>
                <w:color w:val="000000"/>
                <w:sz w:val="18"/>
                <w:szCs w:val="18"/>
              </w:rPr>
              <w:t>-19.30</w:t>
            </w:r>
          </w:p>
        </w:tc>
        <w:tc>
          <w:tcPr>
            <w:tcW w:w="1156" w:type="dxa"/>
            <w:tcBorders>
              <w:top w:val="nil"/>
              <w:left w:val="nil"/>
              <w:bottom w:val="single" w:sz="4" w:space="0" w:color="auto"/>
              <w:right w:val="single" w:sz="4" w:space="0" w:color="auto"/>
            </w:tcBorders>
            <w:shd w:val="clear" w:color="auto" w:fill="auto"/>
            <w:noWrap/>
            <w:vAlign w:val="bottom"/>
            <w:hideMark/>
          </w:tcPr>
          <w:p w14:paraId="5776F081" w14:textId="77777777" w:rsidR="00E52AC1" w:rsidRPr="000B5832" w:rsidRDefault="00E52AC1" w:rsidP="00E52AC1">
            <w:pPr>
              <w:spacing w:after="0" w:line="240" w:lineRule="auto"/>
              <w:jc w:val="center"/>
              <w:rPr>
                <w:rFonts w:asciiTheme="majorHAnsi" w:eastAsia="Times New Roman" w:hAnsiTheme="majorHAnsi" w:cstheme="majorHAnsi"/>
                <w:b/>
                <w:color w:val="000000"/>
                <w:sz w:val="18"/>
                <w:szCs w:val="18"/>
              </w:rPr>
            </w:pPr>
            <w:r w:rsidRPr="000B5832">
              <w:rPr>
                <w:rFonts w:asciiTheme="majorHAnsi" w:eastAsia="Times New Roman" w:hAnsiTheme="majorHAnsi" w:cstheme="majorHAnsi"/>
                <w:b/>
                <w:color w:val="000000"/>
                <w:sz w:val="18"/>
                <w:szCs w:val="18"/>
              </w:rPr>
              <w:t>0.00</w:t>
            </w:r>
          </w:p>
        </w:tc>
      </w:tr>
      <w:tr w:rsidR="00E52AC1" w:rsidRPr="00991DD7" w14:paraId="74893CE3" w14:textId="77777777" w:rsidTr="00E52AC1">
        <w:trPr>
          <w:trHeight w:val="233"/>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47602B0C"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Procurarea materialelor de construcție</w:t>
            </w:r>
          </w:p>
        </w:tc>
        <w:tc>
          <w:tcPr>
            <w:tcW w:w="964" w:type="dxa"/>
            <w:tcBorders>
              <w:top w:val="nil"/>
              <w:left w:val="nil"/>
              <w:bottom w:val="single" w:sz="4" w:space="0" w:color="auto"/>
              <w:right w:val="single" w:sz="4" w:space="0" w:color="auto"/>
            </w:tcBorders>
            <w:shd w:val="clear" w:color="auto" w:fill="auto"/>
            <w:noWrap/>
            <w:vAlign w:val="bottom"/>
            <w:hideMark/>
          </w:tcPr>
          <w:p w14:paraId="4F604DBD"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337110</w:t>
            </w:r>
          </w:p>
        </w:tc>
        <w:tc>
          <w:tcPr>
            <w:tcW w:w="1004" w:type="dxa"/>
            <w:tcBorders>
              <w:top w:val="nil"/>
              <w:left w:val="nil"/>
              <w:bottom w:val="single" w:sz="4" w:space="0" w:color="auto"/>
              <w:right w:val="single" w:sz="4" w:space="0" w:color="auto"/>
            </w:tcBorders>
            <w:shd w:val="clear" w:color="auto" w:fill="auto"/>
            <w:noWrap/>
            <w:vAlign w:val="bottom"/>
            <w:hideMark/>
          </w:tcPr>
          <w:p w14:paraId="3C93387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5.53</w:t>
            </w:r>
          </w:p>
        </w:tc>
        <w:tc>
          <w:tcPr>
            <w:tcW w:w="900" w:type="dxa"/>
            <w:tcBorders>
              <w:top w:val="nil"/>
              <w:left w:val="nil"/>
              <w:bottom w:val="single" w:sz="4" w:space="0" w:color="auto"/>
              <w:right w:val="single" w:sz="4" w:space="0" w:color="auto"/>
            </w:tcBorders>
            <w:shd w:val="clear" w:color="auto" w:fill="auto"/>
            <w:noWrap/>
            <w:vAlign w:val="bottom"/>
            <w:hideMark/>
          </w:tcPr>
          <w:p w14:paraId="76E9B07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19.30</w:t>
            </w:r>
          </w:p>
        </w:tc>
        <w:tc>
          <w:tcPr>
            <w:tcW w:w="900" w:type="dxa"/>
            <w:tcBorders>
              <w:top w:val="nil"/>
              <w:left w:val="nil"/>
              <w:bottom w:val="single" w:sz="4" w:space="0" w:color="auto"/>
              <w:right w:val="single" w:sz="4" w:space="0" w:color="auto"/>
            </w:tcBorders>
            <w:shd w:val="clear" w:color="auto" w:fill="auto"/>
            <w:noWrap/>
            <w:vAlign w:val="bottom"/>
            <w:hideMark/>
          </w:tcPr>
          <w:p w14:paraId="7E2324B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10.82</w:t>
            </w:r>
          </w:p>
        </w:tc>
        <w:tc>
          <w:tcPr>
            <w:tcW w:w="900" w:type="dxa"/>
            <w:tcBorders>
              <w:top w:val="nil"/>
              <w:left w:val="nil"/>
              <w:bottom w:val="single" w:sz="4" w:space="0" w:color="auto"/>
              <w:right w:val="single" w:sz="4" w:space="0" w:color="auto"/>
            </w:tcBorders>
            <w:shd w:val="clear" w:color="auto" w:fill="auto"/>
            <w:noWrap/>
            <w:vAlign w:val="bottom"/>
            <w:hideMark/>
          </w:tcPr>
          <w:p w14:paraId="25443A8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4587045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0.02</w:t>
            </w:r>
          </w:p>
        </w:tc>
        <w:tc>
          <w:tcPr>
            <w:tcW w:w="1080" w:type="dxa"/>
            <w:tcBorders>
              <w:top w:val="nil"/>
              <w:left w:val="nil"/>
              <w:bottom w:val="single" w:sz="4" w:space="0" w:color="auto"/>
              <w:right w:val="single" w:sz="4" w:space="0" w:color="auto"/>
            </w:tcBorders>
            <w:shd w:val="clear" w:color="auto" w:fill="auto"/>
            <w:noWrap/>
            <w:vAlign w:val="bottom"/>
            <w:hideMark/>
          </w:tcPr>
          <w:p w14:paraId="67BF7F7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13.77</w:t>
            </w:r>
          </w:p>
        </w:tc>
        <w:tc>
          <w:tcPr>
            <w:tcW w:w="990" w:type="dxa"/>
            <w:tcBorders>
              <w:top w:val="nil"/>
              <w:left w:val="nil"/>
              <w:bottom w:val="single" w:sz="4" w:space="0" w:color="auto"/>
              <w:right w:val="single" w:sz="4" w:space="0" w:color="auto"/>
            </w:tcBorders>
            <w:shd w:val="clear" w:color="auto" w:fill="auto"/>
            <w:noWrap/>
            <w:vAlign w:val="bottom"/>
            <w:hideMark/>
          </w:tcPr>
          <w:p w14:paraId="388AA31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-8.48</w:t>
            </w:r>
          </w:p>
        </w:tc>
        <w:tc>
          <w:tcPr>
            <w:tcW w:w="990" w:type="dxa"/>
            <w:tcBorders>
              <w:top w:val="nil"/>
              <w:left w:val="nil"/>
              <w:bottom w:val="single" w:sz="4" w:space="0" w:color="auto"/>
              <w:right w:val="single" w:sz="4" w:space="0" w:color="auto"/>
            </w:tcBorders>
            <w:shd w:val="clear" w:color="auto" w:fill="auto"/>
            <w:noWrap/>
            <w:vAlign w:val="bottom"/>
            <w:hideMark/>
          </w:tcPr>
          <w:p w14:paraId="39A0A56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56.08</w:t>
            </w:r>
          </w:p>
        </w:tc>
        <w:tc>
          <w:tcPr>
            <w:tcW w:w="1080" w:type="dxa"/>
            <w:tcBorders>
              <w:top w:val="nil"/>
              <w:left w:val="nil"/>
              <w:bottom w:val="single" w:sz="4" w:space="0" w:color="auto"/>
              <w:right w:val="single" w:sz="4" w:space="0" w:color="auto"/>
            </w:tcBorders>
            <w:shd w:val="clear" w:color="auto" w:fill="auto"/>
            <w:noWrap/>
            <w:vAlign w:val="bottom"/>
            <w:hideMark/>
          </w:tcPr>
          <w:p w14:paraId="62F5D1F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-19.30</w:t>
            </w:r>
          </w:p>
        </w:tc>
        <w:tc>
          <w:tcPr>
            <w:tcW w:w="1156" w:type="dxa"/>
            <w:tcBorders>
              <w:top w:val="nil"/>
              <w:left w:val="nil"/>
              <w:bottom w:val="single" w:sz="4" w:space="0" w:color="auto"/>
              <w:right w:val="single" w:sz="4" w:space="0" w:color="auto"/>
            </w:tcBorders>
            <w:shd w:val="clear" w:color="auto" w:fill="auto"/>
            <w:noWrap/>
            <w:vAlign w:val="bottom"/>
            <w:hideMark/>
          </w:tcPr>
          <w:p w14:paraId="0B847BA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r>
      <w:tr w:rsidR="00E52AC1" w:rsidRPr="00991DD7" w14:paraId="09D7E6EB" w14:textId="77777777" w:rsidTr="00E52AC1">
        <w:trPr>
          <w:trHeight w:val="71"/>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4FF1D4A3"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hideMark/>
          </w:tcPr>
          <w:p w14:paraId="0B775AF1" w14:textId="77777777" w:rsidR="00E52AC1" w:rsidRPr="00FC31D0" w:rsidRDefault="00E52AC1" w:rsidP="00E52AC1">
            <w:pPr>
              <w:spacing w:after="0" w:line="240" w:lineRule="auto"/>
              <w:jc w:val="both"/>
              <w:rPr>
                <w:rFonts w:asciiTheme="majorHAnsi" w:eastAsia="Times New Roman" w:hAnsiTheme="majorHAnsi" w:cstheme="majorHAnsi"/>
                <w:b/>
                <w:i/>
                <w:iCs/>
                <w:color w:val="000000"/>
                <w:sz w:val="18"/>
                <w:szCs w:val="18"/>
              </w:rPr>
            </w:pPr>
            <w:r w:rsidRPr="00FC31D0">
              <w:rPr>
                <w:rFonts w:asciiTheme="majorHAnsi" w:eastAsia="Times New Roman" w:hAnsiTheme="majorHAnsi" w:cstheme="majorHAnsi"/>
                <w:b/>
                <w:i/>
                <w:iCs/>
                <w:color w:val="000000"/>
                <w:sz w:val="18"/>
                <w:szCs w:val="18"/>
              </w:rPr>
              <w:t>338</w:t>
            </w:r>
          </w:p>
        </w:tc>
        <w:tc>
          <w:tcPr>
            <w:tcW w:w="1004" w:type="dxa"/>
            <w:tcBorders>
              <w:top w:val="nil"/>
              <w:left w:val="nil"/>
              <w:bottom w:val="single" w:sz="4" w:space="0" w:color="auto"/>
              <w:right w:val="single" w:sz="4" w:space="0" w:color="auto"/>
            </w:tcBorders>
            <w:shd w:val="clear" w:color="auto" w:fill="auto"/>
            <w:noWrap/>
            <w:vAlign w:val="bottom"/>
            <w:hideMark/>
          </w:tcPr>
          <w:p w14:paraId="7CE88E56" w14:textId="77777777" w:rsidR="00E52AC1" w:rsidRPr="00FC31D0" w:rsidRDefault="00E52AC1" w:rsidP="00E52AC1">
            <w:pPr>
              <w:spacing w:after="0" w:line="240" w:lineRule="auto"/>
              <w:jc w:val="center"/>
              <w:rPr>
                <w:rFonts w:asciiTheme="majorHAnsi" w:eastAsia="Times New Roman" w:hAnsiTheme="majorHAnsi" w:cstheme="majorHAnsi"/>
                <w:b/>
                <w:color w:val="000000"/>
                <w:sz w:val="18"/>
                <w:szCs w:val="18"/>
              </w:rPr>
            </w:pPr>
            <w:r w:rsidRPr="00FC31D0">
              <w:rPr>
                <w:rFonts w:asciiTheme="majorHAnsi" w:eastAsia="Times New Roman" w:hAnsiTheme="majorHAnsi" w:cstheme="majorHAnsi"/>
                <w:b/>
                <w:color w:val="000000"/>
                <w:sz w:val="18"/>
                <w:szCs w:val="18"/>
              </w:rPr>
              <w:t>2.45</w:t>
            </w:r>
          </w:p>
        </w:tc>
        <w:tc>
          <w:tcPr>
            <w:tcW w:w="900" w:type="dxa"/>
            <w:tcBorders>
              <w:top w:val="nil"/>
              <w:left w:val="nil"/>
              <w:bottom w:val="single" w:sz="4" w:space="0" w:color="auto"/>
              <w:right w:val="single" w:sz="4" w:space="0" w:color="auto"/>
            </w:tcBorders>
            <w:shd w:val="clear" w:color="auto" w:fill="auto"/>
            <w:noWrap/>
            <w:vAlign w:val="bottom"/>
            <w:hideMark/>
          </w:tcPr>
          <w:p w14:paraId="00A981B1" w14:textId="77777777" w:rsidR="00E52AC1" w:rsidRPr="00FC31D0" w:rsidRDefault="00E52AC1" w:rsidP="00E52AC1">
            <w:pPr>
              <w:spacing w:after="0" w:line="240" w:lineRule="auto"/>
              <w:jc w:val="center"/>
              <w:rPr>
                <w:rFonts w:asciiTheme="majorHAnsi" w:eastAsia="Times New Roman" w:hAnsiTheme="majorHAnsi" w:cstheme="majorHAnsi"/>
                <w:b/>
                <w:color w:val="000000"/>
                <w:sz w:val="18"/>
                <w:szCs w:val="18"/>
              </w:rPr>
            </w:pPr>
            <w:r w:rsidRPr="00FC31D0">
              <w:rPr>
                <w:rFonts w:asciiTheme="majorHAnsi" w:eastAsia="Times New Roman" w:hAnsiTheme="majorHAnsi" w:cstheme="majorHAnsi"/>
                <w:b/>
                <w:color w:val="000000"/>
                <w:sz w:val="18"/>
                <w:szCs w:val="18"/>
              </w:rPr>
              <w:t>2.17</w:t>
            </w:r>
          </w:p>
        </w:tc>
        <w:tc>
          <w:tcPr>
            <w:tcW w:w="900" w:type="dxa"/>
            <w:tcBorders>
              <w:top w:val="nil"/>
              <w:left w:val="nil"/>
              <w:bottom w:val="single" w:sz="4" w:space="0" w:color="auto"/>
              <w:right w:val="single" w:sz="4" w:space="0" w:color="auto"/>
            </w:tcBorders>
            <w:shd w:val="clear" w:color="auto" w:fill="auto"/>
            <w:noWrap/>
            <w:vAlign w:val="bottom"/>
            <w:hideMark/>
          </w:tcPr>
          <w:p w14:paraId="01E10DF0" w14:textId="77777777" w:rsidR="00E52AC1" w:rsidRPr="00FC31D0" w:rsidRDefault="00E52AC1" w:rsidP="00E52AC1">
            <w:pPr>
              <w:spacing w:after="0" w:line="240" w:lineRule="auto"/>
              <w:jc w:val="center"/>
              <w:rPr>
                <w:rFonts w:asciiTheme="majorHAnsi" w:eastAsia="Times New Roman" w:hAnsiTheme="majorHAnsi" w:cstheme="majorHAnsi"/>
                <w:b/>
                <w:color w:val="000000"/>
                <w:sz w:val="18"/>
                <w:szCs w:val="18"/>
              </w:rPr>
            </w:pPr>
            <w:r w:rsidRPr="00FC31D0">
              <w:rPr>
                <w:rFonts w:asciiTheme="majorHAnsi" w:eastAsia="Times New Roman" w:hAnsiTheme="majorHAnsi" w:cstheme="majorHAnsi"/>
                <w:b/>
                <w:color w:val="000000"/>
                <w:sz w:val="18"/>
                <w:szCs w:val="18"/>
              </w:rPr>
              <w:t>1.81</w:t>
            </w:r>
          </w:p>
        </w:tc>
        <w:tc>
          <w:tcPr>
            <w:tcW w:w="900" w:type="dxa"/>
            <w:tcBorders>
              <w:top w:val="nil"/>
              <w:left w:val="nil"/>
              <w:bottom w:val="single" w:sz="4" w:space="0" w:color="auto"/>
              <w:right w:val="single" w:sz="4" w:space="0" w:color="auto"/>
            </w:tcBorders>
            <w:shd w:val="clear" w:color="auto" w:fill="auto"/>
            <w:noWrap/>
            <w:vAlign w:val="bottom"/>
            <w:hideMark/>
          </w:tcPr>
          <w:p w14:paraId="31E0713A" w14:textId="77777777" w:rsidR="00E52AC1" w:rsidRPr="00FC31D0" w:rsidRDefault="00E52AC1" w:rsidP="00E52AC1">
            <w:pPr>
              <w:spacing w:after="0" w:line="240" w:lineRule="auto"/>
              <w:jc w:val="center"/>
              <w:rPr>
                <w:rFonts w:asciiTheme="majorHAnsi" w:eastAsia="Times New Roman" w:hAnsiTheme="majorHAnsi" w:cstheme="majorHAnsi"/>
                <w:b/>
                <w:color w:val="000000"/>
                <w:sz w:val="18"/>
                <w:szCs w:val="18"/>
              </w:rPr>
            </w:pPr>
            <w:r w:rsidRPr="00FC31D0">
              <w:rPr>
                <w:rFonts w:asciiTheme="majorHAnsi" w:eastAsia="Times New Roman" w:hAnsiTheme="majorHAnsi" w:cstheme="majorHAnsi"/>
                <w:b/>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0A649686" w14:textId="77777777" w:rsidR="00E52AC1" w:rsidRPr="00FC31D0" w:rsidRDefault="00E52AC1" w:rsidP="00E52AC1">
            <w:pPr>
              <w:spacing w:after="0" w:line="240" w:lineRule="auto"/>
              <w:jc w:val="center"/>
              <w:rPr>
                <w:rFonts w:asciiTheme="majorHAnsi" w:eastAsia="Times New Roman" w:hAnsiTheme="majorHAnsi" w:cstheme="majorHAnsi"/>
                <w:b/>
                <w:color w:val="000000"/>
                <w:sz w:val="18"/>
                <w:szCs w:val="18"/>
              </w:rPr>
            </w:pPr>
            <w:r w:rsidRPr="00FC31D0">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4FEF52B5" w14:textId="77777777" w:rsidR="00E52AC1" w:rsidRPr="00FC31D0" w:rsidRDefault="00E52AC1" w:rsidP="00E52AC1">
            <w:pPr>
              <w:spacing w:after="0" w:line="240" w:lineRule="auto"/>
              <w:jc w:val="center"/>
              <w:rPr>
                <w:rFonts w:asciiTheme="majorHAnsi" w:eastAsia="Times New Roman" w:hAnsiTheme="majorHAnsi" w:cstheme="majorHAnsi"/>
                <w:b/>
                <w:color w:val="000000"/>
                <w:sz w:val="18"/>
                <w:szCs w:val="18"/>
              </w:rPr>
            </w:pPr>
            <w:r w:rsidRPr="00FC31D0">
              <w:rPr>
                <w:rFonts w:asciiTheme="majorHAnsi" w:eastAsia="Times New Roman" w:hAnsiTheme="majorHAnsi" w:cstheme="majorHAnsi"/>
                <w:b/>
                <w:color w:val="000000"/>
                <w:sz w:val="18"/>
                <w:szCs w:val="18"/>
              </w:rPr>
              <w:t>-0.28</w:t>
            </w:r>
          </w:p>
        </w:tc>
        <w:tc>
          <w:tcPr>
            <w:tcW w:w="990" w:type="dxa"/>
            <w:tcBorders>
              <w:top w:val="nil"/>
              <w:left w:val="nil"/>
              <w:bottom w:val="single" w:sz="4" w:space="0" w:color="auto"/>
              <w:right w:val="single" w:sz="4" w:space="0" w:color="auto"/>
            </w:tcBorders>
            <w:shd w:val="clear" w:color="auto" w:fill="auto"/>
            <w:noWrap/>
            <w:vAlign w:val="bottom"/>
            <w:hideMark/>
          </w:tcPr>
          <w:p w14:paraId="2B44B88B" w14:textId="77777777" w:rsidR="00E52AC1" w:rsidRPr="00FC31D0" w:rsidRDefault="00E52AC1" w:rsidP="00E52AC1">
            <w:pPr>
              <w:spacing w:after="0" w:line="240" w:lineRule="auto"/>
              <w:jc w:val="center"/>
              <w:rPr>
                <w:rFonts w:asciiTheme="majorHAnsi" w:eastAsia="Times New Roman" w:hAnsiTheme="majorHAnsi" w:cstheme="majorHAnsi"/>
                <w:b/>
                <w:color w:val="000000"/>
                <w:sz w:val="18"/>
                <w:szCs w:val="18"/>
              </w:rPr>
            </w:pPr>
            <w:r w:rsidRPr="00FC31D0">
              <w:rPr>
                <w:rFonts w:asciiTheme="majorHAnsi" w:eastAsia="Times New Roman" w:hAnsiTheme="majorHAnsi" w:cstheme="majorHAnsi"/>
                <w:b/>
                <w:color w:val="000000"/>
                <w:sz w:val="18"/>
                <w:szCs w:val="18"/>
              </w:rPr>
              <w:t>-0.37</w:t>
            </w:r>
          </w:p>
        </w:tc>
        <w:tc>
          <w:tcPr>
            <w:tcW w:w="990" w:type="dxa"/>
            <w:tcBorders>
              <w:top w:val="nil"/>
              <w:left w:val="nil"/>
              <w:bottom w:val="single" w:sz="4" w:space="0" w:color="auto"/>
              <w:right w:val="single" w:sz="4" w:space="0" w:color="auto"/>
            </w:tcBorders>
            <w:shd w:val="clear" w:color="auto" w:fill="auto"/>
            <w:noWrap/>
            <w:vAlign w:val="bottom"/>
            <w:hideMark/>
          </w:tcPr>
          <w:p w14:paraId="066872EF" w14:textId="77777777" w:rsidR="00E52AC1" w:rsidRPr="00FC31D0" w:rsidRDefault="00E52AC1" w:rsidP="00E52AC1">
            <w:pPr>
              <w:spacing w:after="0" w:line="240" w:lineRule="auto"/>
              <w:jc w:val="center"/>
              <w:rPr>
                <w:rFonts w:asciiTheme="majorHAnsi" w:eastAsia="Times New Roman" w:hAnsiTheme="majorHAnsi" w:cstheme="majorHAnsi"/>
                <w:b/>
                <w:color w:val="000000"/>
                <w:sz w:val="18"/>
                <w:szCs w:val="18"/>
              </w:rPr>
            </w:pPr>
            <w:r w:rsidRPr="00FC31D0">
              <w:rPr>
                <w:rFonts w:asciiTheme="majorHAnsi" w:eastAsia="Times New Roman" w:hAnsiTheme="majorHAnsi" w:cstheme="majorHAnsi"/>
                <w:b/>
                <w:color w:val="000000"/>
                <w:sz w:val="18"/>
                <w:szCs w:val="18"/>
              </w:rPr>
              <w:t>83.16</w:t>
            </w:r>
          </w:p>
        </w:tc>
        <w:tc>
          <w:tcPr>
            <w:tcW w:w="1080" w:type="dxa"/>
            <w:tcBorders>
              <w:top w:val="nil"/>
              <w:left w:val="nil"/>
              <w:bottom w:val="single" w:sz="4" w:space="0" w:color="auto"/>
              <w:right w:val="single" w:sz="4" w:space="0" w:color="auto"/>
            </w:tcBorders>
            <w:shd w:val="clear" w:color="auto" w:fill="auto"/>
            <w:noWrap/>
            <w:vAlign w:val="bottom"/>
            <w:hideMark/>
          </w:tcPr>
          <w:p w14:paraId="700DE468" w14:textId="77777777" w:rsidR="00E52AC1" w:rsidRPr="00FC31D0" w:rsidRDefault="00E52AC1" w:rsidP="00E52AC1">
            <w:pPr>
              <w:spacing w:after="0" w:line="240" w:lineRule="auto"/>
              <w:jc w:val="center"/>
              <w:rPr>
                <w:rFonts w:asciiTheme="majorHAnsi" w:eastAsia="Times New Roman" w:hAnsiTheme="majorHAnsi" w:cstheme="majorHAnsi"/>
                <w:b/>
                <w:color w:val="000000"/>
                <w:sz w:val="18"/>
                <w:szCs w:val="18"/>
              </w:rPr>
            </w:pPr>
            <w:r w:rsidRPr="00FC31D0">
              <w:rPr>
                <w:rFonts w:asciiTheme="majorHAnsi" w:eastAsia="Times New Roman" w:hAnsiTheme="majorHAnsi" w:cstheme="majorHAnsi"/>
                <w:b/>
                <w:color w:val="000000"/>
                <w:sz w:val="18"/>
                <w:szCs w:val="18"/>
              </w:rPr>
              <w:t>-2.17</w:t>
            </w:r>
          </w:p>
        </w:tc>
        <w:tc>
          <w:tcPr>
            <w:tcW w:w="1156" w:type="dxa"/>
            <w:tcBorders>
              <w:top w:val="nil"/>
              <w:left w:val="nil"/>
              <w:bottom w:val="single" w:sz="4" w:space="0" w:color="auto"/>
              <w:right w:val="single" w:sz="4" w:space="0" w:color="auto"/>
            </w:tcBorders>
            <w:shd w:val="clear" w:color="auto" w:fill="auto"/>
            <w:noWrap/>
            <w:vAlign w:val="bottom"/>
            <w:hideMark/>
          </w:tcPr>
          <w:p w14:paraId="600062B7" w14:textId="77777777" w:rsidR="00E52AC1" w:rsidRPr="00FC31D0" w:rsidRDefault="00E52AC1" w:rsidP="00E52AC1">
            <w:pPr>
              <w:spacing w:after="0" w:line="240" w:lineRule="auto"/>
              <w:jc w:val="center"/>
              <w:rPr>
                <w:rFonts w:asciiTheme="majorHAnsi" w:eastAsia="Times New Roman" w:hAnsiTheme="majorHAnsi" w:cstheme="majorHAnsi"/>
                <w:b/>
                <w:color w:val="000000"/>
                <w:sz w:val="18"/>
                <w:szCs w:val="18"/>
              </w:rPr>
            </w:pPr>
            <w:r w:rsidRPr="00FC31D0">
              <w:rPr>
                <w:rFonts w:asciiTheme="majorHAnsi" w:eastAsia="Times New Roman" w:hAnsiTheme="majorHAnsi" w:cstheme="majorHAnsi"/>
                <w:b/>
                <w:color w:val="000000"/>
                <w:sz w:val="18"/>
                <w:szCs w:val="18"/>
              </w:rPr>
              <w:t>0.00</w:t>
            </w:r>
          </w:p>
        </w:tc>
      </w:tr>
      <w:tr w:rsidR="00E52AC1" w:rsidRPr="00991DD7" w14:paraId="0EEF7E30" w14:textId="77777777" w:rsidTr="00E52AC1">
        <w:trPr>
          <w:trHeight w:val="323"/>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3AC27015"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Procurarea accesoriilor de pat îmbrăcămintei încălțămintei</w:t>
            </w:r>
          </w:p>
        </w:tc>
        <w:tc>
          <w:tcPr>
            <w:tcW w:w="964" w:type="dxa"/>
            <w:tcBorders>
              <w:top w:val="nil"/>
              <w:left w:val="nil"/>
              <w:bottom w:val="single" w:sz="4" w:space="0" w:color="auto"/>
              <w:right w:val="single" w:sz="4" w:space="0" w:color="auto"/>
            </w:tcBorders>
            <w:shd w:val="clear" w:color="auto" w:fill="auto"/>
            <w:noWrap/>
            <w:vAlign w:val="bottom"/>
            <w:hideMark/>
          </w:tcPr>
          <w:p w14:paraId="50529DA2"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338110</w:t>
            </w:r>
          </w:p>
        </w:tc>
        <w:tc>
          <w:tcPr>
            <w:tcW w:w="1004" w:type="dxa"/>
            <w:tcBorders>
              <w:top w:val="nil"/>
              <w:left w:val="nil"/>
              <w:bottom w:val="single" w:sz="4" w:space="0" w:color="auto"/>
              <w:right w:val="single" w:sz="4" w:space="0" w:color="auto"/>
            </w:tcBorders>
            <w:shd w:val="clear" w:color="auto" w:fill="auto"/>
            <w:noWrap/>
            <w:vAlign w:val="bottom"/>
            <w:hideMark/>
          </w:tcPr>
          <w:p w14:paraId="0C763F0C" w14:textId="77777777" w:rsidR="00E52AC1" w:rsidRPr="00DB56A1" w:rsidRDefault="00E52AC1" w:rsidP="00E52AC1">
            <w:pPr>
              <w:spacing w:after="0" w:line="240" w:lineRule="auto"/>
              <w:jc w:val="center"/>
              <w:rPr>
                <w:rFonts w:asciiTheme="majorHAnsi" w:eastAsia="Times New Roman" w:hAnsiTheme="majorHAnsi" w:cstheme="majorHAnsi"/>
                <w:color w:val="000000"/>
                <w:sz w:val="18"/>
                <w:szCs w:val="18"/>
              </w:rPr>
            </w:pPr>
            <w:r w:rsidRPr="00DB56A1">
              <w:rPr>
                <w:rFonts w:asciiTheme="majorHAnsi" w:eastAsia="Times New Roman" w:hAnsiTheme="majorHAnsi" w:cstheme="majorHAnsi"/>
                <w:color w:val="000000"/>
                <w:sz w:val="18"/>
                <w:szCs w:val="18"/>
              </w:rPr>
              <w:t>2.45</w:t>
            </w:r>
          </w:p>
        </w:tc>
        <w:tc>
          <w:tcPr>
            <w:tcW w:w="900" w:type="dxa"/>
            <w:tcBorders>
              <w:top w:val="nil"/>
              <w:left w:val="nil"/>
              <w:bottom w:val="single" w:sz="4" w:space="0" w:color="auto"/>
              <w:right w:val="single" w:sz="4" w:space="0" w:color="auto"/>
            </w:tcBorders>
            <w:shd w:val="clear" w:color="auto" w:fill="auto"/>
            <w:noWrap/>
            <w:vAlign w:val="bottom"/>
            <w:hideMark/>
          </w:tcPr>
          <w:p w14:paraId="2F5D781E" w14:textId="77777777" w:rsidR="00E52AC1" w:rsidRPr="00DB56A1" w:rsidRDefault="00E52AC1" w:rsidP="00E52AC1">
            <w:pPr>
              <w:spacing w:after="0" w:line="240" w:lineRule="auto"/>
              <w:jc w:val="center"/>
              <w:rPr>
                <w:rFonts w:asciiTheme="majorHAnsi" w:eastAsia="Times New Roman" w:hAnsiTheme="majorHAnsi" w:cstheme="majorHAnsi"/>
                <w:color w:val="000000"/>
                <w:sz w:val="18"/>
                <w:szCs w:val="18"/>
              </w:rPr>
            </w:pPr>
            <w:r w:rsidRPr="00DB56A1">
              <w:rPr>
                <w:rFonts w:asciiTheme="majorHAnsi" w:eastAsia="Times New Roman" w:hAnsiTheme="majorHAnsi" w:cstheme="majorHAnsi"/>
                <w:color w:val="000000"/>
                <w:sz w:val="18"/>
                <w:szCs w:val="18"/>
              </w:rPr>
              <w:t>2.17</w:t>
            </w:r>
          </w:p>
        </w:tc>
        <w:tc>
          <w:tcPr>
            <w:tcW w:w="900" w:type="dxa"/>
            <w:tcBorders>
              <w:top w:val="nil"/>
              <w:left w:val="nil"/>
              <w:bottom w:val="single" w:sz="4" w:space="0" w:color="auto"/>
              <w:right w:val="single" w:sz="4" w:space="0" w:color="auto"/>
            </w:tcBorders>
            <w:shd w:val="clear" w:color="auto" w:fill="auto"/>
            <w:noWrap/>
            <w:vAlign w:val="bottom"/>
            <w:hideMark/>
          </w:tcPr>
          <w:p w14:paraId="2FD5D8B0" w14:textId="77777777" w:rsidR="00E52AC1" w:rsidRPr="00DB56A1" w:rsidRDefault="00E52AC1" w:rsidP="00E52AC1">
            <w:pPr>
              <w:spacing w:after="0" w:line="240" w:lineRule="auto"/>
              <w:jc w:val="center"/>
              <w:rPr>
                <w:rFonts w:asciiTheme="majorHAnsi" w:eastAsia="Times New Roman" w:hAnsiTheme="majorHAnsi" w:cstheme="majorHAnsi"/>
                <w:color w:val="000000"/>
                <w:sz w:val="18"/>
                <w:szCs w:val="18"/>
              </w:rPr>
            </w:pPr>
            <w:r w:rsidRPr="00DB56A1">
              <w:rPr>
                <w:rFonts w:asciiTheme="majorHAnsi" w:eastAsia="Times New Roman" w:hAnsiTheme="majorHAnsi" w:cstheme="majorHAnsi"/>
                <w:color w:val="000000"/>
                <w:sz w:val="18"/>
                <w:szCs w:val="18"/>
              </w:rPr>
              <w:t>1.81</w:t>
            </w:r>
          </w:p>
        </w:tc>
        <w:tc>
          <w:tcPr>
            <w:tcW w:w="900" w:type="dxa"/>
            <w:tcBorders>
              <w:top w:val="nil"/>
              <w:left w:val="nil"/>
              <w:bottom w:val="single" w:sz="4" w:space="0" w:color="auto"/>
              <w:right w:val="single" w:sz="4" w:space="0" w:color="auto"/>
            </w:tcBorders>
            <w:shd w:val="clear" w:color="auto" w:fill="auto"/>
            <w:noWrap/>
            <w:vAlign w:val="bottom"/>
            <w:hideMark/>
          </w:tcPr>
          <w:p w14:paraId="39E69DD9" w14:textId="77777777" w:rsidR="00E52AC1" w:rsidRPr="00DB56A1" w:rsidRDefault="00E52AC1" w:rsidP="00E52AC1">
            <w:pPr>
              <w:spacing w:after="0" w:line="240" w:lineRule="auto"/>
              <w:jc w:val="center"/>
              <w:rPr>
                <w:rFonts w:asciiTheme="majorHAnsi" w:eastAsia="Times New Roman" w:hAnsiTheme="majorHAnsi" w:cstheme="majorHAnsi"/>
                <w:color w:val="000000"/>
                <w:sz w:val="18"/>
                <w:szCs w:val="18"/>
              </w:rPr>
            </w:pPr>
            <w:r w:rsidRPr="00DB56A1">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5F42535D" w14:textId="77777777" w:rsidR="00E52AC1" w:rsidRPr="00DB56A1" w:rsidRDefault="00E52AC1" w:rsidP="00E52AC1">
            <w:pPr>
              <w:spacing w:after="0" w:line="240" w:lineRule="auto"/>
              <w:jc w:val="center"/>
              <w:rPr>
                <w:rFonts w:asciiTheme="majorHAnsi" w:eastAsia="Times New Roman" w:hAnsiTheme="majorHAnsi" w:cstheme="majorHAnsi"/>
                <w:color w:val="000000"/>
                <w:sz w:val="18"/>
                <w:szCs w:val="18"/>
              </w:rPr>
            </w:pPr>
            <w:r w:rsidRPr="00DB56A1">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0E850635" w14:textId="77777777" w:rsidR="00E52AC1" w:rsidRPr="00DB56A1" w:rsidRDefault="00E52AC1" w:rsidP="00E52AC1">
            <w:pPr>
              <w:spacing w:after="0" w:line="240" w:lineRule="auto"/>
              <w:jc w:val="center"/>
              <w:rPr>
                <w:rFonts w:asciiTheme="majorHAnsi" w:eastAsia="Times New Roman" w:hAnsiTheme="majorHAnsi" w:cstheme="majorHAnsi"/>
                <w:color w:val="000000"/>
                <w:sz w:val="18"/>
                <w:szCs w:val="18"/>
              </w:rPr>
            </w:pPr>
            <w:r w:rsidRPr="00DB56A1">
              <w:rPr>
                <w:rFonts w:asciiTheme="majorHAnsi" w:eastAsia="Times New Roman" w:hAnsiTheme="majorHAnsi" w:cstheme="majorHAnsi"/>
                <w:color w:val="000000"/>
                <w:sz w:val="18"/>
                <w:szCs w:val="18"/>
              </w:rPr>
              <w:t>-0.28</w:t>
            </w:r>
          </w:p>
        </w:tc>
        <w:tc>
          <w:tcPr>
            <w:tcW w:w="990" w:type="dxa"/>
            <w:tcBorders>
              <w:top w:val="nil"/>
              <w:left w:val="nil"/>
              <w:bottom w:val="single" w:sz="4" w:space="0" w:color="auto"/>
              <w:right w:val="single" w:sz="4" w:space="0" w:color="auto"/>
            </w:tcBorders>
            <w:shd w:val="clear" w:color="auto" w:fill="auto"/>
            <w:noWrap/>
            <w:vAlign w:val="bottom"/>
            <w:hideMark/>
          </w:tcPr>
          <w:p w14:paraId="204BD68E" w14:textId="77777777" w:rsidR="00E52AC1" w:rsidRPr="00DB56A1" w:rsidRDefault="00E52AC1" w:rsidP="00E52AC1">
            <w:pPr>
              <w:spacing w:after="0" w:line="240" w:lineRule="auto"/>
              <w:jc w:val="center"/>
              <w:rPr>
                <w:rFonts w:asciiTheme="majorHAnsi" w:eastAsia="Times New Roman" w:hAnsiTheme="majorHAnsi" w:cstheme="majorHAnsi"/>
                <w:color w:val="000000"/>
                <w:sz w:val="18"/>
                <w:szCs w:val="18"/>
              </w:rPr>
            </w:pPr>
            <w:r w:rsidRPr="00DB56A1">
              <w:rPr>
                <w:rFonts w:asciiTheme="majorHAnsi" w:eastAsia="Times New Roman" w:hAnsiTheme="majorHAnsi" w:cstheme="majorHAnsi"/>
                <w:color w:val="000000"/>
                <w:sz w:val="18"/>
                <w:szCs w:val="18"/>
              </w:rPr>
              <w:t>-0.37</w:t>
            </w:r>
          </w:p>
        </w:tc>
        <w:tc>
          <w:tcPr>
            <w:tcW w:w="990" w:type="dxa"/>
            <w:tcBorders>
              <w:top w:val="nil"/>
              <w:left w:val="nil"/>
              <w:bottom w:val="single" w:sz="4" w:space="0" w:color="auto"/>
              <w:right w:val="single" w:sz="4" w:space="0" w:color="auto"/>
            </w:tcBorders>
            <w:shd w:val="clear" w:color="auto" w:fill="auto"/>
            <w:noWrap/>
            <w:vAlign w:val="bottom"/>
            <w:hideMark/>
          </w:tcPr>
          <w:p w14:paraId="1872BB03" w14:textId="77777777" w:rsidR="00E52AC1" w:rsidRPr="00DB56A1" w:rsidRDefault="00E52AC1" w:rsidP="00E52AC1">
            <w:pPr>
              <w:spacing w:after="0" w:line="240" w:lineRule="auto"/>
              <w:jc w:val="center"/>
              <w:rPr>
                <w:rFonts w:asciiTheme="majorHAnsi" w:eastAsia="Times New Roman" w:hAnsiTheme="majorHAnsi" w:cstheme="majorHAnsi"/>
                <w:color w:val="000000"/>
                <w:sz w:val="18"/>
                <w:szCs w:val="18"/>
              </w:rPr>
            </w:pPr>
            <w:r w:rsidRPr="00DB56A1">
              <w:rPr>
                <w:rFonts w:asciiTheme="majorHAnsi" w:eastAsia="Times New Roman" w:hAnsiTheme="majorHAnsi" w:cstheme="majorHAnsi"/>
                <w:color w:val="000000"/>
                <w:sz w:val="18"/>
                <w:szCs w:val="18"/>
              </w:rPr>
              <w:t>83.16</w:t>
            </w:r>
          </w:p>
        </w:tc>
        <w:tc>
          <w:tcPr>
            <w:tcW w:w="1080" w:type="dxa"/>
            <w:tcBorders>
              <w:top w:val="nil"/>
              <w:left w:val="nil"/>
              <w:bottom w:val="single" w:sz="4" w:space="0" w:color="auto"/>
              <w:right w:val="single" w:sz="4" w:space="0" w:color="auto"/>
            </w:tcBorders>
            <w:shd w:val="clear" w:color="auto" w:fill="auto"/>
            <w:noWrap/>
            <w:vAlign w:val="bottom"/>
            <w:hideMark/>
          </w:tcPr>
          <w:p w14:paraId="047D2920" w14:textId="77777777" w:rsidR="00E52AC1" w:rsidRPr="00DB56A1" w:rsidRDefault="00E52AC1" w:rsidP="00E52AC1">
            <w:pPr>
              <w:spacing w:after="0" w:line="240" w:lineRule="auto"/>
              <w:jc w:val="center"/>
              <w:rPr>
                <w:rFonts w:asciiTheme="majorHAnsi" w:eastAsia="Times New Roman" w:hAnsiTheme="majorHAnsi" w:cstheme="majorHAnsi"/>
                <w:color w:val="000000"/>
                <w:sz w:val="18"/>
                <w:szCs w:val="18"/>
              </w:rPr>
            </w:pPr>
            <w:r w:rsidRPr="00DB56A1">
              <w:rPr>
                <w:rFonts w:asciiTheme="majorHAnsi" w:eastAsia="Times New Roman" w:hAnsiTheme="majorHAnsi" w:cstheme="majorHAnsi"/>
                <w:color w:val="000000"/>
                <w:sz w:val="18"/>
                <w:szCs w:val="18"/>
              </w:rPr>
              <w:t>-2.17</w:t>
            </w:r>
          </w:p>
        </w:tc>
        <w:tc>
          <w:tcPr>
            <w:tcW w:w="1156" w:type="dxa"/>
            <w:tcBorders>
              <w:top w:val="nil"/>
              <w:left w:val="nil"/>
              <w:bottom w:val="single" w:sz="4" w:space="0" w:color="auto"/>
              <w:right w:val="single" w:sz="4" w:space="0" w:color="auto"/>
            </w:tcBorders>
            <w:shd w:val="clear" w:color="auto" w:fill="auto"/>
            <w:noWrap/>
            <w:vAlign w:val="bottom"/>
            <w:hideMark/>
          </w:tcPr>
          <w:p w14:paraId="509F6B98" w14:textId="77777777" w:rsidR="00E52AC1" w:rsidRPr="00DB56A1" w:rsidRDefault="00E52AC1" w:rsidP="00E52AC1">
            <w:pPr>
              <w:spacing w:after="0" w:line="240" w:lineRule="auto"/>
              <w:jc w:val="center"/>
              <w:rPr>
                <w:rFonts w:asciiTheme="majorHAnsi" w:eastAsia="Times New Roman" w:hAnsiTheme="majorHAnsi" w:cstheme="majorHAnsi"/>
                <w:color w:val="000000"/>
                <w:sz w:val="18"/>
                <w:szCs w:val="18"/>
              </w:rPr>
            </w:pPr>
            <w:r w:rsidRPr="00DB56A1">
              <w:rPr>
                <w:rFonts w:asciiTheme="majorHAnsi" w:eastAsia="Times New Roman" w:hAnsiTheme="majorHAnsi" w:cstheme="majorHAnsi"/>
                <w:color w:val="000000"/>
                <w:sz w:val="18"/>
                <w:szCs w:val="18"/>
              </w:rPr>
              <w:t>0.00</w:t>
            </w:r>
          </w:p>
        </w:tc>
      </w:tr>
      <w:tr w:rsidR="00E52AC1" w:rsidRPr="00991DD7" w14:paraId="71A260EE" w14:textId="77777777" w:rsidTr="00E52AC1">
        <w:trPr>
          <w:trHeight w:val="125"/>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14C8B45B"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hideMark/>
          </w:tcPr>
          <w:p w14:paraId="72BBD462" w14:textId="77777777" w:rsidR="00E52AC1" w:rsidRPr="00DB56A1" w:rsidRDefault="00E52AC1" w:rsidP="00E52AC1">
            <w:pPr>
              <w:spacing w:after="0" w:line="240" w:lineRule="auto"/>
              <w:jc w:val="both"/>
              <w:rPr>
                <w:rFonts w:asciiTheme="majorHAnsi" w:eastAsia="Times New Roman" w:hAnsiTheme="majorHAnsi" w:cstheme="majorHAnsi"/>
                <w:b/>
                <w:i/>
                <w:iCs/>
                <w:color w:val="000000"/>
                <w:sz w:val="18"/>
                <w:szCs w:val="18"/>
              </w:rPr>
            </w:pPr>
            <w:r w:rsidRPr="00DB56A1">
              <w:rPr>
                <w:rFonts w:asciiTheme="majorHAnsi" w:eastAsia="Times New Roman" w:hAnsiTheme="majorHAnsi" w:cstheme="majorHAnsi"/>
                <w:b/>
                <w:i/>
                <w:iCs/>
                <w:color w:val="000000"/>
                <w:sz w:val="18"/>
                <w:szCs w:val="18"/>
              </w:rPr>
              <w:t>339</w:t>
            </w:r>
          </w:p>
        </w:tc>
        <w:tc>
          <w:tcPr>
            <w:tcW w:w="1004" w:type="dxa"/>
            <w:tcBorders>
              <w:top w:val="nil"/>
              <w:left w:val="nil"/>
              <w:bottom w:val="single" w:sz="4" w:space="0" w:color="auto"/>
              <w:right w:val="single" w:sz="4" w:space="0" w:color="auto"/>
            </w:tcBorders>
            <w:shd w:val="clear" w:color="auto" w:fill="auto"/>
            <w:noWrap/>
            <w:vAlign w:val="bottom"/>
            <w:hideMark/>
          </w:tcPr>
          <w:p w14:paraId="2ACF9ED3" w14:textId="77777777" w:rsidR="00E52AC1" w:rsidRPr="00DB56A1" w:rsidRDefault="00E52AC1" w:rsidP="00E52AC1">
            <w:pPr>
              <w:spacing w:after="0" w:line="240" w:lineRule="auto"/>
              <w:jc w:val="center"/>
              <w:rPr>
                <w:rFonts w:asciiTheme="majorHAnsi" w:eastAsia="Times New Roman" w:hAnsiTheme="majorHAnsi" w:cstheme="majorHAnsi"/>
                <w:b/>
                <w:color w:val="000000"/>
                <w:sz w:val="18"/>
                <w:szCs w:val="18"/>
              </w:rPr>
            </w:pPr>
            <w:r w:rsidRPr="00DB56A1">
              <w:rPr>
                <w:rFonts w:asciiTheme="majorHAnsi" w:eastAsia="Times New Roman" w:hAnsiTheme="majorHAnsi" w:cstheme="majorHAnsi"/>
                <w:b/>
                <w:color w:val="000000"/>
                <w:sz w:val="18"/>
                <w:szCs w:val="18"/>
              </w:rPr>
              <w:t>5.98</w:t>
            </w:r>
          </w:p>
        </w:tc>
        <w:tc>
          <w:tcPr>
            <w:tcW w:w="900" w:type="dxa"/>
            <w:tcBorders>
              <w:top w:val="nil"/>
              <w:left w:val="nil"/>
              <w:bottom w:val="single" w:sz="4" w:space="0" w:color="auto"/>
              <w:right w:val="single" w:sz="4" w:space="0" w:color="auto"/>
            </w:tcBorders>
            <w:shd w:val="clear" w:color="auto" w:fill="auto"/>
            <w:noWrap/>
            <w:vAlign w:val="bottom"/>
            <w:hideMark/>
          </w:tcPr>
          <w:p w14:paraId="7A0CDBCA" w14:textId="77777777" w:rsidR="00E52AC1" w:rsidRPr="00DB56A1" w:rsidRDefault="00E52AC1" w:rsidP="00E52AC1">
            <w:pPr>
              <w:spacing w:after="0" w:line="240" w:lineRule="auto"/>
              <w:jc w:val="center"/>
              <w:rPr>
                <w:rFonts w:asciiTheme="majorHAnsi" w:eastAsia="Times New Roman" w:hAnsiTheme="majorHAnsi" w:cstheme="majorHAnsi"/>
                <w:b/>
                <w:color w:val="000000"/>
                <w:sz w:val="18"/>
                <w:szCs w:val="18"/>
              </w:rPr>
            </w:pPr>
            <w:r w:rsidRPr="00DB56A1">
              <w:rPr>
                <w:rFonts w:asciiTheme="majorHAnsi" w:eastAsia="Times New Roman" w:hAnsiTheme="majorHAnsi" w:cstheme="majorHAnsi"/>
                <w:b/>
                <w:color w:val="000000"/>
                <w:sz w:val="18"/>
                <w:szCs w:val="18"/>
              </w:rPr>
              <w:t>9.02</w:t>
            </w:r>
          </w:p>
        </w:tc>
        <w:tc>
          <w:tcPr>
            <w:tcW w:w="900" w:type="dxa"/>
            <w:tcBorders>
              <w:top w:val="nil"/>
              <w:left w:val="nil"/>
              <w:bottom w:val="single" w:sz="4" w:space="0" w:color="auto"/>
              <w:right w:val="single" w:sz="4" w:space="0" w:color="auto"/>
            </w:tcBorders>
            <w:shd w:val="clear" w:color="auto" w:fill="auto"/>
            <w:noWrap/>
            <w:vAlign w:val="bottom"/>
            <w:hideMark/>
          </w:tcPr>
          <w:p w14:paraId="5A58DE1A" w14:textId="77777777" w:rsidR="00E52AC1" w:rsidRPr="00DB56A1" w:rsidRDefault="00E52AC1" w:rsidP="00E52AC1">
            <w:pPr>
              <w:spacing w:after="0" w:line="240" w:lineRule="auto"/>
              <w:jc w:val="center"/>
              <w:rPr>
                <w:rFonts w:asciiTheme="majorHAnsi" w:eastAsia="Times New Roman" w:hAnsiTheme="majorHAnsi" w:cstheme="majorHAnsi"/>
                <w:b/>
                <w:color w:val="000000"/>
                <w:sz w:val="18"/>
                <w:szCs w:val="18"/>
              </w:rPr>
            </w:pPr>
            <w:r w:rsidRPr="00DB56A1">
              <w:rPr>
                <w:rFonts w:asciiTheme="majorHAnsi" w:eastAsia="Times New Roman" w:hAnsiTheme="majorHAnsi" w:cstheme="majorHAnsi"/>
                <w:b/>
                <w:color w:val="000000"/>
                <w:sz w:val="18"/>
                <w:szCs w:val="18"/>
              </w:rPr>
              <w:t>6.12</w:t>
            </w:r>
          </w:p>
        </w:tc>
        <w:tc>
          <w:tcPr>
            <w:tcW w:w="900" w:type="dxa"/>
            <w:tcBorders>
              <w:top w:val="nil"/>
              <w:left w:val="nil"/>
              <w:bottom w:val="single" w:sz="4" w:space="0" w:color="auto"/>
              <w:right w:val="single" w:sz="4" w:space="0" w:color="auto"/>
            </w:tcBorders>
            <w:shd w:val="clear" w:color="auto" w:fill="auto"/>
            <w:noWrap/>
            <w:vAlign w:val="bottom"/>
            <w:hideMark/>
          </w:tcPr>
          <w:p w14:paraId="1E4D5FE4" w14:textId="77777777" w:rsidR="00E52AC1" w:rsidRPr="00DB56A1" w:rsidRDefault="00E52AC1" w:rsidP="00E52AC1">
            <w:pPr>
              <w:spacing w:after="0" w:line="240" w:lineRule="auto"/>
              <w:jc w:val="center"/>
              <w:rPr>
                <w:rFonts w:asciiTheme="majorHAnsi" w:eastAsia="Times New Roman" w:hAnsiTheme="majorHAnsi" w:cstheme="majorHAnsi"/>
                <w:b/>
                <w:color w:val="000000"/>
                <w:sz w:val="18"/>
                <w:szCs w:val="18"/>
              </w:rPr>
            </w:pPr>
            <w:r w:rsidRPr="00DB56A1">
              <w:rPr>
                <w:rFonts w:asciiTheme="majorHAnsi" w:eastAsia="Times New Roman" w:hAnsiTheme="majorHAnsi" w:cstheme="majorHAnsi"/>
                <w:b/>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19647C81" w14:textId="77777777" w:rsidR="00E52AC1" w:rsidRPr="00DB56A1" w:rsidRDefault="00E52AC1" w:rsidP="00E52AC1">
            <w:pPr>
              <w:spacing w:after="0" w:line="240" w:lineRule="auto"/>
              <w:jc w:val="center"/>
              <w:rPr>
                <w:rFonts w:asciiTheme="majorHAnsi" w:eastAsia="Times New Roman" w:hAnsiTheme="majorHAnsi" w:cstheme="majorHAnsi"/>
                <w:b/>
                <w:color w:val="000000"/>
                <w:sz w:val="18"/>
                <w:szCs w:val="18"/>
              </w:rPr>
            </w:pPr>
            <w:r w:rsidRPr="00DB56A1">
              <w:rPr>
                <w:rFonts w:asciiTheme="majorHAnsi" w:eastAsia="Times New Roman" w:hAnsiTheme="majorHAnsi" w:cstheme="majorHAnsi"/>
                <w:b/>
                <w:color w:val="000000"/>
                <w:sz w:val="18"/>
                <w:szCs w:val="18"/>
              </w:rPr>
              <w:t>0.01</w:t>
            </w:r>
          </w:p>
        </w:tc>
        <w:tc>
          <w:tcPr>
            <w:tcW w:w="1080" w:type="dxa"/>
            <w:tcBorders>
              <w:top w:val="nil"/>
              <w:left w:val="nil"/>
              <w:bottom w:val="single" w:sz="4" w:space="0" w:color="auto"/>
              <w:right w:val="single" w:sz="4" w:space="0" w:color="auto"/>
            </w:tcBorders>
            <w:shd w:val="clear" w:color="auto" w:fill="auto"/>
            <w:noWrap/>
            <w:vAlign w:val="bottom"/>
            <w:hideMark/>
          </w:tcPr>
          <w:p w14:paraId="3F093010" w14:textId="77777777" w:rsidR="00E52AC1" w:rsidRPr="00DB56A1" w:rsidRDefault="00E52AC1" w:rsidP="00E52AC1">
            <w:pPr>
              <w:spacing w:after="0" w:line="240" w:lineRule="auto"/>
              <w:jc w:val="center"/>
              <w:rPr>
                <w:rFonts w:asciiTheme="majorHAnsi" w:eastAsia="Times New Roman" w:hAnsiTheme="majorHAnsi" w:cstheme="majorHAnsi"/>
                <w:b/>
                <w:color w:val="000000"/>
                <w:sz w:val="18"/>
                <w:szCs w:val="18"/>
              </w:rPr>
            </w:pPr>
            <w:r w:rsidRPr="00DB56A1">
              <w:rPr>
                <w:rFonts w:asciiTheme="majorHAnsi" w:eastAsia="Times New Roman" w:hAnsiTheme="majorHAnsi" w:cstheme="majorHAnsi"/>
                <w:b/>
                <w:color w:val="000000"/>
                <w:sz w:val="18"/>
                <w:szCs w:val="18"/>
              </w:rPr>
              <w:t>3.04</w:t>
            </w:r>
          </w:p>
        </w:tc>
        <w:tc>
          <w:tcPr>
            <w:tcW w:w="990" w:type="dxa"/>
            <w:tcBorders>
              <w:top w:val="nil"/>
              <w:left w:val="nil"/>
              <w:bottom w:val="single" w:sz="4" w:space="0" w:color="auto"/>
              <w:right w:val="single" w:sz="4" w:space="0" w:color="auto"/>
            </w:tcBorders>
            <w:shd w:val="clear" w:color="auto" w:fill="auto"/>
            <w:noWrap/>
            <w:vAlign w:val="bottom"/>
            <w:hideMark/>
          </w:tcPr>
          <w:p w14:paraId="5E85AF6D" w14:textId="77777777" w:rsidR="00E52AC1" w:rsidRPr="00DB56A1" w:rsidRDefault="00E52AC1" w:rsidP="00E52AC1">
            <w:pPr>
              <w:spacing w:after="0" w:line="240" w:lineRule="auto"/>
              <w:jc w:val="center"/>
              <w:rPr>
                <w:rFonts w:asciiTheme="majorHAnsi" w:eastAsia="Times New Roman" w:hAnsiTheme="majorHAnsi" w:cstheme="majorHAnsi"/>
                <w:b/>
                <w:color w:val="000000"/>
                <w:sz w:val="18"/>
                <w:szCs w:val="18"/>
              </w:rPr>
            </w:pPr>
            <w:r w:rsidRPr="00DB56A1">
              <w:rPr>
                <w:rFonts w:asciiTheme="majorHAnsi" w:eastAsia="Times New Roman" w:hAnsiTheme="majorHAnsi" w:cstheme="majorHAnsi"/>
                <w:b/>
                <w:color w:val="000000"/>
                <w:sz w:val="18"/>
                <w:szCs w:val="18"/>
              </w:rPr>
              <w:t>-2.91</w:t>
            </w:r>
          </w:p>
        </w:tc>
        <w:tc>
          <w:tcPr>
            <w:tcW w:w="990" w:type="dxa"/>
            <w:tcBorders>
              <w:top w:val="nil"/>
              <w:left w:val="nil"/>
              <w:bottom w:val="single" w:sz="4" w:space="0" w:color="auto"/>
              <w:right w:val="single" w:sz="4" w:space="0" w:color="auto"/>
            </w:tcBorders>
            <w:shd w:val="clear" w:color="auto" w:fill="auto"/>
            <w:noWrap/>
            <w:vAlign w:val="bottom"/>
            <w:hideMark/>
          </w:tcPr>
          <w:p w14:paraId="49A7CBBA" w14:textId="77777777" w:rsidR="00E52AC1" w:rsidRPr="00DB56A1" w:rsidRDefault="00E52AC1" w:rsidP="00E52AC1">
            <w:pPr>
              <w:spacing w:after="0" w:line="240" w:lineRule="auto"/>
              <w:jc w:val="center"/>
              <w:rPr>
                <w:rFonts w:asciiTheme="majorHAnsi" w:eastAsia="Times New Roman" w:hAnsiTheme="majorHAnsi" w:cstheme="majorHAnsi"/>
                <w:b/>
                <w:color w:val="000000"/>
                <w:sz w:val="18"/>
                <w:szCs w:val="18"/>
              </w:rPr>
            </w:pPr>
            <w:r w:rsidRPr="00DB56A1">
              <w:rPr>
                <w:rFonts w:asciiTheme="majorHAnsi" w:eastAsia="Times New Roman" w:hAnsiTheme="majorHAnsi" w:cstheme="majorHAnsi"/>
                <w:b/>
                <w:color w:val="000000"/>
                <w:sz w:val="18"/>
                <w:szCs w:val="18"/>
              </w:rPr>
              <w:t>67.78</w:t>
            </w:r>
          </w:p>
        </w:tc>
        <w:tc>
          <w:tcPr>
            <w:tcW w:w="1080" w:type="dxa"/>
            <w:tcBorders>
              <w:top w:val="nil"/>
              <w:left w:val="nil"/>
              <w:bottom w:val="single" w:sz="4" w:space="0" w:color="auto"/>
              <w:right w:val="single" w:sz="4" w:space="0" w:color="auto"/>
            </w:tcBorders>
            <w:shd w:val="clear" w:color="auto" w:fill="auto"/>
            <w:noWrap/>
            <w:vAlign w:val="bottom"/>
            <w:hideMark/>
          </w:tcPr>
          <w:p w14:paraId="453F8453" w14:textId="77777777" w:rsidR="00E52AC1" w:rsidRPr="00DB56A1" w:rsidRDefault="00E52AC1" w:rsidP="00E52AC1">
            <w:pPr>
              <w:spacing w:after="0" w:line="240" w:lineRule="auto"/>
              <w:jc w:val="center"/>
              <w:rPr>
                <w:rFonts w:asciiTheme="majorHAnsi" w:eastAsia="Times New Roman" w:hAnsiTheme="majorHAnsi" w:cstheme="majorHAnsi"/>
                <w:b/>
                <w:color w:val="000000"/>
                <w:sz w:val="18"/>
                <w:szCs w:val="18"/>
              </w:rPr>
            </w:pPr>
            <w:r w:rsidRPr="00DB56A1">
              <w:rPr>
                <w:rFonts w:asciiTheme="majorHAnsi" w:eastAsia="Times New Roman" w:hAnsiTheme="majorHAnsi" w:cstheme="majorHAnsi"/>
                <w:b/>
                <w:color w:val="000000"/>
                <w:sz w:val="18"/>
                <w:szCs w:val="18"/>
              </w:rPr>
              <w:t>-9.02</w:t>
            </w:r>
          </w:p>
        </w:tc>
        <w:tc>
          <w:tcPr>
            <w:tcW w:w="1156" w:type="dxa"/>
            <w:tcBorders>
              <w:top w:val="nil"/>
              <w:left w:val="nil"/>
              <w:bottom w:val="single" w:sz="4" w:space="0" w:color="auto"/>
              <w:right w:val="single" w:sz="4" w:space="0" w:color="auto"/>
            </w:tcBorders>
            <w:shd w:val="clear" w:color="auto" w:fill="auto"/>
            <w:noWrap/>
            <w:vAlign w:val="bottom"/>
            <w:hideMark/>
          </w:tcPr>
          <w:p w14:paraId="30C43141" w14:textId="77777777" w:rsidR="00E52AC1" w:rsidRPr="00DB56A1" w:rsidRDefault="00E52AC1" w:rsidP="00E52AC1">
            <w:pPr>
              <w:spacing w:after="0" w:line="240" w:lineRule="auto"/>
              <w:jc w:val="center"/>
              <w:rPr>
                <w:rFonts w:asciiTheme="majorHAnsi" w:eastAsia="Times New Roman" w:hAnsiTheme="majorHAnsi" w:cstheme="majorHAnsi"/>
                <w:b/>
                <w:color w:val="000000"/>
                <w:sz w:val="18"/>
                <w:szCs w:val="18"/>
              </w:rPr>
            </w:pPr>
            <w:r w:rsidRPr="00DB56A1">
              <w:rPr>
                <w:rFonts w:asciiTheme="majorHAnsi" w:eastAsia="Times New Roman" w:hAnsiTheme="majorHAnsi" w:cstheme="majorHAnsi"/>
                <w:b/>
                <w:color w:val="000000"/>
                <w:sz w:val="18"/>
                <w:szCs w:val="18"/>
              </w:rPr>
              <w:t>0.00</w:t>
            </w:r>
          </w:p>
        </w:tc>
      </w:tr>
      <w:tr w:rsidR="00E52AC1" w:rsidRPr="00991DD7" w14:paraId="5A04516A" w14:textId="77777777" w:rsidTr="00E52AC1">
        <w:trPr>
          <w:trHeight w:val="5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7D6D6DE3"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Procurarea altor materiale</w:t>
            </w:r>
          </w:p>
        </w:tc>
        <w:tc>
          <w:tcPr>
            <w:tcW w:w="964" w:type="dxa"/>
            <w:tcBorders>
              <w:top w:val="nil"/>
              <w:left w:val="nil"/>
              <w:bottom w:val="single" w:sz="4" w:space="0" w:color="auto"/>
              <w:right w:val="single" w:sz="4" w:space="0" w:color="auto"/>
            </w:tcBorders>
            <w:shd w:val="clear" w:color="auto" w:fill="auto"/>
            <w:noWrap/>
            <w:vAlign w:val="bottom"/>
            <w:hideMark/>
          </w:tcPr>
          <w:p w14:paraId="6A1D9F2A"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339110</w:t>
            </w:r>
          </w:p>
        </w:tc>
        <w:tc>
          <w:tcPr>
            <w:tcW w:w="1004" w:type="dxa"/>
            <w:tcBorders>
              <w:top w:val="nil"/>
              <w:left w:val="nil"/>
              <w:bottom w:val="single" w:sz="4" w:space="0" w:color="auto"/>
              <w:right w:val="single" w:sz="4" w:space="0" w:color="auto"/>
            </w:tcBorders>
            <w:shd w:val="clear" w:color="auto" w:fill="auto"/>
            <w:noWrap/>
            <w:vAlign w:val="bottom"/>
            <w:hideMark/>
          </w:tcPr>
          <w:p w14:paraId="0D6FF84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5.98</w:t>
            </w:r>
          </w:p>
        </w:tc>
        <w:tc>
          <w:tcPr>
            <w:tcW w:w="900" w:type="dxa"/>
            <w:tcBorders>
              <w:top w:val="nil"/>
              <w:left w:val="nil"/>
              <w:bottom w:val="single" w:sz="4" w:space="0" w:color="auto"/>
              <w:right w:val="single" w:sz="4" w:space="0" w:color="auto"/>
            </w:tcBorders>
            <w:shd w:val="clear" w:color="auto" w:fill="auto"/>
            <w:noWrap/>
            <w:vAlign w:val="bottom"/>
            <w:hideMark/>
          </w:tcPr>
          <w:p w14:paraId="1B94BCD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9.02</w:t>
            </w:r>
          </w:p>
        </w:tc>
        <w:tc>
          <w:tcPr>
            <w:tcW w:w="900" w:type="dxa"/>
            <w:tcBorders>
              <w:top w:val="nil"/>
              <w:left w:val="nil"/>
              <w:bottom w:val="single" w:sz="4" w:space="0" w:color="auto"/>
              <w:right w:val="single" w:sz="4" w:space="0" w:color="auto"/>
            </w:tcBorders>
            <w:shd w:val="clear" w:color="auto" w:fill="auto"/>
            <w:noWrap/>
            <w:vAlign w:val="bottom"/>
            <w:hideMark/>
          </w:tcPr>
          <w:p w14:paraId="341C95E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6.12</w:t>
            </w:r>
          </w:p>
        </w:tc>
        <w:tc>
          <w:tcPr>
            <w:tcW w:w="900" w:type="dxa"/>
            <w:tcBorders>
              <w:top w:val="nil"/>
              <w:left w:val="nil"/>
              <w:bottom w:val="single" w:sz="4" w:space="0" w:color="auto"/>
              <w:right w:val="single" w:sz="4" w:space="0" w:color="auto"/>
            </w:tcBorders>
            <w:shd w:val="clear" w:color="auto" w:fill="auto"/>
            <w:noWrap/>
            <w:vAlign w:val="bottom"/>
            <w:hideMark/>
          </w:tcPr>
          <w:p w14:paraId="47AEF7E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1E6891D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0.01</w:t>
            </w:r>
          </w:p>
        </w:tc>
        <w:tc>
          <w:tcPr>
            <w:tcW w:w="1080" w:type="dxa"/>
            <w:tcBorders>
              <w:top w:val="nil"/>
              <w:left w:val="nil"/>
              <w:bottom w:val="single" w:sz="4" w:space="0" w:color="auto"/>
              <w:right w:val="single" w:sz="4" w:space="0" w:color="auto"/>
            </w:tcBorders>
            <w:shd w:val="clear" w:color="auto" w:fill="auto"/>
            <w:noWrap/>
            <w:vAlign w:val="bottom"/>
            <w:hideMark/>
          </w:tcPr>
          <w:p w14:paraId="2CAEA3F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3.04</w:t>
            </w:r>
          </w:p>
        </w:tc>
        <w:tc>
          <w:tcPr>
            <w:tcW w:w="990" w:type="dxa"/>
            <w:tcBorders>
              <w:top w:val="nil"/>
              <w:left w:val="nil"/>
              <w:bottom w:val="single" w:sz="4" w:space="0" w:color="auto"/>
              <w:right w:val="single" w:sz="4" w:space="0" w:color="auto"/>
            </w:tcBorders>
            <w:shd w:val="clear" w:color="auto" w:fill="auto"/>
            <w:noWrap/>
            <w:vAlign w:val="bottom"/>
            <w:hideMark/>
          </w:tcPr>
          <w:p w14:paraId="42D4240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-2.91</w:t>
            </w:r>
          </w:p>
        </w:tc>
        <w:tc>
          <w:tcPr>
            <w:tcW w:w="990" w:type="dxa"/>
            <w:tcBorders>
              <w:top w:val="nil"/>
              <w:left w:val="nil"/>
              <w:bottom w:val="single" w:sz="4" w:space="0" w:color="auto"/>
              <w:right w:val="single" w:sz="4" w:space="0" w:color="auto"/>
            </w:tcBorders>
            <w:shd w:val="clear" w:color="auto" w:fill="auto"/>
            <w:noWrap/>
            <w:vAlign w:val="bottom"/>
            <w:hideMark/>
          </w:tcPr>
          <w:p w14:paraId="5F77D5D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67.78</w:t>
            </w:r>
          </w:p>
        </w:tc>
        <w:tc>
          <w:tcPr>
            <w:tcW w:w="1080" w:type="dxa"/>
            <w:tcBorders>
              <w:top w:val="nil"/>
              <w:left w:val="nil"/>
              <w:bottom w:val="single" w:sz="4" w:space="0" w:color="auto"/>
              <w:right w:val="single" w:sz="4" w:space="0" w:color="auto"/>
            </w:tcBorders>
            <w:shd w:val="clear" w:color="auto" w:fill="auto"/>
            <w:noWrap/>
            <w:vAlign w:val="bottom"/>
            <w:hideMark/>
          </w:tcPr>
          <w:p w14:paraId="1353B87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-9.02</w:t>
            </w:r>
          </w:p>
        </w:tc>
        <w:tc>
          <w:tcPr>
            <w:tcW w:w="1156" w:type="dxa"/>
            <w:tcBorders>
              <w:top w:val="nil"/>
              <w:left w:val="nil"/>
              <w:bottom w:val="single" w:sz="4" w:space="0" w:color="auto"/>
              <w:right w:val="single" w:sz="4" w:space="0" w:color="auto"/>
            </w:tcBorders>
            <w:shd w:val="clear" w:color="auto" w:fill="auto"/>
            <w:noWrap/>
            <w:vAlign w:val="bottom"/>
            <w:hideMark/>
          </w:tcPr>
          <w:p w14:paraId="0DD9079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r>
    </w:tbl>
    <w:p w14:paraId="722D850F" w14:textId="72E3CDCF" w:rsidR="009701EA" w:rsidRPr="00000D4A" w:rsidRDefault="009701EA" w:rsidP="009701EA">
      <w:pPr>
        <w:pStyle w:val="af0"/>
        <w:tabs>
          <w:tab w:val="left" w:pos="5869"/>
        </w:tabs>
        <w:spacing w:after="360" w:line="276" w:lineRule="auto"/>
        <w:rPr>
          <w:rFonts w:eastAsia="Times New Roman"/>
          <w:i/>
          <w:sz w:val="16"/>
          <w:szCs w:val="16"/>
          <w:lang w:eastAsia="ro-MD"/>
        </w:rPr>
      </w:pPr>
      <w:r w:rsidRPr="00000D4A">
        <w:rPr>
          <w:rFonts w:eastAsia="Times New Roman"/>
          <w:b/>
          <w:i/>
          <w:sz w:val="16"/>
          <w:szCs w:val="16"/>
          <w:lang w:eastAsia="ro-MD"/>
        </w:rPr>
        <w:t>Sursă:</w:t>
      </w:r>
      <w:r w:rsidRPr="00000D4A">
        <w:rPr>
          <w:rFonts w:eastAsia="Times New Roman"/>
          <w:i/>
          <w:sz w:val="16"/>
          <w:szCs w:val="16"/>
          <w:lang w:eastAsia="ro-MD"/>
        </w:rPr>
        <w:t xml:space="preserve"> Elaborată în baza</w:t>
      </w:r>
      <w:r>
        <w:rPr>
          <w:rFonts w:eastAsia="Times New Roman"/>
          <w:i/>
          <w:sz w:val="16"/>
          <w:szCs w:val="16"/>
          <w:lang w:eastAsia="ro-MD"/>
        </w:rPr>
        <w:t xml:space="preserve"> Rapoartelor consolidate privind executarea bugetului de către CS în anii 2018-2022 (Forma FD-044)</w:t>
      </w:r>
    </w:p>
    <w:p w14:paraId="09013AB3" w14:textId="77777777" w:rsidR="00E52AC1" w:rsidRDefault="00E52AC1" w:rsidP="00E52AC1">
      <w:pPr>
        <w:rPr>
          <w:rFonts w:ascii="Times New Roman" w:hAnsi="Times New Roman" w:cs="Times New Roman"/>
          <w:sz w:val="24"/>
          <w:szCs w:val="24"/>
        </w:rPr>
        <w:sectPr w:rsidR="00E52AC1" w:rsidSect="00E52AC1">
          <w:pgSz w:w="16838" w:h="11906" w:orient="landscape" w:code="9"/>
          <w:pgMar w:top="1560" w:right="1140" w:bottom="567" w:left="1140" w:header="720" w:footer="720" w:gutter="0"/>
          <w:cols w:space="720"/>
          <w:docGrid w:linePitch="360"/>
        </w:sectPr>
      </w:pPr>
    </w:p>
    <w:p w14:paraId="0F35A04D" w14:textId="32DAC7E8" w:rsidR="00E52AC1" w:rsidRDefault="00E52AC1" w:rsidP="00E52AC1">
      <w:pPr>
        <w:ind w:right="140"/>
        <w:jc w:val="both"/>
        <w:rPr>
          <w:rFonts w:ascii="Times New Roman" w:hAnsi="Times New Roman" w:cs="Times New Roman"/>
          <w:sz w:val="24"/>
          <w:szCs w:val="24"/>
        </w:rPr>
      </w:pPr>
      <w:r>
        <w:rPr>
          <w:rFonts w:ascii="Times New Roman" w:eastAsia="Times New Roman" w:hAnsi="Times New Roman" w:cs="Times New Roman"/>
          <w:b/>
          <w:bCs/>
          <w:iCs/>
          <w:color w:val="0070C0"/>
          <w:sz w:val="24"/>
          <w:szCs w:val="24"/>
        </w:rPr>
        <w:t xml:space="preserve">Anexa nr. 7: </w:t>
      </w:r>
      <w:r w:rsidRPr="007C5686">
        <w:rPr>
          <w:rFonts w:ascii="Times New Roman" w:eastAsia="Times New Roman" w:hAnsi="Times New Roman" w:cs="Times New Roman"/>
          <w:b/>
          <w:bCs/>
          <w:iCs/>
          <w:color w:val="0070C0"/>
          <w:sz w:val="24"/>
          <w:szCs w:val="24"/>
        </w:rPr>
        <w:t>Datele aferente so</w:t>
      </w:r>
      <w:r>
        <w:rPr>
          <w:rFonts w:ascii="Times New Roman" w:eastAsia="Times New Roman" w:hAnsi="Times New Roman" w:cs="Times New Roman"/>
          <w:b/>
          <w:bCs/>
          <w:iCs/>
          <w:color w:val="0070C0"/>
          <w:sz w:val="24"/>
          <w:szCs w:val="24"/>
        </w:rPr>
        <w:t>l</w:t>
      </w:r>
      <w:r w:rsidRPr="007C5686">
        <w:rPr>
          <w:rFonts w:ascii="Times New Roman" w:eastAsia="Times New Roman" w:hAnsi="Times New Roman" w:cs="Times New Roman"/>
          <w:b/>
          <w:bCs/>
          <w:iCs/>
          <w:color w:val="0070C0"/>
          <w:sz w:val="24"/>
          <w:szCs w:val="24"/>
        </w:rPr>
        <w:t xml:space="preserve">durilor subvențiilor/granturilor </w:t>
      </w:r>
      <w:r>
        <w:rPr>
          <w:rFonts w:ascii="Times New Roman" w:eastAsia="Times New Roman" w:hAnsi="Times New Roman" w:cs="Times New Roman"/>
          <w:b/>
          <w:bCs/>
          <w:iCs/>
          <w:color w:val="0070C0"/>
          <w:sz w:val="24"/>
          <w:szCs w:val="24"/>
        </w:rPr>
        <w:t>raportate de CS și unele I</w:t>
      </w:r>
      <w:r w:rsidR="00F11CE0">
        <w:rPr>
          <w:rFonts w:ascii="Times New Roman" w:eastAsia="Times New Roman" w:hAnsi="Times New Roman" w:cs="Times New Roman"/>
          <w:b/>
          <w:bCs/>
          <w:iCs/>
          <w:color w:val="0070C0"/>
          <w:sz w:val="24"/>
          <w:szCs w:val="24"/>
        </w:rPr>
        <w:t>.</w:t>
      </w:r>
      <w:r>
        <w:rPr>
          <w:rFonts w:ascii="Times New Roman" w:eastAsia="Times New Roman" w:hAnsi="Times New Roman" w:cs="Times New Roman"/>
          <w:b/>
          <w:bCs/>
          <w:iCs/>
          <w:color w:val="0070C0"/>
          <w:sz w:val="24"/>
          <w:szCs w:val="24"/>
        </w:rPr>
        <w:t>P</w:t>
      </w:r>
      <w:r w:rsidR="00F11CE0">
        <w:rPr>
          <w:rFonts w:ascii="Times New Roman" w:eastAsia="Times New Roman" w:hAnsi="Times New Roman" w:cs="Times New Roman"/>
          <w:b/>
          <w:bCs/>
          <w:iCs/>
          <w:color w:val="0070C0"/>
          <w:sz w:val="24"/>
          <w:szCs w:val="24"/>
        </w:rPr>
        <w:t>.</w:t>
      </w:r>
      <w:r>
        <w:rPr>
          <w:rFonts w:ascii="Times New Roman" w:eastAsia="Times New Roman" w:hAnsi="Times New Roman" w:cs="Times New Roman"/>
          <w:b/>
          <w:bCs/>
          <w:iCs/>
          <w:color w:val="0070C0"/>
          <w:sz w:val="24"/>
          <w:szCs w:val="24"/>
        </w:rPr>
        <w:t xml:space="preserve"> monitorizate (AGE și STISC) în perioada anilor 2018-2022 </w:t>
      </w:r>
    </w:p>
    <w:p w14:paraId="17535117" w14:textId="77777777" w:rsidR="00E52AC1" w:rsidRDefault="00E52AC1" w:rsidP="00FC3E2D">
      <w:pPr>
        <w:spacing w:after="0"/>
        <w:ind w:right="142"/>
        <w:jc w:val="right"/>
        <w:rPr>
          <w:rFonts w:ascii="Times New Roman" w:hAnsi="Times New Roman" w:cs="Times New Roman"/>
          <w:sz w:val="24"/>
          <w:szCs w:val="24"/>
        </w:rPr>
      </w:pPr>
      <w:r>
        <w:rPr>
          <w:rFonts w:ascii="Times New Roman" w:hAnsi="Times New Roman" w:cs="Times New Roman"/>
          <w:sz w:val="24"/>
          <w:szCs w:val="24"/>
        </w:rPr>
        <w:t>Mii lei</w:t>
      </w:r>
    </w:p>
    <w:p w14:paraId="725A8BC9" w14:textId="4C37D667" w:rsidR="00E52AC1" w:rsidRDefault="007D09C8" w:rsidP="009701EA">
      <w:pPr>
        <w:spacing w:after="0"/>
        <w:rPr>
          <w:rFonts w:ascii="Times New Roman" w:hAnsi="Times New Roman" w:cs="Times New Roman"/>
          <w:sz w:val="24"/>
          <w:szCs w:val="24"/>
        </w:rPr>
      </w:pPr>
      <w:r>
        <w:rPr>
          <w:noProof/>
          <w:lang w:val="en-US"/>
        </w:rPr>
        <w:t xml:space="preserve"> </w:t>
      </w:r>
      <w:r w:rsidR="00B422A0" w:rsidRPr="00B422A0">
        <w:rPr>
          <w:noProof/>
          <w:lang w:val="ru-RU" w:eastAsia="ru-RU"/>
        </w:rPr>
        <w:drawing>
          <wp:inline distT="0" distB="0" distL="0" distR="0" wp14:anchorId="4343685E" wp14:editId="5424B3E1">
            <wp:extent cx="6120765" cy="30319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3031952"/>
                    </a:xfrm>
                    <a:prstGeom prst="rect">
                      <a:avLst/>
                    </a:prstGeom>
                    <a:noFill/>
                    <a:ln>
                      <a:noFill/>
                    </a:ln>
                  </pic:spPr>
                </pic:pic>
              </a:graphicData>
            </a:graphic>
          </wp:inline>
        </w:drawing>
      </w:r>
    </w:p>
    <w:p w14:paraId="5AE6AAD2" w14:textId="536CD425" w:rsidR="009701EA" w:rsidRPr="00000D4A" w:rsidRDefault="009701EA" w:rsidP="009701EA">
      <w:pPr>
        <w:pStyle w:val="af0"/>
        <w:tabs>
          <w:tab w:val="left" w:pos="5869"/>
        </w:tabs>
        <w:spacing w:after="360" w:line="276" w:lineRule="auto"/>
        <w:rPr>
          <w:rFonts w:eastAsia="Times New Roman"/>
          <w:i/>
          <w:sz w:val="16"/>
          <w:szCs w:val="16"/>
          <w:lang w:eastAsia="ro-MD"/>
        </w:rPr>
      </w:pPr>
      <w:r w:rsidRPr="00000D4A">
        <w:rPr>
          <w:rFonts w:eastAsia="Times New Roman"/>
          <w:b/>
          <w:i/>
          <w:sz w:val="16"/>
          <w:szCs w:val="16"/>
          <w:lang w:eastAsia="ro-MD"/>
        </w:rPr>
        <w:t>Sursă:</w:t>
      </w:r>
      <w:r w:rsidRPr="00000D4A">
        <w:rPr>
          <w:rFonts w:eastAsia="Times New Roman"/>
          <w:i/>
          <w:sz w:val="16"/>
          <w:szCs w:val="16"/>
          <w:lang w:eastAsia="ro-MD"/>
        </w:rPr>
        <w:t xml:space="preserve"> Elaborată în baza</w:t>
      </w:r>
      <w:r w:rsidR="00BA69A9">
        <w:rPr>
          <w:rFonts w:eastAsia="Times New Roman"/>
          <w:i/>
          <w:sz w:val="16"/>
          <w:szCs w:val="16"/>
          <w:lang w:eastAsia="ro-MD"/>
        </w:rPr>
        <w:t xml:space="preserve"> </w:t>
      </w:r>
      <w:r>
        <w:rPr>
          <w:rFonts w:eastAsia="Times New Roman"/>
          <w:i/>
          <w:sz w:val="16"/>
          <w:szCs w:val="16"/>
          <w:lang w:eastAsia="ro-MD"/>
        </w:rPr>
        <w:t>informațiilor prezentate de CS și I</w:t>
      </w:r>
      <w:r w:rsidR="00F11CE0">
        <w:rPr>
          <w:rFonts w:eastAsia="Times New Roman"/>
          <w:i/>
          <w:sz w:val="16"/>
          <w:szCs w:val="16"/>
          <w:lang w:eastAsia="ro-MD"/>
        </w:rPr>
        <w:t>.</w:t>
      </w:r>
      <w:r>
        <w:rPr>
          <w:rFonts w:eastAsia="Times New Roman"/>
          <w:i/>
          <w:sz w:val="16"/>
          <w:szCs w:val="16"/>
          <w:lang w:eastAsia="ro-MD"/>
        </w:rPr>
        <w:t>P</w:t>
      </w:r>
      <w:r w:rsidR="00F11CE0">
        <w:rPr>
          <w:rFonts w:eastAsia="Times New Roman"/>
          <w:i/>
          <w:sz w:val="16"/>
          <w:szCs w:val="16"/>
          <w:lang w:eastAsia="ro-MD"/>
        </w:rPr>
        <w:t>.</w:t>
      </w:r>
      <w:r>
        <w:rPr>
          <w:rFonts w:eastAsia="Times New Roman"/>
          <w:i/>
          <w:sz w:val="16"/>
          <w:szCs w:val="16"/>
          <w:lang w:eastAsia="ro-MD"/>
        </w:rPr>
        <w:t xml:space="preserve"> monitorizate</w:t>
      </w:r>
    </w:p>
    <w:p w14:paraId="3FA23A64" w14:textId="74575721" w:rsidR="009701EA" w:rsidRPr="00000D4A" w:rsidRDefault="00E52AC1" w:rsidP="00D1651D">
      <w:pPr>
        <w:jc w:val="both"/>
        <w:rPr>
          <w:rFonts w:eastAsia="Times New Roman"/>
          <w:i/>
          <w:sz w:val="16"/>
          <w:szCs w:val="16"/>
          <w:lang w:eastAsia="ro-MD"/>
        </w:rPr>
      </w:pPr>
      <w:r>
        <w:rPr>
          <w:rFonts w:ascii="Times New Roman" w:eastAsia="Times New Roman" w:hAnsi="Times New Roman" w:cs="Times New Roman"/>
          <w:b/>
          <w:bCs/>
          <w:iCs/>
          <w:color w:val="0070C0"/>
          <w:sz w:val="24"/>
          <w:szCs w:val="24"/>
        </w:rPr>
        <w:t xml:space="preserve">Anexa nr. 8. </w:t>
      </w:r>
      <w:r w:rsidRPr="00142A01">
        <w:rPr>
          <w:rFonts w:ascii="Times New Roman" w:eastAsia="Times New Roman" w:hAnsi="Times New Roman" w:cs="Times New Roman"/>
          <w:b/>
          <w:bCs/>
          <w:iCs/>
          <w:color w:val="0070C0"/>
          <w:sz w:val="24"/>
          <w:szCs w:val="24"/>
        </w:rPr>
        <w:t>Infor</w:t>
      </w:r>
      <w:r w:rsidR="00F00A95">
        <w:rPr>
          <w:rFonts w:ascii="Times New Roman" w:eastAsia="Times New Roman" w:hAnsi="Times New Roman" w:cs="Times New Roman"/>
          <w:b/>
          <w:bCs/>
          <w:iCs/>
          <w:color w:val="0070C0"/>
          <w:sz w:val="24"/>
          <w:szCs w:val="24"/>
        </w:rPr>
        <w:t>mația privind patrimoniu public gestionat de către</w:t>
      </w:r>
      <w:r w:rsidRPr="00142A01">
        <w:rPr>
          <w:rFonts w:ascii="Times New Roman" w:eastAsia="Times New Roman" w:hAnsi="Times New Roman" w:cs="Times New Roman"/>
          <w:b/>
          <w:bCs/>
          <w:iCs/>
          <w:color w:val="0070C0"/>
          <w:sz w:val="24"/>
          <w:szCs w:val="24"/>
        </w:rPr>
        <w:t xml:space="preserve"> I</w:t>
      </w:r>
      <w:r w:rsidR="00F11CE0">
        <w:rPr>
          <w:rFonts w:ascii="Times New Roman" w:eastAsia="Times New Roman" w:hAnsi="Times New Roman" w:cs="Times New Roman"/>
          <w:b/>
          <w:bCs/>
          <w:iCs/>
          <w:color w:val="0070C0"/>
          <w:sz w:val="24"/>
          <w:szCs w:val="24"/>
        </w:rPr>
        <w:t>.</w:t>
      </w:r>
      <w:r w:rsidRPr="00142A01">
        <w:rPr>
          <w:rFonts w:ascii="Times New Roman" w:eastAsia="Times New Roman" w:hAnsi="Times New Roman" w:cs="Times New Roman"/>
          <w:b/>
          <w:bCs/>
          <w:iCs/>
          <w:color w:val="0070C0"/>
          <w:sz w:val="24"/>
          <w:szCs w:val="24"/>
        </w:rPr>
        <w:t>P</w:t>
      </w:r>
      <w:r w:rsidR="00F11CE0">
        <w:rPr>
          <w:rFonts w:ascii="Times New Roman" w:eastAsia="Times New Roman" w:hAnsi="Times New Roman" w:cs="Times New Roman"/>
          <w:b/>
          <w:bCs/>
          <w:iCs/>
          <w:color w:val="0070C0"/>
          <w:sz w:val="24"/>
          <w:szCs w:val="24"/>
        </w:rPr>
        <w:t>.</w:t>
      </w:r>
      <w:r w:rsidRPr="00142A01">
        <w:rPr>
          <w:rFonts w:ascii="Times New Roman" w:eastAsia="Times New Roman" w:hAnsi="Times New Roman" w:cs="Times New Roman"/>
          <w:b/>
          <w:bCs/>
          <w:iCs/>
          <w:color w:val="0070C0"/>
          <w:sz w:val="24"/>
          <w:szCs w:val="24"/>
        </w:rPr>
        <w:t xml:space="preserve"> fondate de CS și calculele de audit </w:t>
      </w:r>
      <w:r>
        <w:rPr>
          <w:rFonts w:ascii="Times New Roman" w:eastAsia="Times New Roman" w:hAnsi="Times New Roman" w:cs="Times New Roman"/>
          <w:b/>
          <w:bCs/>
          <w:iCs/>
          <w:color w:val="0070C0"/>
          <w:sz w:val="24"/>
          <w:szCs w:val="24"/>
        </w:rPr>
        <w:t>aferente</w:t>
      </w:r>
    </w:p>
    <w:tbl>
      <w:tblPr>
        <w:tblW w:w="994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2055"/>
        <w:gridCol w:w="1848"/>
        <w:gridCol w:w="1856"/>
        <w:gridCol w:w="1666"/>
        <w:gridCol w:w="2019"/>
      </w:tblGrid>
      <w:tr w:rsidR="00970F21" w:rsidRPr="00AC1E7F" w14:paraId="2DE566F8" w14:textId="77777777" w:rsidTr="00703119">
        <w:trPr>
          <w:trHeight w:val="588"/>
        </w:trPr>
        <w:tc>
          <w:tcPr>
            <w:tcW w:w="497" w:type="dxa"/>
            <w:shd w:val="clear" w:color="000000" w:fill="DDEBF7"/>
            <w:noWrap/>
            <w:vAlign w:val="center"/>
            <w:hideMark/>
          </w:tcPr>
          <w:p w14:paraId="190C4572" w14:textId="77777777" w:rsidR="00970F21" w:rsidRPr="00AC1E7F" w:rsidRDefault="00970F21" w:rsidP="00F00A95">
            <w:pPr>
              <w:spacing w:after="0" w:line="240" w:lineRule="auto"/>
              <w:jc w:val="center"/>
              <w:rPr>
                <w:rFonts w:eastAsia="Times New Roman" w:cstheme="minorHAnsi"/>
                <w:sz w:val="18"/>
                <w:szCs w:val="18"/>
              </w:rPr>
            </w:pPr>
            <w:r w:rsidRPr="00AC1E7F">
              <w:rPr>
                <w:rFonts w:eastAsia="Times New Roman" w:cstheme="minorHAnsi"/>
                <w:sz w:val="18"/>
                <w:szCs w:val="18"/>
              </w:rPr>
              <w:t>N/o</w:t>
            </w:r>
          </w:p>
        </w:tc>
        <w:tc>
          <w:tcPr>
            <w:tcW w:w="2055" w:type="dxa"/>
            <w:shd w:val="clear" w:color="000000" w:fill="DDEBF7"/>
            <w:noWrap/>
            <w:vAlign w:val="center"/>
            <w:hideMark/>
          </w:tcPr>
          <w:p w14:paraId="06D0EFFF" w14:textId="77777777" w:rsidR="00970F21" w:rsidRPr="00AC1E7F" w:rsidRDefault="00970F21" w:rsidP="00F00A95">
            <w:pPr>
              <w:spacing w:after="0" w:line="240" w:lineRule="auto"/>
              <w:jc w:val="center"/>
              <w:rPr>
                <w:rFonts w:eastAsia="Times New Roman" w:cstheme="minorHAnsi"/>
                <w:sz w:val="18"/>
                <w:szCs w:val="18"/>
              </w:rPr>
            </w:pPr>
            <w:r w:rsidRPr="00AC1E7F">
              <w:rPr>
                <w:rFonts w:eastAsia="Times New Roman" w:cstheme="minorHAnsi"/>
                <w:sz w:val="18"/>
                <w:szCs w:val="18"/>
              </w:rPr>
              <w:t>Denumirea IP</w:t>
            </w:r>
          </w:p>
        </w:tc>
        <w:tc>
          <w:tcPr>
            <w:tcW w:w="1848" w:type="dxa"/>
            <w:shd w:val="clear" w:color="000000" w:fill="DDEBF7"/>
            <w:vAlign w:val="center"/>
            <w:hideMark/>
          </w:tcPr>
          <w:p w14:paraId="1893CB5A" w14:textId="688BBF7F" w:rsidR="00970F21" w:rsidRPr="00AC1E7F" w:rsidRDefault="00970F21" w:rsidP="00F00A95">
            <w:pPr>
              <w:spacing w:after="0" w:line="240" w:lineRule="auto"/>
              <w:jc w:val="center"/>
              <w:rPr>
                <w:rFonts w:eastAsia="Times New Roman" w:cstheme="minorHAnsi"/>
                <w:sz w:val="18"/>
                <w:szCs w:val="18"/>
              </w:rPr>
            </w:pPr>
            <w:r w:rsidRPr="00AC1E7F">
              <w:rPr>
                <w:rFonts w:eastAsia="Times New Roman" w:cstheme="minorHAnsi"/>
                <w:sz w:val="18"/>
                <w:szCs w:val="18"/>
              </w:rPr>
              <w:t xml:space="preserve">Sold </w:t>
            </w:r>
            <w:r w:rsidR="006527C9">
              <w:rPr>
                <w:rFonts w:eastAsia="Times New Roman" w:cstheme="minorHAnsi"/>
                <w:sz w:val="18"/>
                <w:szCs w:val="18"/>
              </w:rPr>
              <w:t xml:space="preserve">la </w:t>
            </w:r>
            <w:r w:rsidRPr="00AC1E7F">
              <w:rPr>
                <w:rFonts w:eastAsia="Times New Roman" w:cstheme="minorHAnsi"/>
                <w:sz w:val="18"/>
                <w:szCs w:val="18"/>
              </w:rPr>
              <w:t>31.12.2022</w:t>
            </w:r>
            <w:r w:rsidR="00F00A95">
              <w:rPr>
                <w:rFonts w:eastAsia="Times New Roman" w:cstheme="minorHAnsi"/>
                <w:sz w:val="18"/>
                <w:szCs w:val="18"/>
              </w:rPr>
              <w:t>, conform</w:t>
            </w:r>
            <w:r w:rsidRPr="00AC1E7F">
              <w:rPr>
                <w:rFonts w:eastAsia="Times New Roman" w:cstheme="minorHAnsi"/>
                <w:sz w:val="18"/>
                <w:szCs w:val="18"/>
              </w:rPr>
              <w:t xml:space="preserve"> </w:t>
            </w:r>
            <w:r w:rsidR="006527C9">
              <w:rPr>
                <w:rFonts w:eastAsia="Times New Roman" w:cstheme="minorHAnsi"/>
                <w:sz w:val="18"/>
                <w:szCs w:val="18"/>
              </w:rPr>
              <w:t>e</w:t>
            </w:r>
            <w:r w:rsidR="00F00A95">
              <w:rPr>
                <w:rFonts w:eastAsia="Times New Roman" w:cstheme="minorHAnsi"/>
                <w:sz w:val="18"/>
                <w:szCs w:val="18"/>
              </w:rPr>
              <w:t>videnței</w:t>
            </w:r>
            <w:r w:rsidRPr="00AC1E7F">
              <w:rPr>
                <w:rFonts w:eastAsia="Times New Roman" w:cstheme="minorHAnsi"/>
                <w:sz w:val="18"/>
                <w:szCs w:val="18"/>
              </w:rPr>
              <w:t xml:space="preserve"> CS</w:t>
            </w:r>
          </w:p>
        </w:tc>
        <w:tc>
          <w:tcPr>
            <w:tcW w:w="1856" w:type="dxa"/>
            <w:shd w:val="clear" w:color="000000" w:fill="DDEBF7"/>
            <w:vAlign w:val="center"/>
            <w:hideMark/>
          </w:tcPr>
          <w:p w14:paraId="52D5F461" w14:textId="07F9EADE" w:rsidR="00970F21" w:rsidRPr="00AC1E7F" w:rsidRDefault="00970F21" w:rsidP="00F00A95">
            <w:pPr>
              <w:spacing w:after="0" w:line="240" w:lineRule="auto"/>
              <w:jc w:val="center"/>
              <w:rPr>
                <w:rFonts w:eastAsia="Times New Roman" w:cstheme="minorHAnsi"/>
                <w:sz w:val="18"/>
                <w:szCs w:val="18"/>
              </w:rPr>
            </w:pPr>
            <w:r w:rsidRPr="00AC1E7F">
              <w:rPr>
                <w:rFonts w:eastAsia="Times New Roman" w:cstheme="minorHAnsi"/>
                <w:sz w:val="18"/>
                <w:szCs w:val="18"/>
              </w:rPr>
              <w:t xml:space="preserve">Sold </w:t>
            </w:r>
            <w:r>
              <w:rPr>
                <w:rFonts w:eastAsia="Times New Roman" w:cstheme="minorHAnsi"/>
                <w:sz w:val="18"/>
                <w:szCs w:val="18"/>
              </w:rPr>
              <w:t xml:space="preserve">la </w:t>
            </w:r>
            <w:r w:rsidR="006527C9">
              <w:rPr>
                <w:rFonts w:eastAsia="Times New Roman" w:cstheme="minorHAnsi"/>
                <w:sz w:val="18"/>
                <w:szCs w:val="18"/>
              </w:rPr>
              <w:t>31.12.2022</w:t>
            </w:r>
            <w:r w:rsidR="00F00A95">
              <w:rPr>
                <w:rFonts w:eastAsia="Times New Roman" w:cstheme="minorHAnsi"/>
                <w:sz w:val="18"/>
                <w:szCs w:val="18"/>
              </w:rPr>
              <w:t xml:space="preserve">, conform </w:t>
            </w:r>
            <w:r w:rsidR="006527C9">
              <w:rPr>
                <w:rFonts w:eastAsia="Times New Roman" w:cstheme="minorHAnsi"/>
                <w:sz w:val="18"/>
                <w:szCs w:val="18"/>
              </w:rPr>
              <w:t>e</w:t>
            </w:r>
            <w:r w:rsidR="00F00A95">
              <w:rPr>
                <w:rFonts w:eastAsia="Times New Roman" w:cstheme="minorHAnsi"/>
                <w:sz w:val="18"/>
                <w:szCs w:val="18"/>
              </w:rPr>
              <w:t>videnței</w:t>
            </w:r>
            <w:r w:rsidRPr="00AC1E7F">
              <w:rPr>
                <w:rFonts w:eastAsia="Times New Roman" w:cstheme="minorHAnsi"/>
                <w:sz w:val="18"/>
                <w:szCs w:val="18"/>
              </w:rPr>
              <w:t xml:space="preserve"> I</w:t>
            </w:r>
            <w:r>
              <w:rPr>
                <w:rFonts w:eastAsia="Times New Roman" w:cstheme="minorHAnsi"/>
                <w:sz w:val="18"/>
                <w:szCs w:val="18"/>
              </w:rPr>
              <w:t>.</w:t>
            </w:r>
            <w:r w:rsidRPr="00AC1E7F">
              <w:rPr>
                <w:rFonts w:eastAsia="Times New Roman" w:cstheme="minorHAnsi"/>
                <w:sz w:val="18"/>
                <w:szCs w:val="18"/>
              </w:rPr>
              <w:t>P</w:t>
            </w:r>
            <w:r>
              <w:rPr>
                <w:rFonts w:eastAsia="Times New Roman" w:cstheme="minorHAnsi"/>
                <w:sz w:val="18"/>
                <w:szCs w:val="18"/>
              </w:rPr>
              <w:t>.</w:t>
            </w:r>
            <w:r w:rsidR="00780213">
              <w:rPr>
                <w:rFonts w:eastAsia="Times New Roman" w:cstheme="minorHAnsi"/>
                <w:sz w:val="18"/>
                <w:szCs w:val="18"/>
              </w:rPr>
              <w:t xml:space="preserve"> la conturile de pasiv</w:t>
            </w:r>
          </w:p>
        </w:tc>
        <w:tc>
          <w:tcPr>
            <w:tcW w:w="1666" w:type="dxa"/>
            <w:shd w:val="clear" w:color="000000" w:fill="DDEBF7"/>
            <w:vAlign w:val="center"/>
          </w:tcPr>
          <w:p w14:paraId="6A591BC4" w14:textId="5544FE20" w:rsidR="00970F21" w:rsidRPr="00AC1E7F" w:rsidRDefault="00970F21" w:rsidP="00F00A95">
            <w:pPr>
              <w:spacing w:after="0" w:line="240" w:lineRule="auto"/>
              <w:jc w:val="center"/>
              <w:rPr>
                <w:rFonts w:eastAsia="Times New Roman" w:cstheme="minorHAnsi"/>
                <w:sz w:val="18"/>
                <w:szCs w:val="18"/>
              </w:rPr>
            </w:pPr>
            <w:r w:rsidRPr="00AC1E7F">
              <w:rPr>
                <w:rFonts w:eastAsia="Times New Roman" w:cstheme="minorHAnsi"/>
                <w:sz w:val="18"/>
                <w:szCs w:val="18"/>
              </w:rPr>
              <w:t>Comentarii de audit</w:t>
            </w:r>
          </w:p>
        </w:tc>
        <w:tc>
          <w:tcPr>
            <w:tcW w:w="2019" w:type="dxa"/>
            <w:shd w:val="clear" w:color="000000" w:fill="DDEBF7"/>
            <w:vAlign w:val="center"/>
            <w:hideMark/>
          </w:tcPr>
          <w:p w14:paraId="778B165A" w14:textId="37C28741" w:rsidR="00970F21" w:rsidRPr="00AC1E7F" w:rsidRDefault="00970F21" w:rsidP="00F00A95">
            <w:pPr>
              <w:spacing w:after="0" w:line="240" w:lineRule="auto"/>
              <w:jc w:val="center"/>
              <w:rPr>
                <w:rFonts w:eastAsia="Times New Roman" w:cstheme="minorHAnsi"/>
                <w:sz w:val="18"/>
                <w:szCs w:val="18"/>
              </w:rPr>
            </w:pPr>
            <w:r w:rsidRPr="00AC1E7F">
              <w:rPr>
                <w:rFonts w:eastAsia="Times New Roman" w:cstheme="minorHAnsi"/>
                <w:sz w:val="18"/>
                <w:szCs w:val="18"/>
              </w:rPr>
              <w:t>Pa</w:t>
            </w:r>
            <w:r w:rsidR="00DC58E0">
              <w:rPr>
                <w:rFonts w:eastAsia="Times New Roman" w:cstheme="minorHAnsi"/>
                <w:sz w:val="18"/>
                <w:szCs w:val="18"/>
              </w:rPr>
              <w:t>trimoniu de stat gestionat de I.P., neînregistrat</w:t>
            </w:r>
            <w:r w:rsidRPr="00AC1E7F">
              <w:rPr>
                <w:rFonts w:eastAsia="Times New Roman" w:cstheme="minorHAnsi"/>
                <w:sz w:val="18"/>
                <w:szCs w:val="18"/>
              </w:rPr>
              <w:t xml:space="preserve"> </w:t>
            </w:r>
            <w:r w:rsidR="00DC58E0">
              <w:rPr>
                <w:rFonts w:eastAsia="Times New Roman" w:cstheme="minorHAnsi"/>
                <w:sz w:val="18"/>
                <w:szCs w:val="18"/>
              </w:rPr>
              <w:t>conform în</w:t>
            </w:r>
            <w:r w:rsidRPr="00AC1E7F">
              <w:rPr>
                <w:rFonts w:eastAsia="Times New Roman" w:cstheme="minorHAnsi"/>
                <w:sz w:val="18"/>
                <w:szCs w:val="18"/>
              </w:rPr>
              <w:t xml:space="preserve"> evidență </w:t>
            </w:r>
            <w:r>
              <w:rPr>
                <w:rFonts w:eastAsia="Times New Roman" w:cstheme="minorHAnsi"/>
                <w:sz w:val="18"/>
                <w:szCs w:val="18"/>
              </w:rPr>
              <w:t>de</w:t>
            </w:r>
            <w:r w:rsidR="00DC58E0">
              <w:rPr>
                <w:rFonts w:eastAsia="Times New Roman" w:cstheme="minorHAnsi"/>
                <w:sz w:val="18"/>
                <w:szCs w:val="18"/>
              </w:rPr>
              <w:t xml:space="preserve"> către</w:t>
            </w:r>
            <w:r>
              <w:rPr>
                <w:rFonts w:eastAsia="Times New Roman" w:cstheme="minorHAnsi"/>
                <w:sz w:val="18"/>
                <w:szCs w:val="18"/>
              </w:rPr>
              <w:t xml:space="preserve"> CS</w:t>
            </w:r>
          </w:p>
        </w:tc>
      </w:tr>
      <w:tr w:rsidR="00DC58E0" w:rsidRPr="00E9329D" w14:paraId="67D46FA9" w14:textId="77777777" w:rsidTr="006E2189">
        <w:trPr>
          <w:trHeight w:val="420"/>
        </w:trPr>
        <w:tc>
          <w:tcPr>
            <w:tcW w:w="497" w:type="dxa"/>
            <w:shd w:val="clear" w:color="auto" w:fill="DEEAF6" w:themeFill="accent1" w:themeFillTint="33"/>
            <w:noWrap/>
            <w:vAlign w:val="center"/>
            <w:hideMark/>
          </w:tcPr>
          <w:p w14:paraId="54ABFDB4" w14:textId="77777777" w:rsidR="00DC58E0" w:rsidRPr="00AC1E7F" w:rsidRDefault="00DC58E0" w:rsidP="00970F21">
            <w:pPr>
              <w:spacing w:after="0" w:line="240" w:lineRule="auto"/>
              <w:rPr>
                <w:rFonts w:eastAsia="Times New Roman" w:cstheme="minorHAnsi"/>
                <w:b/>
                <w:bCs/>
                <w:sz w:val="18"/>
                <w:szCs w:val="18"/>
              </w:rPr>
            </w:pPr>
            <w:r w:rsidRPr="00AC1E7F">
              <w:rPr>
                <w:rFonts w:eastAsia="Times New Roman" w:cstheme="minorHAnsi"/>
                <w:b/>
                <w:bCs/>
                <w:sz w:val="18"/>
                <w:szCs w:val="18"/>
              </w:rPr>
              <w:t> </w:t>
            </w:r>
          </w:p>
        </w:tc>
        <w:tc>
          <w:tcPr>
            <w:tcW w:w="2055" w:type="dxa"/>
            <w:shd w:val="clear" w:color="auto" w:fill="auto"/>
            <w:noWrap/>
            <w:vAlign w:val="center"/>
            <w:hideMark/>
          </w:tcPr>
          <w:p w14:paraId="6530B269" w14:textId="77777777" w:rsidR="00DC58E0" w:rsidRPr="00AC1E7F" w:rsidRDefault="00DC58E0" w:rsidP="00970F21">
            <w:pPr>
              <w:spacing w:after="0" w:line="240" w:lineRule="auto"/>
              <w:rPr>
                <w:rFonts w:eastAsia="Times New Roman" w:cstheme="minorHAnsi"/>
                <w:b/>
                <w:bCs/>
                <w:sz w:val="18"/>
                <w:szCs w:val="18"/>
              </w:rPr>
            </w:pPr>
            <w:r w:rsidRPr="00AC1E7F">
              <w:rPr>
                <w:rFonts w:eastAsia="Times New Roman" w:cstheme="minorHAnsi"/>
                <w:b/>
                <w:bCs/>
                <w:sz w:val="18"/>
                <w:szCs w:val="18"/>
              </w:rPr>
              <w:t>TOTAL</w:t>
            </w:r>
          </w:p>
        </w:tc>
        <w:tc>
          <w:tcPr>
            <w:tcW w:w="1848" w:type="dxa"/>
            <w:shd w:val="clear" w:color="auto" w:fill="auto"/>
            <w:noWrap/>
            <w:vAlign w:val="center"/>
            <w:hideMark/>
          </w:tcPr>
          <w:p w14:paraId="1839660D" w14:textId="77777777" w:rsidR="00DC58E0" w:rsidRPr="00AC1E7F" w:rsidRDefault="00DC58E0" w:rsidP="00970F21">
            <w:pPr>
              <w:spacing w:after="0" w:line="240" w:lineRule="auto"/>
              <w:jc w:val="right"/>
              <w:rPr>
                <w:rFonts w:eastAsia="Times New Roman" w:cstheme="minorHAnsi"/>
                <w:b/>
                <w:bCs/>
                <w:sz w:val="18"/>
                <w:szCs w:val="18"/>
              </w:rPr>
            </w:pPr>
            <w:r w:rsidRPr="00AC1E7F">
              <w:rPr>
                <w:rFonts w:eastAsia="Times New Roman" w:cstheme="minorHAnsi"/>
                <w:b/>
                <w:bCs/>
                <w:sz w:val="18"/>
                <w:szCs w:val="18"/>
              </w:rPr>
              <w:t>230,423,445.00</w:t>
            </w:r>
          </w:p>
        </w:tc>
        <w:tc>
          <w:tcPr>
            <w:tcW w:w="1856" w:type="dxa"/>
            <w:shd w:val="clear" w:color="auto" w:fill="auto"/>
            <w:noWrap/>
            <w:vAlign w:val="center"/>
          </w:tcPr>
          <w:p w14:paraId="1225814D" w14:textId="5A708B3D" w:rsidR="00DC58E0" w:rsidRDefault="00DC58E0" w:rsidP="00DC58E0">
            <w:pPr>
              <w:spacing w:after="0" w:line="240" w:lineRule="auto"/>
              <w:jc w:val="right"/>
              <w:rPr>
                <w:rFonts w:eastAsia="Times New Roman" w:cstheme="minorHAnsi"/>
                <w:sz w:val="18"/>
                <w:szCs w:val="18"/>
              </w:rPr>
            </w:pPr>
            <w:r>
              <w:rPr>
                <w:rFonts w:eastAsia="Times New Roman" w:cstheme="minorHAnsi"/>
                <w:b/>
                <w:bCs/>
                <w:sz w:val="18"/>
                <w:szCs w:val="18"/>
              </w:rPr>
              <w:t>313,171,639.93</w:t>
            </w:r>
          </w:p>
        </w:tc>
        <w:tc>
          <w:tcPr>
            <w:tcW w:w="1666" w:type="dxa"/>
            <w:shd w:val="clear" w:color="auto" w:fill="auto"/>
            <w:noWrap/>
            <w:vAlign w:val="center"/>
          </w:tcPr>
          <w:p w14:paraId="216B829B" w14:textId="750D1682" w:rsidR="00DC58E0" w:rsidRPr="00AC1E7F" w:rsidRDefault="00DC58E0" w:rsidP="00970F21">
            <w:pPr>
              <w:spacing w:after="0" w:line="240" w:lineRule="auto"/>
              <w:jc w:val="center"/>
              <w:rPr>
                <w:rFonts w:eastAsia="Times New Roman" w:cstheme="minorHAnsi"/>
                <w:sz w:val="18"/>
                <w:szCs w:val="18"/>
              </w:rPr>
            </w:pPr>
            <w:r>
              <w:rPr>
                <w:rFonts w:eastAsia="Times New Roman" w:cstheme="minorHAnsi"/>
                <w:sz w:val="18"/>
                <w:szCs w:val="18"/>
              </w:rPr>
              <w:t>x</w:t>
            </w:r>
          </w:p>
        </w:tc>
        <w:tc>
          <w:tcPr>
            <w:tcW w:w="2019" w:type="dxa"/>
            <w:shd w:val="clear" w:color="auto" w:fill="auto"/>
            <w:noWrap/>
            <w:vAlign w:val="center"/>
          </w:tcPr>
          <w:p w14:paraId="347E2EC1" w14:textId="7DFA9F90" w:rsidR="00DC58E0" w:rsidRPr="00AC1E7F" w:rsidRDefault="00DC58E0" w:rsidP="00970F21">
            <w:pPr>
              <w:spacing w:after="0" w:line="240" w:lineRule="auto"/>
              <w:jc w:val="right"/>
              <w:rPr>
                <w:rFonts w:eastAsia="Times New Roman" w:cstheme="minorHAnsi"/>
                <w:b/>
                <w:bCs/>
                <w:color w:val="C00000"/>
                <w:sz w:val="18"/>
                <w:szCs w:val="18"/>
              </w:rPr>
            </w:pPr>
            <w:r>
              <w:rPr>
                <w:rFonts w:eastAsia="Times New Roman" w:cstheme="minorHAnsi"/>
                <w:b/>
                <w:bCs/>
                <w:color w:val="C00000"/>
                <w:sz w:val="18"/>
                <w:szCs w:val="18"/>
              </w:rPr>
              <w:t>313,171,639.93</w:t>
            </w:r>
          </w:p>
        </w:tc>
      </w:tr>
      <w:tr w:rsidR="00DC58E0" w:rsidRPr="00AC1E7F" w14:paraId="682035F6" w14:textId="77777777" w:rsidTr="006E2189">
        <w:trPr>
          <w:trHeight w:val="288"/>
        </w:trPr>
        <w:tc>
          <w:tcPr>
            <w:tcW w:w="497" w:type="dxa"/>
            <w:shd w:val="clear" w:color="auto" w:fill="DEEAF6" w:themeFill="accent1" w:themeFillTint="33"/>
            <w:noWrap/>
            <w:vAlign w:val="center"/>
            <w:hideMark/>
          </w:tcPr>
          <w:p w14:paraId="5BCCA685" w14:textId="77777777" w:rsidR="00DC58E0" w:rsidRPr="00AC1E7F" w:rsidRDefault="00DC58E0" w:rsidP="00970F21">
            <w:pPr>
              <w:spacing w:after="0" w:line="240" w:lineRule="auto"/>
              <w:jc w:val="center"/>
              <w:rPr>
                <w:rFonts w:eastAsia="Times New Roman" w:cstheme="minorHAnsi"/>
                <w:b/>
                <w:sz w:val="18"/>
                <w:szCs w:val="18"/>
              </w:rPr>
            </w:pPr>
            <w:r w:rsidRPr="00AC1E7F">
              <w:rPr>
                <w:rFonts w:eastAsia="Times New Roman" w:cstheme="minorHAnsi"/>
                <w:b/>
                <w:sz w:val="18"/>
                <w:szCs w:val="18"/>
              </w:rPr>
              <w:t>1</w:t>
            </w:r>
          </w:p>
        </w:tc>
        <w:tc>
          <w:tcPr>
            <w:tcW w:w="2055" w:type="dxa"/>
            <w:shd w:val="clear" w:color="auto" w:fill="auto"/>
            <w:noWrap/>
            <w:vAlign w:val="center"/>
            <w:hideMark/>
          </w:tcPr>
          <w:p w14:paraId="551D2D62" w14:textId="2533F94D" w:rsidR="00DC58E0" w:rsidRPr="004518DD" w:rsidRDefault="00DC58E0" w:rsidP="00970F21">
            <w:pPr>
              <w:spacing w:after="0" w:line="240" w:lineRule="auto"/>
              <w:rPr>
                <w:rFonts w:eastAsia="Times New Roman" w:cstheme="minorHAnsi"/>
                <w:b/>
                <w:sz w:val="18"/>
                <w:szCs w:val="18"/>
              </w:rPr>
            </w:pPr>
            <w:r w:rsidRPr="004518DD">
              <w:rPr>
                <w:rFonts w:eastAsia="Times New Roman" w:cstheme="minorHAnsi"/>
                <w:b/>
                <w:sz w:val="18"/>
                <w:szCs w:val="18"/>
              </w:rPr>
              <w:t>I.P. „STISC”</w:t>
            </w:r>
          </w:p>
        </w:tc>
        <w:tc>
          <w:tcPr>
            <w:tcW w:w="1848" w:type="dxa"/>
            <w:shd w:val="clear" w:color="auto" w:fill="auto"/>
            <w:noWrap/>
            <w:vAlign w:val="center"/>
            <w:hideMark/>
          </w:tcPr>
          <w:p w14:paraId="5B62E61C" w14:textId="77777777" w:rsidR="00DC58E0" w:rsidRPr="00AC1E7F" w:rsidRDefault="00DC58E0" w:rsidP="00970F21">
            <w:pPr>
              <w:spacing w:after="0" w:line="240" w:lineRule="auto"/>
              <w:jc w:val="right"/>
              <w:rPr>
                <w:rFonts w:eastAsia="Times New Roman" w:cstheme="minorHAnsi"/>
                <w:sz w:val="16"/>
                <w:szCs w:val="16"/>
              </w:rPr>
            </w:pPr>
            <w:r w:rsidRPr="00AC1E7F">
              <w:rPr>
                <w:rFonts w:eastAsia="Times New Roman" w:cstheme="minorHAnsi"/>
                <w:sz w:val="16"/>
                <w:szCs w:val="16"/>
              </w:rPr>
              <w:t>nu este în evidența CS la 415</w:t>
            </w:r>
          </w:p>
        </w:tc>
        <w:tc>
          <w:tcPr>
            <w:tcW w:w="1856" w:type="dxa"/>
            <w:shd w:val="clear" w:color="auto" w:fill="auto"/>
            <w:noWrap/>
            <w:vAlign w:val="center"/>
          </w:tcPr>
          <w:p w14:paraId="39DA88C3" w14:textId="2A9A8A6A" w:rsidR="00DC58E0" w:rsidRPr="00762230" w:rsidRDefault="00DC58E0" w:rsidP="00DC58E0">
            <w:pPr>
              <w:spacing w:after="0" w:line="240" w:lineRule="auto"/>
              <w:jc w:val="right"/>
              <w:rPr>
                <w:rFonts w:eastAsia="Times New Roman" w:cstheme="minorHAnsi"/>
                <w:sz w:val="16"/>
                <w:szCs w:val="16"/>
              </w:rPr>
            </w:pPr>
            <w:r w:rsidRPr="00FC374A">
              <w:rPr>
                <w:rFonts w:eastAsia="Times New Roman" w:cstheme="minorHAnsi"/>
                <w:bCs/>
                <w:sz w:val="19"/>
                <w:szCs w:val="19"/>
              </w:rPr>
              <w:t>78,214,362.20</w:t>
            </w:r>
          </w:p>
        </w:tc>
        <w:tc>
          <w:tcPr>
            <w:tcW w:w="1666" w:type="dxa"/>
            <w:shd w:val="clear" w:color="auto" w:fill="auto"/>
            <w:noWrap/>
            <w:vAlign w:val="center"/>
          </w:tcPr>
          <w:p w14:paraId="70C249E4" w14:textId="43DE150E" w:rsidR="00DC58E0" w:rsidRPr="00762230" w:rsidRDefault="00DC58E0" w:rsidP="00970F21">
            <w:pPr>
              <w:spacing w:after="0" w:line="240" w:lineRule="auto"/>
              <w:jc w:val="center"/>
              <w:rPr>
                <w:rFonts w:eastAsia="Times New Roman" w:cstheme="minorHAnsi"/>
                <w:sz w:val="16"/>
                <w:szCs w:val="16"/>
              </w:rPr>
            </w:pPr>
            <w:r w:rsidRPr="00762230">
              <w:rPr>
                <w:rFonts w:eastAsia="Times New Roman" w:cstheme="minorHAnsi"/>
                <w:sz w:val="16"/>
                <w:szCs w:val="16"/>
              </w:rPr>
              <w:t>necesită a fi adăugat</w:t>
            </w:r>
          </w:p>
        </w:tc>
        <w:tc>
          <w:tcPr>
            <w:tcW w:w="2019" w:type="dxa"/>
            <w:shd w:val="clear" w:color="auto" w:fill="auto"/>
            <w:noWrap/>
            <w:vAlign w:val="center"/>
            <w:hideMark/>
          </w:tcPr>
          <w:p w14:paraId="68999CC6" w14:textId="77777777" w:rsidR="00DC58E0" w:rsidRPr="00AC1E7F" w:rsidRDefault="00DC58E0" w:rsidP="00970F21">
            <w:pPr>
              <w:spacing w:after="0" w:line="240" w:lineRule="auto"/>
              <w:jc w:val="right"/>
              <w:rPr>
                <w:rFonts w:eastAsia="Times New Roman" w:cstheme="minorHAnsi"/>
                <w:sz w:val="18"/>
                <w:szCs w:val="18"/>
              </w:rPr>
            </w:pPr>
            <w:r w:rsidRPr="00AC1E7F">
              <w:rPr>
                <w:rFonts w:eastAsia="Times New Roman" w:cstheme="minorHAnsi"/>
                <w:sz w:val="18"/>
                <w:szCs w:val="18"/>
              </w:rPr>
              <w:t>78,214,362.20</w:t>
            </w:r>
          </w:p>
        </w:tc>
      </w:tr>
      <w:tr w:rsidR="00DC58E0" w:rsidRPr="00AC1E7F" w14:paraId="1463DE34" w14:textId="77777777" w:rsidTr="006E2189">
        <w:trPr>
          <w:trHeight w:val="288"/>
        </w:trPr>
        <w:tc>
          <w:tcPr>
            <w:tcW w:w="497" w:type="dxa"/>
            <w:shd w:val="clear" w:color="auto" w:fill="DEEAF6" w:themeFill="accent1" w:themeFillTint="33"/>
            <w:noWrap/>
            <w:vAlign w:val="center"/>
            <w:hideMark/>
          </w:tcPr>
          <w:p w14:paraId="36C31CFF" w14:textId="77777777" w:rsidR="00DC58E0" w:rsidRPr="00AC1E7F" w:rsidRDefault="00DC58E0" w:rsidP="00970F21">
            <w:pPr>
              <w:spacing w:after="0" w:line="240" w:lineRule="auto"/>
              <w:jc w:val="center"/>
              <w:rPr>
                <w:rFonts w:eastAsia="Times New Roman" w:cstheme="minorHAnsi"/>
                <w:b/>
                <w:sz w:val="18"/>
                <w:szCs w:val="18"/>
              </w:rPr>
            </w:pPr>
            <w:r w:rsidRPr="00AC1E7F">
              <w:rPr>
                <w:rFonts w:eastAsia="Times New Roman" w:cstheme="minorHAnsi"/>
                <w:b/>
                <w:sz w:val="18"/>
                <w:szCs w:val="18"/>
              </w:rPr>
              <w:t>2</w:t>
            </w:r>
          </w:p>
        </w:tc>
        <w:tc>
          <w:tcPr>
            <w:tcW w:w="2055" w:type="dxa"/>
            <w:shd w:val="clear" w:color="auto" w:fill="auto"/>
            <w:noWrap/>
            <w:vAlign w:val="center"/>
            <w:hideMark/>
          </w:tcPr>
          <w:p w14:paraId="763C3B6C" w14:textId="64AB25D8" w:rsidR="00DC58E0" w:rsidRPr="004518DD" w:rsidRDefault="00DC58E0" w:rsidP="00970F21">
            <w:pPr>
              <w:spacing w:after="0" w:line="240" w:lineRule="auto"/>
              <w:rPr>
                <w:rFonts w:eastAsia="Times New Roman" w:cstheme="minorHAnsi"/>
                <w:b/>
                <w:sz w:val="18"/>
                <w:szCs w:val="18"/>
              </w:rPr>
            </w:pPr>
            <w:r w:rsidRPr="004518DD">
              <w:rPr>
                <w:rFonts w:eastAsia="Times New Roman" w:cstheme="minorHAnsi"/>
                <w:b/>
                <w:sz w:val="18"/>
                <w:szCs w:val="18"/>
              </w:rPr>
              <w:t>I.P. „AGE”</w:t>
            </w:r>
          </w:p>
        </w:tc>
        <w:tc>
          <w:tcPr>
            <w:tcW w:w="1848" w:type="dxa"/>
            <w:shd w:val="clear" w:color="auto" w:fill="auto"/>
            <w:noWrap/>
            <w:vAlign w:val="center"/>
            <w:hideMark/>
          </w:tcPr>
          <w:p w14:paraId="7FC0A7CD" w14:textId="77777777" w:rsidR="00DC58E0" w:rsidRPr="00AC1E7F" w:rsidRDefault="00DC58E0" w:rsidP="00970F21">
            <w:pPr>
              <w:spacing w:after="0" w:line="240" w:lineRule="auto"/>
              <w:jc w:val="right"/>
              <w:rPr>
                <w:rFonts w:eastAsia="Times New Roman" w:cstheme="minorHAnsi"/>
                <w:sz w:val="16"/>
                <w:szCs w:val="16"/>
              </w:rPr>
            </w:pPr>
            <w:r w:rsidRPr="00AC1E7F">
              <w:rPr>
                <w:rFonts w:eastAsia="Times New Roman" w:cstheme="minorHAnsi"/>
                <w:sz w:val="16"/>
                <w:szCs w:val="16"/>
              </w:rPr>
              <w:t>nu este în evidența CS la 415</w:t>
            </w:r>
          </w:p>
        </w:tc>
        <w:tc>
          <w:tcPr>
            <w:tcW w:w="1856" w:type="dxa"/>
            <w:shd w:val="clear" w:color="auto" w:fill="auto"/>
            <w:noWrap/>
            <w:vAlign w:val="center"/>
          </w:tcPr>
          <w:p w14:paraId="7180093F" w14:textId="05BCC387" w:rsidR="00DC58E0" w:rsidRPr="00762230" w:rsidRDefault="00DC58E0" w:rsidP="00DC58E0">
            <w:pPr>
              <w:spacing w:after="0"/>
              <w:jc w:val="right"/>
              <w:rPr>
                <w:rFonts w:ascii="Calibri" w:hAnsi="Calibri"/>
                <w:sz w:val="16"/>
                <w:szCs w:val="16"/>
              </w:rPr>
            </w:pPr>
            <w:r>
              <w:rPr>
                <w:rFonts w:eastAsia="Times New Roman" w:cstheme="minorHAnsi"/>
                <w:bCs/>
                <w:sz w:val="18"/>
                <w:szCs w:val="18"/>
              </w:rPr>
              <w:t>x</w:t>
            </w:r>
          </w:p>
        </w:tc>
        <w:tc>
          <w:tcPr>
            <w:tcW w:w="1666" w:type="dxa"/>
            <w:shd w:val="clear" w:color="auto" w:fill="auto"/>
            <w:noWrap/>
            <w:vAlign w:val="center"/>
          </w:tcPr>
          <w:p w14:paraId="434DDD01" w14:textId="0FBD700B" w:rsidR="00DC58E0" w:rsidRPr="00762230" w:rsidRDefault="00DC58E0" w:rsidP="00970F21">
            <w:pPr>
              <w:spacing w:after="0"/>
              <w:jc w:val="center"/>
              <w:rPr>
                <w:rFonts w:ascii="Calibri" w:hAnsi="Calibri"/>
                <w:sz w:val="16"/>
                <w:szCs w:val="16"/>
                <w:lang w:val="en-US"/>
              </w:rPr>
            </w:pPr>
            <w:r w:rsidRPr="00762230">
              <w:rPr>
                <w:rFonts w:ascii="Calibri" w:hAnsi="Calibri"/>
                <w:sz w:val="16"/>
                <w:szCs w:val="16"/>
              </w:rPr>
              <w:t>nu are patrimoniu transmis</w:t>
            </w:r>
          </w:p>
        </w:tc>
        <w:tc>
          <w:tcPr>
            <w:tcW w:w="2019" w:type="dxa"/>
            <w:shd w:val="clear" w:color="auto" w:fill="auto"/>
            <w:noWrap/>
            <w:vAlign w:val="center"/>
            <w:hideMark/>
          </w:tcPr>
          <w:p w14:paraId="1D244B27" w14:textId="77777777" w:rsidR="00DC58E0" w:rsidRPr="00AC1E7F" w:rsidRDefault="00DC58E0" w:rsidP="00970F21">
            <w:pPr>
              <w:spacing w:after="0" w:line="240" w:lineRule="auto"/>
              <w:jc w:val="right"/>
              <w:rPr>
                <w:rFonts w:eastAsia="Times New Roman" w:cstheme="minorHAnsi"/>
                <w:sz w:val="18"/>
                <w:szCs w:val="18"/>
              </w:rPr>
            </w:pPr>
            <w:r>
              <w:rPr>
                <w:rFonts w:eastAsia="Times New Roman" w:cstheme="minorHAnsi"/>
                <w:sz w:val="18"/>
                <w:szCs w:val="18"/>
              </w:rPr>
              <w:t>x</w:t>
            </w:r>
          </w:p>
        </w:tc>
      </w:tr>
      <w:tr w:rsidR="00DC58E0" w:rsidRPr="00AC1E7F" w14:paraId="38E1773E" w14:textId="77777777" w:rsidTr="006E2189">
        <w:trPr>
          <w:trHeight w:val="288"/>
        </w:trPr>
        <w:tc>
          <w:tcPr>
            <w:tcW w:w="497" w:type="dxa"/>
            <w:shd w:val="clear" w:color="auto" w:fill="DEEAF6" w:themeFill="accent1" w:themeFillTint="33"/>
            <w:noWrap/>
            <w:vAlign w:val="center"/>
            <w:hideMark/>
          </w:tcPr>
          <w:p w14:paraId="56502BDC" w14:textId="77777777" w:rsidR="00DC58E0" w:rsidRPr="00AC1E7F" w:rsidRDefault="00DC58E0" w:rsidP="00970F21">
            <w:pPr>
              <w:spacing w:after="0" w:line="240" w:lineRule="auto"/>
              <w:jc w:val="center"/>
              <w:rPr>
                <w:rFonts w:eastAsia="Times New Roman" w:cstheme="minorHAnsi"/>
                <w:b/>
                <w:sz w:val="18"/>
                <w:szCs w:val="18"/>
              </w:rPr>
            </w:pPr>
            <w:r w:rsidRPr="00AC1E7F">
              <w:rPr>
                <w:rFonts w:eastAsia="Times New Roman" w:cstheme="minorHAnsi"/>
                <w:b/>
                <w:sz w:val="18"/>
                <w:szCs w:val="18"/>
              </w:rPr>
              <w:t>3</w:t>
            </w:r>
          </w:p>
        </w:tc>
        <w:tc>
          <w:tcPr>
            <w:tcW w:w="2055" w:type="dxa"/>
            <w:shd w:val="clear" w:color="auto" w:fill="auto"/>
            <w:noWrap/>
            <w:vAlign w:val="center"/>
            <w:hideMark/>
          </w:tcPr>
          <w:p w14:paraId="5CAF6EE3" w14:textId="38078C28" w:rsidR="00DC58E0" w:rsidRPr="004518DD" w:rsidRDefault="00DC58E0" w:rsidP="00970F21">
            <w:pPr>
              <w:spacing w:after="0" w:line="240" w:lineRule="auto"/>
              <w:rPr>
                <w:rFonts w:eastAsia="Times New Roman" w:cstheme="minorHAnsi"/>
                <w:b/>
                <w:bCs/>
                <w:sz w:val="18"/>
                <w:szCs w:val="18"/>
              </w:rPr>
            </w:pPr>
            <w:r w:rsidRPr="004518DD">
              <w:rPr>
                <w:rFonts w:eastAsia="Times New Roman" w:cstheme="minorHAnsi"/>
                <w:b/>
                <w:bCs/>
                <w:sz w:val="18"/>
                <w:szCs w:val="18"/>
              </w:rPr>
              <w:t xml:space="preserve">I.P. „Palatul Republicii”, </w:t>
            </w:r>
            <w:r w:rsidRPr="004518DD">
              <w:rPr>
                <w:rFonts w:eastAsia="Times New Roman" w:cstheme="minorHAnsi"/>
                <w:bCs/>
                <w:sz w:val="18"/>
                <w:szCs w:val="18"/>
              </w:rPr>
              <w:t>inclusiv:</w:t>
            </w:r>
          </w:p>
        </w:tc>
        <w:tc>
          <w:tcPr>
            <w:tcW w:w="1848" w:type="dxa"/>
            <w:vMerge w:val="restart"/>
            <w:shd w:val="clear" w:color="auto" w:fill="auto"/>
            <w:noWrap/>
            <w:hideMark/>
          </w:tcPr>
          <w:p w14:paraId="513DDDBE" w14:textId="77777777" w:rsidR="00DC58E0" w:rsidRPr="00AC1E7F" w:rsidRDefault="00DC58E0" w:rsidP="00970F21">
            <w:pPr>
              <w:spacing w:after="0" w:line="240" w:lineRule="auto"/>
              <w:jc w:val="right"/>
              <w:rPr>
                <w:rFonts w:eastAsia="Times New Roman" w:cstheme="minorHAnsi"/>
                <w:bCs/>
                <w:sz w:val="18"/>
                <w:szCs w:val="18"/>
              </w:rPr>
            </w:pPr>
            <w:r w:rsidRPr="00AC1E7F">
              <w:rPr>
                <w:rFonts w:eastAsia="Times New Roman" w:cstheme="minorHAnsi"/>
                <w:bCs/>
                <w:sz w:val="18"/>
                <w:szCs w:val="18"/>
              </w:rPr>
              <w:t>177,588,473.00</w:t>
            </w:r>
          </w:p>
        </w:tc>
        <w:tc>
          <w:tcPr>
            <w:tcW w:w="1856" w:type="dxa"/>
            <w:shd w:val="clear" w:color="auto" w:fill="auto"/>
            <w:noWrap/>
            <w:vAlign w:val="center"/>
          </w:tcPr>
          <w:p w14:paraId="1DCE1448" w14:textId="35A5BC4E" w:rsidR="00DC58E0" w:rsidRPr="00762230" w:rsidRDefault="00DC58E0" w:rsidP="00DC58E0">
            <w:pPr>
              <w:spacing w:after="0" w:line="240" w:lineRule="auto"/>
              <w:jc w:val="right"/>
              <w:rPr>
                <w:rFonts w:eastAsia="Times New Roman" w:cstheme="minorHAnsi"/>
                <w:sz w:val="16"/>
                <w:szCs w:val="16"/>
              </w:rPr>
            </w:pPr>
            <w:r w:rsidRPr="00FC374A">
              <w:rPr>
                <w:rFonts w:eastAsia="Times New Roman" w:cstheme="minorHAnsi"/>
                <w:bCs/>
                <w:sz w:val="19"/>
                <w:szCs w:val="19"/>
              </w:rPr>
              <w:t>177,588,473.00</w:t>
            </w:r>
          </w:p>
        </w:tc>
        <w:tc>
          <w:tcPr>
            <w:tcW w:w="1666" w:type="dxa"/>
            <w:vMerge w:val="restart"/>
            <w:shd w:val="clear" w:color="auto" w:fill="auto"/>
            <w:noWrap/>
            <w:vAlign w:val="center"/>
          </w:tcPr>
          <w:p w14:paraId="7E18CAAB" w14:textId="57EF9904" w:rsidR="00DC58E0" w:rsidRPr="00762230" w:rsidRDefault="00DC58E0" w:rsidP="00970F21">
            <w:pPr>
              <w:spacing w:after="0" w:line="240" w:lineRule="auto"/>
              <w:jc w:val="center"/>
              <w:rPr>
                <w:rFonts w:eastAsia="Times New Roman" w:cstheme="minorHAnsi"/>
                <w:sz w:val="16"/>
                <w:szCs w:val="16"/>
              </w:rPr>
            </w:pPr>
            <w:r w:rsidRPr="00762230">
              <w:rPr>
                <w:rFonts w:eastAsia="Times New Roman" w:cstheme="minorHAnsi"/>
                <w:sz w:val="16"/>
                <w:szCs w:val="16"/>
              </w:rPr>
              <w:t>Se necesită dezagregarea sumei și evidența analitică a patrimoniului</w:t>
            </w:r>
          </w:p>
        </w:tc>
        <w:tc>
          <w:tcPr>
            <w:tcW w:w="2019" w:type="dxa"/>
            <w:vMerge w:val="restart"/>
            <w:shd w:val="clear" w:color="auto" w:fill="auto"/>
            <w:noWrap/>
            <w:hideMark/>
          </w:tcPr>
          <w:p w14:paraId="18240506" w14:textId="77777777" w:rsidR="00DC58E0" w:rsidRPr="00AC1E7F" w:rsidRDefault="00DC58E0" w:rsidP="00970F21">
            <w:pPr>
              <w:spacing w:after="0" w:line="240" w:lineRule="auto"/>
              <w:jc w:val="right"/>
              <w:rPr>
                <w:rFonts w:eastAsia="Times New Roman" w:cstheme="minorHAnsi"/>
                <w:bCs/>
                <w:sz w:val="18"/>
                <w:szCs w:val="18"/>
              </w:rPr>
            </w:pPr>
            <w:r w:rsidRPr="00AC1E7F">
              <w:rPr>
                <w:rFonts w:eastAsia="Times New Roman" w:cstheme="minorHAnsi"/>
                <w:bCs/>
                <w:sz w:val="18"/>
                <w:szCs w:val="18"/>
              </w:rPr>
              <w:t>177,588,473.00</w:t>
            </w:r>
          </w:p>
        </w:tc>
      </w:tr>
      <w:tr w:rsidR="00DC58E0" w:rsidRPr="00AC1E7F" w14:paraId="678063D2" w14:textId="77777777" w:rsidTr="006E2189">
        <w:trPr>
          <w:trHeight w:val="288"/>
        </w:trPr>
        <w:tc>
          <w:tcPr>
            <w:tcW w:w="497" w:type="dxa"/>
            <w:shd w:val="clear" w:color="auto" w:fill="DEEAF6" w:themeFill="accent1" w:themeFillTint="33"/>
            <w:noWrap/>
            <w:vAlign w:val="center"/>
            <w:hideMark/>
          </w:tcPr>
          <w:p w14:paraId="3CA86AFA" w14:textId="77777777" w:rsidR="00DC58E0" w:rsidRPr="00AC1E7F" w:rsidRDefault="00DC58E0" w:rsidP="00970F21">
            <w:pPr>
              <w:spacing w:after="0" w:line="240" w:lineRule="auto"/>
              <w:jc w:val="right"/>
              <w:rPr>
                <w:rFonts w:eastAsia="Times New Roman" w:cstheme="minorHAnsi"/>
                <w:i/>
                <w:iCs/>
                <w:sz w:val="18"/>
                <w:szCs w:val="18"/>
              </w:rPr>
            </w:pPr>
            <w:r w:rsidRPr="00AC1E7F">
              <w:rPr>
                <w:rFonts w:eastAsia="Times New Roman" w:cstheme="minorHAnsi"/>
                <w:i/>
                <w:iCs/>
                <w:sz w:val="18"/>
                <w:szCs w:val="18"/>
              </w:rPr>
              <w:t>3.1</w:t>
            </w:r>
          </w:p>
        </w:tc>
        <w:tc>
          <w:tcPr>
            <w:tcW w:w="2055" w:type="dxa"/>
            <w:shd w:val="clear" w:color="auto" w:fill="auto"/>
            <w:noWrap/>
            <w:vAlign w:val="center"/>
            <w:hideMark/>
          </w:tcPr>
          <w:p w14:paraId="241CD06A" w14:textId="77777777" w:rsidR="00DC58E0" w:rsidRPr="00DE56A6" w:rsidRDefault="00DC58E0" w:rsidP="00970F21">
            <w:pPr>
              <w:spacing w:after="0" w:line="240" w:lineRule="auto"/>
              <w:jc w:val="right"/>
              <w:rPr>
                <w:rFonts w:eastAsia="Times New Roman" w:cstheme="minorHAnsi"/>
                <w:i/>
                <w:iCs/>
                <w:sz w:val="18"/>
                <w:szCs w:val="18"/>
              </w:rPr>
            </w:pPr>
            <w:r w:rsidRPr="00DE56A6">
              <w:rPr>
                <w:rFonts w:eastAsia="Times New Roman" w:cstheme="minorHAnsi"/>
                <w:i/>
                <w:iCs/>
                <w:sz w:val="18"/>
                <w:szCs w:val="18"/>
              </w:rPr>
              <w:t xml:space="preserve"> bunuri</w:t>
            </w:r>
          </w:p>
        </w:tc>
        <w:tc>
          <w:tcPr>
            <w:tcW w:w="1848" w:type="dxa"/>
            <w:vMerge/>
            <w:vAlign w:val="center"/>
            <w:hideMark/>
          </w:tcPr>
          <w:p w14:paraId="007432F3" w14:textId="77777777" w:rsidR="00DC58E0" w:rsidRPr="00AC1E7F" w:rsidRDefault="00DC58E0" w:rsidP="00970F21">
            <w:pPr>
              <w:spacing w:after="0" w:line="240" w:lineRule="auto"/>
              <w:rPr>
                <w:rFonts w:eastAsia="Times New Roman" w:cstheme="minorHAnsi"/>
                <w:bCs/>
                <w:sz w:val="18"/>
                <w:szCs w:val="18"/>
              </w:rPr>
            </w:pPr>
          </w:p>
        </w:tc>
        <w:tc>
          <w:tcPr>
            <w:tcW w:w="1856" w:type="dxa"/>
            <w:shd w:val="clear" w:color="auto" w:fill="auto"/>
            <w:noWrap/>
            <w:vAlign w:val="center"/>
          </w:tcPr>
          <w:p w14:paraId="6BAF9D44" w14:textId="3235C0E6" w:rsidR="00DC58E0" w:rsidRPr="00762230" w:rsidRDefault="00DC58E0" w:rsidP="00DC58E0">
            <w:pPr>
              <w:spacing w:after="0" w:line="240" w:lineRule="auto"/>
              <w:jc w:val="right"/>
              <w:rPr>
                <w:rFonts w:eastAsia="Times New Roman" w:cstheme="minorHAnsi"/>
                <w:sz w:val="16"/>
                <w:szCs w:val="16"/>
              </w:rPr>
            </w:pPr>
            <w:r w:rsidRPr="00AC1E7F">
              <w:rPr>
                <w:rFonts w:eastAsia="Times New Roman" w:cstheme="minorHAnsi"/>
                <w:i/>
                <w:sz w:val="16"/>
                <w:szCs w:val="16"/>
              </w:rPr>
              <w:t>158,088,473.00</w:t>
            </w:r>
          </w:p>
        </w:tc>
        <w:tc>
          <w:tcPr>
            <w:tcW w:w="1666" w:type="dxa"/>
            <w:vMerge/>
            <w:shd w:val="clear" w:color="auto" w:fill="auto"/>
            <w:noWrap/>
            <w:vAlign w:val="center"/>
          </w:tcPr>
          <w:p w14:paraId="6F651818" w14:textId="05ECE23B" w:rsidR="00DC58E0" w:rsidRPr="00762230" w:rsidRDefault="00DC58E0" w:rsidP="00970F21">
            <w:pPr>
              <w:spacing w:after="0" w:line="240" w:lineRule="auto"/>
              <w:jc w:val="center"/>
              <w:rPr>
                <w:rFonts w:eastAsia="Times New Roman" w:cstheme="minorHAnsi"/>
                <w:sz w:val="16"/>
                <w:szCs w:val="16"/>
              </w:rPr>
            </w:pPr>
          </w:p>
        </w:tc>
        <w:tc>
          <w:tcPr>
            <w:tcW w:w="2019" w:type="dxa"/>
            <w:vMerge/>
            <w:vAlign w:val="center"/>
            <w:hideMark/>
          </w:tcPr>
          <w:p w14:paraId="145A4E74" w14:textId="77777777" w:rsidR="00DC58E0" w:rsidRPr="00AC1E7F" w:rsidRDefault="00DC58E0" w:rsidP="00970F21">
            <w:pPr>
              <w:spacing w:after="0" w:line="240" w:lineRule="auto"/>
              <w:rPr>
                <w:rFonts w:eastAsia="Times New Roman" w:cstheme="minorHAnsi"/>
                <w:sz w:val="18"/>
                <w:szCs w:val="18"/>
              </w:rPr>
            </w:pPr>
          </w:p>
        </w:tc>
      </w:tr>
      <w:tr w:rsidR="00DC58E0" w:rsidRPr="00AC1E7F" w14:paraId="0A18B819" w14:textId="77777777" w:rsidTr="006E2189">
        <w:trPr>
          <w:trHeight w:val="288"/>
        </w:trPr>
        <w:tc>
          <w:tcPr>
            <w:tcW w:w="497" w:type="dxa"/>
            <w:shd w:val="clear" w:color="auto" w:fill="DEEAF6" w:themeFill="accent1" w:themeFillTint="33"/>
            <w:noWrap/>
            <w:vAlign w:val="center"/>
            <w:hideMark/>
          </w:tcPr>
          <w:p w14:paraId="43826B85" w14:textId="77777777" w:rsidR="00DC58E0" w:rsidRPr="00AC1E7F" w:rsidRDefault="00DC58E0" w:rsidP="00970F21">
            <w:pPr>
              <w:spacing w:after="0" w:line="240" w:lineRule="auto"/>
              <w:jc w:val="right"/>
              <w:rPr>
                <w:rFonts w:eastAsia="Times New Roman" w:cstheme="minorHAnsi"/>
                <w:i/>
                <w:iCs/>
                <w:sz w:val="18"/>
                <w:szCs w:val="18"/>
              </w:rPr>
            </w:pPr>
            <w:r w:rsidRPr="00AC1E7F">
              <w:rPr>
                <w:rFonts w:eastAsia="Times New Roman" w:cstheme="minorHAnsi"/>
                <w:i/>
                <w:iCs/>
                <w:sz w:val="18"/>
                <w:szCs w:val="18"/>
              </w:rPr>
              <w:t>3.2</w:t>
            </w:r>
          </w:p>
        </w:tc>
        <w:tc>
          <w:tcPr>
            <w:tcW w:w="2055" w:type="dxa"/>
            <w:shd w:val="clear" w:color="auto" w:fill="auto"/>
            <w:noWrap/>
            <w:vAlign w:val="center"/>
            <w:hideMark/>
          </w:tcPr>
          <w:p w14:paraId="7D63AD4C" w14:textId="77777777" w:rsidR="00DC58E0" w:rsidRPr="00DE56A6" w:rsidRDefault="00DC58E0" w:rsidP="00970F21">
            <w:pPr>
              <w:spacing w:after="0" w:line="240" w:lineRule="auto"/>
              <w:jc w:val="right"/>
              <w:rPr>
                <w:rFonts w:eastAsia="Times New Roman" w:cstheme="minorHAnsi"/>
                <w:i/>
                <w:iCs/>
                <w:sz w:val="18"/>
                <w:szCs w:val="18"/>
              </w:rPr>
            </w:pPr>
            <w:r w:rsidRPr="00DE56A6">
              <w:rPr>
                <w:rFonts w:eastAsia="Times New Roman" w:cstheme="minorHAnsi"/>
                <w:i/>
                <w:iCs/>
                <w:sz w:val="18"/>
                <w:szCs w:val="18"/>
              </w:rPr>
              <w:t>mijloace bănești</w:t>
            </w:r>
          </w:p>
        </w:tc>
        <w:tc>
          <w:tcPr>
            <w:tcW w:w="1848" w:type="dxa"/>
            <w:vMerge/>
            <w:vAlign w:val="center"/>
            <w:hideMark/>
          </w:tcPr>
          <w:p w14:paraId="73FC3098" w14:textId="77777777" w:rsidR="00DC58E0" w:rsidRPr="00AC1E7F" w:rsidRDefault="00DC58E0" w:rsidP="00970F21">
            <w:pPr>
              <w:spacing w:after="0" w:line="240" w:lineRule="auto"/>
              <w:rPr>
                <w:rFonts w:eastAsia="Times New Roman" w:cstheme="minorHAnsi"/>
                <w:bCs/>
                <w:sz w:val="18"/>
                <w:szCs w:val="18"/>
              </w:rPr>
            </w:pPr>
          </w:p>
        </w:tc>
        <w:tc>
          <w:tcPr>
            <w:tcW w:w="1856" w:type="dxa"/>
            <w:shd w:val="clear" w:color="auto" w:fill="auto"/>
            <w:vAlign w:val="center"/>
          </w:tcPr>
          <w:p w14:paraId="3645DBF8" w14:textId="5335F2BF" w:rsidR="00DC58E0" w:rsidRPr="00762230" w:rsidRDefault="00DC58E0" w:rsidP="00DC58E0">
            <w:pPr>
              <w:spacing w:after="0" w:line="240" w:lineRule="auto"/>
              <w:jc w:val="right"/>
              <w:rPr>
                <w:rFonts w:eastAsia="Times New Roman" w:cstheme="minorHAnsi"/>
                <w:sz w:val="16"/>
                <w:szCs w:val="16"/>
              </w:rPr>
            </w:pPr>
            <w:r w:rsidRPr="00AC1E7F">
              <w:rPr>
                <w:rFonts w:eastAsia="Times New Roman" w:cstheme="minorHAnsi"/>
                <w:i/>
                <w:sz w:val="16"/>
                <w:szCs w:val="16"/>
              </w:rPr>
              <w:t>19,500,000.00</w:t>
            </w:r>
          </w:p>
        </w:tc>
        <w:tc>
          <w:tcPr>
            <w:tcW w:w="1666" w:type="dxa"/>
            <w:vMerge/>
            <w:shd w:val="clear" w:color="auto" w:fill="auto"/>
            <w:vAlign w:val="center"/>
          </w:tcPr>
          <w:p w14:paraId="6F78BA7B" w14:textId="4B311D82" w:rsidR="00DC58E0" w:rsidRPr="00762230" w:rsidRDefault="00DC58E0" w:rsidP="00970F21">
            <w:pPr>
              <w:spacing w:after="0" w:line="240" w:lineRule="auto"/>
              <w:jc w:val="center"/>
              <w:rPr>
                <w:rFonts w:eastAsia="Times New Roman" w:cstheme="minorHAnsi"/>
                <w:sz w:val="16"/>
                <w:szCs w:val="16"/>
              </w:rPr>
            </w:pPr>
          </w:p>
        </w:tc>
        <w:tc>
          <w:tcPr>
            <w:tcW w:w="2019" w:type="dxa"/>
            <w:vMerge/>
            <w:vAlign w:val="center"/>
            <w:hideMark/>
          </w:tcPr>
          <w:p w14:paraId="0596ED42" w14:textId="77777777" w:rsidR="00DC58E0" w:rsidRPr="00AC1E7F" w:rsidRDefault="00DC58E0" w:rsidP="00970F21">
            <w:pPr>
              <w:spacing w:after="0" w:line="240" w:lineRule="auto"/>
              <w:rPr>
                <w:rFonts w:eastAsia="Times New Roman" w:cstheme="minorHAnsi"/>
                <w:sz w:val="18"/>
                <w:szCs w:val="18"/>
              </w:rPr>
            </w:pPr>
          </w:p>
        </w:tc>
      </w:tr>
      <w:tr w:rsidR="00DC58E0" w:rsidRPr="00AC1E7F" w14:paraId="3CA2778F" w14:textId="77777777" w:rsidTr="006E2189">
        <w:trPr>
          <w:trHeight w:val="288"/>
        </w:trPr>
        <w:tc>
          <w:tcPr>
            <w:tcW w:w="497" w:type="dxa"/>
            <w:shd w:val="clear" w:color="auto" w:fill="DEEAF6" w:themeFill="accent1" w:themeFillTint="33"/>
            <w:noWrap/>
            <w:vAlign w:val="center"/>
            <w:hideMark/>
          </w:tcPr>
          <w:p w14:paraId="715B569E" w14:textId="77777777" w:rsidR="00DC58E0" w:rsidRPr="00AC1E7F" w:rsidRDefault="00DC58E0" w:rsidP="00970F21">
            <w:pPr>
              <w:spacing w:after="0" w:line="240" w:lineRule="auto"/>
              <w:jc w:val="center"/>
              <w:rPr>
                <w:rFonts w:eastAsia="Times New Roman" w:cstheme="minorHAnsi"/>
                <w:b/>
                <w:sz w:val="18"/>
                <w:szCs w:val="18"/>
              </w:rPr>
            </w:pPr>
            <w:r w:rsidRPr="00AC1E7F">
              <w:rPr>
                <w:rFonts w:eastAsia="Times New Roman" w:cstheme="minorHAnsi"/>
                <w:b/>
                <w:sz w:val="18"/>
                <w:szCs w:val="18"/>
              </w:rPr>
              <w:t>4</w:t>
            </w:r>
          </w:p>
        </w:tc>
        <w:tc>
          <w:tcPr>
            <w:tcW w:w="2055" w:type="dxa"/>
            <w:shd w:val="clear" w:color="auto" w:fill="auto"/>
            <w:noWrap/>
            <w:vAlign w:val="center"/>
            <w:hideMark/>
          </w:tcPr>
          <w:p w14:paraId="5816ECCC" w14:textId="6448CECF" w:rsidR="00DC58E0" w:rsidRPr="004518DD" w:rsidRDefault="00DC58E0" w:rsidP="00970F21">
            <w:pPr>
              <w:spacing w:after="0" w:line="240" w:lineRule="auto"/>
              <w:rPr>
                <w:rFonts w:eastAsia="Times New Roman" w:cstheme="minorHAnsi"/>
                <w:b/>
                <w:bCs/>
                <w:sz w:val="18"/>
                <w:szCs w:val="18"/>
              </w:rPr>
            </w:pPr>
            <w:r w:rsidRPr="004518DD">
              <w:rPr>
                <w:rFonts w:eastAsia="Times New Roman" w:cstheme="minorHAnsi"/>
                <w:b/>
                <w:bCs/>
                <w:sz w:val="18"/>
                <w:szCs w:val="18"/>
              </w:rPr>
              <w:t xml:space="preserve">I.P. „Pensiunea din Holercani, </w:t>
            </w:r>
            <w:r w:rsidRPr="004518DD">
              <w:rPr>
                <w:rFonts w:eastAsia="Times New Roman" w:cstheme="minorHAnsi"/>
                <w:bCs/>
                <w:sz w:val="18"/>
                <w:szCs w:val="18"/>
              </w:rPr>
              <w:t>inclusiv:</w:t>
            </w:r>
          </w:p>
        </w:tc>
        <w:tc>
          <w:tcPr>
            <w:tcW w:w="1848" w:type="dxa"/>
            <w:vMerge w:val="restart"/>
            <w:shd w:val="clear" w:color="auto" w:fill="auto"/>
            <w:noWrap/>
            <w:hideMark/>
          </w:tcPr>
          <w:p w14:paraId="028742A0" w14:textId="77777777" w:rsidR="00DC58E0" w:rsidRPr="00AC1E7F" w:rsidRDefault="00DC58E0" w:rsidP="00970F21">
            <w:pPr>
              <w:spacing w:after="0" w:line="240" w:lineRule="auto"/>
              <w:jc w:val="right"/>
              <w:rPr>
                <w:rFonts w:eastAsia="Times New Roman" w:cstheme="minorHAnsi"/>
                <w:bCs/>
                <w:sz w:val="18"/>
                <w:szCs w:val="18"/>
              </w:rPr>
            </w:pPr>
            <w:r w:rsidRPr="00AC1E7F">
              <w:rPr>
                <w:rFonts w:eastAsia="Times New Roman" w:cstheme="minorHAnsi"/>
                <w:bCs/>
                <w:sz w:val="18"/>
                <w:szCs w:val="18"/>
              </w:rPr>
              <w:t>52,834,972.00</w:t>
            </w:r>
          </w:p>
        </w:tc>
        <w:tc>
          <w:tcPr>
            <w:tcW w:w="1856" w:type="dxa"/>
            <w:shd w:val="clear" w:color="auto" w:fill="auto"/>
            <w:noWrap/>
            <w:vAlign w:val="center"/>
          </w:tcPr>
          <w:p w14:paraId="7B9DE048" w14:textId="57AE7642" w:rsidR="00DC58E0" w:rsidRPr="00762230" w:rsidRDefault="00DC58E0" w:rsidP="00DC58E0">
            <w:pPr>
              <w:spacing w:after="0" w:line="240" w:lineRule="auto"/>
              <w:jc w:val="right"/>
              <w:rPr>
                <w:rFonts w:eastAsia="Times New Roman" w:cstheme="minorHAnsi"/>
                <w:sz w:val="16"/>
                <w:szCs w:val="16"/>
              </w:rPr>
            </w:pPr>
            <w:r w:rsidRPr="00FC374A">
              <w:rPr>
                <w:rFonts w:eastAsia="Times New Roman" w:cstheme="minorHAnsi"/>
                <w:bCs/>
                <w:sz w:val="19"/>
                <w:szCs w:val="19"/>
              </w:rPr>
              <w:t>52,834,972.00</w:t>
            </w:r>
          </w:p>
        </w:tc>
        <w:tc>
          <w:tcPr>
            <w:tcW w:w="1666" w:type="dxa"/>
            <w:vMerge w:val="restart"/>
            <w:shd w:val="clear" w:color="auto" w:fill="auto"/>
            <w:noWrap/>
            <w:vAlign w:val="center"/>
          </w:tcPr>
          <w:p w14:paraId="616F7A88" w14:textId="31148778" w:rsidR="00DC58E0" w:rsidRPr="00762230" w:rsidRDefault="00DC58E0" w:rsidP="00970F21">
            <w:pPr>
              <w:spacing w:after="0" w:line="240" w:lineRule="auto"/>
              <w:jc w:val="center"/>
              <w:rPr>
                <w:rFonts w:eastAsia="Times New Roman" w:cstheme="minorHAnsi"/>
                <w:sz w:val="16"/>
                <w:szCs w:val="16"/>
              </w:rPr>
            </w:pPr>
            <w:r w:rsidRPr="00762230">
              <w:rPr>
                <w:rFonts w:eastAsia="Times New Roman" w:cstheme="minorHAnsi"/>
                <w:sz w:val="16"/>
                <w:szCs w:val="16"/>
              </w:rPr>
              <w:t>Se necesită dezagregarea sumei și evidența analitică</w:t>
            </w:r>
          </w:p>
        </w:tc>
        <w:tc>
          <w:tcPr>
            <w:tcW w:w="2019" w:type="dxa"/>
            <w:vMerge w:val="restart"/>
            <w:shd w:val="clear" w:color="auto" w:fill="auto"/>
            <w:noWrap/>
            <w:hideMark/>
          </w:tcPr>
          <w:p w14:paraId="0CBCA8C0" w14:textId="77777777" w:rsidR="00DC58E0" w:rsidRPr="00AC1E7F" w:rsidRDefault="00DC58E0" w:rsidP="00970F21">
            <w:pPr>
              <w:spacing w:after="0" w:line="240" w:lineRule="auto"/>
              <w:jc w:val="right"/>
              <w:rPr>
                <w:rFonts w:eastAsia="Times New Roman" w:cstheme="minorHAnsi"/>
                <w:bCs/>
                <w:sz w:val="18"/>
                <w:szCs w:val="18"/>
              </w:rPr>
            </w:pPr>
            <w:r w:rsidRPr="00AC1E7F">
              <w:rPr>
                <w:rFonts w:eastAsia="Times New Roman" w:cstheme="minorHAnsi"/>
                <w:bCs/>
                <w:sz w:val="18"/>
                <w:szCs w:val="18"/>
              </w:rPr>
              <w:t>52,834,972.00</w:t>
            </w:r>
          </w:p>
        </w:tc>
      </w:tr>
      <w:tr w:rsidR="00DC58E0" w:rsidRPr="00AC1E7F" w14:paraId="59A12E0E" w14:textId="77777777" w:rsidTr="006E2189">
        <w:trPr>
          <w:trHeight w:val="288"/>
        </w:trPr>
        <w:tc>
          <w:tcPr>
            <w:tcW w:w="497" w:type="dxa"/>
            <w:shd w:val="clear" w:color="auto" w:fill="DEEAF6" w:themeFill="accent1" w:themeFillTint="33"/>
            <w:noWrap/>
            <w:vAlign w:val="center"/>
            <w:hideMark/>
          </w:tcPr>
          <w:p w14:paraId="3FD1906D" w14:textId="77777777" w:rsidR="00DC58E0" w:rsidRPr="00AC1E7F" w:rsidRDefault="00DC58E0" w:rsidP="00970F21">
            <w:pPr>
              <w:spacing w:after="0" w:line="240" w:lineRule="auto"/>
              <w:jc w:val="right"/>
              <w:rPr>
                <w:rFonts w:eastAsia="Times New Roman" w:cstheme="minorHAnsi"/>
                <w:i/>
                <w:iCs/>
                <w:sz w:val="18"/>
                <w:szCs w:val="18"/>
              </w:rPr>
            </w:pPr>
            <w:r w:rsidRPr="00AC1E7F">
              <w:rPr>
                <w:rFonts w:eastAsia="Times New Roman" w:cstheme="minorHAnsi"/>
                <w:i/>
                <w:iCs/>
                <w:sz w:val="18"/>
                <w:szCs w:val="18"/>
              </w:rPr>
              <w:t>4.1</w:t>
            </w:r>
          </w:p>
        </w:tc>
        <w:tc>
          <w:tcPr>
            <w:tcW w:w="2055" w:type="dxa"/>
            <w:shd w:val="clear" w:color="auto" w:fill="auto"/>
            <w:noWrap/>
            <w:vAlign w:val="center"/>
            <w:hideMark/>
          </w:tcPr>
          <w:p w14:paraId="659E7984" w14:textId="77777777" w:rsidR="00DC58E0" w:rsidRPr="00DE56A6" w:rsidRDefault="00DC58E0" w:rsidP="00970F21">
            <w:pPr>
              <w:spacing w:after="0" w:line="240" w:lineRule="auto"/>
              <w:jc w:val="right"/>
              <w:rPr>
                <w:rFonts w:eastAsia="Times New Roman" w:cstheme="minorHAnsi"/>
                <w:i/>
                <w:iCs/>
                <w:sz w:val="18"/>
                <w:szCs w:val="18"/>
              </w:rPr>
            </w:pPr>
            <w:r w:rsidRPr="00DE56A6">
              <w:rPr>
                <w:rFonts w:eastAsia="Times New Roman" w:cstheme="minorHAnsi"/>
                <w:i/>
                <w:iCs/>
                <w:sz w:val="18"/>
                <w:szCs w:val="18"/>
              </w:rPr>
              <w:t xml:space="preserve"> bunuri</w:t>
            </w:r>
          </w:p>
        </w:tc>
        <w:tc>
          <w:tcPr>
            <w:tcW w:w="1848" w:type="dxa"/>
            <w:vMerge/>
            <w:vAlign w:val="center"/>
            <w:hideMark/>
          </w:tcPr>
          <w:p w14:paraId="0BA8A794" w14:textId="77777777" w:rsidR="00DC58E0" w:rsidRPr="00AC1E7F" w:rsidRDefault="00DC58E0" w:rsidP="00970F21">
            <w:pPr>
              <w:spacing w:after="0" w:line="240" w:lineRule="auto"/>
              <w:rPr>
                <w:rFonts w:eastAsia="Times New Roman" w:cstheme="minorHAnsi"/>
                <w:bCs/>
                <w:sz w:val="18"/>
                <w:szCs w:val="18"/>
              </w:rPr>
            </w:pPr>
          </w:p>
        </w:tc>
        <w:tc>
          <w:tcPr>
            <w:tcW w:w="1856" w:type="dxa"/>
            <w:shd w:val="clear" w:color="auto" w:fill="auto"/>
            <w:vAlign w:val="center"/>
          </w:tcPr>
          <w:p w14:paraId="34BFE33F" w14:textId="5AFB98E4" w:rsidR="00DC58E0" w:rsidRPr="00762230" w:rsidRDefault="00DC58E0" w:rsidP="00DC58E0">
            <w:pPr>
              <w:spacing w:after="0" w:line="240" w:lineRule="auto"/>
              <w:jc w:val="right"/>
              <w:rPr>
                <w:rFonts w:eastAsia="Times New Roman" w:cstheme="minorHAnsi"/>
                <w:sz w:val="16"/>
                <w:szCs w:val="16"/>
              </w:rPr>
            </w:pPr>
            <w:r w:rsidRPr="00AC1E7F">
              <w:rPr>
                <w:rFonts w:eastAsia="Times New Roman" w:cstheme="minorHAnsi"/>
                <w:i/>
                <w:sz w:val="16"/>
                <w:szCs w:val="16"/>
              </w:rPr>
              <w:t>40,881,972.00</w:t>
            </w:r>
          </w:p>
        </w:tc>
        <w:tc>
          <w:tcPr>
            <w:tcW w:w="1666" w:type="dxa"/>
            <w:vMerge/>
            <w:shd w:val="clear" w:color="auto" w:fill="auto"/>
            <w:vAlign w:val="center"/>
          </w:tcPr>
          <w:p w14:paraId="765DF2FB" w14:textId="72B21440" w:rsidR="00DC58E0" w:rsidRPr="00762230" w:rsidRDefault="00DC58E0" w:rsidP="00970F21">
            <w:pPr>
              <w:spacing w:after="0" w:line="240" w:lineRule="auto"/>
              <w:jc w:val="center"/>
              <w:rPr>
                <w:rFonts w:eastAsia="Times New Roman" w:cstheme="minorHAnsi"/>
                <w:sz w:val="16"/>
                <w:szCs w:val="16"/>
              </w:rPr>
            </w:pPr>
          </w:p>
        </w:tc>
        <w:tc>
          <w:tcPr>
            <w:tcW w:w="2019" w:type="dxa"/>
            <w:vMerge/>
            <w:vAlign w:val="center"/>
            <w:hideMark/>
          </w:tcPr>
          <w:p w14:paraId="0D3F8A16" w14:textId="77777777" w:rsidR="00DC58E0" w:rsidRPr="00AC1E7F" w:rsidRDefault="00DC58E0" w:rsidP="00970F21">
            <w:pPr>
              <w:spacing w:after="0" w:line="240" w:lineRule="auto"/>
              <w:rPr>
                <w:rFonts w:eastAsia="Times New Roman" w:cstheme="minorHAnsi"/>
                <w:sz w:val="18"/>
                <w:szCs w:val="18"/>
              </w:rPr>
            </w:pPr>
          </w:p>
        </w:tc>
      </w:tr>
      <w:tr w:rsidR="00DC58E0" w:rsidRPr="00AC1E7F" w14:paraId="684CDEED" w14:textId="77777777" w:rsidTr="006E2189">
        <w:trPr>
          <w:trHeight w:val="288"/>
        </w:trPr>
        <w:tc>
          <w:tcPr>
            <w:tcW w:w="497" w:type="dxa"/>
            <w:shd w:val="clear" w:color="auto" w:fill="DEEAF6" w:themeFill="accent1" w:themeFillTint="33"/>
            <w:noWrap/>
            <w:vAlign w:val="center"/>
            <w:hideMark/>
          </w:tcPr>
          <w:p w14:paraId="1770B48B" w14:textId="77777777" w:rsidR="00DC58E0" w:rsidRPr="00AC1E7F" w:rsidRDefault="00DC58E0" w:rsidP="00970F21">
            <w:pPr>
              <w:spacing w:after="0" w:line="240" w:lineRule="auto"/>
              <w:jc w:val="right"/>
              <w:rPr>
                <w:rFonts w:eastAsia="Times New Roman" w:cstheme="minorHAnsi"/>
                <w:i/>
                <w:iCs/>
                <w:sz w:val="18"/>
                <w:szCs w:val="18"/>
              </w:rPr>
            </w:pPr>
            <w:r w:rsidRPr="00AC1E7F">
              <w:rPr>
                <w:rFonts w:eastAsia="Times New Roman" w:cstheme="minorHAnsi"/>
                <w:i/>
                <w:iCs/>
                <w:sz w:val="18"/>
                <w:szCs w:val="18"/>
              </w:rPr>
              <w:t>4.2</w:t>
            </w:r>
          </w:p>
        </w:tc>
        <w:tc>
          <w:tcPr>
            <w:tcW w:w="2055" w:type="dxa"/>
            <w:shd w:val="clear" w:color="auto" w:fill="auto"/>
            <w:noWrap/>
            <w:vAlign w:val="center"/>
            <w:hideMark/>
          </w:tcPr>
          <w:p w14:paraId="59CAE9B9" w14:textId="77777777" w:rsidR="00DC58E0" w:rsidRPr="00DE56A6" w:rsidRDefault="00DC58E0" w:rsidP="00970F21">
            <w:pPr>
              <w:spacing w:after="0" w:line="240" w:lineRule="auto"/>
              <w:jc w:val="right"/>
              <w:rPr>
                <w:rFonts w:eastAsia="Times New Roman" w:cstheme="minorHAnsi"/>
                <w:i/>
                <w:iCs/>
                <w:sz w:val="18"/>
                <w:szCs w:val="18"/>
              </w:rPr>
            </w:pPr>
            <w:r w:rsidRPr="00DE56A6">
              <w:rPr>
                <w:rFonts w:eastAsia="Times New Roman" w:cstheme="minorHAnsi"/>
                <w:i/>
                <w:iCs/>
                <w:sz w:val="18"/>
                <w:szCs w:val="18"/>
              </w:rPr>
              <w:t>mijloace bănești</w:t>
            </w:r>
          </w:p>
        </w:tc>
        <w:tc>
          <w:tcPr>
            <w:tcW w:w="1848" w:type="dxa"/>
            <w:vMerge/>
            <w:vAlign w:val="center"/>
            <w:hideMark/>
          </w:tcPr>
          <w:p w14:paraId="58754502" w14:textId="77777777" w:rsidR="00DC58E0" w:rsidRPr="00AC1E7F" w:rsidRDefault="00DC58E0" w:rsidP="00970F21">
            <w:pPr>
              <w:spacing w:after="0" w:line="240" w:lineRule="auto"/>
              <w:rPr>
                <w:rFonts w:eastAsia="Times New Roman" w:cstheme="minorHAnsi"/>
                <w:bCs/>
                <w:sz w:val="18"/>
                <w:szCs w:val="18"/>
              </w:rPr>
            </w:pPr>
          </w:p>
        </w:tc>
        <w:tc>
          <w:tcPr>
            <w:tcW w:w="1856" w:type="dxa"/>
            <w:shd w:val="clear" w:color="auto" w:fill="auto"/>
            <w:vAlign w:val="center"/>
          </w:tcPr>
          <w:p w14:paraId="31A66374" w14:textId="012557A5" w:rsidR="00DC58E0" w:rsidRPr="00762230" w:rsidRDefault="00DC58E0" w:rsidP="00DC58E0">
            <w:pPr>
              <w:spacing w:after="0" w:line="240" w:lineRule="auto"/>
              <w:jc w:val="right"/>
              <w:rPr>
                <w:rFonts w:eastAsia="Times New Roman" w:cstheme="minorHAnsi"/>
                <w:sz w:val="16"/>
                <w:szCs w:val="16"/>
              </w:rPr>
            </w:pPr>
            <w:r w:rsidRPr="00AC1E7F">
              <w:rPr>
                <w:rFonts w:eastAsia="Times New Roman" w:cstheme="minorHAnsi"/>
                <w:i/>
                <w:sz w:val="16"/>
                <w:szCs w:val="16"/>
              </w:rPr>
              <w:t>11,953,000.00</w:t>
            </w:r>
          </w:p>
        </w:tc>
        <w:tc>
          <w:tcPr>
            <w:tcW w:w="1666" w:type="dxa"/>
            <w:vMerge/>
            <w:shd w:val="clear" w:color="auto" w:fill="auto"/>
            <w:vAlign w:val="center"/>
          </w:tcPr>
          <w:p w14:paraId="20B6E6EA" w14:textId="407DB570" w:rsidR="00DC58E0" w:rsidRPr="00762230" w:rsidRDefault="00DC58E0" w:rsidP="00970F21">
            <w:pPr>
              <w:spacing w:after="0" w:line="240" w:lineRule="auto"/>
              <w:jc w:val="center"/>
              <w:rPr>
                <w:rFonts w:eastAsia="Times New Roman" w:cstheme="minorHAnsi"/>
                <w:sz w:val="16"/>
                <w:szCs w:val="16"/>
              </w:rPr>
            </w:pPr>
          </w:p>
        </w:tc>
        <w:tc>
          <w:tcPr>
            <w:tcW w:w="2019" w:type="dxa"/>
            <w:vMerge/>
            <w:vAlign w:val="center"/>
            <w:hideMark/>
          </w:tcPr>
          <w:p w14:paraId="23C56F55" w14:textId="77777777" w:rsidR="00DC58E0" w:rsidRPr="00AC1E7F" w:rsidRDefault="00DC58E0" w:rsidP="00970F21">
            <w:pPr>
              <w:spacing w:after="0" w:line="240" w:lineRule="auto"/>
              <w:rPr>
                <w:rFonts w:eastAsia="Times New Roman" w:cstheme="minorHAnsi"/>
                <w:sz w:val="18"/>
                <w:szCs w:val="18"/>
              </w:rPr>
            </w:pPr>
          </w:p>
        </w:tc>
      </w:tr>
      <w:tr w:rsidR="00DC58E0" w:rsidRPr="00AC1E7F" w14:paraId="4053BE42" w14:textId="77777777" w:rsidTr="006E2189">
        <w:trPr>
          <w:trHeight w:val="288"/>
        </w:trPr>
        <w:tc>
          <w:tcPr>
            <w:tcW w:w="497" w:type="dxa"/>
            <w:shd w:val="clear" w:color="auto" w:fill="DEEAF6" w:themeFill="accent1" w:themeFillTint="33"/>
            <w:noWrap/>
            <w:vAlign w:val="center"/>
            <w:hideMark/>
          </w:tcPr>
          <w:p w14:paraId="68111C23" w14:textId="77777777" w:rsidR="00DC58E0" w:rsidRPr="00AC1E7F" w:rsidRDefault="00DC58E0" w:rsidP="00970F21">
            <w:pPr>
              <w:spacing w:after="0" w:line="240" w:lineRule="auto"/>
              <w:jc w:val="center"/>
              <w:rPr>
                <w:rFonts w:eastAsia="Times New Roman" w:cstheme="minorHAnsi"/>
                <w:b/>
                <w:sz w:val="18"/>
                <w:szCs w:val="18"/>
              </w:rPr>
            </w:pPr>
            <w:r w:rsidRPr="00AC1E7F">
              <w:rPr>
                <w:rFonts w:eastAsia="Times New Roman" w:cstheme="minorHAnsi"/>
                <w:b/>
                <w:sz w:val="18"/>
                <w:szCs w:val="18"/>
              </w:rPr>
              <w:t>5</w:t>
            </w:r>
          </w:p>
        </w:tc>
        <w:tc>
          <w:tcPr>
            <w:tcW w:w="2055" w:type="dxa"/>
            <w:shd w:val="clear" w:color="auto" w:fill="auto"/>
            <w:noWrap/>
            <w:vAlign w:val="center"/>
            <w:hideMark/>
          </w:tcPr>
          <w:p w14:paraId="73715616" w14:textId="64BE3485" w:rsidR="00DC58E0" w:rsidRPr="004518DD" w:rsidRDefault="00DC58E0" w:rsidP="00970F21">
            <w:pPr>
              <w:spacing w:after="0" w:line="240" w:lineRule="auto"/>
              <w:rPr>
                <w:rFonts w:eastAsia="Times New Roman" w:cstheme="minorHAnsi"/>
                <w:b/>
                <w:sz w:val="18"/>
                <w:szCs w:val="18"/>
              </w:rPr>
            </w:pPr>
            <w:r w:rsidRPr="004518DD">
              <w:rPr>
                <w:rFonts w:eastAsia="Times New Roman" w:cstheme="minorHAnsi"/>
                <w:b/>
                <w:sz w:val="18"/>
                <w:szCs w:val="18"/>
              </w:rPr>
              <w:t>I.P. „ASP”</w:t>
            </w:r>
          </w:p>
        </w:tc>
        <w:tc>
          <w:tcPr>
            <w:tcW w:w="1848" w:type="dxa"/>
            <w:shd w:val="clear" w:color="auto" w:fill="auto"/>
            <w:noWrap/>
            <w:vAlign w:val="center"/>
            <w:hideMark/>
          </w:tcPr>
          <w:p w14:paraId="5E006EFE" w14:textId="77777777" w:rsidR="00DC58E0" w:rsidRPr="00AC1E7F" w:rsidRDefault="00DC58E0" w:rsidP="00970F21">
            <w:pPr>
              <w:spacing w:after="0" w:line="240" w:lineRule="auto"/>
              <w:jc w:val="right"/>
              <w:rPr>
                <w:rFonts w:eastAsia="Times New Roman" w:cstheme="minorHAnsi"/>
                <w:sz w:val="16"/>
                <w:szCs w:val="16"/>
              </w:rPr>
            </w:pPr>
            <w:r w:rsidRPr="00AC1E7F">
              <w:rPr>
                <w:rFonts w:eastAsia="Times New Roman" w:cstheme="minorHAnsi"/>
                <w:sz w:val="16"/>
                <w:szCs w:val="16"/>
              </w:rPr>
              <w:t>nu este în evidența CS la 415</w:t>
            </w:r>
          </w:p>
        </w:tc>
        <w:tc>
          <w:tcPr>
            <w:tcW w:w="1856" w:type="dxa"/>
            <w:shd w:val="clear" w:color="auto" w:fill="auto"/>
            <w:noWrap/>
            <w:vAlign w:val="center"/>
          </w:tcPr>
          <w:p w14:paraId="1F65F2FB" w14:textId="10A00F3D" w:rsidR="00DC58E0" w:rsidRPr="00762230" w:rsidRDefault="00DC58E0" w:rsidP="00DC58E0">
            <w:pPr>
              <w:spacing w:after="0" w:line="240" w:lineRule="auto"/>
              <w:jc w:val="right"/>
              <w:rPr>
                <w:rFonts w:eastAsia="Times New Roman" w:cstheme="minorHAnsi"/>
                <w:sz w:val="16"/>
                <w:szCs w:val="16"/>
              </w:rPr>
            </w:pPr>
            <w:r w:rsidRPr="00FC374A">
              <w:rPr>
                <w:rFonts w:eastAsia="Times New Roman" w:cstheme="minorHAnsi"/>
                <w:i/>
                <w:sz w:val="16"/>
                <w:szCs w:val="16"/>
              </w:rPr>
              <w:t>4,199,678.64</w:t>
            </w:r>
          </w:p>
        </w:tc>
        <w:tc>
          <w:tcPr>
            <w:tcW w:w="1666" w:type="dxa"/>
            <w:shd w:val="clear" w:color="auto" w:fill="auto"/>
            <w:noWrap/>
            <w:vAlign w:val="center"/>
          </w:tcPr>
          <w:p w14:paraId="2A2744F9" w14:textId="574223D8" w:rsidR="00DC58E0" w:rsidRPr="00762230" w:rsidRDefault="00DC58E0" w:rsidP="00970F21">
            <w:pPr>
              <w:spacing w:after="0" w:line="240" w:lineRule="auto"/>
              <w:jc w:val="center"/>
              <w:rPr>
                <w:rFonts w:eastAsia="Times New Roman" w:cstheme="minorHAnsi"/>
                <w:sz w:val="16"/>
                <w:szCs w:val="16"/>
              </w:rPr>
            </w:pPr>
            <w:r w:rsidRPr="00762230">
              <w:rPr>
                <w:rFonts w:eastAsia="Times New Roman" w:cstheme="minorHAnsi"/>
                <w:sz w:val="16"/>
                <w:szCs w:val="16"/>
              </w:rPr>
              <w:t>necesită a fi adăugat</w:t>
            </w:r>
          </w:p>
        </w:tc>
        <w:tc>
          <w:tcPr>
            <w:tcW w:w="2019" w:type="dxa"/>
            <w:shd w:val="clear" w:color="auto" w:fill="auto"/>
            <w:noWrap/>
            <w:vAlign w:val="center"/>
          </w:tcPr>
          <w:p w14:paraId="3F8DDC93" w14:textId="6A266FCB" w:rsidR="00DC58E0" w:rsidRPr="00FC374A" w:rsidRDefault="00DC58E0" w:rsidP="00970F21">
            <w:pPr>
              <w:spacing w:after="0" w:line="240" w:lineRule="auto"/>
              <w:jc w:val="right"/>
              <w:rPr>
                <w:rFonts w:eastAsia="Times New Roman" w:cstheme="minorHAnsi"/>
                <w:bCs/>
                <w:sz w:val="18"/>
                <w:szCs w:val="18"/>
              </w:rPr>
            </w:pPr>
            <w:r w:rsidRPr="00FC374A">
              <w:rPr>
                <w:rFonts w:eastAsia="Times New Roman" w:cstheme="minorHAnsi"/>
                <w:bCs/>
                <w:sz w:val="18"/>
                <w:szCs w:val="18"/>
              </w:rPr>
              <w:t>4,199,678.64</w:t>
            </w:r>
          </w:p>
        </w:tc>
      </w:tr>
      <w:tr w:rsidR="00DC58E0" w:rsidRPr="00AC1E7F" w14:paraId="6BE5A0D9" w14:textId="77777777" w:rsidTr="006E2189">
        <w:trPr>
          <w:trHeight w:val="288"/>
        </w:trPr>
        <w:tc>
          <w:tcPr>
            <w:tcW w:w="497" w:type="dxa"/>
            <w:shd w:val="clear" w:color="auto" w:fill="DEEAF6" w:themeFill="accent1" w:themeFillTint="33"/>
            <w:noWrap/>
            <w:vAlign w:val="center"/>
            <w:hideMark/>
          </w:tcPr>
          <w:p w14:paraId="67B6AF0F" w14:textId="77777777" w:rsidR="00DC58E0" w:rsidRPr="00AC1E7F" w:rsidRDefault="00DC58E0" w:rsidP="00970F21">
            <w:pPr>
              <w:spacing w:after="0" w:line="240" w:lineRule="auto"/>
              <w:jc w:val="center"/>
              <w:rPr>
                <w:rFonts w:eastAsia="Times New Roman" w:cstheme="minorHAnsi"/>
                <w:b/>
                <w:sz w:val="18"/>
                <w:szCs w:val="18"/>
              </w:rPr>
            </w:pPr>
            <w:r w:rsidRPr="00AC1E7F">
              <w:rPr>
                <w:rFonts w:eastAsia="Times New Roman" w:cstheme="minorHAnsi"/>
                <w:b/>
                <w:sz w:val="18"/>
                <w:szCs w:val="18"/>
              </w:rPr>
              <w:t>6</w:t>
            </w:r>
          </w:p>
        </w:tc>
        <w:tc>
          <w:tcPr>
            <w:tcW w:w="2055" w:type="dxa"/>
            <w:shd w:val="clear" w:color="auto" w:fill="auto"/>
            <w:noWrap/>
            <w:vAlign w:val="center"/>
            <w:hideMark/>
          </w:tcPr>
          <w:p w14:paraId="6666BE6B" w14:textId="359CE651" w:rsidR="00DC58E0" w:rsidRPr="004518DD" w:rsidRDefault="00DC58E0" w:rsidP="00970F21">
            <w:pPr>
              <w:spacing w:after="0" w:line="240" w:lineRule="auto"/>
              <w:rPr>
                <w:rFonts w:eastAsia="Times New Roman" w:cstheme="minorHAnsi"/>
                <w:b/>
                <w:sz w:val="18"/>
                <w:szCs w:val="18"/>
              </w:rPr>
            </w:pPr>
            <w:r w:rsidRPr="004518DD">
              <w:rPr>
                <w:rFonts w:eastAsia="Times New Roman" w:cstheme="minorHAnsi"/>
                <w:b/>
                <w:sz w:val="18"/>
                <w:szCs w:val="18"/>
              </w:rPr>
              <w:t>I.P. AIS „Moldpres”</w:t>
            </w:r>
          </w:p>
        </w:tc>
        <w:tc>
          <w:tcPr>
            <w:tcW w:w="1848" w:type="dxa"/>
            <w:shd w:val="clear" w:color="auto" w:fill="auto"/>
            <w:noWrap/>
            <w:vAlign w:val="center"/>
            <w:hideMark/>
          </w:tcPr>
          <w:p w14:paraId="0EA40543" w14:textId="77777777" w:rsidR="00DC58E0" w:rsidRPr="00AC1E7F" w:rsidRDefault="00DC58E0" w:rsidP="00970F21">
            <w:pPr>
              <w:spacing w:after="0" w:line="240" w:lineRule="auto"/>
              <w:jc w:val="right"/>
              <w:rPr>
                <w:rFonts w:eastAsia="Times New Roman" w:cstheme="minorHAnsi"/>
                <w:sz w:val="16"/>
                <w:szCs w:val="16"/>
              </w:rPr>
            </w:pPr>
            <w:r w:rsidRPr="00AC1E7F">
              <w:rPr>
                <w:rFonts w:eastAsia="Times New Roman" w:cstheme="minorHAnsi"/>
                <w:sz w:val="16"/>
                <w:szCs w:val="16"/>
              </w:rPr>
              <w:t>nu este în evidența CS la 415</w:t>
            </w:r>
          </w:p>
        </w:tc>
        <w:tc>
          <w:tcPr>
            <w:tcW w:w="1856" w:type="dxa"/>
            <w:shd w:val="clear" w:color="auto" w:fill="auto"/>
            <w:noWrap/>
            <w:vAlign w:val="center"/>
          </w:tcPr>
          <w:p w14:paraId="70F6098A" w14:textId="677556C6" w:rsidR="00DC58E0" w:rsidRPr="00762230" w:rsidRDefault="00DC58E0" w:rsidP="00DC58E0">
            <w:pPr>
              <w:spacing w:after="0" w:line="240" w:lineRule="auto"/>
              <w:jc w:val="right"/>
              <w:rPr>
                <w:rFonts w:eastAsia="Times New Roman" w:cstheme="minorHAnsi"/>
                <w:sz w:val="16"/>
                <w:szCs w:val="16"/>
              </w:rPr>
            </w:pPr>
            <w:r w:rsidRPr="00FC374A">
              <w:rPr>
                <w:rFonts w:eastAsia="Times New Roman" w:cstheme="minorHAnsi"/>
                <w:i/>
                <w:sz w:val="16"/>
                <w:szCs w:val="16"/>
              </w:rPr>
              <w:t>334,154.29</w:t>
            </w:r>
          </w:p>
        </w:tc>
        <w:tc>
          <w:tcPr>
            <w:tcW w:w="1666" w:type="dxa"/>
            <w:shd w:val="clear" w:color="auto" w:fill="auto"/>
            <w:noWrap/>
            <w:vAlign w:val="center"/>
          </w:tcPr>
          <w:p w14:paraId="6BC45468" w14:textId="25275509" w:rsidR="00DC58E0" w:rsidRPr="00762230" w:rsidRDefault="00DC58E0" w:rsidP="00970F21">
            <w:pPr>
              <w:spacing w:after="0" w:line="240" w:lineRule="auto"/>
              <w:jc w:val="center"/>
              <w:rPr>
                <w:rFonts w:eastAsia="Times New Roman" w:cstheme="minorHAnsi"/>
                <w:sz w:val="16"/>
                <w:szCs w:val="16"/>
              </w:rPr>
            </w:pPr>
            <w:r w:rsidRPr="00762230">
              <w:rPr>
                <w:rFonts w:eastAsia="Times New Roman" w:cstheme="minorHAnsi"/>
                <w:sz w:val="16"/>
                <w:szCs w:val="16"/>
              </w:rPr>
              <w:t>necesită a fi adăugat</w:t>
            </w:r>
          </w:p>
        </w:tc>
        <w:tc>
          <w:tcPr>
            <w:tcW w:w="2019" w:type="dxa"/>
            <w:shd w:val="clear" w:color="auto" w:fill="auto"/>
            <w:noWrap/>
            <w:vAlign w:val="center"/>
            <w:hideMark/>
          </w:tcPr>
          <w:p w14:paraId="65E70CDE" w14:textId="6B28009C" w:rsidR="00DC58E0" w:rsidRPr="00FC374A" w:rsidRDefault="00DC58E0" w:rsidP="00970F21">
            <w:pPr>
              <w:spacing w:after="0" w:line="240" w:lineRule="auto"/>
              <w:jc w:val="right"/>
              <w:rPr>
                <w:rFonts w:eastAsia="Times New Roman" w:cstheme="minorHAnsi"/>
                <w:sz w:val="18"/>
                <w:szCs w:val="18"/>
              </w:rPr>
            </w:pPr>
            <w:r w:rsidRPr="00FC374A">
              <w:rPr>
                <w:rFonts w:eastAsia="Times New Roman" w:cstheme="minorHAnsi"/>
                <w:sz w:val="18"/>
                <w:szCs w:val="18"/>
              </w:rPr>
              <w:t>334,154.29</w:t>
            </w:r>
          </w:p>
        </w:tc>
      </w:tr>
      <w:tr w:rsidR="00970F21" w:rsidRPr="00AC1E7F" w14:paraId="6F512A74" w14:textId="77777777" w:rsidTr="006E2189">
        <w:trPr>
          <w:trHeight w:val="288"/>
        </w:trPr>
        <w:tc>
          <w:tcPr>
            <w:tcW w:w="497" w:type="dxa"/>
            <w:shd w:val="clear" w:color="auto" w:fill="DEEAF6" w:themeFill="accent1" w:themeFillTint="33"/>
            <w:noWrap/>
            <w:vAlign w:val="center"/>
            <w:hideMark/>
          </w:tcPr>
          <w:p w14:paraId="63589CDE" w14:textId="77777777" w:rsidR="00970F21" w:rsidRPr="00AC1E7F" w:rsidRDefault="00970F21" w:rsidP="00970F21">
            <w:pPr>
              <w:spacing w:after="0" w:line="240" w:lineRule="auto"/>
              <w:jc w:val="center"/>
              <w:rPr>
                <w:rFonts w:eastAsia="Times New Roman" w:cstheme="minorHAnsi"/>
                <w:b/>
                <w:sz w:val="18"/>
                <w:szCs w:val="18"/>
              </w:rPr>
            </w:pPr>
            <w:r w:rsidRPr="00AC1E7F">
              <w:rPr>
                <w:rFonts w:eastAsia="Times New Roman" w:cstheme="minorHAnsi"/>
                <w:b/>
                <w:sz w:val="18"/>
                <w:szCs w:val="18"/>
              </w:rPr>
              <w:t>7</w:t>
            </w:r>
          </w:p>
        </w:tc>
        <w:tc>
          <w:tcPr>
            <w:tcW w:w="2055" w:type="dxa"/>
            <w:shd w:val="clear" w:color="auto" w:fill="auto"/>
            <w:noWrap/>
            <w:vAlign w:val="center"/>
            <w:hideMark/>
          </w:tcPr>
          <w:p w14:paraId="5986CA30" w14:textId="22C927C1" w:rsidR="00970F21" w:rsidRPr="004518DD" w:rsidRDefault="00970F21" w:rsidP="00970F21">
            <w:pPr>
              <w:spacing w:after="0" w:line="240" w:lineRule="auto"/>
              <w:rPr>
                <w:rFonts w:eastAsia="Times New Roman" w:cstheme="minorHAnsi"/>
                <w:b/>
                <w:sz w:val="18"/>
                <w:szCs w:val="18"/>
              </w:rPr>
            </w:pPr>
            <w:r w:rsidRPr="004518DD">
              <w:rPr>
                <w:rFonts w:eastAsia="Times New Roman" w:cstheme="minorHAnsi"/>
                <w:b/>
                <w:sz w:val="18"/>
                <w:szCs w:val="18"/>
              </w:rPr>
              <w:t>I.P. „DGACG”</w:t>
            </w:r>
          </w:p>
        </w:tc>
        <w:tc>
          <w:tcPr>
            <w:tcW w:w="7389" w:type="dxa"/>
            <w:gridSpan w:val="4"/>
          </w:tcPr>
          <w:p w14:paraId="23076F9A" w14:textId="29D8FA15" w:rsidR="00970F21" w:rsidRPr="00AC1E7F" w:rsidRDefault="00970F21" w:rsidP="00970F21">
            <w:pPr>
              <w:spacing w:after="0" w:line="240" w:lineRule="auto"/>
              <w:jc w:val="center"/>
              <w:rPr>
                <w:rFonts w:eastAsia="Times New Roman" w:cstheme="minorHAnsi"/>
                <w:sz w:val="18"/>
                <w:szCs w:val="18"/>
              </w:rPr>
            </w:pPr>
            <w:r w:rsidRPr="00AC1E7F">
              <w:rPr>
                <w:rFonts w:eastAsia="Times New Roman" w:cstheme="minorHAnsi"/>
                <w:sz w:val="18"/>
                <w:szCs w:val="18"/>
              </w:rPr>
              <w:t>Se consolidează la raportarea anuală, Org2</w:t>
            </w:r>
          </w:p>
        </w:tc>
      </w:tr>
      <w:tr w:rsidR="00970F21" w:rsidRPr="00AC1E7F" w14:paraId="51205DD6" w14:textId="77777777" w:rsidTr="006E2189">
        <w:trPr>
          <w:trHeight w:val="300"/>
        </w:trPr>
        <w:tc>
          <w:tcPr>
            <w:tcW w:w="497" w:type="dxa"/>
            <w:shd w:val="clear" w:color="auto" w:fill="DEEAF6" w:themeFill="accent1" w:themeFillTint="33"/>
            <w:noWrap/>
            <w:vAlign w:val="center"/>
            <w:hideMark/>
          </w:tcPr>
          <w:p w14:paraId="17D6973C" w14:textId="77777777" w:rsidR="00970F21" w:rsidRPr="00AC1E7F" w:rsidRDefault="00970F21" w:rsidP="00970F21">
            <w:pPr>
              <w:spacing w:after="0" w:line="240" w:lineRule="auto"/>
              <w:jc w:val="center"/>
              <w:rPr>
                <w:rFonts w:eastAsia="Times New Roman" w:cstheme="minorHAnsi"/>
                <w:b/>
                <w:sz w:val="18"/>
                <w:szCs w:val="18"/>
              </w:rPr>
            </w:pPr>
            <w:r w:rsidRPr="00AC1E7F">
              <w:rPr>
                <w:rFonts w:eastAsia="Times New Roman" w:cstheme="minorHAnsi"/>
                <w:b/>
                <w:sz w:val="18"/>
                <w:szCs w:val="18"/>
              </w:rPr>
              <w:t>8</w:t>
            </w:r>
          </w:p>
        </w:tc>
        <w:tc>
          <w:tcPr>
            <w:tcW w:w="2055" w:type="dxa"/>
            <w:shd w:val="clear" w:color="auto" w:fill="auto"/>
            <w:noWrap/>
            <w:vAlign w:val="center"/>
            <w:hideMark/>
          </w:tcPr>
          <w:p w14:paraId="1E748C46" w14:textId="4F6D6755" w:rsidR="00970F21" w:rsidRPr="004518DD" w:rsidRDefault="00970F21" w:rsidP="00970F21">
            <w:pPr>
              <w:spacing w:after="0" w:line="240" w:lineRule="auto"/>
              <w:rPr>
                <w:rFonts w:eastAsia="Times New Roman" w:cstheme="minorHAnsi"/>
                <w:b/>
                <w:sz w:val="18"/>
                <w:szCs w:val="18"/>
              </w:rPr>
            </w:pPr>
            <w:r w:rsidRPr="004518DD">
              <w:rPr>
                <w:rFonts w:eastAsia="Times New Roman" w:cstheme="minorHAnsi"/>
                <w:b/>
                <w:sz w:val="18"/>
                <w:szCs w:val="18"/>
              </w:rPr>
              <w:t>I.P. „Baza Auto a CS”</w:t>
            </w:r>
          </w:p>
        </w:tc>
        <w:tc>
          <w:tcPr>
            <w:tcW w:w="7389" w:type="dxa"/>
            <w:gridSpan w:val="4"/>
          </w:tcPr>
          <w:p w14:paraId="78362B19" w14:textId="5CC0336D" w:rsidR="00970F21" w:rsidRPr="00AC1E7F" w:rsidRDefault="00970F21" w:rsidP="00970F21">
            <w:pPr>
              <w:spacing w:after="0" w:line="240" w:lineRule="auto"/>
              <w:jc w:val="center"/>
              <w:rPr>
                <w:rFonts w:eastAsia="Times New Roman" w:cstheme="minorHAnsi"/>
                <w:sz w:val="18"/>
                <w:szCs w:val="18"/>
              </w:rPr>
            </w:pPr>
            <w:r w:rsidRPr="00AC1E7F">
              <w:rPr>
                <w:rFonts w:eastAsia="Times New Roman" w:cstheme="minorHAnsi"/>
                <w:sz w:val="18"/>
                <w:szCs w:val="18"/>
              </w:rPr>
              <w:t>Se consolidează la raportarea anuală, Org2</w:t>
            </w:r>
          </w:p>
        </w:tc>
      </w:tr>
    </w:tbl>
    <w:p w14:paraId="61BCA90A" w14:textId="77777777" w:rsidR="002B748B" w:rsidRDefault="002B748B" w:rsidP="002B748B">
      <w:pPr>
        <w:spacing w:after="0" w:line="276" w:lineRule="auto"/>
        <w:jc w:val="both"/>
        <w:rPr>
          <w:rFonts w:asciiTheme="majorHAnsi" w:hAnsiTheme="majorHAnsi" w:cstheme="majorHAnsi"/>
          <w:b/>
          <w:iCs/>
          <w:color w:val="0D0D0D" w:themeColor="text1" w:themeTint="F2"/>
          <w:sz w:val="24"/>
          <w:szCs w:val="24"/>
          <w:lang w:val="ro-RO"/>
        </w:rPr>
      </w:pPr>
    </w:p>
    <w:p w14:paraId="1DADDDB8" w14:textId="77777777" w:rsidR="002B748B" w:rsidRDefault="002B748B" w:rsidP="002B748B">
      <w:pPr>
        <w:spacing w:after="0" w:line="276" w:lineRule="auto"/>
        <w:jc w:val="both"/>
        <w:rPr>
          <w:rFonts w:asciiTheme="majorHAnsi" w:hAnsiTheme="majorHAnsi" w:cstheme="majorHAnsi"/>
          <w:b/>
          <w:iCs/>
          <w:color w:val="0D0D0D" w:themeColor="text1" w:themeTint="F2"/>
          <w:sz w:val="24"/>
          <w:szCs w:val="24"/>
          <w:lang w:val="ro-RO"/>
        </w:rPr>
      </w:pPr>
    </w:p>
    <w:p w14:paraId="5DE654F5" w14:textId="77777777" w:rsidR="00E52AC1" w:rsidRDefault="00E52AC1" w:rsidP="00E52AC1">
      <w:pPr>
        <w:spacing w:after="0" w:line="276" w:lineRule="auto"/>
        <w:jc w:val="both"/>
        <w:rPr>
          <w:rFonts w:asciiTheme="majorHAnsi" w:hAnsiTheme="majorHAnsi" w:cstheme="majorHAnsi"/>
          <w:b/>
          <w:iCs/>
          <w:color w:val="0D0D0D" w:themeColor="text1" w:themeTint="F2"/>
          <w:sz w:val="24"/>
          <w:szCs w:val="24"/>
          <w:lang w:val="ro-RO"/>
        </w:rPr>
      </w:pPr>
    </w:p>
    <w:p w14:paraId="68562699" w14:textId="77777777" w:rsidR="00E52AC1" w:rsidRDefault="00E52AC1" w:rsidP="00E52AC1">
      <w:pPr>
        <w:spacing w:after="0" w:line="276" w:lineRule="auto"/>
        <w:jc w:val="both"/>
        <w:rPr>
          <w:rFonts w:asciiTheme="majorHAnsi" w:hAnsiTheme="majorHAnsi" w:cstheme="majorHAnsi"/>
          <w:b/>
          <w:iCs/>
          <w:color w:val="0D0D0D" w:themeColor="text1" w:themeTint="F2"/>
          <w:sz w:val="24"/>
          <w:szCs w:val="24"/>
          <w:lang w:val="ro-RO"/>
        </w:rPr>
      </w:pPr>
    </w:p>
    <w:p w14:paraId="4C13B57D" w14:textId="4DA3CA2A" w:rsidR="00E52AC1" w:rsidRPr="00036156" w:rsidRDefault="007973F6" w:rsidP="008E551C">
      <w:pPr>
        <w:spacing w:after="0" w:line="276" w:lineRule="auto"/>
        <w:ind w:right="141"/>
        <w:jc w:val="both"/>
        <w:rPr>
          <w:rFonts w:ascii="Times New Roman" w:eastAsia="Times New Roman" w:hAnsi="Times New Roman" w:cs="Times New Roman"/>
          <w:b/>
          <w:bCs/>
          <w:iCs/>
          <w:color w:val="0070C0"/>
          <w:sz w:val="24"/>
          <w:szCs w:val="24"/>
        </w:rPr>
      </w:pPr>
      <w:r>
        <w:rPr>
          <w:rFonts w:ascii="Times New Roman" w:eastAsia="Times New Roman" w:hAnsi="Times New Roman" w:cs="Times New Roman"/>
          <w:b/>
          <w:bCs/>
          <w:iCs/>
          <w:color w:val="0070C0"/>
          <w:sz w:val="24"/>
          <w:szCs w:val="24"/>
        </w:rPr>
        <w:t xml:space="preserve">Anexa nr. 9: </w:t>
      </w:r>
      <w:r w:rsidR="00E52AC1" w:rsidRPr="00036156">
        <w:rPr>
          <w:rFonts w:ascii="Times New Roman" w:eastAsia="Times New Roman" w:hAnsi="Times New Roman" w:cs="Times New Roman"/>
          <w:b/>
          <w:bCs/>
          <w:iCs/>
          <w:color w:val="0070C0"/>
          <w:sz w:val="24"/>
          <w:szCs w:val="24"/>
        </w:rPr>
        <w:t>Analiza și calculele echipei de audit privind sumele arendei terenului fondului forestier</w:t>
      </w:r>
    </w:p>
    <w:tbl>
      <w:tblPr>
        <w:tblStyle w:val="a6"/>
        <w:tblW w:w="9356" w:type="dxa"/>
        <w:tblInd w:w="-5" w:type="dxa"/>
        <w:tblLook w:val="04A0" w:firstRow="1" w:lastRow="0" w:firstColumn="1" w:lastColumn="0" w:noHBand="0" w:noVBand="1"/>
      </w:tblPr>
      <w:tblGrid>
        <w:gridCol w:w="471"/>
        <w:gridCol w:w="1372"/>
        <w:gridCol w:w="1701"/>
        <w:gridCol w:w="1418"/>
        <w:gridCol w:w="1847"/>
        <w:gridCol w:w="2547"/>
      </w:tblGrid>
      <w:tr w:rsidR="00E52AC1" w:rsidRPr="00285C5C" w14:paraId="22DCDE5B" w14:textId="77777777" w:rsidTr="00E52AC1">
        <w:tc>
          <w:tcPr>
            <w:tcW w:w="471" w:type="dxa"/>
            <w:vMerge w:val="restart"/>
            <w:vAlign w:val="center"/>
          </w:tcPr>
          <w:p w14:paraId="2B266A8E" w14:textId="77777777" w:rsidR="00E52AC1" w:rsidRPr="00285C5C" w:rsidRDefault="00E52AC1" w:rsidP="00E52AC1">
            <w:pPr>
              <w:jc w:val="both"/>
              <w:rPr>
                <w:rFonts w:cstheme="minorHAnsi"/>
                <w:i/>
                <w:color w:val="2F5496" w:themeColor="accent5" w:themeShade="BF"/>
                <w:sz w:val="20"/>
                <w:szCs w:val="20"/>
              </w:rPr>
            </w:pPr>
            <w:r w:rsidRPr="00285C5C">
              <w:rPr>
                <w:rFonts w:cstheme="minorHAnsi"/>
                <w:i/>
                <w:color w:val="2F5496" w:themeColor="accent5" w:themeShade="BF"/>
                <w:sz w:val="20"/>
                <w:szCs w:val="20"/>
              </w:rPr>
              <w:t>Nr.</w:t>
            </w:r>
          </w:p>
        </w:tc>
        <w:tc>
          <w:tcPr>
            <w:tcW w:w="1372" w:type="dxa"/>
            <w:vMerge w:val="restart"/>
            <w:vAlign w:val="center"/>
          </w:tcPr>
          <w:p w14:paraId="7BD2A3DF" w14:textId="77777777" w:rsidR="00E52AC1" w:rsidRPr="00285C5C" w:rsidRDefault="00E52AC1" w:rsidP="00E52AC1">
            <w:pPr>
              <w:jc w:val="center"/>
              <w:rPr>
                <w:rFonts w:cstheme="minorHAnsi"/>
                <w:i/>
                <w:color w:val="2F5496" w:themeColor="accent5" w:themeShade="BF"/>
                <w:sz w:val="20"/>
                <w:szCs w:val="20"/>
              </w:rPr>
            </w:pPr>
            <w:r w:rsidRPr="00285C5C">
              <w:rPr>
                <w:rFonts w:cstheme="minorHAnsi"/>
                <w:i/>
                <w:color w:val="2F5496" w:themeColor="accent5" w:themeShade="BF"/>
                <w:sz w:val="20"/>
                <w:szCs w:val="20"/>
              </w:rPr>
              <w:t>Perioada</w:t>
            </w:r>
          </w:p>
        </w:tc>
        <w:tc>
          <w:tcPr>
            <w:tcW w:w="3119" w:type="dxa"/>
            <w:gridSpan w:val="2"/>
          </w:tcPr>
          <w:p w14:paraId="5AE59D7E" w14:textId="77777777" w:rsidR="00E52AC1" w:rsidRPr="00285C5C" w:rsidRDefault="00E52AC1" w:rsidP="00E52AC1">
            <w:pPr>
              <w:ind w:left="-109"/>
              <w:jc w:val="center"/>
              <w:rPr>
                <w:rFonts w:cstheme="minorHAnsi"/>
                <w:i/>
                <w:color w:val="2F5496" w:themeColor="accent5" w:themeShade="BF"/>
                <w:sz w:val="20"/>
                <w:szCs w:val="20"/>
              </w:rPr>
            </w:pPr>
            <w:r w:rsidRPr="00285C5C">
              <w:rPr>
                <w:rFonts w:cstheme="minorHAnsi"/>
                <w:i/>
                <w:color w:val="2F5496" w:themeColor="accent5" w:themeShade="BF"/>
                <w:sz w:val="20"/>
                <w:szCs w:val="20"/>
              </w:rPr>
              <w:t>Valoarea arendei terenului din fondul forestier utilizat în scopuri de recreere, lei</w:t>
            </w:r>
          </w:p>
          <w:p w14:paraId="35D7D1CD" w14:textId="77777777" w:rsidR="00E52AC1" w:rsidRPr="00285C5C" w:rsidRDefault="00E52AC1" w:rsidP="00E52AC1">
            <w:pPr>
              <w:ind w:left="-109"/>
              <w:jc w:val="center"/>
              <w:rPr>
                <w:rFonts w:cstheme="minorHAnsi"/>
                <w:i/>
                <w:color w:val="2F5496" w:themeColor="accent5" w:themeShade="BF"/>
                <w:sz w:val="20"/>
                <w:szCs w:val="20"/>
              </w:rPr>
            </w:pPr>
            <w:r w:rsidRPr="00285C5C">
              <w:rPr>
                <w:rFonts w:cstheme="minorHAnsi"/>
                <w:i/>
                <w:color w:val="2F5496" w:themeColor="accent5" w:themeShade="BF"/>
                <w:sz w:val="16"/>
                <w:szCs w:val="16"/>
              </w:rPr>
              <w:t>(pct. 13 din Regulamentul aprobat prin HG 187/2008)</w:t>
            </w:r>
          </w:p>
        </w:tc>
        <w:tc>
          <w:tcPr>
            <w:tcW w:w="1847" w:type="dxa"/>
            <w:vMerge w:val="restart"/>
          </w:tcPr>
          <w:p w14:paraId="339875F2" w14:textId="77777777" w:rsidR="00E52AC1" w:rsidRPr="00285C5C" w:rsidRDefault="00E52AC1" w:rsidP="00E52AC1">
            <w:pPr>
              <w:jc w:val="center"/>
              <w:rPr>
                <w:rFonts w:cstheme="minorHAnsi"/>
                <w:i/>
                <w:color w:val="2F5496" w:themeColor="accent5" w:themeShade="BF"/>
                <w:sz w:val="20"/>
                <w:szCs w:val="20"/>
              </w:rPr>
            </w:pPr>
            <w:r w:rsidRPr="00285C5C">
              <w:rPr>
                <w:rFonts w:cstheme="minorHAnsi"/>
                <w:i/>
                <w:color w:val="2F5496" w:themeColor="accent5" w:themeShade="BF"/>
                <w:sz w:val="20"/>
                <w:szCs w:val="20"/>
              </w:rPr>
              <w:t>Valoarea cheltuielilor invocate de Bursa LARA S.R.L., lei</w:t>
            </w:r>
          </w:p>
        </w:tc>
        <w:tc>
          <w:tcPr>
            <w:tcW w:w="2547" w:type="dxa"/>
            <w:vMerge w:val="restart"/>
          </w:tcPr>
          <w:p w14:paraId="7AF1A1E6" w14:textId="77777777" w:rsidR="00E52AC1" w:rsidRPr="00285C5C" w:rsidRDefault="00E52AC1" w:rsidP="00E52AC1">
            <w:pPr>
              <w:jc w:val="center"/>
              <w:rPr>
                <w:rFonts w:cstheme="minorHAnsi"/>
                <w:i/>
                <w:color w:val="2F5496" w:themeColor="accent5" w:themeShade="BF"/>
                <w:sz w:val="20"/>
                <w:szCs w:val="20"/>
              </w:rPr>
            </w:pPr>
            <w:r w:rsidRPr="00285C5C">
              <w:rPr>
                <w:rFonts w:cstheme="minorHAnsi"/>
                <w:i/>
                <w:color w:val="2F5496" w:themeColor="accent5" w:themeShade="BF"/>
                <w:sz w:val="20"/>
                <w:szCs w:val="20"/>
              </w:rPr>
              <w:t>Veniturile Bursei LARA SRL de la darea în arendă a locurilor de odihnă</w:t>
            </w:r>
          </w:p>
        </w:tc>
      </w:tr>
      <w:tr w:rsidR="00E52AC1" w:rsidRPr="00285C5C" w14:paraId="30957797" w14:textId="77777777" w:rsidTr="00E52AC1">
        <w:tc>
          <w:tcPr>
            <w:tcW w:w="471" w:type="dxa"/>
            <w:vMerge/>
          </w:tcPr>
          <w:p w14:paraId="0E4B0ED2" w14:textId="77777777" w:rsidR="00E52AC1" w:rsidRPr="00285C5C" w:rsidRDefault="00E52AC1" w:rsidP="00E52AC1">
            <w:pPr>
              <w:spacing w:line="276" w:lineRule="auto"/>
              <w:jc w:val="both"/>
              <w:rPr>
                <w:rFonts w:asciiTheme="majorHAnsi" w:hAnsiTheme="majorHAnsi" w:cstheme="majorHAnsi"/>
                <w:i/>
                <w:color w:val="2F5496" w:themeColor="accent5" w:themeShade="BF"/>
                <w:sz w:val="18"/>
                <w:szCs w:val="18"/>
              </w:rPr>
            </w:pPr>
          </w:p>
        </w:tc>
        <w:tc>
          <w:tcPr>
            <w:tcW w:w="1372" w:type="dxa"/>
            <w:vMerge/>
          </w:tcPr>
          <w:p w14:paraId="708445E2" w14:textId="77777777" w:rsidR="00E52AC1" w:rsidRPr="00285C5C" w:rsidRDefault="00E52AC1" w:rsidP="00E52AC1">
            <w:pPr>
              <w:spacing w:line="276" w:lineRule="auto"/>
              <w:jc w:val="center"/>
              <w:rPr>
                <w:rFonts w:cstheme="minorHAnsi"/>
                <w:i/>
                <w:color w:val="2F5496" w:themeColor="accent5" w:themeShade="BF"/>
                <w:sz w:val="20"/>
                <w:szCs w:val="20"/>
              </w:rPr>
            </w:pPr>
          </w:p>
        </w:tc>
        <w:tc>
          <w:tcPr>
            <w:tcW w:w="1701" w:type="dxa"/>
          </w:tcPr>
          <w:p w14:paraId="1D79E6C4" w14:textId="77777777" w:rsidR="00E52AC1" w:rsidRPr="00285C5C" w:rsidRDefault="00E52AC1" w:rsidP="00E52AC1">
            <w:pPr>
              <w:spacing w:line="276" w:lineRule="auto"/>
              <w:jc w:val="center"/>
              <w:rPr>
                <w:rFonts w:cstheme="minorHAnsi"/>
                <w:b/>
                <w:i/>
                <w:color w:val="2F5496" w:themeColor="accent5" w:themeShade="BF"/>
                <w:sz w:val="20"/>
                <w:szCs w:val="20"/>
              </w:rPr>
            </w:pPr>
            <w:r w:rsidRPr="00285C5C">
              <w:rPr>
                <w:rFonts w:cstheme="minorHAnsi"/>
                <w:b/>
                <w:i/>
                <w:color w:val="2F5496" w:themeColor="accent5" w:themeShade="BF"/>
                <w:sz w:val="20"/>
                <w:szCs w:val="20"/>
              </w:rPr>
              <w:t>1ha</w:t>
            </w:r>
          </w:p>
        </w:tc>
        <w:tc>
          <w:tcPr>
            <w:tcW w:w="1418" w:type="dxa"/>
          </w:tcPr>
          <w:p w14:paraId="6896A3D3" w14:textId="77777777" w:rsidR="00E52AC1" w:rsidRPr="00285C5C" w:rsidRDefault="00E52AC1" w:rsidP="00E52AC1">
            <w:pPr>
              <w:spacing w:line="276" w:lineRule="auto"/>
              <w:jc w:val="center"/>
              <w:rPr>
                <w:rFonts w:cstheme="minorHAnsi"/>
                <w:b/>
                <w:i/>
                <w:color w:val="2F5496" w:themeColor="accent5" w:themeShade="BF"/>
                <w:sz w:val="20"/>
                <w:szCs w:val="20"/>
              </w:rPr>
            </w:pPr>
            <w:r w:rsidRPr="00285C5C">
              <w:rPr>
                <w:rFonts w:cstheme="minorHAnsi"/>
                <w:b/>
                <w:i/>
                <w:color w:val="2F5496" w:themeColor="accent5" w:themeShade="BF"/>
                <w:sz w:val="20"/>
                <w:szCs w:val="20"/>
              </w:rPr>
              <w:t>24,8 ha</w:t>
            </w:r>
          </w:p>
        </w:tc>
        <w:tc>
          <w:tcPr>
            <w:tcW w:w="1847" w:type="dxa"/>
            <w:vMerge/>
          </w:tcPr>
          <w:p w14:paraId="7617BF73" w14:textId="77777777" w:rsidR="00E52AC1" w:rsidRPr="00285C5C" w:rsidRDefault="00E52AC1" w:rsidP="00E52AC1">
            <w:pPr>
              <w:spacing w:line="276" w:lineRule="auto"/>
              <w:jc w:val="both"/>
              <w:rPr>
                <w:rFonts w:cstheme="minorHAnsi"/>
                <w:i/>
                <w:color w:val="2F5496" w:themeColor="accent5" w:themeShade="BF"/>
                <w:sz w:val="20"/>
                <w:szCs w:val="20"/>
              </w:rPr>
            </w:pPr>
          </w:p>
        </w:tc>
        <w:tc>
          <w:tcPr>
            <w:tcW w:w="2547" w:type="dxa"/>
            <w:vMerge/>
          </w:tcPr>
          <w:p w14:paraId="08188AE7" w14:textId="77777777" w:rsidR="00E52AC1" w:rsidRPr="00285C5C" w:rsidRDefault="00E52AC1" w:rsidP="00E52AC1">
            <w:pPr>
              <w:spacing w:line="276" w:lineRule="auto"/>
              <w:jc w:val="both"/>
              <w:rPr>
                <w:rFonts w:cstheme="minorHAnsi"/>
                <w:i/>
                <w:color w:val="2F5496" w:themeColor="accent5" w:themeShade="BF"/>
                <w:sz w:val="20"/>
                <w:szCs w:val="20"/>
              </w:rPr>
            </w:pPr>
          </w:p>
        </w:tc>
      </w:tr>
      <w:tr w:rsidR="00E52AC1" w:rsidRPr="00285C5C" w14:paraId="04D43702" w14:textId="77777777" w:rsidTr="00E52AC1">
        <w:tc>
          <w:tcPr>
            <w:tcW w:w="471" w:type="dxa"/>
            <w:shd w:val="clear" w:color="auto" w:fill="D9E2F3" w:themeFill="accent5" w:themeFillTint="33"/>
            <w:vAlign w:val="center"/>
          </w:tcPr>
          <w:p w14:paraId="7119B41E" w14:textId="77777777" w:rsidR="00E52AC1" w:rsidRPr="00285C5C" w:rsidRDefault="00E52AC1" w:rsidP="00E52AC1">
            <w:pPr>
              <w:spacing w:line="276" w:lineRule="auto"/>
              <w:jc w:val="center"/>
              <w:rPr>
                <w:rFonts w:cstheme="minorHAnsi"/>
                <w:b/>
                <w:i/>
                <w:color w:val="1F3864" w:themeColor="accent5" w:themeShade="80"/>
                <w:sz w:val="16"/>
                <w:szCs w:val="16"/>
              </w:rPr>
            </w:pPr>
            <w:r w:rsidRPr="00285C5C">
              <w:rPr>
                <w:rFonts w:cstheme="minorHAnsi"/>
                <w:b/>
                <w:i/>
                <w:color w:val="1F3864" w:themeColor="accent5" w:themeShade="80"/>
                <w:sz w:val="16"/>
                <w:szCs w:val="16"/>
              </w:rPr>
              <w:t>*</w:t>
            </w:r>
          </w:p>
        </w:tc>
        <w:tc>
          <w:tcPr>
            <w:tcW w:w="1372" w:type="dxa"/>
            <w:shd w:val="clear" w:color="auto" w:fill="D9E2F3" w:themeFill="accent5" w:themeFillTint="33"/>
            <w:vAlign w:val="center"/>
          </w:tcPr>
          <w:p w14:paraId="021FE20E" w14:textId="77777777" w:rsidR="00E52AC1" w:rsidRPr="00285C5C" w:rsidRDefault="00E52AC1" w:rsidP="00E52AC1">
            <w:pPr>
              <w:spacing w:line="276" w:lineRule="auto"/>
              <w:jc w:val="center"/>
              <w:rPr>
                <w:rFonts w:cstheme="minorHAnsi"/>
                <w:b/>
                <w:i/>
                <w:color w:val="1F3864" w:themeColor="accent5" w:themeShade="80"/>
                <w:sz w:val="16"/>
                <w:szCs w:val="16"/>
              </w:rPr>
            </w:pPr>
            <w:r w:rsidRPr="00285C5C">
              <w:rPr>
                <w:rFonts w:cstheme="minorHAnsi"/>
                <w:b/>
                <w:i/>
                <w:color w:val="1F3864" w:themeColor="accent5" w:themeShade="80"/>
                <w:sz w:val="16"/>
                <w:szCs w:val="16"/>
              </w:rPr>
              <w:t>1</w:t>
            </w:r>
          </w:p>
        </w:tc>
        <w:tc>
          <w:tcPr>
            <w:tcW w:w="1701" w:type="dxa"/>
            <w:shd w:val="clear" w:color="auto" w:fill="D9E2F3" w:themeFill="accent5" w:themeFillTint="33"/>
            <w:vAlign w:val="center"/>
          </w:tcPr>
          <w:p w14:paraId="1C2FF001" w14:textId="77777777" w:rsidR="00E52AC1" w:rsidRPr="00285C5C" w:rsidRDefault="00E52AC1" w:rsidP="00E52AC1">
            <w:pPr>
              <w:spacing w:line="276" w:lineRule="auto"/>
              <w:jc w:val="center"/>
              <w:rPr>
                <w:rFonts w:cstheme="minorHAnsi"/>
                <w:b/>
                <w:i/>
                <w:color w:val="1F3864" w:themeColor="accent5" w:themeShade="80"/>
                <w:sz w:val="16"/>
                <w:szCs w:val="16"/>
              </w:rPr>
            </w:pPr>
            <w:r w:rsidRPr="00285C5C">
              <w:rPr>
                <w:rFonts w:cstheme="minorHAnsi"/>
                <w:b/>
                <w:i/>
                <w:color w:val="1F3864" w:themeColor="accent5" w:themeShade="80"/>
                <w:sz w:val="16"/>
                <w:szCs w:val="16"/>
              </w:rPr>
              <w:t>2</w:t>
            </w:r>
          </w:p>
        </w:tc>
        <w:tc>
          <w:tcPr>
            <w:tcW w:w="1418" w:type="dxa"/>
            <w:shd w:val="clear" w:color="auto" w:fill="D9E2F3" w:themeFill="accent5" w:themeFillTint="33"/>
            <w:vAlign w:val="center"/>
          </w:tcPr>
          <w:p w14:paraId="761723B0" w14:textId="77777777" w:rsidR="00E52AC1" w:rsidRPr="00285C5C" w:rsidRDefault="00E52AC1" w:rsidP="00E52AC1">
            <w:pPr>
              <w:spacing w:line="276" w:lineRule="auto"/>
              <w:jc w:val="center"/>
              <w:rPr>
                <w:rFonts w:cstheme="minorHAnsi"/>
                <w:b/>
                <w:i/>
                <w:color w:val="1F3864" w:themeColor="accent5" w:themeShade="80"/>
                <w:sz w:val="16"/>
                <w:szCs w:val="16"/>
              </w:rPr>
            </w:pPr>
            <w:r w:rsidRPr="00285C5C">
              <w:rPr>
                <w:rFonts w:cstheme="minorHAnsi"/>
                <w:b/>
                <w:i/>
                <w:color w:val="1F3864" w:themeColor="accent5" w:themeShade="80"/>
                <w:sz w:val="16"/>
                <w:szCs w:val="16"/>
              </w:rPr>
              <w:t>3</w:t>
            </w:r>
          </w:p>
        </w:tc>
        <w:tc>
          <w:tcPr>
            <w:tcW w:w="1847" w:type="dxa"/>
            <w:shd w:val="clear" w:color="auto" w:fill="D9E2F3" w:themeFill="accent5" w:themeFillTint="33"/>
            <w:vAlign w:val="center"/>
          </w:tcPr>
          <w:p w14:paraId="70C11929" w14:textId="77777777" w:rsidR="00E52AC1" w:rsidRPr="00285C5C" w:rsidRDefault="00E52AC1" w:rsidP="00E52AC1">
            <w:pPr>
              <w:spacing w:line="276" w:lineRule="auto"/>
              <w:jc w:val="center"/>
              <w:rPr>
                <w:rFonts w:cstheme="minorHAnsi"/>
                <w:b/>
                <w:i/>
                <w:color w:val="1F3864" w:themeColor="accent5" w:themeShade="80"/>
                <w:sz w:val="16"/>
                <w:szCs w:val="16"/>
              </w:rPr>
            </w:pPr>
            <w:r w:rsidRPr="00285C5C">
              <w:rPr>
                <w:rFonts w:cstheme="minorHAnsi"/>
                <w:b/>
                <w:i/>
                <w:color w:val="1F3864" w:themeColor="accent5" w:themeShade="80"/>
                <w:sz w:val="16"/>
                <w:szCs w:val="16"/>
              </w:rPr>
              <w:t>4</w:t>
            </w:r>
          </w:p>
        </w:tc>
        <w:tc>
          <w:tcPr>
            <w:tcW w:w="2547" w:type="dxa"/>
            <w:shd w:val="clear" w:color="auto" w:fill="D9E2F3" w:themeFill="accent5" w:themeFillTint="33"/>
            <w:vAlign w:val="center"/>
          </w:tcPr>
          <w:p w14:paraId="3AEF2E69" w14:textId="77777777" w:rsidR="00E52AC1" w:rsidRPr="00285C5C" w:rsidRDefault="00E52AC1" w:rsidP="00E52AC1">
            <w:pPr>
              <w:spacing w:line="276" w:lineRule="auto"/>
              <w:jc w:val="center"/>
              <w:rPr>
                <w:rFonts w:cstheme="minorHAnsi"/>
                <w:b/>
                <w:i/>
                <w:color w:val="1F3864" w:themeColor="accent5" w:themeShade="80"/>
                <w:sz w:val="16"/>
                <w:szCs w:val="16"/>
              </w:rPr>
            </w:pPr>
            <w:r w:rsidRPr="00285C5C">
              <w:rPr>
                <w:rFonts w:cstheme="minorHAnsi"/>
                <w:b/>
                <w:i/>
                <w:color w:val="1F3864" w:themeColor="accent5" w:themeShade="80"/>
                <w:sz w:val="16"/>
                <w:szCs w:val="16"/>
              </w:rPr>
              <w:t>5</w:t>
            </w:r>
          </w:p>
        </w:tc>
      </w:tr>
      <w:tr w:rsidR="00E52AC1" w:rsidRPr="00285C5C" w14:paraId="03A80A9D" w14:textId="77777777" w:rsidTr="00E52AC1">
        <w:tc>
          <w:tcPr>
            <w:tcW w:w="471" w:type="dxa"/>
            <w:shd w:val="clear" w:color="auto" w:fill="auto"/>
          </w:tcPr>
          <w:p w14:paraId="5C4EF86E" w14:textId="77777777" w:rsidR="00E52AC1" w:rsidRPr="00285C5C" w:rsidRDefault="00E52AC1" w:rsidP="00E52AC1">
            <w:pPr>
              <w:spacing w:line="276" w:lineRule="auto"/>
              <w:jc w:val="both"/>
              <w:rPr>
                <w:rFonts w:asciiTheme="majorHAnsi" w:hAnsiTheme="majorHAnsi" w:cstheme="majorHAnsi"/>
                <w:b/>
                <w:sz w:val="20"/>
                <w:szCs w:val="20"/>
              </w:rPr>
            </w:pPr>
            <w:r w:rsidRPr="00285C5C">
              <w:rPr>
                <w:rFonts w:asciiTheme="majorHAnsi" w:hAnsiTheme="majorHAnsi" w:cstheme="majorHAnsi"/>
                <w:b/>
                <w:sz w:val="20"/>
                <w:szCs w:val="20"/>
              </w:rPr>
              <w:t>1</w:t>
            </w:r>
          </w:p>
        </w:tc>
        <w:tc>
          <w:tcPr>
            <w:tcW w:w="1372" w:type="dxa"/>
          </w:tcPr>
          <w:p w14:paraId="5C9D7059" w14:textId="77777777" w:rsidR="00E52AC1" w:rsidRPr="00285C5C" w:rsidRDefault="00E52AC1" w:rsidP="00E52AC1">
            <w:pPr>
              <w:spacing w:line="276" w:lineRule="auto"/>
              <w:jc w:val="both"/>
              <w:rPr>
                <w:rFonts w:asciiTheme="majorHAnsi" w:hAnsiTheme="majorHAnsi" w:cstheme="majorHAnsi"/>
                <w:color w:val="2F5496" w:themeColor="accent5" w:themeShade="BF"/>
                <w:sz w:val="20"/>
                <w:szCs w:val="20"/>
              </w:rPr>
            </w:pPr>
            <w:r w:rsidRPr="00285C5C">
              <w:rPr>
                <w:rFonts w:asciiTheme="majorHAnsi" w:hAnsiTheme="majorHAnsi" w:cstheme="majorHAnsi"/>
                <w:color w:val="2F5496" w:themeColor="accent5" w:themeShade="BF"/>
                <w:sz w:val="20"/>
                <w:szCs w:val="20"/>
              </w:rPr>
              <w:t>Anul 2018</w:t>
            </w:r>
          </w:p>
        </w:tc>
        <w:tc>
          <w:tcPr>
            <w:tcW w:w="1701" w:type="dxa"/>
            <w:vMerge w:val="restart"/>
            <w:vAlign w:val="center"/>
          </w:tcPr>
          <w:p w14:paraId="1EEBDEC0" w14:textId="77777777" w:rsidR="00E52AC1" w:rsidRPr="00285C5C" w:rsidRDefault="00E52AC1" w:rsidP="00E52AC1">
            <w:pPr>
              <w:spacing w:line="276" w:lineRule="auto"/>
              <w:jc w:val="right"/>
              <w:rPr>
                <w:rFonts w:asciiTheme="majorHAnsi" w:hAnsiTheme="majorHAnsi" w:cstheme="majorHAnsi"/>
                <w:sz w:val="20"/>
                <w:szCs w:val="20"/>
              </w:rPr>
            </w:pPr>
            <w:r w:rsidRPr="00285C5C">
              <w:rPr>
                <w:rFonts w:asciiTheme="majorHAnsi" w:hAnsiTheme="majorHAnsi" w:cstheme="majorHAnsi"/>
                <w:sz w:val="20"/>
                <w:szCs w:val="20"/>
              </w:rPr>
              <w:t>19 092,37 lei/ha</w:t>
            </w:r>
          </w:p>
        </w:tc>
        <w:tc>
          <w:tcPr>
            <w:tcW w:w="1418" w:type="dxa"/>
          </w:tcPr>
          <w:p w14:paraId="59CD2C1D" w14:textId="77777777" w:rsidR="00E52AC1" w:rsidRPr="00285C5C" w:rsidRDefault="00E52AC1" w:rsidP="00E52AC1">
            <w:pPr>
              <w:spacing w:line="276" w:lineRule="auto"/>
              <w:jc w:val="right"/>
              <w:rPr>
                <w:rFonts w:asciiTheme="majorHAnsi" w:hAnsiTheme="majorHAnsi" w:cstheme="majorHAnsi"/>
                <w:sz w:val="20"/>
                <w:szCs w:val="20"/>
              </w:rPr>
            </w:pPr>
            <w:r w:rsidRPr="00285C5C">
              <w:rPr>
                <w:rFonts w:asciiTheme="majorHAnsi" w:hAnsiTheme="majorHAnsi" w:cstheme="majorHAnsi"/>
                <w:sz w:val="20"/>
                <w:szCs w:val="20"/>
              </w:rPr>
              <w:t>473 490,8</w:t>
            </w:r>
          </w:p>
        </w:tc>
        <w:tc>
          <w:tcPr>
            <w:tcW w:w="1847" w:type="dxa"/>
            <w:vMerge w:val="restart"/>
            <w:vAlign w:val="center"/>
          </w:tcPr>
          <w:p w14:paraId="2F222F80" w14:textId="77777777" w:rsidR="00E52AC1" w:rsidRPr="00285C5C" w:rsidRDefault="00E52AC1" w:rsidP="00E52AC1">
            <w:pPr>
              <w:spacing w:line="276" w:lineRule="auto"/>
              <w:jc w:val="right"/>
              <w:rPr>
                <w:rFonts w:asciiTheme="majorHAnsi" w:hAnsiTheme="majorHAnsi" w:cstheme="majorHAnsi"/>
                <w:sz w:val="20"/>
                <w:szCs w:val="20"/>
              </w:rPr>
            </w:pPr>
            <w:r w:rsidRPr="00285C5C">
              <w:rPr>
                <w:rFonts w:asciiTheme="majorHAnsi" w:hAnsiTheme="majorHAnsi" w:cstheme="majorHAnsi"/>
                <w:sz w:val="20"/>
                <w:szCs w:val="20"/>
              </w:rPr>
              <w:t>1 694 053,3</w:t>
            </w:r>
          </w:p>
        </w:tc>
        <w:tc>
          <w:tcPr>
            <w:tcW w:w="2547" w:type="dxa"/>
            <w:vMerge w:val="restart"/>
          </w:tcPr>
          <w:p w14:paraId="4D85089B" w14:textId="77777777" w:rsidR="00E52AC1" w:rsidRPr="00285C5C" w:rsidRDefault="00E52AC1" w:rsidP="00E52AC1">
            <w:pPr>
              <w:jc w:val="both"/>
              <w:rPr>
                <w:rFonts w:asciiTheme="majorHAnsi" w:hAnsiTheme="majorHAnsi" w:cstheme="majorHAnsi"/>
                <w:sz w:val="20"/>
                <w:szCs w:val="20"/>
              </w:rPr>
            </w:pPr>
            <w:r w:rsidRPr="00285C5C">
              <w:rPr>
                <w:rFonts w:asciiTheme="majorHAnsi" w:hAnsiTheme="majorHAnsi" w:cstheme="majorHAnsi"/>
                <w:sz w:val="20"/>
                <w:szCs w:val="20"/>
              </w:rPr>
              <w:t>Nu se cunoaște suma veniturilor primite de Bursa „LARA” S.R.L. din darea în arendă a terenului proprietate publică de stat.</w:t>
            </w:r>
          </w:p>
        </w:tc>
      </w:tr>
      <w:tr w:rsidR="00E52AC1" w:rsidRPr="00285C5C" w14:paraId="3D58F4AF" w14:textId="77777777" w:rsidTr="00E52AC1">
        <w:tc>
          <w:tcPr>
            <w:tcW w:w="471" w:type="dxa"/>
            <w:shd w:val="clear" w:color="auto" w:fill="auto"/>
          </w:tcPr>
          <w:p w14:paraId="60ABD684" w14:textId="77777777" w:rsidR="00E52AC1" w:rsidRPr="00285C5C" w:rsidRDefault="00E52AC1" w:rsidP="00E52AC1">
            <w:pPr>
              <w:spacing w:line="276" w:lineRule="auto"/>
              <w:jc w:val="both"/>
              <w:rPr>
                <w:rFonts w:asciiTheme="majorHAnsi" w:hAnsiTheme="majorHAnsi" w:cstheme="majorHAnsi"/>
                <w:b/>
                <w:sz w:val="20"/>
                <w:szCs w:val="20"/>
              </w:rPr>
            </w:pPr>
            <w:r w:rsidRPr="00285C5C">
              <w:rPr>
                <w:rFonts w:asciiTheme="majorHAnsi" w:hAnsiTheme="majorHAnsi" w:cstheme="majorHAnsi"/>
                <w:b/>
                <w:sz w:val="20"/>
                <w:szCs w:val="20"/>
              </w:rPr>
              <w:t>2</w:t>
            </w:r>
          </w:p>
        </w:tc>
        <w:tc>
          <w:tcPr>
            <w:tcW w:w="1372" w:type="dxa"/>
          </w:tcPr>
          <w:p w14:paraId="3B51699C" w14:textId="77777777" w:rsidR="00E52AC1" w:rsidRPr="00285C5C" w:rsidRDefault="00E52AC1" w:rsidP="00E52AC1">
            <w:pPr>
              <w:spacing w:line="276" w:lineRule="auto"/>
              <w:jc w:val="both"/>
              <w:rPr>
                <w:rFonts w:asciiTheme="majorHAnsi" w:hAnsiTheme="majorHAnsi" w:cstheme="majorHAnsi"/>
                <w:color w:val="2F5496" w:themeColor="accent5" w:themeShade="BF"/>
                <w:sz w:val="20"/>
                <w:szCs w:val="20"/>
              </w:rPr>
            </w:pPr>
            <w:r w:rsidRPr="00285C5C">
              <w:rPr>
                <w:rFonts w:asciiTheme="majorHAnsi" w:hAnsiTheme="majorHAnsi" w:cstheme="majorHAnsi"/>
                <w:color w:val="2F5496" w:themeColor="accent5" w:themeShade="BF"/>
                <w:sz w:val="20"/>
                <w:szCs w:val="20"/>
              </w:rPr>
              <w:t>Anul 2019</w:t>
            </w:r>
          </w:p>
        </w:tc>
        <w:tc>
          <w:tcPr>
            <w:tcW w:w="1701" w:type="dxa"/>
            <w:vMerge/>
          </w:tcPr>
          <w:p w14:paraId="3D4D4F7A" w14:textId="77777777" w:rsidR="00E52AC1" w:rsidRPr="00285C5C" w:rsidRDefault="00E52AC1" w:rsidP="00E52AC1">
            <w:pPr>
              <w:spacing w:line="276" w:lineRule="auto"/>
              <w:jc w:val="both"/>
              <w:rPr>
                <w:rFonts w:asciiTheme="majorHAnsi" w:hAnsiTheme="majorHAnsi" w:cstheme="majorHAnsi"/>
                <w:sz w:val="20"/>
                <w:szCs w:val="20"/>
              </w:rPr>
            </w:pPr>
          </w:p>
        </w:tc>
        <w:tc>
          <w:tcPr>
            <w:tcW w:w="1418" w:type="dxa"/>
          </w:tcPr>
          <w:p w14:paraId="59EED1F0" w14:textId="77777777" w:rsidR="00E52AC1" w:rsidRPr="00285C5C" w:rsidRDefault="00E52AC1" w:rsidP="00E52AC1">
            <w:pPr>
              <w:spacing w:line="276" w:lineRule="auto"/>
              <w:jc w:val="right"/>
              <w:rPr>
                <w:rFonts w:asciiTheme="majorHAnsi" w:hAnsiTheme="majorHAnsi" w:cstheme="majorHAnsi"/>
                <w:sz w:val="20"/>
                <w:szCs w:val="20"/>
              </w:rPr>
            </w:pPr>
            <w:r w:rsidRPr="00285C5C">
              <w:rPr>
                <w:rFonts w:asciiTheme="majorHAnsi" w:hAnsiTheme="majorHAnsi" w:cstheme="majorHAnsi"/>
                <w:sz w:val="20"/>
                <w:szCs w:val="20"/>
              </w:rPr>
              <w:t>473 490,8</w:t>
            </w:r>
          </w:p>
        </w:tc>
        <w:tc>
          <w:tcPr>
            <w:tcW w:w="1847" w:type="dxa"/>
            <w:vMerge/>
          </w:tcPr>
          <w:p w14:paraId="39F8BD21" w14:textId="77777777" w:rsidR="00E52AC1" w:rsidRPr="00285C5C" w:rsidRDefault="00E52AC1" w:rsidP="00E52AC1">
            <w:pPr>
              <w:spacing w:line="276" w:lineRule="auto"/>
              <w:jc w:val="both"/>
              <w:rPr>
                <w:rFonts w:asciiTheme="majorHAnsi" w:hAnsiTheme="majorHAnsi" w:cstheme="majorHAnsi"/>
                <w:sz w:val="20"/>
                <w:szCs w:val="20"/>
              </w:rPr>
            </w:pPr>
          </w:p>
        </w:tc>
        <w:tc>
          <w:tcPr>
            <w:tcW w:w="2547" w:type="dxa"/>
            <w:vMerge/>
          </w:tcPr>
          <w:p w14:paraId="167C65C5" w14:textId="77777777" w:rsidR="00E52AC1" w:rsidRPr="00285C5C" w:rsidRDefault="00E52AC1" w:rsidP="00E52AC1">
            <w:pPr>
              <w:spacing w:line="276" w:lineRule="auto"/>
              <w:jc w:val="both"/>
              <w:rPr>
                <w:rFonts w:asciiTheme="majorHAnsi" w:hAnsiTheme="majorHAnsi" w:cstheme="majorHAnsi"/>
                <w:sz w:val="20"/>
                <w:szCs w:val="20"/>
              </w:rPr>
            </w:pPr>
          </w:p>
        </w:tc>
      </w:tr>
      <w:tr w:rsidR="00E52AC1" w:rsidRPr="00285C5C" w14:paraId="3DA6B077" w14:textId="77777777" w:rsidTr="00E52AC1">
        <w:tc>
          <w:tcPr>
            <w:tcW w:w="471" w:type="dxa"/>
            <w:shd w:val="clear" w:color="auto" w:fill="auto"/>
          </w:tcPr>
          <w:p w14:paraId="18AFA74E" w14:textId="77777777" w:rsidR="00E52AC1" w:rsidRPr="00285C5C" w:rsidRDefault="00E52AC1" w:rsidP="00E52AC1">
            <w:pPr>
              <w:spacing w:line="276" w:lineRule="auto"/>
              <w:jc w:val="both"/>
              <w:rPr>
                <w:rFonts w:asciiTheme="majorHAnsi" w:hAnsiTheme="majorHAnsi" w:cstheme="majorHAnsi"/>
                <w:b/>
                <w:sz w:val="20"/>
                <w:szCs w:val="20"/>
              </w:rPr>
            </w:pPr>
            <w:r w:rsidRPr="00285C5C">
              <w:rPr>
                <w:rFonts w:asciiTheme="majorHAnsi" w:hAnsiTheme="majorHAnsi" w:cstheme="majorHAnsi"/>
                <w:b/>
                <w:sz w:val="20"/>
                <w:szCs w:val="20"/>
              </w:rPr>
              <w:t>3</w:t>
            </w:r>
          </w:p>
        </w:tc>
        <w:tc>
          <w:tcPr>
            <w:tcW w:w="1372" w:type="dxa"/>
          </w:tcPr>
          <w:p w14:paraId="25B22AFD" w14:textId="77777777" w:rsidR="00E52AC1" w:rsidRPr="00285C5C" w:rsidRDefault="00E52AC1" w:rsidP="00E52AC1">
            <w:pPr>
              <w:spacing w:line="276" w:lineRule="auto"/>
              <w:jc w:val="both"/>
              <w:rPr>
                <w:rFonts w:asciiTheme="majorHAnsi" w:hAnsiTheme="majorHAnsi" w:cstheme="majorHAnsi"/>
                <w:color w:val="2F5496" w:themeColor="accent5" w:themeShade="BF"/>
                <w:sz w:val="20"/>
                <w:szCs w:val="20"/>
              </w:rPr>
            </w:pPr>
            <w:r w:rsidRPr="00285C5C">
              <w:rPr>
                <w:rFonts w:asciiTheme="majorHAnsi" w:hAnsiTheme="majorHAnsi" w:cstheme="majorHAnsi"/>
                <w:color w:val="2F5496" w:themeColor="accent5" w:themeShade="BF"/>
                <w:sz w:val="20"/>
                <w:szCs w:val="20"/>
              </w:rPr>
              <w:t>Anul 2020</w:t>
            </w:r>
          </w:p>
        </w:tc>
        <w:tc>
          <w:tcPr>
            <w:tcW w:w="1701" w:type="dxa"/>
            <w:vMerge/>
          </w:tcPr>
          <w:p w14:paraId="3F27E29C" w14:textId="77777777" w:rsidR="00E52AC1" w:rsidRPr="00285C5C" w:rsidRDefault="00E52AC1" w:rsidP="00E52AC1">
            <w:pPr>
              <w:spacing w:line="276" w:lineRule="auto"/>
              <w:jc w:val="both"/>
              <w:rPr>
                <w:rFonts w:asciiTheme="majorHAnsi" w:hAnsiTheme="majorHAnsi" w:cstheme="majorHAnsi"/>
                <w:sz w:val="20"/>
                <w:szCs w:val="20"/>
              </w:rPr>
            </w:pPr>
          </w:p>
        </w:tc>
        <w:tc>
          <w:tcPr>
            <w:tcW w:w="1418" w:type="dxa"/>
          </w:tcPr>
          <w:p w14:paraId="782D4513" w14:textId="77777777" w:rsidR="00E52AC1" w:rsidRPr="00285C5C" w:rsidRDefault="00E52AC1" w:rsidP="00E52AC1">
            <w:pPr>
              <w:spacing w:line="276" w:lineRule="auto"/>
              <w:jc w:val="right"/>
              <w:rPr>
                <w:rFonts w:asciiTheme="majorHAnsi" w:hAnsiTheme="majorHAnsi" w:cstheme="majorHAnsi"/>
                <w:sz w:val="20"/>
                <w:szCs w:val="20"/>
              </w:rPr>
            </w:pPr>
            <w:r w:rsidRPr="00285C5C">
              <w:rPr>
                <w:rFonts w:asciiTheme="majorHAnsi" w:hAnsiTheme="majorHAnsi" w:cstheme="majorHAnsi"/>
                <w:sz w:val="20"/>
                <w:szCs w:val="20"/>
              </w:rPr>
              <w:t>473 490,8</w:t>
            </w:r>
          </w:p>
        </w:tc>
        <w:tc>
          <w:tcPr>
            <w:tcW w:w="1847" w:type="dxa"/>
            <w:vMerge/>
          </w:tcPr>
          <w:p w14:paraId="7BBFD1E6" w14:textId="77777777" w:rsidR="00E52AC1" w:rsidRPr="00285C5C" w:rsidRDefault="00E52AC1" w:rsidP="00E52AC1">
            <w:pPr>
              <w:spacing w:line="276" w:lineRule="auto"/>
              <w:jc w:val="both"/>
              <w:rPr>
                <w:rFonts w:asciiTheme="majorHAnsi" w:hAnsiTheme="majorHAnsi" w:cstheme="majorHAnsi"/>
                <w:sz w:val="20"/>
                <w:szCs w:val="20"/>
              </w:rPr>
            </w:pPr>
          </w:p>
        </w:tc>
        <w:tc>
          <w:tcPr>
            <w:tcW w:w="2547" w:type="dxa"/>
            <w:vMerge/>
          </w:tcPr>
          <w:p w14:paraId="08E46942" w14:textId="77777777" w:rsidR="00E52AC1" w:rsidRPr="00285C5C" w:rsidRDefault="00E52AC1" w:rsidP="00E52AC1">
            <w:pPr>
              <w:spacing w:line="276" w:lineRule="auto"/>
              <w:jc w:val="both"/>
              <w:rPr>
                <w:rFonts w:asciiTheme="majorHAnsi" w:hAnsiTheme="majorHAnsi" w:cstheme="majorHAnsi"/>
                <w:sz w:val="20"/>
                <w:szCs w:val="20"/>
              </w:rPr>
            </w:pPr>
          </w:p>
        </w:tc>
      </w:tr>
      <w:tr w:rsidR="00E52AC1" w:rsidRPr="00285C5C" w14:paraId="42B29760" w14:textId="77777777" w:rsidTr="00E52AC1">
        <w:tc>
          <w:tcPr>
            <w:tcW w:w="471" w:type="dxa"/>
            <w:shd w:val="clear" w:color="auto" w:fill="auto"/>
          </w:tcPr>
          <w:p w14:paraId="3ECC9481" w14:textId="77777777" w:rsidR="00E52AC1" w:rsidRPr="00285C5C" w:rsidRDefault="00E52AC1" w:rsidP="00E52AC1">
            <w:pPr>
              <w:spacing w:line="276" w:lineRule="auto"/>
              <w:jc w:val="both"/>
              <w:rPr>
                <w:rFonts w:asciiTheme="majorHAnsi" w:hAnsiTheme="majorHAnsi" w:cstheme="majorHAnsi"/>
                <w:b/>
                <w:sz w:val="20"/>
                <w:szCs w:val="20"/>
              </w:rPr>
            </w:pPr>
            <w:r w:rsidRPr="00285C5C">
              <w:rPr>
                <w:rFonts w:asciiTheme="majorHAnsi" w:hAnsiTheme="majorHAnsi" w:cstheme="majorHAnsi"/>
                <w:b/>
                <w:sz w:val="20"/>
                <w:szCs w:val="20"/>
              </w:rPr>
              <w:t>4</w:t>
            </w:r>
          </w:p>
        </w:tc>
        <w:tc>
          <w:tcPr>
            <w:tcW w:w="1372" w:type="dxa"/>
          </w:tcPr>
          <w:p w14:paraId="4969F972" w14:textId="77777777" w:rsidR="00E52AC1" w:rsidRPr="00285C5C" w:rsidRDefault="00E52AC1" w:rsidP="00E52AC1">
            <w:pPr>
              <w:spacing w:line="276" w:lineRule="auto"/>
              <w:jc w:val="both"/>
              <w:rPr>
                <w:rFonts w:asciiTheme="majorHAnsi" w:hAnsiTheme="majorHAnsi" w:cstheme="majorHAnsi"/>
                <w:color w:val="2F5496" w:themeColor="accent5" w:themeShade="BF"/>
                <w:sz w:val="20"/>
                <w:szCs w:val="20"/>
              </w:rPr>
            </w:pPr>
            <w:r w:rsidRPr="00285C5C">
              <w:rPr>
                <w:rFonts w:asciiTheme="majorHAnsi" w:hAnsiTheme="majorHAnsi" w:cstheme="majorHAnsi"/>
                <w:color w:val="2F5496" w:themeColor="accent5" w:themeShade="BF"/>
                <w:sz w:val="20"/>
                <w:szCs w:val="20"/>
              </w:rPr>
              <w:t>Anul 2021</w:t>
            </w:r>
          </w:p>
        </w:tc>
        <w:tc>
          <w:tcPr>
            <w:tcW w:w="1701" w:type="dxa"/>
            <w:vMerge/>
          </w:tcPr>
          <w:p w14:paraId="0193696D" w14:textId="77777777" w:rsidR="00E52AC1" w:rsidRPr="00285C5C" w:rsidRDefault="00E52AC1" w:rsidP="00E52AC1">
            <w:pPr>
              <w:spacing w:line="276" w:lineRule="auto"/>
              <w:jc w:val="both"/>
              <w:rPr>
                <w:rFonts w:asciiTheme="majorHAnsi" w:hAnsiTheme="majorHAnsi" w:cstheme="majorHAnsi"/>
                <w:sz w:val="20"/>
                <w:szCs w:val="20"/>
              </w:rPr>
            </w:pPr>
          </w:p>
        </w:tc>
        <w:tc>
          <w:tcPr>
            <w:tcW w:w="1418" w:type="dxa"/>
          </w:tcPr>
          <w:p w14:paraId="0F403A5D" w14:textId="77777777" w:rsidR="00E52AC1" w:rsidRPr="00285C5C" w:rsidRDefault="00E52AC1" w:rsidP="00E52AC1">
            <w:pPr>
              <w:spacing w:line="276" w:lineRule="auto"/>
              <w:jc w:val="right"/>
              <w:rPr>
                <w:rFonts w:asciiTheme="majorHAnsi" w:hAnsiTheme="majorHAnsi" w:cstheme="majorHAnsi"/>
                <w:sz w:val="20"/>
                <w:szCs w:val="20"/>
              </w:rPr>
            </w:pPr>
            <w:r w:rsidRPr="00285C5C">
              <w:rPr>
                <w:rFonts w:asciiTheme="majorHAnsi" w:hAnsiTheme="majorHAnsi" w:cstheme="majorHAnsi"/>
                <w:sz w:val="20"/>
                <w:szCs w:val="20"/>
              </w:rPr>
              <w:t>473 490,8</w:t>
            </w:r>
          </w:p>
        </w:tc>
        <w:tc>
          <w:tcPr>
            <w:tcW w:w="1847" w:type="dxa"/>
            <w:vMerge/>
          </w:tcPr>
          <w:p w14:paraId="2E0BCB5E" w14:textId="77777777" w:rsidR="00E52AC1" w:rsidRPr="00285C5C" w:rsidRDefault="00E52AC1" w:rsidP="00E52AC1">
            <w:pPr>
              <w:spacing w:line="276" w:lineRule="auto"/>
              <w:jc w:val="both"/>
              <w:rPr>
                <w:rFonts w:asciiTheme="majorHAnsi" w:hAnsiTheme="majorHAnsi" w:cstheme="majorHAnsi"/>
                <w:sz w:val="20"/>
                <w:szCs w:val="20"/>
              </w:rPr>
            </w:pPr>
          </w:p>
        </w:tc>
        <w:tc>
          <w:tcPr>
            <w:tcW w:w="2547" w:type="dxa"/>
            <w:vMerge/>
          </w:tcPr>
          <w:p w14:paraId="1585A25D" w14:textId="77777777" w:rsidR="00E52AC1" w:rsidRPr="00285C5C" w:rsidRDefault="00E52AC1" w:rsidP="00E52AC1">
            <w:pPr>
              <w:spacing w:line="276" w:lineRule="auto"/>
              <w:jc w:val="both"/>
              <w:rPr>
                <w:rFonts w:asciiTheme="majorHAnsi" w:hAnsiTheme="majorHAnsi" w:cstheme="majorHAnsi"/>
                <w:sz w:val="20"/>
                <w:szCs w:val="20"/>
              </w:rPr>
            </w:pPr>
          </w:p>
        </w:tc>
      </w:tr>
      <w:tr w:rsidR="00E52AC1" w:rsidRPr="00285C5C" w14:paraId="56C62A0E" w14:textId="77777777" w:rsidTr="00E52AC1">
        <w:tc>
          <w:tcPr>
            <w:tcW w:w="471" w:type="dxa"/>
            <w:shd w:val="clear" w:color="auto" w:fill="auto"/>
          </w:tcPr>
          <w:p w14:paraId="586607F1" w14:textId="77777777" w:rsidR="00E52AC1" w:rsidRPr="00285C5C" w:rsidRDefault="00E52AC1" w:rsidP="00E52AC1">
            <w:pPr>
              <w:spacing w:line="276" w:lineRule="auto"/>
              <w:jc w:val="both"/>
              <w:rPr>
                <w:rFonts w:asciiTheme="majorHAnsi" w:hAnsiTheme="majorHAnsi" w:cstheme="majorHAnsi"/>
                <w:b/>
                <w:sz w:val="20"/>
                <w:szCs w:val="20"/>
              </w:rPr>
            </w:pPr>
            <w:r w:rsidRPr="00285C5C">
              <w:rPr>
                <w:rFonts w:asciiTheme="majorHAnsi" w:hAnsiTheme="majorHAnsi" w:cstheme="majorHAnsi"/>
                <w:b/>
                <w:sz w:val="20"/>
                <w:szCs w:val="20"/>
              </w:rPr>
              <w:t>5</w:t>
            </w:r>
          </w:p>
        </w:tc>
        <w:tc>
          <w:tcPr>
            <w:tcW w:w="1372" w:type="dxa"/>
          </w:tcPr>
          <w:p w14:paraId="5D4B8469" w14:textId="77777777" w:rsidR="00E52AC1" w:rsidRPr="00285C5C" w:rsidRDefault="00E52AC1" w:rsidP="00E52AC1">
            <w:pPr>
              <w:spacing w:line="276" w:lineRule="auto"/>
              <w:jc w:val="both"/>
              <w:rPr>
                <w:rFonts w:asciiTheme="majorHAnsi" w:hAnsiTheme="majorHAnsi" w:cstheme="majorHAnsi"/>
                <w:color w:val="2F5496" w:themeColor="accent5" w:themeShade="BF"/>
                <w:sz w:val="20"/>
                <w:szCs w:val="20"/>
              </w:rPr>
            </w:pPr>
            <w:r w:rsidRPr="00285C5C">
              <w:rPr>
                <w:rFonts w:asciiTheme="majorHAnsi" w:hAnsiTheme="majorHAnsi" w:cstheme="majorHAnsi"/>
                <w:color w:val="2F5496" w:themeColor="accent5" w:themeShade="BF"/>
                <w:sz w:val="20"/>
                <w:szCs w:val="20"/>
              </w:rPr>
              <w:t>Anul 2022</w:t>
            </w:r>
          </w:p>
        </w:tc>
        <w:tc>
          <w:tcPr>
            <w:tcW w:w="1701" w:type="dxa"/>
            <w:vMerge/>
          </w:tcPr>
          <w:p w14:paraId="3523A482" w14:textId="77777777" w:rsidR="00E52AC1" w:rsidRPr="00285C5C" w:rsidRDefault="00E52AC1" w:rsidP="00E52AC1">
            <w:pPr>
              <w:spacing w:line="276" w:lineRule="auto"/>
              <w:jc w:val="both"/>
              <w:rPr>
                <w:rFonts w:asciiTheme="majorHAnsi" w:hAnsiTheme="majorHAnsi" w:cstheme="majorHAnsi"/>
                <w:sz w:val="20"/>
                <w:szCs w:val="20"/>
              </w:rPr>
            </w:pPr>
          </w:p>
        </w:tc>
        <w:tc>
          <w:tcPr>
            <w:tcW w:w="1418" w:type="dxa"/>
          </w:tcPr>
          <w:p w14:paraId="336AEC70" w14:textId="77777777" w:rsidR="00E52AC1" w:rsidRPr="00285C5C" w:rsidRDefault="00E52AC1" w:rsidP="00E52AC1">
            <w:pPr>
              <w:spacing w:line="276" w:lineRule="auto"/>
              <w:jc w:val="right"/>
              <w:rPr>
                <w:rFonts w:asciiTheme="majorHAnsi" w:hAnsiTheme="majorHAnsi" w:cstheme="majorHAnsi"/>
                <w:sz w:val="20"/>
                <w:szCs w:val="20"/>
              </w:rPr>
            </w:pPr>
            <w:r w:rsidRPr="00285C5C">
              <w:rPr>
                <w:rFonts w:asciiTheme="majorHAnsi" w:hAnsiTheme="majorHAnsi" w:cstheme="majorHAnsi"/>
                <w:sz w:val="20"/>
                <w:szCs w:val="20"/>
              </w:rPr>
              <w:t>473 490,8</w:t>
            </w:r>
          </w:p>
        </w:tc>
        <w:tc>
          <w:tcPr>
            <w:tcW w:w="1847" w:type="dxa"/>
            <w:vMerge/>
          </w:tcPr>
          <w:p w14:paraId="27FD5D08" w14:textId="77777777" w:rsidR="00E52AC1" w:rsidRPr="00285C5C" w:rsidRDefault="00E52AC1" w:rsidP="00E52AC1">
            <w:pPr>
              <w:spacing w:line="276" w:lineRule="auto"/>
              <w:jc w:val="both"/>
              <w:rPr>
                <w:rFonts w:asciiTheme="majorHAnsi" w:hAnsiTheme="majorHAnsi" w:cstheme="majorHAnsi"/>
                <w:sz w:val="20"/>
                <w:szCs w:val="20"/>
              </w:rPr>
            </w:pPr>
          </w:p>
        </w:tc>
        <w:tc>
          <w:tcPr>
            <w:tcW w:w="2547" w:type="dxa"/>
            <w:vMerge/>
          </w:tcPr>
          <w:p w14:paraId="3DE6B54D" w14:textId="77777777" w:rsidR="00E52AC1" w:rsidRPr="00285C5C" w:rsidRDefault="00E52AC1" w:rsidP="00E52AC1">
            <w:pPr>
              <w:spacing w:line="276" w:lineRule="auto"/>
              <w:jc w:val="both"/>
              <w:rPr>
                <w:rFonts w:asciiTheme="majorHAnsi" w:hAnsiTheme="majorHAnsi" w:cstheme="majorHAnsi"/>
                <w:sz w:val="20"/>
                <w:szCs w:val="20"/>
              </w:rPr>
            </w:pPr>
          </w:p>
        </w:tc>
      </w:tr>
      <w:tr w:rsidR="00E52AC1" w:rsidRPr="00285C5C" w14:paraId="626F627E" w14:textId="77777777" w:rsidTr="00E52AC1">
        <w:tc>
          <w:tcPr>
            <w:tcW w:w="471" w:type="dxa"/>
            <w:shd w:val="clear" w:color="auto" w:fill="auto"/>
          </w:tcPr>
          <w:p w14:paraId="0B48482F" w14:textId="77777777" w:rsidR="00E52AC1" w:rsidRPr="00285C5C" w:rsidRDefault="00E52AC1" w:rsidP="00E52AC1">
            <w:pPr>
              <w:spacing w:line="276" w:lineRule="auto"/>
              <w:jc w:val="both"/>
              <w:rPr>
                <w:rFonts w:asciiTheme="majorHAnsi" w:hAnsiTheme="majorHAnsi" w:cstheme="majorHAnsi"/>
                <w:b/>
                <w:sz w:val="20"/>
                <w:szCs w:val="20"/>
              </w:rPr>
            </w:pPr>
          </w:p>
        </w:tc>
        <w:tc>
          <w:tcPr>
            <w:tcW w:w="1372" w:type="dxa"/>
          </w:tcPr>
          <w:p w14:paraId="6F05F888" w14:textId="77777777" w:rsidR="00E52AC1" w:rsidRPr="00285C5C" w:rsidRDefault="00E52AC1" w:rsidP="00E52AC1">
            <w:pPr>
              <w:spacing w:line="276" w:lineRule="auto"/>
              <w:jc w:val="both"/>
              <w:rPr>
                <w:rFonts w:asciiTheme="majorHAnsi" w:hAnsiTheme="majorHAnsi" w:cstheme="majorHAnsi"/>
                <w:b/>
                <w:sz w:val="20"/>
                <w:szCs w:val="20"/>
              </w:rPr>
            </w:pPr>
            <w:r w:rsidRPr="00285C5C">
              <w:rPr>
                <w:rFonts w:asciiTheme="majorHAnsi" w:hAnsiTheme="majorHAnsi" w:cstheme="majorHAnsi"/>
                <w:b/>
                <w:sz w:val="20"/>
                <w:szCs w:val="20"/>
              </w:rPr>
              <w:t>Total 5 ani</w:t>
            </w:r>
          </w:p>
        </w:tc>
        <w:tc>
          <w:tcPr>
            <w:tcW w:w="1701" w:type="dxa"/>
          </w:tcPr>
          <w:p w14:paraId="531C61DB" w14:textId="77777777" w:rsidR="00E52AC1" w:rsidRPr="00285C5C" w:rsidRDefault="00E52AC1" w:rsidP="00E52AC1">
            <w:pPr>
              <w:spacing w:line="276" w:lineRule="auto"/>
              <w:jc w:val="center"/>
              <w:rPr>
                <w:rFonts w:asciiTheme="majorHAnsi" w:hAnsiTheme="majorHAnsi" w:cstheme="majorHAnsi"/>
                <w:b/>
                <w:sz w:val="20"/>
                <w:szCs w:val="20"/>
              </w:rPr>
            </w:pPr>
            <w:r w:rsidRPr="00285C5C">
              <w:rPr>
                <w:rFonts w:asciiTheme="majorHAnsi" w:hAnsiTheme="majorHAnsi" w:cstheme="majorHAnsi"/>
                <w:b/>
                <w:sz w:val="20"/>
                <w:szCs w:val="20"/>
              </w:rPr>
              <w:t>x</w:t>
            </w:r>
          </w:p>
        </w:tc>
        <w:tc>
          <w:tcPr>
            <w:tcW w:w="1418" w:type="dxa"/>
          </w:tcPr>
          <w:p w14:paraId="02E2F07E" w14:textId="77777777" w:rsidR="00E52AC1" w:rsidRPr="00285C5C" w:rsidRDefault="00E52AC1" w:rsidP="00E52AC1">
            <w:pPr>
              <w:spacing w:line="276" w:lineRule="auto"/>
              <w:jc w:val="right"/>
              <w:rPr>
                <w:rFonts w:asciiTheme="majorHAnsi" w:hAnsiTheme="majorHAnsi" w:cstheme="majorHAnsi"/>
                <w:b/>
                <w:sz w:val="20"/>
                <w:szCs w:val="20"/>
              </w:rPr>
            </w:pPr>
            <w:r w:rsidRPr="00285C5C">
              <w:rPr>
                <w:rFonts w:asciiTheme="majorHAnsi" w:hAnsiTheme="majorHAnsi" w:cstheme="majorHAnsi"/>
                <w:b/>
                <w:sz w:val="20"/>
                <w:szCs w:val="20"/>
              </w:rPr>
              <w:t>2 367 453,9</w:t>
            </w:r>
          </w:p>
        </w:tc>
        <w:tc>
          <w:tcPr>
            <w:tcW w:w="1847" w:type="dxa"/>
          </w:tcPr>
          <w:p w14:paraId="5730D4C2" w14:textId="77777777" w:rsidR="00E52AC1" w:rsidRPr="00285C5C" w:rsidRDefault="00E52AC1" w:rsidP="00E52AC1">
            <w:pPr>
              <w:spacing w:line="276" w:lineRule="auto"/>
              <w:jc w:val="right"/>
              <w:rPr>
                <w:rFonts w:asciiTheme="majorHAnsi" w:hAnsiTheme="majorHAnsi" w:cstheme="majorHAnsi"/>
                <w:b/>
                <w:sz w:val="20"/>
                <w:szCs w:val="20"/>
              </w:rPr>
            </w:pPr>
            <w:r w:rsidRPr="00285C5C">
              <w:rPr>
                <w:rFonts w:asciiTheme="majorHAnsi" w:hAnsiTheme="majorHAnsi" w:cstheme="majorHAnsi"/>
                <w:b/>
                <w:sz w:val="20"/>
                <w:szCs w:val="20"/>
              </w:rPr>
              <w:t>1 694 053,3</w:t>
            </w:r>
          </w:p>
        </w:tc>
        <w:tc>
          <w:tcPr>
            <w:tcW w:w="2547" w:type="dxa"/>
          </w:tcPr>
          <w:p w14:paraId="075EFF28" w14:textId="77777777" w:rsidR="00E52AC1" w:rsidRPr="00285C5C" w:rsidRDefault="00E52AC1" w:rsidP="00E52AC1">
            <w:pPr>
              <w:spacing w:line="276" w:lineRule="auto"/>
              <w:jc w:val="center"/>
              <w:rPr>
                <w:rFonts w:asciiTheme="majorHAnsi" w:hAnsiTheme="majorHAnsi" w:cstheme="majorHAnsi"/>
                <w:b/>
                <w:sz w:val="20"/>
                <w:szCs w:val="20"/>
              </w:rPr>
            </w:pPr>
            <w:r w:rsidRPr="00285C5C">
              <w:rPr>
                <w:rFonts w:asciiTheme="majorHAnsi" w:hAnsiTheme="majorHAnsi" w:cstheme="majorHAnsi"/>
                <w:b/>
                <w:sz w:val="20"/>
                <w:szCs w:val="20"/>
              </w:rPr>
              <w:t>x</w:t>
            </w:r>
          </w:p>
        </w:tc>
      </w:tr>
    </w:tbl>
    <w:p w14:paraId="49A94A47" w14:textId="198E771B" w:rsidR="001744FA" w:rsidRPr="00000D4A" w:rsidRDefault="001744FA" w:rsidP="001744FA">
      <w:pPr>
        <w:pStyle w:val="af0"/>
        <w:tabs>
          <w:tab w:val="left" w:pos="5869"/>
        </w:tabs>
        <w:spacing w:after="360" w:line="276" w:lineRule="auto"/>
        <w:rPr>
          <w:rFonts w:eastAsia="Times New Roman"/>
          <w:i/>
          <w:sz w:val="16"/>
          <w:szCs w:val="16"/>
          <w:lang w:eastAsia="ro-MD"/>
        </w:rPr>
      </w:pPr>
      <w:r w:rsidRPr="00000D4A">
        <w:rPr>
          <w:rFonts w:eastAsia="Times New Roman"/>
          <w:b/>
          <w:i/>
          <w:sz w:val="16"/>
          <w:szCs w:val="16"/>
          <w:lang w:eastAsia="ro-MD"/>
        </w:rPr>
        <w:t>Sursă:</w:t>
      </w:r>
      <w:r w:rsidRPr="00000D4A">
        <w:rPr>
          <w:rFonts w:eastAsia="Times New Roman"/>
          <w:i/>
          <w:sz w:val="16"/>
          <w:szCs w:val="16"/>
          <w:lang w:eastAsia="ro-MD"/>
        </w:rPr>
        <w:t xml:space="preserve"> Elaborată în baza </w:t>
      </w:r>
      <w:r>
        <w:rPr>
          <w:rFonts w:eastAsia="Times New Roman"/>
          <w:i/>
          <w:sz w:val="16"/>
          <w:szCs w:val="16"/>
          <w:lang w:eastAsia="ro-MD"/>
        </w:rPr>
        <w:t>prevederilor cadrului legal și a informațiilor prezentate de CS</w:t>
      </w:r>
    </w:p>
    <w:p w14:paraId="510139C3" w14:textId="55B96D5E" w:rsidR="00E52AC1" w:rsidRPr="00036156" w:rsidRDefault="00E52AC1" w:rsidP="00E52AC1">
      <w:pPr>
        <w:rPr>
          <w:rFonts w:ascii="Times New Roman" w:eastAsia="Times New Roman" w:hAnsi="Times New Roman" w:cs="Times New Roman"/>
          <w:b/>
          <w:bCs/>
          <w:iCs/>
          <w:color w:val="0070C0"/>
          <w:sz w:val="24"/>
          <w:szCs w:val="24"/>
        </w:rPr>
      </w:pPr>
      <w:r>
        <w:rPr>
          <w:rFonts w:ascii="Times New Roman" w:eastAsia="Times New Roman" w:hAnsi="Times New Roman" w:cs="Times New Roman"/>
          <w:b/>
          <w:bCs/>
          <w:iCs/>
          <w:color w:val="0070C0"/>
          <w:sz w:val="24"/>
          <w:szCs w:val="24"/>
        </w:rPr>
        <w:t>Anexa nr. 10</w:t>
      </w:r>
      <w:r w:rsidR="007973F6">
        <w:rPr>
          <w:rFonts w:ascii="Times New Roman" w:eastAsia="Times New Roman" w:hAnsi="Times New Roman" w:cs="Times New Roman"/>
          <w:b/>
          <w:bCs/>
          <w:iCs/>
          <w:color w:val="0070C0"/>
          <w:sz w:val="24"/>
          <w:szCs w:val="24"/>
        </w:rPr>
        <w:t>:</w:t>
      </w:r>
      <w:r>
        <w:rPr>
          <w:rFonts w:ascii="Times New Roman" w:eastAsia="Times New Roman" w:hAnsi="Times New Roman" w:cs="Times New Roman"/>
          <w:b/>
          <w:bCs/>
          <w:iCs/>
          <w:color w:val="0070C0"/>
          <w:sz w:val="24"/>
          <w:szCs w:val="24"/>
        </w:rPr>
        <w:t xml:space="preserve"> </w:t>
      </w:r>
      <w:r w:rsidRPr="00036156">
        <w:rPr>
          <w:rFonts w:ascii="Times New Roman" w:eastAsia="Times New Roman" w:hAnsi="Times New Roman" w:cs="Times New Roman"/>
          <w:b/>
          <w:bCs/>
          <w:iCs/>
          <w:color w:val="0070C0"/>
          <w:sz w:val="24"/>
          <w:szCs w:val="24"/>
        </w:rPr>
        <w:t>Imobile neînregistrate la cadastru de către DGACG</w:t>
      </w:r>
    </w:p>
    <w:tbl>
      <w:tblPr>
        <w:tblStyle w:val="a6"/>
        <w:tblW w:w="0" w:type="auto"/>
        <w:tblLook w:val="04A0" w:firstRow="1" w:lastRow="0" w:firstColumn="1" w:lastColumn="0" w:noHBand="0" w:noVBand="1"/>
      </w:tblPr>
      <w:tblGrid>
        <w:gridCol w:w="562"/>
        <w:gridCol w:w="2694"/>
        <w:gridCol w:w="1506"/>
        <w:gridCol w:w="1320"/>
        <w:gridCol w:w="1832"/>
        <w:gridCol w:w="1585"/>
      </w:tblGrid>
      <w:tr w:rsidR="00E52AC1" w14:paraId="6D991DC9" w14:textId="77777777" w:rsidTr="0034406A">
        <w:trPr>
          <w:trHeight w:val="676"/>
        </w:trPr>
        <w:tc>
          <w:tcPr>
            <w:tcW w:w="562" w:type="dxa"/>
          </w:tcPr>
          <w:p w14:paraId="3711D923" w14:textId="37BBDEB1" w:rsidR="00E52AC1" w:rsidRPr="005D0ABA" w:rsidRDefault="000808E0" w:rsidP="00E52AC1">
            <w:pPr>
              <w:jc w:val="center"/>
              <w:rPr>
                <w:rFonts w:ascii="Times New Roman" w:hAnsi="Times New Roman" w:cs="Times New Roman"/>
                <w:b/>
                <w:sz w:val="20"/>
                <w:szCs w:val="20"/>
              </w:rPr>
            </w:pPr>
            <w:r>
              <w:rPr>
                <w:rFonts w:ascii="Times New Roman" w:hAnsi="Times New Roman" w:cs="Times New Roman"/>
                <w:b/>
                <w:sz w:val="20"/>
                <w:szCs w:val="20"/>
              </w:rPr>
              <w:t>Nr. crt.</w:t>
            </w:r>
          </w:p>
        </w:tc>
        <w:tc>
          <w:tcPr>
            <w:tcW w:w="2694" w:type="dxa"/>
          </w:tcPr>
          <w:p w14:paraId="42C3F1C0" w14:textId="4F49C921" w:rsidR="00E52AC1" w:rsidRPr="005D0ABA" w:rsidRDefault="00766728" w:rsidP="00E52AC1">
            <w:pPr>
              <w:jc w:val="center"/>
              <w:rPr>
                <w:rFonts w:ascii="Times New Roman" w:hAnsi="Times New Roman" w:cs="Times New Roman"/>
                <w:b/>
                <w:sz w:val="20"/>
                <w:szCs w:val="20"/>
              </w:rPr>
            </w:pPr>
            <w:r>
              <w:rPr>
                <w:rFonts w:ascii="Times New Roman" w:hAnsi="Times New Roman" w:cs="Times New Roman"/>
                <w:b/>
                <w:sz w:val="20"/>
                <w:szCs w:val="20"/>
              </w:rPr>
              <w:t xml:space="preserve">Denumirea, </w:t>
            </w:r>
          </w:p>
          <w:p w14:paraId="721E2B03" w14:textId="0DAA0751" w:rsidR="00E52AC1" w:rsidRPr="005D0ABA" w:rsidRDefault="000808E0" w:rsidP="00E52AC1">
            <w:pPr>
              <w:jc w:val="center"/>
              <w:rPr>
                <w:rFonts w:ascii="Times New Roman" w:hAnsi="Times New Roman" w:cs="Times New Roman"/>
                <w:b/>
                <w:sz w:val="20"/>
                <w:szCs w:val="20"/>
              </w:rPr>
            </w:pPr>
            <w:r>
              <w:rPr>
                <w:rFonts w:ascii="Times New Roman" w:hAnsi="Times New Roman" w:cs="Times New Roman"/>
                <w:b/>
                <w:sz w:val="20"/>
                <w:szCs w:val="20"/>
              </w:rPr>
              <w:t>număr</w:t>
            </w:r>
            <w:r w:rsidR="00E52AC1" w:rsidRPr="005D0ABA">
              <w:rPr>
                <w:rFonts w:ascii="Times New Roman" w:hAnsi="Times New Roman" w:cs="Times New Roman"/>
                <w:b/>
                <w:sz w:val="20"/>
                <w:szCs w:val="20"/>
              </w:rPr>
              <w:t xml:space="preserve"> cadastral</w:t>
            </w:r>
          </w:p>
        </w:tc>
        <w:tc>
          <w:tcPr>
            <w:tcW w:w="1506" w:type="dxa"/>
          </w:tcPr>
          <w:p w14:paraId="0A65113F" w14:textId="77777777" w:rsidR="00E52AC1" w:rsidRPr="005D0ABA" w:rsidRDefault="00E52AC1" w:rsidP="00E52AC1">
            <w:pPr>
              <w:jc w:val="center"/>
              <w:rPr>
                <w:rFonts w:ascii="Times New Roman" w:hAnsi="Times New Roman" w:cs="Times New Roman"/>
                <w:b/>
                <w:sz w:val="20"/>
                <w:szCs w:val="20"/>
              </w:rPr>
            </w:pPr>
            <w:r w:rsidRPr="005D0ABA">
              <w:rPr>
                <w:rFonts w:ascii="Times New Roman" w:hAnsi="Times New Roman" w:cs="Times New Roman"/>
                <w:b/>
                <w:sz w:val="20"/>
                <w:szCs w:val="20"/>
              </w:rPr>
              <w:t>Adresa</w:t>
            </w:r>
          </w:p>
          <w:p w14:paraId="62535ACD" w14:textId="77777777" w:rsidR="00E52AC1" w:rsidRPr="005D0ABA" w:rsidRDefault="00E52AC1" w:rsidP="00E52AC1">
            <w:pPr>
              <w:jc w:val="center"/>
              <w:rPr>
                <w:rFonts w:ascii="Times New Roman" w:hAnsi="Times New Roman" w:cs="Times New Roman"/>
                <w:b/>
                <w:sz w:val="20"/>
                <w:szCs w:val="20"/>
              </w:rPr>
            </w:pPr>
            <w:r w:rsidRPr="005D0ABA">
              <w:rPr>
                <w:rFonts w:ascii="Times New Roman" w:hAnsi="Times New Roman" w:cs="Times New Roman"/>
                <w:b/>
                <w:sz w:val="20"/>
                <w:szCs w:val="20"/>
              </w:rPr>
              <w:t>amplasării</w:t>
            </w:r>
          </w:p>
        </w:tc>
        <w:tc>
          <w:tcPr>
            <w:tcW w:w="1320" w:type="dxa"/>
          </w:tcPr>
          <w:p w14:paraId="32CF5E2A" w14:textId="2D884F3A" w:rsidR="00E52AC1" w:rsidRPr="005D0ABA" w:rsidRDefault="00E52AC1" w:rsidP="00E52AC1">
            <w:pPr>
              <w:jc w:val="center"/>
              <w:rPr>
                <w:rFonts w:ascii="Times New Roman" w:hAnsi="Times New Roman" w:cs="Times New Roman"/>
                <w:b/>
                <w:sz w:val="20"/>
                <w:szCs w:val="20"/>
              </w:rPr>
            </w:pPr>
            <w:r w:rsidRPr="005D0ABA">
              <w:rPr>
                <w:rFonts w:ascii="Times New Roman" w:hAnsi="Times New Roman" w:cs="Times New Roman"/>
                <w:b/>
                <w:sz w:val="20"/>
                <w:szCs w:val="20"/>
              </w:rPr>
              <w:t>Suprafața</w:t>
            </w:r>
            <w:r w:rsidR="000808E0">
              <w:rPr>
                <w:rFonts w:ascii="Times New Roman" w:hAnsi="Times New Roman" w:cs="Times New Roman"/>
                <w:b/>
                <w:sz w:val="20"/>
                <w:szCs w:val="20"/>
              </w:rPr>
              <w:t>,</w:t>
            </w:r>
          </w:p>
          <w:p w14:paraId="585C361E" w14:textId="77777777" w:rsidR="00E52AC1" w:rsidRPr="005D0ABA" w:rsidRDefault="00E52AC1" w:rsidP="00E52AC1">
            <w:pPr>
              <w:jc w:val="center"/>
              <w:rPr>
                <w:rFonts w:ascii="Times New Roman" w:hAnsi="Times New Roman" w:cs="Times New Roman"/>
                <w:b/>
                <w:sz w:val="20"/>
                <w:szCs w:val="20"/>
              </w:rPr>
            </w:pPr>
            <w:r w:rsidRPr="005D0ABA">
              <w:rPr>
                <w:rFonts w:ascii="Times New Roman" w:hAnsi="Times New Roman" w:cs="Times New Roman"/>
                <w:b/>
                <w:sz w:val="20"/>
                <w:szCs w:val="20"/>
              </w:rPr>
              <w:t>m.p</w:t>
            </w:r>
          </w:p>
        </w:tc>
        <w:tc>
          <w:tcPr>
            <w:tcW w:w="1832" w:type="dxa"/>
          </w:tcPr>
          <w:p w14:paraId="6494F3F7" w14:textId="79A3FE1C" w:rsidR="00E52AC1" w:rsidRPr="005D0ABA" w:rsidRDefault="00E52AC1" w:rsidP="00E52AC1">
            <w:pPr>
              <w:jc w:val="both"/>
              <w:rPr>
                <w:rFonts w:ascii="Times New Roman" w:hAnsi="Times New Roman" w:cs="Times New Roman"/>
                <w:b/>
                <w:sz w:val="20"/>
                <w:szCs w:val="20"/>
              </w:rPr>
            </w:pPr>
            <w:r>
              <w:rPr>
                <w:rFonts w:ascii="Times New Roman" w:hAnsi="Times New Roman" w:cs="Times New Roman"/>
                <w:b/>
                <w:sz w:val="20"/>
                <w:szCs w:val="20"/>
              </w:rPr>
              <w:t>V</w:t>
            </w:r>
            <w:r w:rsidRPr="005D0ABA">
              <w:rPr>
                <w:rFonts w:ascii="Times New Roman" w:hAnsi="Times New Roman" w:cs="Times New Roman"/>
                <w:b/>
                <w:sz w:val="20"/>
                <w:szCs w:val="20"/>
              </w:rPr>
              <w:t>aloarea din evidența contabilă</w:t>
            </w:r>
            <w:r w:rsidR="000808E0">
              <w:rPr>
                <w:rFonts w:ascii="Times New Roman" w:hAnsi="Times New Roman" w:cs="Times New Roman"/>
                <w:b/>
                <w:sz w:val="20"/>
                <w:szCs w:val="20"/>
              </w:rPr>
              <w:t>,</w:t>
            </w:r>
          </w:p>
          <w:p w14:paraId="4160271E" w14:textId="77777777" w:rsidR="00E52AC1" w:rsidRPr="005D0ABA" w:rsidRDefault="00E52AC1" w:rsidP="00E52AC1">
            <w:pPr>
              <w:jc w:val="both"/>
              <w:rPr>
                <w:rFonts w:ascii="Times New Roman" w:hAnsi="Times New Roman" w:cs="Times New Roman"/>
                <w:b/>
                <w:sz w:val="20"/>
                <w:szCs w:val="20"/>
              </w:rPr>
            </w:pPr>
            <w:r w:rsidRPr="005D0ABA">
              <w:rPr>
                <w:rFonts w:ascii="Times New Roman" w:hAnsi="Times New Roman" w:cs="Times New Roman"/>
                <w:b/>
                <w:sz w:val="20"/>
                <w:szCs w:val="20"/>
              </w:rPr>
              <w:t>mii lei</w:t>
            </w:r>
          </w:p>
        </w:tc>
        <w:tc>
          <w:tcPr>
            <w:tcW w:w="1585" w:type="dxa"/>
          </w:tcPr>
          <w:p w14:paraId="20C98251" w14:textId="77777777" w:rsidR="00E52AC1" w:rsidRPr="005D0ABA" w:rsidRDefault="00E52AC1" w:rsidP="00E52AC1">
            <w:pPr>
              <w:jc w:val="center"/>
              <w:rPr>
                <w:rFonts w:ascii="Times New Roman" w:hAnsi="Times New Roman" w:cs="Times New Roman"/>
                <w:b/>
                <w:sz w:val="20"/>
                <w:szCs w:val="20"/>
              </w:rPr>
            </w:pPr>
            <w:r>
              <w:rPr>
                <w:rFonts w:ascii="Times New Roman" w:hAnsi="Times New Roman" w:cs="Times New Roman"/>
                <w:b/>
                <w:sz w:val="20"/>
                <w:szCs w:val="20"/>
              </w:rPr>
              <w:t>M</w:t>
            </w:r>
            <w:r w:rsidRPr="005D0ABA">
              <w:rPr>
                <w:rFonts w:ascii="Times New Roman" w:hAnsi="Times New Roman" w:cs="Times New Roman"/>
                <w:b/>
                <w:sz w:val="20"/>
                <w:szCs w:val="20"/>
              </w:rPr>
              <w:t>ențiuni</w:t>
            </w:r>
          </w:p>
        </w:tc>
      </w:tr>
      <w:tr w:rsidR="00E52AC1" w:rsidRPr="002E3EC0" w14:paraId="2F74333D" w14:textId="77777777" w:rsidTr="0034406A">
        <w:trPr>
          <w:trHeight w:val="561"/>
        </w:trPr>
        <w:tc>
          <w:tcPr>
            <w:tcW w:w="562" w:type="dxa"/>
          </w:tcPr>
          <w:p w14:paraId="2618A959" w14:textId="77777777" w:rsidR="00E52AC1" w:rsidRPr="005D0ABA" w:rsidRDefault="00E52AC1" w:rsidP="00E52AC1">
            <w:pPr>
              <w:jc w:val="center"/>
              <w:rPr>
                <w:rFonts w:ascii="Times New Roman" w:hAnsi="Times New Roman" w:cs="Times New Roman"/>
                <w:b/>
                <w:sz w:val="20"/>
                <w:szCs w:val="20"/>
              </w:rPr>
            </w:pPr>
            <w:r w:rsidRPr="005D0ABA">
              <w:rPr>
                <w:rFonts w:ascii="Times New Roman" w:hAnsi="Times New Roman" w:cs="Times New Roman"/>
                <w:b/>
                <w:sz w:val="20"/>
                <w:szCs w:val="20"/>
              </w:rPr>
              <w:t>1</w:t>
            </w:r>
          </w:p>
        </w:tc>
        <w:tc>
          <w:tcPr>
            <w:tcW w:w="2694" w:type="dxa"/>
          </w:tcPr>
          <w:p w14:paraId="1B258297" w14:textId="291EA0FE" w:rsidR="00E52AC1" w:rsidRPr="002E3EC0" w:rsidRDefault="00E52AC1" w:rsidP="000808E0">
            <w:pPr>
              <w:rPr>
                <w:rFonts w:ascii="Times New Roman" w:hAnsi="Times New Roman" w:cs="Times New Roman"/>
                <w:sz w:val="20"/>
                <w:szCs w:val="20"/>
              </w:rPr>
            </w:pPr>
            <w:r w:rsidRPr="002E3EC0">
              <w:rPr>
                <w:rFonts w:ascii="Times New Roman" w:hAnsi="Times New Roman" w:cs="Times New Roman"/>
                <w:sz w:val="20"/>
                <w:szCs w:val="20"/>
                <w:lang w:val="ro-RO"/>
              </w:rPr>
              <w:t>Garaj din piatră (prelucrarea lemnului</w:t>
            </w:r>
            <w:r w:rsidR="000808E0">
              <w:rPr>
                <w:rFonts w:ascii="Times New Roman" w:hAnsi="Times New Roman" w:cs="Times New Roman"/>
                <w:sz w:val="20"/>
                <w:szCs w:val="20"/>
                <w:lang w:val="ro-RO"/>
              </w:rPr>
              <w:t>)</w:t>
            </w:r>
          </w:p>
        </w:tc>
        <w:tc>
          <w:tcPr>
            <w:tcW w:w="1506" w:type="dxa"/>
          </w:tcPr>
          <w:p w14:paraId="090FAABC" w14:textId="073F146B" w:rsidR="00E52AC1" w:rsidRPr="002E3EC0" w:rsidRDefault="00766728" w:rsidP="00E52AC1">
            <w:pPr>
              <w:jc w:val="center"/>
              <w:rPr>
                <w:rFonts w:ascii="Times New Roman" w:hAnsi="Times New Roman" w:cs="Times New Roman"/>
                <w:sz w:val="20"/>
                <w:szCs w:val="20"/>
              </w:rPr>
            </w:pPr>
            <w:r>
              <w:rPr>
                <w:rFonts w:ascii="Times New Roman" w:hAnsi="Times New Roman" w:cs="Times New Roman"/>
                <w:sz w:val="20"/>
                <w:szCs w:val="20"/>
                <w:lang w:val="ro-RO"/>
              </w:rPr>
              <w:t>s</w:t>
            </w:r>
            <w:r w:rsidR="00E52AC1">
              <w:rPr>
                <w:rFonts w:ascii="Times New Roman" w:hAnsi="Times New Roman" w:cs="Times New Roman"/>
                <w:sz w:val="20"/>
                <w:szCs w:val="20"/>
                <w:lang w:val="ro-RO"/>
              </w:rPr>
              <w:t xml:space="preserve">tr. </w:t>
            </w:r>
            <w:r w:rsidR="000808E0" w:rsidRPr="002E3EC0">
              <w:rPr>
                <w:rFonts w:ascii="Times New Roman" w:hAnsi="Times New Roman" w:cs="Times New Roman"/>
                <w:sz w:val="20"/>
                <w:szCs w:val="20"/>
                <w:lang w:val="ro-RO"/>
              </w:rPr>
              <w:t>Hâncești</w:t>
            </w:r>
            <w:r w:rsidR="00E52AC1">
              <w:rPr>
                <w:rFonts w:ascii="Times New Roman" w:hAnsi="Times New Roman" w:cs="Times New Roman"/>
                <w:sz w:val="20"/>
                <w:szCs w:val="20"/>
                <w:lang w:val="ro-RO"/>
              </w:rPr>
              <w:t>, nr.</w:t>
            </w:r>
            <w:r w:rsidR="00E52AC1" w:rsidRPr="002E3EC0">
              <w:rPr>
                <w:rFonts w:ascii="Times New Roman" w:hAnsi="Times New Roman" w:cs="Times New Roman"/>
                <w:sz w:val="20"/>
                <w:szCs w:val="20"/>
                <w:lang w:val="ro-RO"/>
              </w:rPr>
              <w:t xml:space="preserve"> 53</w:t>
            </w:r>
          </w:p>
        </w:tc>
        <w:tc>
          <w:tcPr>
            <w:tcW w:w="1320" w:type="dxa"/>
          </w:tcPr>
          <w:p w14:paraId="39159389" w14:textId="77777777" w:rsidR="00E52AC1" w:rsidRPr="002E3EC0" w:rsidRDefault="00E52AC1" w:rsidP="009E33A0">
            <w:pPr>
              <w:jc w:val="right"/>
              <w:rPr>
                <w:rFonts w:ascii="Times New Roman" w:hAnsi="Times New Roman" w:cs="Times New Roman"/>
                <w:sz w:val="20"/>
                <w:szCs w:val="20"/>
              </w:rPr>
            </w:pPr>
            <w:r w:rsidRPr="002E3EC0">
              <w:rPr>
                <w:rFonts w:ascii="Times New Roman" w:hAnsi="Times New Roman" w:cs="Times New Roman"/>
                <w:sz w:val="20"/>
                <w:szCs w:val="20"/>
                <w:lang w:val="ro-RO"/>
              </w:rPr>
              <w:t>78,5</w:t>
            </w:r>
          </w:p>
        </w:tc>
        <w:tc>
          <w:tcPr>
            <w:tcW w:w="1832" w:type="dxa"/>
          </w:tcPr>
          <w:p w14:paraId="0BC9D32D" w14:textId="77777777" w:rsidR="00E52AC1" w:rsidRPr="002E3EC0" w:rsidRDefault="00E52AC1" w:rsidP="0034406A">
            <w:pPr>
              <w:jc w:val="right"/>
              <w:rPr>
                <w:rFonts w:ascii="Times New Roman" w:hAnsi="Times New Roman" w:cs="Times New Roman"/>
                <w:sz w:val="20"/>
                <w:szCs w:val="20"/>
              </w:rPr>
            </w:pPr>
            <w:r w:rsidRPr="002E3EC0">
              <w:rPr>
                <w:rFonts w:ascii="Times New Roman" w:hAnsi="Times New Roman" w:cs="Times New Roman"/>
                <w:sz w:val="20"/>
                <w:szCs w:val="20"/>
                <w:lang w:val="ro-RO"/>
              </w:rPr>
              <w:t>4</w:t>
            </w:r>
            <w:r w:rsidRPr="002E3EC0">
              <w:rPr>
                <w:rFonts w:ascii="Times New Roman" w:hAnsi="Times New Roman" w:cs="Times New Roman"/>
                <w:sz w:val="20"/>
                <w:szCs w:val="20"/>
              </w:rPr>
              <w:t xml:space="preserve">3,5 </w:t>
            </w:r>
          </w:p>
          <w:p w14:paraId="58B7281C" w14:textId="77777777" w:rsidR="00E52AC1" w:rsidRPr="002E3EC0" w:rsidRDefault="00E52AC1" w:rsidP="0034406A">
            <w:pPr>
              <w:jc w:val="right"/>
              <w:rPr>
                <w:rFonts w:ascii="Times New Roman" w:hAnsi="Times New Roman" w:cs="Times New Roman"/>
                <w:sz w:val="20"/>
                <w:szCs w:val="20"/>
              </w:rPr>
            </w:pPr>
          </w:p>
        </w:tc>
        <w:tc>
          <w:tcPr>
            <w:tcW w:w="1585" w:type="dxa"/>
          </w:tcPr>
          <w:p w14:paraId="058A8DF2" w14:textId="1C3CD18B" w:rsidR="00E52AC1" w:rsidRPr="005D0ABA" w:rsidRDefault="00E52AC1" w:rsidP="00E52AC1">
            <w:pPr>
              <w:jc w:val="center"/>
              <w:rPr>
                <w:rFonts w:ascii="Times New Roman" w:hAnsi="Times New Roman" w:cs="Times New Roman"/>
                <w:sz w:val="16"/>
                <w:szCs w:val="16"/>
              </w:rPr>
            </w:pPr>
            <w:r w:rsidRPr="005D0ABA">
              <w:rPr>
                <w:rFonts w:ascii="Times New Roman" w:hAnsi="Times New Roman" w:cs="Times New Roman"/>
                <w:sz w:val="16"/>
                <w:szCs w:val="16"/>
              </w:rPr>
              <w:t>Datele evidenței</w:t>
            </w:r>
            <w:r w:rsidR="00BA69A9">
              <w:rPr>
                <w:rFonts w:ascii="Times New Roman" w:hAnsi="Times New Roman" w:cs="Times New Roman"/>
                <w:sz w:val="16"/>
                <w:szCs w:val="16"/>
              </w:rPr>
              <w:t xml:space="preserve"> </w:t>
            </w:r>
            <w:r w:rsidRPr="005D0ABA">
              <w:rPr>
                <w:rFonts w:ascii="Times New Roman" w:hAnsi="Times New Roman" w:cs="Times New Roman"/>
                <w:sz w:val="16"/>
                <w:szCs w:val="16"/>
              </w:rPr>
              <w:t xml:space="preserve"> contabilă, cont 311</w:t>
            </w:r>
          </w:p>
        </w:tc>
      </w:tr>
      <w:tr w:rsidR="00E52AC1" w:rsidRPr="002E3EC0" w14:paraId="73BAACAF" w14:textId="77777777" w:rsidTr="0034406A">
        <w:trPr>
          <w:trHeight w:val="561"/>
        </w:trPr>
        <w:tc>
          <w:tcPr>
            <w:tcW w:w="562" w:type="dxa"/>
          </w:tcPr>
          <w:p w14:paraId="17DE7917" w14:textId="77777777" w:rsidR="00E52AC1" w:rsidRPr="005D0ABA" w:rsidRDefault="00E52AC1" w:rsidP="00E52AC1">
            <w:pPr>
              <w:jc w:val="center"/>
              <w:rPr>
                <w:rFonts w:ascii="Times New Roman" w:hAnsi="Times New Roman" w:cs="Times New Roman"/>
                <w:b/>
                <w:sz w:val="20"/>
                <w:szCs w:val="20"/>
              </w:rPr>
            </w:pPr>
            <w:r w:rsidRPr="005D0ABA">
              <w:rPr>
                <w:rFonts w:ascii="Times New Roman" w:hAnsi="Times New Roman" w:cs="Times New Roman"/>
                <w:b/>
                <w:sz w:val="20"/>
                <w:szCs w:val="20"/>
              </w:rPr>
              <w:t>2</w:t>
            </w:r>
          </w:p>
        </w:tc>
        <w:tc>
          <w:tcPr>
            <w:tcW w:w="2694" w:type="dxa"/>
          </w:tcPr>
          <w:p w14:paraId="4CD8173C" w14:textId="1DCE3E09" w:rsidR="00E52AC1" w:rsidRPr="002E3EC0" w:rsidRDefault="00E52AC1" w:rsidP="000808E0">
            <w:pPr>
              <w:rPr>
                <w:rFonts w:ascii="Times New Roman" w:hAnsi="Times New Roman" w:cs="Times New Roman"/>
                <w:sz w:val="20"/>
                <w:szCs w:val="20"/>
                <w:lang w:val="ro-RO"/>
              </w:rPr>
            </w:pPr>
            <w:r w:rsidRPr="002E3EC0">
              <w:rPr>
                <w:rFonts w:ascii="Times New Roman" w:hAnsi="Times New Roman" w:cs="Times New Roman"/>
                <w:sz w:val="20"/>
                <w:szCs w:val="20"/>
                <w:lang w:val="ro-RO"/>
              </w:rPr>
              <w:t xml:space="preserve">Depozit pentru păstrare </w:t>
            </w:r>
            <w:r w:rsidR="000808E0" w:rsidRPr="002E3EC0">
              <w:rPr>
                <w:rFonts w:ascii="Times New Roman" w:hAnsi="Times New Roman" w:cs="Times New Roman"/>
                <w:sz w:val="20"/>
                <w:szCs w:val="20"/>
                <w:lang w:val="ro-RO"/>
              </w:rPr>
              <w:t>hârtiei</w:t>
            </w:r>
            <w:r w:rsidR="000808E0">
              <w:rPr>
                <w:rFonts w:ascii="Times New Roman" w:hAnsi="Times New Roman" w:cs="Times New Roman"/>
                <w:sz w:val="20"/>
                <w:szCs w:val="20"/>
                <w:lang w:val="ro-RO"/>
              </w:rPr>
              <w:t>,</w:t>
            </w:r>
            <w:r w:rsidRPr="002E3EC0">
              <w:rPr>
                <w:rFonts w:ascii="Times New Roman" w:hAnsi="Times New Roman" w:cs="Times New Roman"/>
                <w:sz w:val="20"/>
                <w:szCs w:val="20"/>
                <w:lang w:val="ro-RO"/>
              </w:rPr>
              <w:t xml:space="preserve"> nr</w:t>
            </w:r>
            <w:r w:rsidR="0034406A">
              <w:rPr>
                <w:rFonts w:ascii="Times New Roman" w:hAnsi="Times New Roman" w:cs="Times New Roman"/>
                <w:sz w:val="20"/>
                <w:szCs w:val="20"/>
                <w:lang w:val="ro-RO"/>
              </w:rPr>
              <w:t>.</w:t>
            </w:r>
            <w:r w:rsidRPr="002E3EC0">
              <w:rPr>
                <w:rFonts w:ascii="Times New Roman" w:hAnsi="Times New Roman" w:cs="Times New Roman"/>
                <w:sz w:val="20"/>
                <w:szCs w:val="20"/>
                <w:lang w:val="ro-RO"/>
              </w:rPr>
              <w:t xml:space="preserve"> inv-1000065</w:t>
            </w:r>
          </w:p>
        </w:tc>
        <w:tc>
          <w:tcPr>
            <w:tcW w:w="1506" w:type="dxa"/>
          </w:tcPr>
          <w:p w14:paraId="19003543" w14:textId="6EDA83E3" w:rsidR="00E52AC1" w:rsidRPr="002E3EC0" w:rsidRDefault="00E52AC1" w:rsidP="00E52AC1">
            <w:pPr>
              <w:jc w:val="center"/>
              <w:rPr>
                <w:rFonts w:ascii="Times New Roman" w:hAnsi="Times New Roman" w:cs="Times New Roman"/>
                <w:sz w:val="20"/>
                <w:szCs w:val="20"/>
                <w:lang w:val="ro-RO"/>
              </w:rPr>
            </w:pPr>
            <w:r>
              <w:rPr>
                <w:rFonts w:ascii="Times New Roman" w:hAnsi="Times New Roman" w:cs="Times New Roman"/>
                <w:sz w:val="20"/>
                <w:szCs w:val="20"/>
                <w:lang w:val="ro-RO"/>
              </w:rPr>
              <w:t xml:space="preserve">Str. </w:t>
            </w:r>
            <w:r w:rsidRPr="002E3EC0">
              <w:rPr>
                <w:rFonts w:ascii="Times New Roman" w:hAnsi="Times New Roman" w:cs="Times New Roman"/>
                <w:sz w:val="20"/>
                <w:szCs w:val="20"/>
                <w:lang w:val="ro-RO"/>
              </w:rPr>
              <w:t>Bucuriei</w:t>
            </w:r>
            <w:r w:rsidR="000808E0">
              <w:rPr>
                <w:rFonts w:ascii="Times New Roman" w:hAnsi="Times New Roman" w:cs="Times New Roman"/>
                <w:sz w:val="20"/>
                <w:szCs w:val="20"/>
                <w:lang w:val="ro-RO"/>
              </w:rPr>
              <w:t>,</w:t>
            </w:r>
            <w:r w:rsidRPr="002E3EC0">
              <w:rPr>
                <w:rFonts w:ascii="Times New Roman" w:hAnsi="Times New Roman" w:cs="Times New Roman"/>
                <w:sz w:val="20"/>
                <w:szCs w:val="20"/>
                <w:lang w:val="ro-RO"/>
              </w:rPr>
              <w:t xml:space="preserve"> </w:t>
            </w:r>
            <w:r>
              <w:rPr>
                <w:rFonts w:ascii="Times New Roman" w:hAnsi="Times New Roman" w:cs="Times New Roman"/>
                <w:sz w:val="20"/>
                <w:szCs w:val="20"/>
                <w:lang w:val="ro-RO"/>
              </w:rPr>
              <w:t xml:space="preserve">nr. </w:t>
            </w:r>
            <w:r w:rsidRPr="002E3EC0">
              <w:rPr>
                <w:rFonts w:ascii="Times New Roman" w:hAnsi="Times New Roman" w:cs="Times New Roman"/>
                <w:sz w:val="20"/>
                <w:szCs w:val="20"/>
                <w:lang w:val="ro-RO"/>
              </w:rPr>
              <w:t>18 A</w:t>
            </w:r>
          </w:p>
        </w:tc>
        <w:tc>
          <w:tcPr>
            <w:tcW w:w="1320" w:type="dxa"/>
          </w:tcPr>
          <w:p w14:paraId="3808045C" w14:textId="77777777" w:rsidR="00E52AC1" w:rsidRPr="002E3EC0" w:rsidRDefault="00E52AC1"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64,14</w:t>
            </w:r>
          </w:p>
        </w:tc>
        <w:tc>
          <w:tcPr>
            <w:tcW w:w="1832" w:type="dxa"/>
          </w:tcPr>
          <w:p w14:paraId="269C2008" w14:textId="77777777" w:rsidR="00E52AC1" w:rsidRPr="002E3EC0" w:rsidRDefault="00E52AC1" w:rsidP="0034406A">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 xml:space="preserve"> 13,4</w:t>
            </w:r>
          </w:p>
        </w:tc>
        <w:tc>
          <w:tcPr>
            <w:tcW w:w="1585" w:type="dxa"/>
          </w:tcPr>
          <w:p w14:paraId="4E8587E1" w14:textId="0A9FC8F3" w:rsidR="00E52AC1" w:rsidRPr="005D0ABA" w:rsidRDefault="00E52AC1" w:rsidP="00E52AC1">
            <w:pPr>
              <w:jc w:val="center"/>
              <w:rPr>
                <w:rFonts w:ascii="Times New Roman" w:hAnsi="Times New Roman" w:cs="Times New Roman"/>
                <w:sz w:val="16"/>
                <w:szCs w:val="16"/>
              </w:rPr>
            </w:pPr>
            <w:r w:rsidRPr="005D0ABA">
              <w:rPr>
                <w:rFonts w:ascii="Times New Roman" w:hAnsi="Times New Roman" w:cs="Times New Roman"/>
                <w:sz w:val="16"/>
                <w:szCs w:val="16"/>
              </w:rPr>
              <w:t>Datele din evidența contabilă</w:t>
            </w:r>
            <w:r w:rsidR="000808E0">
              <w:rPr>
                <w:rFonts w:ascii="Times New Roman" w:hAnsi="Times New Roman" w:cs="Times New Roman"/>
                <w:sz w:val="16"/>
                <w:szCs w:val="16"/>
              </w:rPr>
              <w:t>,</w:t>
            </w:r>
            <w:r w:rsidRPr="005D0ABA">
              <w:rPr>
                <w:rFonts w:ascii="Times New Roman" w:hAnsi="Times New Roman" w:cs="Times New Roman"/>
                <w:sz w:val="16"/>
                <w:szCs w:val="16"/>
              </w:rPr>
              <w:t xml:space="preserve"> cont 312</w:t>
            </w:r>
          </w:p>
        </w:tc>
      </w:tr>
      <w:tr w:rsidR="00E52AC1" w:rsidRPr="002E3EC0" w14:paraId="09D1B07D" w14:textId="77777777" w:rsidTr="0034406A">
        <w:trPr>
          <w:trHeight w:val="561"/>
        </w:trPr>
        <w:tc>
          <w:tcPr>
            <w:tcW w:w="562" w:type="dxa"/>
          </w:tcPr>
          <w:p w14:paraId="5B7FAFA2" w14:textId="77777777" w:rsidR="00E52AC1" w:rsidRPr="005D0ABA" w:rsidRDefault="00E52AC1" w:rsidP="00E52AC1">
            <w:pPr>
              <w:jc w:val="center"/>
              <w:rPr>
                <w:rFonts w:ascii="Times New Roman" w:hAnsi="Times New Roman" w:cs="Times New Roman"/>
                <w:b/>
                <w:sz w:val="20"/>
                <w:szCs w:val="20"/>
              </w:rPr>
            </w:pPr>
            <w:r w:rsidRPr="005D0ABA">
              <w:rPr>
                <w:rFonts w:ascii="Times New Roman" w:hAnsi="Times New Roman" w:cs="Times New Roman"/>
                <w:b/>
                <w:sz w:val="20"/>
                <w:szCs w:val="20"/>
              </w:rPr>
              <w:t>3</w:t>
            </w:r>
          </w:p>
          <w:p w14:paraId="4C81AFA5" w14:textId="77777777" w:rsidR="00E52AC1" w:rsidRPr="005D0ABA" w:rsidRDefault="00E52AC1" w:rsidP="00E52AC1">
            <w:pPr>
              <w:pStyle w:val="a7"/>
              <w:jc w:val="center"/>
              <w:rPr>
                <w:rFonts w:cs="Times New Roman"/>
                <w:b/>
                <w:sz w:val="20"/>
                <w:szCs w:val="20"/>
              </w:rPr>
            </w:pPr>
          </w:p>
        </w:tc>
        <w:tc>
          <w:tcPr>
            <w:tcW w:w="2694" w:type="dxa"/>
          </w:tcPr>
          <w:p w14:paraId="263C25F5" w14:textId="7C5954CB" w:rsidR="00E52AC1" w:rsidRPr="002E3EC0" w:rsidRDefault="00E52AC1" w:rsidP="000808E0">
            <w:pPr>
              <w:rPr>
                <w:rFonts w:ascii="Times New Roman" w:hAnsi="Times New Roman" w:cs="Times New Roman"/>
                <w:sz w:val="20"/>
                <w:szCs w:val="20"/>
              </w:rPr>
            </w:pPr>
            <w:r w:rsidRPr="002E3EC0">
              <w:rPr>
                <w:rFonts w:ascii="Times New Roman" w:hAnsi="Times New Roman" w:cs="Times New Roman"/>
                <w:sz w:val="20"/>
                <w:szCs w:val="20"/>
              </w:rPr>
              <w:t>Cabina de trecere</w:t>
            </w:r>
            <w:r w:rsidR="000808E0">
              <w:rPr>
                <w:rFonts w:ascii="Times New Roman" w:hAnsi="Times New Roman" w:cs="Times New Roman"/>
                <w:sz w:val="20"/>
                <w:szCs w:val="20"/>
              </w:rPr>
              <w:t>,</w:t>
            </w:r>
          </w:p>
          <w:p w14:paraId="6C88F9C0" w14:textId="233C3D60" w:rsidR="00E52AC1" w:rsidRPr="002E3EC0" w:rsidRDefault="0034406A" w:rsidP="000808E0">
            <w:pPr>
              <w:rPr>
                <w:rFonts w:ascii="Times New Roman" w:hAnsi="Times New Roman" w:cs="Times New Roman"/>
                <w:sz w:val="20"/>
                <w:szCs w:val="20"/>
                <w:lang w:val="ro-RO"/>
              </w:rPr>
            </w:pPr>
            <w:r>
              <w:rPr>
                <w:rFonts w:ascii="Times New Roman" w:hAnsi="Times New Roman" w:cs="Times New Roman"/>
                <w:sz w:val="20"/>
                <w:szCs w:val="20"/>
              </w:rPr>
              <w:t>n</w:t>
            </w:r>
            <w:r w:rsidR="00E52AC1" w:rsidRPr="002E3EC0">
              <w:rPr>
                <w:rFonts w:ascii="Times New Roman" w:hAnsi="Times New Roman" w:cs="Times New Roman"/>
                <w:sz w:val="20"/>
                <w:szCs w:val="20"/>
              </w:rPr>
              <w:t>r</w:t>
            </w:r>
            <w:r>
              <w:rPr>
                <w:rFonts w:ascii="Times New Roman" w:hAnsi="Times New Roman" w:cs="Times New Roman"/>
                <w:sz w:val="20"/>
                <w:szCs w:val="20"/>
              </w:rPr>
              <w:t>.</w:t>
            </w:r>
            <w:r w:rsidR="00BA69A9">
              <w:rPr>
                <w:rFonts w:ascii="Times New Roman" w:hAnsi="Times New Roman" w:cs="Times New Roman"/>
                <w:sz w:val="20"/>
                <w:szCs w:val="20"/>
              </w:rPr>
              <w:t xml:space="preserve"> </w:t>
            </w:r>
            <w:r w:rsidR="00E52AC1" w:rsidRPr="002E3EC0">
              <w:rPr>
                <w:rFonts w:ascii="Times New Roman" w:hAnsi="Times New Roman" w:cs="Times New Roman"/>
                <w:sz w:val="20"/>
                <w:szCs w:val="20"/>
              </w:rPr>
              <w:t>inv-1100136</w:t>
            </w:r>
          </w:p>
        </w:tc>
        <w:tc>
          <w:tcPr>
            <w:tcW w:w="1506" w:type="dxa"/>
          </w:tcPr>
          <w:p w14:paraId="5DE21B1B" w14:textId="5F54EE61" w:rsidR="00E52AC1" w:rsidRPr="002E3EC0" w:rsidRDefault="000808E0" w:rsidP="00E52AC1">
            <w:pPr>
              <w:jc w:val="center"/>
              <w:rPr>
                <w:rFonts w:ascii="Times New Roman" w:hAnsi="Times New Roman" w:cs="Times New Roman"/>
                <w:sz w:val="20"/>
                <w:szCs w:val="20"/>
                <w:lang w:val="ro-RO"/>
              </w:rPr>
            </w:pPr>
            <w:r>
              <w:rPr>
                <w:rFonts w:ascii="Times New Roman" w:hAnsi="Times New Roman" w:cs="Times New Roman"/>
                <w:sz w:val="20"/>
                <w:szCs w:val="20"/>
              </w:rPr>
              <w:t>-</w:t>
            </w:r>
          </w:p>
        </w:tc>
        <w:tc>
          <w:tcPr>
            <w:tcW w:w="1320" w:type="dxa"/>
          </w:tcPr>
          <w:p w14:paraId="4636CB6D" w14:textId="77777777" w:rsidR="00E52AC1" w:rsidRPr="002E3EC0" w:rsidRDefault="00E52AC1"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9,36</w:t>
            </w:r>
          </w:p>
        </w:tc>
        <w:tc>
          <w:tcPr>
            <w:tcW w:w="1832" w:type="dxa"/>
          </w:tcPr>
          <w:p w14:paraId="3F26EEA9" w14:textId="77777777" w:rsidR="00E52AC1" w:rsidRPr="002E3EC0" w:rsidRDefault="00E52AC1" w:rsidP="0034406A">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5,3</w:t>
            </w:r>
          </w:p>
        </w:tc>
        <w:tc>
          <w:tcPr>
            <w:tcW w:w="1585" w:type="dxa"/>
          </w:tcPr>
          <w:p w14:paraId="539EAFF8" w14:textId="56A3014B" w:rsidR="00E52AC1" w:rsidRPr="005D0ABA" w:rsidRDefault="00E52AC1" w:rsidP="00E52AC1">
            <w:pPr>
              <w:jc w:val="center"/>
              <w:rPr>
                <w:rFonts w:ascii="Times New Roman" w:hAnsi="Times New Roman" w:cs="Times New Roman"/>
                <w:sz w:val="16"/>
                <w:szCs w:val="16"/>
              </w:rPr>
            </w:pPr>
            <w:r w:rsidRPr="005D0ABA">
              <w:rPr>
                <w:rFonts w:ascii="Times New Roman" w:hAnsi="Times New Roman" w:cs="Times New Roman"/>
                <w:sz w:val="16"/>
                <w:szCs w:val="16"/>
              </w:rPr>
              <w:t>Suprafața</w:t>
            </w:r>
            <w:r w:rsidR="00BA69A9">
              <w:rPr>
                <w:rFonts w:ascii="Times New Roman" w:hAnsi="Times New Roman" w:cs="Times New Roman"/>
                <w:sz w:val="16"/>
                <w:szCs w:val="16"/>
              </w:rPr>
              <w:t xml:space="preserve"> </w:t>
            </w:r>
            <w:r w:rsidRPr="005D0ABA">
              <w:rPr>
                <w:rFonts w:ascii="Times New Roman" w:hAnsi="Times New Roman" w:cs="Times New Roman"/>
                <w:sz w:val="16"/>
                <w:szCs w:val="16"/>
              </w:rPr>
              <w:t>măsurată în perioada auditului</w:t>
            </w:r>
          </w:p>
        </w:tc>
      </w:tr>
      <w:tr w:rsidR="00E52AC1" w:rsidRPr="002E3EC0" w14:paraId="1362F6FF" w14:textId="77777777" w:rsidTr="0034406A">
        <w:trPr>
          <w:trHeight w:val="561"/>
        </w:trPr>
        <w:tc>
          <w:tcPr>
            <w:tcW w:w="562" w:type="dxa"/>
          </w:tcPr>
          <w:p w14:paraId="4C6C5465" w14:textId="77777777" w:rsidR="00E52AC1" w:rsidRPr="005D0ABA" w:rsidRDefault="00E52AC1" w:rsidP="00E52AC1">
            <w:pPr>
              <w:jc w:val="center"/>
              <w:rPr>
                <w:rFonts w:ascii="Times New Roman" w:hAnsi="Times New Roman" w:cs="Times New Roman"/>
                <w:b/>
                <w:sz w:val="20"/>
                <w:szCs w:val="20"/>
              </w:rPr>
            </w:pPr>
            <w:r w:rsidRPr="005D0ABA">
              <w:rPr>
                <w:rFonts w:ascii="Times New Roman" w:hAnsi="Times New Roman" w:cs="Times New Roman"/>
                <w:b/>
                <w:sz w:val="20"/>
                <w:szCs w:val="20"/>
              </w:rPr>
              <w:t>4</w:t>
            </w:r>
          </w:p>
        </w:tc>
        <w:tc>
          <w:tcPr>
            <w:tcW w:w="2694" w:type="dxa"/>
          </w:tcPr>
          <w:p w14:paraId="72EE8E3D" w14:textId="68D89935" w:rsidR="00E52AC1" w:rsidRPr="002E3EC0" w:rsidRDefault="00E52AC1" w:rsidP="000808E0">
            <w:pPr>
              <w:rPr>
                <w:rFonts w:ascii="Times New Roman" w:hAnsi="Times New Roman" w:cs="Times New Roman"/>
                <w:sz w:val="20"/>
                <w:szCs w:val="20"/>
              </w:rPr>
            </w:pPr>
            <w:r w:rsidRPr="002E3EC0">
              <w:rPr>
                <w:rFonts w:ascii="Times New Roman" w:hAnsi="Times New Roman" w:cs="Times New Roman"/>
                <w:sz w:val="20"/>
                <w:szCs w:val="20"/>
              </w:rPr>
              <w:t>Atelier de tâmplărie (î</w:t>
            </w:r>
            <w:r w:rsidR="0034406A">
              <w:rPr>
                <w:rFonts w:ascii="Times New Roman" w:hAnsi="Times New Roman" w:cs="Times New Roman"/>
                <w:sz w:val="20"/>
                <w:szCs w:val="20"/>
              </w:rPr>
              <w:t xml:space="preserve">n evidență copertina la atelier, </w:t>
            </w:r>
            <w:r w:rsidRPr="002E3EC0">
              <w:rPr>
                <w:rFonts w:ascii="Times New Roman" w:hAnsi="Times New Roman" w:cs="Times New Roman"/>
                <w:sz w:val="20"/>
                <w:szCs w:val="20"/>
              </w:rPr>
              <w:t>nr</w:t>
            </w:r>
            <w:r w:rsidR="0034406A">
              <w:rPr>
                <w:rFonts w:ascii="Times New Roman" w:hAnsi="Times New Roman" w:cs="Times New Roman"/>
                <w:sz w:val="20"/>
                <w:szCs w:val="20"/>
              </w:rPr>
              <w:t>.</w:t>
            </w:r>
            <w:r w:rsidRPr="002E3EC0">
              <w:rPr>
                <w:rFonts w:ascii="Times New Roman" w:hAnsi="Times New Roman" w:cs="Times New Roman"/>
                <w:sz w:val="20"/>
                <w:szCs w:val="20"/>
              </w:rPr>
              <w:t xml:space="preserve"> de inv-1100084</w:t>
            </w:r>
            <w:r w:rsidR="0034406A">
              <w:rPr>
                <w:rFonts w:ascii="Times New Roman" w:hAnsi="Times New Roman" w:cs="Times New Roman"/>
                <w:sz w:val="20"/>
                <w:szCs w:val="20"/>
              </w:rPr>
              <w:t>)</w:t>
            </w:r>
          </w:p>
        </w:tc>
        <w:tc>
          <w:tcPr>
            <w:tcW w:w="1506" w:type="dxa"/>
          </w:tcPr>
          <w:p w14:paraId="44D3BB69" w14:textId="127D8EBA" w:rsidR="00E52AC1" w:rsidRPr="002E3EC0" w:rsidRDefault="000808E0" w:rsidP="00E52AC1">
            <w:pPr>
              <w:jc w:val="center"/>
              <w:rPr>
                <w:rFonts w:ascii="Times New Roman" w:hAnsi="Times New Roman" w:cs="Times New Roman"/>
                <w:sz w:val="20"/>
                <w:szCs w:val="20"/>
                <w:lang w:val="ro-RO"/>
              </w:rPr>
            </w:pPr>
            <w:r>
              <w:rPr>
                <w:rFonts w:ascii="Times New Roman" w:hAnsi="Times New Roman" w:cs="Times New Roman"/>
                <w:sz w:val="20"/>
                <w:szCs w:val="20"/>
                <w:lang w:val="ro-RO"/>
              </w:rPr>
              <w:t>-</w:t>
            </w:r>
          </w:p>
        </w:tc>
        <w:tc>
          <w:tcPr>
            <w:tcW w:w="1320" w:type="dxa"/>
          </w:tcPr>
          <w:p w14:paraId="09C991BA" w14:textId="77777777" w:rsidR="00E52AC1" w:rsidRPr="002E3EC0" w:rsidRDefault="00E52AC1"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196</w:t>
            </w:r>
          </w:p>
        </w:tc>
        <w:tc>
          <w:tcPr>
            <w:tcW w:w="1832" w:type="dxa"/>
          </w:tcPr>
          <w:p w14:paraId="14E8333C" w14:textId="77777777" w:rsidR="00E52AC1" w:rsidRPr="002E3EC0" w:rsidRDefault="00E52AC1" w:rsidP="0034406A">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12,5</w:t>
            </w:r>
          </w:p>
        </w:tc>
        <w:tc>
          <w:tcPr>
            <w:tcW w:w="1585" w:type="dxa"/>
          </w:tcPr>
          <w:p w14:paraId="2B025426" w14:textId="0D742191" w:rsidR="00E52AC1" w:rsidRPr="005D0ABA" w:rsidRDefault="00906578" w:rsidP="00E52AC1">
            <w:pPr>
              <w:jc w:val="center"/>
              <w:rPr>
                <w:rFonts w:ascii="Times New Roman" w:hAnsi="Times New Roman" w:cs="Times New Roman"/>
                <w:sz w:val="16"/>
                <w:szCs w:val="16"/>
              </w:rPr>
            </w:pPr>
            <w:r>
              <w:rPr>
                <w:rFonts w:ascii="Times New Roman" w:hAnsi="Times New Roman" w:cs="Times New Roman"/>
                <w:sz w:val="16"/>
                <w:szCs w:val="16"/>
              </w:rPr>
              <w:t>-</w:t>
            </w:r>
          </w:p>
        </w:tc>
      </w:tr>
      <w:tr w:rsidR="009E33A0" w:rsidRPr="002E3EC0" w14:paraId="1368B672" w14:textId="77777777" w:rsidTr="0034406A">
        <w:trPr>
          <w:trHeight w:val="561"/>
        </w:trPr>
        <w:tc>
          <w:tcPr>
            <w:tcW w:w="562" w:type="dxa"/>
          </w:tcPr>
          <w:p w14:paraId="56AA4929" w14:textId="77777777" w:rsidR="009E33A0" w:rsidRPr="005D0ABA" w:rsidRDefault="009E33A0" w:rsidP="009E33A0">
            <w:pPr>
              <w:jc w:val="center"/>
              <w:rPr>
                <w:rFonts w:ascii="Times New Roman" w:hAnsi="Times New Roman" w:cs="Times New Roman"/>
                <w:b/>
                <w:sz w:val="20"/>
                <w:szCs w:val="20"/>
              </w:rPr>
            </w:pPr>
            <w:r w:rsidRPr="005D0ABA">
              <w:rPr>
                <w:rFonts w:ascii="Times New Roman" w:hAnsi="Times New Roman" w:cs="Times New Roman"/>
                <w:b/>
                <w:sz w:val="20"/>
                <w:szCs w:val="20"/>
              </w:rPr>
              <w:t>5</w:t>
            </w:r>
          </w:p>
          <w:p w14:paraId="5DC59065" w14:textId="77777777" w:rsidR="009E33A0" w:rsidRPr="005D0ABA" w:rsidRDefault="009E33A0" w:rsidP="009E33A0">
            <w:pPr>
              <w:pStyle w:val="a7"/>
              <w:rPr>
                <w:rFonts w:cs="Times New Roman"/>
                <w:b/>
                <w:sz w:val="20"/>
                <w:szCs w:val="20"/>
              </w:rPr>
            </w:pPr>
          </w:p>
        </w:tc>
        <w:tc>
          <w:tcPr>
            <w:tcW w:w="2694" w:type="dxa"/>
          </w:tcPr>
          <w:p w14:paraId="09EAAF02" w14:textId="192F5B73" w:rsidR="009E33A0" w:rsidRPr="002E3EC0" w:rsidRDefault="009E33A0" w:rsidP="009E33A0">
            <w:pPr>
              <w:rPr>
                <w:rFonts w:ascii="Times New Roman" w:hAnsi="Times New Roman" w:cs="Times New Roman"/>
                <w:sz w:val="20"/>
                <w:szCs w:val="20"/>
              </w:rPr>
            </w:pPr>
            <w:r w:rsidRPr="002E3EC0">
              <w:rPr>
                <w:rFonts w:ascii="Times New Roman" w:hAnsi="Times New Roman" w:cs="Times New Roman"/>
                <w:sz w:val="20"/>
                <w:szCs w:val="20"/>
              </w:rPr>
              <w:t>Depozit din piatră</w:t>
            </w:r>
            <w:r>
              <w:rPr>
                <w:rFonts w:ascii="Times New Roman" w:hAnsi="Times New Roman" w:cs="Times New Roman"/>
                <w:sz w:val="20"/>
                <w:szCs w:val="20"/>
              </w:rPr>
              <w:t xml:space="preserve"> (</w:t>
            </w:r>
            <w:r w:rsidRPr="002E3EC0">
              <w:rPr>
                <w:rFonts w:ascii="Times New Roman" w:hAnsi="Times New Roman" w:cs="Times New Roman"/>
                <w:sz w:val="20"/>
                <w:szCs w:val="20"/>
              </w:rPr>
              <w:t>1000098</w:t>
            </w:r>
            <w:r>
              <w:rPr>
                <w:rFonts w:ascii="Times New Roman" w:hAnsi="Times New Roman" w:cs="Times New Roman"/>
                <w:sz w:val="20"/>
                <w:szCs w:val="20"/>
              </w:rPr>
              <w:t>)</w:t>
            </w:r>
          </w:p>
        </w:tc>
        <w:tc>
          <w:tcPr>
            <w:tcW w:w="1506" w:type="dxa"/>
          </w:tcPr>
          <w:p w14:paraId="0B48A0B1" w14:textId="77777777" w:rsidR="009E33A0" w:rsidRPr="002E3EC0" w:rsidRDefault="009E33A0" w:rsidP="009E33A0">
            <w:pPr>
              <w:jc w:val="center"/>
              <w:rPr>
                <w:rFonts w:ascii="Times New Roman" w:hAnsi="Times New Roman" w:cs="Times New Roman"/>
                <w:sz w:val="20"/>
                <w:szCs w:val="20"/>
                <w:lang w:val="ro-RO"/>
              </w:rPr>
            </w:pPr>
            <w:r>
              <w:rPr>
                <w:rFonts w:ascii="Times New Roman" w:hAnsi="Times New Roman" w:cs="Times New Roman"/>
                <w:sz w:val="20"/>
                <w:szCs w:val="20"/>
                <w:lang w:val="ro-RO"/>
              </w:rPr>
              <w:t xml:space="preserve">Str. </w:t>
            </w:r>
            <w:r w:rsidRPr="002E3EC0">
              <w:rPr>
                <w:rFonts w:ascii="Times New Roman" w:hAnsi="Times New Roman" w:cs="Times New Roman"/>
                <w:sz w:val="20"/>
                <w:szCs w:val="20"/>
                <w:lang w:val="ro-RO"/>
              </w:rPr>
              <w:t xml:space="preserve">Bucuriei </w:t>
            </w:r>
            <w:r>
              <w:rPr>
                <w:rFonts w:ascii="Times New Roman" w:hAnsi="Times New Roman" w:cs="Times New Roman"/>
                <w:sz w:val="20"/>
                <w:szCs w:val="20"/>
                <w:lang w:val="ro-RO"/>
              </w:rPr>
              <w:t xml:space="preserve">nr. </w:t>
            </w:r>
            <w:r w:rsidRPr="002E3EC0">
              <w:rPr>
                <w:rFonts w:ascii="Times New Roman" w:hAnsi="Times New Roman" w:cs="Times New Roman"/>
                <w:sz w:val="20"/>
                <w:szCs w:val="20"/>
                <w:lang w:val="ro-RO"/>
              </w:rPr>
              <w:t>18 A</w:t>
            </w:r>
          </w:p>
        </w:tc>
        <w:tc>
          <w:tcPr>
            <w:tcW w:w="1320" w:type="dxa"/>
          </w:tcPr>
          <w:p w14:paraId="7C496C48"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29,26</w:t>
            </w:r>
          </w:p>
        </w:tc>
        <w:tc>
          <w:tcPr>
            <w:tcW w:w="1832" w:type="dxa"/>
          </w:tcPr>
          <w:p w14:paraId="27CBF906"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 xml:space="preserve"> 24,7</w:t>
            </w:r>
          </w:p>
        </w:tc>
        <w:tc>
          <w:tcPr>
            <w:tcW w:w="1585" w:type="dxa"/>
          </w:tcPr>
          <w:p w14:paraId="571D2030" w14:textId="5D754E1A" w:rsidR="009E33A0" w:rsidRPr="005D0ABA" w:rsidRDefault="009E33A0" w:rsidP="009E33A0">
            <w:pPr>
              <w:jc w:val="center"/>
              <w:rPr>
                <w:rFonts w:ascii="Times New Roman" w:hAnsi="Times New Roman" w:cs="Times New Roman"/>
                <w:sz w:val="16"/>
                <w:szCs w:val="16"/>
              </w:rPr>
            </w:pPr>
            <w:r w:rsidRPr="005D0ABA">
              <w:rPr>
                <w:rFonts w:ascii="Times New Roman" w:hAnsi="Times New Roman" w:cs="Times New Roman"/>
                <w:sz w:val="16"/>
                <w:szCs w:val="16"/>
              </w:rPr>
              <w:t>Suprafața</w:t>
            </w:r>
            <w:r>
              <w:rPr>
                <w:rFonts w:ascii="Times New Roman" w:hAnsi="Times New Roman" w:cs="Times New Roman"/>
                <w:sz w:val="16"/>
                <w:szCs w:val="16"/>
              </w:rPr>
              <w:t xml:space="preserve"> </w:t>
            </w:r>
            <w:r w:rsidRPr="005D0ABA">
              <w:rPr>
                <w:rFonts w:ascii="Times New Roman" w:hAnsi="Times New Roman" w:cs="Times New Roman"/>
                <w:sz w:val="16"/>
                <w:szCs w:val="16"/>
              </w:rPr>
              <w:t>măsurată în perioada auditului</w:t>
            </w:r>
          </w:p>
        </w:tc>
      </w:tr>
      <w:tr w:rsidR="00E52AC1" w:rsidRPr="002E3EC0" w14:paraId="4D27212E" w14:textId="77777777" w:rsidTr="0034406A">
        <w:trPr>
          <w:trHeight w:val="561"/>
        </w:trPr>
        <w:tc>
          <w:tcPr>
            <w:tcW w:w="562" w:type="dxa"/>
          </w:tcPr>
          <w:p w14:paraId="332BE132" w14:textId="77777777" w:rsidR="00E52AC1" w:rsidRPr="005D0ABA" w:rsidRDefault="00E52AC1" w:rsidP="00E52AC1">
            <w:pPr>
              <w:jc w:val="center"/>
              <w:rPr>
                <w:rFonts w:ascii="Times New Roman" w:hAnsi="Times New Roman" w:cs="Times New Roman"/>
                <w:b/>
                <w:sz w:val="20"/>
                <w:szCs w:val="20"/>
              </w:rPr>
            </w:pPr>
            <w:r w:rsidRPr="005D0ABA">
              <w:rPr>
                <w:rFonts w:ascii="Times New Roman" w:hAnsi="Times New Roman" w:cs="Times New Roman"/>
                <w:b/>
                <w:sz w:val="20"/>
                <w:szCs w:val="20"/>
              </w:rPr>
              <w:t>6</w:t>
            </w:r>
          </w:p>
          <w:p w14:paraId="356B1454" w14:textId="77777777" w:rsidR="00E52AC1" w:rsidRPr="005D0ABA" w:rsidRDefault="00E52AC1" w:rsidP="00E52AC1">
            <w:pPr>
              <w:pStyle w:val="a7"/>
              <w:ind w:left="752"/>
              <w:rPr>
                <w:rFonts w:cs="Times New Roman"/>
                <w:b/>
                <w:sz w:val="20"/>
                <w:szCs w:val="20"/>
              </w:rPr>
            </w:pPr>
          </w:p>
        </w:tc>
        <w:tc>
          <w:tcPr>
            <w:tcW w:w="2694" w:type="dxa"/>
          </w:tcPr>
          <w:p w14:paraId="67F7BA32" w14:textId="736AECF4" w:rsidR="00E52AC1" w:rsidRPr="002E3EC0" w:rsidRDefault="00E52AC1" w:rsidP="000808E0">
            <w:pPr>
              <w:rPr>
                <w:rFonts w:ascii="Times New Roman" w:hAnsi="Times New Roman" w:cs="Times New Roman"/>
                <w:sz w:val="20"/>
                <w:szCs w:val="20"/>
              </w:rPr>
            </w:pPr>
            <w:r w:rsidRPr="002E3EC0">
              <w:rPr>
                <w:rFonts w:ascii="Times New Roman" w:hAnsi="Times New Roman" w:cs="Times New Roman"/>
                <w:sz w:val="20"/>
                <w:szCs w:val="20"/>
              </w:rPr>
              <w:t>Atelier pentru confecționarea articolelor din metal</w:t>
            </w:r>
            <w:r w:rsidR="0034406A">
              <w:rPr>
                <w:rFonts w:ascii="Times New Roman" w:hAnsi="Times New Roman" w:cs="Times New Roman"/>
                <w:sz w:val="20"/>
                <w:szCs w:val="20"/>
              </w:rPr>
              <w:t>,</w:t>
            </w:r>
          </w:p>
          <w:p w14:paraId="25AF0EA5" w14:textId="26E57DA6" w:rsidR="00E52AC1" w:rsidRPr="002E3EC0" w:rsidRDefault="0034406A" w:rsidP="000808E0">
            <w:pPr>
              <w:rPr>
                <w:rFonts w:ascii="Times New Roman" w:hAnsi="Times New Roman" w:cs="Times New Roman"/>
                <w:sz w:val="20"/>
                <w:szCs w:val="20"/>
              </w:rPr>
            </w:pPr>
            <w:r>
              <w:rPr>
                <w:rFonts w:ascii="Times New Roman" w:hAnsi="Times New Roman" w:cs="Times New Roman"/>
                <w:sz w:val="20"/>
                <w:szCs w:val="20"/>
              </w:rPr>
              <w:t>n</w:t>
            </w:r>
            <w:r w:rsidR="00E52AC1" w:rsidRPr="002E3EC0">
              <w:rPr>
                <w:rFonts w:ascii="Times New Roman" w:hAnsi="Times New Roman" w:cs="Times New Roman"/>
                <w:sz w:val="20"/>
                <w:szCs w:val="20"/>
              </w:rPr>
              <w:t>r in-1000140</w:t>
            </w:r>
          </w:p>
        </w:tc>
        <w:tc>
          <w:tcPr>
            <w:tcW w:w="1506" w:type="dxa"/>
          </w:tcPr>
          <w:p w14:paraId="47D19ACB" w14:textId="5A5A3D38" w:rsidR="00E52AC1" w:rsidRPr="002E3EC0" w:rsidRDefault="0034406A" w:rsidP="00E52AC1">
            <w:pPr>
              <w:jc w:val="center"/>
              <w:rPr>
                <w:rFonts w:ascii="Times New Roman" w:hAnsi="Times New Roman" w:cs="Times New Roman"/>
                <w:sz w:val="20"/>
                <w:szCs w:val="20"/>
                <w:lang w:val="ro-RO"/>
              </w:rPr>
            </w:pPr>
            <w:r>
              <w:rPr>
                <w:rFonts w:ascii="Times New Roman" w:hAnsi="Times New Roman" w:cs="Times New Roman"/>
                <w:sz w:val="20"/>
                <w:szCs w:val="20"/>
                <w:lang w:val="ro-RO"/>
              </w:rPr>
              <w:t>-</w:t>
            </w:r>
          </w:p>
        </w:tc>
        <w:tc>
          <w:tcPr>
            <w:tcW w:w="1320" w:type="dxa"/>
          </w:tcPr>
          <w:p w14:paraId="4F2C4931" w14:textId="77777777" w:rsidR="00E52AC1" w:rsidRPr="002E3EC0" w:rsidRDefault="00E52AC1" w:rsidP="009E33A0">
            <w:pPr>
              <w:jc w:val="right"/>
              <w:rPr>
                <w:rFonts w:ascii="Times New Roman" w:hAnsi="Times New Roman" w:cs="Times New Roman"/>
                <w:sz w:val="20"/>
                <w:szCs w:val="20"/>
                <w:lang w:val="ro-RO"/>
              </w:rPr>
            </w:pPr>
            <w:r>
              <w:rPr>
                <w:rFonts w:ascii="Times New Roman" w:hAnsi="Times New Roman" w:cs="Times New Roman"/>
                <w:sz w:val="20"/>
                <w:szCs w:val="20"/>
                <w:lang w:val="ro-RO"/>
              </w:rPr>
              <w:t xml:space="preserve"> 52</w:t>
            </w:r>
          </w:p>
        </w:tc>
        <w:tc>
          <w:tcPr>
            <w:tcW w:w="1832" w:type="dxa"/>
          </w:tcPr>
          <w:p w14:paraId="7100C8C5" w14:textId="77777777" w:rsidR="00E52AC1" w:rsidRPr="002E3EC0" w:rsidRDefault="00E52AC1" w:rsidP="0034406A">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38,6</w:t>
            </w:r>
          </w:p>
        </w:tc>
        <w:tc>
          <w:tcPr>
            <w:tcW w:w="1585" w:type="dxa"/>
          </w:tcPr>
          <w:p w14:paraId="462323F4" w14:textId="3E4E14CB" w:rsidR="00E52AC1" w:rsidRPr="005D0ABA" w:rsidRDefault="00906578" w:rsidP="00E52AC1">
            <w:pPr>
              <w:jc w:val="center"/>
              <w:rPr>
                <w:rFonts w:ascii="Times New Roman" w:hAnsi="Times New Roman" w:cs="Times New Roman"/>
                <w:sz w:val="16"/>
                <w:szCs w:val="16"/>
              </w:rPr>
            </w:pPr>
            <w:r>
              <w:rPr>
                <w:rFonts w:ascii="Times New Roman" w:hAnsi="Times New Roman" w:cs="Times New Roman"/>
                <w:sz w:val="16"/>
                <w:szCs w:val="16"/>
              </w:rPr>
              <w:t>-</w:t>
            </w:r>
          </w:p>
        </w:tc>
      </w:tr>
      <w:tr w:rsidR="00E52AC1" w:rsidRPr="002E3EC0" w14:paraId="6E3D1E03" w14:textId="77777777" w:rsidTr="0034406A">
        <w:trPr>
          <w:trHeight w:val="561"/>
        </w:trPr>
        <w:tc>
          <w:tcPr>
            <w:tcW w:w="562" w:type="dxa"/>
          </w:tcPr>
          <w:p w14:paraId="7130BDDF" w14:textId="77777777" w:rsidR="00E52AC1" w:rsidRPr="005D0ABA" w:rsidRDefault="00E52AC1" w:rsidP="00E52AC1">
            <w:pPr>
              <w:jc w:val="center"/>
              <w:rPr>
                <w:rFonts w:ascii="Times New Roman" w:hAnsi="Times New Roman" w:cs="Times New Roman"/>
                <w:b/>
                <w:sz w:val="20"/>
                <w:szCs w:val="20"/>
              </w:rPr>
            </w:pPr>
            <w:r w:rsidRPr="005D0ABA">
              <w:rPr>
                <w:rFonts w:ascii="Times New Roman" w:hAnsi="Times New Roman" w:cs="Times New Roman"/>
                <w:b/>
                <w:sz w:val="20"/>
                <w:szCs w:val="20"/>
              </w:rPr>
              <w:t>7</w:t>
            </w:r>
          </w:p>
          <w:p w14:paraId="75F0FDE2" w14:textId="77777777" w:rsidR="00E52AC1" w:rsidRPr="005D0ABA" w:rsidRDefault="00E52AC1" w:rsidP="00E52AC1">
            <w:pPr>
              <w:pStyle w:val="a7"/>
              <w:ind w:left="752"/>
              <w:rPr>
                <w:rFonts w:cs="Times New Roman"/>
                <w:b/>
                <w:sz w:val="20"/>
                <w:szCs w:val="20"/>
              </w:rPr>
            </w:pPr>
          </w:p>
        </w:tc>
        <w:tc>
          <w:tcPr>
            <w:tcW w:w="2694" w:type="dxa"/>
          </w:tcPr>
          <w:p w14:paraId="3948BA44" w14:textId="73F89439" w:rsidR="00E52AC1" w:rsidRPr="002E3EC0" w:rsidRDefault="00E52AC1" w:rsidP="000808E0">
            <w:pPr>
              <w:rPr>
                <w:rFonts w:ascii="Times New Roman" w:hAnsi="Times New Roman" w:cs="Times New Roman"/>
                <w:sz w:val="20"/>
                <w:szCs w:val="20"/>
              </w:rPr>
            </w:pPr>
            <w:r w:rsidRPr="002E3EC0">
              <w:rPr>
                <w:rFonts w:ascii="Times New Roman" w:hAnsi="Times New Roman" w:cs="Times New Roman"/>
                <w:sz w:val="20"/>
                <w:szCs w:val="20"/>
              </w:rPr>
              <w:t>Depozit din piatră pentru păstrarea combustibilului</w:t>
            </w:r>
            <w:r w:rsidR="0034406A">
              <w:rPr>
                <w:rFonts w:ascii="Times New Roman" w:hAnsi="Times New Roman" w:cs="Times New Roman"/>
                <w:sz w:val="20"/>
                <w:szCs w:val="20"/>
              </w:rPr>
              <w:t>,</w:t>
            </w:r>
            <w:r>
              <w:rPr>
                <w:rFonts w:ascii="Times New Roman" w:hAnsi="Times New Roman" w:cs="Times New Roman"/>
                <w:sz w:val="20"/>
                <w:szCs w:val="20"/>
              </w:rPr>
              <w:t xml:space="preserve"> </w:t>
            </w:r>
            <w:r w:rsidRPr="002E3EC0">
              <w:rPr>
                <w:rFonts w:ascii="Times New Roman" w:hAnsi="Times New Roman" w:cs="Times New Roman"/>
                <w:sz w:val="20"/>
                <w:szCs w:val="20"/>
              </w:rPr>
              <w:t>nr</w:t>
            </w:r>
            <w:r w:rsidR="0034406A">
              <w:rPr>
                <w:rFonts w:ascii="Times New Roman" w:hAnsi="Times New Roman" w:cs="Times New Roman"/>
                <w:sz w:val="20"/>
                <w:szCs w:val="20"/>
              </w:rPr>
              <w:t>.</w:t>
            </w:r>
            <w:r w:rsidRPr="002E3EC0">
              <w:rPr>
                <w:rFonts w:ascii="Times New Roman" w:hAnsi="Times New Roman" w:cs="Times New Roman"/>
                <w:sz w:val="20"/>
                <w:szCs w:val="20"/>
              </w:rPr>
              <w:t xml:space="preserve"> inv-01000143</w:t>
            </w:r>
          </w:p>
        </w:tc>
        <w:tc>
          <w:tcPr>
            <w:tcW w:w="1506" w:type="dxa"/>
          </w:tcPr>
          <w:p w14:paraId="361EA396" w14:textId="1DCE8F6F" w:rsidR="00E52AC1" w:rsidRPr="002E3EC0" w:rsidRDefault="0034406A" w:rsidP="00E52AC1">
            <w:pPr>
              <w:jc w:val="center"/>
              <w:rPr>
                <w:rFonts w:ascii="Times New Roman" w:hAnsi="Times New Roman" w:cs="Times New Roman"/>
                <w:sz w:val="20"/>
                <w:szCs w:val="20"/>
              </w:rPr>
            </w:pPr>
            <w:r>
              <w:rPr>
                <w:rFonts w:ascii="Times New Roman" w:hAnsi="Times New Roman" w:cs="Times New Roman"/>
                <w:sz w:val="20"/>
                <w:szCs w:val="20"/>
              </w:rPr>
              <w:t>-</w:t>
            </w:r>
          </w:p>
        </w:tc>
        <w:tc>
          <w:tcPr>
            <w:tcW w:w="1320" w:type="dxa"/>
          </w:tcPr>
          <w:p w14:paraId="50768603" w14:textId="77777777" w:rsidR="00E52AC1" w:rsidRPr="002E3EC0" w:rsidRDefault="00E52AC1" w:rsidP="009E33A0">
            <w:pPr>
              <w:jc w:val="right"/>
              <w:rPr>
                <w:rFonts w:ascii="Times New Roman" w:hAnsi="Times New Roman" w:cs="Times New Roman"/>
                <w:sz w:val="20"/>
                <w:szCs w:val="20"/>
                <w:lang w:val="ro-RO"/>
              </w:rPr>
            </w:pPr>
            <w:r>
              <w:rPr>
                <w:rFonts w:ascii="Times New Roman" w:hAnsi="Times New Roman" w:cs="Times New Roman"/>
                <w:sz w:val="20"/>
                <w:szCs w:val="20"/>
                <w:lang w:val="ro-RO"/>
              </w:rPr>
              <w:t>63</w:t>
            </w:r>
          </w:p>
        </w:tc>
        <w:tc>
          <w:tcPr>
            <w:tcW w:w="1832" w:type="dxa"/>
          </w:tcPr>
          <w:p w14:paraId="6DFFF6BB" w14:textId="77777777" w:rsidR="00E52AC1" w:rsidRPr="002E3EC0" w:rsidRDefault="00E52AC1" w:rsidP="0034406A">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10,0</w:t>
            </w:r>
          </w:p>
        </w:tc>
        <w:tc>
          <w:tcPr>
            <w:tcW w:w="1585" w:type="dxa"/>
          </w:tcPr>
          <w:p w14:paraId="0FA95561" w14:textId="520BA7DF" w:rsidR="00E52AC1" w:rsidRPr="005D0ABA" w:rsidRDefault="00906578" w:rsidP="00E52AC1">
            <w:pPr>
              <w:jc w:val="center"/>
              <w:rPr>
                <w:rFonts w:ascii="Times New Roman" w:hAnsi="Times New Roman" w:cs="Times New Roman"/>
                <w:sz w:val="16"/>
                <w:szCs w:val="16"/>
              </w:rPr>
            </w:pPr>
            <w:r>
              <w:rPr>
                <w:rFonts w:ascii="Times New Roman" w:hAnsi="Times New Roman" w:cs="Times New Roman"/>
                <w:sz w:val="16"/>
                <w:szCs w:val="16"/>
              </w:rPr>
              <w:t>-</w:t>
            </w:r>
          </w:p>
        </w:tc>
      </w:tr>
      <w:tr w:rsidR="009E33A0" w:rsidRPr="002E3EC0" w14:paraId="360AA2C1" w14:textId="77777777" w:rsidTr="0034406A">
        <w:trPr>
          <w:trHeight w:val="561"/>
        </w:trPr>
        <w:tc>
          <w:tcPr>
            <w:tcW w:w="562" w:type="dxa"/>
          </w:tcPr>
          <w:p w14:paraId="39B546A3" w14:textId="77777777" w:rsidR="009E33A0" w:rsidRPr="005D0ABA" w:rsidRDefault="009E33A0" w:rsidP="009E33A0">
            <w:pPr>
              <w:jc w:val="center"/>
              <w:rPr>
                <w:rFonts w:ascii="Times New Roman" w:hAnsi="Times New Roman" w:cs="Times New Roman"/>
                <w:b/>
                <w:sz w:val="20"/>
                <w:szCs w:val="20"/>
              </w:rPr>
            </w:pPr>
            <w:r w:rsidRPr="005D0ABA">
              <w:rPr>
                <w:rFonts w:ascii="Times New Roman" w:hAnsi="Times New Roman" w:cs="Times New Roman"/>
                <w:b/>
                <w:sz w:val="20"/>
                <w:szCs w:val="20"/>
              </w:rPr>
              <w:t>8</w:t>
            </w:r>
          </w:p>
          <w:p w14:paraId="7A63A444" w14:textId="77777777" w:rsidR="009E33A0" w:rsidRPr="005D0ABA" w:rsidRDefault="009E33A0" w:rsidP="009E33A0">
            <w:pPr>
              <w:pStyle w:val="a7"/>
              <w:ind w:left="752"/>
              <w:rPr>
                <w:rFonts w:cs="Times New Roman"/>
                <w:b/>
                <w:sz w:val="20"/>
                <w:szCs w:val="20"/>
              </w:rPr>
            </w:pPr>
          </w:p>
        </w:tc>
        <w:tc>
          <w:tcPr>
            <w:tcW w:w="2694" w:type="dxa"/>
          </w:tcPr>
          <w:p w14:paraId="5BA1C8BA" w14:textId="6A63266E" w:rsidR="009E33A0" w:rsidRPr="002E3EC0" w:rsidRDefault="009E33A0" w:rsidP="009E33A0">
            <w:pPr>
              <w:rPr>
                <w:rFonts w:ascii="Times New Roman" w:hAnsi="Times New Roman" w:cs="Times New Roman"/>
                <w:sz w:val="20"/>
                <w:szCs w:val="20"/>
              </w:rPr>
            </w:pPr>
            <w:r w:rsidRPr="002E3EC0">
              <w:rPr>
                <w:rFonts w:ascii="Times New Roman" w:hAnsi="Times New Roman" w:cs="Times New Roman"/>
                <w:sz w:val="20"/>
                <w:szCs w:val="20"/>
              </w:rPr>
              <w:t>Depozit pentru păstrarea carbidul</w:t>
            </w:r>
            <w:r>
              <w:rPr>
                <w:rFonts w:ascii="Times New Roman" w:hAnsi="Times New Roman" w:cs="Times New Roman"/>
                <w:sz w:val="20"/>
                <w:szCs w:val="20"/>
              </w:rPr>
              <w:t xml:space="preserve">ui </w:t>
            </w:r>
            <w:r w:rsidRPr="002E3EC0">
              <w:rPr>
                <w:rFonts w:ascii="Times New Roman" w:hAnsi="Times New Roman" w:cs="Times New Roman"/>
                <w:sz w:val="20"/>
                <w:szCs w:val="20"/>
              </w:rPr>
              <w:t>și oxigen</w:t>
            </w:r>
            <w:r>
              <w:rPr>
                <w:rFonts w:ascii="Times New Roman" w:hAnsi="Times New Roman" w:cs="Times New Roman"/>
                <w:sz w:val="20"/>
                <w:szCs w:val="20"/>
              </w:rPr>
              <w:t xml:space="preserve">ului, nr. </w:t>
            </w:r>
            <w:r w:rsidRPr="002E3EC0">
              <w:rPr>
                <w:rFonts w:ascii="Times New Roman" w:hAnsi="Times New Roman" w:cs="Times New Roman"/>
                <w:sz w:val="20"/>
                <w:szCs w:val="20"/>
              </w:rPr>
              <w:t>inv-01000144</w:t>
            </w:r>
          </w:p>
        </w:tc>
        <w:tc>
          <w:tcPr>
            <w:tcW w:w="1506" w:type="dxa"/>
          </w:tcPr>
          <w:p w14:paraId="689E6381" w14:textId="127B0FCD" w:rsidR="009E33A0" w:rsidRPr="002E3EC0" w:rsidRDefault="009E33A0" w:rsidP="009E33A0">
            <w:pPr>
              <w:jc w:val="center"/>
              <w:rPr>
                <w:rFonts w:ascii="Times New Roman" w:hAnsi="Times New Roman" w:cs="Times New Roman"/>
                <w:sz w:val="20"/>
                <w:szCs w:val="20"/>
              </w:rPr>
            </w:pPr>
            <w:r>
              <w:rPr>
                <w:rFonts w:ascii="Times New Roman" w:hAnsi="Times New Roman" w:cs="Times New Roman"/>
                <w:sz w:val="20"/>
                <w:szCs w:val="20"/>
              </w:rPr>
              <w:t>-</w:t>
            </w:r>
          </w:p>
        </w:tc>
        <w:tc>
          <w:tcPr>
            <w:tcW w:w="1320" w:type="dxa"/>
          </w:tcPr>
          <w:p w14:paraId="1F5C4733"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176,13</w:t>
            </w:r>
          </w:p>
        </w:tc>
        <w:tc>
          <w:tcPr>
            <w:tcW w:w="1832" w:type="dxa"/>
          </w:tcPr>
          <w:p w14:paraId="32242241"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16,6</w:t>
            </w:r>
          </w:p>
        </w:tc>
        <w:tc>
          <w:tcPr>
            <w:tcW w:w="1585" w:type="dxa"/>
          </w:tcPr>
          <w:p w14:paraId="2F42F054" w14:textId="11EB3877" w:rsidR="009E33A0" w:rsidRPr="005D0ABA" w:rsidRDefault="009E33A0" w:rsidP="009E33A0">
            <w:pPr>
              <w:jc w:val="center"/>
              <w:rPr>
                <w:rFonts w:ascii="Times New Roman" w:hAnsi="Times New Roman" w:cs="Times New Roman"/>
                <w:sz w:val="16"/>
                <w:szCs w:val="16"/>
              </w:rPr>
            </w:pPr>
            <w:r w:rsidRPr="005D0ABA">
              <w:rPr>
                <w:rFonts w:ascii="Times New Roman" w:hAnsi="Times New Roman" w:cs="Times New Roman"/>
                <w:sz w:val="16"/>
                <w:szCs w:val="16"/>
              </w:rPr>
              <w:t>Suprafața</w:t>
            </w:r>
            <w:r>
              <w:rPr>
                <w:rFonts w:ascii="Times New Roman" w:hAnsi="Times New Roman" w:cs="Times New Roman"/>
                <w:sz w:val="16"/>
                <w:szCs w:val="16"/>
              </w:rPr>
              <w:t xml:space="preserve"> </w:t>
            </w:r>
            <w:r w:rsidRPr="005D0ABA">
              <w:rPr>
                <w:rFonts w:ascii="Times New Roman" w:hAnsi="Times New Roman" w:cs="Times New Roman"/>
                <w:sz w:val="16"/>
                <w:szCs w:val="16"/>
              </w:rPr>
              <w:t>măsurată în perioada auditului</w:t>
            </w:r>
          </w:p>
        </w:tc>
      </w:tr>
      <w:tr w:rsidR="00E52AC1" w:rsidRPr="002E3EC0" w14:paraId="32461F30" w14:textId="77777777" w:rsidTr="0034406A">
        <w:trPr>
          <w:trHeight w:val="379"/>
        </w:trPr>
        <w:tc>
          <w:tcPr>
            <w:tcW w:w="562" w:type="dxa"/>
          </w:tcPr>
          <w:p w14:paraId="51129097" w14:textId="77777777" w:rsidR="00E52AC1" w:rsidRPr="005D0ABA" w:rsidRDefault="00E52AC1" w:rsidP="00E52AC1">
            <w:pPr>
              <w:jc w:val="center"/>
              <w:rPr>
                <w:rFonts w:ascii="Times New Roman" w:hAnsi="Times New Roman" w:cs="Times New Roman"/>
                <w:b/>
                <w:sz w:val="20"/>
                <w:szCs w:val="20"/>
              </w:rPr>
            </w:pPr>
            <w:r w:rsidRPr="005D0ABA">
              <w:rPr>
                <w:rFonts w:ascii="Times New Roman" w:hAnsi="Times New Roman" w:cs="Times New Roman"/>
                <w:b/>
                <w:sz w:val="20"/>
                <w:szCs w:val="20"/>
              </w:rPr>
              <w:t>9</w:t>
            </w:r>
          </w:p>
          <w:p w14:paraId="5041DFD3" w14:textId="77777777" w:rsidR="00E52AC1" w:rsidRPr="005D0ABA" w:rsidRDefault="00E52AC1" w:rsidP="00E52AC1">
            <w:pPr>
              <w:pStyle w:val="a7"/>
              <w:ind w:left="752"/>
              <w:jc w:val="center"/>
              <w:rPr>
                <w:rFonts w:cs="Times New Roman"/>
                <w:b/>
                <w:sz w:val="20"/>
                <w:szCs w:val="20"/>
              </w:rPr>
            </w:pPr>
          </w:p>
        </w:tc>
        <w:tc>
          <w:tcPr>
            <w:tcW w:w="2694" w:type="dxa"/>
          </w:tcPr>
          <w:p w14:paraId="0A347BDF" w14:textId="7971A34E" w:rsidR="00E52AC1" w:rsidRPr="002E3EC0" w:rsidRDefault="00E52AC1" w:rsidP="000808E0">
            <w:pPr>
              <w:rPr>
                <w:rFonts w:ascii="Times New Roman" w:hAnsi="Times New Roman" w:cs="Times New Roman"/>
                <w:sz w:val="20"/>
                <w:szCs w:val="20"/>
              </w:rPr>
            </w:pPr>
            <w:r w:rsidRPr="002E3EC0">
              <w:rPr>
                <w:rFonts w:ascii="Times New Roman" w:hAnsi="Times New Roman" w:cs="Times New Roman"/>
                <w:sz w:val="20"/>
                <w:szCs w:val="20"/>
              </w:rPr>
              <w:t>Depozit nr</w:t>
            </w:r>
            <w:r w:rsidR="0034406A">
              <w:rPr>
                <w:rFonts w:ascii="Times New Roman" w:hAnsi="Times New Roman" w:cs="Times New Roman"/>
                <w:sz w:val="20"/>
                <w:szCs w:val="20"/>
              </w:rPr>
              <w:t>.</w:t>
            </w:r>
            <w:r w:rsidRPr="002E3EC0">
              <w:rPr>
                <w:rFonts w:ascii="Times New Roman" w:hAnsi="Times New Roman" w:cs="Times New Roman"/>
                <w:sz w:val="20"/>
                <w:szCs w:val="20"/>
              </w:rPr>
              <w:t xml:space="preserve"> 2</w:t>
            </w:r>
            <w:r w:rsidR="0034406A">
              <w:rPr>
                <w:rFonts w:ascii="Times New Roman" w:hAnsi="Times New Roman" w:cs="Times New Roman"/>
                <w:sz w:val="20"/>
                <w:szCs w:val="20"/>
              </w:rPr>
              <w:t>,</w:t>
            </w:r>
            <w:r w:rsidRPr="002E3EC0">
              <w:rPr>
                <w:rFonts w:ascii="Times New Roman" w:hAnsi="Times New Roman" w:cs="Times New Roman"/>
                <w:sz w:val="20"/>
                <w:szCs w:val="20"/>
              </w:rPr>
              <w:t xml:space="preserve"> nr de inv-1000147</w:t>
            </w:r>
          </w:p>
        </w:tc>
        <w:tc>
          <w:tcPr>
            <w:tcW w:w="1506" w:type="dxa"/>
          </w:tcPr>
          <w:p w14:paraId="1A80C1CD" w14:textId="339A9077" w:rsidR="00E52AC1" w:rsidRPr="002E3EC0" w:rsidRDefault="0034406A" w:rsidP="0034406A">
            <w:pPr>
              <w:jc w:val="center"/>
              <w:rPr>
                <w:rFonts w:ascii="Times New Roman" w:hAnsi="Times New Roman" w:cs="Times New Roman"/>
                <w:sz w:val="20"/>
                <w:szCs w:val="20"/>
              </w:rPr>
            </w:pPr>
            <w:r>
              <w:rPr>
                <w:rFonts w:ascii="Times New Roman" w:hAnsi="Times New Roman" w:cs="Times New Roman"/>
                <w:sz w:val="20"/>
                <w:szCs w:val="20"/>
              </w:rPr>
              <w:t>-</w:t>
            </w:r>
          </w:p>
        </w:tc>
        <w:tc>
          <w:tcPr>
            <w:tcW w:w="1320" w:type="dxa"/>
          </w:tcPr>
          <w:p w14:paraId="58979A41" w14:textId="77777777" w:rsidR="00E52AC1" w:rsidRPr="002E3EC0" w:rsidRDefault="00E52AC1"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119,6</w:t>
            </w:r>
          </w:p>
        </w:tc>
        <w:tc>
          <w:tcPr>
            <w:tcW w:w="1832" w:type="dxa"/>
          </w:tcPr>
          <w:p w14:paraId="4B05A613" w14:textId="77777777" w:rsidR="00E52AC1" w:rsidRPr="002E3EC0" w:rsidRDefault="00E52AC1" w:rsidP="0034406A">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351,7</w:t>
            </w:r>
          </w:p>
        </w:tc>
        <w:tc>
          <w:tcPr>
            <w:tcW w:w="1585" w:type="dxa"/>
          </w:tcPr>
          <w:p w14:paraId="32C10769" w14:textId="37381BBE" w:rsidR="00E52AC1" w:rsidRPr="005D0ABA" w:rsidRDefault="00906578" w:rsidP="00E52AC1">
            <w:pPr>
              <w:jc w:val="center"/>
              <w:rPr>
                <w:rFonts w:ascii="Times New Roman" w:hAnsi="Times New Roman" w:cs="Times New Roman"/>
                <w:sz w:val="16"/>
                <w:szCs w:val="16"/>
              </w:rPr>
            </w:pPr>
            <w:r>
              <w:rPr>
                <w:rFonts w:ascii="Times New Roman" w:hAnsi="Times New Roman" w:cs="Times New Roman"/>
                <w:sz w:val="16"/>
                <w:szCs w:val="16"/>
              </w:rPr>
              <w:t>-</w:t>
            </w:r>
          </w:p>
        </w:tc>
      </w:tr>
      <w:tr w:rsidR="00E52AC1" w:rsidRPr="002E3EC0" w14:paraId="6C99A5F0" w14:textId="77777777" w:rsidTr="0034406A">
        <w:trPr>
          <w:trHeight w:val="379"/>
        </w:trPr>
        <w:tc>
          <w:tcPr>
            <w:tcW w:w="562" w:type="dxa"/>
          </w:tcPr>
          <w:p w14:paraId="47273853" w14:textId="77777777" w:rsidR="00E52AC1" w:rsidRPr="005D0ABA" w:rsidRDefault="00E52AC1" w:rsidP="00E52AC1">
            <w:pPr>
              <w:jc w:val="center"/>
              <w:rPr>
                <w:rFonts w:ascii="Times New Roman" w:hAnsi="Times New Roman" w:cs="Times New Roman"/>
                <w:b/>
                <w:sz w:val="20"/>
                <w:szCs w:val="20"/>
              </w:rPr>
            </w:pPr>
            <w:r w:rsidRPr="005D0ABA">
              <w:rPr>
                <w:rFonts w:ascii="Times New Roman" w:hAnsi="Times New Roman" w:cs="Times New Roman"/>
                <w:b/>
                <w:sz w:val="20"/>
                <w:szCs w:val="20"/>
              </w:rPr>
              <w:t>10</w:t>
            </w:r>
          </w:p>
          <w:p w14:paraId="46A8915B" w14:textId="77777777" w:rsidR="00E52AC1" w:rsidRPr="005D0ABA" w:rsidRDefault="00E52AC1" w:rsidP="00E52AC1">
            <w:pPr>
              <w:pStyle w:val="a7"/>
              <w:ind w:left="752"/>
              <w:jc w:val="center"/>
              <w:rPr>
                <w:rFonts w:cs="Times New Roman"/>
                <w:b/>
                <w:sz w:val="20"/>
                <w:szCs w:val="20"/>
              </w:rPr>
            </w:pPr>
          </w:p>
        </w:tc>
        <w:tc>
          <w:tcPr>
            <w:tcW w:w="2694" w:type="dxa"/>
          </w:tcPr>
          <w:p w14:paraId="4BDD3BA8" w14:textId="14729F40" w:rsidR="00E52AC1" w:rsidRPr="002E3EC0" w:rsidRDefault="00E52AC1" w:rsidP="000808E0">
            <w:pPr>
              <w:rPr>
                <w:rFonts w:ascii="Times New Roman" w:hAnsi="Times New Roman" w:cs="Times New Roman"/>
                <w:sz w:val="20"/>
                <w:szCs w:val="20"/>
              </w:rPr>
            </w:pPr>
            <w:r w:rsidRPr="002E3EC0">
              <w:rPr>
                <w:rFonts w:ascii="Times New Roman" w:hAnsi="Times New Roman" w:cs="Times New Roman"/>
                <w:sz w:val="20"/>
                <w:szCs w:val="20"/>
              </w:rPr>
              <w:t>Depozit auxiliar</w:t>
            </w:r>
            <w:r w:rsidR="0034406A">
              <w:rPr>
                <w:rFonts w:ascii="Times New Roman" w:hAnsi="Times New Roman" w:cs="Times New Roman"/>
                <w:sz w:val="20"/>
                <w:szCs w:val="20"/>
              </w:rPr>
              <w:t>,</w:t>
            </w:r>
            <w:r w:rsidRPr="002E3EC0">
              <w:rPr>
                <w:rFonts w:ascii="Times New Roman" w:hAnsi="Times New Roman" w:cs="Times New Roman"/>
                <w:sz w:val="20"/>
                <w:szCs w:val="20"/>
              </w:rPr>
              <w:t xml:space="preserve"> nr de inv-1000157</w:t>
            </w:r>
          </w:p>
        </w:tc>
        <w:tc>
          <w:tcPr>
            <w:tcW w:w="1506" w:type="dxa"/>
          </w:tcPr>
          <w:p w14:paraId="01466F95" w14:textId="7E1BA3E4" w:rsidR="00E52AC1" w:rsidRPr="002E3EC0" w:rsidRDefault="0034406A" w:rsidP="0034406A">
            <w:pPr>
              <w:jc w:val="center"/>
              <w:rPr>
                <w:rFonts w:ascii="Times New Roman" w:hAnsi="Times New Roman" w:cs="Times New Roman"/>
                <w:sz w:val="20"/>
                <w:szCs w:val="20"/>
              </w:rPr>
            </w:pPr>
            <w:r>
              <w:rPr>
                <w:rFonts w:ascii="Times New Roman" w:hAnsi="Times New Roman" w:cs="Times New Roman"/>
                <w:sz w:val="20"/>
                <w:szCs w:val="20"/>
              </w:rPr>
              <w:t>-</w:t>
            </w:r>
          </w:p>
        </w:tc>
        <w:tc>
          <w:tcPr>
            <w:tcW w:w="1320" w:type="dxa"/>
          </w:tcPr>
          <w:p w14:paraId="0633488D" w14:textId="77777777" w:rsidR="00E52AC1" w:rsidRPr="002E3EC0" w:rsidRDefault="00E52AC1"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45,55</w:t>
            </w:r>
          </w:p>
        </w:tc>
        <w:tc>
          <w:tcPr>
            <w:tcW w:w="1832" w:type="dxa"/>
          </w:tcPr>
          <w:p w14:paraId="7872FD25" w14:textId="77777777" w:rsidR="00E52AC1" w:rsidRPr="002E3EC0" w:rsidRDefault="00E52AC1" w:rsidP="0034406A">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8,1</w:t>
            </w:r>
          </w:p>
        </w:tc>
        <w:tc>
          <w:tcPr>
            <w:tcW w:w="1585" w:type="dxa"/>
          </w:tcPr>
          <w:p w14:paraId="6E667B6B" w14:textId="77777777" w:rsidR="00E52AC1" w:rsidRPr="005D0ABA" w:rsidRDefault="00E52AC1" w:rsidP="00E52AC1">
            <w:pPr>
              <w:jc w:val="center"/>
              <w:rPr>
                <w:rFonts w:ascii="Times New Roman" w:hAnsi="Times New Roman" w:cs="Times New Roman"/>
                <w:sz w:val="16"/>
                <w:szCs w:val="16"/>
              </w:rPr>
            </w:pPr>
            <w:r w:rsidRPr="005D0ABA">
              <w:rPr>
                <w:rFonts w:ascii="Times New Roman" w:hAnsi="Times New Roman" w:cs="Times New Roman"/>
                <w:sz w:val="16"/>
                <w:szCs w:val="16"/>
              </w:rPr>
              <w:t>Suprafața din evidența contabilă</w:t>
            </w:r>
          </w:p>
        </w:tc>
      </w:tr>
      <w:tr w:rsidR="009E33A0" w:rsidRPr="002E3EC0" w14:paraId="03CA1987" w14:textId="77777777" w:rsidTr="0034406A">
        <w:trPr>
          <w:trHeight w:val="379"/>
        </w:trPr>
        <w:tc>
          <w:tcPr>
            <w:tcW w:w="562" w:type="dxa"/>
          </w:tcPr>
          <w:p w14:paraId="5D7FE1F2" w14:textId="77777777" w:rsidR="009E33A0" w:rsidRPr="005D0ABA" w:rsidRDefault="009E33A0" w:rsidP="009E33A0">
            <w:pPr>
              <w:jc w:val="center"/>
              <w:rPr>
                <w:rFonts w:ascii="Times New Roman" w:hAnsi="Times New Roman" w:cs="Times New Roman"/>
                <w:b/>
                <w:sz w:val="20"/>
                <w:szCs w:val="20"/>
              </w:rPr>
            </w:pPr>
            <w:r w:rsidRPr="005D0ABA">
              <w:rPr>
                <w:rFonts w:ascii="Times New Roman" w:hAnsi="Times New Roman" w:cs="Times New Roman"/>
                <w:b/>
                <w:sz w:val="20"/>
                <w:szCs w:val="20"/>
              </w:rPr>
              <w:t>11</w:t>
            </w:r>
          </w:p>
        </w:tc>
        <w:tc>
          <w:tcPr>
            <w:tcW w:w="2694" w:type="dxa"/>
          </w:tcPr>
          <w:p w14:paraId="0E0BE133" w14:textId="16E4A270" w:rsidR="009E33A0" w:rsidRPr="002E3EC0" w:rsidRDefault="009E33A0" w:rsidP="009E33A0">
            <w:pPr>
              <w:rPr>
                <w:rFonts w:ascii="Times New Roman" w:hAnsi="Times New Roman" w:cs="Times New Roman"/>
                <w:sz w:val="20"/>
                <w:szCs w:val="20"/>
              </w:rPr>
            </w:pPr>
            <w:r w:rsidRPr="002E3EC0">
              <w:rPr>
                <w:rFonts w:ascii="Times New Roman" w:hAnsi="Times New Roman" w:cs="Times New Roman"/>
                <w:sz w:val="20"/>
                <w:szCs w:val="20"/>
              </w:rPr>
              <w:t>Stația de purificare</w:t>
            </w:r>
            <w:r>
              <w:rPr>
                <w:rFonts w:ascii="Times New Roman" w:hAnsi="Times New Roman" w:cs="Times New Roman"/>
                <w:sz w:val="20"/>
                <w:szCs w:val="20"/>
              </w:rPr>
              <w:t xml:space="preserve">, </w:t>
            </w:r>
            <w:r w:rsidRPr="002E3EC0">
              <w:rPr>
                <w:rFonts w:ascii="Times New Roman" w:hAnsi="Times New Roman" w:cs="Times New Roman"/>
                <w:sz w:val="20"/>
                <w:szCs w:val="20"/>
              </w:rPr>
              <w:t>nr</w:t>
            </w:r>
            <w:r>
              <w:rPr>
                <w:rFonts w:ascii="Times New Roman" w:hAnsi="Times New Roman" w:cs="Times New Roman"/>
                <w:sz w:val="20"/>
                <w:szCs w:val="20"/>
              </w:rPr>
              <w:t>.</w:t>
            </w:r>
            <w:r w:rsidRPr="002E3EC0">
              <w:rPr>
                <w:rFonts w:ascii="Times New Roman" w:hAnsi="Times New Roman" w:cs="Times New Roman"/>
                <w:sz w:val="20"/>
                <w:szCs w:val="20"/>
              </w:rPr>
              <w:t xml:space="preserve"> inv-1200206</w:t>
            </w:r>
          </w:p>
        </w:tc>
        <w:tc>
          <w:tcPr>
            <w:tcW w:w="1506" w:type="dxa"/>
          </w:tcPr>
          <w:p w14:paraId="78CB24A9" w14:textId="7FF258A8" w:rsidR="009E33A0" w:rsidRPr="002E3EC0" w:rsidRDefault="009E33A0" w:rsidP="009E33A0">
            <w:pPr>
              <w:jc w:val="center"/>
              <w:rPr>
                <w:rFonts w:ascii="Times New Roman" w:hAnsi="Times New Roman" w:cs="Times New Roman"/>
                <w:sz w:val="20"/>
                <w:szCs w:val="20"/>
              </w:rPr>
            </w:pPr>
            <w:r>
              <w:rPr>
                <w:rFonts w:ascii="Times New Roman" w:hAnsi="Times New Roman" w:cs="Times New Roman"/>
                <w:sz w:val="20"/>
                <w:szCs w:val="20"/>
              </w:rPr>
              <w:t>-</w:t>
            </w:r>
          </w:p>
        </w:tc>
        <w:tc>
          <w:tcPr>
            <w:tcW w:w="1320" w:type="dxa"/>
          </w:tcPr>
          <w:p w14:paraId="244A5E02"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40,2</w:t>
            </w:r>
          </w:p>
        </w:tc>
        <w:tc>
          <w:tcPr>
            <w:tcW w:w="1832" w:type="dxa"/>
          </w:tcPr>
          <w:p w14:paraId="54053AE2"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64,6</w:t>
            </w:r>
          </w:p>
        </w:tc>
        <w:tc>
          <w:tcPr>
            <w:tcW w:w="1585" w:type="dxa"/>
          </w:tcPr>
          <w:p w14:paraId="67B0C6DE" w14:textId="26425FE7" w:rsidR="009E33A0" w:rsidRPr="005D0ABA" w:rsidRDefault="009E33A0" w:rsidP="009E33A0">
            <w:pPr>
              <w:jc w:val="center"/>
              <w:rPr>
                <w:rFonts w:ascii="Times New Roman" w:hAnsi="Times New Roman" w:cs="Times New Roman"/>
                <w:sz w:val="16"/>
                <w:szCs w:val="16"/>
              </w:rPr>
            </w:pPr>
            <w:r w:rsidRPr="005D0ABA">
              <w:rPr>
                <w:rFonts w:ascii="Times New Roman" w:hAnsi="Times New Roman" w:cs="Times New Roman"/>
                <w:sz w:val="16"/>
                <w:szCs w:val="16"/>
              </w:rPr>
              <w:t>Suprafața</w:t>
            </w:r>
            <w:r>
              <w:rPr>
                <w:rFonts w:ascii="Times New Roman" w:hAnsi="Times New Roman" w:cs="Times New Roman"/>
                <w:sz w:val="16"/>
                <w:szCs w:val="16"/>
              </w:rPr>
              <w:t xml:space="preserve"> </w:t>
            </w:r>
            <w:r w:rsidRPr="005D0ABA">
              <w:rPr>
                <w:rFonts w:ascii="Times New Roman" w:hAnsi="Times New Roman" w:cs="Times New Roman"/>
                <w:sz w:val="16"/>
                <w:szCs w:val="16"/>
              </w:rPr>
              <w:t>măsurată în perioada auditului</w:t>
            </w:r>
          </w:p>
        </w:tc>
      </w:tr>
      <w:tr w:rsidR="009E33A0" w:rsidRPr="002E3EC0" w14:paraId="1CA58AD8" w14:textId="77777777" w:rsidTr="0034406A">
        <w:trPr>
          <w:trHeight w:val="379"/>
        </w:trPr>
        <w:tc>
          <w:tcPr>
            <w:tcW w:w="562" w:type="dxa"/>
          </w:tcPr>
          <w:p w14:paraId="7B421293" w14:textId="77777777" w:rsidR="009E33A0" w:rsidRPr="005D0ABA" w:rsidRDefault="009E33A0" w:rsidP="009E33A0">
            <w:pPr>
              <w:jc w:val="center"/>
              <w:rPr>
                <w:rFonts w:ascii="Times New Roman" w:hAnsi="Times New Roman" w:cs="Times New Roman"/>
                <w:b/>
                <w:sz w:val="20"/>
                <w:szCs w:val="20"/>
              </w:rPr>
            </w:pPr>
            <w:r w:rsidRPr="005D0ABA">
              <w:rPr>
                <w:rFonts w:ascii="Times New Roman" w:hAnsi="Times New Roman" w:cs="Times New Roman"/>
                <w:b/>
                <w:sz w:val="20"/>
                <w:szCs w:val="20"/>
              </w:rPr>
              <w:t>12</w:t>
            </w:r>
          </w:p>
        </w:tc>
        <w:tc>
          <w:tcPr>
            <w:tcW w:w="2694" w:type="dxa"/>
          </w:tcPr>
          <w:p w14:paraId="30CF9CFF" w14:textId="2026447F" w:rsidR="009E33A0" w:rsidRPr="002E3EC0" w:rsidRDefault="009E33A0" w:rsidP="009E33A0">
            <w:pPr>
              <w:rPr>
                <w:rFonts w:ascii="Times New Roman" w:hAnsi="Times New Roman" w:cs="Times New Roman"/>
                <w:sz w:val="20"/>
                <w:szCs w:val="20"/>
              </w:rPr>
            </w:pPr>
            <w:r w:rsidRPr="002E3EC0">
              <w:rPr>
                <w:rFonts w:ascii="Times New Roman" w:hAnsi="Times New Roman" w:cs="Times New Roman"/>
                <w:sz w:val="20"/>
                <w:szCs w:val="20"/>
              </w:rPr>
              <w:t>Clădirea</w:t>
            </w:r>
            <w:r>
              <w:rPr>
                <w:rFonts w:ascii="Times New Roman" w:hAnsi="Times New Roman" w:cs="Times New Roman"/>
                <w:sz w:val="20"/>
                <w:szCs w:val="20"/>
              </w:rPr>
              <w:t xml:space="preserve"> cazangeriei, Casa G</w:t>
            </w:r>
            <w:r w:rsidRPr="002E3EC0">
              <w:rPr>
                <w:rFonts w:ascii="Times New Roman" w:hAnsi="Times New Roman" w:cs="Times New Roman"/>
                <w:sz w:val="20"/>
                <w:szCs w:val="20"/>
              </w:rPr>
              <w:t>uvernului</w:t>
            </w:r>
          </w:p>
        </w:tc>
        <w:tc>
          <w:tcPr>
            <w:tcW w:w="1506" w:type="dxa"/>
          </w:tcPr>
          <w:p w14:paraId="27C6A566" w14:textId="7BE8CFD6" w:rsidR="009E33A0" w:rsidRPr="002E3EC0" w:rsidRDefault="009E33A0" w:rsidP="009E33A0">
            <w:pPr>
              <w:jc w:val="center"/>
              <w:rPr>
                <w:rFonts w:ascii="Times New Roman" w:hAnsi="Times New Roman" w:cs="Times New Roman"/>
                <w:sz w:val="20"/>
                <w:szCs w:val="20"/>
              </w:rPr>
            </w:pPr>
            <w:r>
              <w:rPr>
                <w:rFonts w:ascii="Times New Roman" w:hAnsi="Times New Roman" w:cs="Times New Roman"/>
                <w:sz w:val="20"/>
                <w:szCs w:val="20"/>
              </w:rPr>
              <w:t>Casa G</w:t>
            </w:r>
            <w:r w:rsidRPr="002E3EC0">
              <w:rPr>
                <w:rFonts w:ascii="Times New Roman" w:hAnsi="Times New Roman" w:cs="Times New Roman"/>
                <w:sz w:val="20"/>
                <w:szCs w:val="20"/>
              </w:rPr>
              <w:t>uvernului</w:t>
            </w:r>
          </w:p>
        </w:tc>
        <w:tc>
          <w:tcPr>
            <w:tcW w:w="1320" w:type="dxa"/>
          </w:tcPr>
          <w:p w14:paraId="0AC40DD4"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73,5</w:t>
            </w:r>
          </w:p>
        </w:tc>
        <w:tc>
          <w:tcPr>
            <w:tcW w:w="1832" w:type="dxa"/>
          </w:tcPr>
          <w:p w14:paraId="1E533457"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305,3</w:t>
            </w:r>
          </w:p>
        </w:tc>
        <w:tc>
          <w:tcPr>
            <w:tcW w:w="1585" w:type="dxa"/>
          </w:tcPr>
          <w:p w14:paraId="522626A6" w14:textId="7B7F5EBA" w:rsidR="009E33A0" w:rsidRPr="005D0ABA" w:rsidRDefault="009E33A0" w:rsidP="009E33A0">
            <w:pPr>
              <w:jc w:val="center"/>
              <w:rPr>
                <w:rFonts w:ascii="Times New Roman" w:hAnsi="Times New Roman" w:cs="Times New Roman"/>
                <w:sz w:val="16"/>
                <w:szCs w:val="16"/>
              </w:rPr>
            </w:pPr>
            <w:r w:rsidRPr="005D0ABA">
              <w:rPr>
                <w:rFonts w:ascii="Times New Roman" w:hAnsi="Times New Roman" w:cs="Times New Roman"/>
                <w:sz w:val="16"/>
                <w:szCs w:val="16"/>
              </w:rPr>
              <w:t>Suprafața</w:t>
            </w:r>
            <w:r>
              <w:rPr>
                <w:rFonts w:ascii="Times New Roman" w:hAnsi="Times New Roman" w:cs="Times New Roman"/>
                <w:sz w:val="16"/>
                <w:szCs w:val="16"/>
              </w:rPr>
              <w:t xml:space="preserve"> </w:t>
            </w:r>
            <w:r w:rsidRPr="005D0ABA">
              <w:rPr>
                <w:rFonts w:ascii="Times New Roman" w:hAnsi="Times New Roman" w:cs="Times New Roman"/>
                <w:sz w:val="16"/>
                <w:szCs w:val="16"/>
              </w:rPr>
              <w:t>măsurată în perioada auditului</w:t>
            </w:r>
          </w:p>
        </w:tc>
      </w:tr>
      <w:tr w:rsidR="009E33A0" w:rsidRPr="002E3EC0" w14:paraId="563C14AC" w14:textId="77777777" w:rsidTr="0034406A">
        <w:trPr>
          <w:trHeight w:val="379"/>
        </w:trPr>
        <w:tc>
          <w:tcPr>
            <w:tcW w:w="562" w:type="dxa"/>
          </w:tcPr>
          <w:p w14:paraId="15CC4076" w14:textId="77777777" w:rsidR="009E33A0" w:rsidRPr="005D0ABA" w:rsidRDefault="009E33A0" w:rsidP="009E33A0">
            <w:pPr>
              <w:jc w:val="center"/>
              <w:rPr>
                <w:rFonts w:ascii="Times New Roman" w:hAnsi="Times New Roman" w:cs="Times New Roman"/>
                <w:b/>
                <w:sz w:val="20"/>
                <w:szCs w:val="20"/>
              </w:rPr>
            </w:pPr>
            <w:r w:rsidRPr="005D0ABA">
              <w:rPr>
                <w:rFonts w:ascii="Times New Roman" w:hAnsi="Times New Roman" w:cs="Times New Roman"/>
                <w:b/>
                <w:sz w:val="20"/>
                <w:szCs w:val="20"/>
              </w:rPr>
              <w:t>13</w:t>
            </w:r>
          </w:p>
        </w:tc>
        <w:tc>
          <w:tcPr>
            <w:tcW w:w="2694" w:type="dxa"/>
          </w:tcPr>
          <w:p w14:paraId="57D1A6FD" w14:textId="74149539" w:rsidR="009E33A0" w:rsidRPr="002E3EC0" w:rsidRDefault="009E33A0" w:rsidP="009E33A0">
            <w:pPr>
              <w:rPr>
                <w:rFonts w:ascii="Times New Roman" w:hAnsi="Times New Roman" w:cs="Times New Roman"/>
                <w:sz w:val="20"/>
                <w:szCs w:val="20"/>
              </w:rPr>
            </w:pPr>
            <w:r w:rsidRPr="002E3EC0">
              <w:rPr>
                <w:rFonts w:ascii="Times New Roman" w:hAnsi="Times New Roman" w:cs="Times New Roman"/>
                <w:sz w:val="20"/>
                <w:szCs w:val="20"/>
              </w:rPr>
              <w:t>Depozit din piatră</w:t>
            </w:r>
            <w:r>
              <w:rPr>
                <w:rFonts w:ascii="Times New Roman" w:hAnsi="Times New Roman" w:cs="Times New Roman"/>
                <w:sz w:val="20"/>
                <w:szCs w:val="20"/>
              </w:rPr>
              <w:t>, Casa G</w:t>
            </w:r>
            <w:r w:rsidRPr="002E3EC0">
              <w:rPr>
                <w:rFonts w:ascii="Times New Roman" w:hAnsi="Times New Roman" w:cs="Times New Roman"/>
                <w:sz w:val="20"/>
                <w:szCs w:val="20"/>
              </w:rPr>
              <w:t>uvernului</w:t>
            </w:r>
          </w:p>
        </w:tc>
        <w:tc>
          <w:tcPr>
            <w:tcW w:w="1506" w:type="dxa"/>
          </w:tcPr>
          <w:p w14:paraId="210013A0" w14:textId="7EEBC973" w:rsidR="009E33A0" w:rsidRPr="002E3EC0" w:rsidRDefault="009E33A0" w:rsidP="009E33A0">
            <w:pPr>
              <w:jc w:val="center"/>
              <w:rPr>
                <w:rFonts w:ascii="Times New Roman" w:hAnsi="Times New Roman" w:cs="Times New Roman"/>
                <w:sz w:val="20"/>
                <w:szCs w:val="20"/>
              </w:rPr>
            </w:pPr>
            <w:r>
              <w:rPr>
                <w:rFonts w:ascii="Times New Roman" w:hAnsi="Times New Roman" w:cs="Times New Roman"/>
                <w:sz w:val="20"/>
                <w:szCs w:val="20"/>
              </w:rPr>
              <w:t>str. Bănulescu Bodoni, nr. 4</w:t>
            </w:r>
            <w:r w:rsidRPr="002E3EC0">
              <w:rPr>
                <w:rFonts w:ascii="Times New Roman" w:hAnsi="Times New Roman" w:cs="Times New Roman"/>
                <w:sz w:val="20"/>
                <w:szCs w:val="20"/>
              </w:rPr>
              <w:t>5</w:t>
            </w:r>
          </w:p>
        </w:tc>
        <w:tc>
          <w:tcPr>
            <w:tcW w:w="1320" w:type="dxa"/>
          </w:tcPr>
          <w:p w14:paraId="1AFDA131"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18,07</w:t>
            </w:r>
          </w:p>
        </w:tc>
        <w:tc>
          <w:tcPr>
            <w:tcW w:w="1832" w:type="dxa"/>
          </w:tcPr>
          <w:p w14:paraId="0F1D93E5"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3,2</w:t>
            </w:r>
          </w:p>
        </w:tc>
        <w:tc>
          <w:tcPr>
            <w:tcW w:w="1585" w:type="dxa"/>
          </w:tcPr>
          <w:p w14:paraId="7CBF696A" w14:textId="77777777" w:rsidR="009E33A0" w:rsidRPr="005D0ABA" w:rsidRDefault="009E33A0" w:rsidP="009E33A0">
            <w:pPr>
              <w:jc w:val="center"/>
              <w:rPr>
                <w:rFonts w:ascii="Times New Roman" w:hAnsi="Times New Roman" w:cs="Times New Roman"/>
                <w:sz w:val="16"/>
                <w:szCs w:val="16"/>
              </w:rPr>
            </w:pPr>
            <w:r w:rsidRPr="005D0ABA">
              <w:rPr>
                <w:rFonts w:ascii="Times New Roman" w:hAnsi="Times New Roman" w:cs="Times New Roman"/>
                <w:sz w:val="16"/>
                <w:szCs w:val="16"/>
              </w:rPr>
              <w:t>Demolat fără autorizație</w:t>
            </w:r>
          </w:p>
        </w:tc>
      </w:tr>
      <w:tr w:rsidR="009E33A0" w:rsidRPr="002E3EC0" w14:paraId="2DD5D509" w14:textId="77777777" w:rsidTr="0034406A">
        <w:trPr>
          <w:trHeight w:val="379"/>
        </w:trPr>
        <w:tc>
          <w:tcPr>
            <w:tcW w:w="562" w:type="dxa"/>
          </w:tcPr>
          <w:p w14:paraId="59F1EC6A" w14:textId="77777777" w:rsidR="009E33A0" w:rsidRPr="005D0ABA" w:rsidRDefault="009E33A0" w:rsidP="009E33A0">
            <w:pPr>
              <w:jc w:val="center"/>
              <w:rPr>
                <w:rFonts w:ascii="Times New Roman" w:hAnsi="Times New Roman" w:cs="Times New Roman"/>
                <w:b/>
                <w:sz w:val="20"/>
                <w:szCs w:val="20"/>
              </w:rPr>
            </w:pPr>
            <w:r w:rsidRPr="005D0ABA">
              <w:rPr>
                <w:rFonts w:ascii="Times New Roman" w:hAnsi="Times New Roman" w:cs="Times New Roman"/>
                <w:b/>
                <w:sz w:val="20"/>
                <w:szCs w:val="20"/>
              </w:rPr>
              <w:t>14</w:t>
            </w:r>
          </w:p>
        </w:tc>
        <w:tc>
          <w:tcPr>
            <w:tcW w:w="2694" w:type="dxa"/>
          </w:tcPr>
          <w:p w14:paraId="310787DC" w14:textId="77777777" w:rsidR="009E33A0" w:rsidRPr="002E3EC0" w:rsidRDefault="009E33A0" w:rsidP="009E33A0">
            <w:pPr>
              <w:rPr>
                <w:rFonts w:ascii="Times New Roman" w:hAnsi="Times New Roman" w:cs="Times New Roman"/>
                <w:sz w:val="20"/>
                <w:szCs w:val="20"/>
              </w:rPr>
            </w:pPr>
            <w:r w:rsidRPr="002E3EC0">
              <w:rPr>
                <w:rFonts w:ascii="Times New Roman" w:hAnsi="Times New Roman" w:cs="Times New Roman"/>
                <w:sz w:val="20"/>
                <w:szCs w:val="20"/>
              </w:rPr>
              <w:t>Șopron din piatră</w:t>
            </w:r>
          </w:p>
        </w:tc>
        <w:tc>
          <w:tcPr>
            <w:tcW w:w="1506" w:type="dxa"/>
          </w:tcPr>
          <w:p w14:paraId="08F3C53D" w14:textId="5C71690C" w:rsidR="009E33A0" w:rsidRPr="002E3EC0" w:rsidRDefault="009E33A0" w:rsidP="009E33A0">
            <w:pPr>
              <w:jc w:val="center"/>
              <w:rPr>
                <w:rFonts w:ascii="Times New Roman" w:hAnsi="Times New Roman" w:cs="Times New Roman"/>
                <w:sz w:val="20"/>
                <w:szCs w:val="20"/>
              </w:rPr>
            </w:pPr>
            <w:r>
              <w:rPr>
                <w:rFonts w:ascii="Times New Roman" w:hAnsi="Times New Roman" w:cs="Times New Roman"/>
                <w:sz w:val="20"/>
                <w:szCs w:val="20"/>
              </w:rPr>
              <w:t>str. Bănulescu Bodoni, nr. 4</w:t>
            </w:r>
            <w:r w:rsidRPr="002E3EC0">
              <w:rPr>
                <w:rFonts w:ascii="Times New Roman" w:hAnsi="Times New Roman" w:cs="Times New Roman"/>
                <w:sz w:val="20"/>
                <w:szCs w:val="20"/>
              </w:rPr>
              <w:t>5</w:t>
            </w:r>
          </w:p>
        </w:tc>
        <w:tc>
          <w:tcPr>
            <w:tcW w:w="1320" w:type="dxa"/>
          </w:tcPr>
          <w:p w14:paraId="0AE25F20"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12,83</w:t>
            </w:r>
          </w:p>
        </w:tc>
        <w:tc>
          <w:tcPr>
            <w:tcW w:w="1832" w:type="dxa"/>
          </w:tcPr>
          <w:p w14:paraId="2967F750"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2,4</w:t>
            </w:r>
          </w:p>
        </w:tc>
        <w:tc>
          <w:tcPr>
            <w:tcW w:w="1585" w:type="dxa"/>
          </w:tcPr>
          <w:p w14:paraId="148783BE" w14:textId="399ED24B" w:rsidR="009E33A0" w:rsidRPr="005D0ABA" w:rsidRDefault="009E33A0" w:rsidP="009E33A0">
            <w:pPr>
              <w:jc w:val="center"/>
              <w:rPr>
                <w:rFonts w:ascii="Times New Roman" w:hAnsi="Times New Roman" w:cs="Times New Roman"/>
                <w:sz w:val="16"/>
                <w:szCs w:val="16"/>
              </w:rPr>
            </w:pPr>
            <w:r>
              <w:rPr>
                <w:rFonts w:ascii="Times New Roman" w:hAnsi="Times New Roman" w:cs="Times New Roman"/>
                <w:sz w:val="16"/>
                <w:szCs w:val="16"/>
              </w:rPr>
              <w:t>-</w:t>
            </w:r>
          </w:p>
        </w:tc>
      </w:tr>
      <w:tr w:rsidR="009E33A0" w:rsidRPr="002E3EC0" w14:paraId="233F0786" w14:textId="77777777" w:rsidTr="0034406A">
        <w:trPr>
          <w:trHeight w:val="379"/>
        </w:trPr>
        <w:tc>
          <w:tcPr>
            <w:tcW w:w="562" w:type="dxa"/>
          </w:tcPr>
          <w:p w14:paraId="7F5A78E8" w14:textId="77777777" w:rsidR="009E33A0" w:rsidRPr="005D0ABA" w:rsidRDefault="009E33A0" w:rsidP="009E33A0">
            <w:pPr>
              <w:jc w:val="center"/>
              <w:rPr>
                <w:rFonts w:ascii="Times New Roman" w:hAnsi="Times New Roman" w:cs="Times New Roman"/>
                <w:b/>
                <w:sz w:val="20"/>
                <w:szCs w:val="20"/>
              </w:rPr>
            </w:pPr>
            <w:r w:rsidRPr="005D0ABA">
              <w:rPr>
                <w:rFonts w:ascii="Times New Roman" w:hAnsi="Times New Roman" w:cs="Times New Roman"/>
                <w:b/>
                <w:sz w:val="20"/>
                <w:szCs w:val="20"/>
              </w:rPr>
              <w:t>15</w:t>
            </w:r>
          </w:p>
        </w:tc>
        <w:tc>
          <w:tcPr>
            <w:tcW w:w="2694" w:type="dxa"/>
          </w:tcPr>
          <w:p w14:paraId="4CDD56CA" w14:textId="169EEEA7" w:rsidR="009E33A0" w:rsidRPr="002E3EC0" w:rsidRDefault="009E33A0" w:rsidP="009E33A0">
            <w:pPr>
              <w:rPr>
                <w:rFonts w:ascii="Times New Roman" w:hAnsi="Times New Roman" w:cs="Times New Roman"/>
                <w:sz w:val="20"/>
                <w:szCs w:val="20"/>
              </w:rPr>
            </w:pPr>
            <w:r w:rsidRPr="002E3EC0">
              <w:rPr>
                <w:rFonts w:ascii="Times New Roman" w:hAnsi="Times New Roman" w:cs="Times New Roman"/>
                <w:sz w:val="20"/>
                <w:szCs w:val="20"/>
              </w:rPr>
              <w:t xml:space="preserve">Subsol pentru alimentare </w:t>
            </w:r>
            <w:r>
              <w:rPr>
                <w:rFonts w:ascii="Times New Roman" w:hAnsi="Times New Roman" w:cs="Times New Roman"/>
                <w:sz w:val="20"/>
                <w:szCs w:val="20"/>
              </w:rPr>
              <w:t xml:space="preserve">de rezervă (generator exterior)   </w:t>
            </w:r>
            <w:r w:rsidRPr="002E3EC0">
              <w:rPr>
                <w:rFonts w:ascii="Times New Roman" w:hAnsi="Times New Roman" w:cs="Times New Roman"/>
                <w:sz w:val="20"/>
                <w:szCs w:val="20"/>
              </w:rPr>
              <w:t xml:space="preserve"> </w:t>
            </w:r>
          </w:p>
        </w:tc>
        <w:tc>
          <w:tcPr>
            <w:tcW w:w="1506" w:type="dxa"/>
          </w:tcPr>
          <w:p w14:paraId="62575C9F" w14:textId="70ABA3AE" w:rsidR="009E33A0" w:rsidRPr="002E3EC0" w:rsidRDefault="009E33A0" w:rsidP="009E33A0">
            <w:pPr>
              <w:jc w:val="center"/>
              <w:rPr>
                <w:rFonts w:ascii="Times New Roman" w:hAnsi="Times New Roman" w:cs="Times New Roman"/>
                <w:sz w:val="20"/>
                <w:szCs w:val="20"/>
              </w:rPr>
            </w:pPr>
            <w:r>
              <w:rPr>
                <w:rFonts w:ascii="Times New Roman" w:hAnsi="Times New Roman" w:cs="Times New Roman"/>
                <w:sz w:val="20"/>
                <w:szCs w:val="20"/>
              </w:rPr>
              <w:t>Casa G</w:t>
            </w:r>
            <w:r w:rsidRPr="002E3EC0">
              <w:rPr>
                <w:rFonts w:ascii="Times New Roman" w:hAnsi="Times New Roman" w:cs="Times New Roman"/>
                <w:sz w:val="20"/>
                <w:szCs w:val="20"/>
              </w:rPr>
              <w:t>uvernului</w:t>
            </w:r>
          </w:p>
        </w:tc>
        <w:tc>
          <w:tcPr>
            <w:tcW w:w="1320" w:type="dxa"/>
          </w:tcPr>
          <w:p w14:paraId="4C89266A" w14:textId="77777777" w:rsidR="009E33A0" w:rsidRPr="002E3EC0" w:rsidRDefault="009E33A0" w:rsidP="009E33A0">
            <w:pPr>
              <w:jc w:val="right"/>
              <w:rPr>
                <w:rFonts w:ascii="Times New Roman" w:hAnsi="Times New Roman" w:cs="Times New Roman"/>
                <w:sz w:val="20"/>
                <w:szCs w:val="20"/>
                <w:lang w:val="ro-RO"/>
              </w:rPr>
            </w:pPr>
          </w:p>
          <w:p w14:paraId="44938481" w14:textId="0E2853D3"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26,9</w:t>
            </w:r>
          </w:p>
        </w:tc>
        <w:tc>
          <w:tcPr>
            <w:tcW w:w="1832" w:type="dxa"/>
          </w:tcPr>
          <w:p w14:paraId="6A4F1417"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239,5</w:t>
            </w:r>
          </w:p>
        </w:tc>
        <w:tc>
          <w:tcPr>
            <w:tcW w:w="1585" w:type="dxa"/>
          </w:tcPr>
          <w:p w14:paraId="76C29E47" w14:textId="6121FA49" w:rsidR="009E33A0" w:rsidRPr="005D0ABA" w:rsidRDefault="009E33A0" w:rsidP="009E33A0">
            <w:pPr>
              <w:jc w:val="center"/>
              <w:rPr>
                <w:rFonts w:ascii="Times New Roman" w:hAnsi="Times New Roman" w:cs="Times New Roman"/>
                <w:sz w:val="16"/>
                <w:szCs w:val="16"/>
              </w:rPr>
            </w:pPr>
            <w:r w:rsidRPr="005D0ABA">
              <w:rPr>
                <w:rFonts w:ascii="Times New Roman" w:hAnsi="Times New Roman" w:cs="Times New Roman"/>
                <w:sz w:val="16"/>
                <w:szCs w:val="16"/>
              </w:rPr>
              <w:t>În evidența co</w:t>
            </w:r>
            <w:r>
              <w:rPr>
                <w:rFonts w:ascii="Times New Roman" w:hAnsi="Times New Roman" w:cs="Times New Roman"/>
                <w:sz w:val="16"/>
                <w:szCs w:val="16"/>
              </w:rPr>
              <w:t>ntabilă reflectat la 312. Suprafaț</w:t>
            </w:r>
            <w:r w:rsidRPr="005D0ABA">
              <w:rPr>
                <w:rFonts w:ascii="Times New Roman" w:hAnsi="Times New Roman" w:cs="Times New Roman"/>
                <w:sz w:val="16"/>
                <w:szCs w:val="16"/>
              </w:rPr>
              <w:t>a la sol măsurat</w:t>
            </w:r>
            <w:r>
              <w:rPr>
                <w:rFonts w:ascii="Times New Roman" w:hAnsi="Times New Roman" w:cs="Times New Roman"/>
                <w:sz w:val="16"/>
                <w:szCs w:val="16"/>
              </w:rPr>
              <w:t xml:space="preserve"> în</w:t>
            </w:r>
            <w:r w:rsidRPr="005D0ABA">
              <w:rPr>
                <w:rFonts w:ascii="Times New Roman" w:hAnsi="Times New Roman" w:cs="Times New Roman"/>
                <w:sz w:val="16"/>
                <w:szCs w:val="16"/>
              </w:rPr>
              <w:t xml:space="preserve"> timpul auditului</w:t>
            </w:r>
            <w:r>
              <w:rPr>
                <w:rFonts w:ascii="Times New Roman" w:hAnsi="Times New Roman" w:cs="Times New Roman"/>
                <w:sz w:val="16"/>
                <w:szCs w:val="16"/>
              </w:rPr>
              <w:t>.</w:t>
            </w:r>
          </w:p>
        </w:tc>
      </w:tr>
      <w:tr w:rsidR="009E33A0" w:rsidRPr="002E3EC0" w14:paraId="51D5E62B" w14:textId="77777777" w:rsidTr="0034406A">
        <w:trPr>
          <w:trHeight w:val="379"/>
        </w:trPr>
        <w:tc>
          <w:tcPr>
            <w:tcW w:w="562" w:type="dxa"/>
          </w:tcPr>
          <w:p w14:paraId="441071BA" w14:textId="77777777" w:rsidR="009E33A0" w:rsidRPr="005D0ABA" w:rsidRDefault="009E33A0" w:rsidP="009E33A0">
            <w:pPr>
              <w:jc w:val="center"/>
              <w:rPr>
                <w:rFonts w:ascii="Times New Roman" w:hAnsi="Times New Roman" w:cs="Times New Roman"/>
                <w:b/>
                <w:sz w:val="20"/>
                <w:szCs w:val="20"/>
              </w:rPr>
            </w:pPr>
            <w:r w:rsidRPr="005D0ABA">
              <w:rPr>
                <w:rFonts w:ascii="Times New Roman" w:hAnsi="Times New Roman" w:cs="Times New Roman"/>
                <w:b/>
                <w:sz w:val="20"/>
                <w:szCs w:val="20"/>
              </w:rPr>
              <w:t>16</w:t>
            </w:r>
          </w:p>
        </w:tc>
        <w:tc>
          <w:tcPr>
            <w:tcW w:w="2694" w:type="dxa"/>
          </w:tcPr>
          <w:p w14:paraId="45E7C270" w14:textId="77777777" w:rsidR="009E33A0" w:rsidRPr="002E3EC0" w:rsidRDefault="009E33A0" w:rsidP="009E33A0">
            <w:pPr>
              <w:rPr>
                <w:rFonts w:ascii="Times New Roman" w:hAnsi="Times New Roman" w:cs="Times New Roman"/>
                <w:sz w:val="20"/>
                <w:szCs w:val="20"/>
              </w:rPr>
            </w:pPr>
            <w:r w:rsidRPr="002E3EC0">
              <w:rPr>
                <w:rFonts w:ascii="Times New Roman" w:hAnsi="Times New Roman" w:cs="Times New Roman"/>
                <w:sz w:val="20"/>
                <w:szCs w:val="20"/>
              </w:rPr>
              <w:t>Sarai din piatră</w:t>
            </w:r>
          </w:p>
        </w:tc>
        <w:tc>
          <w:tcPr>
            <w:tcW w:w="1506" w:type="dxa"/>
          </w:tcPr>
          <w:p w14:paraId="671B22AB" w14:textId="25E93C06" w:rsidR="009E33A0" w:rsidRPr="002E3EC0" w:rsidRDefault="009E33A0" w:rsidP="009E33A0">
            <w:pPr>
              <w:jc w:val="center"/>
              <w:rPr>
                <w:rFonts w:ascii="Times New Roman" w:hAnsi="Times New Roman" w:cs="Times New Roman"/>
                <w:sz w:val="20"/>
                <w:szCs w:val="20"/>
                <w:highlight w:val="yellow"/>
              </w:rPr>
            </w:pPr>
            <w:r>
              <w:rPr>
                <w:rFonts w:ascii="Times New Roman" w:hAnsi="Times New Roman" w:cs="Times New Roman"/>
                <w:sz w:val="20"/>
                <w:szCs w:val="20"/>
              </w:rPr>
              <w:t xml:space="preserve">str. </w:t>
            </w:r>
            <w:r w:rsidRPr="002E3EC0">
              <w:rPr>
                <w:rFonts w:ascii="Times New Roman" w:hAnsi="Times New Roman" w:cs="Times New Roman"/>
                <w:sz w:val="20"/>
                <w:szCs w:val="20"/>
              </w:rPr>
              <w:t>S.</w:t>
            </w:r>
            <w:r>
              <w:rPr>
                <w:rFonts w:ascii="Times New Roman" w:hAnsi="Times New Roman" w:cs="Times New Roman"/>
                <w:sz w:val="20"/>
                <w:szCs w:val="20"/>
              </w:rPr>
              <w:t xml:space="preserve"> </w:t>
            </w:r>
            <w:r w:rsidRPr="002E3EC0">
              <w:rPr>
                <w:rFonts w:ascii="Times New Roman" w:hAnsi="Times New Roman" w:cs="Times New Roman"/>
                <w:sz w:val="20"/>
                <w:szCs w:val="20"/>
              </w:rPr>
              <w:t>Lazo 48</w:t>
            </w:r>
          </w:p>
        </w:tc>
        <w:tc>
          <w:tcPr>
            <w:tcW w:w="1320" w:type="dxa"/>
          </w:tcPr>
          <w:p w14:paraId="170DEE1D"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88,0</w:t>
            </w:r>
          </w:p>
        </w:tc>
        <w:tc>
          <w:tcPr>
            <w:tcW w:w="1832" w:type="dxa"/>
          </w:tcPr>
          <w:p w14:paraId="0C7488E8"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35,9</w:t>
            </w:r>
          </w:p>
        </w:tc>
        <w:tc>
          <w:tcPr>
            <w:tcW w:w="1585" w:type="dxa"/>
          </w:tcPr>
          <w:p w14:paraId="6DB4F2DC" w14:textId="77777777" w:rsidR="009E33A0" w:rsidRPr="005D0ABA" w:rsidRDefault="009E33A0" w:rsidP="009E33A0">
            <w:pPr>
              <w:jc w:val="center"/>
              <w:rPr>
                <w:rFonts w:ascii="Times New Roman" w:hAnsi="Times New Roman" w:cs="Times New Roman"/>
                <w:sz w:val="16"/>
                <w:szCs w:val="16"/>
              </w:rPr>
            </w:pPr>
          </w:p>
        </w:tc>
      </w:tr>
      <w:tr w:rsidR="009E33A0" w:rsidRPr="002E3EC0" w14:paraId="11A6D409" w14:textId="77777777" w:rsidTr="0034406A">
        <w:trPr>
          <w:trHeight w:val="379"/>
        </w:trPr>
        <w:tc>
          <w:tcPr>
            <w:tcW w:w="562" w:type="dxa"/>
          </w:tcPr>
          <w:p w14:paraId="15EBF064" w14:textId="77777777" w:rsidR="009E33A0" w:rsidRPr="005D0ABA" w:rsidRDefault="009E33A0" w:rsidP="009E33A0">
            <w:pPr>
              <w:jc w:val="center"/>
              <w:rPr>
                <w:rFonts w:ascii="Times New Roman" w:hAnsi="Times New Roman" w:cs="Times New Roman"/>
                <w:b/>
                <w:sz w:val="20"/>
                <w:szCs w:val="20"/>
              </w:rPr>
            </w:pPr>
            <w:r w:rsidRPr="005D0ABA">
              <w:rPr>
                <w:rFonts w:ascii="Times New Roman" w:hAnsi="Times New Roman" w:cs="Times New Roman"/>
                <w:b/>
                <w:sz w:val="20"/>
                <w:szCs w:val="20"/>
              </w:rPr>
              <w:t>17</w:t>
            </w:r>
          </w:p>
        </w:tc>
        <w:tc>
          <w:tcPr>
            <w:tcW w:w="2694" w:type="dxa"/>
          </w:tcPr>
          <w:p w14:paraId="1771EDF8" w14:textId="61FB9388" w:rsidR="009E33A0" w:rsidRPr="002E3EC0" w:rsidRDefault="009E33A0" w:rsidP="009E33A0">
            <w:pPr>
              <w:rPr>
                <w:rFonts w:ascii="Times New Roman" w:hAnsi="Times New Roman" w:cs="Times New Roman"/>
                <w:sz w:val="20"/>
                <w:szCs w:val="20"/>
              </w:rPr>
            </w:pPr>
            <w:r w:rsidRPr="002E3EC0">
              <w:rPr>
                <w:rFonts w:ascii="Times New Roman" w:hAnsi="Times New Roman" w:cs="Times New Roman"/>
                <w:sz w:val="20"/>
                <w:szCs w:val="20"/>
              </w:rPr>
              <w:t>Clăd</w:t>
            </w:r>
            <w:r>
              <w:rPr>
                <w:rFonts w:ascii="Times New Roman" w:hAnsi="Times New Roman" w:cs="Times New Roman"/>
                <w:sz w:val="20"/>
                <w:szCs w:val="20"/>
              </w:rPr>
              <w:t>irea barului, baza de odihnă „IT-</w:t>
            </w:r>
            <w:r w:rsidRPr="002E3EC0">
              <w:rPr>
                <w:rFonts w:ascii="Times New Roman" w:hAnsi="Times New Roman" w:cs="Times New Roman"/>
                <w:sz w:val="20"/>
                <w:szCs w:val="20"/>
              </w:rPr>
              <w:t>Relax”</w:t>
            </w:r>
          </w:p>
        </w:tc>
        <w:tc>
          <w:tcPr>
            <w:tcW w:w="1506" w:type="dxa"/>
          </w:tcPr>
          <w:p w14:paraId="08C2FB12" w14:textId="77777777" w:rsidR="009E33A0" w:rsidRPr="002E3EC0" w:rsidRDefault="009E33A0" w:rsidP="009E33A0">
            <w:pPr>
              <w:rPr>
                <w:rFonts w:ascii="Times New Roman" w:hAnsi="Times New Roman" w:cs="Times New Roman"/>
                <w:sz w:val="20"/>
                <w:szCs w:val="20"/>
              </w:rPr>
            </w:pPr>
            <w:r w:rsidRPr="002E3EC0">
              <w:rPr>
                <w:rFonts w:ascii="Times New Roman" w:hAnsi="Times New Roman" w:cs="Times New Roman"/>
                <w:sz w:val="20"/>
                <w:szCs w:val="20"/>
              </w:rPr>
              <w:t>Vadul lui Vodă</w:t>
            </w:r>
          </w:p>
        </w:tc>
        <w:tc>
          <w:tcPr>
            <w:tcW w:w="1320" w:type="dxa"/>
          </w:tcPr>
          <w:p w14:paraId="3B2688F4" w14:textId="19846DE5"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60,0</w:t>
            </w:r>
          </w:p>
        </w:tc>
        <w:tc>
          <w:tcPr>
            <w:tcW w:w="1832" w:type="dxa"/>
          </w:tcPr>
          <w:p w14:paraId="5060C0F2" w14:textId="1DB19D93" w:rsidR="009E33A0" w:rsidRPr="002E3EC0" w:rsidRDefault="009E33A0" w:rsidP="009E33A0">
            <w:pPr>
              <w:jc w:val="right"/>
              <w:rPr>
                <w:rFonts w:ascii="Times New Roman" w:hAnsi="Times New Roman" w:cs="Times New Roman"/>
                <w:sz w:val="20"/>
                <w:szCs w:val="20"/>
                <w:lang w:val="ro-RO"/>
              </w:rPr>
            </w:pPr>
            <w:r>
              <w:rPr>
                <w:rFonts w:ascii="Times New Roman" w:hAnsi="Times New Roman" w:cs="Times New Roman"/>
                <w:sz w:val="20"/>
                <w:szCs w:val="20"/>
                <w:lang w:val="ro-RO"/>
              </w:rPr>
              <w:t>N</w:t>
            </w:r>
            <w:r w:rsidRPr="002E3EC0">
              <w:rPr>
                <w:rFonts w:ascii="Times New Roman" w:hAnsi="Times New Roman" w:cs="Times New Roman"/>
                <w:sz w:val="20"/>
                <w:szCs w:val="20"/>
                <w:lang w:val="ro-RO"/>
              </w:rPr>
              <w:t>eevaluat</w:t>
            </w:r>
          </w:p>
        </w:tc>
        <w:tc>
          <w:tcPr>
            <w:tcW w:w="1585" w:type="dxa"/>
          </w:tcPr>
          <w:p w14:paraId="2AD6E89F" w14:textId="1C7F9EA9" w:rsidR="009E33A0" w:rsidRPr="005D0ABA" w:rsidRDefault="009E33A0" w:rsidP="009E33A0">
            <w:pPr>
              <w:jc w:val="center"/>
              <w:rPr>
                <w:rFonts w:ascii="Times New Roman" w:hAnsi="Times New Roman" w:cs="Times New Roman"/>
                <w:sz w:val="16"/>
                <w:szCs w:val="16"/>
              </w:rPr>
            </w:pPr>
            <w:r w:rsidRPr="005D0ABA">
              <w:rPr>
                <w:rFonts w:ascii="Times New Roman" w:hAnsi="Times New Roman" w:cs="Times New Roman"/>
                <w:sz w:val="16"/>
                <w:szCs w:val="16"/>
              </w:rPr>
              <w:t>Suprafața</w:t>
            </w:r>
            <w:r>
              <w:rPr>
                <w:rFonts w:ascii="Times New Roman" w:hAnsi="Times New Roman" w:cs="Times New Roman"/>
                <w:sz w:val="16"/>
                <w:szCs w:val="16"/>
              </w:rPr>
              <w:t xml:space="preserve"> </w:t>
            </w:r>
            <w:r w:rsidRPr="005D0ABA">
              <w:rPr>
                <w:rFonts w:ascii="Times New Roman" w:hAnsi="Times New Roman" w:cs="Times New Roman"/>
                <w:sz w:val="16"/>
                <w:szCs w:val="16"/>
              </w:rPr>
              <w:t>măsurată în perioada auditului</w:t>
            </w:r>
          </w:p>
        </w:tc>
      </w:tr>
      <w:tr w:rsidR="009E33A0" w:rsidRPr="002E3EC0" w14:paraId="5C44A561" w14:textId="77777777" w:rsidTr="0034406A">
        <w:trPr>
          <w:trHeight w:val="275"/>
        </w:trPr>
        <w:tc>
          <w:tcPr>
            <w:tcW w:w="562" w:type="dxa"/>
          </w:tcPr>
          <w:p w14:paraId="4821208E" w14:textId="77777777" w:rsidR="009E33A0" w:rsidRPr="005D0ABA" w:rsidRDefault="009E33A0" w:rsidP="009E33A0">
            <w:pPr>
              <w:jc w:val="center"/>
              <w:rPr>
                <w:rFonts w:ascii="Times New Roman" w:hAnsi="Times New Roman" w:cs="Times New Roman"/>
                <w:b/>
                <w:sz w:val="20"/>
                <w:szCs w:val="20"/>
              </w:rPr>
            </w:pPr>
            <w:r w:rsidRPr="005D0ABA">
              <w:rPr>
                <w:rFonts w:ascii="Times New Roman" w:hAnsi="Times New Roman" w:cs="Times New Roman"/>
                <w:b/>
                <w:sz w:val="20"/>
                <w:szCs w:val="20"/>
              </w:rPr>
              <w:t>18</w:t>
            </w:r>
          </w:p>
        </w:tc>
        <w:tc>
          <w:tcPr>
            <w:tcW w:w="2694" w:type="dxa"/>
          </w:tcPr>
          <w:p w14:paraId="39EAC5C6" w14:textId="0583293F" w:rsidR="009E33A0" w:rsidRPr="002E3EC0" w:rsidRDefault="009E33A0" w:rsidP="009E33A0">
            <w:pPr>
              <w:rPr>
                <w:rFonts w:ascii="Times New Roman" w:hAnsi="Times New Roman" w:cs="Times New Roman"/>
                <w:sz w:val="20"/>
                <w:szCs w:val="20"/>
              </w:rPr>
            </w:pPr>
            <w:r w:rsidRPr="002E3EC0">
              <w:rPr>
                <w:rFonts w:ascii="Times New Roman" w:hAnsi="Times New Roman" w:cs="Times New Roman"/>
                <w:sz w:val="20"/>
                <w:szCs w:val="20"/>
              </w:rPr>
              <w:t>Pavilion</w:t>
            </w:r>
            <w:r>
              <w:rPr>
                <w:rFonts w:ascii="Times New Roman" w:hAnsi="Times New Roman" w:cs="Times New Roman"/>
                <w:sz w:val="20"/>
                <w:szCs w:val="20"/>
              </w:rPr>
              <w:t xml:space="preserve"> </w:t>
            </w:r>
            <w:r w:rsidRPr="002E3EC0">
              <w:rPr>
                <w:rFonts w:ascii="Times New Roman" w:hAnsi="Times New Roman" w:cs="Times New Roman"/>
                <w:sz w:val="20"/>
                <w:szCs w:val="20"/>
              </w:rPr>
              <w:t>de distracții</w:t>
            </w:r>
          </w:p>
        </w:tc>
        <w:tc>
          <w:tcPr>
            <w:tcW w:w="1506" w:type="dxa"/>
          </w:tcPr>
          <w:p w14:paraId="7EB1FCC4" w14:textId="77777777" w:rsidR="009E33A0" w:rsidRPr="002E3EC0" w:rsidRDefault="009E33A0" w:rsidP="009E33A0">
            <w:pPr>
              <w:rPr>
                <w:rFonts w:ascii="Times New Roman" w:hAnsi="Times New Roman" w:cs="Times New Roman"/>
                <w:sz w:val="20"/>
                <w:szCs w:val="20"/>
              </w:rPr>
            </w:pPr>
            <w:r w:rsidRPr="002E3EC0">
              <w:rPr>
                <w:rFonts w:ascii="Times New Roman" w:hAnsi="Times New Roman" w:cs="Times New Roman"/>
                <w:sz w:val="20"/>
                <w:szCs w:val="20"/>
              </w:rPr>
              <w:t>Vadul lui Vodă</w:t>
            </w:r>
          </w:p>
        </w:tc>
        <w:tc>
          <w:tcPr>
            <w:tcW w:w="1320" w:type="dxa"/>
          </w:tcPr>
          <w:p w14:paraId="0D3AE21E"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273</w:t>
            </w:r>
          </w:p>
        </w:tc>
        <w:tc>
          <w:tcPr>
            <w:tcW w:w="1832" w:type="dxa"/>
          </w:tcPr>
          <w:p w14:paraId="27015691" w14:textId="0D92D5A9"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Neevaluat</w:t>
            </w:r>
          </w:p>
        </w:tc>
        <w:tc>
          <w:tcPr>
            <w:tcW w:w="1585" w:type="dxa"/>
          </w:tcPr>
          <w:p w14:paraId="7962BEF5" w14:textId="39B7D00F" w:rsidR="009E33A0" w:rsidRPr="005D0ABA" w:rsidRDefault="009E33A0" w:rsidP="009E33A0">
            <w:pPr>
              <w:jc w:val="center"/>
              <w:rPr>
                <w:rFonts w:ascii="Times New Roman" w:hAnsi="Times New Roman" w:cs="Times New Roman"/>
                <w:sz w:val="16"/>
                <w:szCs w:val="16"/>
              </w:rPr>
            </w:pPr>
            <w:r>
              <w:rPr>
                <w:rFonts w:ascii="Times New Roman" w:hAnsi="Times New Roman" w:cs="Times New Roman"/>
                <w:sz w:val="16"/>
                <w:szCs w:val="16"/>
              </w:rPr>
              <w:t>-</w:t>
            </w:r>
          </w:p>
        </w:tc>
      </w:tr>
      <w:tr w:rsidR="009E33A0" w:rsidRPr="002E3EC0" w14:paraId="0F42BADD" w14:textId="77777777" w:rsidTr="0034406A">
        <w:trPr>
          <w:trHeight w:val="379"/>
        </w:trPr>
        <w:tc>
          <w:tcPr>
            <w:tcW w:w="562" w:type="dxa"/>
          </w:tcPr>
          <w:p w14:paraId="50895520" w14:textId="77777777" w:rsidR="009E33A0" w:rsidRPr="005D0ABA" w:rsidRDefault="009E33A0" w:rsidP="009E33A0">
            <w:pPr>
              <w:jc w:val="center"/>
              <w:rPr>
                <w:rFonts w:ascii="Times New Roman" w:hAnsi="Times New Roman" w:cs="Times New Roman"/>
                <w:b/>
                <w:sz w:val="20"/>
                <w:szCs w:val="20"/>
              </w:rPr>
            </w:pPr>
            <w:r w:rsidRPr="005D0ABA">
              <w:rPr>
                <w:rFonts w:ascii="Times New Roman" w:hAnsi="Times New Roman" w:cs="Times New Roman"/>
                <w:b/>
                <w:sz w:val="20"/>
                <w:szCs w:val="20"/>
              </w:rPr>
              <w:t>19</w:t>
            </w:r>
          </w:p>
        </w:tc>
        <w:tc>
          <w:tcPr>
            <w:tcW w:w="2694" w:type="dxa"/>
          </w:tcPr>
          <w:p w14:paraId="3F939321" w14:textId="6C6917FC" w:rsidR="009E33A0" w:rsidRPr="002E3EC0" w:rsidRDefault="009E33A0" w:rsidP="009E33A0">
            <w:pPr>
              <w:rPr>
                <w:rFonts w:ascii="Times New Roman" w:hAnsi="Times New Roman" w:cs="Times New Roman"/>
                <w:sz w:val="20"/>
                <w:szCs w:val="20"/>
              </w:rPr>
            </w:pPr>
            <w:r w:rsidRPr="002E3EC0">
              <w:rPr>
                <w:rFonts w:ascii="Times New Roman" w:hAnsi="Times New Roman" w:cs="Times New Roman"/>
                <w:sz w:val="20"/>
                <w:szCs w:val="20"/>
              </w:rPr>
              <w:t>Edificiu lit I</w:t>
            </w:r>
            <w:r>
              <w:rPr>
                <w:rFonts w:ascii="Times New Roman" w:hAnsi="Times New Roman" w:cs="Times New Roman"/>
                <w:sz w:val="20"/>
                <w:szCs w:val="20"/>
              </w:rPr>
              <w:t>,</w:t>
            </w:r>
          </w:p>
          <w:p w14:paraId="1B801F0C" w14:textId="68D50400" w:rsidR="009E33A0" w:rsidRPr="002E3EC0" w:rsidRDefault="009E33A0" w:rsidP="009E33A0">
            <w:pPr>
              <w:rPr>
                <w:rFonts w:ascii="Times New Roman" w:hAnsi="Times New Roman" w:cs="Times New Roman"/>
                <w:sz w:val="20"/>
                <w:szCs w:val="20"/>
              </w:rPr>
            </w:pPr>
            <w:r>
              <w:rPr>
                <w:rFonts w:ascii="Times New Roman" w:hAnsi="Times New Roman" w:cs="Times New Roman"/>
                <w:sz w:val="20"/>
                <w:szCs w:val="20"/>
              </w:rPr>
              <w:t>(</w:t>
            </w:r>
            <w:r w:rsidRPr="002E3EC0">
              <w:rPr>
                <w:rFonts w:ascii="Times New Roman" w:hAnsi="Times New Roman" w:cs="Times New Roman"/>
                <w:sz w:val="20"/>
                <w:szCs w:val="20"/>
              </w:rPr>
              <w:t>3158301072.00.000.001</w:t>
            </w:r>
            <w:r>
              <w:rPr>
                <w:rFonts w:ascii="Times New Roman" w:hAnsi="Times New Roman" w:cs="Times New Roman"/>
                <w:sz w:val="20"/>
                <w:szCs w:val="20"/>
              </w:rPr>
              <w:t>)</w:t>
            </w:r>
          </w:p>
        </w:tc>
        <w:tc>
          <w:tcPr>
            <w:tcW w:w="1506" w:type="dxa"/>
          </w:tcPr>
          <w:p w14:paraId="1D33E2D5" w14:textId="77777777" w:rsidR="009E33A0" w:rsidRPr="002E3EC0" w:rsidRDefault="009E33A0" w:rsidP="009E33A0">
            <w:pPr>
              <w:jc w:val="center"/>
              <w:rPr>
                <w:rFonts w:ascii="Times New Roman" w:hAnsi="Times New Roman" w:cs="Times New Roman"/>
                <w:sz w:val="20"/>
                <w:szCs w:val="20"/>
              </w:rPr>
            </w:pPr>
            <w:r w:rsidRPr="002E3EC0">
              <w:rPr>
                <w:rFonts w:ascii="Times New Roman" w:hAnsi="Times New Roman" w:cs="Times New Roman"/>
                <w:sz w:val="20"/>
                <w:szCs w:val="20"/>
              </w:rPr>
              <w:t>V-Vodă</w:t>
            </w:r>
          </w:p>
          <w:p w14:paraId="6A91C631" w14:textId="77777777" w:rsidR="009E33A0" w:rsidRPr="002E3EC0" w:rsidRDefault="009E33A0" w:rsidP="009E33A0">
            <w:pPr>
              <w:jc w:val="center"/>
              <w:rPr>
                <w:rFonts w:ascii="Times New Roman" w:hAnsi="Times New Roman" w:cs="Times New Roman"/>
                <w:sz w:val="20"/>
                <w:szCs w:val="20"/>
              </w:rPr>
            </w:pPr>
            <w:r w:rsidRPr="002E3EC0">
              <w:rPr>
                <w:rFonts w:ascii="Times New Roman" w:hAnsi="Times New Roman" w:cs="Times New Roman"/>
                <w:sz w:val="20"/>
                <w:szCs w:val="20"/>
              </w:rPr>
              <w:t>Baza Universul</w:t>
            </w:r>
          </w:p>
        </w:tc>
        <w:tc>
          <w:tcPr>
            <w:tcW w:w="1320" w:type="dxa"/>
            <w:vMerge w:val="restart"/>
          </w:tcPr>
          <w:p w14:paraId="756D2435" w14:textId="7D78B28A"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Suprafața la sol pentru toate 4 edificii 373,1</w:t>
            </w:r>
            <w:r>
              <w:rPr>
                <w:rFonts w:ascii="Times New Roman" w:hAnsi="Times New Roman" w:cs="Times New Roman"/>
                <w:sz w:val="20"/>
                <w:szCs w:val="20"/>
                <w:lang w:val="ro-RO"/>
              </w:rPr>
              <w:t xml:space="preserve"> </w:t>
            </w:r>
            <w:r w:rsidRPr="002E3EC0">
              <w:rPr>
                <w:rFonts w:ascii="Times New Roman" w:hAnsi="Times New Roman" w:cs="Times New Roman"/>
                <w:sz w:val="20"/>
                <w:szCs w:val="20"/>
                <w:lang w:val="ro-RO"/>
              </w:rPr>
              <w:t xml:space="preserve"> </w:t>
            </w:r>
          </w:p>
          <w:p w14:paraId="7713005C" w14:textId="77777777" w:rsidR="009E33A0" w:rsidRPr="002E3EC0" w:rsidRDefault="009E33A0" w:rsidP="009E33A0">
            <w:pPr>
              <w:jc w:val="right"/>
              <w:rPr>
                <w:rFonts w:ascii="Times New Roman" w:hAnsi="Times New Roman" w:cs="Times New Roman"/>
                <w:sz w:val="20"/>
                <w:szCs w:val="20"/>
                <w:lang w:val="ro-RO"/>
              </w:rPr>
            </w:pPr>
          </w:p>
        </w:tc>
        <w:tc>
          <w:tcPr>
            <w:tcW w:w="1832" w:type="dxa"/>
          </w:tcPr>
          <w:p w14:paraId="2F01B40C"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31,5</w:t>
            </w:r>
          </w:p>
        </w:tc>
        <w:tc>
          <w:tcPr>
            <w:tcW w:w="1585" w:type="dxa"/>
            <w:vMerge w:val="restart"/>
          </w:tcPr>
          <w:p w14:paraId="6F64F61D" w14:textId="60AD8077" w:rsidR="009E33A0" w:rsidRPr="005D0ABA" w:rsidRDefault="009E33A0" w:rsidP="009E33A0">
            <w:pPr>
              <w:jc w:val="center"/>
              <w:rPr>
                <w:rFonts w:ascii="Times New Roman" w:hAnsi="Times New Roman" w:cs="Times New Roman"/>
                <w:sz w:val="16"/>
                <w:szCs w:val="16"/>
              </w:rPr>
            </w:pPr>
            <w:r>
              <w:rPr>
                <w:rFonts w:ascii="Times New Roman" w:hAnsi="Times New Roman" w:cs="Times New Roman"/>
                <w:sz w:val="16"/>
                <w:szCs w:val="16"/>
              </w:rPr>
              <w:t>Î</w:t>
            </w:r>
            <w:r w:rsidRPr="005D0ABA">
              <w:rPr>
                <w:rFonts w:ascii="Times New Roman" w:hAnsi="Times New Roman" w:cs="Times New Roman"/>
                <w:sz w:val="16"/>
                <w:szCs w:val="16"/>
              </w:rPr>
              <w:t xml:space="preserve">n </w:t>
            </w:r>
            <w:r>
              <w:rPr>
                <w:rFonts w:ascii="Times New Roman" w:hAnsi="Times New Roman" w:cs="Times New Roman"/>
                <w:sz w:val="16"/>
                <w:szCs w:val="16"/>
              </w:rPr>
              <w:t xml:space="preserve">RBI există înscrieri </w:t>
            </w:r>
            <w:r w:rsidRPr="005D0ABA">
              <w:rPr>
                <w:rFonts w:ascii="Times New Roman" w:hAnsi="Times New Roman" w:cs="Times New Roman"/>
                <w:sz w:val="16"/>
                <w:szCs w:val="16"/>
              </w:rPr>
              <w:t>doar la estimare</w:t>
            </w:r>
            <w:r>
              <w:rPr>
                <w:rFonts w:ascii="Times New Roman" w:hAnsi="Times New Roman" w:cs="Times New Roman"/>
                <w:sz w:val="16"/>
                <w:szCs w:val="16"/>
              </w:rPr>
              <w:t xml:space="preserve"> fără </w:t>
            </w:r>
            <w:r w:rsidRPr="005D0ABA">
              <w:rPr>
                <w:rFonts w:ascii="Times New Roman" w:hAnsi="Times New Roman" w:cs="Times New Roman"/>
                <w:sz w:val="16"/>
                <w:szCs w:val="16"/>
              </w:rPr>
              <w:t>suprafață</w:t>
            </w:r>
            <w:r>
              <w:rPr>
                <w:rFonts w:ascii="Times New Roman" w:hAnsi="Times New Roman" w:cs="Times New Roman"/>
                <w:sz w:val="16"/>
                <w:szCs w:val="16"/>
              </w:rPr>
              <w:t xml:space="preserve">, </w:t>
            </w:r>
            <w:r w:rsidRPr="005D0ABA">
              <w:rPr>
                <w:rFonts w:ascii="Times New Roman" w:hAnsi="Times New Roman" w:cs="Times New Roman"/>
                <w:sz w:val="16"/>
                <w:szCs w:val="16"/>
              </w:rPr>
              <w:t>urmează majorarea suprafeței la cadastru</w:t>
            </w:r>
            <w:r>
              <w:rPr>
                <w:rFonts w:ascii="Times New Roman" w:hAnsi="Times New Roman" w:cs="Times New Roman"/>
                <w:sz w:val="16"/>
                <w:szCs w:val="16"/>
              </w:rPr>
              <w:t xml:space="preserve"> datorită construcției.</w:t>
            </w:r>
          </w:p>
        </w:tc>
      </w:tr>
      <w:tr w:rsidR="009E33A0" w:rsidRPr="002E3EC0" w14:paraId="0DF8E218" w14:textId="77777777" w:rsidTr="0034406A">
        <w:trPr>
          <w:trHeight w:val="379"/>
        </w:trPr>
        <w:tc>
          <w:tcPr>
            <w:tcW w:w="562" w:type="dxa"/>
          </w:tcPr>
          <w:p w14:paraId="0E075B5F" w14:textId="77777777" w:rsidR="009E33A0" w:rsidRPr="005D0ABA" w:rsidRDefault="009E33A0" w:rsidP="009E33A0">
            <w:pPr>
              <w:jc w:val="center"/>
              <w:rPr>
                <w:rFonts w:ascii="Times New Roman" w:hAnsi="Times New Roman" w:cs="Times New Roman"/>
                <w:b/>
                <w:sz w:val="20"/>
                <w:szCs w:val="20"/>
              </w:rPr>
            </w:pPr>
            <w:r w:rsidRPr="005D0ABA">
              <w:rPr>
                <w:rFonts w:ascii="Times New Roman" w:hAnsi="Times New Roman" w:cs="Times New Roman"/>
                <w:b/>
                <w:sz w:val="20"/>
                <w:szCs w:val="20"/>
              </w:rPr>
              <w:t>20</w:t>
            </w:r>
          </w:p>
        </w:tc>
        <w:tc>
          <w:tcPr>
            <w:tcW w:w="2694" w:type="dxa"/>
          </w:tcPr>
          <w:p w14:paraId="4B490FFF" w14:textId="508AFFF5" w:rsidR="009E33A0" w:rsidRPr="002E3EC0" w:rsidRDefault="009E33A0" w:rsidP="009E33A0">
            <w:pPr>
              <w:rPr>
                <w:rFonts w:ascii="Times New Roman" w:hAnsi="Times New Roman" w:cs="Times New Roman"/>
                <w:sz w:val="20"/>
                <w:szCs w:val="20"/>
              </w:rPr>
            </w:pPr>
            <w:r>
              <w:rPr>
                <w:rFonts w:ascii="Times New Roman" w:hAnsi="Times New Roman" w:cs="Times New Roman"/>
                <w:sz w:val="20"/>
                <w:szCs w:val="20"/>
              </w:rPr>
              <w:t xml:space="preserve">Edificiu lit. </w:t>
            </w:r>
            <w:r w:rsidRPr="002E3EC0">
              <w:rPr>
                <w:rFonts w:ascii="Times New Roman" w:hAnsi="Times New Roman" w:cs="Times New Roman"/>
                <w:sz w:val="20"/>
                <w:szCs w:val="20"/>
              </w:rPr>
              <w:t>ii</w:t>
            </w:r>
            <w:r>
              <w:rPr>
                <w:rFonts w:ascii="Times New Roman" w:hAnsi="Times New Roman" w:cs="Times New Roman"/>
                <w:sz w:val="20"/>
                <w:szCs w:val="20"/>
              </w:rPr>
              <w:t>,</w:t>
            </w:r>
          </w:p>
          <w:p w14:paraId="4CF78439" w14:textId="1CDCD64C" w:rsidR="009E33A0" w:rsidRPr="002E3EC0" w:rsidRDefault="009E33A0" w:rsidP="009E33A0">
            <w:pPr>
              <w:rPr>
                <w:rFonts w:ascii="Times New Roman" w:hAnsi="Times New Roman" w:cs="Times New Roman"/>
                <w:sz w:val="20"/>
                <w:szCs w:val="20"/>
              </w:rPr>
            </w:pPr>
            <w:r>
              <w:rPr>
                <w:rFonts w:ascii="Times New Roman" w:hAnsi="Times New Roman" w:cs="Times New Roman"/>
                <w:sz w:val="20"/>
                <w:szCs w:val="20"/>
              </w:rPr>
              <w:t>(</w:t>
            </w:r>
            <w:r w:rsidRPr="002E3EC0">
              <w:rPr>
                <w:rFonts w:ascii="Times New Roman" w:hAnsi="Times New Roman" w:cs="Times New Roman"/>
                <w:sz w:val="20"/>
                <w:szCs w:val="20"/>
              </w:rPr>
              <w:t>3158301072.00.000.001</w:t>
            </w:r>
            <w:r>
              <w:rPr>
                <w:rFonts w:ascii="Times New Roman" w:hAnsi="Times New Roman" w:cs="Times New Roman"/>
                <w:sz w:val="20"/>
                <w:szCs w:val="20"/>
              </w:rPr>
              <w:t>)</w:t>
            </w:r>
          </w:p>
        </w:tc>
        <w:tc>
          <w:tcPr>
            <w:tcW w:w="1506" w:type="dxa"/>
          </w:tcPr>
          <w:p w14:paraId="4E986FB3" w14:textId="540895E2" w:rsidR="009E33A0" w:rsidRPr="002E3EC0" w:rsidRDefault="009E33A0" w:rsidP="009E33A0">
            <w:pPr>
              <w:jc w:val="center"/>
              <w:rPr>
                <w:rFonts w:ascii="Times New Roman" w:hAnsi="Times New Roman" w:cs="Times New Roman"/>
                <w:sz w:val="20"/>
                <w:szCs w:val="20"/>
              </w:rPr>
            </w:pPr>
            <w:r w:rsidRPr="002E3EC0">
              <w:rPr>
                <w:rFonts w:ascii="Times New Roman" w:hAnsi="Times New Roman" w:cs="Times New Roman"/>
                <w:sz w:val="20"/>
                <w:szCs w:val="20"/>
              </w:rPr>
              <w:t>Vadul lui Vodă</w:t>
            </w:r>
          </w:p>
        </w:tc>
        <w:tc>
          <w:tcPr>
            <w:tcW w:w="1320" w:type="dxa"/>
            <w:vMerge/>
          </w:tcPr>
          <w:p w14:paraId="4901FC92" w14:textId="19FCA777" w:rsidR="009E33A0" w:rsidRPr="002E3EC0" w:rsidRDefault="009E33A0" w:rsidP="009E33A0">
            <w:pPr>
              <w:jc w:val="right"/>
              <w:rPr>
                <w:rFonts w:ascii="Times New Roman" w:hAnsi="Times New Roman" w:cs="Times New Roman"/>
                <w:sz w:val="20"/>
                <w:szCs w:val="20"/>
                <w:lang w:val="ro-RO"/>
              </w:rPr>
            </w:pPr>
          </w:p>
        </w:tc>
        <w:tc>
          <w:tcPr>
            <w:tcW w:w="1832" w:type="dxa"/>
          </w:tcPr>
          <w:p w14:paraId="6C433F02"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0,5</w:t>
            </w:r>
          </w:p>
        </w:tc>
        <w:tc>
          <w:tcPr>
            <w:tcW w:w="1585" w:type="dxa"/>
            <w:vMerge/>
          </w:tcPr>
          <w:p w14:paraId="6AD524FD" w14:textId="0432C09C" w:rsidR="009E33A0" w:rsidRPr="005D0ABA" w:rsidRDefault="009E33A0" w:rsidP="009E33A0">
            <w:pPr>
              <w:jc w:val="center"/>
              <w:rPr>
                <w:rFonts w:ascii="Times New Roman" w:hAnsi="Times New Roman" w:cs="Times New Roman"/>
                <w:sz w:val="16"/>
                <w:szCs w:val="16"/>
              </w:rPr>
            </w:pPr>
          </w:p>
        </w:tc>
      </w:tr>
      <w:tr w:rsidR="009E33A0" w:rsidRPr="002E3EC0" w14:paraId="5C780145" w14:textId="77777777" w:rsidTr="0034406A">
        <w:trPr>
          <w:trHeight w:val="379"/>
        </w:trPr>
        <w:tc>
          <w:tcPr>
            <w:tcW w:w="562" w:type="dxa"/>
          </w:tcPr>
          <w:p w14:paraId="200660A7" w14:textId="77777777" w:rsidR="009E33A0" w:rsidRPr="005D0ABA" w:rsidRDefault="009E33A0" w:rsidP="009E33A0">
            <w:pPr>
              <w:jc w:val="center"/>
              <w:rPr>
                <w:rFonts w:ascii="Times New Roman" w:hAnsi="Times New Roman" w:cs="Times New Roman"/>
                <w:b/>
                <w:sz w:val="20"/>
                <w:szCs w:val="20"/>
              </w:rPr>
            </w:pPr>
            <w:r w:rsidRPr="005D0ABA">
              <w:rPr>
                <w:rFonts w:ascii="Times New Roman" w:hAnsi="Times New Roman" w:cs="Times New Roman"/>
                <w:b/>
                <w:sz w:val="20"/>
                <w:szCs w:val="20"/>
              </w:rPr>
              <w:t>21</w:t>
            </w:r>
          </w:p>
        </w:tc>
        <w:tc>
          <w:tcPr>
            <w:tcW w:w="2694" w:type="dxa"/>
          </w:tcPr>
          <w:p w14:paraId="2FB6A768" w14:textId="159F6901" w:rsidR="009E33A0" w:rsidRPr="002E3EC0" w:rsidRDefault="009E33A0" w:rsidP="009E33A0">
            <w:pPr>
              <w:rPr>
                <w:rFonts w:ascii="Times New Roman" w:hAnsi="Times New Roman" w:cs="Times New Roman"/>
                <w:sz w:val="20"/>
                <w:szCs w:val="20"/>
              </w:rPr>
            </w:pPr>
            <w:r w:rsidRPr="002E3EC0">
              <w:rPr>
                <w:rFonts w:ascii="Times New Roman" w:hAnsi="Times New Roman" w:cs="Times New Roman"/>
                <w:sz w:val="20"/>
                <w:szCs w:val="20"/>
              </w:rPr>
              <w:t>Edificiu lit</w:t>
            </w:r>
            <w:r>
              <w:rPr>
                <w:rFonts w:ascii="Times New Roman" w:hAnsi="Times New Roman" w:cs="Times New Roman"/>
                <w:sz w:val="20"/>
                <w:szCs w:val="20"/>
              </w:rPr>
              <w:t>.</w:t>
            </w:r>
            <w:r w:rsidRPr="002E3EC0">
              <w:rPr>
                <w:rFonts w:ascii="Times New Roman" w:hAnsi="Times New Roman" w:cs="Times New Roman"/>
                <w:sz w:val="20"/>
                <w:szCs w:val="20"/>
              </w:rPr>
              <w:t xml:space="preserve"> iii</w:t>
            </w:r>
            <w:r>
              <w:rPr>
                <w:rFonts w:ascii="Times New Roman" w:hAnsi="Times New Roman" w:cs="Times New Roman"/>
                <w:sz w:val="20"/>
                <w:szCs w:val="20"/>
              </w:rPr>
              <w:t>,</w:t>
            </w:r>
          </w:p>
          <w:p w14:paraId="0D41183A" w14:textId="34BD9B19" w:rsidR="009E33A0" w:rsidRPr="002E3EC0" w:rsidRDefault="009E33A0" w:rsidP="009E33A0">
            <w:pPr>
              <w:rPr>
                <w:rFonts w:ascii="Times New Roman" w:hAnsi="Times New Roman" w:cs="Times New Roman"/>
                <w:sz w:val="20"/>
                <w:szCs w:val="20"/>
              </w:rPr>
            </w:pPr>
            <w:r>
              <w:rPr>
                <w:rFonts w:ascii="Times New Roman" w:hAnsi="Times New Roman" w:cs="Times New Roman"/>
                <w:sz w:val="20"/>
                <w:szCs w:val="20"/>
              </w:rPr>
              <w:t>(</w:t>
            </w:r>
            <w:r w:rsidRPr="002E3EC0">
              <w:rPr>
                <w:rFonts w:ascii="Times New Roman" w:hAnsi="Times New Roman" w:cs="Times New Roman"/>
                <w:sz w:val="20"/>
                <w:szCs w:val="20"/>
              </w:rPr>
              <w:t>3158301072.00.000.001</w:t>
            </w:r>
            <w:r>
              <w:rPr>
                <w:rFonts w:ascii="Times New Roman" w:hAnsi="Times New Roman" w:cs="Times New Roman"/>
                <w:sz w:val="20"/>
                <w:szCs w:val="20"/>
              </w:rPr>
              <w:t>)</w:t>
            </w:r>
          </w:p>
        </w:tc>
        <w:tc>
          <w:tcPr>
            <w:tcW w:w="1506" w:type="dxa"/>
          </w:tcPr>
          <w:p w14:paraId="154B1B93" w14:textId="675ED838" w:rsidR="009E33A0" w:rsidRPr="002E3EC0" w:rsidRDefault="009E33A0" w:rsidP="009E33A0">
            <w:pPr>
              <w:jc w:val="center"/>
              <w:rPr>
                <w:rFonts w:ascii="Times New Roman" w:hAnsi="Times New Roman" w:cs="Times New Roman"/>
                <w:sz w:val="20"/>
                <w:szCs w:val="20"/>
              </w:rPr>
            </w:pPr>
            <w:r w:rsidRPr="002E3EC0">
              <w:rPr>
                <w:rFonts w:ascii="Times New Roman" w:hAnsi="Times New Roman" w:cs="Times New Roman"/>
                <w:sz w:val="20"/>
                <w:szCs w:val="20"/>
              </w:rPr>
              <w:t>Vadul lui Vodă</w:t>
            </w:r>
          </w:p>
        </w:tc>
        <w:tc>
          <w:tcPr>
            <w:tcW w:w="1320" w:type="dxa"/>
            <w:vMerge/>
          </w:tcPr>
          <w:p w14:paraId="7D6D9A36" w14:textId="0CB1459E" w:rsidR="009E33A0" w:rsidRPr="002E3EC0" w:rsidRDefault="009E33A0" w:rsidP="009E33A0">
            <w:pPr>
              <w:jc w:val="right"/>
              <w:rPr>
                <w:rFonts w:ascii="Times New Roman" w:hAnsi="Times New Roman" w:cs="Times New Roman"/>
                <w:sz w:val="20"/>
                <w:szCs w:val="20"/>
                <w:lang w:val="ro-RO"/>
              </w:rPr>
            </w:pPr>
          </w:p>
        </w:tc>
        <w:tc>
          <w:tcPr>
            <w:tcW w:w="1832" w:type="dxa"/>
          </w:tcPr>
          <w:p w14:paraId="70C1F237"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0,4</w:t>
            </w:r>
          </w:p>
        </w:tc>
        <w:tc>
          <w:tcPr>
            <w:tcW w:w="1585" w:type="dxa"/>
            <w:vMerge/>
          </w:tcPr>
          <w:p w14:paraId="5B7617B2" w14:textId="2A13D905" w:rsidR="009E33A0" w:rsidRPr="005D0ABA" w:rsidRDefault="009E33A0" w:rsidP="009E33A0">
            <w:pPr>
              <w:jc w:val="center"/>
              <w:rPr>
                <w:rFonts w:ascii="Times New Roman" w:hAnsi="Times New Roman" w:cs="Times New Roman"/>
                <w:sz w:val="16"/>
                <w:szCs w:val="16"/>
              </w:rPr>
            </w:pPr>
          </w:p>
        </w:tc>
      </w:tr>
      <w:tr w:rsidR="009E33A0" w:rsidRPr="002E3EC0" w14:paraId="0D4C4F1E" w14:textId="77777777" w:rsidTr="0034406A">
        <w:trPr>
          <w:trHeight w:val="379"/>
        </w:trPr>
        <w:tc>
          <w:tcPr>
            <w:tcW w:w="562" w:type="dxa"/>
          </w:tcPr>
          <w:p w14:paraId="02D5ACB4" w14:textId="77777777" w:rsidR="009E33A0" w:rsidRPr="005D0ABA" w:rsidRDefault="009E33A0" w:rsidP="009E33A0">
            <w:pPr>
              <w:jc w:val="center"/>
              <w:rPr>
                <w:rFonts w:ascii="Times New Roman" w:hAnsi="Times New Roman" w:cs="Times New Roman"/>
                <w:b/>
                <w:sz w:val="20"/>
                <w:szCs w:val="20"/>
              </w:rPr>
            </w:pPr>
            <w:r w:rsidRPr="005D0ABA">
              <w:rPr>
                <w:rFonts w:ascii="Times New Roman" w:hAnsi="Times New Roman" w:cs="Times New Roman"/>
                <w:b/>
                <w:sz w:val="20"/>
                <w:szCs w:val="20"/>
              </w:rPr>
              <w:t>22</w:t>
            </w:r>
          </w:p>
        </w:tc>
        <w:tc>
          <w:tcPr>
            <w:tcW w:w="2694" w:type="dxa"/>
          </w:tcPr>
          <w:p w14:paraId="5A4F39CD" w14:textId="0BB2D1A1" w:rsidR="009E33A0" w:rsidRPr="002E3EC0" w:rsidRDefault="009E33A0" w:rsidP="009E33A0">
            <w:pPr>
              <w:rPr>
                <w:rFonts w:ascii="Times New Roman" w:hAnsi="Times New Roman" w:cs="Times New Roman"/>
                <w:sz w:val="20"/>
                <w:szCs w:val="20"/>
              </w:rPr>
            </w:pPr>
            <w:r w:rsidRPr="002E3EC0">
              <w:rPr>
                <w:rFonts w:ascii="Times New Roman" w:hAnsi="Times New Roman" w:cs="Times New Roman"/>
                <w:sz w:val="20"/>
                <w:szCs w:val="20"/>
              </w:rPr>
              <w:t>Edificiu lit</w:t>
            </w:r>
            <w:r>
              <w:rPr>
                <w:rFonts w:ascii="Times New Roman" w:hAnsi="Times New Roman" w:cs="Times New Roman"/>
                <w:sz w:val="20"/>
                <w:szCs w:val="20"/>
              </w:rPr>
              <w:t>.</w:t>
            </w:r>
            <w:r w:rsidRPr="002E3EC0">
              <w:rPr>
                <w:rFonts w:ascii="Times New Roman" w:hAnsi="Times New Roman" w:cs="Times New Roman"/>
                <w:sz w:val="20"/>
                <w:szCs w:val="20"/>
              </w:rPr>
              <w:t xml:space="preserve"> iv</w:t>
            </w:r>
            <w:r>
              <w:rPr>
                <w:rFonts w:ascii="Times New Roman" w:hAnsi="Times New Roman" w:cs="Times New Roman"/>
                <w:sz w:val="20"/>
                <w:szCs w:val="20"/>
              </w:rPr>
              <w:t>,</w:t>
            </w:r>
          </w:p>
          <w:p w14:paraId="2C694119" w14:textId="7CDFB2C1" w:rsidR="009E33A0" w:rsidRPr="002E3EC0" w:rsidRDefault="009E33A0" w:rsidP="009E33A0">
            <w:pPr>
              <w:rPr>
                <w:rFonts w:ascii="Times New Roman" w:hAnsi="Times New Roman" w:cs="Times New Roman"/>
                <w:sz w:val="20"/>
                <w:szCs w:val="20"/>
              </w:rPr>
            </w:pPr>
            <w:r>
              <w:rPr>
                <w:rFonts w:ascii="Times New Roman" w:hAnsi="Times New Roman" w:cs="Times New Roman"/>
                <w:sz w:val="20"/>
                <w:szCs w:val="20"/>
              </w:rPr>
              <w:t>(</w:t>
            </w:r>
            <w:r w:rsidRPr="002E3EC0">
              <w:rPr>
                <w:rFonts w:ascii="Times New Roman" w:hAnsi="Times New Roman" w:cs="Times New Roman"/>
                <w:sz w:val="20"/>
                <w:szCs w:val="20"/>
              </w:rPr>
              <w:t>3158301072.00.000.001</w:t>
            </w:r>
            <w:r>
              <w:rPr>
                <w:rFonts w:ascii="Times New Roman" w:hAnsi="Times New Roman" w:cs="Times New Roman"/>
                <w:sz w:val="20"/>
                <w:szCs w:val="20"/>
              </w:rPr>
              <w:t>)</w:t>
            </w:r>
          </w:p>
        </w:tc>
        <w:tc>
          <w:tcPr>
            <w:tcW w:w="1506" w:type="dxa"/>
          </w:tcPr>
          <w:p w14:paraId="5CF31B78" w14:textId="72F717D3" w:rsidR="009E33A0" w:rsidRPr="002E3EC0" w:rsidRDefault="009E33A0" w:rsidP="009E33A0">
            <w:pPr>
              <w:jc w:val="center"/>
              <w:rPr>
                <w:rFonts w:ascii="Times New Roman" w:hAnsi="Times New Roman" w:cs="Times New Roman"/>
                <w:sz w:val="20"/>
                <w:szCs w:val="20"/>
              </w:rPr>
            </w:pPr>
            <w:r w:rsidRPr="002E3EC0">
              <w:rPr>
                <w:rFonts w:ascii="Times New Roman" w:hAnsi="Times New Roman" w:cs="Times New Roman"/>
                <w:sz w:val="20"/>
                <w:szCs w:val="20"/>
              </w:rPr>
              <w:t>Vadul lui Vodă</w:t>
            </w:r>
          </w:p>
        </w:tc>
        <w:tc>
          <w:tcPr>
            <w:tcW w:w="1320" w:type="dxa"/>
            <w:vMerge/>
          </w:tcPr>
          <w:p w14:paraId="7571BE0E" w14:textId="07C87985" w:rsidR="009E33A0" w:rsidRPr="002E3EC0" w:rsidRDefault="009E33A0" w:rsidP="009E33A0">
            <w:pPr>
              <w:jc w:val="right"/>
              <w:rPr>
                <w:rFonts w:ascii="Times New Roman" w:hAnsi="Times New Roman" w:cs="Times New Roman"/>
                <w:sz w:val="20"/>
                <w:szCs w:val="20"/>
                <w:lang w:val="ro-RO"/>
              </w:rPr>
            </w:pPr>
          </w:p>
        </w:tc>
        <w:tc>
          <w:tcPr>
            <w:tcW w:w="1832" w:type="dxa"/>
          </w:tcPr>
          <w:p w14:paraId="27951BC5"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36,7</w:t>
            </w:r>
          </w:p>
        </w:tc>
        <w:tc>
          <w:tcPr>
            <w:tcW w:w="1585" w:type="dxa"/>
            <w:vMerge/>
          </w:tcPr>
          <w:p w14:paraId="1E5711A3" w14:textId="56795F12" w:rsidR="009E33A0" w:rsidRPr="005D0ABA" w:rsidRDefault="009E33A0" w:rsidP="009E33A0">
            <w:pPr>
              <w:jc w:val="center"/>
              <w:rPr>
                <w:rFonts w:ascii="Times New Roman" w:hAnsi="Times New Roman" w:cs="Times New Roman"/>
                <w:sz w:val="16"/>
                <w:szCs w:val="16"/>
              </w:rPr>
            </w:pPr>
          </w:p>
        </w:tc>
      </w:tr>
      <w:tr w:rsidR="009E33A0" w:rsidRPr="002E3EC0" w14:paraId="6D0306E6" w14:textId="77777777" w:rsidTr="0034406A">
        <w:trPr>
          <w:trHeight w:val="379"/>
        </w:trPr>
        <w:tc>
          <w:tcPr>
            <w:tcW w:w="562" w:type="dxa"/>
          </w:tcPr>
          <w:p w14:paraId="4383EE84" w14:textId="77777777" w:rsidR="009E33A0" w:rsidRPr="005D0ABA" w:rsidRDefault="009E33A0" w:rsidP="009E33A0">
            <w:pPr>
              <w:jc w:val="center"/>
              <w:rPr>
                <w:rFonts w:ascii="Times New Roman" w:hAnsi="Times New Roman" w:cs="Times New Roman"/>
                <w:b/>
                <w:sz w:val="20"/>
                <w:szCs w:val="20"/>
              </w:rPr>
            </w:pPr>
            <w:r w:rsidRPr="005D0ABA">
              <w:rPr>
                <w:rFonts w:ascii="Times New Roman" w:hAnsi="Times New Roman" w:cs="Times New Roman"/>
                <w:b/>
                <w:sz w:val="20"/>
                <w:szCs w:val="20"/>
              </w:rPr>
              <w:t>23</w:t>
            </w:r>
          </w:p>
        </w:tc>
        <w:tc>
          <w:tcPr>
            <w:tcW w:w="2694" w:type="dxa"/>
          </w:tcPr>
          <w:p w14:paraId="376215C5" w14:textId="711D8125" w:rsidR="009E33A0" w:rsidRPr="005D0ABA" w:rsidRDefault="009E33A0" w:rsidP="009E33A0">
            <w:pPr>
              <w:rPr>
                <w:rFonts w:ascii="Times New Roman" w:hAnsi="Times New Roman" w:cs="Times New Roman"/>
                <w:sz w:val="20"/>
                <w:szCs w:val="20"/>
              </w:rPr>
            </w:pPr>
            <w:r>
              <w:rPr>
                <w:rFonts w:ascii="Times New Roman" w:hAnsi="Times New Roman" w:cs="Times New Roman"/>
                <w:sz w:val="20"/>
                <w:szCs w:val="20"/>
              </w:rPr>
              <w:t>Construcție,</w:t>
            </w:r>
          </w:p>
          <w:p w14:paraId="48E9FBE9" w14:textId="723C8617" w:rsidR="009E33A0" w:rsidRPr="005D0ABA" w:rsidRDefault="009E33A0" w:rsidP="009E33A0">
            <w:pPr>
              <w:rPr>
                <w:rFonts w:ascii="Times New Roman" w:hAnsi="Times New Roman" w:cs="Times New Roman"/>
                <w:sz w:val="20"/>
                <w:szCs w:val="20"/>
              </w:rPr>
            </w:pPr>
            <w:r>
              <w:rPr>
                <w:rFonts w:ascii="Times New Roman" w:hAnsi="Times New Roman" w:cs="Times New Roman"/>
                <w:sz w:val="20"/>
                <w:szCs w:val="20"/>
              </w:rPr>
              <w:t>(</w:t>
            </w:r>
            <w:r w:rsidRPr="005D0ABA">
              <w:rPr>
                <w:rFonts w:ascii="Times New Roman" w:hAnsi="Times New Roman" w:cs="Times New Roman"/>
                <w:sz w:val="20"/>
                <w:szCs w:val="20"/>
              </w:rPr>
              <w:t>0100206168.02</w:t>
            </w:r>
            <w:r>
              <w:rPr>
                <w:rFonts w:ascii="Times New Roman" w:hAnsi="Times New Roman" w:cs="Times New Roman"/>
                <w:sz w:val="20"/>
                <w:szCs w:val="20"/>
              </w:rPr>
              <w:t>)</w:t>
            </w:r>
          </w:p>
        </w:tc>
        <w:tc>
          <w:tcPr>
            <w:tcW w:w="1506" w:type="dxa"/>
          </w:tcPr>
          <w:p w14:paraId="5371EF36" w14:textId="1A57D51B" w:rsidR="009E33A0" w:rsidRPr="005D0ABA" w:rsidRDefault="009E33A0" w:rsidP="009E33A0">
            <w:pPr>
              <w:jc w:val="center"/>
              <w:rPr>
                <w:rFonts w:ascii="Times New Roman" w:hAnsi="Times New Roman" w:cs="Times New Roman"/>
                <w:sz w:val="20"/>
                <w:szCs w:val="20"/>
              </w:rPr>
            </w:pPr>
            <w:r>
              <w:rPr>
                <w:rFonts w:ascii="Times New Roman" w:hAnsi="Times New Roman" w:cs="Times New Roman"/>
                <w:sz w:val="20"/>
                <w:szCs w:val="20"/>
              </w:rPr>
              <w:t xml:space="preserve">Bd. </w:t>
            </w:r>
            <w:r w:rsidRPr="005D0ABA">
              <w:rPr>
                <w:rFonts w:ascii="Times New Roman" w:hAnsi="Times New Roman" w:cs="Times New Roman"/>
                <w:sz w:val="20"/>
                <w:szCs w:val="20"/>
              </w:rPr>
              <w:t>Ștefan cel Mare</w:t>
            </w:r>
            <w:r>
              <w:rPr>
                <w:rFonts w:ascii="Times New Roman" w:hAnsi="Times New Roman" w:cs="Times New Roman"/>
                <w:sz w:val="20"/>
                <w:szCs w:val="20"/>
              </w:rPr>
              <w:t>, nr.</w:t>
            </w:r>
            <w:r w:rsidRPr="005D0ABA">
              <w:rPr>
                <w:rFonts w:ascii="Times New Roman" w:hAnsi="Times New Roman" w:cs="Times New Roman"/>
                <w:sz w:val="20"/>
                <w:szCs w:val="20"/>
              </w:rPr>
              <w:t>124</w:t>
            </w:r>
          </w:p>
        </w:tc>
        <w:tc>
          <w:tcPr>
            <w:tcW w:w="1320" w:type="dxa"/>
          </w:tcPr>
          <w:p w14:paraId="54F2D517" w14:textId="37B577FD" w:rsidR="009E33A0" w:rsidRPr="005D0ABA" w:rsidRDefault="009E33A0" w:rsidP="009E33A0">
            <w:pPr>
              <w:jc w:val="right"/>
              <w:rPr>
                <w:rFonts w:ascii="Times New Roman" w:hAnsi="Times New Roman" w:cs="Times New Roman"/>
                <w:sz w:val="20"/>
                <w:szCs w:val="20"/>
                <w:lang w:val="ro-RO"/>
              </w:rPr>
            </w:pPr>
            <w:r w:rsidRPr="005D0ABA">
              <w:rPr>
                <w:rFonts w:ascii="Times New Roman" w:hAnsi="Times New Roman" w:cs="Times New Roman"/>
                <w:sz w:val="20"/>
                <w:szCs w:val="20"/>
                <w:lang w:val="ro-RO"/>
              </w:rPr>
              <w:t>1694</w:t>
            </w:r>
            <w:r>
              <w:rPr>
                <w:rFonts w:ascii="Times New Roman" w:hAnsi="Times New Roman" w:cs="Times New Roman"/>
                <w:sz w:val="20"/>
                <w:szCs w:val="20"/>
                <w:lang w:val="ro-RO"/>
              </w:rPr>
              <w:t>,0</w:t>
            </w:r>
          </w:p>
        </w:tc>
        <w:tc>
          <w:tcPr>
            <w:tcW w:w="1832" w:type="dxa"/>
          </w:tcPr>
          <w:p w14:paraId="02E5B178"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1839,8</w:t>
            </w:r>
          </w:p>
        </w:tc>
        <w:tc>
          <w:tcPr>
            <w:tcW w:w="1585" w:type="dxa"/>
          </w:tcPr>
          <w:p w14:paraId="40D60177" w14:textId="6EA54BBE" w:rsidR="009E33A0" w:rsidRPr="005D0ABA" w:rsidRDefault="009E33A0" w:rsidP="009E33A0">
            <w:pPr>
              <w:jc w:val="center"/>
              <w:rPr>
                <w:rFonts w:ascii="Times New Roman" w:hAnsi="Times New Roman" w:cs="Times New Roman"/>
                <w:sz w:val="16"/>
                <w:szCs w:val="16"/>
              </w:rPr>
            </w:pPr>
            <w:r w:rsidRPr="005D0ABA">
              <w:rPr>
                <w:rFonts w:ascii="Times New Roman" w:hAnsi="Times New Roman" w:cs="Times New Roman"/>
                <w:sz w:val="16"/>
                <w:szCs w:val="16"/>
              </w:rPr>
              <w:t>Nu s-a solicitat înregistra</w:t>
            </w:r>
            <w:r>
              <w:rPr>
                <w:rFonts w:ascii="Times New Roman" w:hAnsi="Times New Roman" w:cs="Times New Roman"/>
                <w:sz w:val="16"/>
                <w:szCs w:val="16"/>
              </w:rPr>
              <w:t>r</w:t>
            </w:r>
            <w:r w:rsidRPr="005D0ABA">
              <w:rPr>
                <w:rFonts w:ascii="Times New Roman" w:hAnsi="Times New Roman" w:cs="Times New Roman"/>
                <w:sz w:val="16"/>
                <w:szCs w:val="16"/>
              </w:rPr>
              <w:t>ea dreptului</w:t>
            </w:r>
            <w:r>
              <w:rPr>
                <w:rFonts w:ascii="Times New Roman" w:hAnsi="Times New Roman" w:cs="Times New Roman"/>
                <w:sz w:val="16"/>
                <w:szCs w:val="16"/>
              </w:rPr>
              <w:t>.</w:t>
            </w:r>
          </w:p>
        </w:tc>
      </w:tr>
      <w:tr w:rsidR="009E33A0" w:rsidRPr="002E3EC0" w14:paraId="73D8F67F" w14:textId="77777777" w:rsidTr="0034406A">
        <w:trPr>
          <w:trHeight w:val="379"/>
        </w:trPr>
        <w:tc>
          <w:tcPr>
            <w:tcW w:w="562" w:type="dxa"/>
          </w:tcPr>
          <w:p w14:paraId="282CA024" w14:textId="77777777" w:rsidR="009E33A0" w:rsidRPr="005D0ABA" w:rsidRDefault="009E33A0" w:rsidP="009E33A0">
            <w:pPr>
              <w:jc w:val="center"/>
              <w:rPr>
                <w:rFonts w:ascii="Times New Roman" w:hAnsi="Times New Roman" w:cs="Times New Roman"/>
                <w:b/>
                <w:sz w:val="20"/>
                <w:szCs w:val="20"/>
              </w:rPr>
            </w:pPr>
            <w:r w:rsidRPr="005D0ABA">
              <w:rPr>
                <w:rFonts w:ascii="Times New Roman" w:hAnsi="Times New Roman" w:cs="Times New Roman"/>
                <w:b/>
                <w:sz w:val="20"/>
                <w:szCs w:val="20"/>
              </w:rPr>
              <w:t>24</w:t>
            </w:r>
          </w:p>
        </w:tc>
        <w:tc>
          <w:tcPr>
            <w:tcW w:w="2694" w:type="dxa"/>
          </w:tcPr>
          <w:p w14:paraId="53083ED9" w14:textId="02E28F1B" w:rsidR="009E33A0" w:rsidRPr="002E3EC0" w:rsidRDefault="009E33A0" w:rsidP="009E33A0">
            <w:pPr>
              <w:rPr>
                <w:rFonts w:ascii="Times New Roman" w:hAnsi="Times New Roman" w:cs="Times New Roman"/>
                <w:sz w:val="20"/>
                <w:szCs w:val="20"/>
              </w:rPr>
            </w:pPr>
            <w:r w:rsidRPr="002E3EC0">
              <w:rPr>
                <w:rFonts w:ascii="Times New Roman" w:hAnsi="Times New Roman" w:cs="Times New Roman"/>
                <w:sz w:val="20"/>
                <w:szCs w:val="20"/>
              </w:rPr>
              <w:t xml:space="preserve">Casa </w:t>
            </w:r>
            <w:r>
              <w:rPr>
                <w:rFonts w:ascii="Times New Roman" w:hAnsi="Times New Roman" w:cs="Times New Roman"/>
                <w:sz w:val="20"/>
                <w:szCs w:val="20"/>
              </w:rPr>
              <w:t>d</w:t>
            </w:r>
            <w:r w:rsidRPr="002E3EC0">
              <w:rPr>
                <w:rFonts w:ascii="Times New Roman" w:hAnsi="Times New Roman" w:cs="Times New Roman"/>
                <w:sz w:val="20"/>
                <w:szCs w:val="20"/>
              </w:rPr>
              <w:t>e gospodări</w:t>
            </w:r>
            <w:r>
              <w:rPr>
                <w:rFonts w:ascii="Times New Roman" w:hAnsi="Times New Roman" w:cs="Times New Roman"/>
                <w:sz w:val="20"/>
                <w:szCs w:val="20"/>
              </w:rPr>
              <w:t>e Baza de odihnă „La Z</w:t>
            </w:r>
            <w:r w:rsidRPr="002E3EC0">
              <w:rPr>
                <w:rFonts w:ascii="Times New Roman" w:hAnsi="Times New Roman" w:cs="Times New Roman"/>
                <w:sz w:val="20"/>
                <w:szCs w:val="20"/>
              </w:rPr>
              <w:t>ăvoi”</w:t>
            </w:r>
          </w:p>
        </w:tc>
        <w:tc>
          <w:tcPr>
            <w:tcW w:w="1506" w:type="dxa"/>
          </w:tcPr>
          <w:p w14:paraId="7E5FE664" w14:textId="77777777" w:rsidR="009E33A0" w:rsidRPr="002E3EC0" w:rsidRDefault="009E33A0" w:rsidP="009E33A0">
            <w:pPr>
              <w:rPr>
                <w:rFonts w:ascii="Times New Roman" w:hAnsi="Times New Roman" w:cs="Times New Roman"/>
                <w:sz w:val="20"/>
                <w:szCs w:val="20"/>
              </w:rPr>
            </w:pPr>
            <w:r w:rsidRPr="002E3EC0">
              <w:rPr>
                <w:rFonts w:ascii="Times New Roman" w:hAnsi="Times New Roman" w:cs="Times New Roman"/>
                <w:sz w:val="20"/>
                <w:szCs w:val="20"/>
              </w:rPr>
              <w:t>Vadul lui Vodă</w:t>
            </w:r>
          </w:p>
        </w:tc>
        <w:tc>
          <w:tcPr>
            <w:tcW w:w="1320" w:type="dxa"/>
          </w:tcPr>
          <w:p w14:paraId="4016892F"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108,0</w:t>
            </w:r>
          </w:p>
        </w:tc>
        <w:tc>
          <w:tcPr>
            <w:tcW w:w="1832" w:type="dxa"/>
          </w:tcPr>
          <w:p w14:paraId="3B99977B"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61,8</w:t>
            </w:r>
          </w:p>
        </w:tc>
        <w:tc>
          <w:tcPr>
            <w:tcW w:w="1585" w:type="dxa"/>
          </w:tcPr>
          <w:p w14:paraId="0E55277F" w14:textId="025A9995" w:rsidR="009E33A0" w:rsidRPr="005D0ABA" w:rsidRDefault="009E33A0" w:rsidP="009E33A0">
            <w:pPr>
              <w:jc w:val="center"/>
              <w:rPr>
                <w:rFonts w:ascii="Times New Roman" w:hAnsi="Times New Roman" w:cs="Times New Roman"/>
                <w:sz w:val="16"/>
                <w:szCs w:val="16"/>
              </w:rPr>
            </w:pPr>
            <w:r w:rsidRPr="005D0ABA">
              <w:rPr>
                <w:rFonts w:ascii="Times New Roman" w:hAnsi="Times New Roman" w:cs="Times New Roman"/>
                <w:sz w:val="16"/>
                <w:szCs w:val="16"/>
              </w:rPr>
              <w:t xml:space="preserve">Suprafața stabilită </w:t>
            </w:r>
            <w:r>
              <w:rPr>
                <w:rFonts w:ascii="Times New Roman" w:hAnsi="Times New Roman" w:cs="Times New Roman"/>
                <w:sz w:val="16"/>
                <w:szCs w:val="16"/>
              </w:rPr>
              <w:t>potrivit altor</w:t>
            </w:r>
            <w:r w:rsidRPr="005D0ABA">
              <w:rPr>
                <w:rFonts w:ascii="Times New Roman" w:hAnsi="Times New Roman" w:cs="Times New Roman"/>
                <w:sz w:val="16"/>
                <w:szCs w:val="16"/>
              </w:rPr>
              <w:t xml:space="preserve"> construcții similare</w:t>
            </w:r>
            <w:r>
              <w:rPr>
                <w:rFonts w:ascii="Times New Roman" w:hAnsi="Times New Roman" w:cs="Times New Roman"/>
                <w:sz w:val="16"/>
                <w:szCs w:val="16"/>
              </w:rPr>
              <w:t>.</w:t>
            </w:r>
          </w:p>
        </w:tc>
      </w:tr>
      <w:tr w:rsidR="009E33A0" w:rsidRPr="002E3EC0" w14:paraId="772D44DE" w14:textId="77777777" w:rsidTr="00D47FB8">
        <w:trPr>
          <w:trHeight w:val="317"/>
        </w:trPr>
        <w:tc>
          <w:tcPr>
            <w:tcW w:w="4762" w:type="dxa"/>
            <w:gridSpan w:val="3"/>
          </w:tcPr>
          <w:p w14:paraId="38338F65" w14:textId="76C1EA86" w:rsidR="009E33A0" w:rsidRPr="005D0ABA" w:rsidRDefault="009E33A0" w:rsidP="009E33A0">
            <w:pPr>
              <w:jc w:val="right"/>
              <w:rPr>
                <w:rFonts w:ascii="Times New Roman" w:hAnsi="Times New Roman" w:cs="Times New Roman"/>
                <w:b/>
                <w:sz w:val="20"/>
                <w:szCs w:val="20"/>
              </w:rPr>
            </w:pPr>
            <w:r>
              <w:rPr>
                <w:rFonts w:ascii="Times New Roman" w:hAnsi="Times New Roman" w:cs="Times New Roman"/>
                <w:b/>
                <w:sz w:val="20"/>
                <w:szCs w:val="20"/>
              </w:rPr>
              <w:t xml:space="preserve">TOTAL  </w:t>
            </w:r>
          </w:p>
        </w:tc>
        <w:tc>
          <w:tcPr>
            <w:tcW w:w="1320" w:type="dxa"/>
          </w:tcPr>
          <w:p w14:paraId="2D10EDE2" w14:textId="5480BCAE" w:rsidR="009E33A0" w:rsidRPr="005D0ABA" w:rsidRDefault="009E33A0" w:rsidP="009E33A0">
            <w:pPr>
              <w:rPr>
                <w:rFonts w:ascii="Times New Roman" w:hAnsi="Times New Roman" w:cs="Times New Roman"/>
                <w:b/>
                <w:sz w:val="20"/>
                <w:szCs w:val="20"/>
                <w:lang w:val="ro-RO"/>
              </w:rPr>
            </w:pPr>
            <w:r>
              <w:rPr>
                <w:rFonts w:ascii="Times New Roman" w:hAnsi="Times New Roman" w:cs="Times New Roman"/>
                <w:b/>
                <w:sz w:val="20"/>
                <w:szCs w:val="20"/>
                <w:lang w:val="ro-RO"/>
              </w:rPr>
              <w:t xml:space="preserve">   </w:t>
            </w:r>
            <w:r w:rsidRPr="005D0ABA">
              <w:rPr>
                <w:rFonts w:ascii="Times New Roman" w:hAnsi="Times New Roman" w:cs="Times New Roman"/>
                <w:b/>
                <w:sz w:val="20"/>
                <w:szCs w:val="20"/>
                <w:lang w:val="ro-RO"/>
              </w:rPr>
              <w:t xml:space="preserve"> 3601,14</w:t>
            </w:r>
          </w:p>
        </w:tc>
        <w:tc>
          <w:tcPr>
            <w:tcW w:w="1832" w:type="dxa"/>
          </w:tcPr>
          <w:p w14:paraId="7D82C8EB" w14:textId="77777777" w:rsidR="009E33A0" w:rsidRPr="005D0ABA" w:rsidRDefault="009E33A0" w:rsidP="009E33A0">
            <w:pPr>
              <w:jc w:val="right"/>
              <w:rPr>
                <w:rFonts w:ascii="Times New Roman" w:hAnsi="Times New Roman" w:cs="Times New Roman"/>
                <w:b/>
                <w:sz w:val="20"/>
                <w:szCs w:val="20"/>
                <w:lang w:val="ro-RO"/>
              </w:rPr>
            </w:pPr>
            <w:r w:rsidRPr="005D0ABA">
              <w:rPr>
                <w:rFonts w:ascii="Times New Roman" w:hAnsi="Times New Roman" w:cs="Times New Roman"/>
                <w:b/>
                <w:sz w:val="20"/>
                <w:szCs w:val="20"/>
                <w:lang w:val="ro-RO"/>
              </w:rPr>
              <w:t>3146,0</w:t>
            </w:r>
          </w:p>
        </w:tc>
        <w:tc>
          <w:tcPr>
            <w:tcW w:w="1585" w:type="dxa"/>
          </w:tcPr>
          <w:p w14:paraId="1D62ED10" w14:textId="718FF585" w:rsidR="009E33A0" w:rsidRPr="005D0ABA" w:rsidRDefault="009E33A0" w:rsidP="009E33A0">
            <w:pPr>
              <w:jc w:val="center"/>
              <w:rPr>
                <w:rFonts w:ascii="Times New Roman" w:hAnsi="Times New Roman" w:cs="Times New Roman"/>
                <w:b/>
                <w:sz w:val="16"/>
                <w:szCs w:val="16"/>
              </w:rPr>
            </w:pPr>
            <w:r>
              <w:rPr>
                <w:rFonts w:ascii="Times New Roman" w:hAnsi="Times New Roman" w:cs="Times New Roman"/>
                <w:b/>
                <w:sz w:val="16"/>
                <w:szCs w:val="16"/>
              </w:rPr>
              <w:t>x</w:t>
            </w:r>
          </w:p>
        </w:tc>
      </w:tr>
    </w:tbl>
    <w:p w14:paraId="57F07ADD" w14:textId="6B14AD4B" w:rsidR="001744FA" w:rsidRPr="00000D4A" w:rsidRDefault="001744FA" w:rsidP="001744FA">
      <w:pPr>
        <w:pStyle w:val="af0"/>
        <w:tabs>
          <w:tab w:val="left" w:pos="5869"/>
        </w:tabs>
        <w:spacing w:after="360" w:line="276" w:lineRule="auto"/>
        <w:rPr>
          <w:rFonts w:eastAsia="Times New Roman"/>
          <w:i/>
          <w:sz w:val="16"/>
          <w:szCs w:val="16"/>
          <w:lang w:eastAsia="ro-MD"/>
        </w:rPr>
      </w:pPr>
      <w:r w:rsidRPr="00000D4A">
        <w:rPr>
          <w:rFonts w:eastAsia="Times New Roman"/>
          <w:b/>
          <w:i/>
          <w:sz w:val="16"/>
          <w:szCs w:val="16"/>
          <w:lang w:eastAsia="ro-MD"/>
        </w:rPr>
        <w:t>Sursă:</w:t>
      </w:r>
      <w:r w:rsidRPr="00000D4A">
        <w:rPr>
          <w:rFonts w:eastAsia="Times New Roman"/>
          <w:i/>
          <w:sz w:val="16"/>
          <w:szCs w:val="16"/>
          <w:lang w:eastAsia="ro-MD"/>
        </w:rPr>
        <w:t xml:space="preserve"> Elaborată în baza</w:t>
      </w:r>
      <w:r w:rsidR="00BA69A9">
        <w:rPr>
          <w:rFonts w:eastAsia="Times New Roman"/>
          <w:i/>
          <w:sz w:val="16"/>
          <w:szCs w:val="16"/>
          <w:lang w:eastAsia="ro-MD"/>
        </w:rPr>
        <w:t xml:space="preserve"> </w:t>
      </w:r>
      <w:r>
        <w:rPr>
          <w:rFonts w:eastAsia="Times New Roman"/>
          <w:i/>
          <w:sz w:val="16"/>
          <w:szCs w:val="16"/>
          <w:lang w:eastAsia="ro-MD"/>
        </w:rPr>
        <w:t>informațiilor prezentate DGACG</w:t>
      </w:r>
    </w:p>
    <w:p w14:paraId="7C71EE19" w14:textId="0C50BB4B" w:rsidR="00E52AC1" w:rsidRPr="00346DAE" w:rsidRDefault="0017622E" w:rsidP="00E52AC1">
      <w:pPr>
        <w:spacing w:line="276" w:lineRule="auto"/>
        <w:jc w:val="both"/>
        <w:rPr>
          <w:rFonts w:ascii="Times New Roman" w:eastAsia="Times New Roman" w:hAnsi="Times New Roman" w:cs="Times New Roman"/>
          <w:b/>
          <w:bCs/>
          <w:iCs/>
          <w:color w:val="0070C0"/>
          <w:sz w:val="24"/>
          <w:szCs w:val="24"/>
        </w:rPr>
      </w:pPr>
      <w:r>
        <w:rPr>
          <w:rFonts w:ascii="Times New Roman" w:eastAsia="Times New Roman" w:hAnsi="Times New Roman" w:cs="Times New Roman"/>
          <w:b/>
          <w:bCs/>
          <w:iCs/>
          <w:color w:val="0070C0"/>
          <w:sz w:val="24"/>
          <w:szCs w:val="24"/>
        </w:rPr>
        <w:t>Anexa nr. 11</w:t>
      </w:r>
      <w:r w:rsidR="007973F6">
        <w:rPr>
          <w:rFonts w:ascii="Times New Roman" w:eastAsia="Times New Roman" w:hAnsi="Times New Roman" w:cs="Times New Roman"/>
          <w:b/>
          <w:bCs/>
          <w:iCs/>
          <w:color w:val="0070C0"/>
          <w:sz w:val="24"/>
          <w:szCs w:val="24"/>
        </w:rPr>
        <w:t>:</w:t>
      </w:r>
      <w:r w:rsidR="00E52AC1">
        <w:rPr>
          <w:rFonts w:ascii="Times New Roman" w:eastAsia="Times New Roman" w:hAnsi="Times New Roman" w:cs="Times New Roman"/>
          <w:b/>
          <w:bCs/>
          <w:iCs/>
          <w:color w:val="0070C0"/>
          <w:sz w:val="24"/>
          <w:szCs w:val="24"/>
        </w:rPr>
        <w:t xml:space="preserve"> Lista bunurilor imobile cu</w:t>
      </w:r>
      <w:r w:rsidR="00E52AC1" w:rsidRPr="00346DAE">
        <w:rPr>
          <w:rFonts w:ascii="Times New Roman" w:eastAsia="Times New Roman" w:hAnsi="Times New Roman" w:cs="Times New Roman"/>
          <w:b/>
          <w:bCs/>
          <w:iCs/>
          <w:color w:val="0070C0"/>
          <w:sz w:val="24"/>
          <w:szCs w:val="24"/>
        </w:rPr>
        <w:t xml:space="preserve"> diferite numere cadastrale </w:t>
      </w:r>
      <w:r w:rsidR="00E52AC1">
        <w:rPr>
          <w:rFonts w:ascii="Times New Roman" w:eastAsia="Times New Roman" w:hAnsi="Times New Roman" w:cs="Times New Roman"/>
          <w:b/>
          <w:bCs/>
          <w:iCs/>
          <w:color w:val="0070C0"/>
          <w:sz w:val="24"/>
          <w:szCs w:val="24"/>
        </w:rPr>
        <w:t xml:space="preserve">înregistrate în evidența contabilă de către DGACG </w:t>
      </w:r>
      <w:r w:rsidR="00E52AC1" w:rsidRPr="00346DAE">
        <w:rPr>
          <w:rFonts w:ascii="Times New Roman" w:eastAsia="Times New Roman" w:hAnsi="Times New Roman" w:cs="Times New Roman"/>
          <w:b/>
          <w:bCs/>
          <w:iCs/>
          <w:color w:val="0070C0"/>
          <w:sz w:val="24"/>
          <w:szCs w:val="24"/>
        </w:rPr>
        <w:t>ca un singur bun.</w:t>
      </w:r>
    </w:p>
    <w:tbl>
      <w:tblPr>
        <w:tblStyle w:val="a6"/>
        <w:tblW w:w="9634" w:type="dxa"/>
        <w:tblLook w:val="04A0" w:firstRow="1" w:lastRow="0" w:firstColumn="1" w:lastColumn="0" w:noHBand="0" w:noVBand="1"/>
      </w:tblPr>
      <w:tblGrid>
        <w:gridCol w:w="556"/>
        <w:gridCol w:w="9078"/>
      </w:tblGrid>
      <w:tr w:rsidR="00E52AC1" w:rsidRPr="003224E5" w14:paraId="1DAD1E97" w14:textId="77777777" w:rsidTr="00E52AC1">
        <w:tc>
          <w:tcPr>
            <w:tcW w:w="556" w:type="dxa"/>
          </w:tcPr>
          <w:p w14:paraId="39C83E94" w14:textId="77777777" w:rsidR="00E52AC1" w:rsidRPr="003224E5" w:rsidRDefault="00E52AC1" w:rsidP="00E52AC1">
            <w:pPr>
              <w:spacing w:line="276" w:lineRule="auto"/>
              <w:jc w:val="center"/>
              <w:rPr>
                <w:rFonts w:cstheme="minorHAnsi"/>
                <w:b/>
                <w:sz w:val="20"/>
                <w:szCs w:val="20"/>
              </w:rPr>
            </w:pPr>
            <w:r w:rsidRPr="003224E5">
              <w:rPr>
                <w:rFonts w:cstheme="minorHAnsi"/>
                <w:b/>
                <w:sz w:val="20"/>
                <w:szCs w:val="20"/>
              </w:rPr>
              <w:t>Nr.</w:t>
            </w:r>
          </w:p>
        </w:tc>
        <w:tc>
          <w:tcPr>
            <w:tcW w:w="9078" w:type="dxa"/>
          </w:tcPr>
          <w:p w14:paraId="52157EC5" w14:textId="77777777" w:rsidR="00E52AC1" w:rsidRPr="003224E5" w:rsidRDefault="00E52AC1" w:rsidP="00E52AC1">
            <w:pPr>
              <w:spacing w:line="276" w:lineRule="auto"/>
              <w:jc w:val="center"/>
              <w:rPr>
                <w:rFonts w:cstheme="minorHAnsi"/>
                <w:b/>
                <w:sz w:val="20"/>
                <w:szCs w:val="20"/>
              </w:rPr>
            </w:pPr>
            <w:r w:rsidRPr="003224E5">
              <w:rPr>
                <w:rFonts w:cstheme="minorHAnsi"/>
                <w:b/>
                <w:sz w:val="20"/>
                <w:szCs w:val="20"/>
              </w:rPr>
              <w:t>Conținut</w:t>
            </w:r>
          </w:p>
        </w:tc>
      </w:tr>
      <w:tr w:rsidR="00E52AC1" w:rsidRPr="003224E5" w14:paraId="385FB42E" w14:textId="77777777" w:rsidTr="00E52AC1">
        <w:tc>
          <w:tcPr>
            <w:tcW w:w="556" w:type="dxa"/>
          </w:tcPr>
          <w:p w14:paraId="157B443A" w14:textId="77777777" w:rsidR="00E52AC1" w:rsidRPr="00346DAE" w:rsidRDefault="00E52AC1" w:rsidP="00E52AC1">
            <w:pPr>
              <w:spacing w:line="276" w:lineRule="auto"/>
              <w:jc w:val="center"/>
              <w:rPr>
                <w:rFonts w:cstheme="minorHAnsi"/>
                <w:b/>
                <w:sz w:val="20"/>
                <w:szCs w:val="20"/>
              </w:rPr>
            </w:pPr>
            <w:r w:rsidRPr="00346DAE">
              <w:rPr>
                <w:rFonts w:cstheme="minorHAnsi"/>
                <w:b/>
                <w:sz w:val="20"/>
                <w:szCs w:val="20"/>
              </w:rPr>
              <w:t>1</w:t>
            </w:r>
          </w:p>
        </w:tc>
        <w:tc>
          <w:tcPr>
            <w:tcW w:w="9078" w:type="dxa"/>
          </w:tcPr>
          <w:p w14:paraId="34F50F7B" w14:textId="40FD192A" w:rsidR="00E52AC1" w:rsidRPr="003224E5" w:rsidRDefault="00E52AC1" w:rsidP="00650A9E">
            <w:pPr>
              <w:spacing w:line="276" w:lineRule="auto"/>
              <w:jc w:val="both"/>
              <w:rPr>
                <w:rFonts w:cstheme="minorHAnsi"/>
                <w:sz w:val="20"/>
                <w:szCs w:val="20"/>
              </w:rPr>
            </w:pPr>
            <w:r w:rsidRPr="003224E5">
              <w:rPr>
                <w:rFonts w:cstheme="minorHAnsi"/>
                <w:sz w:val="20"/>
                <w:szCs w:val="20"/>
              </w:rPr>
              <w:t>Clădirea și o încăpere izolată din str. Ștefan cel Mare</w:t>
            </w:r>
            <w:r w:rsidR="00650A9E">
              <w:rPr>
                <w:rFonts w:cstheme="minorHAnsi"/>
                <w:sz w:val="20"/>
                <w:szCs w:val="20"/>
              </w:rPr>
              <w:t xml:space="preserve"> nr. </w:t>
            </w:r>
            <w:r w:rsidRPr="003224E5">
              <w:rPr>
                <w:rFonts w:cstheme="minorHAnsi"/>
                <w:sz w:val="20"/>
                <w:szCs w:val="20"/>
              </w:rPr>
              <w:t>124 cu diferite numere cadastrale (0100206168.01 și 0100206168.01.004) se reflectă în evidența contabilă ca un singur</w:t>
            </w:r>
            <w:r w:rsidR="00BA69A9">
              <w:rPr>
                <w:rFonts w:cstheme="minorHAnsi"/>
                <w:sz w:val="20"/>
                <w:szCs w:val="20"/>
              </w:rPr>
              <w:t xml:space="preserve"> </w:t>
            </w:r>
            <w:r w:rsidR="00650A9E">
              <w:rPr>
                <w:rFonts w:cstheme="minorHAnsi"/>
                <w:sz w:val="20"/>
                <w:szCs w:val="20"/>
              </w:rPr>
              <w:t xml:space="preserve">obiect în </w:t>
            </w:r>
            <w:r w:rsidRPr="003224E5">
              <w:rPr>
                <w:rFonts w:cstheme="minorHAnsi"/>
                <w:sz w:val="20"/>
                <w:szCs w:val="20"/>
              </w:rPr>
              <w:t>valoare de 10165,9 mii lei pe când la OCT respectiv sunt înregistrate suprafețele de 1839,4 m.p</w:t>
            </w:r>
            <w:r w:rsidR="00650A9E">
              <w:rPr>
                <w:rFonts w:cstheme="minorHAnsi"/>
                <w:sz w:val="20"/>
                <w:szCs w:val="20"/>
              </w:rPr>
              <w:t>.</w:t>
            </w:r>
            <w:r w:rsidRPr="003224E5">
              <w:rPr>
                <w:rFonts w:cstheme="minorHAnsi"/>
                <w:sz w:val="20"/>
                <w:szCs w:val="20"/>
              </w:rPr>
              <w:t xml:space="preserve"> și 13,5 m.p. cu valoarea de 251165,2 mii lei și 344,7 mii lei.</w:t>
            </w:r>
          </w:p>
        </w:tc>
      </w:tr>
      <w:tr w:rsidR="00E52AC1" w:rsidRPr="003224E5" w14:paraId="4EC7E158" w14:textId="77777777" w:rsidTr="00E52AC1">
        <w:tc>
          <w:tcPr>
            <w:tcW w:w="556" w:type="dxa"/>
          </w:tcPr>
          <w:p w14:paraId="4A902206" w14:textId="77777777" w:rsidR="00E52AC1" w:rsidRPr="00346DAE" w:rsidRDefault="00E52AC1" w:rsidP="00E52AC1">
            <w:pPr>
              <w:spacing w:line="276" w:lineRule="auto"/>
              <w:jc w:val="center"/>
              <w:rPr>
                <w:rFonts w:cstheme="minorHAnsi"/>
                <w:b/>
                <w:sz w:val="20"/>
                <w:szCs w:val="20"/>
              </w:rPr>
            </w:pPr>
            <w:r w:rsidRPr="00346DAE">
              <w:rPr>
                <w:rFonts w:cstheme="minorHAnsi"/>
                <w:b/>
                <w:sz w:val="20"/>
                <w:szCs w:val="20"/>
              </w:rPr>
              <w:t>2</w:t>
            </w:r>
          </w:p>
        </w:tc>
        <w:tc>
          <w:tcPr>
            <w:tcW w:w="9078" w:type="dxa"/>
          </w:tcPr>
          <w:p w14:paraId="16762DCD" w14:textId="318D51AD" w:rsidR="00E52AC1" w:rsidRPr="003224E5" w:rsidRDefault="00E52AC1" w:rsidP="00650A9E">
            <w:pPr>
              <w:spacing w:line="276" w:lineRule="auto"/>
              <w:jc w:val="both"/>
              <w:rPr>
                <w:rFonts w:cstheme="minorHAnsi"/>
                <w:sz w:val="20"/>
                <w:szCs w:val="20"/>
              </w:rPr>
            </w:pPr>
            <w:r w:rsidRPr="003224E5">
              <w:rPr>
                <w:rFonts w:cstheme="minorHAnsi"/>
                <w:sz w:val="20"/>
                <w:szCs w:val="20"/>
              </w:rPr>
              <w:t>Încăperile din</w:t>
            </w:r>
            <w:r w:rsidR="00BA69A9">
              <w:rPr>
                <w:rFonts w:cstheme="minorHAnsi"/>
                <w:sz w:val="20"/>
                <w:szCs w:val="20"/>
              </w:rPr>
              <w:t xml:space="preserve"> </w:t>
            </w:r>
            <w:r w:rsidR="00650A9E">
              <w:rPr>
                <w:rFonts w:cstheme="minorHAnsi"/>
                <w:sz w:val="20"/>
                <w:szCs w:val="20"/>
              </w:rPr>
              <w:t>c</w:t>
            </w:r>
            <w:r w:rsidRPr="003224E5">
              <w:rPr>
                <w:rFonts w:cstheme="minorHAnsi"/>
                <w:sz w:val="20"/>
                <w:szCs w:val="20"/>
              </w:rPr>
              <w:t>lădirea administrativă din str. G. Tudor nr.</w:t>
            </w:r>
            <w:r w:rsidR="00650A9E">
              <w:rPr>
                <w:rFonts w:cstheme="minorHAnsi"/>
                <w:sz w:val="20"/>
                <w:szCs w:val="20"/>
              </w:rPr>
              <w:t>5 (</w:t>
            </w:r>
            <w:r w:rsidRPr="003224E5">
              <w:rPr>
                <w:rFonts w:cstheme="minorHAnsi"/>
                <w:sz w:val="20"/>
                <w:szCs w:val="20"/>
              </w:rPr>
              <w:t>0100212002.01.009</w:t>
            </w:r>
            <w:r w:rsidR="00650A9E">
              <w:rPr>
                <w:rFonts w:cstheme="minorHAnsi"/>
                <w:sz w:val="20"/>
                <w:szCs w:val="20"/>
              </w:rPr>
              <w:t>)</w:t>
            </w:r>
            <w:r w:rsidRPr="003224E5">
              <w:rPr>
                <w:rFonts w:cstheme="minorHAnsi"/>
                <w:sz w:val="20"/>
                <w:szCs w:val="20"/>
              </w:rPr>
              <w:t xml:space="preserve"> și garajul cu 2 boxe ((0100212002.02.002) cu diferite numere cadastrale în evidența contabilă sunt reflectate ca un singur obiect cu o singură valoare d</w:t>
            </w:r>
            <w:r w:rsidR="00650A9E">
              <w:rPr>
                <w:rFonts w:cstheme="minorHAnsi"/>
                <w:sz w:val="20"/>
                <w:szCs w:val="20"/>
              </w:rPr>
              <w:t>e 3589,1 mii lei pe când la OCT,</w:t>
            </w:r>
            <w:r w:rsidRPr="003224E5">
              <w:rPr>
                <w:rFonts w:cstheme="minorHAnsi"/>
                <w:sz w:val="20"/>
                <w:szCs w:val="20"/>
              </w:rPr>
              <w:t xml:space="preserve"> respectiv suprafața de 2386 m.p</w:t>
            </w:r>
            <w:r w:rsidR="00650A9E">
              <w:rPr>
                <w:rFonts w:cstheme="minorHAnsi"/>
                <w:sz w:val="20"/>
                <w:szCs w:val="20"/>
              </w:rPr>
              <w:t>.</w:t>
            </w:r>
            <w:r w:rsidRPr="003224E5">
              <w:rPr>
                <w:rFonts w:cstheme="minorHAnsi"/>
                <w:sz w:val="20"/>
                <w:szCs w:val="20"/>
              </w:rPr>
              <w:t xml:space="preserve"> și 79,0 m.p</w:t>
            </w:r>
            <w:r w:rsidR="00650A9E">
              <w:rPr>
                <w:rFonts w:cstheme="minorHAnsi"/>
                <w:sz w:val="20"/>
                <w:szCs w:val="20"/>
              </w:rPr>
              <w:t>.</w:t>
            </w:r>
            <w:r w:rsidRPr="003224E5">
              <w:rPr>
                <w:rFonts w:cstheme="minorHAnsi"/>
                <w:sz w:val="20"/>
                <w:szCs w:val="20"/>
              </w:rPr>
              <w:t xml:space="preserve"> în valoare de </w:t>
            </w:r>
            <w:r w:rsidRPr="003224E5">
              <w:rPr>
                <w:rFonts w:cstheme="minorHAnsi"/>
                <w:bCs/>
                <w:sz w:val="20"/>
                <w:szCs w:val="20"/>
                <w:shd w:val="clear" w:color="auto" w:fill="FFFFFF"/>
              </w:rPr>
              <w:t>9 966,1mii lei</w:t>
            </w:r>
            <w:r w:rsidRPr="003224E5">
              <w:rPr>
                <w:rFonts w:cstheme="minorHAnsi"/>
                <w:b/>
                <w:bCs/>
                <w:sz w:val="20"/>
                <w:szCs w:val="20"/>
                <w:shd w:val="clear" w:color="auto" w:fill="FFFFFF"/>
              </w:rPr>
              <w:t xml:space="preserve"> și </w:t>
            </w:r>
            <w:r w:rsidRPr="003224E5">
              <w:rPr>
                <w:rFonts w:cstheme="minorHAnsi"/>
                <w:sz w:val="20"/>
                <w:szCs w:val="20"/>
              </w:rPr>
              <w:t>200,9 mii lei.</w:t>
            </w:r>
          </w:p>
        </w:tc>
      </w:tr>
      <w:tr w:rsidR="00E52AC1" w:rsidRPr="003224E5" w14:paraId="0C35A933" w14:textId="77777777" w:rsidTr="00E52AC1">
        <w:tc>
          <w:tcPr>
            <w:tcW w:w="556" w:type="dxa"/>
          </w:tcPr>
          <w:p w14:paraId="651CDEEF" w14:textId="77777777" w:rsidR="00E52AC1" w:rsidRPr="00346DAE" w:rsidRDefault="00E52AC1" w:rsidP="00E52AC1">
            <w:pPr>
              <w:spacing w:line="276" w:lineRule="auto"/>
              <w:jc w:val="center"/>
              <w:rPr>
                <w:rFonts w:cstheme="minorHAnsi"/>
                <w:b/>
                <w:sz w:val="20"/>
                <w:szCs w:val="20"/>
              </w:rPr>
            </w:pPr>
            <w:r w:rsidRPr="00346DAE">
              <w:rPr>
                <w:rFonts w:cstheme="minorHAnsi"/>
                <w:b/>
                <w:sz w:val="20"/>
                <w:szCs w:val="20"/>
              </w:rPr>
              <w:t>3</w:t>
            </w:r>
          </w:p>
        </w:tc>
        <w:tc>
          <w:tcPr>
            <w:tcW w:w="9078" w:type="dxa"/>
          </w:tcPr>
          <w:p w14:paraId="1FA15B3B" w14:textId="76768974" w:rsidR="00E52AC1" w:rsidRPr="003224E5" w:rsidRDefault="00650A9E" w:rsidP="00650A9E">
            <w:pPr>
              <w:spacing w:line="276" w:lineRule="auto"/>
              <w:jc w:val="both"/>
              <w:rPr>
                <w:rFonts w:cstheme="minorHAnsi"/>
                <w:sz w:val="20"/>
                <w:szCs w:val="20"/>
              </w:rPr>
            </w:pPr>
            <w:r>
              <w:rPr>
                <w:rFonts w:cstheme="minorHAnsi"/>
                <w:sz w:val="20"/>
                <w:szCs w:val="20"/>
              </w:rPr>
              <w:t xml:space="preserve">Alte </w:t>
            </w:r>
            <w:r w:rsidR="00E52AC1" w:rsidRPr="003224E5">
              <w:rPr>
                <w:rFonts w:cstheme="minorHAnsi"/>
                <w:sz w:val="20"/>
                <w:szCs w:val="20"/>
              </w:rPr>
              <w:t>16</w:t>
            </w:r>
            <w:r>
              <w:rPr>
                <w:rFonts w:cstheme="minorHAnsi"/>
                <w:sz w:val="20"/>
                <w:szCs w:val="20"/>
              </w:rPr>
              <w:t xml:space="preserve"> </w:t>
            </w:r>
            <w:r w:rsidR="00E52AC1" w:rsidRPr="003224E5">
              <w:rPr>
                <w:rFonts w:cstheme="minorHAnsi"/>
                <w:sz w:val="20"/>
                <w:szCs w:val="20"/>
              </w:rPr>
              <w:t>încăperi din clădirea administrativă</w:t>
            </w:r>
            <w:r w:rsidR="00BA69A9">
              <w:rPr>
                <w:rFonts w:cstheme="minorHAnsi"/>
                <w:sz w:val="20"/>
                <w:szCs w:val="20"/>
              </w:rPr>
              <w:t xml:space="preserve"> </w:t>
            </w:r>
            <w:r w:rsidR="00E52AC1" w:rsidRPr="003224E5">
              <w:rPr>
                <w:rFonts w:cstheme="minorHAnsi"/>
                <w:sz w:val="20"/>
                <w:szCs w:val="20"/>
              </w:rPr>
              <w:t xml:space="preserve">0100212.01 din </w:t>
            </w:r>
            <w:r>
              <w:rPr>
                <w:rFonts w:cstheme="minorHAnsi"/>
                <w:sz w:val="20"/>
                <w:szCs w:val="20"/>
              </w:rPr>
              <w:t xml:space="preserve">str. </w:t>
            </w:r>
            <w:r w:rsidR="00E52AC1" w:rsidRPr="003224E5">
              <w:rPr>
                <w:rFonts w:cstheme="minorHAnsi"/>
                <w:sz w:val="20"/>
                <w:szCs w:val="20"/>
              </w:rPr>
              <w:t>G. Tudor</w:t>
            </w:r>
            <w:r>
              <w:rPr>
                <w:rFonts w:cstheme="minorHAnsi"/>
                <w:sz w:val="20"/>
                <w:szCs w:val="20"/>
              </w:rPr>
              <w:t xml:space="preserve"> nr. </w:t>
            </w:r>
            <w:r w:rsidR="00E52AC1" w:rsidRPr="003224E5">
              <w:rPr>
                <w:rFonts w:cstheme="minorHAnsi"/>
                <w:sz w:val="20"/>
                <w:szCs w:val="20"/>
              </w:rPr>
              <w:t>5</w:t>
            </w:r>
            <w:r w:rsidR="00BA69A9">
              <w:rPr>
                <w:rFonts w:cstheme="minorHAnsi"/>
                <w:sz w:val="20"/>
                <w:szCs w:val="20"/>
              </w:rPr>
              <w:t xml:space="preserve"> </w:t>
            </w:r>
            <w:r w:rsidR="00E52AC1" w:rsidRPr="003224E5">
              <w:rPr>
                <w:rFonts w:cstheme="minorHAnsi"/>
                <w:sz w:val="20"/>
                <w:szCs w:val="20"/>
              </w:rPr>
              <w:t>sunt înregistrate sub un singur număr cadastral</w:t>
            </w:r>
            <w:r w:rsidR="00BA69A9">
              <w:rPr>
                <w:rFonts w:cstheme="minorHAnsi"/>
                <w:sz w:val="20"/>
                <w:szCs w:val="20"/>
              </w:rPr>
              <w:t xml:space="preserve"> </w:t>
            </w:r>
            <w:r w:rsidR="00E52AC1" w:rsidRPr="003224E5">
              <w:rPr>
                <w:rFonts w:cstheme="minorHAnsi"/>
                <w:sz w:val="20"/>
                <w:szCs w:val="20"/>
              </w:rPr>
              <w:t>0100212.01.007cu suprafața totală de 640,0 m.p</w:t>
            </w:r>
            <w:r>
              <w:rPr>
                <w:rFonts w:cstheme="minorHAnsi"/>
                <w:sz w:val="20"/>
                <w:szCs w:val="20"/>
              </w:rPr>
              <w:t>.</w:t>
            </w:r>
            <w:r w:rsidR="00E52AC1" w:rsidRPr="003224E5">
              <w:rPr>
                <w:rFonts w:cstheme="minorHAnsi"/>
                <w:sz w:val="20"/>
                <w:szCs w:val="20"/>
              </w:rPr>
              <w:t xml:space="preserve"> în evidența contabilă înregistrate ca etajul 5 deși ace</w:t>
            </w:r>
            <w:r>
              <w:rPr>
                <w:rFonts w:cstheme="minorHAnsi"/>
                <w:sz w:val="20"/>
                <w:szCs w:val="20"/>
              </w:rPr>
              <w:t>sta e 6.Valoarea -387,9 mii lei.</w:t>
            </w:r>
          </w:p>
        </w:tc>
      </w:tr>
      <w:tr w:rsidR="00E52AC1" w:rsidRPr="003224E5" w14:paraId="5B522E84" w14:textId="77777777" w:rsidTr="00E52AC1">
        <w:tc>
          <w:tcPr>
            <w:tcW w:w="556" w:type="dxa"/>
          </w:tcPr>
          <w:p w14:paraId="01A8B6F0" w14:textId="77777777" w:rsidR="00E52AC1" w:rsidRPr="00346DAE" w:rsidRDefault="00E52AC1" w:rsidP="00E52AC1">
            <w:pPr>
              <w:spacing w:line="276" w:lineRule="auto"/>
              <w:jc w:val="center"/>
              <w:rPr>
                <w:rFonts w:cstheme="minorHAnsi"/>
                <w:b/>
                <w:sz w:val="20"/>
                <w:szCs w:val="20"/>
              </w:rPr>
            </w:pPr>
            <w:r w:rsidRPr="00346DAE">
              <w:rPr>
                <w:rFonts w:cstheme="minorHAnsi"/>
                <w:b/>
                <w:sz w:val="20"/>
                <w:szCs w:val="20"/>
              </w:rPr>
              <w:t>4</w:t>
            </w:r>
          </w:p>
        </w:tc>
        <w:tc>
          <w:tcPr>
            <w:tcW w:w="9078" w:type="dxa"/>
          </w:tcPr>
          <w:p w14:paraId="407ECB83" w14:textId="71974B44" w:rsidR="00E52AC1" w:rsidRPr="003224E5" w:rsidRDefault="00650A9E" w:rsidP="00A9351F">
            <w:pPr>
              <w:pStyle w:val="af0"/>
              <w:spacing w:line="276" w:lineRule="auto"/>
              <w:jc w:val="both"/>
              <w:rPr>
                <w:rFonts w:asciiTheme="minorHAnsi" w:hAnsiTheme="minorHAnsi" w:cstheme="minorHAnsi"/>
                <w:sz w:val="20"/>
                <w:szCs w:val="20"/>
              </w:rPr>
            </w:pPr>
            <w:r>
              <w:rPr>
                <w:rFonts w:asciiTheme="minorHAnsi" w:hAnsiTheme="minorHAnsi" w:cstheme="minorHAnsi"/>
                <w:sz w:val="20"/>
                <w:szCs w:val="20"/>
              </w:rPr>
              <w:t>Analogic,</w:t>
            </w:r>
            <w:r w:rsidR="00E52AC1" w:rsidRPr="003224E5">
              <w:rPr>
                <w:rFonts w:asciiTheme="minorHAnsi" w:hAnsiTheme="minorHAnsi" w:cstheme="minorHAnsi"/>
                <w:sz w:val="20"/>
                <w:szCs w:val="20"/>
              </w:rPr>
              <w:t xml:space="preserve"> 15 încăperi din subsol cu suprafața de 523,4 m.p</w:t>
            </w:r>
            <w:r w:rsidR="008A0268">
              <w:rPr>
                <w:rFonts w:asciiTheme="minorHAnsi" w:hAnsiTheme="minorHAnsi" w:cstheme="minorHAnsi"/>
                <w:sz w:val="20"/>
                <w:szCs w:val="20"/>
              </w:rPr>
              <w:t>.</w:t>
            </w:r>
            <w:r w:rsidR="006503DB">
              <w:rPr>
                <w:rFonts w:asciiTheme="minorHAnsi" w:hAnsiTheme="minorHAnsi" w:cstheme="minorHAnsi"/>
                <w:sz w:val="20"/>
                <w:szCs w:val="20"/>
              </w:rPr>
              <w:t xml:space="preserve"> 6 de la etajul primul</w:t>
            </w:r>
            <w:r w:rsidR="00E52AC1" w:rsidRPr="003224E5">
              <w:rPr>
                <w:rFonts w:asciiTheme="minorHAnsi" w:hAnsiTheme="minorHAnsi" w:cstheme="minorHAnsi"/>
                <w:sz w:val="20"/>
                <w:szCs w:val="20"/>
              </w:rPr>
              <w:t xml:space="preserve"> suprafața de 205,6 m.p</w:t>
            </w:r>
            <w:r w:rsidR="00A9351F">
              <w:rPr>
                <w:rFonts w:asciiTheme="minorHAnsi" w:hAnsiTheme="minorHAnsi" w:cstheme="minorHAnsi"/>
                <w:sz w:val="20"/>
                <w:szCs w:val="20"/>
              </w:rPr>
              <w:t>.,</w:t>
            </w:r>
            <w:r w:rsidR="00E52AC1" w:rsidRPr="003224E5">
              <w:rPr>
                <w:rFonts w:asciiTheme="minorHAnsi" w:hAnsiTheme="minorHAnsi" w:cstheme="minorHAnsi"/>
                <w:sz w:val="20"/>
                <w:szCs w:val="20"/>
              </w:rPr>
              <w:t xml:space="preserve"> 15</w:t>
            </w:r>
            <w:r w:rsidR="00A9351F">
              <w:rPr>
                <w:rFonts w:asciiTheme="minorHAnsi" w:hAnsiTheme="minorHAnsi" w:cstheme="minorHAnsi"/>
                <w:sz w:val="20"/>
                <w:szCs w:val="20"/>
              </w:rPr>
              <w:t xml:space="preserve"> încăperi</w:t>
            </w:r>
            <w:r w:rsidR="00E52AC1" w:rsidRPr="003224E5">
              <w:rPr>
                <w:rFonts w:asciiTheme="minorHAnsi" w:hAnsiTheme="minorHAnsi" w:cstheme="minorHAnsi"/>
                <w:sz w:val="20"/>
                <w:szCs w:val="20"/>
              </w:rPr>
              <w:t xml:space="preserve"> de la etajul 2 cu suprafața de 353,5 m.p</w:t>
            </w:r>
            <w:r w:rsidR="00A9351F">
              <w:rPr>
                <w:rFonts w:asciiTheme="minorHAnsi" w:hAnsiTheme="minorHAnsi" w:cstheme="minorHAnsi"/>
                <w:sz w:val="20"/>
                <w:szCs w:val="20"/>
              </w:rPr>
              <w:t>.,</w:t>
            </w:r>
            <w:r w:rsidR="00E52AC1" w:rsidRPr="003224E5">
              <w:rPr>
                <w:rFonts w:asciiTheme="minorHAnsi" w:hAnsiTheme="minorHAnsi" w:cstheme="minorHAnsi"/>
                <w:sz w:val="20"/>
                <w:szCs w:val="20"/>
              </w:rPr>
              <w:t xml:space="preserve"> 20</w:t>
            </w:r>
            <w:r w:rsidR="00A9351F">
              <w:rPr>
                <w:rFonts w:asciiTheme="minorHAnsi" w:hAnsiTheme="minorHAnsi" w:cstheme="minorHAnsi"/>
                <w:sz w:val="20"/>
                <w:szCs w:val="20"/>
              </w:rPr>
              <w:t xml:space="preserve"> suprafețe</w:t>
            </w:r>
            <w:r w:rsidR="00E52AC1" w:rsidRPr="003224E5">
              <w:rPr>
                <w:rFonts w:asciiTheme="minorHAnsi" w:hAnsiTheme="minorHAnsi" w:cstheme="minorHAnsi"/>
                <w:sz w:val="20"/>
                <w:szCs w:val="20"/>
              </w:rPr>
              <w:t xml:space="preserve"> de la etajul 3 cu suprafața de 635,9 m.p</w:t>
            </w:r>
            <w:r w:rsidR="00A9351F">
              <w:rPr>
                <w:rFonts w:asciiTheme="minorHAnsi" w:hAnsiTheme="minorHAnsi" w:cstheme="minorHAnsi"/>
                <w:sz w:val="20"/>
                <w:szCs w:val="20"/>
              </w:rPr>
              <w:t>.</w:t>
            </w:r>
            <w:r w:rsidR="00E52AC1" w:rsidRPr="003224E5">
              <w:rPr>
                <w:rFonts w:asciiTheme="minorHAnsi" w:hAnsiTheme="minorHAnsi" w:cstheme="minorHAnsi"/>
                <w:sz w:val="20"/>
                <w:szCs w:val="20"/>
              </w:rPr>
              <w:t xml:space="preserve">, 21 </w:t>
            </w:r>
            <w:r w:rsidR="00A9351F">
              <w:rPr>
                <w:rFonts w:asciiTheme="minorHAnsi" w:hAnsiTheme="minorHAnsi" w:cstheme="minorHAnsi"/>
                <w:sz w:val="20"/>
                <w:szCs w:val="20"/>
              </w:rPr>
              <w:t xml:space="preserve">încăperi </w:t>
            </w:r>
            <w:r w:rsidR="00E52AC1" w:rsidRPr="003224E5">
              <w:rPr>
                <w:rFonts w:asciiTheme="minorHAnsi" w:hAnsiTheme="minorHAnsi" w:cstheme="minorHAnsi"/>
                <w:sz w:val="20"/>
                <w:szCs w:val="20"/>
              </w:rPr>
              <w:t>de la etaju</w:t>
            </w:r>
            <w:r w:rsidR="00A9351F">
              <w:rPr>
                <w:rFonts w:asciiTheme="minorHAnsi" w:hAnsiTheme="minorHAnsi" w:cstheme="minorHAnsi"/>
                <w:sz w:val="20"/>
                <w:szCs w:val="20"/>
              </w:rPr>
              <w:t>l patru</w:t>
            </w:r>
            <w:r w:rsidR="00E52AC1" w:rsidRPr="003224E5">
              <w:rPr>
                <w:rFonts w:asciiTheme="minorHAnsi" w:hAnsiTheme="minorHAnsi" w:cstheme="minorHAnsi"/>
                <w:sz w:val="20"/>
                <w:szCs w:val="20"/>
              </w:rPr>
              <w:t xml:space="preserve"> cu suprafața de 653,9 m.p</w:t>
            </w:r>
            <w:r w:rsidR="00A9351F">
              <w:rPr>
                <w:rFonts w:asciiTheme="minorHAnsi" w:hAnsiTheme="minorHAnsi" w:cstheme="minorHAnsi"/>
                <w:sz w:val="20"/>
                <w:szCs w:val="20"/>
              </w:rPr>
              <w:t>.</w:t>
            </w:r>
            <w:r w:rsidR="00E52AC1" w:rsidRPr="003224E5">
              <w:rPr>
                <w:rFonts w:asciiTheme="minorHAnsi" w:hAnsiTheme="minorHAnsi" w:cstheme="minorHAnsi"/>
                <w:sz w:val="20"/>
                <w:szCs w:val="20"/>
              </w:rPr>
              <w:t xml:space="preserve"> și 2 </w:t>
            </w:r>
            <w:r w:rsidR="00D111C1">
              <w:rPr>
                <w:rFonts w:asciiTheme="minorHAnsi" w:hAnsiTheme="minorHAnsi" w:cstheme="minorHAnsi"/>
                <w:sz w:val="20"/>
                <w:szCs w:val="20"/>
              </w:rPr>
              <w:t xml:space="preserve">încăperi </w:t>
            </w:r>
            <w:r w:rsidR="00E52AC1" w:rsidRPr="003224E5">
              <w:rPr>
                <w:rFonts w:asciiTheme="minorHAnsi" w:hAnsiTheme="minorHAnsi" w:cstheme="minorHAnsi"/>
                <w:sz w:val="20"/>
                <w:szCs w:val="20"/>
              </w:rPr>
              <w:t>de la etajul tehnic cu suprafața de 34,3 m.p</w:t>
            </w:r>
            <w:r w:rsidR="00D111C1">
              <w:rPr>
                <w:rFonts w:asciiTheme="minorHAnsi" w:hAnsiTheme="minorHAnsi" w:cstheme="minorHAnsi"/>
                <w:sz w:val="20"/>
                <w:szCs w:val="20"/>
              </w:rPr>
              <w:t>.</w:t>
            </w:r>
            <w:r w:rsidR="00E52AC1" w:rsidRPr="003224E5">
              <w:rPr>
                <w:rFonts w:asciiTheme="minorHAnsi" w:hAnsiTheme="minorHAnsi" w:cstheme="minorHAnsi"/>
                <w:sz w:val="20"/>
                <w:szCs w:val="20"/>
              </w:rPr>
              <w:t xml:space="preserve"> sunt înregistrate în evidența contabilă ca un singur obiect cu nr</w:t>
            </w:r>
            <w:r w:rsidR="00D111C1">
              <w:rPr>
                <w:rFonts w:asciiTheme="minorHAnsi" w:hAnsiTheme="minorHAnsi" w:cstheme="minorHAnsi"/>
                <w:sz w:val="20"/>
                <w:szCs w:val="20"/>
              </w:rPr>
              <w:t>.</w:t>
            </w:r>
            <w:r w:rsidR="00E52AC1" w:rsidRPr="003224E5">
              <w:rPr>
                <w:rFonts w:asciiTheme="minorHAnsi" w:hAnsiTheme="minorHAnsi" w:cstheme="minorHAnsi"/>
                <w:sz w:val="20"/>
                <w:szCs w:val="20"/>
              </w:rPr>
              <w:t xml:space="preserve"> cadastral 0100212.002.01.009 cu suprafața totală de 2386,6 m.p.</w:t>
            </w:r>
            <w:r w:rsidR="00BA69A9">
              <w:rPr>
                <w:rFonts w:asciiTheme="minorHAnsi" w:hAnsiTheme="minorHAnsi" w:cstheme="minorHAnsi"/>
                <w:sz w:val="20"/>
                <w:szCs w:val="20"/>
              </w:rPr>
              <w:t xml:space="preserve">  </w:t>
            </w:r>
            <w:r w:rsidR="00E52AC1" w:rsidRPr="003224E5">
              <w:rPr>
                <w:rFonts w:asciiTheme="minorHAnsi" w:hAnsiTheme="minorHAnsi" w:cstheme="minorHAnsi"/>
                <w:sz w:val="20"/>
                <w:szCs w:val="20"/>
              </w:rPr>
              <w:t>la o valoare de 3589,1 mii lei</w:t>
            </w:r>
            <w:r>
              <w:rPr>
                <w:rFonts w:asciiTheme="minorHAnsi" w:hAnsiTheme="minorHAnsi" w:cstheme="minorHAnsi"/>
                <w:sz w:val="20"/>
                <w:szCs w:val="20"/>
              </w:rPr>
              <w:t>.</w:t>
            </w:r>
          </w:p>
        </w:tc>
      </w:tr>
      <w:tr w:rsidR="00E52AC1" w:rsidRPr="003224E5" w14:paraId="08C7C8DC" w14:textId="77777777" w:rsidTr="00E52AC1">
        <w:tc>
          <w:tcPr>
            <w:tcW w:w="556" w:type="dxa"/>
          </w:tcPr>
          <w:p w14:paraId="7ACF5FA8" w14:textId="77777777" w:rsidR="00E52AC1" w:rsidRPr="00346DAE" w:rsidRDefault="00E52AC1" w:rsidP="00E52AC1">
            <w:pPr>
              <w:spacing w:line="276" w:lineRule="auto"/>
              <w:jc w:val="center"/>
              <w:rPr>
                <w:rFonts w:cstheme="minorHAnsi"/>
                <w:b/>
                <w:sz w:val="20"/>
                <w:szCs w:val="20"/>
              </w:rPr>
            </w:pPr>
            <w:r w:rsidRPr="00346DAE">
              <w:rPr>
                <w:rFonts w:cstheme="minorHAnsi"/>
                <w:b/>
                <w:sz w:val="20"/>
                <w:szCs w:val="20"/>
              </w:rPr>
              <w:t>5</w:t>
            </w:r>
          </w:p>
        </w:tc>
        <w:tc>
          <w:tcPr>
            <w:tcW w:w="9078" w:type="dxa"/>
          </w:tcPr>
          <w:p w14:paraId="0095AAD8" w14:textId="74495BBC" w:rsidR="00E52AC1" w:rsidRPr="003224E5" w:rsidRDefault="00E52AC1" w:rsidP="00E52AC1">
            <w:pPr>
              <w:spacing w:line="276" w:lineRule="auto"/>
              <w:jc w:val="both"/>
              <w:rPr>
                <w:rFonts w:cstheme="minorHAnsi"/>
                <w:sz w:val="20"/>
                <w:szCs w:val="20"/>
              </w:rPr>
            </w:pPr>
            <w:r w:rsidRPr="003224E5">
              <w:rPr>
                <w:rFonts w:cstheme="minorHAnsi"/>
                <w:sz w:val="20"/>
                <w:szCs w:val="20"/>
              </w:rPr>
              <w:t>Clădirea administrativă și garajul din</w:t>
            </w:r>
            <w:r w:rsidR="00D111C1">
              <w:rPr>
                <w:rFonts w:cstheme="minorHAnsi"/>
                <w:sz w:val="20"/>
                <w:szCs w:val="20"/>
              </w:rPr>
              <w:t xml:space="preserve"> or. Basarabeasca cu diferite numere</w:t>
            </w:r>
            <w:r w:rsidRPr="003224E5">
              <w:rPr>
                <w:rFonts w:cstheme="minorHAnsi"/>
                <w:sz w:val="20"/>
                <w:szCs w:val="20"/>
              </w:rPr>
              <w:t xml:space="preserve"> cadastrale 1201309011.01 și 02 cu suprafața de 149,2 și 88,7 m.p</w:t>
            </w:r>
            <w:r w:rsidR="00D111C1">
              <w:rPr>
                <w:rFonts w:cstheme="minorHAnsi"/>
                <w:sz w:val="20"/>
                <w:szCs w:val="20"/>
              </w:rPr>
              <w:t>.</w:t>
            </w:r>
            <w:r w:rsidRPr="003224E5">
              <w:rPr>
                <w:rFonts w:cstheme="minorHAnsi"/>
                <w:sz w:val="20"/>
                <w:szCs w:val="20"/>
              </w:rPr>
              <w:t xml:space="preserve"> în evidența contabilă se numără ca un singur obiect cu suma de 1378,5 mii lei.</w:t>
            </w:r>
          </w:p>
        </w:tc>
      </w:tr>
      <w:tr w:rsidR="00E52AC1" w:rsidRPr="003224E5" w14:paraId="41BA4D94" w14:textId="77777777" w:rsidTr="00E52AC1">
        <w:tc>
          <w:tcPr>
            <w:tcW w:w="556" w:type="dxa"/>
          </w:tcPr>
          <w:p w14:paraId="73714FB9" w14:textId="77777777" w:rsidR="00E52AC1" w:rsidRPr="00346DAE" w:rsidRDefault="00E52AC1" w:rsidP="00E52AC1">
            <w:pPr>
              <w:spacing w:line="276" w:lineRule="auto"/>
              <w:jc w:val="center"/>
              <w:rPr>
                <w:rFonts w:cstheme="minorHAnsi"/>
                <w:b/>
                <w:sz w:val="20"/>
                <w:szCs w:val="20"/>
              </w:rPr>
            </w:pPr>
            <w:r w:rsidRPr="00346DAE">
              <w:rPr>
                <w:rFonts w:cstheme="minorHAnsi"/>
                <w:b/>
                <w:sz w:val="20"/>
                <w:szCs w:val="20"/>
              </w:rPr>
              <w:t>6</w:t>
            </w:r>
          </w:p>
        </w:tc>
        <w:tc>
          <w:tcPr>
            <w:tcW w:w="9078" w:type="dxa"/>
          </w:tcPr>
          <w:p w14:paraId="5D0C7390" w14:textId="0C033C5A" w:rsidR="00E52AC1" w:rsidRPr="003224E5" w:rsidRDefault="00E52AC1" w:rsidP="00650A9E">
            <w:pPr>
              <w:spacing w:line="276" w:lineRule="auto"/>
              <w:jc w:val="both"/>
              <w:rPr>
                <w:rFonts w:cstheme="minorHAnsi"/>
                <w:sz w:val="20"/>
                <w:szCs w:val="20"/>
              </w:rPr>
            </w:pPr>
            <w:r w:rsidRPr="003224E5">
              <w:rPr>
                <w:rFonts w:cstheme="minorHAnsi"/>
                <w:sz w:val="20"/>
                <w:szCs w:val="20"/>
              </w:rPr>
              <w:t xml:space="preserve">Clădirea și o încăpere izolată din str. Ștefan cel Mare </w:t>
            </w:r>
            <w:r w:rsidR="00D111C1">
              <w:rPr>
                <w:rFonts w:cstheme="minorHAnsi"/>
                <w:sz w:val="20"/>
                <w:szCs w:val="20"/>
              </w:rPr>
              <w:t>nr.</w:t>
            </w:r>
            <w:r w:rsidRPr="003224E5">
              <w:rPr>
                <w:rFonts w:cstheme="minorHAnsi"/>
                <w:sz w:val="20"/>
                <w:szCs w:val="20"/>
              </w:rPr>
              <w:t>124 cu diferite numere cadastrale (0100206168.01 și 0100206168.01.004) în evidența contabilă se numără ca un obiect cu o sin</w:t>
            </w:r>
            <w:r w:rsidR="00650A9E">
              <w:rPr>
                <w:rFonts w:cstheme="minorHAnsi"/>
                <w:sz w:val="20"/>
                <w:szCs w:val="20"/>
              </w:rPr>
              <w:t>gură valoare de 10165,9 mii lei.</w:t>
            </w:r>
          </w:p>
        </w:tc>
      </w:tr>
      <w:tr w:rsidR="00E52AC1" w:rsidRPr="003224E5" w14:paraId="6EA9DF76" w14:textId="77777777" w:rsidTr="00E52AC1">
        <w:tc>
          <w:tcPr>
            <w:tcW w:w="556" w:type="dxa"/>
          </w:tcPr>
          <w:p w14:paraId="233F00AF" w14:textId="77777777" w:rsidR="00E52AC1" w:rsidRPr="00346DAE" w:rsidRDefault="00E52AC1" w:rsidP="00E52AC1">
            <w:pPr>
              <w:spacing w:line="276" w:lineRule="auto"/>
              <w:jc w:val="center"/>
              <w:rPr>
                <w:rFonts w:cstheme="minorHAnsi"/>
                <w:b/>
                <w:sz w:val="20"/>
                <w:szCs w:val="20"/>
              </w:rPr>
            </w:pPr>
            <w:r w:rsidRPr="00346DAE">
              <w:rPr>
                <w:rFonts w:cstheme="minorHAnsi"/>
                <w:b/>
                <w:sz w:val="20"/>
                <w:szCs w:val="20"/>
              </w:rPr>
              <w:t>7</w:t>
            </w:r>
          </w:p>
        </w:tc>
        <w:tc>
          <w:tcPr>
            <w:tcW w:w="9078" w:type="dxa"/>
          </w:tcPr>
          <w:p w14:paraId="4309EBDA" w14:textId="545BAC72" w:rsidR="00E52AC1" w:rsidRPr="003224E5" w:rsidRDefault="00D111C1" w:rsidP="00D111C1">
            <w:pPr>
              <w:spacing w:line="276" w:lineRule="auto"/>
              <w:jc w:val="both"/>
              <w:rPr>
                <w:rFonts w:cstheme="minorHAnsi"/>
                <w:sz w:val="20"/>
                <w:szCs w:val="20"/>
              </w:rPr>
            </w:pPr>
            <w:r>
              <w:rPr>
                <w:rFonts w:cstheme="minorHAnsi"/>
                <w:sz w:val="20"/>
                <w:szCs w:val="20"/>
              </w:rPr>
              <w:t>Patru</w:t>
            </w:r>
            <w:r w:rsidR="00E52AC1" w:rsidRPr="003224E5">
              <w:rPr>
                <w:rFonts w:cstheme="minorHAnsi"/>
                <w:sz w:val="20"/>
                <w:szCs w:val="20"/>
              </w:rPr>
              <w:t xml:space="preserve"> încăperi izolate din bd. Ștefan cel mare </w:t>
            </w:r>
            <w:r>
              <w:rPr>
                <w:rFonts w:cstheme="minorHAnsi"/>
                <w:sz w:val="20"/>
                <w:szCs w:val="20"/>
              </w:rPr>
              <w:t xml:space="preserve">nr. </w:t>
            </w:r>
            <w:r w:rsidR="00E52AC1" w:rsidRPr="003224E5">
              <w:rPr>
                <w:rFonts w:cstheme="minorHAnsi"/>
                <w:sz w:val="20"/>
                <w:szCs w:val="20"/>
              </w:rPr>
              <w:t xml:space="preserve">134 </w:t>
            </w:r>
            <w:r>
              <w:rPr>
                <w:rFonts w:cstheme="minorHAnsi"/>
                <w:sz w:val="20"/>
                <w:szCs w:val="20"/>
              </w:rPr>
              <w:t>(</w:t>
            </w:r>
            <w:r w:rsidR="00E52AC1" w:rsidRPr="003224E5">
              <w:rPr>
                <w:rFonts w:cstheme="minorHAnsi"/>
                <w:sz w:val="20"/>
                <w:szCs w:val="20"/>
              </w:rPr>
              <w:t>nr.</w:t>
            </w:r>
            <w:r>
              <w:rPr>
                <w:rFonts w:cstheme="minorHAnsi"/>
                <w:sz w:val="20"/>
                <w:szCs w:val="20"/>
              </w:rPr>
              <w:t xml:space="preserve"> cadastrale: </w:t>
            </w:r>
            <w:r w:rsidR="00E52AC1" w:rsidRPr="003224E5">
              <w:rPr>
                <w:rFonts w:cstheme="minorHAnsi"/>
                <w:sz w:val="20"/>
                <w:szCs w:val="20"/>
              </w:rPr>
              <w:t>010020617101.002</w:t>
            </w:r>
            <w:r>
              <w:rPr>
                <w:rFonts w:cstheme="minorHAnsi"/>
                <w:sz w:val="20"/>
                <w:szCs w:val="20"/>
              </w:rPr>
              <w:t>, 0</w:t>
            </w:r>
            <w:r w:rsidRPr="003224E5">
              <w:rPr>
                <w:rFonts w:cstheme="minorHAnsi"/>
                <w:sz w:val="20"/>
                <w:szCs w:val="20"/>
              </w:rPr>
              <w:t>10020617101.</w:t>
            </w:r>
            <w:r w:rsidR="00E52AC1" w:rsidRPr="003224E5">
              <w:rPr>
                <w:rFonts w:cstheme="minorHAnsi"/>
                <w:sz w:val="20"/>
                <w:szCs w:val="20"/>
              </w:rPr>
              <w:t>003</w:t>
            </w:r>
            <w:r>
              <w:rPr>
                <w:rFonts w:cstheme="minorHAnsi"/>
                <w:sz w:val="20"/>
                <w:szCs w:val="20"/>
              </w:rPr>
              <w:t>,</w:t>
            </w:r>
            <w:r w:rsidR="00E52AC1" w:rsidRPr="003224E5">
              <w:rPr>
                <w:rFonts w:cstheme="minorHAnsi"/>
                <w:sz w:val="20"/>
                <w:szCs w:val="20"/>
              </w:rPr>
              <w:t xml:space="preserve"> 0100206388.01.002 și</w:t>
            </w:r>
            <w:r>
              <w:rPr>
                <w:rFonts w:cstheme="minorHAnsi"/>
                <w:sz w:val="20"/>
                <w:szCs w:val="20"/>
              </w:rPr>
              <w:t xml:space="preserve"> </w:t>
            </w:r>
            <w:r w:rsidRPr="003224E5">
              <w:rPr>
                <w:rFonts w:cstheme="minorHAnsi"/>
                <w:sz w:val="20"/>
                <w:szCs w:val="20"/>
              </w:rPr>
              <w:t>0100206388.01.</w:t>
            </w:r>
            <w:r w:rsidR="00E52AC1" w:rsidRPr="003224E5">
              <w:rPr>
                <w:rFonts w:cstheme="minorHAnsi"/>
                <w:sz w:val="20"/>
                <w:szCs w:val="20"/>
              </w:rPr>
              <w:t>003</w:t>
            </w:r>
            <w:r w:rsidR="006819D3">
              <w:rPr>
                <w:rFonts w:cstheme="minorHAnsi"/>
                <w:sz w:val="20"/>
                <w:szCs w:val="20"/>
              </w:rPr>
              <w:t>)</w:t>
            </w:r>
            <w:r w:rsidR="00E52AC1" w:rsidRPr="003224E5">
              <w:rPr>
                <w:rFonts w:cstheme="minorHAnsi"/>
                <w:sz w:val="20"/>
                <w:szCs w:val="20"/>
              </w:rPr>
              <w:t xml:space="preserve"> cu suprafața totală de 2527,2 m.p</w:t>
            </w:r>
            <w:r w:rsidR="006819D3">
              <w:rPr>
                <w:rFonts w:cstheme="minorHAnsi"/>
                <w:sz w:val="20"/>
                <w:szCs w:val="20"/>
              </w:rPr>
              <w:t>.</w:t>
            </w:r>
            <w:r w:rsidR="00E52AC1" w:rsidRPr="003224E5">
              <w:rPr>
                <w:rFonts w:cstheme="minorHAnsi"/>
                <w:sz w:val="20"/>
                <w:szCs w:val="20"/>
              </w:rPr>
              <w:t xml:space="preserve"> sunt înregistrate în evidența contabilă ca un singur obiect cu valoarea de 20783,9 mii lei</w:t>
            </w:r>
            <w:r w:rsidR="00650A9E">
              <w:rPr>
                <w:rFonts w:cstheme="minorHAnsi"/>
                <w:sz w:val="20"/>
                <w:szCs w:val="20"/>
              </w:rPr>
              <w:t>.</w:t>
            </w:r>
          </w:p>
        </w:tc>
      </w:tr>
    </w:tbl>
    <w:p w14:paraId="6D1F6490" w14:textId="06E557DB" w:rsidR="001744FA" w:rsidRPr="00000D4A" w:rsidRDefault="001744FA" w:rsidP="001744FA">
      <w:pPr>
        <w:pStyle w:val="af0"/>
        <w:tabs>
          <w:tab w:val="left" w:pos="5869"/>
        </w:tabs>
        <w:spacing w:after="360" w:line="276" w:lineRule="auto"/>
        <w:rPr>
          <w:rFonts w:eastAsia="Times New Roman"/>
          <w:i/>
          <w:sz w:val="16"/>
          <w:szCs w:val="16"/>
          <w:lang w:eastAsia="ro-MD"/>
        </w:rPr>
      </w:pPr>
      <w:r w:rsidRPr="00000D4A">
        <w:rPr>
          <w:rFonts w:eastAsia="Times New Roman"/>
          <w:b/>
          <w:i/>
          <w:sz w:val="16"/>
          <w:szCs w:val="16"/>
          <w:lang w:eastAsia="ro-MD"/>
        </w:rPr>
        <w:t>Sursă:</w:t>
      </w:r>
      <w:r w:rsidRPr="00000D4A">
        <w:rPr>
          <w:rFonts w:eastAsia="Times New Roman"/>
          <w:i/>
          <w:sz w:val="16"/>
          <w:szCs w:val="16"/>
          <w:lang w:eastAsia="ro-MD"/>
        </w:rPr>
        <w:t xml:space="preserve"> Elaborată în baza</w:t>
      </w:r>
      <w:r w:rsidR="00BA69A9">
        <w:rPr>
          <w:rFonts w:eastAsia="Times New Roman"/>
          <w:i/>
          <w:sz w:val="16"/>
          <w:szCs w:val="16"/>
          <w:lang w:eastAsia="ro-MD"/>
        </w:rPr>
        <w:t xml:space="preserve"> </w:t>
      </w:r>
      <w:r>
        <w:rPr>
          <w:rFonts w:eastAsia="Times New Roman"/>
          <w:i/>
          <w:sz w:val="16"/>
          <w:szCs w:val="16"/>
          <w:lang w:eastAsia="ro-MD"/>
        </w:rPr>
        <w:t>informațiilor prezentate de DGACG</w:t>
      </w:r>
    </w:p>
    <w:p w14:paraId="30E918F9" w14:textId="77777777" w:rsidR="00E52AC1" w:rsidRDefault="00E52AC1" w:rsidP="00E52AC1">
      <w:pPr>
        <w:rPr>
          <w:rFonts w:ascii="Times New Roman" w:eastAsia="Times New Roman" w:hAnsi="Times New Roman" w:cs="Times New Roman"/>
          <w:b/>
          <w:bCs/>
          <w:iCs/>
          <w:color w:val="0070C0"/>
          <w:sz w:val="24"/>
          <w:szCs w:val="24"/>
        </w:rPr>
        <w:sectPr w:rsidR="00E52AC1" w:rsidSect="00E52AC1">
          <w:pgSz w:w="11906" w:h="16838" w:code="9"/>
          <w:pgMar w:top="1140" w:right="566" w:bottom="1140" w:left="1701" w:header="720" w:footer="720" w:gutter="0"/>
          <w:cols w:space="720"/>
          <w:docGrid w:linePitch="360"/>
        </w:sectPr>
      </w:pPr>
    </w:p>
    <w:p w14:paraId="796FDE8C" w14:textId="7E4397CE" w:rsidR="00E52AC1" w:rsidRDefault="0017622E" w:rsidP="00E52AC1">
      <w:pPr>
        <w:rPr>
          <w:rFonts w:ascii="Times New Roman" w:eastAsia="Times New Roman" w:hAnsi="Times New Roman" w:cs="Times New Roman"/>
          <w:b/>
          <w:bCs/>
          <w:iCs/>
          <w:color w:val="0070C0"/>
          <w:sz w:val="24"/>
          <w:szCs w:val="24"/>
        </w:rPr>
      </w:pPr>
      <w:r>
        <w:rPr>
          <w:rFonts w:ascii="Times New Roman" w:eastAsia="Times New Roman" w:hAnsi="Times New Roman" w:cs="Times New Roman"/>
          <w:b/>
          <w:bCs/>
          <w:iCs/>
          <w:color w:val="0070C0"/>
          <w:sz w:val="24"/>
          <w:szCs w:val="24"/>
        </w:rPr>
        <w:t>Anexa nr. 12</w:t>
      </w:r>
      <w:r w:rsidR="00E52AC1">
        <w:rPr>
          <w:rFonts w:ascii="Times New Roman" w:eastAsia="Times New Roman" w:hAnsi="Times New Roman" w:cs="Times New Roman"/>
          <w:b/>
          <w:bCs/>
          <w:iCs/>
          <w:color w:val="0070C0"/>
          <w:sz w:val="24"/>
          <w:szCs w:val="24"/>
        </w:rPr>
        <w:t>:</w:t>
      </w:r>
    </w:p>
    <w:tbl>
      <w:tblPr>
        <w:tblW w:w="11204" w:type="dxa"/>
        <w:tblInd w:w="-1276" w:type="dxa"/>
        <w:tblLayout w:type="fixed"/>
        <w:tblLook w:val="04A0" w:firstRow="1" w:lastRow="0" w:firstColumn="1" w:lastColumn="0" w:noHBand="0" w:noVBand="1"/>
      </w:tblPr>
      <w:tblGrid>
        <w:gridCol w:w="1985"/>
        <w:gridCol w:w="5529"/>
        <w:gridCol w:w="603"/>
        <w:gridCol w:w="567"/>
        <w:gridCol w:w="567"/>
        <w:gridCol w:w="1953"/>
      </w:tblGrid>
      <w:tr w:rsidR="00770AC9" w:rsidRPr="00CF7154" w14:paraId="7F5471A6" w14:textId="77777777" w:rsidTr="00447CBE">
        <w:trPr>
          <w:trHeight w:val="276"/>
        </w:trPr>
        <w:tc>
          <w:tcPr>
            <w:tcW w:w="11204" w:type="dxa"/>
            <w:gridSpan w:val="6"/>
            <w:tcBorders>
              <w:top w:val="nil"/>
              <w:left w:val="nil"/>
              <w:bottom w:val="nil"/>
              <w:right w:val="nil"/>
            </w:tcBorders>
            <w:shd w:val="clear" w:color="auto" w:fill="auto"/>
            <w:vAlign w:val="center"/>
            <w:hideMark/>
          </w:tcPr>
          <w:p w14:paraId="03D78D4D" w14:textId="77777777" w:rsidR="00770AC9" w:rsidRPr="00CF7154" w:rsidRDefault="00770AC9" w:rsidP="00770AC9">
            <w:pPr>
              <w:spacing w:after="0" w:line="240" w:lineRule="auto"/>
              <w:jc w:val="center"/>
              <w:rPr>
                <w:rFonts w:ascii="Calibri Light" w:eastAsia="Times New Roman" w:hAnsi="Calibri Light" w:cs="Calibri Light"/>
                <w:b/>
                <w:bCs/>
                <w:sz w:val="16"/>
                <w:szCs w:val="16"/>
              </w:rPr>
            </w:pPr>
            <w:r w:rsidRPr="00CF7154">
              <w:rPr>
                <w:rFonts w:ascii="Calibri Light" w:eastAsia="Times New Roman" w:hAnsi="Calibri Light" w:cs="Calibri Light"/>
                <w:b/>
                <w:bCs/>
                <w:sz w:val="16"/>
                <w:szCs w:val="16"/>
              </w:rPr>
              <w:t>Implementarea cerințelor și recomandărilor aprobate prin Hotărârile anterioare ale Curții de Conturi</w:t>
            </w:r>
          </w:p>
        </w:tc>
      </w:tr>
      <w:tr w:rsidR="00770AC9" w:rsidRPr="00CF7154" w14:paraId="4F85E8C2" w14:textId="77777777" w:rsidTr="00447CBE">
        <w:trPr>
          <w:trHeight w:val="204"/>
        </w:trPr>
        <w:tc>
          <w:tcPr>
            <w:tcW w:w="1985" w:type="dxa"/>
            <w:tcBorders>
              <w:top w:val="nil"/>
              <w:left w:val="nil"/>
              <w:bottom w:val="nil"/>
              <w:right w:val="nil"/>
            </w:tcBorders>
            <w:shd w:val="clear" w:color="auto" w:fill="auto"/>
            <w:vAlign w:val="center"/>
            <w:hideMark/>
          </w:tcPr>
          <w:p w14:paraId="6598F3B9" w14:textId="77777777" w:rsidR="00770AC9" w:rsidRPr="00CF7154" w:rsidRDefault="00770AC9" w:rsidP="00770AC9">
            <w:pPr>
              <w:spacing w:after="0" w:line="240" w:lineRule="auto"/>
              <w:jc w:val="center"/>
              <w:rPr>
                <w:rFonts w:ascii="Calibri Light" w:eastAsia="Times New Roman" w:hAnsi="Calibri Light" w:cs="Calibri Light"/>
                <w:b/>
                <w:bCs/>
                <w:sz w:val="16"/>
                <w:szCs w:val="16"/>
              </w:rPr>
            </w:pPr>
          </w:p>
        </w:tc>
        <w:tc>
          <w:tcPr>
            <w:tcW w:w="5529" w:type="dxa"/>
            <w:tcBorders>
              <w:top w:val="nil"/>
              <w:left w:val="nil"/>
              <w:bottom w:val="nil"/>
              <w:right w:val="nil"/>
            </w:tcBorders>
            <w:shd w:val="clear" w:color="auto" w:fill="auto"/>
            <w:vAlign w:val="center"/>
            <w:hideMark/>
          </w:tcPr>
          <w:p w14:paraId="37CAFB51" w14:textId="77777777" w:rsidR="00770AC9" w:rsidRPr="00CF7154" w:rsidRDefault="00770AC9" w:rsidP="00770AC9">
            <w:pPr>
              <w:spacing w:after="0" w:line="240" w:lineRule="auto"/>
              <w:jc w:val="center"/>
              <w:rPr>
                <w:rFonts w:ascii="Times New Roman" w:eastAsia="Times New Roman" w:hAnsi="Times New Roman" w:cs="Times New Roman"/>
                <w:sz w:val="20"/>
                <w:szCs w:val="20"/>
              </w:rPr>
            </w:pPr>
          </w:p>
        </w:tc>
        <w:tc>
          <w:tcPr>
            <w:tcW w:w="603" w:type="dxa"/>
            <w:tcBorders>
              <w:top w:val="nil"/>
              <w:left w:val="nil"/>
              <w:bottom w:val="nil"/>
              <w:right w:val="nil"/>
            </w:tcBorders>
            <w:shd w:val="clear" w:color="auto" w:fill="auto"/>
            <w:vAlign w:val="center"/>
            <w:hideMark/>
          </w:tcPr>
          <w:p w14:paraId="0118169D" w14:textId="77777777" w:rsidR="00770AC9" w:rsidRPr="00CF7154" w:rsidRDefault="00770AC9" w:rsidP="00770AC9">
            <w:pPr>
              <w:spacing w:after="0" w:line="240" w:lineRule="auto"/>
              <w:jc w:val="center"/>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vAlign w:val="center"/>
            <w:hideMark/>
          </w:tcPr>
          <w:p w14:paraId="142843C1" w14:textId="77777777" w:rsidR="00770AC9" w:rsidRPr="00CF7154" w:rsidRDefault="00770AC9" w:rsidP="00770AC9">
            <w:pPr>
              <w:spacing w:after="0" w:line="240" w:lineRule="auto"/>
              <w:jc w:val="center"/>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vAlign w:val="center"/>
            <w:hideMark/>
          </w:tcPr>
          <w:p w14:paraId="67BBF7DD" w14:textId="77777777" w:rsidR="00770AC9" w:rsidRPr="00CF7154" w:rsidRDefault="00770AC9" w:rsidP="00770AC9">
            <w:pPr>
              <w:spacing w:after="0" w:line="240" w:lineRule="auto"/>
              <w:jc w:val="center"/>
              <w:rPr>
                <w:rFonts w:ascii="Times New Roman" w:eastAsia="Times New Roman" w:hAnsi="Times New Roman" w:cs="Times New Roman"/>
                <w:sz w:val="20"/>
                <w:szCs w:val="20"/>
              </w:rPr>
            </w:pPr>
          </w:p>
        </w:tc>
        <w:tc>
          <w:tcPr>
            <w:tcW w:w="1953" w:type="dxa"/>
            <w:tcBorders>
              <w:top w:val="nil"/>
              <w:left w:val="nil"/>
              <w:bottom w:val="nil"/>
              <w:right w:val="nil"/>
            </w:tcBorders>
            <w:shd w:val="clear" w:color="auto" w:fill="auto"/>
            <w:vAlign w:val="center"/>
            <w:hideMark/>
          </w:tcPr>
          <w:p w14:paraId="3120B9D5" w14:textId="77777777" w:rsidR="00770AC9" w:rsidRPr="00CF7154" w:rsidRDefault="00770AC9" w:rsidP="00770AC9">
            <w:pPr>
              <w:spacing w:after="0" w:line="240" w:lineRule="auto"/>
              <w:jc w:val="center"/>
              <w:rPr>
                <w:rFonts w:ascii="Times New Roman" w:eastAsia="Times New Roman" w:hAnsi="Times New Roman" w:cs="Times New Roman"/>
                <w:sz w:val="20"/>
                <w:szCs w:val="20"/>
              </w:rPr>
            </w:pPr>
          </w:p>
        </w:tc>
      </w:tr>
      <w:tr w:rsidR="000D43B2" w:rsidRPr="00CF7154" w14:paraId="4522D5CC" w14:textId="77777777" w:rsidTr="00447CBE">
        <w:trPr>
          <w:trHeight w:val="528"/>
        </w:trPr>
        <w:tc>
          <w:tcPr>
            <w:tcW w:w="1985"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5F3F4626" w14:textId="77777777" w:rsidR="000D43B2" w:rsidRPr="00CF7154" w:rsidRDefault="000D43B2" w:rsidP="00770AC9">
            <w:pPr>
              <w:spacing w:after="0" w:line="240" w:lineRule="auto"/>
              <w:jc w:val="center"/>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Recomandarea</w:t>
            </w:r>
          </w:p>
        </w:tc>
        <w:tc>
          <w:tcPr>
            <w:tcW w:w="5529"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1972FA52" w14:textId="77777777" w:rsidR="000D43B2" w:rsidRPr="00CF7154" w:rsidRDefault="000D43B2" w:rsidP="00770AC9">
            <w:pPr>
              <w:spacing w:after="0" w:line="240" w:lineRule="auto"/>
              <w:jc w:val="center"/>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Acțiunile întreprinse de către entitatea auditată</w:t>
            </w:r>
          </w:p>
        </w:tc>
        <w:tc>
          <w:tcPr>
            <w:tcW w:w="1737" w:type="dxa"/>
            <w:gridSpan w:val="3"/>
            <w:tcBorders>
              <w:top w:val="single" w:sz="4" w:space="0" w:color="auto"/>
              <w:left w:val="nil"/>
              <w:bottom w:val="single" w:sz="4" w:space="0" w:color="auto"/>
              <w:right w:val="single" w:sz="4" w:space="0" w:color="auto"/>
            </w:tcBorders>
            <w:shd w:val="clear" w:color="000000" w:fill="B8CCE4"/>
            <w:vAlign w:val="center"/>
            <w:hideMark/>
          </w:tcPr>
          <w:p w14:paraId="6AF9DF72" w14:textId="77777777" w:rsidR="000D43B2" w:rsidRPr="00CF7154" w:rsidRDefault="000D43B2" w:rsidP="00770AC9">
            <w:pPr>
              <w:spacing w:after="0" w:line="240" w:lineRule="auto"/>
              <w:jc w:val="center"/>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Nivelul de executare/implementare a recomandării</w:t>
            </w:r>
          </w:p>
        </w:tc>
        <w:tc>
          <w:tcPr>
            <w:tcW w:w="1953" w:type="dxa"/>
            <w:vMerge w:val="restart"/>
            <w:tcBorders>
              <w:top w:val="single" w:sz="4" w:space="0" w:color="auto"/>
              <w:left w:val="single" w:sz="4" w:space="0" w:color="auto"/>
              <w:right w:val="single" w:sz="4" w:space="0" w:color="auto"/>
            </w:tcBorders>
            <w:shd w:val="clear" w:color="000000" w:fill="B8CCE4"/>
            <w:vAlign w:val="center"/>
            <w:hideMark/>
          </w:tcPr>
          <w:p w14:paraId="0EFE1972" w14:textId="77777777" w:rsidR="000D43B2" w:rsidRPr="00CF7154" w:rsidRDefault="000D43B2" w:rsidP="00770AC9">
            <w:pPr>
              <w:spacing w:after="0" w:line="240" w:lineRule="auto"/>
              <w:jc w:val="center"/>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Măsurile ulterioare</w:t>
            </w:r>
          </w:p>
        </w:tc>
      </w:tr>
      <w:tr w:rsidR="000D43B2" w:rsidRPr="00CF7154" w14:paraId="13A8C96B" w14:textId="77777777" w:rsidTr="00447CBE">
        <w:trPr>
          <w:trHeight w:val="204"/>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6470D377" w14:textId="77777777" w:rsidR="000D43B2" w:rsidRPr="00CF7154" w:rsidRDefault="000D43B2" w:rsidP="00770AC9">
            <w:pPr>
              <w:spacing w:after="0" w:line="240" w:lineRule="auto"/>
              <w:rPr>
                <w:rFonts w:ascii="Calibri" w:eastAsia="Times New Roman" w:hAnsi="Calibri" w:cs="Calibri"/>
                <w:b/>
                <w:bCs/>
                <w:color w:val="000000"/>
                <w:sz w:val="16"/>
                <w:szCs w:val="16"/>
              </w:rPr>
            </w:pPr>
          </w:p>
        </w:tc>
        <w:tc>
          <w:tcPr>
            <w:tcW w:w="5529" w:type="dxa"/>
            <w:vMerge/>
            <w:tcBorders>
              <w:top w:val="single" w:sz="4" w:space="0" w:color="auto"/>
              <w:left w:val="single" w:sz="4" w:space="0" w:color="auto"/>
              <w:bottom w:val="single" w:sz="4" w:space="0" w:color="auto"/>
              <w:right w:val="single" w:sz="4" w:space="0" w:color="auto"/>
            </w:tcBorders>
            <w:vAlign w:val="center"/>
            <w:hideMark/>
          </w:tcPr>
          <w:p w14:paraId="576D6CB2" w14:textId="77777777" w:rsidR="000D43B2" w:rsidRPr="00CF7154" w:rsidRDefault="000D43B2" w:rsidP="00770AC9">
            <w:pPr>
              <w:spacing w:after="0" w:line="240" w:lineRule="auto"/>
              <w:rPr>
                <w:rFonts w:ascii="Calibri" w:eastAsia="Times New Roman" w:hAnsi="Calibri" w:cs="Calibri"/>
                <w:b/>
                <w:bCs/>
                <w:color w:val="000000"/>
                <w:sz w:val="16"/>
                <w:szCs w:val="16"/>
              </w:rPr>
            </w:pPr>
          </w:p>
        </w:tc>
        <w:tc>
          <w:tcPr>
            <w:tcW w:w="603" w:type="dxa"/>
            <w:tcBorders>
              <w:top w:val="nil"/>
              <w:left w:val="nil"/>
              <w:bottom w:val="single" w:sz="4" w:space="0" w:color="auto"/>
              <w:right w:val="single" w:sz="4" w:space="0" w:color="auto"/>
            </w:tcBorders>
            <w:shd w:val="clear" w:color="000000" w:fill="B8CCE4"/>
            <w:vAlign w:val="center"/>
            <w:hideMark/>
          </w:tcPr>
          <w:p w14:paraId="1BEFDB28" w14:textId="77777777" w:rsidR="000D43B2" w:rsidRPr="000D43B2" w:rsidRDefault="000D43B2" w:rsidP="00770AC9">
            <w:pPr>
              <w:spacing w:after="0" w:line="240" w:lineRule="auto"/>
              <w:jc w:val="center"/>
              <w:rPr>
                <w:rFonts w:ascii="Calibri" w:eastAsia="Times New Roman" w:hAnsi="Calibri" w:cs="Calibri"/>
                <w:i/>
                <w:iCs/>
                <w:color w:val="000000"/>
                <w:sz w:val="14"/>
                <w:szCs w:val="14"/>
              </w:rPr>
            </w:pPr>
            <w:r w:rsidRPr="000D43B2">
              <w:rPr>
                <w:rFonts w:ascii="Calibri" w:eastAsia="Times New Roman" w:hAnsi="Calibri" w:cs="Calibri"/>
                <w:i/>
                <w:iCs/>
                <w:color w:val="000000"/>
                <w:sz w:val="14"/>
                <w:szCs w:val="14"/>
              </w:rPr>
              <w:t>Executat</w:t>
            </w:r>
          </w:p>
        </w:tc>
        <w:tc>
          <w:tcPr>
            <w:tcW w:w="567" w:type="dxa"/>
            <w:tcBorders>
              <w:top w:val="nil"/>
              <w:left w:val="nil"/>
              <w:bottom w:val="single" w:sz="4" w:space="0" w:color="auto"/>
              <w:right w:val="single" w:sz="4" w:space="0" w:color="auto"/>
            </w:tcBorders>
            <w:shd w:val="clear" w:color="000000" w:fill="B8CCE4"/>
            <w:vAlign w:val="center"/>
            <w:hideMark/>
          </w:tcPr>
          <w:p w14:paraId="5BB755FC" w14:textId="77777777" w:rsidR="000D43B2" w:rsidRPr="000D43B2" w:rsidRDefault="000D43B2" w:rsidP="000D43B2">
            <w:pPr>
              <w:spacing w:after="0" w:line="240" w:lineRule="auto"/>
              <w:ind w:left="-114" w:right="-105"/>
              <w:jc w:val="center"/>
              <w:rPr>
                <w:rFonts w:ascii="Calibri" w:eastAsia="Times New Roman" w:hAnsi="Calibri" w:cs="Calibri"/>
                <w:i/>
                <w:iCs/>
                <w:color w:val="000000"/>
                <w:sz w:val="14"/>
                <w:szCs w:val="14"/>
              </w:rPr>
            </w:pPr>
            <w:r w:rsidRPr="000D43B2">
              <w:rPr>
                <w:rFonts w:ascii="Calibri" w:eastAsia="Times New Roman" w:hAnsi="Calibri" w:cs="Calibri"/>
                <w:i/>
                <w:iCs/>
                <w:color w:val="000000"/>
                <w:sz w:val="14"/>
                <w:szCs w:val="14"/>
              </w:rPr>
              <w:t>Parțial executat</w:t>
            </w:r>
          </w:p>
        </w:tc>
        <w:tc>
          <w:tcPr>
            <w:tcW w:w="567" w:type="dxa"/>
            <w:tcBorders>
              <w:top w:val="nil"/>
              <w:left w:val="nil"/>
              <w:bottom w:val="single" w:sz="4" w:space="0" w:color="auto"/>
              <w:right w:val="single" w:sz="4" w:space="0" w:color="auto"/>
            </w:tcBorders>
            <w:shd w:val="clear" w:color="000000" w:fill="B8CCE4"/>
            <w:vAlign w:val="center"/>
            <w:hideMark/>
          </w:tcPr>
          <w:p w14:paraId="236A9730" w14:textId="77777777" w:rsidR="000D43B2" w:rsidRPr="000D43B2" w:rsidRDefault="000D43B2" w:rsidP="000D43B2">
            <w:pPr>
              <w:spacing w:after="0" w:line="240" w:lineRule="auto"/>
              <w:ind w:right="-108"/>
              <w:jc w:val="center"/>
              <w:rPr>
                <w:rFonts w:ascii="Calibri" w:eastAsia="Times New Roman" w:hAnsi="Calibri" w:cs="Calibri"/>
                <w:i/>
                <w:iCs/>
                <w:color w:val="000000"/>
                <w:sz w:val="14"/>
                <w:szCs w:val="14"/>
              </w:rPr>
            </w:pPr>
            <w:r w:rsidRPr="000D43B2">
              <w:rPr>
                <w:rFonts w:ascii="Calibri" w:eastAsia="Times New Roman" w:hAnsi="Calibri" w:cs="Calibri"/>
                <w:i/>
                <w:iCs/>
                <w:color w:val="000000"/>
                <w:sz w:val="14"/>
                <w:szCs w:val="14"/>
              </w:rPr>
              <w:t>Neexecutat</w:t>
            </w:r>
          </w:p>
        </w:tc>
        <w:tc>
          <w:tcPr>
            <w:tcW w:w="1953" w:type="dxa"/>
            <w:vMerge/>
            <w:tcBorders>
              <w:left w:val="single" w:sz="4" w:space="0" w:color="auto"/>
              <w:bottom w:val="single" w:sz="4" w:space="0" w:color="auto"/>
              <w:right w:val="single" w:sz="4" w:space="0" w:color="auto"/>
            </w:tcBorders>
            <w:vAlign w:val="center"/>
            <w:hideMark/>
          </w:tcPr>
          <w:p w14:paraId="4B36E2D4" w14:textId="77777777" w:rsidR="000D43B2" w:rsidRPr="00CF7154" w:rsidRDefault="000D43B2" w:rsidP="00770AC9">
            <w:pPr>
              <w:spacing w:after="0" w:line="240" w:lineRule="auto"/>
              <w:rPr>
                <w:rFonts w:ascii="Calibri" w:eastAsia="Times New Roman" w:hAnsi="Calibri" w:cs="Calibri"/>
                <w:b/>
                <w:bCs/>
                <w:color w:val="000000"/>
                <w:sz w:val="16"/>
                <w:szCs w:val="16"/>
              </w:rPr>
            </w:pPr>
          </w:p>
        </w:tc>
      </w:tr>
      <w:tr w:rsidR="00770AC9" w:rsidRPr="00CF7154" w14:paraId="3AF5C9A9" w14:textId="77777777" w:rsidTr="00447CBE">
        <w:trPr>
          <w:trHeight w:val="204"/>
        </w:trPr>
        <w:tc>
          <w:tcPr>
            <w:tcW w:w="11204" w:type="dxa"/>
            <w:gridSpan w:val="6"/>
            <w:tcBorders>
              <w:top w:val="single" w:sz="4" w:space="0" w:color="auto"/>
              <w:left w:val="single" w:sz="4" w:space="0" w:color="auto"/>
              <w:bottom w:val="single" w:sz="4" w:space="0" w:color="auto"/>
              <w:right w:val="single" w:sz="4" w:space="0" w:color="000000"/>
            </w:tcBorders>
            <w:shd w:val="clear" w:color="000000" w:fill="DCE6F1"/>
            <w:vAlign w:val="bottom"/>
            <w:hideMark/>
          </w:tcPr>
          <w:p w14:paraId="4D43BEA6" w14:textId="77777777" w:rsidR="00770AC9" w:rsidRPr="00CF7154" w:rsidRDefault="00770AC9" w:rsidP="00770AC9">
            <w:pPr>
              <w:spacing w:after="0" w:line="240" w:lineRule="auto"/>
              <w:jc w:val="center"/>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1. Hotărârea nr.90 din 12 decembrie 2018 cu privire la Raportul auditului situațiilor financiare consolidate ale Cancelariei de Stat încheiate la 31 decembrie 2017</w:t>
            </w:r>
          </w:p>
        </w:tc>
      </w:tr>
      <w:tr w:rsidR="00770AC9" w:rsidRPr="00CF7154" w14:paraId="592D430A" w14:textId="77777777" w:rsidTr="00447CBE">
        <w:trPr>
          <w:trHeight w:val="204"/>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02462CB1" w14:textId="77777777" w:rsidR="00770AC9" w:rsidRPr="00CF7154" w:rsidRDefault="00770AC9" w:rsidP="00770AC9">
            <w:pPr>
              <w:spacing w:after="0" w:line="240" w:lineRule="auto"/>
              <w:jc w:val="center"/>
              <w:rPr>
                <w:rFonts w:ascii="Calibri" w:eastAsia="Times New Roman" w:hAnsi="Calibri" w:cs="Calibri"/>
                <w:b/>
                <w:bCs/>
                <w:i/>
                <w:iCs/>
                <w:color w:val="000000"/>
                <w:sz w:val="16"/>
                <w:szCs w:val="16"/>
              </w:rPr>
            </w:pPr>
            <w:r w:rsidRPr="00CF7154">
              <w:rPr>
                <w:rFonts w:ascii="Calibri" w:eastAsia="Times New Roman" w:hAnsi="Calibri" w:cs="Calibri"/>
                <w:b/>
                <w:bCs/>
                <w:i/>
                <w:iCs/>
                <w:color w:val="000000"/>
                <w:sz w:val="16"/>
                <w:szCs w:val="16"/>
              </w:rPr>
              <w:t>Recomandări înaintate prin Hotărârea Curții de Conturi:</w:t>
            </w:r>
          </w:p>
        </w:tc>
      </w:tr>
      <w:tr w:rsidR="00770AC9" w:rsidRPr="00CF7154" w14:paraId="7C2FFEC4" w14:textId="77777777" w:rsidTr="00447CBE">
        <w:trPr>
          <w:trHeight w:val="204"/>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3871AE14" w14:textId="77777777" w:rsidR="00770AC9" w:rsidRPr="00CF7154" w:rsidRDefault="00770AC9" w:rsidP="00770AC9">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CANCELARIA DE STAT</w:t>
            </w:r>
          </w:p>
        </w:tc>
      </w:tr>
      <w:tr w:rsidR="00770AC9" w:rsidRPr="00CF7154" w14:paraId="53B17E62" w14:textId="77777777" w:rsidTr="00447CBE">
        <w:trPr>
          <w:trHeight w:val="3560"/>
        </w:trPr>
        <w:tc>
          <w:tcPr>
            <w:tcW w:w="1985" w:type="dxa"/>
            <w:tcBorders>
              <w:top w:val="nil"/>
              <w:left w:val="single" w:sz="4" w:space="0" w:color="auto"/>
              <w:bottom w:val="single" w:sz="4" w:space="0" w:color="auto"/>
              <w:right w:val="single" w:sz="4" w:space="0" w:color="auto"/>
            </w:tcBorders>
            <w:shd w:val="clear" w:color="auto" w:fill="auto"/>
            <w:hideMark/>
          </w:tcPr>
          <w:p w14:paraId="584DACAC" w14:textId="77777777" w:rsidR="00770AC9" w:rsidRPr="002E528C" w:rsidRDefault="00770AC9" w:rsidP="00770AC9">
            <w:pPr>
              <w:spacing w:after="0" w:line="240" w:lineRule="auto"/>
              <w:rPr>
                <w:rFonts w:ascii="Calibri" w:eastAsia="Times New Roman" w:hAnsi="Calibri" w:cs="Calibri"/>
                <w:color w:val="000000"/>
                <w:sz w:val="15"/>
                <w:szCs w:val="15"/>
              </w:rPr>
            </w:pPr>
            <w:r w:rsidRPr="002E528C">
              <w:rPr>
                <w:rFonts w:ascii="Calibri" w:eastAsia="Times New Roman" w:hAnsi="Calibri" w:cs="Calibri"/>
                <w:b/>
                <w:bCs/>
                <w:color w:val="000000"/>
                <w:sz w:val="15"/>
                <w:szCs w:val="15"/>
              </w:rPr>
              <w:t>Recomandarea nr. 2.1.1:</w:t>
            </w:r>
            <w:r w:rsidRPr="002E528C">
              <w:rPr>
                <w:rFonts w:ascii="Calibri" w:eastAsia="Times New Roman" w:hAnsi="Calibri" w:cs="Calibri"/>
                <w:color w:val="000000"/>
                <w:sz w:val="15"/>
                <w:szCs w:val="15"/>
              </w:rPr>
              <w:t xml:space="preserve"> Să întreprindă măsuri pentru înregistrarea deplină a drepturilor patrimoniale, cu ajustarea valorii bunurilor imobile și a terenurilor</w:t>
            </w:r>
          </w:p>
        </w:tc>
        <w:tc>
          <w:tcPr>
            <w:tcW w:w="5529" w:type="dxa"/>
            <w:tcBorders>
              <w:top w:val="nil"/>
              <w:left w:val="nil"/>
              <w:bottom w:val="single" w:sz="4" w:space="0" w:color="auto"/>
              <w:right w:val="single" w:sz="4" w:space="0" w:color="auto"/>
            </w:tcBorders>
            <w:shd w:val="clear" w:color="auto" w:fill="auto"/>
            <w:hideMark/>
          </w:tcPr>
          <w:p w14:paraId="36E62BE9" w14:textId="008B52B1" w:rsidR="00770AC9" w:rsidRPr="00CF7154" w:rsidRDefault="00770AC9" w:rsidP="009C6D60">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1. Scrisoarea Cancelariei de Stat nr.19-03-570 din 29.01.2019, aprobarea Planului de acțiuni privind implementarea recomandărilor;</w:t>
            </w:r>
            <w:r w:rsidRPr="00CF7154">
              <w:rPr>
                <w:rFonts w:ascii="Calibri" w:eastAsia="Times New Roman" w:hAnsi="Calibri" w:cs="Calibri"/>
                <w:color w:val="000000"/>
                <w:sz w:val="16"/>
                <w:szCs w:val="16"/>
              </w:rPr>
              <w:br/>
              <w:t>2. Scrisoarea nr.09/110 din 24.05.2019</w:t>
            </w:r>
            <w:r w:rsidR="00BA69A9">
              <w:rPr>
                <w:rFonts w:ascii="Calibri" w:eastAsia="Times New Roman" w:hAnsi="Calibri" w:cs="Calibri"/>
                <w:color w:val="000000"/>
                <w:sz w:val="16"/>
                <w:szCs w:val="16"/>
              </w:rPr>
              <w:t xml:space="preserve"> </w:t>
            </w:r>
            <w:r w:rsidRPr="00CF7154">
              <w:rPr>
                <w:rFonts w:ascii="Calibri" w:eastAsia="Times New Roman" w:hAnsi="Calibri" w:cs="Calibri"/>
                <w:color w:val="000000"/>
                <w:sz w:val="16"/>
                <w:szCs w:val="16"/>
              </w:rPr>
              <w:t xml:space="preserve">prin care </w:t>
            </w:r>
            <w:r w:rsidR="00B221E8">
              <w:rPr>
                <w:rFonts w:ascii="Calibri" w:eastAsia="Times New Roman" w:hAnsi="Calibri" w:cs="Calibri"/>
                <w:color w:val="000000"/>
                <w:sz w:val="16"/>
                <w:szCs w:val="16"/>
              </w:rPr>
              <w:t>BA a CS</w:t>
            </w:r>
            <w:r w:rsidRPr="00CF7154">
              <w:rPr>
                <w:rFonts w:ascii="Calibri" w:eastAsia="Times New Roman" w:hAnsi="Calibri" w:cs="Calibri"/>
                <w:color w:val="000000"/>
                <w:sz w:val="16"/>
                <w:szCs w:val="16"/>
              </w:rPr>
              <w:t xml:space="preserve"> s-a adresat I.P. </w:t>
            </w:r>
            <w:r w:rsidR="00B221E8">
              <w:rPr>
                <w:rFonts w:ascii="Calibri" w:eastAsia="Times New Roman" w:hAnsi="Calibri" w:cs="Calibri"/>
                <w:color w:val="000000"/>
                <w:sz w:val="16"/>
                <w:szCs w:val="16"/>
              </w:rPr>
              <w:t>ASP</w:t>
            </w:r>
            <w:r w:rsidRPr="00CF7154">
              <w:rPr>
                <w:rFonts w:ascii="Calibri" w:eastAsia="Times New Roman" w:hAnsi="Calibri" w:cs="Calibri"/>
                <w:color w:val="000000"/>
                <w:sz w:val="16"/>
                <w:szCs w:val="16"/>
              </w:rPr>
              <w:t xml:space="preserve"> în vederea comunicării care este statutul imobilului de pe str. Drumul Viilor nr.34 (nr. cadastral 0100202.429.08) și modali</w:t>
            </w:r>
            <w:r>
              <w:rPr>
                <w:rFonts w:ascii="Calibri" w:eastAsia="Times New Roman" w:hAnsi="Calibri" w:cs="Calibri"/>
                <w:color w:val="000000"/>
                <w:sz w:val="16"/>
                <w:szCs w:val="16"/>
              </w:rPr>
              <w:t>t</w:t>
            </w:r>
            <w:r w:rsidRPr="00CF7154">
              <w:rPr>
                <w:rFonts w:ascii="Calibri" w:eastAsia="Times New Roman" w:hAnsi="Calibri" w:cs="Calibri"/>
                <w:color w:val="000000"/>
                <w:sz w:val="16"/>
                <w:szCs w:val="16"/>
              </w:rPr>
              <w:t xml:space="preserve">atea înregistrării dreptului de gestiune economică în Registrul imobilelor pe numele I.P. </w:t>
            </w:r>
            <w:r w:rsidR="00B221E8">
              <w:rPr>
                <w:rFonts w:ascii="Calibri" w:eastAsia="Times New Roman" w:hAnsi="Calibri" w:cs="Calibri"/>
                <w:color w:val="000000"/>
                <w:sz w:val="16"/>
                <w:szCs w:val="16"/>
              </w:rPr>
              <w:t>BA</w:t>
            </w:r>
            <w:r w:rsidRPr="00CF7154">
              <w:rPr>
                <w:rFonts w:ascii="Calibri" w:eastAsia="Times New Roman" w:hAnsi="Calibri" w:cs="Calibri"/>
                <w:color w:val="000000"/>
                <w:sz w:val="16"/>
                <w:szCs w:val="16"/>
              </w:rPr>
              <w:t xml:space="preserve"> a CS. Totodată, menționăm că, prin </w:t>
            </w:r>
            <w:r w:rsidR="00B221E8">
              <w:rPr>
                <w:rFonts w:ascii="Calibri" w:eastAsia="Times New Roman" w:hAnsi="Calibri" w:cs="Calibri"/>
                <w:color w:val="000000"/>
                <w:sz w:val="16"/>
                <w:szCs w:val="16"/>
              </w:rPr>
              <w:t>HG</w:t>
            </w:r>
            <w:r w:rsidRPr="00CF7154">
              <w:rPr>
                <w:rFonts w:ascii="Calibri" w:eastAsia="Times New Roman" w:hAnsi="Calibri" w:cs="Calibri"/>
                <w:color w:val="000000"/>
                <w:sz w:val="16"/>
                <w:szCs w:val="16"/>
              </w:rPr>
              <w:t xml:space="preserve"> nr.916 din 24.09.2018, I.P. </w:t>
            </w:r>
            <w:r w:rsidR="00B221E8">
              <w:rPr>
                <w:rFonts w:ascii="Calibri" w:eastAsia="Times New Roman" w:hAnsi="Calibri" w:cs="Calibri"/>
                <w:color w:val="000000"/>
                <w:sz w:val="16"/>
                <w:szCs w:val="16"/>
              </w:rPr>
              <w:t>BA a CS</w:t>
            </w:r>
            <w:r w:rsidRPr="00CF7154">
              <w:rPr>
                <w:rFonts w:ascii="Calibri" w:eastAsia="Times New Roman" w:hAnsi="Calibri" w:cs="Calibri"/>
                <w:color w:val="000000"/>
                <w:sz w:val="16"/>
                <w:szCs w:val="16"/>
              </w:rPr>
              <w:t xml:space="preserve"> s-a reorganizat prin fuziunea (absorbție) I.P. Baza Auto a Asociației Curativ Sanatoriale și de Recuperare a Cancelariei de Stat. Conform Hotărârii menționate, patrimoniul I.P. Baza Auto a Asociației Curativ Sanatoriale și de Recuperare a Cancelariei de Stat a fost transmis I.P. </w:t>
            </w:r>
            <w:r w:rsidR="00B221E8">
              <w:rPr>
                <w:rFonts w:ascii="Calibri" w:eastAsia="Times New Roman" w:hAnsi="Calibri" w:cs="Calibri"/>
                <w:color w:val="000000"/>
                <w:sz w:val="16"/>
                <w:szCs w:val="16"/>
              </w:rPr>
              <w:t>BA a CS</w:t>
            </w:r>
            <w:r w:rsidRPr="00CF7154">
              <w:rPr>
                <w:rFonts w:ascii="Calibri" w:eastAsia="Times New Roman" w:hAnsi="Calibri" w:cs="Calibri"/>
                <w:color w:val="000000"/>
                <w:sz w:val="16"/>
                <w:szCs w:val="16"/>
              </w:rPr>
              <w:t>, inclusiv și bunul imobil de pe Drumul Viilor (cu nr. cadastral 0100202429.08) . Din documentația transmisă de I</w:t>
            </w:r>
            <w:r w:rsidR="00A25419">
              <w:rPr>
                <w:rFonts w:ascii="Calibri" w:eastAsia="Times New Roman" w:hAnsi="Calibri" w:cs="Calibri"/>
                <w:color w:val="000000"/>
                <w:sz w:val="16"/>
                <w:szCs w:val="16"/>
              </w:rPr>
              <w:t>.</w:t>
            </w:r>
            <w:r w:rsidRPr="00CF7154">
              <w:rPr>
                <w:rFonts w:ascii="Calibri" w:eastAsia="Times New Roman" w:hAnsi="Calibri" w:cs="Calibri"/>
                <w:color w:val="000000"/>
                <w:sz w:val="16"/>
                <w:szCs w:val="16"/>
              </w:rPr>
              <w:t>P</w:t>
            </w:r>
            <w:r w:rsidR="00A25419">
              <w:rPr>
                <w:rFonts w:ascii="Calibri" w:eastAsia="Times New Roman" w:hAnsi="Calibri" w:cs="Calibri"/>
                <w:color w:val="000000"/>
                <w:sz w:val="16"/>
                <w:szCs w:val="16"/>
              </w:rPr>
              <w:t>.</w:t>
            </w:r>
            <w:r w:rsidRPr="00CF7154">
              <w:rPr>
                <w:rFonts w:ascii="Calibri" w:eastAsia="Times New Roman" w:hAnsi="Calibri" w:cs="Calibri"/>
                <w:color w:val="000000"/>
                <w:sz w:val="16"/>
                <w:szCs w:val="16"/>
              </w:rPr>
              <w:t xml:space="preserve"> Baza Auto a Asociației Curativ Sanatoriale și de Recuperare a Cancelariei de Stat, se constată că de oficiul cadastral Chișinău au fost efectuate lucrări cadastrale aferente imobilului sus-numit, în rezultatul cărora a fost </w:t>
            </w:r>
            <w:r>
              <w:rPr>
                <w:rFonts w:ascii="Calibri" w:eastAsia="Times New Roman" w:hAnsi="Calibri" w:cs="Calibri"/>
                <w:color w:val="000000"/>
                <w:sz w:val="16"/>
                <w:szCs w:val="16"/>
              </w:rPr>
              <w:t>eliberat Certificatul despre rez</w:t>
            </w:r>
            <w:r w:rsidRPr="00CF7154">
              <w:rPr>
                <w:rFonts w:ascii="Calibri" w:eastAsia="Times New Roman" w:hAnsi="Calibri" w:cs="Calibri"/>
                <w:color w:val="000000"/>
                <w:sz w:val="16"/>
                <w:szCs w:val="16"/>
              </w:rPr>
              <w:t>ultatele inspectării bunului, fiind transmis si dosarul cadastral.</w:t>
            </w:r>
            <w:r w:rsidRPr="00CF7154">
              <w:rPr>
                <w:rFonts w:ascii="Calibri" w:eastAsia="Times New Roman" w:hAnsi="Calibri" w:cs="Calibri"/>
                <w:color w:val="000000"/>
                <w:sz w:val="16"/>
                <w:szCs w:val="16"/>
              </w:rPr>
              <w:br/>
              <w:t xml:space="preserve">3. Ordinul DGACG nr.76-A din 12.04.2018 „Cu privire la constituirea Comisiei de revizuire a stării tehnice a imobilelor care se află în evidența contabilă dar nu sunt înregistrate la I.P. </w:t>
            </w:r>
            <w:r w:rsidR="00B221E8">
              <w:rPr>
                <w:rFonts w:ascii="Calibri" w:eastAsia="Times New Roman" w:hAnsi="Calibri" w:cs="Calibri"/>
                <w:color w:val="000000"/>
                <w:sz w:val="16"/>
                <w:szCs w:val="16"/>
              </w:rPr>
              <w:t>ASP</w:t>
            </w:r>
            <w:r w:rsidRPr="00CF7154">
              <w:rPr>
                <w:rFonts w:ascii="Calibri" w:eastAsia="Times New Roman" w:hAnsi="Calibri" w:cs="Calibri"/>
                <w:color w:val="000000"/>
                <w:sz w:val="16"/>
                <w:szCs w:val="16"/>
              </w:rPr>
              <w:t>;</w:t>
            </w:r>
            <w:r w:rsidRPr="00CF7154">
              <w:rPr>
                <w:rFonts w:ascii="Calibri" w:eastAsia="Times New Roman" w:hAnsi="Calibri" w:cs="Calibri"/>
                <w:color w:val="000000"/>
                <w:sz w:val="16"/>
                <w:szCs w:val="16"/>
              </w:rPr>
              <w:br/>
              <w:t xml:space="preserve">4. Planul de măsuri al I.P. </w:t>
            </w:r>
            <w:r w:rsidR="00B221E8">
              <w:rPr>
                <w:rFonts w:ascii="Calibri" w:eastAsia="Times New Roman" w:hAnsi="Calibri" w:cs="Calibri"/>
                <w:color w:val="000000"/>
                <w:sz w:val="16"/>
                <w:szCs w:val="16"/>
              </w:rPr>
              <w:t>DGACG</w:t>
            </w:r>
            <w:r w:rsidRPr="00CF7154">
              <w:rPr>
                <w:rFonts w:ascii="Calibri" w:eastAsia="Times New Roman" w:hAnsi="Calibri" w:cs="Calibri"/>
                <w:color w:val="000000"/>
                <w:sz w:val="16"/>
                <w:szCs w:val="16"/>
              </w:rPr>
              <w:t xml:space="preserve"> privind inventarierea tehnică a imobilelor și evaluarea costului lor;</w:t>
            </w:r>
            <w:r w:rsidRPr="00CF7154">
              <w:rPr>
                <w:rFonts w:ascii="Calibri" w:eastAsia="Times New Roman" w:hAnsi="Calibri" w:cs="Calibri"/>
                <w:color w:val="000000"/>
                <w:sz w:val="16"/>
                <w:szCs w:val="16"/>
              </w:rPr>
              <w:br/>
              <w:t>5. Planul de măsuri a Direcției generale pentru administrare a clădirilor Guvernului privind eliminarea ne</w:t>
            </w:r>
            <w:r>
              <w:rPr>
                <w:rFonts w:ascii="Calibri" w:eastAsia="Times New Roman" w:hAnsi="Calibri" w:cs="Calibri"/>
                <w:color w:val="000000"/>
                <w:sz w:val="16"/>
                <w:szCs w:val="16"/>
              </w:rPr>
              <w:t>a</w:t>
            </w:r>
            <w:r w:rsidRPr="00CF7154">
              <w:rPr>
                <w:rFonts w:ascii="Calibri" w:eastAsia="Times New Roman" w:hAnsi="Calibri" w:cs="Calibri"/>
                <w:color w:val="000000"/>
                <w:sz w:val="16"/>
                <w:szCs w:val="16"/>
              </w:rPr>
              <w:t xml:space="preserve">junsurilor indicate în Decizia Curții de Conturi cu privire la evidența și înregistrarea unor bunuri imobile la I.P. </w:t>
            </w:r>
            <w:r w:rsidR="00B221E8">
              <w:rPr>
                <w:rFonts w:ascii="Calibri" w:eastAsia="Times New Roman" w:hAnsi="Calibri" w:cs="Calibri"/>
                <w:color w:val="000000"/>
                <w:sz w:val="16"/>
                <w:szCs w:val="16"/>
              </w:rPr>
              <w:t>ASP</w:t>
            </w:r>
            <w:r w:rsidRPr="00CF7154">
              <w:rPr>
                <w:rFonts w:ascii="Calibri" w:eastAsia="Times New Roman" w:hAnsi="Calibri" w:cs="Calibri"/>
                <w:color w:val="000000"/>
                <w:sz w:val="16"/>
                <w:szCs w:val="16"/>
              </w:rPr>
              <w:t xml:space="preserve">. </w:t>
            </w:r>
            <w:r w:rsidRPr="00CF7154">
              <w:rPr>
                <w:rFonts w:ascii="Calibri" w:eastAsia="Times New Roman" w:hAnsi="Calibri" w:cs="Calibri"/>
                <w:color w:val="000000"/>
                <w:sz w:val="16"/>
                <w:szCs w:val="16"/>
              </w:rPr>
              <w:br/>
              <w:t>6. Hotărârea Guvernului nr.25 din 18.01.2019 „cu privire la transmiterea bunurilor imobile”, prin care s-a transmis, din ge</w:t>
            </w:r>
            <w:r>
              <w:rPr>
                <w:rFonts w:ascii="Calibri" w:eastAsia="Times New Roman" w:hAnsi="Calibri" w:cs="Calibri"/>
                <w:color w:val="000000"/>
                <w:sz w:val="16"/>
                <w:szCs w:val="16"/>
              </w:rPr>
              <w:t>stiunea economică a I.P. „</w:t>
            </w:r>
            <w:r w:rsidR="00B221E8">
              <w:rPr>
                <w:rFonts w:ascii="Calibri" w:eastAsia="Times New Roman" w:hAnsi="Calibri" w:cs="Calibri"/>
                <w:color w:val="000000"/>
                <w:sz w:val="16"/>
                <w:szCs w:val="16"/>
              </w:rPr>
              <w:t>DGACG</w:t>
            </w:r>
            <w:r w:rsidRPr="00CF7154">
              <w:rPr>
                <w:rFonts w:ascii="Calibri" w:eastAsia="Times New Roman" w:hAnsi="Calibri" w:cs="Calibri"/>
                <w:color w:val="000000"/>
                <w:sz w:val="16"/>
                <w:szCs w:val="16"/>
              </w:rPr>
              <w:t>” în gestiunea economică a Comisiei Electora</w:t>
            </w:r>
            <w:r>
              <w:rPr>
                <w:rFonts w:ascii="Calibri" w:eastAsia="Times New Roman" w:hAnsi="Calibri" w:cs="Calibri"/>
                <w:color w:val="000000"/>
                <w:sz w:val="16"/>
                <w:szCs w:val="16"/>
              </w:rPr>
              <w:t>le Centrale, terenul cu suprafaț</w:t>
            </w:r>
            <w:r w:rsidRPr="00CF7154">
              <w:rPr>
                <w:rFonts w:ascii="Calibri" w:eastAsia="Times New Roman" w:hAnsi="Calibri" w:cs="Calibri"/>
                <w:color w:val="000000"/>
                <w:sz w:val="16"/>
                <w:szCs w:val="16"/>
              </w:rPr>
              <w:t xml:space="preserve">a de 0,1608 ha (număr cadastral 0100206.156), </w:t>
            </w:r>
            <w:r>
              <w:rPr>
                <w:rFonts w:ascii="Calibri" w:eastAsia="Times New Roman" w:hAnsi="Calibri" w:cs="Calibri"/>
                <w:color w:val="000000"/>
                <w:sz w:val="16"/>
                <w:szCs w:val="16"/>
              </w:rPr>
              <w:t>garajul cu trei boxe cu suprafaț</w:t>
            </w:r>
            <w:r w:rsidRPr="00CF7154">
              <w:rPr>
                <w:rFonts w:ascii="Calibri" w:eastAsia="Times New Roman" w:hAnsi="Calibri" w:cs="Calibri"/>
                <w:color w:val="000000"/>
                <w:sz w:val="16"/>
                <w:szCs w:val="16"/>
              </w:rPr>
              <w:t xml:space="preserve">a de 71,0 m2, </w:t>
            </w:r>
            <w:r>
              <w:rPr>
                <w:rFonts w:ascii="Calibri" w:eastAsia="Times New Roman" w:hAnsi="Calibri" w:cs="Calibri"/>
                <w:color w:val="000000"/>
                <w:sz w:val="16"/>
                <w:szCs w:val="16"/>
              </w:rPr>
              <w:t>garajul cu două boxe cu suprafaț</w:t>
            </w:r>
            <w:r w:rsidRPr="00CF7154">
              <w:rPr>
                <w:rFonts w:ascii="Calibri" w:eastAsia="Times New Roman" w:hAnsi="Calibri" w:cs="Calibri"/>
                <w:color w:val="000000"/>
                <w:sz w:val="16"/>
                <w:szCs w:val="16"/>
              </w:rPr>
              <w:t>a</w:t>
            </w:r>
            <w:r>
              <w:rPr>
                <w:rFonts w:ascii="Calibri" w:eastAsia="Times New Roman" w:hAnsi="Calibri" w:cs="Calibri"/>
                <w:color w:val="000000"/>
                <w:sz w:val="16"/>
                <w:szCs w:val="16"/>
              </w:rPr>
              <w:t xml:space="preserve"> de 68,0 m2, garajul cu suprafaț</w:t>
            </w:r>
            <w:r w:rsidRPr="00CF7154">
              <w:rPr>
                <w:rFonts w:ascii="Calibri" w:eastAsia="Times New Roman" w:hAnsi="Calibri" w:cs="Calibri"/>
                <w:color w:val="000000"/>
                <w:sz w:val="16"/>
                <w:szCs w:val="16"/>
              </w:rPr>
              <w:t>a de 33,2 m2, s</w:t>
            </w:r>
            <w:r>
              <w:rPr>
                <w:rFonts w:ascii="Calibri" w:eastAsia="Times New Roman" w:hAnsi="Calibri" w:cs="Calibri"/>
                <w:color w:val="000000"/>
                <w:sz w:val="16"/>
                <w:szCs w:val="16"/>
              </w:rPr>
              <w:t>ituate în mun. Chiș</w:t>
            </w:r>
            <w:r w:rsidRPr="00CF7154">
              <w:rPr>
                <w:rFonts w:ascii="Calibri" w:eastAsia="Times New Roman" w:hAnsi="Calibri" w:cs="Calibri"/>
                <w:color w:val="000000"/>
                <w:sz w:val="16"/>
                <w:szCs w:val="16"/>
              </w:rPr>
              <w:t>inău, str. Vasile Alecsandri, nr.119.</w:t>
            </w:r>
            <w:r w:rsidRPr="00CF7154">
              <w:rPr>
                <w:rFonts w:ascii="Calibri" w:eastAsia="Times New Roman" w:hAnsi="Calibri" w:cs="Calibri"/>
                <w:color w:val="000000"/>
                <w:sz w:val="16"/>
                <w:szCs w:val="16"/>
              </w:rPr>
              <w:br/>
              <w:t xml:space="preserve">2. Actul de transmitere-primire a bunurilor imobile din 18.03.2019; </w:t>
            </w:r>
            <w:r w:rsidRPr="00CF7154">
              <w:rPr>
                <w:rFonts w:ascii="Calibri" w:eastAsia="Times New Roman" w:hAnsi="Calibri" w:cs="Calibri"/>
                <w:color w:val="000000"/>
                <w:sz w:val="16"/>
                <w:szCs w:val="16"/>
              </w:rPr>
              <w:br/>
              <w:t xml:space="preserve">3. Ordinul </w:t>
            </w:r>
            <w:r w:rsidR="009C6D60">
              <w:rPr>
                <w:rFonts w:ascii="Calibri" w:eastAsia="Times New Roman" w:hAnsi="Calibri" w:cs="Calibri"/>
                <w:color w:val="000000"/>
                <w:sz w:val="16"/>
                <w:szCs w:val="16"/>
              </w:rPr>
              <w:t>CS</w:t>
            </w:r>
            <w:r w:rsidRPr="00CF7154">
              <w:rPr>
                <w:rFonts w:ascii="Calibri" w:eastAsia="Times New Roman" w:hAnsi="Calibri" w:cs="Calibri"/>
                <w:color w:val="000000"/>
                <w:sz w:val="16"/>
                <w:szCs w:val="16"/>
              </w:rPr>
              <w:t xml:space="preserve"> nr.152-A din 13.03.2019 „cu privire la constituirea unei comisii de transmitere.</w:t>
            </w:r>
          </w:p>
        </w:tc>
        <w:tc>
          <w:tcPr>
            <w:tcW w:w="603" w:type="dxa"/>
            <w:tcBorders>
              <w:top w:val="nil"/>
              <w:left w:val="nil"/>
              <w:bottom w:val="single" w:sz="4" w:space="0" w:color="auto"/>
              <w:right w:val="single" w:sz="4" w:space="0" w:color="auto"/>
            </w:tcBorders>
            <w:shd w:val="clear" w:color="auto" w:fill="auto"/>
            <w:vAlign w:val="bottom"/>
            <w:hideMark/>
          </w:tcPr>
          <w:p w14:paraId="372F52ED" w14:textId="49933F91" w:rsidR="00770AC9" w:rsidRPr="00CF7154" w:rsidRDefault="00770AC9" w:rsidP="00770AC9">
            <w:pPr>
              <w:spacing w:after="0" w:line="240" w:lineRule="auto"/>
              <w:rPr>
                <w:rFonts w:ascii="Calibri" w:eastAsia="Times New Roman" w:hAnsi="Calibri" w:cs="Calibri"/>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2D8D1A4D" w14:textId="049445A7" w:rsidR="00770AC9" w:rsidRPr="00CF7154" w:rsidRDefault="00770AC9" w:rsidP="00770AC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1936CB66" w14:textId="32EE0153" w:rsidR="00770AC9" w:rsidRPr="00CF7154" w:rsidRDefault="00770AC9" w:rsidP="00770AC9">
            <w:pPr>
              <w:spacing w:after="0" w:line="240" w:lineRule="auto"/>
              <w:rPr>
                <w:rFonts w:ascii="Calibri" w:eastAsia="Times New Roman" w:hAnsi="Calibri" w:cs="Calibri"/>
                <w:color w:val="000000"/>
                <w:sz w:val="16"/>
                <w:szCs w:val="16"/>
              </w:rPr>
            </w:pPr>
          </w:p>
        </w:tc>
        <w:tc>
          <w:tcPr>
            <w:tcW w:w="1953" w:type="dxa"/>
            <w:tcBorders>
              <w:top w:val="nil"/>
              <w:left w:val="nil"/>
              <w:bottom w:val="single" w:sz="4" w:space="0" w:color="auto"/>
              <w:right w:val="single" w:sz="4" w:space="0" w:color="auto"/>
            </w:tcBorders>
            <w:shd w:val="clear" w:color="auto" w:fill="auto"/>
            <w:hideMark/>
          </w:tcPr>
          <w:p w14:paraId="6625D035" w14:textId="7A5A876D" w:rsidR="00770AC9" w:rsidRPr="003C6369" w:rsidRDefault="00770AC9" w:rsidP="00770AC9">
            <w:pPr>
              <w:spacing w:after="0" w:line="240" w:lineRule="auto"/>
              <w:rPr>
                <w:rFonts w:ascii="Calibri" w:eastAsia="Times New Roman" w:hAnsi="Calibri" w:cs="Calibri"/>
                <w:sz w:val="16"/>
                <w:szCs w:val="16"/>
              </w:rPr>
            </w:pPr>
            <w:r w:rsidRPr="003C6369">
              <w:rPr>
                <w:rFonts w:ascii="Calibri" w:eastAsia="Times New Roman" w:hAnsi="Calibri" w:cs="Calibri"/>
                <w:sz w:val="16"/>
                <w:szCs w:val="16"/>
              </w:rPr>
              <w:t xml:space="preserve">Problematică rămâne a fi situația referitor la implementarea Hotărârii Guvernului nr.443 din 24.04.2007, prin care s-a dispus transmiterea, cu titlu gratuit, din proprietatea publică a statului în proprietatea Asociației de coproprietari în condominiu nr.55/81 blocul locativ cu 63 apartamente (cu excepția apartamentelor nr.29, 37 și 50) și construcțiile aferente, amplasate pe str. Florica Niță 7/1, conform documentelor cadastrale, fapt pentru care aspectul dat </w:t>
            </w:r>
            <w:r w:rsidRPr="003C6369">
              <w:rPr>
                <w:rFonts w:ascii="Calibri" w:eastAsia="Times New Roman" w:hAnsi="Calibri" w:cs="Calibri"/>
                <w:b/>
                <w:bCs/>
                <w:sz w:val="16"/>
                <w:szCs w:val="16"/>
              </w:rPr>
              <w:t xml:space="preserve">se reiterează </w:t>
            </w:r>
            <w:r w:rsidRPr="003C6369">
              <w:rPr>
                <w:rFonts w:ascii="Calibri" w:eastAsia="Times New Roman" w:hAnsi="Calibri" w:cs="Calibri"/>
                <w:sz w:val="16"/>
                <w:szCs w:val="16"/>
              </w:rPr>
              <w:t xml:space="preserve">la </w:t>
            </w:r>
            <w:r w:rsidR="003C6369" w:rsidRPr="003C6369">
              <w:rPr>
                <w:rFonts w:ascii="Calibri" w:eastAsia="Times New Roman" w:hAnsi="Calibri" w:cs="Calibri"/>
                <w:sz w:val="16"/>
                <w:szCs w:val="16"/>
              </w:rPr>
              <w:t>pct. 4.3.2</w:t>
            </w:r>
            <w:r w:rsidRPr="003C6369">
              <w:rPr>
                <w:rFonts w:ascii="Calibri" w:eastAsia="Times New Roman" w:hAnsi="Calibri" w:cs="Calibri"/>
                <w:sz w:val="16"/>
                <w:szCs w:val="16"/>
              </w:rPr>
              <w:t xml:space="preserve"> din prezentul Raport de audit.</w:t>
            </w:r>
          </w:p>
        </w:tc>
      </w:tr>
      <w:tr w:rsidR="005451A9" w:rsidRPr="00CF7154" w14:paraId="70703527" w14:textId="77777777" w:rsidTr="00447CBE">
        <w:trPr>
          <w:trHeight w:val="1257"/>
        </w:trPr>
        <w:tc>
          <w:tcPr>
            <w:tcW w:w="1985" w:type="dxa"/>
            <w:tcBorders>
              <w:top w:val="nil"/>
              <w:left w:val="single" w:sz="4" w:space="0" w:color="auto"/>
              <w:bottom w:val="single" w:sz="4" w:space="0" w:color="auto"/>
              <w:right w:val="single" w:sz="4" w:space="0" w:color="auto"/>
            </w:tcBorders>
            <w:shd w:val="clear" w:color="auto" w:fill="auto"/>
            <w:hideMark/>
          </w:tcPr>
          <w:p w14:paraId="5B4A5C7A" w14:textId="77777777" w:rsidR="005451A9" w:rsidRPr="002E528C" w:rsidRDefault="005451A9" w:rsidP="005451A9">
            <w:pPr>
              <w:spacing w:after="0" w:line="240" w:lineRule="auto"/>
              <w:rPr>
                <w:rFonts w:ascii="Calibri" w:eastAsia="Times New Roman" w:hAnsi="Calibri" w:cs="Calibri"/>
                <w:color w:val="000000"/>
                <w:sz w:val="15"/>
                <w:szCs w:val="15"/>
              </w:rPr>
            </w:pPr>
            <w:r w:rsidRPr="002E528C">
              <w:rPr>
                <w:rFonts w:ascii="Calibri" w:eastAsia="Times New Roman" w:hAnsi="Calibri" w:cs="Calibri"/>
                <w:b/>
                <w:bCs/>
                <w:color w:val="000000"/>
                <w:sz w:val="15"/>
                <w:szCs w:val="15"/>
              </w:rPr>
              <w:t>Recomandarea nr. 2.1.2:</w:t>
            </w:r>
            <w:r w:rsidRPr="002E528C">
              <w:rPr>
                <w:rFonts w:ascii="Calibri" w:eastAsia="Times New Roman" w:hAnsi="Calibri" w:cs="Calibri"/>
                <w:color w:val="000000"/>
                <w:sz w:val="15"/>
                <w:szCs w:val="15"/>
              </w:rPr>
              <w:t xml:space="preserve"> Să asigure planificarea și monitorizarea executării subsidiilor, precum și raportarea acestora de către instituțiile beneficiare în modul stabilit</w:t>
            </w:r>
          </w:p>
        </w:tc>
        <w:tc>
          <w:tcPr>
            <w:tcW w:w="5529" w:type="dxa"/>
            <w:tcBorders>
              <w:top w:val="nil"/>
              <w:left w:val="nil"/>
              <w:bottom w:val="single" w:sz="4" w:space="0" w:color="auto"/>
              <w:right w:val="single" w:sz="4" w:space="0" w:color="auto"/>
            </w:tcBorders>
            <w:shd w:val="clear" w:color="auto" w:fill="auto"/>
            <w:hideMark/>
          </w:tcPr>
          <w:p w14:paraId="4ECA9D38" w14:textId="2BE57A2B" w:rsidR="005451A9" w:rsidRPr="00CF7154" w:rsidRDefault="005451A9" w:rsidP="005451A9">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1. Scrisoarea Cancelariei de Stat nr.19-03-570 din 29.01.2019, aprobarea Planului de acțiuni privind implementarea recomandărilor;</w:t>
            </w:r>
            <w:r w:rsidRPr="00CF7154">
              <w:rPr>
                <w:rFonts w:ascii="Calibri" w:eastAsia="Times New Roman" w:hAnsi="Calibri" w:cs="Calibri"/>
                <w:color w:val="000000"/>
                <w:sz w:val="16"/>
                <w:szCs w:val="16"/>
              </w:rPr>
              <w:br/>
              <w:t xml:space="preserve">2. Scrisoarea Cancelariei de Stat nr.17-04-3236 din 31.05.2019: Informația privind raportarea lunară de utilizare a subsidiilor de către instituțiile monitorizate; </w:t>
            </w:r>
            <w:r w:rsidRPr="00CF7154">
              <w:rPr>
                <w:rFonts w:ascii="Calibri" w:eastAsia="Times New Roman" w:hAnsi="Calibri" w:cs="Calibri"/>
                <w:color w:val="000000"/>
                <w:sz w:val="16"/>
                <w:szCs w:val="16"/>
              </w:rPr>
              <w:br/>
              <w:t xml:space="preserve">Elaborarea demersului către </w:t>
            </w:r>
            <w:r>
              <w:rPr>
                <w:rFonts w:ascii="Calibri" w:eastAsia="Times New Roman" w:hAnsi="Calibri" w:cs="Calibri"/>
                <w:color w:val="000000"/>
                <w:sz w:val="16"/>
                <w:szCs w:val="16"/>
              </w:rPr>
              <w:t>MF</w:t>
            </w:r>
            <w:r w:rsidRPr="00CF7154">
              <w:rPr>
                <w:rFonts w:ascii="Calibri" w:eastAsia="Times New Roman" w:hAnsi="Calibri" w:cs="Calibri"/>
                <w:color w:val="000000"/>
                <w:sz w:val="16"/>
                <w:szCs w:val="16"/>
              </w:rPr>
              <w:t xml:space="preserve"> privind completarea cadrului normativ aferent raportării de către beneficiarii subsidiilor a executării efective și determinarea si</w:t>
            </w:r>
            <w:r>
              <w:rPr>
                <w:rFonts w:ascii="Calibri" w:eastAsia="Times New Roman" w:hAnsi="Calibri" w:cs="Calibri"/>
                <w:color w:val="000000"/>
                <w:sz w:val="16"/>
                <w:szCs w:val="16"/>
              </w:rPr>
              <w:t>tuației soldurilor neutilizate.</w:t>
            </w:r>
            <w:r w:rsidRPr="00CF7154">
              <w:rPr>
                <w:rFonts w:ascii="Calibri" w:eastAsia="Times New Roman" w:hAnsi="Calibri" w:cs="Calibri"/>
                <w:color w:val="000000"/>
                <w:sz w:val="16"/>
                <w:szCs w:val="16"/>
              </w:rPr>
              <w:br/>
              <w:t xml:space="preserve">3. Demersul Cancelariei de Stat nr.17-04-1215 din 26.02.2019 către </w:t>
            </w:r>
            <w:r>
              <w:rPr>
                <w:rFonts w:ascii="Calibri" w:eastAsia="Times New Roman" w:hAnsi="Calibri" w:cs="Calibri"/>
                <w:color w:val="000000"/>
                <w:sz w:val="16"/>
                <w:szCs w:val="16"/>
              </w:rPr>
              <w:t>MF</w:t>
            </w:r>
            <w:r w:rsidRPr="00CF7154">
              <w:rPr>
                <w:rFonts w:ascii="Calibri" w:eastAsia="Times New Roman" w:hAnsi="Calibri" w:cs="Calibri"/>
                <w:color w:val="000000"/>
                <w:sz w:val="16"/>
                <w:szCs w:val="16"/>
              </w:rPr>
              <w:t xml:space="preserve"> referitor la completarea cadrului normativ privind raportarea de către beneficiarii subsidiilor a executării efective și determinarea situației soldurilor neutilizate.</w:t>
            </w:r>
          </w:p>
        </w:tc>
        <w:tc>
          <w:tcPr>
            <w:tcW w:w="603" w:type="dxa"/>
            <w:tcBorders>
              <w:top w:val="nil"/>
              <w:left w:val="nil"/>
              <w:bottom w:val="single" w:sz="4" w:space="0" w:color="auto"/>
              <w:right w:val="single" w:sz="4" w:space="0" w:color="auto"/>
            </w:tcBorders>
            <w:shd w:val="clear" w:color="auto" w:fill="auto"/>
            <w:vAlign w:val="center"/>
            <w:hideMark/>
          </w:tcPr>
          <w:p w14:paraId="4DFE5292" w14:textId="130A3DDD" w:rsidR="005451A9" w:rsidRPr="00830DCB" w:rsidRDefault="005451A9" w:rsidP="005451A9">
            <w:pPr>
              <w:spacing w:after="0" w:line="240" w:lineRule="auto"/>
              <w:jc w:val="center"/>
              <w:rPr>
                <w:rFonts w:ascii="Calibri" w:eastAsia="Times New Roman" w:hAnsi="Calibri" w:cs="Calibri"/>
                <w:color w:val="000000"/>
                <w:sz w:val="16"/>
                <w:szCs w:val="16"/>
              </w:rPr>
            </w:pPr>
            <w:r w:rsidRPr="00830DCB">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vAlign w:val="center"/>
          </w:tcPr>
          <w:p w14:paraId="30B29417" w14:textId="3F49A55C" w:rsidR="005451A9" w:rsidRPr="00CF7154" w:rsidRDefault="005451A9" w:rsidP="005451A9">
            <w:pPr>
              <w:spacing w:after="0" w:line="240" w:lineRule="auto"/>
              <w:jc w:val="center"/>
              <w:rPr>
                <w:rFonts w:ascii="Calibri" w:eastAsia="Times New Roman" w:hAnsi="Calibri" w:cs="Calibri"/>
                <w:color w:val="000000"/>
                <w:sz w:val="16"/>
                <w:szCs w:val="16"/>
              </w:rPr>
            </w:pPr>
          </w:p>
        </w:tc>
        <w:tc>
          <w:tcPr>
            <w:tcW w:w="567" w:type="dxa"/>
            <w:tcBorders>
              <w:top w:val="nil"/>
              <w:left w:val="nil"/>
              <w:bottom w:val="single" w:sz="4" w:space="0" w:color="auto"/>
              <w:right w:val="single" w:sz="4" w:space="0" w:color="auto"/>
            </w:tcBorders>
            <w:shd w:val="clear" w:color="auto" w:fill="auto"/>
            <w:hideMark/>
          </w:tcPr>
          <w:p w14:paraId="4DE80328" w14:textId="77777777" w:rsidR="005451A9" w:rsidRPr="00CF7154" w:rsidRDefault="005451A9" w:rsidP="005451A9">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hideMark/>
          </w:tcPr>
          <w:p w14:paraId="58CDF656" w14:textId="17CD8208" w:rsidR="005451A9" w:rsidRPr="003C6369" w:rsidRDefault="005451A9" w:rsidP="005451A9">
            <w:pPr>
              <w:spacing w:after="0" w:line="240" w:lineRule="auto"/>
              <w:rPr>
                <w:rFonts w:ascii="Calibri" w:eastAsia="Times New Roman" w:hAnsi="Calibri" w:cs="Calibri"/>
                <w:sz w:val="16"/>
                <w:szCs w:val="16"/>
              </w:rPr>
            </w:pPr>
            <w:r w:rsidRPr="003C6369">
              <w:rPr>
                <w:rFonts w:ascii="Calibri" w:eastAsia="Times New Roman" w:hAnsi="Calibri" w:cs="Calibri"/>
                <w:sz w:val="16"/>
                <w:szCs w:val="16"/>
              </w:rPr>
              <w:t xml:space="preserve">Se menționează că, în anul 2021, Ordinul MF nr. 216/2015 a fost completat cu subclasa „Subvenții”, cadrul normativ de raportare a acestora. Cu toate acestea, rămâne a fi problematică situația aferentă raportării subvențiilor și granturilor de către IP, fapt pentru care se reiterează în pct. 4.1.2. din prezentul Raport de audit. </w:t>
            </w:r>
          </w:p>
        </w:tc>
      </w:tr>
      <w:tr w:rsidR="000D43B2" w:rsidRPr="00CF7154" w14:paraId="2D197842" w14:textId="77777777" w:rsidTr="00447CBE">
        <w:trPr>
          <w:trHeight w:val="1697"/>
        </w:trPr>
        <w:tc>
          <w:tcPr>
            <w:tcW w:w="1985" w:type="dxa"/>
            <w:tcBorders>
              <w:top w:val="nil"/>
              <w:left w:val="single" w:sz="4" w:space="0" w:color="auto"/>
              <w:bottom w:val="single" w:sz="4" w:space="0" w:color="auto"/>
              <w:right w:val="single" w:sz="4" w:space="0" w:color="auto"/>
            </w:tcBorders>
            <w:shd w:val="clear" w:color="auto" w:fill="auto"/>
            <w:hideMark/>
          </w:tcPr>
          <w:p w14:paraId="1BB4194C" w14:textId="274CF9A8" w:rsidR="000D43B2" w:rsidRPr="002E528C" w:rsidRDefault="000D43B2" w:rsidP="00B221E8">
            <w:pPr>
              <w:spacing w:after="0" w:line="240" w:lineRule="auto"/>
              <w:ind w:right="-111"/>
              <w:rPr>
                <w:rFonts w:ascii="Calibri" w:eastAsia="Times New Roman" w:hAnsi="Calibri" w:cs="Calibri"/>
                <w:b/>
                <w:bCs/>
                <w:color w:val="000000"/>
                <w:sz w:val="15"/>
                <w:szCs w:val="15"/>
              </w:rPr>
            </w:pPr>
            <w:r w:rsidRPr="002E528C">
              <w:rPr>
                <w:rFonts w:ascii="Calibri" w:eastAsia="Times New Roman" w:hAnsi="Calibri" w:cs="Calibri"/>
                <w:b/>
                <w:bCs/>
                <w:color w:val="000000"/>
                <w:sz w:val="15"/>
                <w:szCs w:val="15"/>
              </w:rPr>
              <w:t>Recomandarea nr.2.1.3:</w:t>
            </w:r>
            <w:r w:rsidR="00BA69A9">
              <w:rPr>
                <w:rFonts w:ascii="Calibri" w:eastAsia="Times New Roman" w:hAnsi="Calibri" w:cs="Calibri"/>
                <w:b/>
                <w:bCs/>
                <w:color w:val="000000"/>
                <w:sz w:val="15"/>
                <w:szCs w:val="15"/>
              </w:rPr>
              <w:t xml:space="preserve"> </w:t>
            </w:r>
            <w:r w:rsidRPr="002E528C">
              <w:rPr>
                <w:rFonts w:ascii="Calibri" w:eastAsia="Times New Roman" w:hAnsi="Calibri" w:cs="Calibri"/>
                <w:b/>
                <w:bCs/>
                <w:color w:val="000000"/>
                <w:sz w:val="15"/>
                <w:szCs w:val="15"/>
              </w:rPr>
              <w:t>S</w:t>
            </w:r>
            <w:r w:rsidRPr="002E528C">
              <w:rPr>
                <w:rFonts w:ascii="Calibri" w:eastAsia="Times New Roman" w:hAnsi="Calibri" w:cs="Calibri"/>
                <w:color w:val="000000"/>
                <w:sz w:val="15"/>
                <w:szCs w:val="15"/>
              </w:rPr>
              <w:t>ă asigure prin prisma responsabilităților sale în calitate de fondator, înregistrarea și monitorizarea capitalului social în vederea integrității acestuia, cu determinarea componenței de constituire și raportare în modul stabilit.</w:t>
            </w:r>
          </w:p>
        </w:tc>
        <w:tc>
          <w:tcPr>
            <w:tcW w:w="9219" w:type="dxa"/>
            <w:gridSpan w:val="5"/>
            <w:tcBorders>
              <w:top w:val="nil"/>
              <w:left w:val="nil"/>
              <w:bottom w:val="single" w:sz="4" w:space="0" w:color="auto"/>
              <w:right w:val="single" w:sz="4" w:space="0" w:color="auto"/>
            </w:tcBorders>
            <w:shd w:val="clear" w:color="auto" w:fill="auto"/>
            <w:hideMark/>
          </w:tcPr>
          <w:p w14:paraId="236137E3" w14:textId="12FBCDA0" w:rsidR="000D43B2" w:rsidRPr="00CF7154" w:rsidRDefault="00BA69A9" w:rsidP="00770AC9">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 </w:t>
            </w:r>
          </w:p>
          <w:p w14:paraId="6826A1C9" w14:textId="21E65467" w:rsidR="000D43B2" w:rsidRPr="00CF7154" w:rsidRDefault="000D43B2" w:rsidP="000D43B2">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Recomandarea dată și-a pierdut actualitatea, re</w:t>
            </w:r>
            <w:r w:rsidR="00447CBE">
              <w:rPr>
                <w:rFonts w:ascii="Calibri" w:eastAsia="Times New Roman" w:hAnsi="Calibri" w:cs="Calibri"/>
                <w:color w:val="000000"/>
                <w:sz w:val="16"/>
                <w:szCs w:val="16"/>
              </w:rPr>
              <w:t>ieșind din faptul că î</w:t>
            </w:r>
            <w:r w:rsidRPr="00CF7154">
              <w:rPr>
                <w:rFonts w:ascii="Calibri" w:eastAsia="Times New Roman" w:hAnsi="Calibri" w:cs="Calibri"/>
                <w:color w:val="000000"/>
                <w:sz w:val="16"/>
                <w:szCs w:val="16"/>
              </w:rPr>
              <w:t xml:space="preserve">ntreprinderile de stat monitorizate de către </w:t>
            </w:r>
            <w:r>
              <w:rPr>
                <w:rFonts w:ascii="Calibri" w:eastAsia="Times New Roman" w:hAnsi="Calibri" w:cs="Calibri"/>
                <w:color w:val="000000"/>
                <w:sz w:val="16"/>
                <w:szCs w:val="16"/>
              </w:rPr>
              <w:t>CS</w:t>
            </w:r>
            <w:r w:rsidRPr="00CF7154">
              <w:rPr>
                <w:rFonts w:ascii="Calibri" w:eastAsia="Times New Roman" w:hAnsi="Calibri" w:cs="Calibri"/>
                <w:color w:val="000000"/>
                <w:sz w:val="16"/>
                <w:szCs w:val="16"/>
              </w:rPr>
              <w:t xml:space="preserve"> s-au reorganizat prin transformare în Instituții Publice, capitalul social al acestora urmând a fi înregistrat în evidența contabilă a instituțiilor publice ca „Patrimoniu primit de la stat cu drept de proprietate”. Re</w:t>
            </w:r>
            <w:r>
              <w:rPr>
                <w:rFonts w:ascii="Calibri" w:eastAsia="Times New Roman" w:hAnsi="Calibri" w:cs="Calibri"/>
                <w:color w:val="000000"/>
                <w:sz w:val="16"/>
                <w:szCs w:val="16"/>
              </w:rPr>
              <w:t>i</w:t>
            </w:r>
            <w:r w:rsidRPr="00CF7154">
              <w:rPr>
                <w:rFonts w:ascii="Calibri" w:eastAsia="Times New Roman" w:hAnsi="Calibri" w:cs="Calibri"/>
                <w:color w:val="000000"/>
                <w:sz w:val="16"/>
                <w:szCs w:val="16"/>
              </w:rPr>
              <w:t xml:space="preserve">eșind din contextul dat, recomandarea respectivă </w:t>
            </w:r>
            <w:r w:rsidRPr="00CF7154">
              <w:rPr>
                <w:rFonts w:ascii="Calibri" w:eastAsia="Times New Roman" w:hAnsi="Calibri" w:cs="Calibri"/>
                <w:b/>
                <w:bCs/>
                <w:color w:val="000000"/>
                <w:sz w:val="16"/>
                <w:szCs w:val="16"/>
              </w:rPr>
              <w:t>se propune de a fi exclusă din regim de monitorizare.</w:t>
            </w:r>
          </w:p>
        </w:tc>
      </w:tr>
      <w:tr w:rsidR="00770AC9" w:rsidRPr="00CF7154" w14:paraId="62A1C3E2" w14:textId="77777777" w:rsidTr="00447CBE">
        <w:trPr>
          <w:trHeight w:val="204"/>
        </w:trPr>
        <w:tc>
          <w:tcPr>
            <w:tcW w:w="1985" w:type="dxa"/>
            <w:tcBorders>
              <w:top w:val="nil"/>
              <w:left w:val="single" w:sz="4" w:space="0" w:color="auto"/>
              <w:bottom w:val="single" w:sz="4" w:space="0" w:color="auto"/>
              <w:right w:val="single" w:sz="4" w:space="0" w:color="auto"/>
            </w:tcBorders>
            <w:shd w:val="clear" w:color="auto" w:fill="auto"/>
            <w:hideMark/>
          </w:tcPr>
          <w:p w14:paraId="45274675" w14:textId="77777777" w:rsidR="00770AC9" w:rsidRPr="002E528C" w:rsidRDefault="00770AC9" w:rsidP="00770AC9">
            <w:pPr>
              <w:spacing w:after="0" w:line="240" w:lineRule="auto"/>
              <w:rPr>
                <w:rFonts w:ascii="Calibri" w:eastAsia="Times New Roman" w:hAnsi="Calibri" w:cs="Calibri"/>
                <w:b/>
                <w:bCs/>
                <w:color w:val="000000"/>
                <w:sz w:val="15"/>
                <w:szCs w:val="15"/>
              </w:rPr>
            </w:pPr>
            <w:r w:rsidRPr="002E528C">
              <w:rPr>
                <w:rFonts w:ascii="Calibri" w:eastAsia="Times New Roman" w:hAnsi="Calibri" w:cs="Calibri"/>
                <w:b/>
                <w:bCs/>
                <w:color w:val="000000"/>
                <w:sz w:val="15"/>
                <w:szCs w:val="15"/>
              </w:rPr>
              <w:t>MINISTERULUI FINANȚELOR</w:t>
            </w:r>
          </w:p>
        </w:tc>
        <w:tc>
          <w:tcPr>
            <w:tcW w:w="5529" w:type="dxa"/>
            <w:tcBorders>
              <w:top w:val="nil"/>
              <w:left w:val="nil"/>
              <w:bottom w:val="single" w:sz="4" w:space="0" w:color="auto"/>
              <w:right w:val="single" w:sz="4" w:space="0" w:color="auto"/>
            </w:tcBorders>
            <w:shd w:val="clear" w:color="auto" w:fill="auto"/>
            <w:hideMark/>
          </w:tcPr>
          <w:p w14:paraId="0EC6BF1D" w14:textId="77777777" w:rsidR="00770AC9" w:rsidRPr="00CF7154" w:rsidRDefault="00770AC9" w:rsidP="00770AC9">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 </w:t>
            </w:r>
          </w:p>
        </w:tc>
        <w:tc>
          <w:tcPr>
            <w:tcW w:w="603" w:type="dxa"/>
            <w:tcBorders>
              <w:top w:val="nil"/>
              <w:left w:val="nil"/>
              <w:bottom w:val="single" w:sz="4" w:space="0" w:color="auto"/>
              <w:right w:val="single" w:sz="4" w:space="0" w:color="auto"/>
            </w:tcBorders>
            <w:shd w:val="clear" w:color="auto" w:fill="auto"/>
            <w:hideMark/>
          </w:tcPr>
          <w:p w14:paraId="799E6F62" w14:textId="77777777" w:rsidR="00770AC9" w:rsidRPr="00CF7154" w:rsidRDefault="00770AC9" w:rsidP="00770AC9">
            <w:pPr>
              <w:spacing w:after="0" w:line="240" w:lineRule="auto"/>
              <w:jc w:val="center"/>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14:paraId="4E23F71D" w14:textId="77777777" w:rsidR="00770AC9" w:rsidRPr="00CF7154" w:rsidRDefault="00770AC9" w:rsidP="00770AC9">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14:paraId="54CBFEC2" w14:textId="77777777" w:rsidR="00770AC9" w:rsidRPr="00CF7154" w:rsidRDefault="00770AC9" w:rsidP="00770AC9">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 </w:t>
            </w:r>
          </w:p>
        </w:tc>
        <w:tc>
          <w:tcPr>
            <w:tcW w:w="1953" w:type="dxa"/>
            <w:tcBorders>
              <w:top w:val="nil"/>
              <w:left w:val="nil"/>
              <w:bottom w:val="single" w:sz="4" w:space="0" w:color="auto"/>
              <w:right w:val="single" w:sz="4" w:space="0" w:color="auto"/>
            </w:tcBorders>
            <w:shd w:val="clear" w:color="auto" w:fill="auto"/>
            <w:hideMark/>
          </w:tcPr>
          <w:p w14:paraId="30F92F8B" w14:textId="77777777" w:rsidR="00770AC9" w:rsidRPr="00CF7154" w:rsidRDefault="00770AC9" w:rsidP="00770AC9">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 </w:t>
            </w:r>
          </w:p>
        </w:tc>
      </w:tr>
      <w:tr w:rsidR="00770AC9" w:rsidRPr="00CF7154" w14:paraId="28214D00" w14:textId="77777777" w:rsidTr="00447CBE">
        <w:trPr>
          <w:trHeight w:val="1426"/>
        </w:trPr>
        <w:tc>
          <w:tcPr>
            <w:tcW w:w="1985" w:type="dxa"/>
            <w:tcBorders>
              <w:top w:val="nil"/>
              <w:left w:val="single" w:sz="4" w:space="0" w:color="auto"/>
              <w:bottom w:val="single" w:sz="4" w:space="0" w:color="auto"/>
              <w:right w:val="single" w:sz="4" w:space="0" w:color="auto"/>
            </w:tcBorders>
            <w:shd w:val="clear" w:color="auto" w:fill="auto"/>
            <w:hideMark/>
          </w:tcPr>
          <w:p w14:paraId="72E48D84" w14:textId="2DA42BEA" w:rsidR="00770AC9" w:rsidRPr="002E528C" w:rsidRDefault="00770AC9" w:rsidP="00770AC9">
            <w:pPr>
              <w:spacing w:after="0" w:line="240" w:lineRule="auto"/>
              <w:rPr>
                <w:rFonts w:ascii="Calibri" w:eastAsia="Times New Roman" w:hAnsi="Calibri" w:cs="Calibri"/>
                <w:b/>
                <w:bCs/>
                <w:color w:val="000000"/>
                <w:sz w:val="15"/>
                <w:szCs w:val="15"/>
              </w:rPr>
            </w:pPr>
            <w:r w:rsidRPr="002E528C">
              <w:rPr>
                <w:rFonts w:ascii="Calibri" w:eastAsia="Times New Roman" w:hAnsi="Calibri" w:cs="Calibri"/>
                <w:b/>
                <w:bCs/>
                <w:color w:val="000000"/>
                <w:sz w:val="15"/>
                <w:szCs w:val="15"/>
              </w:rPr>
              <w:t>Recomandarea nr.2.2:</w:t>
            </w:r>
            <w:r w:rsidR="00BA69A9">
              <w:rPr>
                <w:rFonts w:ascii="Calibri" w:eastAsia="Times New Roman" w:hAnsi="Calibri" w:cs="Calibri"/>
                <w:b/>
                <w:bCs/>
                <w:color w:val="000000"/>
                <w:sz w:val="15"/>
                <w:szCs w:val="15"/>
              </w:rPr>
              <w:t xml:space="preserve"> </w:t>
            </w:r>
            <w:r w:rsidRPr="002E528C">
              <w:rPr>
                <w:rFonts w:ascii="Calibri" w:eastAsia="Times New Roman" w:hAnsi="Calibri" w:cs="Calibri"/>
                <w:color w:val="000000"/>
                <w:sz w:val="15"/>
                <w:szCs w:val="15"/>
              </w:rPr>
              <w:t>Pentru informare, și să asigure completarea cadrului normativ cu prevederi referitor la raportarea de către beneficiarii subsidiilor a executării efective și să se determine asupra situației soldurilor neutilizate.</w:t>
            </w:r>
          </w:p>
        </w:tc>
        <w:tc>
          <w:tcPr>
            <w:tcW w:w="5529" w:type="dxa"/>
            <w:tcBorders>
              <w:top w:val="nil"/>
              <w:left w:val="nil"/>
              <w:bottom w:val="single" w:sz="4" w:space="0" w:color="auto"/>
              <w:right w:val="single" w:sz="4" w:space="0" w:color="auto"/>
            </w:tcBorders>
            <w:shd w:val="clear" w:color="auto" w:fill="auto"/>
            <w:hideMark/>
          </w:tcPr>
          <w:p w14:paraId="4515E7AE" w14:textId="7F9B0967" w:rsidR="00770AC9" w:rsidRPr="00CF7154" w:rsidRDefault="00770AC9" w:rsidP="001A664E">
            <w:pPr>
              <w:spacing w:after="0" w:line="240" w:lineRule="auto"/>
              <w:jc w:val="both"/>
              <w:rPr>
                <w:rFonts w:ascii="Calibri" w:eastAsia="Times New Roman" w:hAnsi="Calibri" w:cs="Calibri"/>
                <w:color w:val="000000"/>
                <w:sz w:val="16"/>
                <w:szCs w:val="16"/>
              </w:rPr>
            </w:pPr>
            <w:r w:rsidRPr="00CF7154">
              <w:rPr>
                <w:rFonts w:ascii="Calibri" w:eastAsia="Times New Roman" w:hAnsi="Calibri" w:cs="Calibri"/>
                <w:color w:val="000000"/>
                <w:sz w:val="16"/>
                <w:szCs w:val="16"/>
              </w:rPr>
              <w:t xml:space="preserve">1. Scrisoarea </w:t>
            </w:r>
            <w:r w:rsidR="001A664E">
              <w:rPr>
                <w:rFonts w:ascii="Calibri" w:eastAsia="Times New Roman" w:hAnsi="Calibri" w:cs="Calibri"/>
                <w:color w:val="000000"/>
                <w:sz w:val="16"/>
                <w:szCs w:val="16"/>
              </w:rPr>
              <w:t>MF</w:t>
            </w:r>
            <w:r w:rsidRPr="00CF7154">
              <w:rPr>
                <w:rFonts w:ascii="Calibri" w:eastAsia="Times New Roman" w:hAnsi="Calibri" w:cs="Calibri"/>
                <w:color w:val="000000"/>
                <w:sz w:val="16"/>
                <w:szCs w:val="16"/>
              </w:rPr>
              <w:t xml:space="preserve"> nr.03-02/01/53 din 14.06.2019:prin care au fost operate modificări în Ordinul </w:t>
            </w:r>
            <w:r w:rsidR="001245BD">
              <w:rPr>
                <w:rFonts w:ascii="Calibri" w:eastAsia="Times New Roman" w:hAnsi="Calibri" w:cs="Calibri"/>
                <w:color w:val="000000"/>
                <w:sz w:val="16"/>
                <w:szCs w:val="16"/>
              </w:rPr>
              <w:t>MF</w:t>
            </w:r>
            <w:r w:rsidRPr="00CF7154">
              <w:rPr>
                <w:rFonts w:ascii="Calibri" w:eastAsia="Times New Roman" w:hAnsi="Calibri" w:cs="Calibri"/>
                <w:color w:val="000000"/>
                <w:sz w:val="16"/>
                <w:szCs w:val="16"/>
              </w:rPr>
              <w:t xml:space="preserve"> nr.164/2016 prin includerea anexei nr.1 ,,Informație cu privire la executarea subsidiilor acordate din buget autorităților/instituțiilor bugetare", prin care tabelar se solicită inclusiv și informația privind cheltuielile efective a beneficiarului, care a profitat de subsidiile conform legislației. În partea ce ține de situația soldurilor neutilizate, se informează că, activitatea fiecărei instituții, beneficiar de subvenții din bugetul de stat, se reglementează prin Regulament, aprobat de Guvern, iar fiecare regulament determină situația privind soldurile neutilizate ale subvențiilor, de exemplu: pct.22 al HG nr.11/2017, pct.30 din Anexa nr.1 și pct.35 din Anexa nr.2 din HG nr.414/2018.</w:t>
            </w:r>
          </w:p>
        </w:tc>
        <w:tc>
          <w:tcPr>
            <w:tcW w:w="603" w:type="dxa"/>
            <w:tcBorders>
              <w:top w:val="nil"/>
              <w:left w:val="nil"/>
              <w:bottom w:val="single" w:sz="4" w:space="0" w:color="auto"/>
              <w:right w:val="single" w:sz="4" w:space="0" w:color="auto"/>
            </w:tcBorders>
            <w:shd w:val="clear" w:color="auto" w:fill="auto"/>
            <w:vAlign w:val="center"/>
            <w:hideMark/>
          </w:tcPr>
          <w:p w14:paraId="7465D93F" w14:textId="0631F88B" w:rsidR="00770AC9" w:rsidRPr="00CF7154" w:rsidRDefault="00770AC9" w:rsidP="00770AC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hideMark/>
          </w:tcPr>
          <w:p w14:paraId="024C3A54" w14:textId="77777777" w:rsidR="00770AC9" w:rsidRPr="00CF7154" w:rsidRDefault="00770AC9" w:rsidP="00770AC9">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14:paraId="4166667B" w14:textId="77777777" w:rsidR="00770AC9" w:rsidRPr="00CF7154" w:rsidRDefault="00770AC9" w:rsidP="00770AC9">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hideMark/>
          </w:tcPr>
          <w:p w14:paraId="10765ED8" w14:textId="4B4305DA" w:rsidR="00770AC9" w:rsidRPr="00830553" w:rsidRDefault="001245BD" w:rsidP="00830553">
            <w:pPr>
              <w:spacing w:after="0" w:line="240" w:lineRule="auto"/>
              <w:rPr>
                <w:rFonts w:ascii="Calibri" w:eastAsia="Times New Roman" w:hAnsi="Calibri" w:cs="Calibri"/>
                <w:color w:val="000000"/>
                <w:sz w:val="16"/>
                <w:szCs w:val="16"/>
              </w:rPr>
            </w:pPr>
            <w:r w:rsidRPr="00830553">
              <w:rPr>
                <w:rFonts w:ascii="Calibri" w:eastAsia="Times New Roman" w:hAnsi="Calibri" w:cs="Calibri"/>
                <w:color w:val="000000"/>
                <w:sz w:val="16"/>
                <w:szCs w:val="16"/>
              </w:rPr>
              <w:t xml:space="preserve">În anul 2021, </w:t>
            </w:r>
            <w:r w:rsidR="00830553" w:rsidRPr="00830553">
              <w:rPr>
                <w:rFonts w:ascii="Calibri" w:eastAsia="Times New Roman" w:hAnsi="Calibri" w:cs="Calibri"/>
                <w:color w:val="000000"/>
                <w:sz w:val="16"/>
                <w:szCs w:val="16"/>
              </w:rPr>
              <w:t xml:space="preserve">prin Ordinul MF nr. 45 din </w:t>
            </w:r>
            <w:r w:rsidR="00830553">
              <w:rPr>
                <w:rFonts w:ascii="Calibri" w:eastAsia="Times New Roman" w:hAnsi="Calibri" w:cs="Calibri"/>
                <w:color w:val="000000"/>
                <w:sz w:val="16"/>
                <w:szCs w:val="16"/>
              </w:rPr>
              <w:t>09.03.2021, „subsidiile” sau redenumit în „subvenții”. Avînd în vedere acest fapt, precum și reiterarea problematicii vizată în recomandare, la pct.</w:t>
            </w:r>
            <w:r w:rsidR="00BA69A9">
              <w:rPr>
                <w:rFonts w:ascii="Calibri" w:eastAsia="Times New Roman" w:hAnsi="Calibri" w:cs="Calibri"/>
                <w:color w:val="000000"/>
                <w:sz w:val="16"/>
                <w:szCs w:val="16"/>
              </w:rPr>
              <w:t xml:space="preserve"> </w:t>
            </w:r>
            <w:r w:rsidR="00830553">
              <w:rPr>
                <w:rFonts w:ascii="Calibri" w:eastAsia="Times New Roman" w:hAnsi="Calibri" w:cs="Calibri"/>
                <w:color w:val="000000"/>
                <w:sz w:val="16"/>
                <w:szCs w:val="16"/>
              </w:rPr>
              <w:t>4.1.2.</w:t>
            </w:r>
            <w:r w:rsidR="00BA69A9">
              <w:rPr>
                <w:rFonts w:ascii="Calibri" w:eastAsia="Times New Roman" w:hAnsi="Calibri" w:cs="Calibri"/>
                <w:color w:val="000000"/>
                <w:sz w:val="16"/>
                <w:szCs w:val="16"/>
              </w:rPr>
              <w:t xml:space="preserve"> </w:t>
            </w:r>
            <w:r w:rsidR="00830553">
              <w:rPr>
                <w:rFonts w:ascii="Calibri" w:eastAsia="Times New Roman" w:hAnsi="Calibri" w:cs="Calibri"/>
                <w:color w:val="000000"/>
                <w:sz w:val="16"/>
                <w:szCs w:val="16"/>
              </w:rPr>
              <w:t xml:space="preserve">din prezentul raport de audit, acesta se consideră executată. </w:t>
            </w:r>
          </w:p>
        </w:tc>
      </w:tr>
      <w:tr w:rsidR="00770AC9" w:rsidRPr="00CF7154" w14:paraId="610F5F28" w14:textId="77777777" w:rsidTr="00447CBE">
        <w:trPr>
          <w:trHeight w:val="204"/>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2093CC3F" w14:textId="77777777" w:rsidR="00770AC9" w:rsidRPr="00CF7154" w:rsidRDefault="00770AC9" w:rsidP="00770AC9">
            <w:pPr>
              <w:spacing w:after="0" w:line="240" w:lineRule="auto"/>
              <w:jc w:val="center"/>
              <w:rPr>
                <w:rFonts w:ascii="Calibri" w:eastAsia="Times New Roman" w:hAnsi="Calibri" w:cs="Calibri"/>
                <w:b/>
                <w:bCs/>
                <w:i/>
                <w:iCs/>
                <w:color w:val="000000"/>
                <w:sz w:val="16"/>
                <w:szCs w:val="16"/>
              </w:rPr>
            </w:pPr>
            <w:r>
              <w:rPr>
                <w:rFonts w:ascii="Calibri" w:eastAsia="Times New Roman" w:hAnsi="Calibri" w:cs="Calibri"/>
                <w:b/>
                <w:bCs/>
                <w:i/>
                <w:iCs/>
                <w:color w:val="000000"/>
                <w:sz w:val="16"/>
                <w:szCs w:val="16"/>
              </w:rPr>
              <w:t>Recomandări înain</w:t>
            </w:r>
            <w:r w:rsidRPr="00CF7154">
              <w:rPr>
                <w:rFonts w:ascii="Calibri" w:eastAsia="Times New Roman" w:hAnsi="Calibri" w:cs="Calibri"/>
                <w:b/>
                <w:bCs/>
                <w:i/>
                <w:iCs/>
                <w:color w:val="000000"/>
                <w:sz w:val="16"/>
                <w:szCs w:val="16"/>
              </w:rPr>
              <w:t>tate prin Scrisoarea către conducere</w:t>
            </w:r>
          </w:p>
        </w:tc>
      </w:tr>
      <w:tr w:rsidR="00770AC9" w:rsidRPr="00CF7154" w14:paraId="2EC1BFF5" w14:textId="77777777" w:rsidTr="00447CBE">
        <w:trPr>
          <w:trHeight w:val="204"/>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25C26C4E" w14:textId="77777777" w:rsidR="00770AC9" w:rsidRPr="00CF7154" w:rsidRDefault="00770AC9" w:rsidP="00770AC9">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CANCELARIA DE STAT și entitățile din subordine:</w:t>
            </w:r>
          </w:p>
        </w:tc>
      </w:tr>
      <w:tr w:rsidR="000D43B2" w:rsidRPr="00CF7154" w14:paraId="7168417A" w14:textId="77777777" w:rsidTr="00447CBE">
        <w:trPr>
          <w:trHeight w:val="974"/>
        </w:trPr>
        <w:tc>
          <w:tcPr>
            <w:tcW w:w="1985" w:type="dxa"/>
            <w:tcBorders>
              <w:top w:val="nil"/>
              <w:left w:val="single" w:sz="4" w:space="0" w:color="auto"/>
              <w:bottom w:val="single" w:sz="4" w:space="0" w:color="auto"/>
              <w:right w:val="single" w:sz="4" w:space="0" w:color="auto"/>
            </w:tcBorders>
            <w:shd w:val="clear" w:color="auto" w:fill="auto"/>
            <w:hideMark/>
          </w:tcPr>
          <w:p w14:paraId="59EDE8C1" w14:textId="77777777" w:rsidR="000D43B2" w:rsidRPr="00CF7154" w:rsidRDefault="000D43B2" w:rsidP="000D43B2">
            <w:pPr>
              <w:spacing w:after="0" w:line="240" w:lineRule="auto"/>
              <w:ind w:right="-56"/>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 xml:space="preserve">Recomandarea nr. 2.a: </w:t>
            </w:r>
            <w:r w:rsidRPr="00CF7154">
              <w:rPr>
                <w:rFonts w:ascii="Calibri" w:eastAsia="Times New Roman" w:hAnsi="Calibri" w:cs="Calibri"/>
                <w:color w:val="000000"/>
                <w:sz w:val="16"/>
                <w:szCs w:val="16"/>
              </w:rPr>
              <w:t xml:space="preserve">Să întreprindă măsuri pentru înregistrarea legală a drepturilor patrimoniale, cu ajustarea valorii bunurilor imobile </w:t>
            </w:r>
          </w:p>
        </w:tc>
        <w:tc>
          <w:tcPr>
            <w:tcW w:w="5529" w:type="dxa"/>
            <w:tcBorders>
              <w:top w:val="nil"/>
              <w:left w:val="nil"/>
              <w:bottom w:val="single" w:sz="4" w:space="0" w:color="auto"/>
              <w:right w:val="single" w:sz="4" w:space="0" w:color="auto"/>
            </w:tcBorders>
            <w:shd w:val="clear" w:color="auto" w:fill="auto"/>
            <w:hideMark/>
          </w:tcPr>
          <w:p w14:paraId="17070A49" w14:textId="28A47DEC" w:rsidR="000D43B2" w:rsidRPr="000D43B2" w:rsidRDefault="000D43B2" w:rsidP="000D43B2">
            <w:pPr>
              <w:spacing w:after="0" w:line="240" w:lineRule="auto"/>
              <w:rPr>
                <w:rFonts w:ascii="Calibri" w:eastAsia="Times New Roman" w:hAnsi="Calibri" w:cs="Calibri"/>
                <w:color w:val="000000"/>
                <w:sz w:val="16"/>
                <w:szCs w:val="16"/>
              </w:rPr>
            </w:pPr>
            <w:r w:rsidRPr="000D43B2">
              <w:rPr>
                <w:rFonts w:ascii="Calibri" w:eastAsia="Times New Roman" w:hAnsi="Calibri" w:cs="Calibri"/>
                <w:bCs/>
                <w:color w:val="000000"/>
                <w:sz w:val="16"/>
                <w:szCs w:val="16"/>
              </w:rPr>
              <w:t>Vezi comentariile la recomandarea nr. 2.1.1. de mai sus.</w:t>
            </w:r>
          </w:p>
        </w:tc>
        <w:tc>
          <w:tcPr>
            <w:tcW w:w="603" w:type="dxa"/>
            <w:tcBorders>
              <w:top w:val="nil"/>
              <w:left w:val="nil"/>
              <w:bottom w:val="single" w:sz="4" w:space="0" w:color="auto"/>
              <w:right w:val="single" w:sz="4" w:space="0" w:color="auto"/>
            </w:tcBorders>
            <w:shd w:val="clear" w:color="auto" w:fill="auto"/>
            <w:hideMark/>
          </w:tcPr>
          <w:p w14:paraId="042241A7" w14:textId="77777777" w:rsidR="000D43B2" w:rsidRPr="00CF7154" w:rsidRDefault="000D43B2" w:rsidP="000D43B2">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313D60D0" w14:textId="27719BFA" w:rsidR="000D43B2" w:rsidRPr="00CF7154" w:rsidRDefault="000D43B2" w:rsidP="000D43B2">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hideMark/>
          </w:tcPr>
          <w:p w14:paraId="1AB7C76F" w14:textId="77777777" w:rsidR="000D43B2" w:rsidRPr="00CF7154" w:rsidRDefault="000D43B2" w:rsidP="000D43B2">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hideMark/>
          </w:tcPr>
          <w:p w14:paraId="176AA5D3" w14:textId="7F0D1979" w:rsidR="000D43B2" w:rsidRPr="00CF7154" w:rsidRDefault="000D43B2" w:rsidP="000D43B2">
            <w:pPr>
              <w:spacing w:after="0" w:line="240" w:lineRule="auto"/>
              <w:rPr>
                <w:rFonts w:ascii="Calibri" w:eastAsia="Times New Roman" w:hAnsi="Calibri" w:cs="Calibri"/>
                <w:color w:val="000000"/>
                <w:sz w:val="16"/>
                <w:szCs w:val="16"/>
              </w:rPr>
            </w:pPr>
            <w:r w:rsidRPr="000D43B2">
              <w:rPr>
                <w:rFonts w:ascii="Calibri" w:eastAsia="Times New Roman" w:hAnsi="Calibri" w:cs="Calibri"/>
                <w:bCs/>
                <w:color w:val="000000"/>
                <w:sz w:val="16"/>
                <w:szCs w:val="16"/>
              </w:rPr>
              <w:t>Vezi comentariile la recomandarea nr. 2.1.1. de mai sus.</w:t>
            </w:r>
          </w:p>
        </w:tc>
      </w:tr>
      <w:tr w:rsidR="00770AC9" w:rsidRPr="00CF7154" w14:paraId="3A5C01CE" w14:textId="77777777" w:rsidTr="00447CBE">
        <w:trPr>
          <w:trHeight w:val="1979"/>
        </w:trPr>
        <w:tc>
          <w:tcPr>
            <w:tcW w:w="1985" w:type="dxa"/>
            <w:tcBorders>
              <w:top w:val="nil"/>
              <w:left w:val="single" w:sz="4" w:space="0" w:color="auto"/>
              <w:bottom w:val="single" w:sz="4" w:space="0" w:color="auto"/>
              <w:right w:val="single" w:sz="4" w:space="0" w:color="auto"/>
            </w:tcBorders>
            <w:shd w:val="clear" w:color="auto" w:fill="auto"/>
            <w:hideMark/>
          </w:tcPr>
          <w:p w14:paraId="47A4DD81" w14:textId="77777777" w:rsidR="00770AC9" w:rsidRPr="00CF7154" w:rsidRDefault="00770AC9" w:rsidP="00770AC9">
            <w:pPr>
              <w:spacing w:after="0" w:line="240" w:lineRule="auto"/>
              <w:rPr>
                <w:rFonts w:ascii="Calibri" w:eastAsia="Times New Roman" w:hAnsi="Calibri" w:cs="Calibri"/>
                <w:color w:val="000000"/>
                <w:sz w:val="16"/>
                <w:szCs w:val="16"/>
              </w:rPr>
            </w:pPr>
            <w:r>
              <w:rPr>
                <w:rFonts w:ascii="Calibri" w:eastAsia="Times New Roman" w:hAnsi="Calibri" w:cs="Calibri"/>
                <w:b/>
                <w:bCs/>
                <w:color w:val="000000"/>
                <w:sz w:val="16"/>
                <w:szCs w:val="16"/>
              </w:rPr>
              <w:t>R</w:t>
            </w:r>
            <w:r w:rsidRPr="00CF7154">
              <w:rPr>
                <w:rFonts w:ascii="Calibri" w:eastAsia="Times New Roman" w:hAnsi="Calibri" w:cs="Calibri"/>
                <w:b/>
                <w:bCs/>
                <w:color w:val="000000"/>
                <w:sz w:val="16"/>
                <w:szCs w:val="16"/>
              </w:rPr>
              <w:t>ecomandarea nr. 2.b:</w:t>
            </w:r>
            <w:r w:rsidRPr="00CF7154">
              <w:rPr>
                <w:rFonts w:ascii="Calibri" w:eastAsia="Times New Roman" w:hAnsi="Calibri" w:cs="Calibri"/>
                <w:color w:val="000000"/>
                <w:sz w:val="16"/>
                <w:szCs w:val="16"/>
              </w:rPr>
              <w:t xml:space="preserve"> Calcularea/recalcularea uzurii mijloacelor fixe și amortizării activelor nemateriale, precum și corectarea înregistrărilor contabile afectate de clasificarea eronată a bunurilor</w:t>
            </w:r>
          </w:p>
        </w:tc>
        <w:tc>
          <w:tcPr>
            <w:tcW w:w="5529" w:type="dxa"/>
            <w:tcBorders>
              <w:top w:val="nil"/>
              <w:left w:val="nil"/>
              <w:bottom w:val="single" w:sz="4" w:space="0" w:color="auto"/>
              <w:right w:val="single" w:sz="4" w:space="0" w:color="auto"/>
            </w:tcBorders>
            <w:shd w:val="clear" w:color="auto" w:fill="auto"/>
            <w:hideMark/>
          </w:tcPr>
          <w:p w14:paraId="1AD28531" w14:textId="77777777" w:rsidR="00770AC9" w:rsidRPr="00CF7154" w:rsidRDefault="00770AC9" w:rsidP="00770AC9">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1. Scrisoarea Cancelariei de Stat nr.19-03-570 din 29.01.2019, aprobarea Planului de acțiuni privind implementarea recomandărilor;</w:t>
            </w:r>
            <w:r w:rsidRPr="00CF7154">
              <w:rPr>
                <w:rFonts w:ascii="Calibri" w:eastAsia="Times New Roman" w:hAnsi="Calibri" w:cs="Calibri"/>
                <w:color w:val="000000"/>
                <w:sz w:val="16"/>
                <w:szCs w:val="16"/>
              </w:rPr>
              <w:br/>
              <w:t>2. Nota de contabilitate nr.14 „Borderoul cumulativ privind reevaluarea bunurilor materiale, perioada 01.11.2018-30.11.2018, întocmită de către I.P. Direcția generală pentru administrarea clădirilor guvernului”;</w:t>
            </w:r>
            <w:r w:rsidRPr="00CF7154">
              <w:rPr>
                <w:rFonts w:ascii="Calibri" w:eastAsia="Times New Roman" w:hAnsi="Calibri" w:cs="Calibri"/>
                <w:color w:val="000000"/>
                <w:sz w:val="16"/>
                <w:szCs w:val="16"/>
              </w:rPr>
              <w:br/>
              <w:t>3. Nota contabilă privind recalcularea uzurii la edificiile care pe parcursul anului 2017 au avut loc modificări în valoarea inițială în legătură cu reparația capitală, la situația din 01.10.2018, întocmită de către I.P. Direcția generală pentru administrarea clădirilor guvernului”;</w:t>
            </w:r>
            <w:r w:rsidRPr="00CF7154">
              <w:rPr>
                <w:rFonts w:ascii="Calibri" w:eastAsia="Times New Roman" w:hAnsi="Calibri" w:cs="Calibri"/>
                <w:color w:val="000000"/>
                <w:sz w:val="16"/>
                <w:szCs w:val="16"/>
              </w:rPr>
              <w:br/>
              <w:t>4. Nota contabilă din 02.07.2018 nr.371/07.18 - înregistrarea corectă în evidența contabilă a programelor informatice, întocmită de către I.P. Direcția generală pentru administrarea clădirilor guvernului”;</w:t>
            </w:r>
            <w:r w:rsidRPr="00CF7154">
              <w:rPr>
                <w:rFonts w:ascii="Calibri" w:eastAsia="Times New Roman" w:hAnsi="Calibri" w:cs="Calibri"/>
                <w:color w:val="000000"/>
                <w:sz w:val="16"/>
                <w:szCs w:val="16"/>
              </w:rPr>
              <w:br/>
              <w:t>5. Lista bunurilor imobile trecute de la grupa de conturi 311 „clădiri” la grupa de conturi 312 „Construcții speciale”, întocmită de către I.P. Direcția generală pentru administrarea clădirilor guvernului”;</w:t>
            </w:r>
            <w:r w:rsidRPr="00CF7154">
              <w:rPr>
                <w:rFonts w:ascii="Calibri" w:eastAsia="Times New Roman" w:hAnsi="Calibri" w:cs="Calibri"/>
                <w:color w:val="000000"/>
                <w:sz w:val="16"/>
                <w:szCs w:val="16"/>
              </w:rPr>
              <w:br/>
              <w:t>6. Informația privind circulația mijloacelor fixe și amortizarea activelor nemateriale în a.2018, întocmită de către I.P. Direcția generală pentru administrarea clădirilor guvernului”.</w:t>
            </w:r>
          </w:p>
        </w:tc>
        <w:tc>
          <w:tcPr>
            <w:tcW w:w="603" w:type="dxa"/>
            <w:tcBorders>
              <w:top w:val="nil"/>
              <w:left w:val="nil"/>
              <w:bottom w:val="single" w:sz="4" w:space="0" w:color="auto"/>
              <w:right w:val="single" w:sz="4" w:space="0" w:color="auto"/>
            </w:tcBorders>
            <w:shd w:val="clear" w:color="auto" w:fill="auto"/>
            <w:vAlign w:val="center"/>
            <w:hideMark/>
          </w:tcPr>
          <w:p w14:paraId="194C6EC9" w14:textId="738F9123" w:rsidR="00770AC9" w:rsidRPr="00CF7154" w:rsidRDefault="00770AC9" w:rsidP="00770AC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single" w:sz="4" w:space="0" w:color="auto"/>
              <w:left w:val="nil"/>
              <w:bottom w:val="nil"/>
              <w:right w:val="nil"/>
            </w:tcBorders>
            <w:shd w:val="clear" w:color="auto" w:fill="auto"/>
            <w:hideMark/>
          </w:tcPr>
          <w:p w14:paraId="2442E186" w14:textId="77777777" w:rsidR="00770AC9" w:rsidRPr="00CF7154" w:rsidRDefault="00770AC9" w:rsidP="00770AC9">
            <w:pPr>
              <w:spacing w:after="0" w:line="240" w:lineRule="auto"/>
              <w:jc w:val="center"/>
              <w:rPr>
                <w:rFonts w:ascii="Calibri" w:eastAsia="Times New Roman" w:hAnsi="Calibri" w:cs="Calibri"/>
                <w:color w:val="000000"/>
                <w:sz w:val="16"/>
                <w:szCs w:val="16"/>
              </w:rPr>
            </w:pPr>
          </w:p>
        </w:tc>
        <w:tc>
          <w:tcPr>
            <w:tcW w:w="567" w:type="dxa"/>
            <w:tcBorders>
              <w:top w:val="nil"/>
              <w:left w:val="single" w:sz="4" w:space="0" w:color="auto"/>
              <w:bottom w:val="single" w:sz="4" w:space="0" w:color="auto"/>
              <w:right w:val="single" w:sz="4" w:space="0" w:color="auto"/>
            </w:tcBorders>
            <w:shd w:val="clear" w:color="auto" w:fill="auto"/>
            <w:hideMark/>
          </w:tcPr>
          <w:p w14:paraId="34D2969D" w14:textId="77777777" w:rsidR="00770AC9" w:rsidRPr="00CF7154" w:rsidRDefault="00770AC9" w:rsidP="00770AC9">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hideMark/>
          </w:tcPr>
          <w:p w14:paraId="0DE8E313" w14:textId="77777777" w:rsidR="00770AC9" w:rsidRPr="00CF7154" w:rsidRDefault="00770AC9" w:rsidP="00770AC9">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r>
      <w:tr w:rsidR="00770AC9" w:rsidRPr="00CF7154" w14:paraId="0B53CE05" w14:textId="77777777" w:rsidTr="00447CBE">
        <w:trPr>
          <w:trHeight w:val="3257"/>
        </w:trPr>
        <w:tc>
          <w:tcPr>
            <w:tcW w:w="1985" w:type="dxa"/>
            <w:tcBorders>
              <w:top w:val="nil"/>
              <w:left w:val="single" w:sz="4" w:space="0" w:color="auto"/>
              <w:bottom w:val="single" w:sz="4" w:space="0" w:color="auto"/>
              <w:right w:val="single" w:sz="4" w:space="0" w:color="auto"/>
            </w:tcBorders>
            <w:shd w:val="clear" w:color="auto" w:fill="auto"/>
            <w:hideMark/>
          </w:tcPr>
          <w:p w14:paraId="76BE149F" w14:textId="77777777" w:rsidR="00770AC9" w:rsidRPr="00CF7154" w:rsidRDefault="00770AC9" w:rsidP="00770AC9">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 xml:space="preserve">Recomandarea nr.3: </w:t>
            </w:r>
            <w:r w:rsidRPr="00CF7154">
              <w:rPr>
                <w:rFonts w:ascii="Calibri" w:eastAsia="Times New Roman" w:hAnsi="Calibri" w:cs="Calibri"/>
                <w:color w:val="000000"/>
                <w:sz w:val="16"/>
                <w:szCs w:val="16"/>
              </w:rPr>
              <w:t>Întreprinderea măsurilor de rigoare vizavi de stocurile de materiale circulante moral învechite</w:t>
            </w:r>
          </w:p>
        </w:tc>
        <w:tc>
          <w:tcPr>
            <w:tcW w:w="5529" w:type="dxa"/>
            <w:tcBorders>
              <w:top w:val="nil"/>
              <w:left w:val="nil"/>
              <w:bottom w:val="single" w:sz="4" w:space="0" w:color="auto"/>
              <w:right w:val="single" w:sz="4" w:space="0" w:color="auto"/>
            </w:tcBorders>
            <w:shd w:val="clear" w:color="auto" w:fill="auto"/>
            <w:hideMark/>
          </w:tcPr>
          <w:p w14:paraId="752A2154" w14:textId="4EBAA31B" w:rsidR="00770AC9" w:rsidRPr="00CF7154" w:rsidRDefault="00770AC9" w:rsidP="000D43B2">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xml:space="preserve">1. Scrisoarea </w:t>
            </w:r>
            <w:r w:rsidR="000D43B2">
              <w:rPr>
                <w:rFonts w:ascii="Calibri" w:eastAsia="Times New Roman" w:hAnsi="Calibri" w:cs="Calibri"/>
                <w:color w:val="000000"/>
                <w:sz w:val="16"/>
                <w:szCs w:val="16"/>
              </w:rPr>
              <w:t>CS</w:t>
            </w:r>
            <w:r w:rsidRPr="00CF7154">
              <w:rPr>
                <w:rFonts w:ascii="Calibri" w:eastAsia="Times New Roman" w:hAnsi="Calibri" w:cs="Calibri"/>
                <w:color w:val="000000"/>
                <w:sz w:val="16"/>
                <w:szCs w:val="16"/>
              </w:rPr>
              <w:t xml:space="preserve"> nr.19-03-570 din 29.01.2019, aprobarea Planului de acțiuni privind implementarea recomandărilor;</w:t>
            </w:r>
            <w:r w:rsidRPr="00CF7154">
              <w:rPr>
                <w:rFonts w:ascii="Calibri" w:eastAsia="Times New Roman" w:hAnsi="Calibri" w:cs="Calibri"/>
                <w:color w:val="000000"/>
                <w:sz w:val="16"/>
                <w:szCs w:val="16"/>
              </w:rPr>
              <w:br/>
              <w:t xml:space="preserve">2. Ordinul I.P. </w:t>
            </w:r>
            <w:r w:rsidR="000D43B2">
              <w:rPr>
                <w:rFonts w:ascii="Calibri" w:eastAsia="Times New Roman" w:hAnsi="Calibri" w:cs="Calibri"/>
                <w:color w:val="000000"/>
                <w:sz w:val="16"/>
                <w:szCs w:val="16"/>
              </w:rPr>
              <w:t>BA a CS</w:t>
            </w:r>
            <w:r w:rsidRPr="00CF7154">
              <w:rPr>
                <w:rFonts w:ascii="Calibri" w:eastAsia="Times New Roman" w:hAnsi="Calibri" w:cs="Calibri"/>
                <w:color w:val="000000"/>
                <w:sz w:val="16"/>
                <w:szCs w:val="16"/>
              </w:rPr>
              <w:t xml:space="preserve"> nr.19 din 20.03.2019 „Cu privire la instituirea comisiei de lucru pentru determinarea inutilizabilității mijloacelor fixe și casarea lor. Astfel, de către Comisie au fost determinate unele bunuri utilizarea cărora în continuare a fost inoportună din cauza gradului avansat al uzurii fizice și/sau morale, valoarea totală a acestora constituind circa 899, 81 mii lei. Obținerea autorizației de casare a acestora fiind în proces de lucru. Problematica persistă, </w:t>
            </w:r>
            <w:r w:rsidR="000D43B2">
              <w:rPr>
                <w:rFonts w:ascii="Calibri" w:eastAsia="Times New Roman" w:hAnsi="Calibri" w:cs="Calibri"/>
                <w:color w:val="000000"/>
                <w:sz w:val="16"/>
                <w:szCs w:val="16"/>
              </w:rPr>
              <w:t>BA a CS</w:t>
            </w:r>
            <w:r w:rsidRPr="00CF7154">
              <w:rPr>
                <w:rFonts w:ascii="Calibri" w:eastAsia="Times New Roman" w:hAnsi="Calibri" w:cs="Calibri"/>
                <w:color w:val="000000"/>
                <w:sz w:val="16"/>
                <w:szCs w:val="16"/>
              </w:rPr>
              <w:t xml:space="preserve"> deține și în prezent bunuri moral învechite, în acest sens nefiind întreprinse careva măsuri de remediere;</w:t>
            </w:r>
            <w:r w:rsidRPr="00CF7154">
              <w:rPr>
                <w:rFonts w:ascii="Calibri" w:eastAsia="Times New Roman" w:hAnsi="Calibri" w:cs="Calibri"/>
                <w:color w:val="000000"/>
                <w:sz w:val="16"/>
                <w:szCs w:val="16"/>
              </w:rPr>
              <w:br/>
              <w:t xml:space="preserve">3. Informația privind circulația stocului de materiale circulante și a rezervelor de stat la situația din 31.05.2019 prezentată de I.P. </w:t>
            </w:r>
            <w:r w:rsidR="000D43B2">
              <w:rPr>
                <w:rFonts w:ascii="Calibri" w:eastAsia="Times New Roman" w:hAnsi="Calibri" w:cs="Calibri"/>
                <w:color w:val="000000"/>
                <w:sz w:val="16"/>
                <w:szCs w:val="16"/>
              </w:rPr>
              <w:t>BA a CS</w:t>
            </w:r>
            <w:r w:rsidRPr="00CF7154">
              <w:rPr>
                <w:rFonts w:ascii="Calibri" w:eastAsia="Times New Roman" w:hAnsi="Calibri" w:cs="Calibri"/>
                <w:color w:val="000000"/>
                <w:sz w:val="16"/>
                <w:szCs w:val="16"/>
              </w:rPr>
              <w:t>, în care a fost reflectată casarea stocurile de materiale inutilizabile. Potrivit acesteia, au</w:t>
            </w:r>
            <w:r>
              <w:rPr>
                <w:rFonts w:ascii="Calibri" w:eastAsia="Times New Roman" w:hAnsi="Calibri" w:cs="Calibri"/>
                <w:color w:val="000000"/>
                <w:sz w:val="16"/>
                <w:szCs w:val="16"/>
              </w:rPr>
              <w:t xml:space="preserve"> fost realizate bunuri în valoa</w:t>
            </w:r>
            <w:r w:rsidRPr="00CF7154">
              <w:rPr>
                <w:rFonts w:ascii="Calibri" w:eastAsia="Times New Roman" w:hAnsi="Calibri" w:cs="Calibri"/>
                <w:color w:val="000000"/>
                <w:sz w:val="16"/>
                <w:szCs w:val="16"/>
              </w:rPr>
              <w:t>re de 35,01 mii lei;</w:t>
            </w:r>
            <w:r w:rsidRPr="00CF7154">
              <w:rPr>
                <w:rFonts w:ascii="Calibri" w:eastAsia="Times New Roman" w:hAnsi="Calibri" w:cs="Calibri"/>
                <w:color w:val="000000"/>
                <w:sz w:val="16"/>
                <w:szCs w:val="16"/>
              </w:rPr>
              <w:br/>
              <w:t xml:space="preserve">4. Ordinul I.P. </w:t>
            </w:r>
            <w:r w:rsidR="000D43B2">
              <w:rPr>
                <w:rFonts w:ascii="Calibri" w:eastAsia="Times New Roman" w:hAnsi="Calibri" w:cs="Calibri"/>
                <w:color w:val="000000"/>
                <w:sz w:val="16"/>
                <w:szCs w:val="16"/>
              </w:rPr>
              <w:t>DGACG</w:t>
            </w:r>
            <w:r w:rsidRPr="00CF7154">
              <w:rPr>
                <w:rFonts w:ascii="Calibri" w:eastAsia="Times New Roman" w:hAnsi="Calibri" w:cs="Calibri"/>
                <w:color w:val="000000"/>
                <w:sz w:val="16"/>
                <w:szCs w:val="16"/>
              </w:rPr>
              <w:t xml:space="preserve"> nr. 323-A din 24.10.2018 cu privire insti</w:t>
            </w:r>
            <w:r w:rsidR="000D43B2">
              <w:rPr>
                <w:rFonts w:ascii="Calibri" w:eastAsia="Times New Roman" w:hAnsi="Calibri" w:cs="Calibri"/>
                <w:color w:val="000000"/>
                <w:sz w:val="16"/>
                <w:szCs w:val="16"/>
              </w:rPr>
              <w:t xml:space="preserve">tuirea Comisiei de inventariere; </w:t>
            </w:r>
            <w:r w:rsidRPr="00CF7154">
              <w:rPr>
                <w:rFonts w:ascii="Calibri" w:eastAsia="Times New Roman" w:hAnsi="Calibri" w:cs="Calibri"/>
                <w:color w:val="000000"/>
                <w:sz w:val="16"/>
                <w:szCs w:val="16"/>
              </w:rPr>
              <w:t xml:space="preserve">Ordinul I.P. </w:t>
            </w:r>
            <w:r w:rsidR="000D43B2">
              <w:rPr>
                <w:rFonts w:ascii="Calibri" w:eastAsia="Times New Roman" w:hAnsi="Calibri" w:cs="Calibri"/>
                <w:color w:val="000000"/>
                <w:sz w:val="16"/>
                <w:szCs w:val="16"/>
              </w:rPr>
              <w:t>DGACG</w:t>
            </w:r>
            <w:r w:rsidRPr="00CF7154">
              <w:rPr>
                <w:rFonts w:ascii="Calibri" w:eastAsia="Times New Roman" w:hAnsi="Calibri" w:cs="Calibri"/>
                <w:color w:val="000000"/>
                <w:sz w:val="16"/>
                <w:szCs w:val="16"/>
              </w:rPr>
              <w:t xml:space="preserve"> nr.342-A din 12.11.2018 „Cu privire la instituirea comisiilor de casare a mijloacelor fixe și materialelor circulante;</w:t>
            </w:r>
            <w:r w:rsidR="000D43B2">
              <w:rPr>
                <w:rFonts w:ascii="Calibri" w:eastAsia="Times New Roman" w:hAnsi="Calibri" w:cs="Calibri"/>
                <w:color w:val="000000"/>
                <w:sz w:val="16"/>
                <w:szCs w:val="16"/>
              </w:rPr>
              <w:t xml:space="preserve"> </w:t>
            </w:r>
            <w:r w:rsidRPr="00CF7154">
              <w:rPr>
                <w:rFonts w:ascii="Calibri" w:eastAsia="Times New Roman" w:hAnsi="Calibri" w:cs="Calibri"/>
                <w:color w:val="000000"/>
                <w:sz w:val="16"/>
                <w:szCs w:val="16"/>
              </w:rPr>
              <w:t xml:space="preserve">Ordinul I.P. </w:t>
            </w:r>
            <w:r w:rsidR="000D43B2">
              <w:rPr>
                <w:rFonts w:ascii="Calibri" w:eastAsia="Times New Roman" w:hAnsi="Calibri" w:cs="Calibri"/>
                <w:color w:val="000000"/>
                <w:sz w:val="16"/>
                <w:szCs w:val="16"/>
              </w:rPr>
              <w:t xml:space="preserve">DGACG </w:t>
            </w:r>
            <w:r w:rsidRPr="00CF7154">
              <w:rPr>
                <w:rFonts w:ascii="Calibri" w:eastAsia="Times New Roman" w:hAnsi="Calibri" w:cs="Calibri"/>
                <w:color w:val="000000"/>
                <w:sz w:val="16"/>
                <w:szCs w:val="16"/>
              </w:rPr>
              <w:t>nr.368-A din 30.11.2018 „cu privire la instituirea comisiei în legătură cu necesitatea verificării și întocmirii concluziei tehnice a utilajelor, instrumentelor, mobilierului înaintat spre anulare;</w:t>
            </w:r>
            <w:r w:rsidRPr="00CF7154">
              <w:rPr>
                <w:rFonts w:ascii="Calibri" w:eastAsia="Times New Roman" w:hAnsi="Calibri" w:cs="Calibri"/>
                <w:color w:val="000000"/>
                <w:sz w:val="16"/>
                <w:szCs w:val="16"/>
              </w:rPr>
              <w:br/>
              <w:t>7. Procesul Verbal f/nr din 10.12.2018 al ședinței comisiei centrale de inventariere a bunurilor materiale, mijloacelor bănești la situația din 01.11.2018, potrivit căruia au fost depistate bunuri depreciate, uzate și fără utilizare pe unele sectoare. Comisia de</w:t>
            </w:r>
            <w:r>
              <w:rPr>
                <w:rFonts w:ascii="Calibri" w:eastAsia="Times New Roman" w:hAnsi="Calibri" w:cs="Calibri"/>
                <w:color w:val="000000"/>
                <w:sz w:val="16"/>
                <w:szCs w:val="16"/>
              </w:rPr>
              <w:t xml:space="preserve"> </w:t>
            </w:r>
            <w:r w:rsidRPr="00CF7154">
              <w:rPr>
                <w:rFonts w:ascii="Calibri" w:eastAsia="Times New Roman" w:hAnsi="Calibri" w:cs="Calibri"/>
                <w:color w:val="000000"/>
                <w:sz w:val="16"/>
                <w:szCs w:val="16"/>
              </w:rPr>
              <w:t>inventariere au întocmit listele acestor bunuri, fiind propuse spre casarea ulterio</w:t>
            </w:r>
            <w:r>
              <w:rPr>
                <w:rFonts w:ascii="Calibri" w:eastAsia="Times New Roman" w:hAnsi="Calibri" w:cs="Calibri"/>
                <w:color w:val="000000"/>
                <w:sz w:val="16"/>
                <w:szCs w:val="16"/>
              </w:rPr>
              <w:t>a</w:t>
            </w:r>
            <w:r w:rsidRPr="00CF7154">
              <w:rPr>
                <w:rFonts w:ascii="Calibri" w:eastAsia="Times New Roman" w:hAnsi="Calibri" w:cs="Calibri"/>
                <w:color w:val="000000"/>
                <w:sz w:val="16"/>
                <w:szCs w:val="16"/>
              </w:rPr>
              <w:t>ră;</w:t>
            </w:r>
            <w:r w:rsidRPr="00CF7154">
              <w:rPr>
                <w:rFonts w:ascii="Calibri" w:eastAsia="Times New Roman" w:hAnsi="Calibri" w:cs="Calibri"/>
                <w:color w:val="000000"/>
                <w:sz w:val="16"/>
                <w:szCs w:val="16"/>
              </w:rPr>
              <w:br/>
              <w:t>8. Acte de casare a bunurilor materiale, prin care au fost propuse spre casare bunuri materiale cu valoarea de bilanț d</w:t>
            </w:r>
            <w:r w:rsidR="000D43B2">
              <w:rPr>
                <w:rFonts w:ascii="Calibri" w:eastAsia="Times New Roman" w:hAnsi="Calibri" w:cs="Calibri"/>
                <w:color w:val="000000"/>
                <w:sz w:val="16"/>
                <w:szCs w:val="16"/>
              </w:rPr>
              <w:t>e 311,26 mii lei;</w:t>
            </w:r>
            <w:r w:rsidR="000D43B2">
              <w:rPr>
                <w:rFonts w:ascii="Calibri" w:eastAsia="Times New Roman" w:hAnsi="Calibri" w:cs="Calibri"/>
                <w:color w:val="000000"/>
                <w:sz w:val="16"/>
                <w:szCs w:val="16"/>
              </w:rPr>
              <w:br/>
              <w:t>9. Autorizații</w:t>
            </w:r>
            <w:r w:rsidRPr="00CF7154">
              <w:rPr>
                <w:rFonts w:ascii="Calibri" w:eastAsia="Times New Roman" w:hAnsi="Calibri" w:cs="Calibri"/>
                <w:color w:val="000000"/>
                <w:sz w:val="16"/>
                <w:szCs w:val="16"/>
              </w:rPr>
              <w:t xml:space="preserve"> de casare a mijloacelor fixe în I.P</w:t>
            </w:r>
            <w:r w:rsidR="000D43B2">
              <w:rPr>
                <w:rFonts w:ascii="Calibri" w:eastAsia="Times New Roman" w:hAnsi="Calibri" w:cs="Calibri"/>
                <w:color w:val="000000"/>
                <w:sz w:val="16"/>
                <w:szCs w:val="16"/>
              </w:rPr>
              <w:t>. DGACG</w:t>
            </w:r>
            <w:r w:rsidRPr="00CF7154">
              <w:rPr>
                <w:rFonts w:ascii="Calibri" w:eastAsia="Times New Roman" w:hAnsi="Calibri" w:cs="Calibri"/>
                <w:color w:val="000000"/>
                <w:sz w:val="16"/>
                <w:szCs w:val="16"/>
              </w:rPr>
              <w:t>, apro</w:t>
            </w:r>
            <w:r>
              <w:rPr>
                <w:rFonts w:ascii="Calibri" w:eastAsia="Times New Roman" w:hAnsi="Calibri" w:cs="Calibri"/>
                <w:color w:val="000000"/>
                <w:sz w:val="16"/>
                <w:szCs w:val="16"/>
              </w:rPr>
              <w:t>bată de C</w:t>
            </w:r>
            <w:r w:rsidR="000D43B2">
              <w:rPr>
                <w:rFonts w:ascii="Calibri" w:eastAsia="Times New Roman" w:hAnsi="Calibri" w:cs="Calibri"/>
                <w:color w:val="000000"/>
                <w:sz w:val="16"/>
                <w:szCs w:val="16"/>
              </w:rPr>
              <w:t>S</w:t>
            </w:r>
            <w:r w:rsidRPr="00CF7154">
              <w:rPr>
                <w:rFonts w:ascii="Calibri" w:eastAsia="Times New Roman" w:hAnsi="Calibri" w:cs="Calibri"/>
                <w:color w:val="000000"/>
                <w:sz w:val="16"/>
                <w:szCs w:val="16"/>
              </w:rPr>
              <w:t>, nr.17-20-10040 din 07.12.2018;</w:t>
            </w:r>
            <w:r w:rsidR="000D43B2">
              <w:rPr>
                <w:rFonts w:ascii="Calibri" w:eastAsia="Times New Roman" w:hAnsi="Calibri" w:cs="Calibri"/>
                <w:color w:val="000000"/>
                <w:sz w:val="16"/>
                <w:szCs w:val="16"/>
              </w:rPr>
              <w:t xml:space="preserve"> </w:t>
            </w:r>
            <w:r w:rsidRPr="00CF7154">
              <w:rPr>
                <w:rFonts w:ascii="Calibri" w:eastAsia="Times New Roman" w:hAnsi="Calibri" w:cs="Calibri"/>
                <w:color w:val="000000"/>
                <w:sz w:val="16"/>
                <w:szCs w:val="16"/>
              </w:rPr>
              <w:t>nr.17-20-88 din 09.01.2019; nr.79-07-2219 din 15.04.2018;</w:t>
            </w:r>
          </w:p>
        </w:tc>
        <w:tc>
          <w:tcPr>
            <w:tcW w:w="603" w:type="dxa"/>
            <w:tcBorders>
              <w:top w:val="nil"/>
              <w:left w:val="nil"/>
              <w:bottom w:val="single" w:sz="4" w:space="0" w:color="auto"/>
              <w:right w:val="single" w:sz="4" w:space="0" w:color="auto"/>
            </w:tcBorders>
            <w:shd w:val="clear" w:color="auto" w:fill="auto"/>
            <w:vAlign w:val="center"/>
            <w:hideMark/>
          </w:tcPr>
          <w:p w14:paraId="6C4D803C" w14:textId="32735B90" w:rsidR="00770AC9" w:rsidRPr="00CF7154" w:rsidRDefault="00770AC9" w:rsidP="00770AC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single" w:sz="4" w:space="0" w:color="auto"/>
              <w:left w:val="nil"/>
              <w:bottom w:val="single" w:sz="4" w:space="0" w:color="auto"/>
              <w:right w:val="single" w:sz="4" w:space="0" w:color="auto"/>
            </w:tcBorders>
            <w:shd w:val="clear" w:color="auto" w:fill="auto"/>
            <w:vAlign w:val="bottom"/>
            <w:hideMark/>
          </w:tcPr>
          <w:p w14:paraId="743D6D36" w14:textId="77777777" w:rsidR="00770AC9" w:rsidRPr="00CF7154" w:rsidRDefault="00770AC9" w:rsidP="00770AC9">
            <w:pPr>
              <w:spacing w:after="0" w:line="240" w:lineRule="auto"/>
              <w:rPr>
                <w:rFonts w:ascii="Calibri" w:eastAsia="Times New Roman" w:hAnsi="Calibri" w:cs="Calibri"/>
                <w:color w:val="000000"/>
                <w:sz w:val="16"/>
                <w:szCs w:val="16"/>
              </w:rPr>
            </w:pPr>
          </w:p>
        </w:tc>
        <w:tc>
          <w:tcPr>
            <w:tcW w:w="567" w:type="dxa"/>
            <w:tcBorders>
              <w:top w:val="nil"/>
              <w:left w:val="nil"/>
              <w:bottom w:val="single" w:sz="4" w:space="0" w:color="auto"/>
              <w:right w:val="single" w:sz="4" w:space="0" w:color="auto"/>
            </w:tcBorders>
            <w:shd w:val="clear" w:color="auto" w:fill="auto"/>
            <w:vAlign w:val="bottom"/>
            <w:hideMark/>
          </w:tcPr>
          <w:p w14:paraId="7393B4B7" w14:textId="77777777" w:rsidR="00770AC9" w:rsidRPr="00CF7154" w:rsidRDefault="00770AC9" w:rsidP="00770AC9">
            <w:pPr>
              <w:spacing w:after="0" w:line="240" w:lineRule="auto"/>
              <w:rPr>
                <w:rFonts w:ascii="Calibri" w:eastAsia="Times New Roman" w:hAnsi="Calibri" w:cs="Calibri"/>
                <w:color w:val="000000"/>
                <w:sz w:val="16"/>
                <w:szCs w:val="16"/>
              </w:rPr>
            </w:pPr>
          </w:p>
        </w:tc>
        <w:tc>
          <w:tcPr>
            <w:tcW w:w="1953" w:type="dxa"/>
            <w:tcBorders>
              <w:top w:val="nil"/>
              <w:left w:val="nil"/>
              <w:bottom w:val="single" w:sz="4" w:space="0" w:color="auto"/>
              <w:right w:val="single" w:sz="4" w:space="0" w:color="auto"/>
            </w:tcBorders>
            <w:shd w:val="clear" w:color="auto" w:fill="auto"/>
            <w:vAlign w:val="bottom"/>
            <w:hideMark/>
          </w:tcPr>
          <w:p w14:paraId="0488B351" w14:textId="7618C00D" w:rsidR="00770AC9" w:rsidRPr="00CF7154" w:rsidRDefault="00770AC9" w:rsidP="00770AC9">
            <w:pPr>
              <w:spacing w:after="0" w:line="240" w:lineRule="auto"/>
              <w:rPr>
                <w:rFonts w:ascii="Calibri" w:eastAsia="Times New Roman" w:hAnsi="Calibri" w:cs="Calibri"/>
                <w:color w:val="000000"/>
                <w:sz w:val="16"/>
                <w:szCs w:val="16"/>
              </w:rPr>
            </w:pPr>
          </w:p>
        </w:tc>
      </w:tr>
      <w:tr w:rsidR="00770AC9" w:rsidRPr="00CF7154" w14:paraId="72D63678" w14:textId="77777777" w:rsidTr="00447CBE">
        <w:trPr>
          <w:trHeight w:val="2697"/>
        </w:trPr>
        <w:tc>
          <w:tcPr>
            <w:tcW w:w="1985" w:type="dxa"/>
            <w:tcBorders>
              <w:top w:val="nil"/>
              <w:left w:val="single" w:sz="4" w:space="0" w:color="auto"/>
              <w:bottom w:val="single" w:sz="4" w:space="0" w:color="auto"/>
              <w:right w:val="single" w:sz="4" w:space="0" w:color="auto"/>
            </w:tcBorders>
            <w:shd w:val="clear" w:color="auto" w:fill="auto"/>
            <w:hideMark/>
          </w:tcPr>
          <w:p w14:paraId="29135402" w14:textId="77777777" w:rsidR="00770AC9" w:rsidRPr="00CF7154" w:rsidRDefault="00770AC9" w:rsidP="00770AC9">
            <w:pPr>
              <w:spacing w:after="0" w:line="240" w:lineRule="auto"/>
              <w:rPr>
                <w:rFonts w:ascii="Calibri" w:eastAsia="Times New Roman" w:hAnsi="Calibri" w:cs="Calibri"/>
                <w:color w:val="000000"/>
                <w:sz w:val="16"/>
                <w:szCs w:val="16"/>
              </w:rPr>
            </w:pPr>
            <w:r>
              <w:rPr>
                <w:rFonts w:ascii="Calibri" w:eastAsia="Times New Roman" w:hAnsi="Calibri" w:cs="Calibri"/>
                <w:b/>
                <w:bCs/>
                <w:color w:val="000000"/>
                <w:sz w:val="16"/>
                <w:szCs w:val="16"/>
              </w:rPr>
              <w:t>R</w:t>
            </w:r>
            <w:r w:rsidRPr="00CF7154">
              <w:rPr>
                <w:rFonts w:ascii="Calibri" w:eastAsia="Times New Roman" w:hAnsi="Calibri" w:cs="Calibri"/>
                <w:b/>
                <w:bCs/>
                <w:color w:val="000000"/>
                <w:sz w:val="16"/>
                <w:szCs w:val="16"/>
              </w:rPr>
              <w:t xml:space="preserve">ecomandarea nr. 4: </w:t>
            </w:r>
            <w:r w:rsidRPr="00CF7154">
              <w:rPr>
                <w:rFonts w:ascii="Calibri" w:eastAsia="Times New Roman" w:hAnsi="Calibri" w:cs="Calibri"/>
                <w:color w:val="000000"/>
                <w:sz w:val="16"/>
                <w:szCs w:val="16"/>
              </w:rPr>
              <w:t>Înregistrarea în evidența contabilă a tuturor terenurilor aflate în folosință, legalizarea drepturilor patrimoniale și ajustarea valorii terenurilor</w:t>
            </w:r>
          </w:p>
        </w:tc>
        <w:tc>
          <w:tcPr>
            <w:tcW w:w="5529" w:type="dxa"/>
            <w:tcBorders>
              <w:top w:val="nil"/>
              <w:left w:val="nil"/>
              <w:bottom w:val="single" w:sz="4" w:space="0" w:color="auto"/>
              <w:right w:val="single" w:sz="4" w:space="0" w:color="auto"/>
            </w:tcBorders>
            <w:shd w:val="clear" w:color="auto" w:fill="auto"/>
            <w:hideMark/>
          </w:tcPr>
          <w:p w14:paraId="658AA16C" w14:textId="01DA8C50" w:rsidR="00770AC9" w:rsidRPr="00CF7154" w:rsidRDefault="00770AC9" w:rsidP="00B221E8">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xml:space="preserve">1. Demersul I.P. </w:t>
            </w:r>
            <w:r w:rsidR="00B221E8">
              <w:rPr>
                <w:rFonts w:ascii="Calibri" w:eastAsia="Times New Roman" w:hAnsi="Calibri" w:cs="Calibri"/>
                <w:color w:val="000000"/>
                <w:sz w:val="16"/>
                <w:szCs w:val="16"/>
              </w:rPr>
              <w:t xml:space="preserve">DGACG </w:t>
            </w:r>
            <w:r w:rsidRPr="00CF7154">
              <w:rPr>
                <w:rFonts w:ascii="Calibri" w:eastAsia="Times New Roman" w:hAnsi="Calibri" w:cs="Calibri"/>
                <w:color w:val="000000"/>
                <w:sz w:val="16"/>
                <w:szCs w:val="16"/>
              </w:rPr>
              <w:t>nr.1226-03 din 05.12.2018 către PP, privind prezentarea informației privind înstrăinarea terenurilor pentru a fi transmise proprietarilor noi și scoase din evidența contabilă a DGACG. Tot în acest demers DGACG menționează despre privatizarea în anul 2016 a 2 t</w:t>
            </w:r>
            <w:r>
              <w:rPr>
                <w:rFonts w:ascii="Calibri" w:eastAsia="Times New Roman" w:hAnsi="Calibri" w:cs="Calibri"/>
                <w:color w:val="000000"/>
                <w:sz w:val="16"/>
                <w:szCs w:val="16"/>
              </w:rPr>
              <w:t>erenuri care se afla în gestiun</w:t>
            </w:r>
            <w:r w:rsidRPr="00CF7154">
              <w:rPr>
                <w:rFonts w:ascii="Calibri" w:eastAsia="Times New Roman" w:hAnsi="Calibri" w:cs="Calibri"/>
                <w:color w:val="000000"/>
                <w:sz w:val="16"/>
                <w:szCs w:val="16"/>
              </w:rPr>
              <w:t>ea DGACG, fapt despre care nu a fost anunțată;</w:t>
            </w:r>
            <w:r w:rsidRPr="00CF7154">
              <w:rPr>
                <w:rFonts w:ascii="Calibri" w:eastAsia="Times New Roman" w:hAnsi="Calibri" w:cs="Calibri"/>
                <w:color w:val="000000"/>
                <w:sz w:val="16"/>
                <w:szCs w:val="16"/>
              </w:rPr>
              <w:br/>
              <w:t xml:space="preserve">2. Răspunsul </w:t>
            </w:r>
            <w:r w:rsidR="00B221E8">
              <w:rPr>
                <w:rFonts w:ascii="Calibri" w:eastAsia="Times New Roman" w:hAnsi="Calibri" w:cs="Calibri"/>
                <w:color w:val="000000"/>
                <w:sz w:val="16"/>
                <w:szCs w:val="16"/>
              </w:rPr>
              <w:t>APP</w:t>
            </w:r>
            <w:r w:rsidRPr="00CF7154">
              <w:rPr>
                <w:rFonts w:ascii="Calibri" w:eastAsia="Times New Roman" w:hAnsi="Calibri" w:cs="Calibri"/>
                <w:color w:val="000000"/>
                <w:sz w:val="16"/>
                <w:szCs w:val="16"/>
              </w:rPr>
              <w:t xml:space="preserve"> nr. </w:t>
            </w:r>
            <w:r>
              <w:rPr>
                <w:rFonts w:ascii="Calibri" w:eastAsia="Times New Roman" w:hAnsi="Calibri" w:cs="Calibri"/>
                <w:color w:val="000000"/>
                <w:sz w:val="16"/>
                <w:szCs w:val="16"/>
              </w:rPr>
              <w:t>03-05-2533 din 27.12.2018 la Dem</w:t>
            </w:r>
            <w:r w:rsidRPr="00CF7154">
              <w:rPr>
                <w:rFonts w:ascii="Calibri" w:eastAsia="Times New Roman" w:hAnsi="Calibri" w:cs="Calibri"/>
                <w:color w:val="000000"/>
                <w:sz w:val="16"/>
                <w:szCs w:val="16"/>
              </w:rPr>
              <w:t xml:space="preserve">ersul I.P. </w:t>
            </w:r>
            <w:r w:rsidR="00B221E8">
              <w:rPr>
                <w:rFonts w:ascii="Calibri" w:eastAsia="Times New Roman" w:hAnsi="Calibri" w:cs="Calibri"/>
                <w:color w:val="000000"/>
                <w:sz w:val="16"/>
                <w:szCs w:val="16"/>
              </w:rPr>
              <w:t xml:space="preserve">DGACG </w:t>
            </w:r>
            <w:r w:rsidRPr="00CF7154">
              <w:rPr>
                <w:rFonts w:ascii="Calibri" w:eastAsia="Times New Roman" w:hAnsi="Calibri" w:cs="Calibri"/>
                <w:color w:val="000000"/>
                <w:sz w:val="16"/>
                <w:szCs w:val="16"/>
              </w:rPr>
              <w:t xml:space="preserve">nr.1226-03 din 05.12.2018, prin care </w:t>
            </w:r>
            <w:r w:rsidR="00B221E8">
              <w:rPr>
                <w:rFonts w:ascii="Calibri" w:eastAsia="Times New Roman" w:hAnsi="Calibri" w:cs="Calibri"/>
                <w:color w:val="000000"/>
                <w:sz w:val="16"/>
                <w:szCs w:val="16"/>
              </w:rPr>
              <w:t>APP</w:t>
            </w:r>
            <w:r w:rsidRPr="00CF7154">
              <w:rPr>
                <w:rFonts w:ascii="Calibri" w:eastAsia="Times New Roman" w:hAnsi="Calibri" w:cs="Calibri"/>
                <w:color w:val="000000"/>
                <w:sz w:val="16"/>
                <w:szCs w:val="16"/>
              </w:rPr>
              <w:t xml:space="preserve"> </w:t>
            </w:r>
            <w:r w:rsidR="00B221E8">
              <w:rPr>
                <w:rFonts w:ascii="Calibri" w:eastAsia="Times New Roman" w:hAnsi="Calibri" w:cs="Calibri"/>
                <w:color w:val="000000"/>
                <w:sz w:val="16"/>
                <w:szCs w:val="16"/>
              </w:rPr>
              <w:t xml:space="preserve">instituția </w:t>
            </w:r>
            <w:r w:rsidRPr="00CF7154">
              <w:rPr>
                <w:rFonts w:ascii="Calibri" w:eastAsia="Times New Roman" w:hAnsi="Calibri" w:cs="Calibri"/>
                <w:color w:val="000000"/>
                <w:sz w:val="16"/>
                <w:szCs w:val="16"/>
              </w:rPr>
              <w:t>precum că, cele 2 loturi de teren au fost procurate împreună cu imobilele, fiind încheiate contracte de cumpărare, proprietari fiind SRL „Luxcom Drum” și SRL „Nord Vest Internațional”.</w:t>
            </w:r>
            <w:r w:rsidR="00BA69A9">
              <w:rPr>
                <w:rFonts w:ascii="Calibri" w:eastAsia="Times New Roman" w:hAnsi="Calibri" w:cs="Calibri"/>
                <w:color w:val="000000"/>
                <w:sz w:val="16"/>
                <w:szCs w:val="16"/>
              </w:rPr>
              <w:t xml:space="preserve"> </w:t>
            </w:r>
            <w:r w:rsidRPr="00CF7154">
              <w:rPr>
                <w:rFonts w:ascii="Calibri" w:eastAsia="Times New Roman" w:hAnsi="Calibri" w:cs="Calibri"/>
                <w:color w:val="000000"/>
                <w:sz w:val="16"/>
                <w:szCs w:val="16"/>
              </w:rPr>
              <w:t xml:space="preserve">Prin urmare, pentru excluderea din evidența contabilă a terenurilor respective, I.P. Direcția generală pentru administrarea clădirilor guvernului urmează să solicite de la cumpărători contractele de cumpărare a terenurilor, </w:t>
            </w:r>
            <w:r>
              <w:rPr>
                <w:rFonts w:ascii="Calibri" w:eastAsia="Times New Roman" w:hAnsi="Calibri" w:cs="Calibri"/>
                <w:color w:val="000000"/>
                <w:sz w:val="16"/>
                <w:szCs w:val="16"/>
              </w:rPr>
              <w:t>înregistrate în modul corespunzător la organul cadastral terito</w:t>
            </w:r>
            <w:r w:rsidRPr="00CF7154">
              <w:rPr>
                <w:rFonts w:ascii="Calibri" w:eastAsia="Times New Roman" w:hAnsi="Calibri" w:cs="Calibri"/>
                <w:color w:val="000000"/>
                <w:sz w:val="16"/>
                <w:szCs w:val="16"/>
              </w:rPr>
              <w:t>rial, ori copia deținută de APP nu conține parafa organului cadastral;</w:t>
            </w:r>
            <w:r w:rsidRPr="00CF7154">
              <w:rPr>
                <w:rFonts w:ascii="Calibri" w:eastAsia="Times New Roman" w:hAnsi="Calibri" w:cs="Calibri"/>
                <w:color w:val="000000"/>
                <w:sz w:val="16"/>
                <w:szCs w:val="16"/>
              </w:rPr>
              <w:br/>
              <w:t xml:space="preserve">3. Demersul I.P. </w:t>
            </w:r>
            <w:r w:rsidR="00B221E8">
              <w:rPr>
                <w:rFonts w:ascii="Calibri" w:eastAsia="Times New Roman" w:hAnsi="Calibri" w:cs="Calibri"/>
                <w:color w:val="000000"/>
                <w:sz w:val="16"/>
                <w:szCs w:val="16"/>
              </w:rPr>
              <w:t>DGACG</w:t>
            </w:r>
            <w:r w:rsidRPr="00CF7154">
              <w:rPr>
                <w:rFonts w:ascii="Calibri" w:eastAsia="Times New Roman" w:hAnsi="Calibri" w:cs="Calibri"/>
                <w:color w:val="000000"/>
                <w:sz w:val="16"/>
                <w:szCs w:val="16"/>
              </w:rPr>
              <w:t xml:space="preserve"> nr.07-01 din 09.01.2019 către </w:t>
            </w:r>
            <w:r w:rsidR="00B221E8">
              <w:rPr>
                <w:rFonts w:ascii="Calibri" w:eastAsia="Times New Roman" w:hAnsi="Calibri" w:cs="Calibri"/>
                <w:color w:val="000000"/>
                <w:sz w:val="16"/>
                <w:szCs w:val="16"/>
              </w:rPr>
              <w:t>APP</w:t>
            </w:r>
            <w:r w:rsidRPr="00CF7154">
              <w:rPr>
                <w:rFonts w:ascii="Calibri" w:eastAsia="Times New Roman" w:hAnsi="Calibri" w:cs="Calibri"/>
                <w:color w:val="000000"/>
                <w:sz w:val="16"/>
                <w:szCs w:val="16"/>
              </w:rPr>
              <w:t>, prin care se solicită prezentarea copiilor deținute de APP a contractelor de cumpărare a terenurilor pentru a fi utilizate în calitate de documente confirmative pentru excluderea din evidența contabilă;</w:t>
            </w:r>
            <w:r w:rsidRPr="00CF7154">
              <w:rPr>
                <w:rFonts w:ascii="Calibri" w:eastAsia="Times New Roman" w:hAnsi="Calibri" w:cs="Calibri"/>
                <w:color w:val="000000"/>
                <w:sz w:val="16"/>
                <w:szCs w:val="16"/>
              </w:rPr>
              <w:br/>
              <w:t>4. Răsp</w:t>
            </w:r>
            <w:r>
              <w:rPr>
                <w:rFonts w:ascii="Calibri" w:eastAsia="Times New Roman" w:hAnsi="Calibri" w:cs="Calibri"/>
                <w:color w:val="000000"/>
                <w:sz w:val="16"/>
                <w:szCs w:val="16"/>
              </w:rPr>
              <w:t xml:space="preserve">unsul </w:t>
            </w:r>
            <w:r w:rsidR="00B221E8">
              <w:rPr>
                <w:rFonts w:ascii="Calibri" w:eastAsia="Times New Roman" w:hAnsi="Calibri" w:cs="Calibri"/>
                <w:color w:val="000000"/>
                <w:sz w:val="16"/>
                <w:szCs w:val="16"/>
              </w:rPr>
              <w:t>APP</w:t>
            </w:r>
            <w:r w:rsidR="00BA69A9">
              <w:rPr>
                <w:rFonts w:ascii="Calibri" w:eastAsia="Times New Roman" w:hAnsi="Calibri" w:cs="Calibri"/>
                <w:color w:val="000000"/>
                <w:sz w:val="16"/>
                <w:szCs w:val="16"/>
              </w:rPr>
              <w:t xml:space="preserve"> </w:t>
            </w:r>
            <w:r w:rsidRPr="00CF7154">
              <w:rPr>
                <w:rFonts w:ascii="Calibri" w:eastAsia="Times New Roman" w:hAnsi="Calibri" w:cs="Calibri"/>
                <w:color w:val="000000"/>
                <w:sz w:val="16"/>
                <w:szCs w:val="16"/>
              </w:rPr>
              <w:t>nr.03-04-328 din 31.01.2019 la Demersul I.P.</w:t>
            </w:r>
            <w:r w:rsidR="00BA69A9">
              <w:rPr>
                <w:rFonts w:ascii="Calibri" w:eastAsia="Times New Roman" w:hAnsi="Calibri" w:cs="Calibri"/>
                <w:color w:val="000000"/>
                <w:sz w:val="16"/>
                <w:szCs w:val="16"/>
              </w:rPr>
              <w:t xml:space="preserve"> </w:t>
            </w:r>
            <w:r w:rsidR="00B221E8">
              <w:rPr>
                <w:rFonts w:ascii="Calibri" w:eastAsia="Times New Roman" w:hAnsi="Calibri" w:cs="Calibri"/>
                <w:color w:val="000000"/>
                <w:sz w:val="16"/>
                <w:szCs w:val="16"/>
              </w:rPr>
              <w:t xml:space="preserve">DGACG </w:t>
            </w:r>
            <w:r w:rsidRPr="00CF7154">
              <w:rPr>
                <w:rFonts w:ascii="Calibri" w:eastAsia="Times New Roman" w:hAnsi="Calibri" w:cs="Calibri"/>
                <w:color w:val="000000"/>
                <w:sz w:val="16"/>
                <w:szCs w:val="16"/>
              </w:rPr>
              <w:t>nr.07-01 din 09.01.2019, prin care se comunică că, „excluderea din evidența contabilă a terenurilor respective urmează a fi efectuată în baza contractelor de v</w:t>
            </w:r>
            <w:r>
              <w:rPr>
                <w:rFonts w:ascii="Calibri" w:eastAsia="Times New Roman" w:hAnsi="Calibri" w:cs="Calibri"/>
                <w:color w:val="000000"/>
                <w:sz w:val="16"/>
                <w:szCs w:val="16"/>
              </w:rPr>
              <w:t>â</w:t>
            </w:r>
            <w:r w:rsidRPr="00CF7154">
              <w:rPr>
                <w:rFonts w:ascii="Calibri" w:eastAsia="Times New Roman" w:hAnsi="Calibri" w:cs="Calibri"/>
                <w:color w:val="000000"/>
                <w:sz w:val="16"/>
                <w:szCs w:val="16"/>
              </w:rPr>
              <w:t>nzare-cumpărare, înregistrate în modul stabilit, care urmează a fi solicitate de la proprietarii terenurilor în cauză;</w:t>
            </w:r>
            <w:r w:rsidRPr="00CF7154">
              <w:rPr>
                <w:rFonts w:ascii="Calibri" w:eastAsia="Times New Roman" w:hAnsi="Calibri" w:cs="Calibri"/>
                <w:color w:val="000000"/>
                <w:sz w:val="16"/>
                <w:szCs w:val="16"/>
              </w:rPr>
              <w:br/>
              <w:t>5. Demersul I.P.</w:t>
            </w:r>
            <w:r w:rsidR="00BA69A9">
              <w:rPr>
                <w:rFonts w:ascii="Calibri" w:eastAsia="Times New Roman" w:hAnsi="Calibri" w:cs="Calibri"/>
                <w:color w:val="000000"/>
                <w:sz w:val="16"/>
                <w:szCs w:val="16"/>
              </w:rPr>
              <w:t xml:space="preserve"> </w:t>
            </w:r>
            <w:r w:rsidR="00B221E8">
              <w:rPr>
                <w:rFonts w:ascii="Calibri" w:eastAsia="Times New Roman" w:hAnsi="Calibri" w:cs="Calibri"/>
                <w:color w:val="000000"/>
                <w:sz w:val="16"/>
                <w:szCs w:val="16"/>
              </w:rPr>
              <w:t xml:space="preserve">DGACG </w:t>
            </w:r>
            <w:r w:rsidRPr="00CF7154">
              <w:rPr>
                <w:rFonts w:ascii="Calibri" w:eastAsia="Times New Roman" w:hAnsi="Calibri" w:cs="Calibri"/>
                <w:color w:val="000000"/>
                <w:sz w:val="16"/>
                <w:szCs w:val="16"/>
              </w:rPr>
              <w:t>nr.277-01 din 18.03.2019. către APP, prin care se informează Agenția Proprietății Publice că SRL „Luxcom Drum” și SRL „Nord Vest Internațional” nu mai sunt deja proprietarii imobilelor resp</w:t>
            </w:r>
            <w:r>
              <w:rPr>
                <w:rFonts w:ascii="Calibri" w:eastAsia="Times New Roman" w:hAnsi="Calibri" w:cs="Calibri"/>
                <w:color w:val="000000"/>
                <w:sz w:val="16"/>
                <w:szCs w:val="16"/>
              </w:rPr>
              <w:t>ec</w:t>
            </w:r>
            <w:r w:rsidRPr="00CF7154">
              <w:rPr>
                <w:rFonts w:ascii="Calibri" w:eastAsia="Times New Roman" w:hAnsi="Calibri" w:cs="Calibri"/>
                <w:color w:val="000000"/>
                <w:sz w:val="16"/>
                <w:szCs w:val="16"/>
              </w:rPr>
              <w:t xml:space="preserve">tive, bunurile </w:t>
            </w:r>
            <w:r>
              <w:rPr>
                <w:rFonts w:ascii="Calibri" w:eastAsia="Times New Roman" w:hAnsi="Calibri" w:cs="Calibri"/>
                <w:color w:val="000000"/>
                <w:sz w:val="16"/>
                <w:szCs w:val="16"/>
              </w:rPr>
              <w:t>imobile fiind vîndute deja de câ</w:t>
            </w:r>
            <w:r w:rsidRPr="00CF7154">
              <w:rPr>
                <w:rFonts w:ascii="Calibri" w:eastAsia="Times New Roman" w:hAnsi="Calibri" w:cs="Calibri"/>
                <w:color w:val="000000"/>
                <w:sz w:val="16"/>
                <w:szCs w:val="16"/>
              </w:rPr>
              <w:t>teva ori.</w:t>
            </w:r>
          </w:p>
        </w:tc>
        <w:tc>
          <w:tcPr>
            <w:tcW w:w="603" w:type="dxa"/>
            <w:tcBorders>
              <w:top w:val="nil"/>
              <w:left w:val="nil"/>
              <w:bottom w:val="single" w:sz="4" w:space="0" w:color="auto"/>
              <w:right w:val="single" w:sz="4" w:space="0" w:color="auto"/>
            </w:tcBorders>
            <w:shd w:val="clear" w:color="auto" w:fill="auto"/>
            <w:vAlign w:val="center"/>
            <w:hideMark/>
          </w:tcPr>
          <w:p w14:paraId="125F9E21" w14:textId="77777777" w:rsidR="00770AC9" w:rsidRPr="00CF7154" w:rsidRDefault="00770AC9" w:rsidP="00770AC9">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79420F0F" w14:textId="77777777" w:rsidR="00770AC9" w:rsidRPr="00CF7154" w:rsidRDefault="00770AC9" w:rsidP="00770AC9">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76489FB1" w14:textId="77777777" w:rsidR="00770AC9" w:rsidRPr="00CF7154" w:rsidRDefault="00770AC9" w:rsidP="00770AC9">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hideMark/>
          </w:tcPr>
          <w:p w14:paraId="5B234335" w14:textId="77777777" w:rsidR="00770AC9" w:rsidRPr="00CF7154" w:rsidRDefault="00770AC9" w:rsidP="00770AC9">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Recomandarea dată și-a pierdut actualitatea, re</w:t>
            </w:r>
            <w:r>
              <w:rPr>
                <w:rFonts w:ascii="Calibri" w:eastAsia="Times New Roman" w:hAnsi="Calibri" w:cs="Calibri"/>
                <w:color w:val="000000"/>
                <w:sz w:val="16"/>
                <w:szCs w:val="16"/>
              </w:rPr>
              <w:t>i</w:t>
            </w:r>
            <w:r w:rsidRPr="00CF7154">
              <w:rPr>
                <w:rFonts w:ascii="Calibri" w:eastAsia="Times New Roman" w:hAnsi="Calibri" w:cs="Calibri"/>
                <w:color w:val="000000"/>
                <w:sz w:val="16"/>
                <w:szCs w:val="16"/>
              </w:rPr>
              <w:t xml:space="preserve">eșind din faptul că, în conformitate cu Hotărârea Guvernului nr.161 din 07.03.2019, toate terenurile publice aflate în gestiunea I.P. Direcția generală pentru administrarea clădirilor guvernului, au trecut la Agenția Proprietății Publice. Din aceste considerente, recomandarea respectivă </w:t>
            </w:r>
            <w:r w:rsidRPr="00CF7154">
              <w:rPr>
                <w:rFonts w:ascii="Calibri" w:eastAsia="Times New Roman" w:hAnsi="Calibri" w:cs="Calibri"/>
                <w:b/>
                <w:bCs/>
                <w:color w:val="000000"/>
                <w:sz w:val="16"/>
                <w:szCs w:val="16"/>
              </w:rPr>
              <w:t>se propune de a fi exclusă din regim de monitorizare.</w:t>
            </w:r>
          </w:p>
        </w:tc>
      </w:tr>
      <w:tr w:rsidR="00770AC9" w:rsidRPr="00CF7154" w14:paraId="0F7AA246" w14:textId="77777777" w:rsidTr="00447CBE">
        <w:trPr>
          <w:trHeight w:val="204"/>
        </w:trPr>
        <w:tc>
          <w:tcPr>
            <w:tcW w:w="1985" w:type="dxa"/>
            <w:tcBorders>
              <w:top w:val="nil"/>
              <w:left w:val="single" w:sz="4" w:space="0" w:color="auto"/>
              <w:bottom w:val="single" w:sz="4" w:space="0" w:color="auto"/>
              <w:right w:val="single" w:sz="4" w:space="0" w:color="auto"/>
            </w:tcBorders>
            <w:shd w:val="clear" w:color="auto" w:fill="auto"/>
            <w:hideMark/>
          </w:tcPr>
          <w:p w14:paraId="1EF4A137" w14:textId="77777777" w:rsidR="00770AC9" w:rsidRPr="00CF7154" w:rsidRDefault="00770AC9" w:rsidP="00770AC9">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CANCELARIA DE STAT</w:t>
            </w:r>
          </w:p>
        </w:tc>
        <w:tc>
          <w:tcPr>
            <w:tcW w:w="5529" w:type="dxa"/>
            <w:tcBorders>
              <w:top w:val="nil"/>
              <w:left w:val="nil"/>
              <w:bottom w:val="single" w:sz="4" w:space="0" w:color="auto"/>
              <w:right w:val="single" w:sz="4" w:space="0" w:color="auto"/>
            </w:tcBorders>
            <w:shd w:val="clear" w:color="auto" w:fill="auto"/>
            <w:hideMark/>
          </w:tcPr>
          <w:p w14:paraId="29D98C21" w14:textId="77777777" w:rsidR="00770AC9" w:rsidRPr="00CF7154" w:rsidRDefault="00770AC9" w:rsidP="00770AC9">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 </w:t>
            </w:r>
          </w:p>
        </w:tc>
        <w:tc>
          <w:tcPr>
            <w:tcW w:w="603" w:type="dxa"/>
            <w:tcBorders>
              <w:top w:val="nil"/>
              <w:left w:val="nil"/>
              <w:bottom w:val="single" w:sz="4" w:space="0" w:color="auto"/>
              <w:right w:val="single" w:sz="4" w:space="0" w:color="auto"/>
            </w:tcBorders>
            <w:shd w:val="clear" w:color="auto" w:fill="auto"/>
            <w:vAlign w:val="center"/>
            <w:hideMark/>
          </w:tcPr>
          <w:p w14:paraId="19E19CF7" w14:textId="77777777" w:rsidR="00770AC9" w:rsidRPr="00CF7154" w:rsidRDefault="00770AC9" w:rsidP="00770AC9">
            <w:pPr>
              <w:spacing w:after="0" w:line="240" w:lineRule="auto"/>
              <w:jc w:val="center"/>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7F4F7470" w14:textId="77777777" w:rsidR="00770AC9" w:rsidRPr="00CF7154" w:rsidRDefault="00770AC9" w:rsidP="00770AC9">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2632DC2F" w14:textId="77777777" w:rsidR="00770AC9" w:rsidRPr="00CF7154" w:rsidRDefault="00770AC9" w:rsidP="00770AC9">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 </w:t>
            </w:r>
          </w:p>
        </w:tc>
        <w:tc>
          <w:tcPr>
            <w:tcW w:w="1953" w:type="dxa"/>
            <w:tcBorders>
              <w:top w:val="nil"/>
              <w:left w:val="nil"/>
              <w:bottom w:val="single" w:sz="4" w:space="0" w:color="auto"/>
              <w:right w:val="single" w:sz="4" w:space="0" w:color="auto"/>
            </w:tcBorders>
            <w:shd w:val="clear" w:color="auto" w:fill="auto"/>
            <w:hideMark/>
          </w:tcPr>
          <w:p w14:paraId="0835B558" w14:textId="77777777" w:rsidR="00770AC9" w:rsidRPr="00CF7154" w:rsidRDefault="00770AC9" w:rsidP="00770AC9">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 </w:t>
            </w:r>
          </w:p>
        </w:tc>
      </w:tr>
      <w:tr w:rsidR="00770AC9" w:rsidRPr="00CF7154" w14:paraId="638AFC14" w14:textId="77777777" w:rsidTr="00447CBE">
        <w:trPr>
          <w:trHeight w:val="989"/>
        </w:trPr>
        <w:tc>
          <w:tcPr>
            <w:tcW w:w="1985" w:type="dxa"/>
            <w:tcBorders>
              <w:top w:val="nil"/>
              <w:left w:val="single" w:sz="4" w:space="0" w:color="auto"/>
              <w:bottom w:val="single" w:sz="4" w:space="0" w:color="auto"/>
              <w:right w:val="single" w:sz="4" w:space="0" w:color="auto"/>
            </w:tcBorders>
            <w:shd w:val="clear" w:color="auto" w:fill="auto"/>
            <w:hideMark/>
          </w:tcPr>
          <w:p w14:paraId="6EB01ED5" w14:textId="77777777" w:rsidR="00770AC9" w:rsidRPr="00CF7154" w:rsidRDefault="00770AC9" w:rsidP="00770AC9">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 xml:space="preserve">Recomandarea nr. 5.1: </w:t>
            </w:r>
            <w:r w:rsidRPr="00CF7154">
              <w:rPr>
                <w:rFonts w:ascii="Calibri" w:eastAsia="Times New Roman" w:hAnsi="Calibri" w:cs="Calibri"/>
                <w:color w:val="000000"/>
                <w:sz w:val="16"/>
                <w:szCs w:val="16"/>
              </w:rPr>
              <w:t>Să asigure planificarea și monitorizarea executării subsidiilor de către instituțiile beneficiare</w:t>
            </w:r>
          </w:p>
        </w:tc>
        <w:tc>
          <w:tcPr>
            <w:tcW w:w="5529" w:type="dxa"/>
            <w:tcBorders>
              <w:top w:val="nil"/>
              <w:left w:val="nil"/>
              <w:bottom w:val="single" w:sz="4" w:space="0" w:color="auto"/>
              <w:right w:val="single" w:sz="4" w:space="0" w:color="auto"/>
            </w:tcBorders>
            <w:shd w:val="clear" w:color="auto" w:fill="auto"/>
            <w:hideMark/>
          </w:tcPr>
          <w:p w14:paraId="759BD58D" w14:textId="4B885E6B" w:rsidR="00770AC9" w:rsidRPr="00CF7154" w:rsidRDefault="00770AC9" w:rsidP="001245BD">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xml:space="preserve">1. Scrisoarea </w:t>
            </w:r>
            <w:r w:rsidR="00B221E8">
              <w:rPr>
                <w:rFonts w:ascii="Calibri" w:eastAsia="Times New Roman" w:hAnsi="Calibri" w:cs="Calibri"/>
                <w:color w:val="000000"/>
                <w:sz w:val="16"/>
                <w:szCs w:val="16"/>
              </w:rPr>
              <w:t>CS</w:t>
            </w:r>
            <w:r w:rsidRPr="00CF7154">
              <w:rPr>
                <w:rFonts w:ascii="Calibri" w:eastAsia="Times New Roman" w:hAnsi="Calibri" w:cs="Calibri"/>
                <w:color w:val="000000"/>
                <w:sz w:val="16"/>
                <w:szCs w:val="16"/>
              </w:rPr>
              <w:t xml:space="preserve"> nr.19-03-570 din 29.01.2019, aprobarea Planului de acțiuni privind implementarea recomandărilor;</w:t>
            </w:r>
            <w:r w:rsidRPr="00CF7154">
              <w:rPr>
                <w:rFonts w:ascii="Calibri" w:eastAsia="Times New Roman" w:hAnsi="Calibri" w:cs="Calibri"/>
                <w:color w:val="000000"/>
                <w:sz w:val="16"/>
                <w:szCs w:val="16"/>
              </w:rPr>
              <w:br/>
              <w:t xml:space="preserve">2. Scrisoarea </w:t>
            </w:r>
            <w:r w:rsidR="00B221E8">
              <w:rPr>
                <w:rFonts w:ascii="Calibri" w:eastAsia="Times New Roman" w:hAnsi="Calibri" w:cs="Calibri"/>
                <w:color w:val="000000"/>
                <w:sz w:val="16"/>
                <w:szCs w:val="16"/>
              </w:rPr>
              <w:t xml:space="preserve">CS </w:t>
            </w:r>
            <w:r w:rsidRPr="00CF7154">
              <w:rPr>
                <w:rFonts w:ascii="Calibri" w:eastAsia="Times New Roman" w:hAnsi="Calibri" w:cs="Calibri"/>
                <w:color w:val="000000"/>
                <w:sz w:val="16"/>
                <w:szCs w:val="16"/>
              </w:rPr>
              <w:t xml:space="preserve">nr.17-04-3236 din 31.05.2019: Informația privind raportarea lunară de utilizare a subsidiilor de către instituțiile monitorizate; </w:t>
            </w:r>
            <w:r w:rsidRPr="00CF7154">
              <w:rPr>
                <w:rFonts w:ascii="Calibri" w:eastAsia="Times New Roman" w:hAnsi="Calibri" w:cs="Calibri"/>
                <w:color w:val="000000"/>
                <w:sz w:val="16"/>
                <w:szCs w:val="16"/>
              </w:rPr>
              <w:br/>
              <w:t xml:space="preserve">Elaborarea demersului către </w:t>
            </w:r>
            <w:r w:rsidR="00B221E8">
              <w:rPr>
                <w:rFonts w:ascii="Calibri" w:eastAsia="Times New Roman" w:hAnsi="Calibri" w:cs="Calibri"/>
                <w:color w:val="000000"/>
                <w:sz w:val="16"/>
                <w:szCs w:val="16"/>
              </w:rPr>
              <w:t>MF</w:t>
            </w:r>
            <w:r w:rsidRPr="00CF7154">
              <w:rPr>
                <w:rFonts w:ascii="Calibri" w:eastAsia="Times New Roman" w:hAnsi="Calibri" w:cs="Calibri"/>
                <w:color w:val="000000"/>
                <w:sz w:val="16"/>
                <w:szCs w:val="16"/>
              </w:rPr>
              <w:t xml:space="preserve"> privind completarea cadrului normativ aferent raportării de către beneficiarii subsidiilor a executării efective și determinarea situației soldurilor neutilizate (anexa nr.4 în copie).</w:t>
            </w:r>
            <w:r w:rsidRPr="00CF7154">
              <w:rPr>
                <w:rFonts w:ascii="Calibri" w:eastAsia="Times New Roman" w:hAnsi="Calibri" w:cs="Calibri"/>
                <w:color w:val="000000"/>
                <w:sz w:val="16"/>
                <w:szCs w:val="16"/>
              </w:rPr>
              <w:br/>
              <w:t xml:space="preserve">3. Demersul </w:t>
            </w:r>
            <w:r w:rsidR="00B221E8">
              <w:rPr>
                <w:rFonts w:ascii="Calibri" w:eastAsia="Times New Roman" w:hAnsi="Calibri" w:cs="Calibri"/>
                <w:color w:val="000000"/>
                <w:sz w:val="16"/>
                <w:szCs w:val="16"/>
              </w:rPr>
              <w:t>CS</w:t>
            </w:r>
            <w:r w:rsidRPr="00CF7154">
              <w:rPr>
                <w:rFonts w:ascii="Calibri" w:eastAsia="Times New Roman" w:hAnsi="Calibri" w:cs="Calibri"/>
                <w:color w:val="000000"/>
                <w:sz w:val="16"/>
                <w:szCs w:val="16"/>
              </w:rPr>
              <w:t xml:space="preserve"> nr.17-04-1215 din 26.02.2019 către </w:t>
            </w:r>
            <w:r w:rsidR="001245BD">
              <w:rPr>
                <w:rFonts w:ascii="Calibri" w:eastAsia="Times New Roman" w:hAnsi="Calibri" w:cs="Calibri"/>
                <w:color w:val="000000"/>
                <w:sz w:val="16"/>
                <w:szCs w:val="16"/>
              </w:rPr>
              <w:t>MF</w:t>
            </w:r>
            <w:r w:rsidRPr="00CF7154">
              <w:rPr>
                <w:rFonts w:ascii="Calibri" w:eastAsia="Times New Roman" w:hAnsi="Calibri" w:cs="Calibri"/>
                <w:color w:val="000000"/>
                <w:sz w:val="16"/>
                <w:szCs w:val="16"/>
              </w:rPr>
              <w:t xml:space="preserve"> referitor la completarea cadrului normativ privind raportarea de către beneficiarii subsidiilor a executării efective și determinarea situației soldurilor neutilizate.</w:t>
            </w:r>
          </w:p>
        </w:tc>
        <w:tc>
          <w:tcPr>
            <w:tcW w:w="603" w:type="dxa"/>
            <w:tcBorders>
              <w:top w:val="nil"/>
              <w:left w:val="nil"/>
              <w:bottom w:val="single" w:sz="4" w:space="0" w:color="auto"/>
              <w:right w:val="single" w:sz="4" w:space="0" w:color="auto"/>
            </w:tcBorders>
            <w:shd w:val="clear" w:color="auto" w:fill="auto"/>
            <w:vAlign w:val="bottom"/>
            <w:hideMark/>
          </w:tcPr>
          <w:p w14:paraId="765C6BF2" w14:textId="77777777" w:rsidR="00770AC9" w:rsidRPr="00CF7154" w:rsidRDefault="00770AC9" w:rsidP="00770AC9">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52A60824" w14:textId="6FA87C18" w:rsidR="00770AC9" w:rsidRPr="00CF7154" w:rsidRDefault="00770AC9" w:rsidP="00770AC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46933634" w14:textId="77777777" w:rsidR="00770AC9" w:rsidRPr="00CF7154" w:rsidRDefault="00770AC9" w:rsidP="00770AC9">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hideMark/>
          </w:tcPr>
          <w:p w14:paraId="18933CAA" w14:textId="6D3315E3" w:rsidR="00770AC9" w:rsidRPr="00CF7154" w:rsidRDefault="00770AC9" w:rsidP="003C6369">
            <w:pPr>
              <w:spacing w:after="0" w:line="240" w:lineRule="auto"/>
              <w:ind w:left="-108" w:right="-105"/>
              <w:rPr>
                <w:rFonts w:ascii="Calibri" w:eastAsia="Times New Roman" w:hAnsi="Calibri" w:cs="Calibri"/>
                <w:color w:val="000000"/>
                <w:sz w:val="16"/>
                <w:szCs w:val="16"/>
              </w:rPr>
            </w:pPr>
            <w:r w:rsidRPr="00CF7154">
              <w:rPr>
                <w:rFonts w:ascii="Calibri" w:eastAsia="Times New Roman" w:hAnsi="Calibri" w:cs="Calibri"/>
                <w:color w:val="000000"/>
                <w:sz w:val="16"/>
                <w:szCs w:val="16"/>
              </w:rPr>
              <w:t>Se menționează că, în anul 2021, Ordinul ministrului finanțelor nr. 216/2015 a fost completat cu subclasa „Subvenții”, cadrul normativ de raportare a acestora. Cu toate acestea, rămâne a fi problematică situația aferentă r</w:t>
            </w:r>
            <w:r w:rsidRPr="003C6369">
              <w:rPr>
                <w:rFonts w:ascii="Calibri" w:eastAsia="Times New Roman" w:hAnsi="Calibri" w:cs="Calibri"/>
                <w:sz w:val="16"/>
                <w:szCs w:val="16"/>
              </w:rPr>
              <w:t>aportării subvențiilor</w:t>
            </w:r>
            <w:r w:rsidR="00BD3BD4" w:rsidRPr="003C6369">
              <w:rPr>
                <w:rFonts w:ascii="Calibri" w:eastAsia="Times New Roman" w:hAnsi="Calibri" w:cs="Calibri"/>
                <w:sz w:val="16"/>
                <w:szCs w:val="16"/>
              </w:rPr>
              <w:t xml:space="preserve"> și granturilor</w:t>
            </w:r>
            <w:r w:rsidRPr="003C6369">
              <w:rPr>
                <w:rFonts w:ascii="Calibri" w:eastAsia="Times New Roman" w:hAnsi="Calibri" w:cs="Calibri"/>
                <w:sz w:val="16"/>
                <w:szCs w:val="16"/>
              </w:rPr>
              <w:t xml:space="preserve"> de către </w:t>
            </w:r>
            <w:r w:rsidR="00BD3BD4" w:rsidRPr="003C6369">
              <w:rPr>
                <w:rFonts w:ascii="Calibri" w:eastAsia="Times New Roman" w:hAnsi="Calibri" w:cs="Calibri"/>
                <w:sz w:val="16"/>
                <w:szCs w:val="16"/>
              </w:rPr>
              <w:t>IP</w:t>
            </w:r>
            <w:r w:rsidRPr="003C6369">
              <w:rPr>
                <w:rFonts w:ascii="Calibri" w:eastAsia="Times New Roman" w:hAnsi="Calibri" w:cs="Calibri"/>
                <w:sz w:val="16"/>
                <w:szCs w:val="16"/>
              </w:rPr>
              <w:t>, fapt pentru care</w:t>
            </w:r>
            <w:r w:rsidRPr="003C6369">
              <w:rPr>
                <w:rFonts w:ascii="Calibri" w:eastAsia="Times New Roman" w:hAnsi="Calibri" w:cs="Calibri"/>
                <w:b/>
                <w:bCs/>
                <w:sz w:val="16"/>
                <w:szCs w:val="16"/>
              </w:rPr>
              <w:t xml:space="preserve"> se reiterează</w:t>
            </w:r>
            <w:r w:rsidRPr="003C6369">
              <w:rPr>
                <w:rFonts w:ascii="Calibri" w:eastAsia="Times New Roman" w:hAnsi="Calibri" w:cs="Calibri"/>
                <w:sz w:val="16"/>
                <w:szCs w:val="16"/>
              </w:rPr>
              <w:t xml:space="preserve"> în pct. </w:t>
            </w:r>
            <w:r w:rsidR="003C6369" w:rsidRPr="003C6369">
              <w:rPr>
                <w:rFonts w:ascii="Calibri" w:eastAsia="Times New Roman" w:hAnsi="Calibri" w:cs="Calibri"/>
                <w:sz w:val="16"/>
                <w:szCs w:val="16"/>
              </w:rPr>
              <w:t>4.1.2.</w:t>
            </w:r>
            <w:r w:rsidRPr="003C6369">
              <w:rPr>
                <w:rFonts w:ascii="Calibri" w:eastAsia="Times New Roman" w:hAnsi="Calibri" w:cs="Calibri"/>
                <w:sz w:val="16"/>
                <w:szCs w:val="16"/>
              </w:rPr>
              <w:t>din prezentul Raport de audit</w:t>
            </w:r>
            <w:r w:rsidRPr="00CF7154">
              <w:rPr>
                <w:rFonts w:ascii="Calibri" w:eastAsia="Times New Roman" w:hAnsi="Calibri" w:cs="Calibri"/>
                <w:color w:val="000000"/>
                <w:sz w:val="16"/>
                <w:szCs w:val="16"/>
              </w:rPr>
              <w:t xml:space="preserve">. </w:t>
            </w:r>
          </w:p>
        </w:tc>
      </w:tr>
      <w:tr w:rsidR="00830553" w:rsidRPr="00CF7154" w14:paraId="4593CE7B" w14:textId="77777777" w:rsidTr="00447CBE">
        <w:trPr>
          <w:trHeight w:val="1716"/>
        </w:trPr>
        <w:tc>
          <w:tcPr>
            <w:tcW w:w="1985" w:type="dxa"/>
            <w:tcBorders>
              <w:top w:val="nil"/>
              <w:left w:val="single" w:sz="4" w:space="0" w:color="auto"/>
              <w:bottom w:val="single" w:sz="4" w:space="0" w:color="auto"/>
              <w:right w:val="single" w:sz="4" w:space="0" w:color="auto"/>
            </w:tcBorders>
            <w:shd w:val="clear" w:color="auto" w:fill="auto"/>
            <w:hideMark/>
          </w:tcPr>
          <w:p w14:paraId="65F57F8D" w14:textId="27F22593" w:rsidR="00830553" w:rsidRPr="00CF7154" w:rsidRDefault="00830553" w:rsidP="00830553">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 xml:space="preserve">Recomandarea nr. 5.2: </w:t>
            </w:r>
            <w:r w:rsidRPr="00CF7154">
              <w:rPr>
                <w:rFonts w:ascii="Calibri" w:eastAsia="Times New Roman" w:hAnsi="Calibri" w:cs="Calibri"/>
                <w:color w:val="000000"/>
                <w:sz w:val="16"/>
                <w:szCs w:val="16"/>
              </w:rPr>
              <w:t>De comun cu MF, să asigure colaborarea în vederea completării cadrului normativ cu prevederi referitor la raportarea executării efective a subsidiilor și să se determine asupra situației soldurilor neutilizate de către beneficiari</w:t>
            </w:r>
            <w:r>
              <w:rPr>
                <w:rFonts w:ascii="Calibri" w:eastAsia="Times New Roman" w:hAnsi="Calibri" w:cs="Calibri"/>
                <w:color w:val="000000"/>
                <w:sz w:val="16"/>
                <w:szCs w:val="16"/>
              </w:rPr>
              <w:t>.</w:t>
            </w:r>
          </w:p>
        </w:tc>
        <w:tc>
          <w:tcPr>
            <w:tcW w:w="5529" w:type="dxa"/>
            <w:tcBorders>
              <w:top w:val="nil"/>
              <w:left w:val="nil"/>
              <w:bottom w:val="single" w:sz="4" w:space="0" w:color="auto"/>
              <w:right w:val="single" w:sz="4" w:space="0" w:color="auto"/>
            </w:tcBorders>
            <w:shd w:val="clear" w:color="auto" w:fill="auto"/>
            <w:hideMark/>
          </w:tcPr>
          <w:p w14:paraId="162B40D5" w14:textId="5094D1E2" w:rsidR="00830553" w:rsidRPr="00CF7154" w:rsidRDefault="00830553" w:rsidP="00830553">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xml:space="preserve">1. Scrisoarea </w:t>
            </w:r>
            <w:r>
              <w:rPr>
                <w:rFonts w:ascii="Calibri" w:eastAsia="Times New Roman" w:hAnsi="Calibri" w:cs="Calibri"/>
                <w:color w:val="000000"/>
                <w:sz w:val="16"/>
                <w:szCs w:val="16"/>
              </w:rPr>
              <w:t>MF</w:t>
            </w:r>
            <w:r w:rsidRPr="00CF7154">
              <w:rPr>
                <w:rFonts w:ascii="Calibri" w:eastAsia="Times New Roman" w:hAnsi="Calibri" w:cs="Calibri"/>
                <w:color w:val="000000"/>
                <w:sz w:val="16"/>
                <w:szCs w:val="16"/>
              </w:rPr>
              <w:t xml:space="preserve"> nr.03-02/01/53 din 14.06.2019:prin care au fost operate modificări în Ordinul </w:t>
            </w:r>
            <w:r>
              <w:rPr>
                <w:rFonts w:ascii="Calibri" w:eastAsia="Times New Roman" w:hAnsi="Calibri" w:cs="Calibri"/>
                <w:color w:val="000000"/>
                <w:sz w:val="16"/>
                <w:szCs w:val="16"/>
              </w:rPr>
              <w:t>MF</w:t>
            </w:r>
            <w:r w:rsidRPr="00CF7154">
              <w:rPr>
                <w:rFonts w:ascii="Calibri" w:eastAsia="Times New Roman" w:hAnsi="Calibri" w:cs="Calibri"/>
                <w:color w:val="000000"/>
                <w:sz w:val="16"/>
                <w:szCs w:val="16"/>
              </w:rPr>
              <w:t xml:space="preserve"> nr.164/2016 prin includerea anexei nr.1 ,,Informație cu privire la executarea subsidiilor acordate din buget autorităților/instituțiilor bugetare", prin care tabelar se solicită inclusiv și informația privind cheltuielile efective a beneficiarului, care a profitat de subsidiile conform legislației. În partea ce ține de situația soldurilor neutilizate, se informează că, activitatea fiecărei instituții, beneficiar de subvenții din bugetul de stat, se reglementează prin Regulament, aprobat de Guvern, iar fiecare regulament determină situația privind soldurile neutilizate ale subvențiilor, de exemplu: pct.22 al HG nr.11/2017, pct.30 din Anexa nr.1 și pct.35 din Anexa nr.2 din HG nr.414/2018.</w:t>
            </w:r>
          </w:p>
        </w:tc>
        <w:tc>
          <w:tcPr>
            <w:tcW w:w="603" w:type="dxa"/>
            <w:tcBorders>
              <w:top w:val="nil"/>
              <w:left w:val="nil"/>
              <w:bottom w:val="single" w:sz="4" w:space="0" w:color="auto"/>
              <w:right w:val="single" w:sz="4" w:space="0" w:color="auto"/>
            </w:tcBorders>
            <w:shd w:val="clear" w:color="auto" w:fill="auto"/>
            <w:vAlign w:val="center"/>
            <w:hideMark/>
          </w:tcPr>
          <w:p w14:paraId="1462E17B" w14:textId="0C2D789E" w:rsidR="00830553" w:rsidRPr="00CF7154" w:rsidRDefault="00830553" w:rsidP="00830553">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v</w:t>
            </w:r>
          </w:p>
        </w:tc>
        <w:tc>
          <w:tcPr>
            <w:tcW w:w="567" w:type="dxa"/>
            <w:tcBorders>
              <w:top w:val="single" w:sz="4" w:space="0" w:color="auto"/>
              <w:left w:val="nil"/>
              <w:bottom w:val="single" w:sz="4" w:space="0" w:color="auto"/>
              <w:right w:val="nil"/>
            </w:tcBorders>
            <w:shd w:val="clear" w:color="auto" w:fill="auto"/>
            <w:vAlign w:val="bottom"/>
            <w:hideMark/>
          </w:tcPr>
          <w:p w14:paraId="3070E4B5" w14:textId="77777777" w:rsidR="00830553" w:rsidRPr="00CF7154" w:rsidRDefault="00830553" w:rsidP="00830553">
            <w:pPr>
              <w:spacing w:after="0" w:line="240" w:lineRule="auto"/>
              <w:jc w:val="center"/>
              <w:rPr>
                <w:rFonts w:ascii="Calibri" w:eastAsia="Times New Roman" w:hAnsi="Calibri" w:cs="Calibri"/>
                <w:sz w:val="16"/>
                <w:szCs w:val="16"/>
              </w:rPr>
            </w:pPr>
          </w:p>
        </w:tc>
        <w:tc>
          <w:tcPr>
            <w:tcW w:w="567" w:type="dxa"/>
            <w:tcBorders>
              <w:top w:val="nil"/>
              <w:left w:val="single" w:sz="4" w:space="0" w:color="auto"/>
              <w:bottom w:val="single" w:sz="4" w:space="0" w:color="auto"/>
              <w:right w:val="single" w:sz="4" w:space="0" w:color="auto"/>
            </w:tcBorders>
            <w:shd w:val="clear" w:color="auto" w:fill="auto"/>
            <w:vAlign w:val="bottom"/>
            <w:hideMark/>
          </w:tcPr>
          <w:p w14:paraId="7602AFFE" w14:textId="77777777" w:rsidR="00830553" w:rsidRPr="00CF7154" w:rsidRDefault="00830553" w:rsidP="00830553">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hideMark/>
          </w:tcPr>
          <w:p w14:paraId="6026A4F9" w14:textId="73A978D7" w:rsidR="00830553" w:rsidRPr="00CF7154" w:rsidRDefault="00830553" w:rsidP="00830553">
            <w:pPr>
              <w:spacing w:after="0" w:line="240" w:lineRule="auto"/>
              <w:rPr>
                <w:rFonts w:ascii="Calibri" w:eastAsia="Times New Roman" w:hAnsi="Calibri" w:cs="Calibri"/>
                <w:color w:val="000000"/>
                <w:sz w:val="16"/>
                <w:szCs w:val="16"/>
              </w:rPr>
            </w:pPr>
            <w:r w:rsidRPr="00830553">
              <w:rPr>
                <w:rFonts w:ascii="Calibri" w:eastAsia="Times New Roman" w:hAnsi="Calibri" w:cs="Calibri"/>
                <w:color w:val="000000"/>
                <w:sz w:val="16"/>
                <w:szCs w:val="16"/>
              </w:rPr>
              <w:t xml:space="preserve">În anul 2021, prin Ordinul MF nr. 45 din </w:t>
            </w:r>
            <w:r>
              <w:rPr>
                <w:rFonts w:ascii="Calibri" w:eastAsia="Times New Roman" w:hAnsi="Calibri" w:cs="Calibri"/>
                <w:color w:val="000000"/>
                <w:sz w:val="16"/>
                <w:szCs w:val="16"/>
              </w:rPr>
              <w:t>09.03.2021, „subsidiile” sau redenumit în „subvenții”. Avînd în vedere acest fapt, precum și reiterarea problematicii vizată în recomandare, la pct.</w:t>
            </w:r>
            <w:r w:rsidR="00BA69A9">
              <w:rPr>
                <w:rFonts w:ascii="Calibri" w:eastAsia="Times New Roman" w:hAnsi="Calibri" w:cs="Calibri"/>
                <w:color w:val="000000"/>
                <w:sz w:val="16"/>
                <w:szCs w:val="16"/>
              </w:rPr>
              <w:t xml:space="preserve"> </w:t>
            </w:r>
            <w:r>
              <w:rPr>
                <w:rFonts w:ascii="Calibri" w:eastAsia="Times New Roman" w:hAnsi="Calibri" w:cs="Calibri"/>
                <w:color w:val="000000"/>
                <w:sz w:val="16"/>
                <w:szCs w:val="16"/>
              </w:rPr>
              <w:t>4.1.3.</w:t>
            </w:r>
            <w:r w:rsidR="00BA69A9">
              <w:rPr>
                <w:rFonts w:ascii="Calibri" w:eastAsia="Times New Roman" w:hAnsi="Calibri" w:cs="Calibri"/>
                <w:color w:val="000000"/>
                <w:sz w:val="16"/>
                <w:szCs w:val="16"/>
              </w:rPr>
              <w:t xml:space="preserve"> </w:t>
            </w:r>
            <w:r>
              <w:rPr>
                <w:rFonts w:ascii="Calibri" w:eastAsia="Times New Roman" w:hAnsi="Calibri" w:cs="Calibri"/>
                <w:color w:val="000000"/>
                <w:sz w:val="16"/>
                <w:szCs w:val="16"/>
              </w:rPr>
              <w:t xml:space="preserve">din prezentul raport de audit, acesta se consideră executată. </w:t>
            </w:r>
          </w:p>
        </w:tc>
      </w:tr>
      <w:tr w:rsidR="00830553" w:rsidRPr="00CF7154" w14:paraId="4E022508" w14:textId="77777777" w:rsidTr="00447CBE">
        <w:trPr>
          <w:trHeight w:val="564"/>
        </w:trPr>
        <w:tc>
          <w:tcPr>
            <w:tcW w:w="1985" w:type="dxa"/>
            <w:tcBorders>
              <w:top w:val="nil"/>
              <w:left w:val="single" w:sz="4" w:space="0" w:color="auto"/>
              <w:bottom w:val="single" w:sz="4" w:space="0" w:color="auto"/>
              <w:right w:val="single" w:sz="4" w:space="0" w:color="auto"/>
            </w:tcBorders>
            <w:shd w:val="clear" w:color="auto" w:fill="auto"/>
            <w:hideMark/>
          </w:tcPr>
          <w:p w14:paraId="52651F59" w14:textId="77777777" w:rsidR="00830553" w:rsidRPr="00CF7154" w:rsidRDefault="00830553" w:rsidP="00830553">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 xml:space="preserve">Recomandarea nr. 6: </w:t>
            </w:r>
            <w:r w:rsidRPr="00CF7154">
              <w:rPr>
                <w:rFonts w:ascii="Calibri" w:eastAsia="Times New Roman" w:hAnsi="Calibri" w:cs="Calibri"/>
                <w:color w:val="000000"/>
                <w:sz w:val="16"/>
                <w:szCs w:val="16"/>
              </w:rPr>
              <w:t>Să asigure prin prisma responsabilităților sale în calitate de fondator, înregistrarea și monitorizarea capitalului social în vederea integrității acestuia, cu determinarea componenței de constituire și raportare în modul stabilit.</w:t>
            </w:r>
          </w:p>
        </w:tc>
        <w:tc>
          <w:tcPr>
            <w:tcW w:w="9219" w:type="dxa"/>
            <w:gridSpan w:val="5"/>
            <w:tcBorders>
              <w:top w:val="single" w:sz="4" w:space="0" w:color="auto"/>
              <w:left w:val="nil"/>
              <w:bottom w:val="single" w:sz="4" w:space="0" w:color="auto"/>
              <w:right w:val="single" w:sz="4" w:space="0" w:color="auto"/>
            </w:tcBorders>
            <w:shd w:val="clear" w:color="auto" w:fill="auto"/>
            <w:hideMark/>
          </w:tcPr>
          <w:p w14:paraId="31FE5ACA" w14:textId="05EDC337" w:rsidR="00830553" w:rsidRPr="00CF7154" w:rsidRDefault="00830553" w:rsidP="00830553">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p w14:paraId="48DC7F08" w14:textId="593DC6BE" w:rsidR="00830553" w:rsidRPr="00CF7154" w:rsidRDefault="00830553" w:rsidP="00830553">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Recomandarea dată și-a pierdut actualitatea, re</w:t>
            </w:r>
            <w:r>
              <w:rPr>
                <w:rFonts w:ascii="Calibri" w:eastAsia="Times New Roman" w:hAnsi="Calibri" w:cs="Calibri"/>
                <w:color w:val="000000"/>
                <w:sz w:val="16"/>
                <w:szCs w:val="16"/>
              </w:rPr>
              <w:t>i</w:t>
            </w:r>
            <w:r w:rsidRPr="00CF7154">
              <w:rPr>
                <w:rFonts w:ascii="Calibri" w:eastAsia="Times New Roman" w:hAnsi="Calibri" w:cs="Calibri"/>
                <w:color w:val="000000"/>
                <w:sz w:val="16"/>
                <w:szCs w:val="16"/>
              </w:rPr>
              <w:t>eșind din faptul că Întreprinderile de stat monitorizate de către Cancelaria de Stat s-au reorganizat prin transformare în Instituții Publice, capitalul social al acestora urmând a fi înregistrat în evidența contabilă a instituțiilor publice ca „Patrimoniu primit de la stat cu drept de proprietate”. Re</w:t>
            </w:r>
            <w:r>
              <w:rPr>
                <w:rFonts w:ascii="Calibri" w:eastAsia="Times New Roman" w:hAnsi="Calibri" w:cs="Calibri"/>
                <w:color w:val="000000"/>
                <w:sz w:val="16"/>
                <w:szCs w:val="16"/>
              </w:rPr>
              <w:t>i</w:t>
            </w:r>
            <w:r w:rsidRPr="00CF7154">
              <w:rPr>
                <w:rFonts w:ascii="Calibri" w:eastAsia="Times New Roman" w:hAnsi="Calibri" w:cs="Calibri"/>
                <w:color w:val="000000"/>
                <w:sz w:val="16"/>
                <w:szCs w:val="16"/>
              </w:rPr>
              <w:t>eșind din contextul dat, recomandarea respectivă se propune de a fi exclusă din regim de monitorizare.</w:t>
            </w:r>
          </w:p>
        </w:tc>
      </w:tr>
      <w:tr w:rsidR="00830553" w:rsidRPr="00CF7154" w14:paraId="79DE52FF" w14:textId="77777777" w:rsidTr="00447CBE">
        <w:trPr>
          <w:trHeight w:val="422"/>
        </w:trPr>
        <w:tc>
          <w:tcPr>
            <w:tcW w:w="1985" w:type="dxa"/>
            <w:tcBorders>
              <w:top w:val="nil"/>
              <w:left w:val="single" w:sz="4" w:space="0" w:color="auto"/>
              <w:bottom w:val="single" w:sz="4" w:space="0" w:color="auto"/>
              <w:right w:val="single" w:sz="4" w:space="0" w:color="auto"/>
            </w:tcBorders>
            <w:shd w:val="clear" w:color="auto" w:fill="auto"/>
            <w:hideMark/>
          </w:tcPr>
          <w:p w14:paraId="43538204" w14:textId="77777777" w:rsidR="00830553" w:rsidRPr="00CF7154" w:rsidRDefault="00830553" w:rsidP="00830553">
            <w:pPr>
              <w:spacing w:after="0" w:line="240" w:lineRule="auto"/>
              <w:rPr>
                <w:rFonts w:ascii="Calibri" w:eastAsia="Times New Roman" w:hAnsi="Calibri" w:cs="Calibri"/>
                <w:color w:val="000000"/>
                <w:sz w:val="16"/>
                <w:szCs w:val="16"/>
              </w:rPr>
            </w:pPr>
            <w:r w:rsidRPr="00CF7154">
              <w:rPr>
                <w:rFonts w:ascii="Calibri" w:eastAsia="Times New Roman" w:hAnsi="Calibri" w:cs="Calibri"/>
                <w:b/>
                <w:bCs/>
                <w:color w:val="000000"/>
                <w:sz w:val="16"/>
                <w:szCs w:val="16"/>
              </w:rPr>
              <w:t>Recomandarea nr. 7:</w:t>
            </w:r>
            <w:r w:rsidRPr="00CF7154">
              <w:rPr>
                <w:rFonts w:ascii="Calibri" w:eastAsia="Times New Roman" w:hAnsi="Calibri" w:cs="Calibri"/>
                <w:color w:val="000000"/>
                <w:sz w:val="16"/>
                <w:szCs w:val="16"/>
              </w:rPr>
              <w:t xml:space="preserve"> Să asigure inventarierea exhaustivă a tuturor elementelor, cu întocmirea informațiilor relevante procesului respectiv</w:t>
            </w:r>
          </w:p>
        </w:tc>
        <w:tc>
          <w:tcPr>
            <w:tcW w:w="5529" w:type="dxa"/>
            <w:tcBorders>
              <w:top w:val="single" w:sz="4" w:space="0" w:color="auto"/>
              <w:left w:val="nil"/>
              <w:bottom w:val="single" w:sz="4" w:space="0" w:color="auto"/>
              <w:right w:val="single" w:sz="4" w:space="0" w:color="auto"/>
            </w:tcBorders>
            <w:shd w:val="clear" w:color="auto" w:fill="auto"/>
            <w:hideMark/>
          </w:tcPr>
          <w:p w14:paraId="75AFB2AF" w14:textId="77777777" w:rsidR="00830553" w:rsidRPr="00CF7154" w:rsidRDefault="00830553" w:rsidP="00830553">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1. Scrisoarea Cancelariei de Stat nr.19-03-570 din 29.01.2019, aprobarea Planului de acțiuni privind implementarea recomandărilor;</w:t>
            </w:r>
          </w:p>
        </w:tc>
        <w:tc>
          <w:tcPr>
            <w:tcW w:w="603" w:type="dxa"/>
            <w:tcBorders>
              <w:top w:val="single" w:sz="4" w:space="0" w:color="auto"/>
              <w:left w:val="nil"/>
              <w:bottom w:val="single" w:sz="4" w:space="0" w:color="auto"/>
              <w:right w:val="single" w:sz="4" w:space="0" w:color="auto"/>
            </w:tcBorders>
            <w:shd w:val="clear" w:color="auto" w:fill="auto"/>
            <w:hideMark/>
          </w:tcPr>
          <w:p w14:paraId="7066DE9B" w14:textId="4C38A496" w:rsidR="00830553" w:rsidRPr="00CF7154" w:rsidRDefault="00830553" w:rsidP="00830553">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single" w:sz="4" w:space="0" w:color="auto"/>
              <w:left w:val="nil"/>
              <w:bottom w:val="single" w:sz="4" w:space="0" w:color="auto"/>
              <w:right w:val="single" w:sz="4" w:space="0" w:color="auto"/>
            </w:tcBorders>
            <w:shd w:val="clear" w:color="auto" w:fill="auto"/>
            <w:hideMark/>
          </w:tcPr>
          <w:p w14:paraId="3576C40A" w14:textId="77777777" w:rsidR="00830553" w:rsidRPr="00CF7154" w:rsidRDefault="00830553" w:rsidP="00830553">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hideMark/>
          </w:tcPr>
          <w:p w14:paraId="284B847B" w14:textId="77777777" w:rsidR="00830553" w:rsidRPr="00CF7154" w:rsidRDefault="00830553" w:rsidP="00830553">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single" w:sz="4" w:space="0" w:color="auto"/>
              <w:left w:val="nil"/>
              <w:bottom w:val="single" w:sz="4" w:space="0" w:color="auto"/>
              <w:right w:val="single" w:sz="4" w:space="0" w:color="auto"/>
            </w:tcBorders>
            <w:shd w:val="clear" w:color="auto" w:fill="auto"/>
            <w:hideMark/>
          </w:tcPr>
          <w:p w14:paraId="74263C25" w14:textId="77777777" w:rsidR="00830553" w:rsidRPr="00CF7154" w:rsidRDefault="00830553" w:rsidP="00830553">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r>
      <w:tr w:rsidR="00830553" w:rsidRPr="00CF7154" w14:paraId="4B686AD8" w14:textId="77777777" w:rsidTr="00447CBE">
        <w:trPr>
          <w:trHeight w:val="993"/>
        </w:trPr>
        <w:tc>
          <w:tcPr>
            <w:tcW w:w="1985" w:type="dxa"/>
            <w:tcBorders>
              <w:top w:val="nil"/>
              <w:left w:val="single" w:sz="4" w:space="0" w:color="auto"/>
              <w:bottom w:val="single" w:sz="4" w:space="0" w:color="auto"/>
              <w:right w:val="single" w:sz="4" w:space="0" w:color="auto"/>
            </w:tcBorders>
            <w:shd w:val="clear" w:color="auto" w:fill="auto"/>
            <w:hideMark/>
          </w:tcPr>
          <w:p w14:paraId="6122EEB4" w14:textId="77777777" w:rsidR="00830553" w:rsidRPr="00CF7154" w:rsidRDefault="00830553" w:rsidP="00830553">
            <w:pPr>
              <w:spacing w:after="0" w:line="240" w:lineRule="auto"/>
              <w:ind w:right="-109"/>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 xml:space="preserve">Recomandarea nr. 8: </w:t>
            </w:r>
            <w:r w:rsidRPr="00CF7154">
              <w:rPr>
                <w:rFonts w:ascii="Calibri" w:eastAsia="Times New Roman" w:hAnsi="Calibri" w:cs="Calibri"/>
                <w:color w:val="000000"/>
                <w:sz w:val="16"/>
                <w:szCs w:val="16"/>
              </w:rPr>
              <w:t>Respectarea principiilor asigurării concurenței, eficienței, transparenței, tratamentului egal și nediscriminării în procesul de achiziții publice</w:t>
            </w:r>
          </w:p>
        </w:tc>
        <w:tc>
          <w:tcPr>
            <w:tcW w:w="5529" w:type="dxa"/>
            <w:tcBorders>
              <w:top w:val="nil"/>
              <w:left w:val="nil"/>
              <w:bottom w:val="single" w:sz="4" w:space="0" w:color="auto"/>
              <w:right w:val="single" w:sz="4" w:space="0" w:color="auto"/>
            </w:tcBorders>
            <w:shd w:val="clear" w:color="auto" w:fill="auto"/>
            <w:hideMark/>
          </w:tcPr>
          <w:p w14:paraId="142C6927" w14:textId="77777777" w:rsidR="00830553" w:rsidRPr="00CF7154" w:rsidRDefault="00830553" w:rsidP="00830553">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Deși entitățile vizate întocmesc și publică pe pagina web Rapoartele de monitorizare a executării contractelor de achiziție publică, acestea nu corespund formatului prevăzut de cadrul normativ în vigoare și nu conțin informația integrală referitor la achizițiile publice realizate.</w:t>
            </w:r>
          </w:p>
        </w:tc>
        <w:tc>
          <w:tcPr>
            <w:tcW w:w="603" w:type="dxa"/>
            <w:tcBorders>
              <w:top w:val="nil"/>
              <w:left w:val="nil"/>
              <w:bottom w:val="single" w:sz="4" w:space="0" w:color="auto"/>
              <w:right w:val="single" w:sz="4" w:space="0" w:color="auto"/>
            </w:tcBorders>
            <w:shd w:val="clear" w:color="auto" w:fill="auto"/>
            <w:vAlign w:val="bottom"/>
            <w:hideMark/>
          </w:tcPr>
          <w:p w14:paraId="06CAB704" w14:textId="77777777" w:rsidR="00830553" w:rsidRPr="00CF7154" w:rsidRDefault="00830553" w:rsidP="00830553">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29DBD09F" w14:textId="62053889" w:rsidR="00830553" w:rsidRPr="00CF7154" w:rsidRDefault="00830553" w:rsidP="00830553">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70DF3821" w14:textId="77777777" w:rsidR="00830553" w:rsidRPr="00CF7154" w:rsidRDefault="00830553" w:rsidP="00830553">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hideMark/>
          </w:tcPr>
          <w:p w14:paraId="3E79380F" w14:textId="674B2A4C" w:rsidR="00830553" w:rsidRPr="003C6369" w:rsidRDefault="00830553" w:rsidP="00830553">
            <w:pPr>
              <w:spacing w:after="0" w:line="240" w:lineRule="auto"/>
              <w:rPr>
                <w:rFonts w:ascii="Calibri" w:eastAsia="Times New Roman" w:hAnsi="Calibri" w:cs="Calibri"/>
                <w:sz w:val="16"/>
                <w:szCs w:val="16"/>
              </w:rPr>
            </w:pPr>
            <w:r w:rsidRPr="003C6369">
              <w:rPr>
                <w:rFonts w:ascii="Calibri" w:eastAsia="Times New Roman" w:hAnsi="Calibri" w:cs="Calibri"/>
                <w:sz w:val="16"/>
                <w:szCs w:val="16"/>
              </w:rPr>
              <w:t>Problematica se reiterează la pct. 4.1.6. din prezentul Raport de audit</w:t>
            </w:r>
          </w:p>
        </w:tc>
      </w:tr>
      <w:tr w:rsidR="00830553" w:rsidRPr="00CF7154" w14:paraId="12D40E76" w14:textId="77777777" w:rsidTr="00447CBE">
        <w:trPr>
          <w:trHeight w:val="816"/>
        </w:trPr>
        <w:tc>
          <w:tcPr>
            <w:tcW w:w="1985" w:type="dxa"/>
            <w:tcBorders>
              <w:top w:val="nil"/>
              <w:left w:val="single" w:sz="4" w:space="0" w:color="auto"/>
              <w:bottom w:val="single" w:sz="4" w:space="0" w:color="auto"/>
              <w:right w:val="single" w:sz="4" w:space="0" w:color="auto"/>
            </w:tcBorders>
            <w:shd w:val="clear" w:color="auto" w:fill="auto"/>
            <w:hideMark/>
          </w:tcPr>
          <w:p w14:paraId="7FD7C0AC" w14:textId="77777777" w:rsidR="00830553" w:rsidRPr="00CF7154" w:rsidRDefault="00830553" w:rsidP="00830553">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 xml:space="preserve">Recomandarea nr. 9: </w:t>
            </w:r>
            <w:r w:rsidRPr="00CF7154">
              <w:rPr>
                <w:rFonts w:ascii="Calibri" w:eastAsia="Times New Roman" w:hAnsi="Calibri" w:cs="Calibri"/>
                <w:color w:val="000000"/>
                <w:sz w:val="16"/>
                <w:szCs w:val="16"/>
              </w:rPr>
              <w:t>Să întreprindă măsuri în vederea executării integrale a cerințelor și recomandărilor anterioare ale Curții de Conturi</w:t>
            </w:r>
          </w:p>
        </w:tc>
        <w:tc>
          <w:tcPr>
            <w:tcW w:w="5529" w:type="dxa"/>
            <w:tcBorders>
              <w:top w:val="nil"/>
              <w:left w:val="nil"/>
              <w:bottom w:val="single" w:sz="4" w:space="0" w:color="auto"/>
              <w:right w:val="single" w:sz="4" w:space="0" w:color="auto"/>
            </w:tcBorders>
            <w:shd w:val="clear" w:color="auto" w:fill="auto"/>
            <w:hideMark/>
          </w:tcPr>
          <w:p w14:paraId="13078F62" w14:textId="253487BC" w:rsidR="00830553" w:rsidRPr="00CF7154" w:rsidRDefault="00830553" w:rsidP="00830553">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xml:space="preserve">Recomandările înaintate nu au fost executate integral, fapt pentru care </w:t>
            </w:r>
            <w:r>
              <w:rPr>
                <w:rFonts w:ascii="Calibri" w:eastAsia="Times New Roman" w:hAnsi="Calibri" w:cs="Calibri"/>
                <w:color w:val="000000"/>
                <w:sz w:val="16"/>
                <w:szCs w:val="16"/>
              </w:rPr>
              <w:t xml:space="preserve">unele problematici </w:t>
            </w:r>
            <w:r w:rsidRPr="00CF7154">
              <w:rPr>
                <w:rFonts w:ascii="Calibri" w:eastAsia="Times New Roman" w:hAnsi="Calibri" w:cs="Calibri"/>
                <w:color w:val="000000"/>
                <w:sz w:val="16"/>
                <w:szCs w:val="16"/>
              </w:rPr>
              <w:t>vor fi reiterate în prezentul Raport de audit</w:t>
            </w:r>
          </w:p>
        </w:tc>
        <w:tc>
          <w:tcPr>
            <w:tcW w:w="603" w:type="dxa"/>
            <w:tcBorders>
              <w:top w:val="nil"/>
              <w:left w:val="nil"/>
              <w:bottom w:val="single" w:sz="4" w:space="0" w:color="auto"/>
              <w:right w:val="single" w:sz="4" w:space="0" w:color="auto"/>
            </w:tcBorders>
            <w:shd w:val="clear" w:color="auto" w:fill="auto"/>
            <w:hideMark/>
          </w:tcPr>
          <w:p w14:paraId="241450AF" w14:textId="77777777" w:rsidR="00830553" w:rsidRPr="00CF7154" w:rsidRDefault="00830553" w:rsidP="00830553">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14:paraId="3A681840" w14:textId="5DABAB88" w:rsidR="00830553" w:rsidRPr="00CF7154" w:rsidRDefault="00830553" w:rsidP="00830553">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hideMark/>
          </w:tcPr>
          <w:p w14:paraId="46771E73" w14:textId="77777777" w:rsidR="00830553" w:rsidRPr="00CF7154" w:rsidRDefault="00830553" w:rsidP="00830553">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tcPr>
          <w:p w14:paraId="62D7FB64" w14:textId="61F73958" w:rsidR="00830553" w:rsidRPr="00CF7154" w:rsidRDefault="00830553" w:rsidP="00830553">
            <w:pPr>
              <w:spacing w:after="0" w:line="240" w:lineRule="auto"/>
              <w:rPr>
                <w:rFonts w:ascii="Calibri" w:eastAsia="Times New Roman" w:hAnsi="Calibri" w:cs="Calibri"/>
                <w:color w:val="000000"/>
                <w:sz w:val="16"/>
                <w:szCs w:val="16"/>
              </w:rPr>
            </w:pPr>
          </w:p>
        </w:tc>
      </w:tr>
      <w:tr w:rsidR="00447CBE" w:rsidRPr="00CF7154" w14:paraId="2DA578EB" w14:textId="77777777" w:rsidTr="00447CBE">
        <w:trPr>
          <w:trHeight w:val="612"/>
        </w:trPr>
        <w:tc>
          <w:tcPr>
            <w:tcW w:w="1985" w:type="dxa"/>
            <w:tcBorders>
              <w:top w:val="nil"/>
              <w:left w:val="single" w:sz="4" w:space="0" w:color="auto"/>
              <w:bottom w:val="single" w:sz="4" w:space="0" w:color="auto"/>
              <w:right w:val="single" w:sz="4" w:space="0" w:color="auto"/>
            </w:tcBorders>
            <w:shd w:val="clear" w:color="auto" w:fill="auto"/>
            <w:hideMark/>
          </w:tcPr>
          <w:p w14:paraId="6C3B8441" w14:textId="77777777" w:rsidR="00447CBE" w:rsidRPr="00CF7154" w:rsidRDefault="00447CBE" w:rsidP="00447CBE">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 xml:space="preserve">Recomandarea nr. 10 a. </w:t>
            </w:r>
            <w:r w:rsidRPr="00CF7154">
              <w:rPr>
                <w:rFonts w:ascii="Calibri" w:eastAsia="Times New Roman" w:hAnsi="Calibri" w:cs="Calibri"/>
                <w:color w:val="000000"/>
                <w:sz w:val="16"/>
                <w:szCs w:val="16"/>
              </w:rPr>
              <w:t>Îmbunătățirea activității auditului intern</w:t>
            </w:r>
          </w:p>
        </w:tc>
        <w:tc>
          <w:tcPr>
            <w:tcW w:w="5529" w:type="dxa"/>
            <w:tcBorders>
              <w:top w:val="nil"/>
              <w:left w:val="nil"/>
              <w:bottom w:val="single" w:sz="4" w:space="0" w:color="auto"/>
              <w:right w:val="single" w:sz="4" w:space="0" w:color="auto"/>
            </w:tcBorders>
            <w:shd w:val="clear" w:color="auto" w:fill="auto"/>
          </w:tcPr>
          <w:p w14:paraId="424DA514" w14:textId="22EFCA2D" w:rsidR="00447CBE" w:rsidRPr="00447CBE" w:rsidRDefault="00447CBE" w:rsidP="00447CBE">
            <w:pPr>
              <w:spacing w:after="0" w:line="240" w:lineRule="auto"/>
              <w:rPr>
                <w:rFonts w:ascii="Calibri" w:eastAsia="Times New Roman" w:hAnsi="Calibri" w:cs="Calibri"/>
                <w:color w:val="FF0000"/>
                <w:sz w:val="16"/>
                <w:szCs w:val="16"/>
              </w:rPr>
            </w:pPr>
            <w:r w:rsidRPr="00CF7154">
              <w:rPr>
                <w:rFonts w:ascii="Calibri" w:eastAsia="Times New Roman" w:hAnsi="Calibri" w:cs="Calibri"/>
                <w:color w:val="000000"/>
                <w:sz w:val="16"/>
                <w:szCs w:val="16"/>
              </w:rPr>
              <w:t> </w:t>
            </w:r>
            <w:r>
              <w:rPr>
                <w:rFonts w:ascii="Calibri" w:eastAsia="Times New Roman" w:hAnsi="Calibri" w:cs="Calibri"/>
                <w:color w:val="000000"/>
                <w:sz w:val="16"/>
                <w:szCs w:val="16"/>
              </w:rPr>
              <w:t xml:space="preserve">Notă: În prezenta misiune de audit, nu au fost constatate careva problematici legate de </w:t>
            </w:r>
            <w:r>
              <w:rPr>
                <w:rFonts w:ascii="Calibri" w:eastAsia="Times New Roman" w:hAnsi="Calibri" w:cs="Calibri"/>
                <w:sz w:val="16"/>
                <w:szCs w:val="16"/>
              </w:rPr>
              <w:t>activitatea auditului intern</w:t>
            </w:r>
            <w:r>
              <w:rPr>
                <w:rFonts w:ascii="Calibri" w:eastAsia="Times New Roman" w:hAnsi="Calibri" w:cs="Calibri"/>
                <w:color w:val="000000"/>
                <w:sz w:val="16"/>
                <w:szCs w:val="16"/>
              </w:rPr>
              <w:t>.</w:t>
            </w:r>
          </w:p>
        </w:tc>
        <w:tc>
          <w:tcPr>
            <w:tcW w:w="603" w:type="dxa"/>
            <w:tcBorders>
              <w:top w:val="nil"/>
              <w:left w:val="nil"/>
              <w:bottom w:val="single" w:sz="4" w:space="0" w:color="auto"/>
              <w:right w:val="single" w:sz="4" w:space="0" w:color="auto"/>
            </w:tcBorders>
            <w:shd w:val="clear" w:color="auto" w:fill="auto"/>
            <w:vAlign w:val="center"/>
            <w:hideMark/>
          </w:tcPr>
          <w:p w14:paraId="37C2C6A9"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464C056E" w14:textId="5E8184CE"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6D79241A"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tcPr>
          <w:p w14:paraId="5B6ADCCD" w14:textId="0380AB75" w:rsidR="00447CBE" w:rsidRPr="00CF7154" w:rsidRDefault="00447CBE" w:rsidP="00447CBE">
            <w:pPr>
              <w:spacing w:after="0" w:line="240" w:lineRule="auto"/>
              <w:rPr>
                <w:rFonts w:ascii="Calibri" w:eastAsia="Times New Roman" w:hAnsi="Calibri" w:cs="Calibri"/>
                <w:color w:val="000000"/>
                <w:sz w:val="16"/>
                <w:szCs w:val="16"/>
              </w:rPr>
            </w:pPr>
          </w:p>
        </w:tc>
      </w:tr>
      <w:tr w:rsidR="00447CBE" w:rsidRPr="00CF7154" w14:paraId="745C018B" w14:textId="77777777" w:rsidTr="00447CBE">
        <w:trPr>
          <w:trHeight w:val="816"/>
        </w:trPr>
        <w:tc>
          <w:tcPr>
            <w:tcW w:w="1985" w:type="dxa"/>
            <w:tcBorders>
              <w:top w:val="nil"/>
              <w:left w:val="single" w:sz="4" w:space="0" w:color="auto"/>
              <w:bottom w:val="single" w:sz="4" w:space="0" w:color="auto"/>
              <w:right w:val="single" w:sz="4" w:space="0" w:color="auto"/>
            </w:tcBorders>
            <w:shd w:val="clear" w:color="auto" w:fill="auto"/>
            <w:vAlign w:val="bottom"/>
            <w:hideMark/>
          </w:tcPr>
          <w:p w14:paraId="401C9E0C" w14:textId="77777777" w:rsidR="00447CBE" w:rsidRPr="00CF7154" w:rsidRDefault="00447CBE" w:rsidP="00447CBE">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 xml:space="preserve">Recomandarea nr. 10 b: </w:t>
            </w:r>
            <w:r w:rsidRPr="00CF7154">
              <w:rPr>
                <w:rFonts w:ascii="Calibri" w:eastAsia="Times New Roman" w:hAnsi="Calibri" w:cs="Calibri"/>
                <w:color w:val="000000"/>
                <w:sz w:val="16"/>
                <w:szCs w:val="16"/>
              </w:rPr>
              <w:t>Instituirea sistemului de management financiar și control în cadrul tuturor instituțiilor subordonate</w:t>
            </w:r>
          </w:p>
        </w:tc>
        <w:tc>
          <w:tcPr>
            <w:tcW w:w="5529" w:type="dxa"/>
            <w:tcBorders>
              <w:top w:val="nil"/>
              <w:left w:val="nil"/>
              <w:bottom w:val="single" w:sz="4" w:space="0" w:color="auto"/>
              <w:right w:val="single" w:sz="4" w:space="0" w:color="auto"/>
            </w:tcBorders>
            <w:shd w:val="clear" w:color="auto" w:fill="auto"/>
            <w:hideMark/>
          </w:tcPr>
          <w:p w14:paraId="24E80190" w14:textId="11B67E13" w:rsidR="00447CBE" w:rsidRPr="009B6EAC" w:rsidRDefault="00447CBE" w:rsidP="00447CBE">
            <w:pPr>
              <w:spacing w:after="0" w:line="240" w:lineRule="auto"/>
              <w:rPr>
                <w:rFonts w:ascii="Calibri" w:eastAsia="Times New Roman" w:hAnsi="Calibri" w:cs="Calibri"/>
                <w:sz w:val="16"/>
                <w:szCs w:val="16"/>
              </w:rPr>
            </w:pPr>
            <w:r w:rsidRPr="009B6EAC">
              <w:rPr>
                <w:rFonts w:ascii="Calibri" w:eastAsia="Times New Roman" w:hAnsi="Calibri" w:cs="Calibri"/>
                <w:sz w:val="16"/>
                <w:szCs w:val="16"/>
              </w:rPr>
              <w:t>Urmare a activităților de audit desfășurate</w:t>
            </w:r>
            <w:r>
              <w:rPr>
                <w:rFonts w:ascii="Calibri" w:eastAsia="Times New Roman" w:hAnsi="Calibri" w:cs="Calibri"/>
                <w:sz w:val="16"/>
                <w:szCs w:val="16"/>
              </w:rPr>
              <w:t xml:space="preserve"> în prezenta misiune de audit</w:t>
            </w:r>
            <w:r w:rsidRPr="009B6EAC">
              <w:rPr>
                <w:rFonts w:ascii="Calibri" w:eastAsia="Times New Roman" w:hAnsi="Calibri" w:cs="Calibri"/>
                <w:sz w:val="16"/>
                <w:szCs w:val="16"/>
              </w:rPr>
              <w:t xml:space="preserve">, s-a constatat că în cadrul CS și </w:t>
            </w:r>
            <w:r>
              <w:rPr>
                <w:rFonts w:ascii="Calibri" w:eastAsia="Times New Roman" w:hAnsi="Calibri" w:cs="Calibri"/>
                <w:sz w:val="16"/>
                <w:szCs w:val="16"/>
              </w:rPr>
              <w:t xml:space="preserve">I.P. monitorizate </w:t>
            </w:r>
            <w:r w:rsidRPr="009B6EAC">
              <w:rPr>
                <w:rFonts w:ascii="Calibri" w:eastAsia="Times New Roman" w:hAnsi="Calibri" w:cs="Calibri"/>
                <w:sz w:val="16"/>
                <w:szCs w:val="16"/>
              </w:rPr>
              <w:t>sistemul de ma</w:t>
            </w:r>
            <w:r>
              <w:rPr>
                <w:rFonts w:ascii="Calibri" w:eastAsia="Times New Roman" w:hAnsi="Calibri" w:cs="Calibri"/>
                <w:sz w:val="16"/>
                <w:szCs w:val="16"/>
              </w:rPr>
              <w:t xml:space="preserve">nagement financiar și control este parțial conform și necesită a fi consolidat. </w:t>
            </w:r>
          </w:p>
        </w:tc>
        <w:tc>
          <w:tcPr>
            <w:tcW w:w="603" w:type="dxa"/>
            <w:tcBorders>
              <w:top w:val="nil"/>
              <w:left w:val="nil"/>
              <w:bottom w:val="single" w:sz="4" w:space="0" w:color="auto"/>
              <w:right w:val="single" w:sz="4" w:space="0" w:color="auto"/>
            </w:tcBorders>
            <w:shd w:val="clear" w:color="auto" w:fill="auto"/>
            <w:vAlign w:val="bottom"/>
            <w:hideMark/>
          </w:tcPr>
          <w:p w14:paraId="7390A490"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0F060B72" w14:textId="48E85DF1"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75F1D3E0"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hideMark/>
          </w:tcPr>
          <w:p w14:paraId="595A32CE" w14:textId="238C5BAD" w:rsidR="00447CBE" w:rsidRPr="003C6369" w:rsidRDefault="00447CBE" w:rsidP="00447CBE">
            <w:pPr>
              <w:spacing w:after="0" w:line="240" w:lineRule="auto"/>
              <w:rPr>
                <w:rFonts w:ascii="Calibri" w:eastAsia="Times New Roman" w:hAnsi="Calibri" w:cs="Calibri"/>
                <w:sz w:val="16"/>
                <w:szCs w:val="16"/>
              </w:rPr>
            </w:pPr>
            <w:r w:rsidRPr="003C6369">
              <w:rPr>
                <w:rFonts w:ascii="Calibri" w:eastAsia="Times New Roman" w:hAnsi="Calibri" w:cs="Calibri"/>
                <w:sz w:val="16"/>
                <w:szCs w:val="16"/>
              </w:rPr>
              <w:t>Problematica se reiterează la pct. 4.4.1. din prezentul Raport de audit</w:t>
            </w:r>
          </w:p>
        </w:tc>
      </w:tr>
      <w:tr w:rsidR="00447CBE" w:rsidRPr="00CF7154" w14:paraId="68650E2A" w14:textId="77777777" w:rsidTr="00447CBE">
        <w:trPr>
          <w:trHeight w:val="816"/>
        </w:trPr>
        <w:tc>
          <w:tcPr>
            <w:tcW w:w="1985" w:type="dxa"/>
            <w:tcBorders>
              <w:top w:val="nil"/>
              <w:left w:val="single" w:sz="4" w:space="0" w:color="auto"/>
              <w:bottom w:val="single" w:sz="4" w:space="0" w:color="auto"/>
              <w:right w:val="single" w:sz="4" w:space="0" w:color="auto"/>
            </w:tcBorders>
            <w:shd w:val="clear" w:color="auto" w:fill="auto"/>
            <w:hideMark/>
          </w:tcPr>
          <w:p w14:paraId="08B4233E" w14:textId="77777777" w:rsidR="00447CBE" w:rsidRPr="00CF7154" w:rsidRDefault="00447CBE" w:rsidP="00447CBE">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 xml:space="preserve">Recomandarea nr. 11: </w:t>
            </w:r>
            <w:r w:rsidRPr="00CF7154">
              <w:rPr>
                <w:rFonts w:ascii="Calibri" w:eastAsia="Times New Roman" w:hAnsi="Calibri" w:cs="Calibri"/>
                <w:color w:val="000000"/>
                <w:sz w:val="16"/>
                <w:szCs w:val="16"/>
              </w:rPr>
              <w:t>Asigurarea executării indicatorilor de performanță</w:t>
            </w:r>
          </w:p>
        </w:tc>
        <w:tc>
          <w:tcPr>
            <w:tcW w:w="5529" w:type="dxa"/>
            <w:tcBorders>
              <w:top w:val="nil"/>
              <w:left w:val="nil"/>
              <w:bottom w:val="single" w:sz="4" w:space="0" w:color="auto"/>
              <w:right w:val="single" w:sz="4" w:space="0" w:color="auto"/>
            </w:tcBorders>
            <w:shd w:val="clear" w:color="auto" w:fill="auto"/>
            <w:hideMark/>
          </w:tcPr>
          <w:p w14:paraId="01B8AAD0"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Indicatorii de performanță la situația din 01.01.2018 au fost executați după cum urmează:</w:t>
            </w:r>
            <w:r w:rsidRPr="00CF7154">
              <w:rPr>
                <w:rFonts w:ascii="Calibri" w:eastAsia="Times New Roman" w:hAnsi="Calibri" w:cs="Calibri"/>
                <w:color w:val="000000"/>
                <w:sz w:val="16"/>
                <w:szCs w:val="16"/>
              </w:rPr>
              <w:br/>
              <w:t>- de rezultat: R1- 0%, R2 - 45%;</w:t>
            </w:r>
            <w:r w:rsidRPr="00CF7154">
              <w:rPr>
                <w:rFonts w:ascii="Calibri" w:eastAsia="Times New Roman" w:hAnsi="Calibri" w:cs="Calibri"/>
                <w:color w:val="000000"/>
                <w:sz w:val="16"/>
                <w:szCs w:val="16"/>
              </w:rPr>
              <w:br/>
              <w:t>- de produs: O1 - 0%, O2 - 3%, O3 - 50%;</w:t>
            </w:r>
            <w:r w:rsidRPr="00CF7154">
              <w:rPr>
                <w:rFonts w:ascii="Calibri" w:eastAsia="Times New Roman" w:hAnsi="Calibri" w:cs="Calibri"/>
                <w:color w:val="000000"/>
                <w:sz w:val="16"/>
                <w:szCs w:val="16"/>
              </w:rPr>
              <w:br/>
              <w:t>- de eficiență: E1 - 0%, E2 - 12%, E3 - 74%</w:t>
            </w:r>
          </w:p>
        </w:tc>
        <w:tc>
          <w:tcPr>
            <w:tcW w:w="603" w:type="dxa"/>
            <w:tcBorders>
              <w:top w:val="nil"/>
              <w:left w:val="nil"/>
              <w:bottom w:val="single" w:sz="4" w:space="0" w:color="auto"/>
              <w:right w:val="single" w:sz="4" w:space="0" w:color="auto"/>
            </w:tcBorders>
            <w:shd w:val="clear" w:color="auto" w:fill="auto"/>
            <w:hideMark/>
          </w:tcPr>
          <w:p w14:paraId="247DA443"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031368C0" w14:textId="1A7AF391"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hideMark/>
          </w:tcPr>
          <w:p w14:paraId="1AA64008"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tcPr>
          <w:p w14:paraId="76F321D0" w14:textId="7BDC4329" w:rsidR="00447CBE" w:rsidRPr="00CF7154" w:rsidRDefault="00447CBE" w:rsidP="00447CBE">
            <w:pPr>
              <w:spacing w:after="0" w:line="240" w:lineRule="auto"/>
              <w:rPr>
                <w:rFonts w:ascii="Calibri" w:eastAsia="Times New Roman" w:hAnsi="Calibri" w:cs="Calibri"/>
                <w:color w:val="000000"/>
                <w:sz w:val="16"/>
                <w:szCs w:val="16"/>
              </w:rPr>
            </w:pPr>
          </w:p>
        </w:tc>
      </w:tr>
      <w:tr w:rsidR="00447CBE" w:rsidRPr="00CF7154" w14:paraId="511435C8" w14:textId="77777777" w:rsidTr="00447CBE">
        <w:trPr>
          <w:trHeight w:val="900"/>
        </w:trPr>
        <w:tc>
          <w:tcPr>
            <w:tcW w:w="1985" w:type="dxa"/>
            <w:tcBorders>
              <w:top w:val="nil"/>
              <w:left w:val="single" w:sz="4" w:space="0" w:color="auto"/>
              <w:bottom w:val="single" w:sz="4" w:space="0" w:color="auto"/>
              <w:right w:val="single" w:sz="4" w:space="0" w:color="auto"/>
            </w:tcBorders>
            <w:shd w:val="clear" w:color="auto" w:fill="auto"/>
            <w:hideMark/>
          </w:tcPr>
          <w:p w14:paraId="07DD46CA" w14:textId="512527A9" w:rsidR="00447CBE" w:rsidRPr="00CF7154" w:rsidRDefault="00447CBE" w:rsidP="00447CBE">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Recomandarea nr. 12:</w:t>
            </w:r>
            <w:r>
              <w:rPr>
                <w:rFonts w:ascii="Calibri" w:eastAsia="Times New Roman" w:hAnsi="Calibri" w:cs="Calibri"/>
                <w:b/>
                <w:bCs/>
                <w:color w:val="000000"/>
                <w:sz w:val="16"/>
                <w:szCs w:val="16"/>
              </w:rPr>
              <w:t xml:space="preserve"> </w:t>
            </w:r>
            <w:r w:rsidRPr="00CF7154">
              <w:rPr>
                <w:rFonts w:ascii="Calibri" w:eastAsia="Times New Roman" w:hAnsi="Calibri" w:cs="Calibri"/>
                <w:color w:val="000000"/>
                <w:sz w:val="16"/>
                <w:szCs w:val="16"/>
              </w:rPr>
              <w:t>Optimizarea măsurilor privind locațiunea spațiilor neutilizate cu neadmiterea datoriilor și creanțelor, inclusiv a celor cu termen de achitare expirat</w:t>
            </w:r>
          </w:p>
        </w:tc>
        <w:tc>
          <w:tcPr>
            <w:tcW w:w="5529" w:type="dxa"/>
            <w:tcBorders>
              <w:top w:val="nil"/>
              <w:left w:val="nil"/>
              <w:bottom w:val="single" w:sz="4" w:space="0" w:color="auto"/>
              <w:right w:val="single" w:sz="4" w:space="0" w:color="auto"/>
            </w:tcBorders>
            <w:shd w:val="clear" w:color="auto" w:fill="auto"/>
            <w:hideMark/>
          </w:tcPr>
          <w:p w14:paraId="4EF16B94"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1. Pe parcursul anului 2013, la Baza Auto a Cancelariei de Stat, vizată în Raportul de audit, au fost achitate datorii debitoare cu termenul de achitare expirat în sumă totală de 30, mii lei;</w:t>
            </w:r>
            <w:r w:rsidRPr="00CF7154">
              <w:rPr>
                <w:rFonts w:ascii="Calibri" w:eastAsia="Times New Roman" w:hAnsi="Calibri" w:cs="Calibri"/>
                <w:color w:val="000000"/>
                <w:sz w:val="16"/>
                <w:szCs w:val="16"/>
              </w:rPr>
              <w:br/>
              <w:t xml:space="preserve">Se menționează că, în conformitate cu HG nr.916 din 24.09.2018, I.P „Baza auto a ACSR” vizată, a fost absorbită, urmare reorganizării, de către I.P. „Baza Auto a CS”. </w:t>
            </w:r>
          </w:p>
        </w:tc>
        <w:tc>
          <w:tcPr>
            <w:tcW w:w="603" w:type="dxa"/>
            <w:tcBorders>
              <w:top w:val="nil"/>
              <w:left w:val="nil"/>
              <w:bottom w:val="single" w:sz="4" w:space="0" w:color="auto"/>
              <w:right w:val="single" w:sz="4" w:space="0" w:color="auto"/>
            </w:tcBorders>
            <w:shd w:val="clear" w:color="auto" w:fill="auto"/>
            <w:vAlign w:val="bottom"/>
            <w:hideMark/>
          </w:tcPr>
          <w:p w14:paraId="1EB8EF73"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37C6CAB9" w14:textId="789A0FFE"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605BDAAB"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hideMark/>
          </w:tcPr>
          <w:p w14:paraId="3EE0CC8E" w14:textId="5D5F4189" w:rsidR="00447CBE" w:rsidRPr="003C6369" w:rsidRDefault="00447CBE" w:rsidP="00447CBE">
            <w:pPr>
              <w:spacing w:after="0" w:line="240" w:lineRule="auto"/>
              <w:rPr>
                <w:rFonts w:ascii="Calibri" w:eastAsia="Times New Roman" w:hAnsi="Calibri" w:cs="Calibri"/>
                <w:sz w:val="16"/>
                <w:szCs w:val="16"/>
              </w:rPr>
            </w:pPr>
            <w:r w:rsidRPr="003C6369">
              <w:rPr>
                <w:rFonts w:ascii="Calibri" w:eastAsia="Times New Roman" w:hAnsi="Calibri" w:cs="Calibri"/>
                <w:sz w:val="16"/>
                <w:szCs w:val="16"/>
              </w:rPr>
              <w:t>Problematica se reiterează la pct. 4.3.5 din prezentul Raport de audit</w:t>
            </w:r>
          </w:p>
        </w:tc>
      </w:tr>
      <w:tr w:rsidR="00447CBE" w:rsidRPr="00CF7154" w14:paraId="096D5457" w14:textId="77777777" w:rsidTr="00447CBE">
        <w:trPr>
          <w:trHeight w:val="204"/>
        </w:trPr>
        <w:tc>
          <w:tcPr>
            <w:tcW w:w="1985" w:type="dxa"/>
            <w:tcBorders>
              <w:top w:val="nil"/>
              <w:left w:val="single" w:sz="4" w:space="0" w:color="auto"/>
              <w:bottom w:val="single" w:sz="4" w:space="0" w:color="auto"/>
              <w:right w:val="single" w:sz="4" w:space="0" w:color="auto"/>
            </w:tcBorders>
            <w:shd w:val="clear" w:color="auto" w:fill="auto"/>
            <w:vAlign w:val="bottom"/>
            <w:hideMark/>
          </w:tcPr>
          <w:p w14:paraId="0F601D77"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529" w:type="dxa"/>
            <w:tcBorders>
              <w:top w:val="nil"/>
              <w:left w:val="nil"/>
              <w:bottom w:val="single" w:sz="4" w:space="0" w:color="auto"/>
              <w:right w:val="single" w:sz="4" w:space="0" w:color="auto"/>
            </w:tcBorders>
            <w:shd w:val="clear" w:color="auto" w:fill="auto"/>
            <w:vAlign w:val="bottom"/>
            <w:hideMark/>
          </w:tcPr>
          <w:p w14:paraId="75570F9B"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603" w:type="dxa"/>
            <w:tcBorders>
              <w:top w:val="nil"/>
              <w:left w:val="nil"/>
              <w:bottom w:val="single" w:sz="4" w:space="0" w:color="auto"/>
              <w:right w:val="single" w:sz="4" w:space="0" w:color="auto"/>
            </w:tcBorders>
            <w:shd w:val="clear" w:color="auto" w:fill="auto"/>
            <w:vAlign w:val="bottom"/>
            <w:hideMark/>
          </w:tcPr>
          <w:p w14:paraId="27FEA20C"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6E9B8032"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5E91F633"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vAlign w:val="bottom"/>
            <w:hideMark/>
          </w:tcPr>
          <w:p w14:paraId="209EDC12"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r>
      <w:tr w:rsidR="00447CBE" w:rsidRPr="00CF7154" w14:paraId="11B9B8A1" w14:textId="77777777" w:rsidTr="00447CBE">
        <w:trPr>
          <w:trHeight w:val="204"/>
        </w:trPr>
        <w:tc>
          <w:tcPr>
            <w:tcW w:w="11204" w:type="dxa"/>
            <w:gridSpan w:val="6"/>
            <w:tcBorders>
              <w:top w:val="single" w:sz="4" w:space="0" w:color="auto"/>
              <w:left w:val="single" w:sz="4" w:space="0" w:color="auto"/>
              <w:bottom w:val="single" w:sz="4" w:space="0" w:color="auto"/>
              <w:right w:val="single" w:sz="4" w:space="0" w:color="000000"/>
            </w:tcBorders>
            <w:shd w:val="clear" w:color="000000" w:fill="DCE6F1"/>
            <w:vAlign w:val="bottom"/>
            <w:hideMark/>
          </w:tcPr>
          <w:p w14:paraId="4249511E" w14:textId="77777777" w:rsidR="00447CBE" w:rsidRPr="00CF7154" w:rsidRDefault="00447CBE" w:rsidP="00447CBE">
            <w:pPr>
              <w:spacing w:after="0" w:line="240" w:lineRule="auto"/>
              <w:jc w:val="center"/>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2. Hotărârea nr.24 din 18 mai 2013 privind auditul regularității exercițiului bugetar pe anul 2012 și gestionării patrimoniului public la Cancelaria de Stat, unele instituții din subordine și întreprinderii de stat monitorizate</w:t>
            </w:r>
          </w:p>
        </w:tc>
      </w:tr>
      <w:tr w:rsidR="00447CBE" w:rsidRPr="00CF7154" w14:paraId="3E8DF467" w14:textId="77777777" w:rsidTr="00447CBE">
        <w:trPr>
          <w:trHeight w:val="204"/>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1CECABF7" w14:textId="77777777" w:rsidR="00447CBE" w:rsidRPr="00CF7154" w:rsidRDefault="00447CBE" w:rsidP="00447CBE">
            <w:pPr>
              <w:spacing w:after="0" w:line="240" w:lineRule="auto"/>
              <w:jc w:val="center"/>
              <w:rPr>
                <w:rFonts w:ascii="Calibri" w:eastAsia="Times New Roman" w:hAnsi="Calibri" w:cs="Calibri"/>
                <w:b/>
                <w:bCs/>
                <w:i/>
                <w:iCs/>
                <w:color w:val="000000"/>
                <w:sz w:val="16"/>
                <w:szCs w:val="16"/>
              </w:rPr>
            </w:pPr>
            <w:r w:rsidRPr="00CF7154">
              <w:rPr>
                <w:rFonts w:ascii="Calibri" w:eastAsia="Times New Roman" w:hAnsi="Calibri" w:cs="Calibri"/>
                <w:b/>
                <w:bCs/>
                <w:i/>
                <w:iCs/>
                <w:color w:val="000000"/>
                <w:sz w:val="16"/>
                <w:szCs w:val="16"/>
              </w:rPr>
              <w:t>Raportul auditului regularității exercițiului bugetar pe anul 2012 și gestionării patrimoniului public la Cancelaria de Stat și unele instituții din subordine (Anexa nr.1)</w:t>
            </w:r>
          </w:p>
        </w:tc>
      </w:tr>
      <w:tr w:rsidR="00447CBE" w:rsidRPr="00CF7154" w14:paraId="1DBA8F6D" w14:textId="77777777" w:rsidTr="00447CBE">
        <w:trPr>
          <w:trHeight w:val="204"/>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66E5ECCE" w14:textId="77777777" w:rsidR="00447CBE" w:rsidRPr="00CF7154" w:rsidRDefault="00447CBE" w:rsidP="00447CBE">
            <w:pPr>
              <w:spacing w:after="0" w:line="240" w:lineRule="auto"/>
              <w:jc w:val="center"/>
              <w:rPr>
                <w:rFonts w:ascii="Calibri" w:eastAsia="Times New Roman" w:hAnsi="Calibri" w:cs="Calibri"/>
                <w:i/>
                <w:iCs/>
                <w:color w:val="000000"/>
                <w:sz w:val="16"/>
                <w:szCs w:val="16"/>
              </w:rPr>
            </w:pPr>
            <w:r w:rsidRPr="00CF7154">
              <w:rPr>
                <w:rFonts w:ascii="Calibri" w:eastAsia="Times New Roman" w:hAnsi="Calibri" w:cs="Calibri"/>
                <w:i/>
                <w:iCs/>
                <w:color w:val="000000"/>
                <w:sz w:val="16"/>
                <w:szCs w:val="16"/>
              </w:rPr>
              <w:t>Recomandări înaintate prin Hotărârea Curții de Conturi:</w:t>
            </w:r>
          </w:p>
        </w:tc>
      </w:tr>
      <w:tr w:rsidR="00447CBE" w:rsidRPr="00CF7154" w14:paraId="0BA28CAD" w14:textId="77777777" w:rsidTr="00447CBE">
        <w:trPr>
          <w:trHeight w:val="204"/>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191D145A" w14:textId="77777777" w:rsidR="00447CBE" w:rsidRPr="00CF7154" w:rsidRDefault="00447CBE" w:rsidP="00447CBE">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CANCELARIA DE STAT</w:t>
            </w:r>
          </w:p>
        </w:tc>
      </w:tr>
      <w:tr w:rsidR="00447CBE" w:rsidRPr="00CF7154" w14:paraId="7695A32A" w14:textId="77777777" w:rsidTr="00447CBE">
        <w:trPr>
          <w:trHeight w:val="1104"/>
        </w:trPr>
        <w:tc>
          <w:tcPr>
            <w:tcW w:w="1985" w:type="dxa"/>
            <w:tcBorders>
              <w:top w:val="nil"/>
              <w:left w:val="single" w:sz="4" w:space="0" w:color="auto"/>
              <w:bottom w:val="single" w:sz="4" w:space="0" w:color="auto"/>
              <w:right w:val="single" w:sz="4" w:space="0" w:color="auto"/>
            </w:tcBorders>
            <w:shd w:val="clear" w:color="auto" w:fill="auto"/>
            <w:hideMark/>
          </w:tcPr>
          <w:p w14:paraId="75FB835D" w14:textId="77777777" w:rsidR="00447CBE" w:rsidRPr="00CF7154" w:rsidRDefault="00447CBE" w:rsidP="00447CBE">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Recomandarea nr. 2.1.1:</w:t>
            </w:r>
            <w:r w:rsidRPr="00CF7154">
              <w:rPr>
                <w:rFonts w:ascii="Calibri" w:eastAsia="Times New Roman" w:hAnsi="Calibri" w:cs="Calibri"/>
                <w:color w:val="000000"/>
                <w:sz w:val="16"/>
                <w:szCs w:val="16"/>
              </w:rPr>
              <w:t xml:space="preserve"> Să întreprindă măsuri pentru implementarea recomandărilor auditului indicate în Raportul de audit cu stabilirea unui plan concret de măsuri și a responsabililor de realizarea lor</w:t>
            </w:r>
          </w:p>
        </w:tc>
        <w:tc>
          <w:tcPr>
            <w:tcW w:w="5529" w:type="dxa"/>
            <w:tcBorders>
              <w:top w:val="nil"/>
              <w:left w:val="nil"/>
              <w:bottom w:val="single" w:sz="4" w:space="0" w:color="auto"/>
              <w:right w:val="single" w:sz="4" w:space="0" w:color="auto"/>
            </w:tcBorders>
            <w:shd w:val="clear" w:color="auto" w:fill="auto"/>
            <w:hideMark/>
          </w:tcPr>
          <w:p w14:paraId="4CEB81AB"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Prin Scrisoarea nr.1917-938 din 11.11.2013 Cancelaria de Stat a comunicat că toate instituțiile vizate au întocmit și prezentat Planul de măsuri privind lichidarea încălcărilor din Raportul de audit, cu anexarea notelor informative. Rezultatul auditului au fost examinate în cadrul ședințelor consiliilor administrative</w:t>
            </w:r>
            <w:r>
              <w:rPr>
                <w:rFonts w:ascii="Calibri" w:eastAsia="Times New Roman" w:hAnsi="Calibri" w:cs="Calibri"/>
                <w:color w:val="000000"/>
                <w:sz w:val="16"/>
                <w:szCs w:val="16"/>
              </w:rPr>
              <w:t xml:space="preserve"> </w:t>
            </w:r>
            <w:r w:rsidRPr="00CF7154">
              <w:rPr>
                <w:rFonts w:ascii="Calibri" w:eastAsia="Times New Roman" w:hAnsi="Calibri" w:cs="Calibri"/>
                <w:color w:val="000000"/>
                <w:sz w:val="16"/>
                <w:szCs w:val="16"/>
              </w:rPr>
              <w:t>și au fost stabilite termenele de înlăturare a obiecțiilor expuse în raport.</w:t>
            </w:r>
          </w:p>
        </w:tc>
        <w:tc>
          <w:tcPr>
            <w:tcW w:w="603" w:type="dxa"/>
            <w:tcBorders>
              <w:top w:val="nil"/>
              <w:left w:val="nil"/>
              <w:bottom w:val="single" w:sz="4" w:space="0" w:color="auto"/>
              <w:right w:val="single" w:sz="4" w:space="0" w:color="auto"/>
            </w:tcBorders>
            <w:shd w:val="clear" w:color="auto" w:fill="auto"/>
            <w:vAlign w:val="center"/>
            <w:hideMark/>
          </w:tcPr>
          <w:p w14:paraId="01DA52C5" w14:textId="3CAD6E88"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2FA5F448"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0C994827"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vAlign w:val="bottom"/>
            <w:hideMark/>
          </w:tcPr>
          <w:p w14:paraId="6F71AA0D"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r>
      <w:tr w:rsidR="00447CBE" w:rsidRPr="00CF7154" w14:paraId="7A3274B0" w14:textId="77777777" w:rsidTr="00447CBE">
        <w:trPr>
          <w:trHeight w:val="1704"/>
        </w:trPr>
        <w:tc>
          <w:tcPr>
            <w:tcW w:w="1985" w:type="dxa"/>
            <w:tcBorders>
              <w:top w:val="nil"/>
              <w:left w:val="single" w:sz="4" w:space="0" w:color="auto"/>
              <w:bottom w:val="single" w:sz="4" w:space="0" w:color="auto"/>
              <w:right w:val="single" w:sz="4" w:space="0" w:color="auto"/>
            </w:tcBorders>
            <w:shd w:val="clear" w:color="auto" w:fill="auto"/>
            <w:hideMark/>
          </w:tcPr>
          <w:p w14:paraId="65A17891" w14:textId="5F56AA71"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b/>
                <w:bCs/>
                <w:color w:val="000000"/>
                <w:sz w:val="16"/>
                <w:szCs w:val="16"/>
              </w:rPr>
              <w:t>Recomandarea nr. 2.1.2:</w:t>
            </w:r>
            <w:r>
              <w:rPr>
                <w:rFonts w:ascii="Calibri" w:eastAsia="Times New Roman" w:hAnsi="Calibri" w:cs="Calibri"/>
                <w:color w:val="000000"/>
                <w:sz w:val="16"/>
                <w:szCs w:val="16"/>
              </w:rPr>
              <w:t xml:space="preserve"> </w:t>
            </w:r>
            <w:r w:rsidRPr="00CF7154">
              <w:rPr>
                <w:rFonts w:ascii="Calibri" w:eastAsia="Times New Roman" w:hAnsi="Calibri" w:cs="Calibri"/>
                <w:color w:val="000000"/>
                <w:sz w:val="16"/>
                <w:szCs w:val="16"/>
              </w:rPr>
              <w:t>Să examineze, în comun cu executorii de buget, oportunitatea revizuirii structurilor instituționale în vederea optimizării cheltuielilor bugetare prin prisma necesităților reale</w:t>
            </w:r>
          </w:p>
        </w:tc>
        <w:tc>
          <w:tcPr>
            <w:tcW w:w="5529" w:type="dxa"/>
            <w:tcBorders>
              <w:top w:val="nil"/>
              <w:left w:val="nil"/>
              <w:bottom w:val="single" w:sz="4" w:space="0" w:color="auto"/>
              <w:right w:val="single" w:sz="4" w:space="0" w:color="auto"/>
            </w:tcBorders>
            <w:shd w:val="clear" w:color="auto" w:fill="auto"/>
            <w:hideMark/>
          </w:tcPr>
          <w:p w14:paraId="7E9B4BAE"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1. Prin Scrisoarea nr.1917-938 din 11.11.2013 Cancelaria de Stat a comunicat despre fa</w:t>
            </w:r>
            <w:r>
              <w:rPr>
                <w:rFonts w:ascii="Calibri" w:eastAsia="Times New Roman" w:hAnsi="Calibri" w:cs="Calibri"/>
                <w:color w:val="000000"/>
                <w:sz w:val="16"/>
                <w:szCs w:val="16"/>
              </w:rPr>
              <w:t>p</w:t>
            </w:r>
            <w:r w:rsidRPr="00CF7154">
              <w:rPr>
                <w:rFonts w:ascii="Calibri" w:eastAsia="Times New Roman" w:hAnsi="Calibri" w:cs="Calibri"/>
                <w:color w:val="000000"/>
                <w:sz w:val="16"/>
                <w:szCs w:val="16"/>
              </w:rPr>
              <w:t>tul că „structura instituțională a Cancelariei Stat este stabilită prin Hotărârea Guvernului nr.657 din 06.11.2009 pentru aprobarea Regulamentului privind organizarea și funcționarea, structurii și efectivului-limită ale Cancelariei de Stat”. La situația din 01.10.2013, în urma concursurilor desfășurate, majoritatea locurilor vacante au fost suplinite, ar revizuirea structurii instituționale a aparatului Cancelar</w:t>
            </w:r>
            <w:r>
              <w:rPr>
                <w:rFonts w:ascii="Calibri" w:eastAsia="Times New Roman" w:hAnsi="Calibri" w:cs="Calibri"/>
                <w:color w:val="000000"/>
                <w:sz w:val="16"/>
                <w:szCs w:val="16"/>
              </w:rPr>
              <w:t>iei de Stat nu este rațională, ținând cont de</w:t>
            </w:r>
            <w:r w:rsidRPr="00CF7154">
              <w:rPr>
                <w:rFonts w:ascii="Calibri" w:eastAsia="Times New Roman" w:hAnsi="Calibri" w:cs="Calibri"/>
                <w:color w:val="000000"/>
                <w:sz w:val="16"/>
                <w:szCs w:val="16"/>
              </w:rPr>
              <w:t xml:space="preserve"> misiunea și atribuțiile autorității date, inclusiv obligația de a pune în aplicare a Legii nr.143 din 14.06.2013 pentru completarea Legii nr.64-XII din 31.05.1990 cu privire la Guvern, care stipulează instituirea în cadrul Cancelariei de Stat a Corpului de control al Prim-Ministrului”.</w:t>
            </w:r>
          </w:p>
        </w:tc>
        <w:tc>
          <w:tcPr>
            <w:tcW w:w="603" w:type="dxa"/>
            <w:tcBorders>
              <w:top w:val="nil"/>
              <w:left w:val="nil"/>
              <w:bottom w:val="single" w:sz="4" w:space="0" w:color="auto"/>
              <w:right w:val="single" w:sz="4" w:space="0" w:color="auto"/>
            </w:tcBorders>
            <w:shd w:val="clear" w:color="auto" w:fill="auto"/>
            <w:vAlign w:val="center"/>
            <w:hideMark/>
          </w:tcPr>
          <w:p w14:paraId="26B35FD4" w14:textId="10E44CBB"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4A70072E"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46D04E45"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vAlign w:val="bottom"/>
            <w:hideMark/>
          </w:tcPr>
          <w:p w14:paraId="40578FBF"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r>
      <w:tr w:rsidR="00447CBE" w:rsidRPr="00CF7154" w14:paraId="0FAD1623" w14:textId="77777777" w:rsidTr="00447CBE">
        <w:trPr>
          <w:trHeight w:val="204"/>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7CB39020" w14:textId="77777777" w:rsidR="00447CBE" w:rsidRPr="00CF7154" w:rsidRDefault="00447CBE" w:rsidP="00447CBE">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CANCELARIA DE STAT în comun cu Ministerul Finanțelor și Ministerul Economiei, prin intermediul Agenției Proprietății Publice, în cadrul competențelor atribuite</w:t>
            </w:r>
          </w:p>
        </w:tc>
      </w:tr>
      <w:tr w:rsidR="00447CBE" w:rsidRPr="00CF7154" w14:paraId="2C68FA89" w14:textId="77777777" w:rsidTr="00447CBE">
        <w:trPr>
          <w:trHeight w:val="422"/>
        </w:trPr>
        <w:tc>
          <w:tcPr>
            <w:tcW w:w="1985" w:type="dxa"/>
            <w:tcBorders>
              <w:top w:val="nil"/>
              <w:left w:val="single" w:sz="4" w:space="0" w:color="auto"/>
              <w:bottom w:val="single" w:sz="4" w:space="0" w:color="auto"/>
              <w:right w:val="single" w:sz="4" w:space="0" w:color="auto"/>
            </w:tcBorders>
            <w:shd w:val="clear" w:color="auto" w:fill="auto"/>
            <w:hideMark/>
          </w:tcPr>
          <w:p w14:paraId="7E36EF96"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b/>
                <w:bCs/>
                <w:color w:val="000000"/>
                <w:sz w:val="16"/>
                <w:szCs w:val="16"/>
              </w:rPr>
              <w:t>Recomandarea nr. 2.1.3:</w:t>
            </w:r>
            <w:r w:rsidRPr="00CF7154">
              <w:rPr>
                <w:rFonts w:ascii="Calibri" w:eastAsia="Times New Roman" w:hAnsi="Calibri" w:cs="Calibri"/>
                <w:color w:val="000000"/>
                <w:sz w:val="16"/>
                <w:szCs w:val="16"/>
              </w:rPr>
              <w:t xml:space="preserve"> Să examineze problematica înregistrării/evidenței/ raportării de către fondator în evidența sa contabilă a valorii capitalului social al întreprinderilor de stat monitorizate, cu soluționarea situației referitor la implementarea normelor aprobate</w:t>
            </w:r>
          </w:p>
        </w:tc>
        <w:tc>
          <w:tcPr>
            <w:tcW w:w="9219" w:type="dxa"/>
            <w:gridSpan w:val="5"/>
            <w:tcBorders>
              <w:top w:val="nil"/>
              <w:left w:val="nil"/>
              <w:bottom w:val="single" w:sz="4" w:space="0" w:color="auto"/>
              <w:right w:val="single" w:sz="4" w:space="0" w:color="auto"/>
            </w:tcBorders>
            <w:shd w:val="clear" w:color="auto" w:fill="auto"/>
            <w:hideMark/>
          </w:tcPr>
          <w:p w14:paraId="1D05C394"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p w14:paraId="5DDD55BD" w14:textId="0F2F1A04"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p w14:paraId="43FC9B2D" w14:textId="4CD9E2C4"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p w14:paraId="46F8DC25" w14:textId="542253FB"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p w14:paraId="0450D787" w14:textId="022B0203"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Recomandarea dată și-a pierdut actualitatea, re</w:t>
            </w:r>
            <w:r>
              <w:rPr>
                <w:rFonts w:ascii="Calibri" w:eastAsia="Times New Roman" w:hAnsi="Calibri" w:cs="Calibri"/>
                <w:color w:val="000000"/>
                <w:sz w:val="16"/>
                <w:szCs w:val="16"/>
              </w:rPr>
              <w:t>i</w:t>
            </w:r>
            <w:r w:rsidRPr="00CF7154">
              <w:rPr>
                <w:rFonts w:ascii="Calibri" w:eastAsia="Times New Roman" w:hAnsi="Calibri" w:cs="Calibri"/>
                <w:color w:val="000000"/>
                <w:sz w:val="16"/>
                <w:szCs w:val="16"/>
              </w:rPr>
              <w:t>eșind din faptul că Întreprinderile de stat monitorizate de către Cancelaria de Stat s-au reorganizat prin transformare în Instituții Publice, capitalul social al acestora urmând a fi înregistrat în evidența contabilă a instituțiilor publice ca „Patrimoniu primit de la stat cu drept de proprietate”. Re</w:t>
            </w:r>
            <w:r>
              <w:rPr>
                <w:rFonts w:ascii="Calibri" w:eastAsia="Times New Roman" w:hAnsi="Calibri" w:cs="Calibri"/>
                <w:color w:val="000000"/>
                <w:sz w:val="16"/>
                <w:szCs w:val="16"/>
              </w:rPr>
              <w:t>i</w:t>
            </w:r>
            <w:r w:rsidRPr="00CF7154">
              <w:rPr>
                <w:rFonts w:ascii="Calibri" w:eastAsia="Times New Roman" w:hAnsi="Calibri" w:cs="Calibri"/>
                <w:color w:val="000000"/>
                <w:sz w:val="16"/>
                <w:szCs w:val="16"/>
              </w:rPr>
              <w:t xml:space="preserve">eșind din contextul dat, recomandarea respectivă </w:t>
            </w:r>
            <w:r w:rsidRPr="00CF7154">
              <w:rPr>
                <w:rFonts w:ascii="Calibri" w:eastAsia="Times New Roman" w:hAnsi="Calibri" w:cs="Calibri"/>
                <w:b/>
                <w:bCs/>
                <w:color w:val="000000"/>
                <w:sz w:val="16"/>
                <w:szCs w:val="16"/>
              </w:rPr>
              <w:t>se propune de a fi exclusă din regim de monitorizare.</w:t>
            </w:r>
          </w:p>
        </w:tc>
      </w:tr>
      <w:tr w:rsidR="00447CBE" w:rsidRPr="00CF7154" w14:paraId="4C8C7D2B" w14:textId="77777777" w:rsidTr="00447CBE">
        <w:trPr>
          <w:trHeight w:val="204"/>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52601EDA" w14:textId="77777777" w:rsidR="00447CBE" w:rsidRPr="00CF7154" w:rsidRDefault="00447CBE" w:rsidP="00447CBE">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I.P. Direcția generală pentru administrarea clădirilor guvernului, Baza Auto a Cancelariei de Stat, Baza Auto a Asociației Curativ Sanatoriale și de Recuperare a Cancelariei de Stat</w:t>
            </w:r>
          </w:p>
        </w:tc>
      </w:tr>
      <w:tr w:rsidR="00447CBE" w:rsidRPr="00CF7154" w14:paraId="60CE3389" w14:textId="77777777" w:rsidTr="00447CBE">
        <w:trPr>
          <w:trHeight w:val="1908"/>
        </w:trPr>
        <w:tc>
          <w:tcPr>
            <w:tcW w:w="1985" w:type="dxa"/>
            <w:tcBorders>
              <w:top w:val="nil"/>
              <w:left w:val="single" w:sz="4" w:space="0" w:color="auto"/>
              <w:bottom w:val="single" w:sz="4" w:space="0" w:color="auto"/>
              <w:right w:val="single" w:sz="4" w:space="0" w:color="auto"/>
            </w:tcBorders>
            <w:shd w:val="clear" w:color="auto" w:fill="auto"/>
            <w:hideMark/>
          </w:tcPr>
          <w:p w14:paraId="44AAAAA5"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b/>
                <w:bCs/>
                <w:color w:val="000000"/>
                <w:sz w:val="16"/>
                <w:szCs w:val="16"/>
              </w:rPr>
              <w:t>Recomandarea nr. 2.2:</w:t>
            </w:r>
            <w:r w:rsidRPr="00CF7154">
              <w:rPr>
                <w:rFonts w:ascii="Calibri" w:eastAsia="Times New Roman" w:hAnsi="Calibri" w:cs="Calibri"/>
                <w:color w:val="000000"/>
                <w:sz w:val="16"/>
                <w:szCs w:val="16"/>
              </w:rPr>
              <w:t xml:space="preserve"> Să determine un plan de măsuri concrete și să numească persoanele responsabile pentru aplicarea acestora în vederea reglementării proceselor instituționale pentru consolidarea elementelor sistemului de control intern, în vederea identificării și monitorizării riscurilor care ar putea afecta buna guvernare a fondurilor publice</w:t>
            </w:r>
          </w:p>
        </w:tc>
        <w:tc>
          <w:tcPr>
            <w:tcW w:w="5529" w:type="dxa"/>
            <w:tcBorders>
              <w:top w:val="nil"/>
              <w:left w:val="nil"/>
              <w:bottom w:val="single" w:sz="4" w:space="0" w:color="auto"/>
              <w:right w:val="single" w:sz="4" w:space="0" w:color="auto"/>
            </w:tcBorders>
            <w:shd w:val="clear" w:color="auto" w:fill="auto"/>
            <w:hideMark/>
          </w:tcPr>
          <w:p w14:paraId="6261557B"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Scrisoarea Asociației Curativ Sanatoriale și de Recuperare a Cancelariei de Stat nr.01-17/03-283 din 08.10.2013 cu privire la implementarea recomandărilor din Raportul de audit</w:t>
            </w:r>
          </w:p>
        </w:tc>
        <w:tc>
          <w:tcPr>
            <w:tcW w:w="603" w:type="dxa"/>
            <w:tcBorders>
              <w:top w:val="nil"/>
              <w:left w:val="nil"/>
              <w:bottom w:val="single" w:sz="4" w:space="0" w:color="auto"/>
              <w:right w:val="single" w:sz="4" w:space="0" w:color="auto"/>
            </w:tcBorders>
            <w:shd w:val="clear" w:color="auto" w:fill="auto"/>
            <w:vAlign w:val="center"/>
            <w:hideMark/>
          </w:tcPr>
          <w:p w14:paraId="4B192BD8" w14:textId="6DC98424"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1FB3E758"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53BEE7B2"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vAlign w:val="bottom"/>
            <w:hideMark/>
          </w:tcPr>
          <w:p w14:paraId="5DCB7180"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r>
      <w:tr w:rsidR="00447CBE" w:rsidRPr="00CF7154" w14:paraId="35263B1F" w14:textId="77777777" w:rsidTr="00447CBE">
        <w:trPr>
          <w:trHeight w:val="204"/>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619BE828" w14:textId="77777777" w:rsidR="00447CBE" w:rsidRPr="00CF7154" w:rsidRDefault="00447CBE" w:rsidP="00447CBE">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CANCELARIA DE STAT în comun cu Consiliile de administrație ale întreprinderilor de stat auditate</w:t>
            </w:r>
          </w:p>
        </w:tc>
      </w:tr>
      <w:tr w:rsidR="00447CBE" w:rsidRPr="00CF7154" w14:paraId="757F9504" w14:textId="77777777" w:rsidTr="00447CBE">
        <w:trPr>
          <w:trHeight w:val="1392"/>
        </w:trPr>
        <w:tc>
          <w:tcPr>
            <w:tcW w:w="1985" w:type="dxa"/>
            <w:tcBorders>
              <w:top w:val="nil"/>
              <w:left w:val="single" w:sz="4" w:space="0" w:color="auto"/>
              <w:bottom w:val="single" w:sz="4" w:space="0" w:color="auto"/>
              <w:right w:val="single" w:sz="4" w:space="0" w:color="auto"/>
            </w:tcBorders>
            <w:shd w:val="clear" w:color="auto" w:fill="auto"/>
            <w:hideMark/>
          </w:tcPr>
          <w:p w14:paraId="16B6E004"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b/>
                <w:bCs/>
                <w:color w:val="000000"/>
                <w:sz w:val="16"/>
                <w:szCs w:val="16"/>
              </w:rPr>
              <w:t xml:space="preserve">Recomandarea nr. 2.3: </w:t>
            </w:r>
            <w:r w:rsidRPr="00CF7154">
              <w:rPr>
                <w:rFonts w:ascii="Calibri" w:eastAsia="Times New Roman" w:hAnsi="Calibri" w:cs="Calibri"/>
                <w:color w:val="000000"/>
                <w:sz w:val="16"/>
                <w:szCs w:val="16"/>
              </w:rPr>
              <w:t>Să examineze rezultatele auditurilor exercitate, cu asigurarea înlăturării neregulilor și deficiențelor, abordării riscurilor în activitate și cu monitorizarea implementării recomandărilor de audit</w:t>
            </w:r>
          </w:p>
        </w:tc>
        <w:tc>
          <w:tcPr>
            <w:tcW w:w="5529" w:type="dxa"/>
            <w:tcBorders>
              <w:top w:val="nil"/>
              <w:left w:val="nil"/>
              <w:bottom w:val="single" w:sz="4" w:space="0" w:color="auto"/>
              <w:right w:val="single" w:sz="4" w:space="0" w:color="auto"/>
            </w:tcBorders>
            <w:shd w:val="clear" w:color="auto" w:fill="auto"/>
            <w:hideMark/>
          </w:tcPr>
          <w:p w14:paraId="00BCC56F"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Prin Scrisoarea nr.1917-938 din 11.11.2013 Cancelaria de Stat a comunicat că toate instituțiile vizate au întocmit și prezentat Planul de măsuri privind lichidarea încălcărilor din Raportul de audit, cu anexarea notelor informative. Rezultatul auditului au fost examinate în cadrul ședințelor consiliilor administrative</w:t>
            </w:r>
            <w:r>
              <w:rPr>
                <w:rFonts w:ascii="Calibri" w:eastAsia="Times New Roman" w:hAnsi="Calibri" w:cs="Calibri"/>
                <w:color w:val="000000"/>
                <w:sz w:val="16"/>
                <w:szCs w:val="16"/>
              </w:rPr>
              <w:t xml:space="preserve"> </w:t>
            </w:r>
            <w:r w:rsidRPr="00CF7154">
              <w:rPr>
                <w:rFonts w:ascii="Calibri" w:eastAsia="Times New Roman" w:hAnsi="Calibri" w:cs="Calibri"/>
                <w:color w:val="000000"/>
                <w:sz w:val="16"/>
                <w:szCs w:val="16"/>
              </w:rPr>
              <w:t>și au fost stabilite termenele de înlăturare a obiecțiilor expuse în raport.</w:t>
            </w:r>
          </w:p>
        </w:tc>
        <w:tc>
          <w:tcPr>
            <w:tcW w:w="603" w:type="dxa"/>
            <w:tcBorders>
              <w:top w:val="nil"/>
              <w:left w:val="nil"/>
              <w:bottom w:val="single" w:sz="4" w:space="0" w:color="auto"/>
              <w:right w:val="single" w:sz="4" w:space="0" w:color="auto"/>
            </w:tcBorders>
            <w:shd w:val="clear" w:color="auto" w:fill="auto"/>
            <w:vAlign w:val="center"/>
            <w:hideMark/>
          </w:tcPr>
          <w:p w14:paraId="64EEEDD7" w14:textId="0F87C4ED"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3D274BFD"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279B0A05"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vAlign w:val="bottom"/>
            <w:hideMark/>
          </w:tcPr>
          <w:p w14:paraId="01DC24E2"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r>
      <w:tr w:rsidR="00447CBE" w:rsidRPr="00CF7154" w14:paraId="0EEE7F3F" w14:textId="77777777" w:rsidTr="00447CBE">
        <w:trPr>
          <w:trHeight w:val="204"/>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3A84AD05" w14:textId="77777777" w:rsidR="00447CBE" w:rsidRPr="00CF7154" w:rsidRDefault="00447CBE" w:rsidP="00447CBE">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MINISTERUL FINANȚELOR</w:t>
            </w:r>
          </w:p>
        </w:tc>
      </w:tr>
      <w:tr w:rsidR="00447CBE" w:rsidRPr="00CF7154" w14:paraId="2DCBBFA4" w14:textId="77777777" w:rsidTr="00447CBE">
        <w:trPr>
          <w:trHeight w:val="1104"/>
        </w:trPr>
        <w:tc>
          <w:tcPr>
            <w:tcW w:w="1985" w:type="dxa"/>
            <w:tcBorders>
              <w:top w:val="nil"/>
              <w:left w:val="single" w:sz="4" w:space="0" w:color="auto"/>
              <w:bottom w:val="single" w:sz="4" w:space="0" w:color="auto"/>
              <w:right w:val="single" w:sz="4" w:space="0" w:color="auto"/>
            </w:tcBorders>
            <w:shd w:val="clear" w:color="auto" w:fill="auto"/>
            <w:hideMark/>
          </w:tcPr>
          <w:p w14:paraId="6E9452F9"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b/>
                <w:bCs/>
                <w:color w:val="000000"/>
                <w:sz w:val="16"/>
                <w:szCs w:val="16"/>
              </w:rPr>
              <w:t>Recomandarea nr. 2.4</w:t>
            </w:r>
            <w:r w:rsidRPr="00CF7154">
              <w:rPr>
                <w:rFonts w:ascii="Calibri" w:eastAsia="Times New Roman" w:hAnsi="Calibri" w:cs="Calibri"/>
                <w:color w:val="000000"/>
                <w:sz w:val="16"/>
                <w:szCs w:val="16"/>
              </w:rPr>
              <w:t>: Să examineze situația vizând oportunitatea completării structurii și conținutului raportului anual al instituțiilor publice cu indicii cantitativi și valorici la raportarea imobilelor (clădiri, terenuri)</w:t>
            </w:r>
          </w:p>
        </w:tc>
        <w:tc>
          <w:tcPr>
            <w:tcW w:w="5529" w:type="dxa"/>
            <w:tcBorders>
              <w:top w:val="nil"/>
              <w:left w:val="nil"/>
              <w:bottom w:val="single" w:sz="4" w:space="0" w:color="auto"/>
              <w:right w:val="single" w:sz="4" w:space="0" w:color="auto"/>
            </w:tcBorders>
            <w:shd w:val="clear" w:color="auto" w:fill="auto"/>
            <w:hideMark/>
          </w:tcPr>
          <w:p w14:paraId="4B401869" w14:textId="01AC2081"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xml:space="preserve">1. </w:t>
            </w:r>
            <w:r>
              <w:rPr>
                <w:rFonts w:ascii="Calibri" w:eastAsia="Times New Roman" w:hAnsi="Calibri" w:cs="Calibri"/>
                <w:color w:val="000000"/>
                <w:sz w:val="16"/>
                <w:szCs w:val="16"/>
              </w:rPr>
              <w:t>MF</w:t>
            </w:r>
            <w:r w:rsidRPr="00CF7154">
              <w:rPr>
                <w:rFonts w:ascii="Calibri" w:eastAsia="Times New Roman" w:hAnsi="Calibri" w:cs="Calibri"/>
                <w:color w:val="000000"/>
                <w:sz w:val="16"/>
                <w:szCs w:val="16"/>
              </w:rPr>
              <w:t xml:space="preserve">a aprobat prin Ordinul nr.141 din 11.10.2013 anexa „Informația privind valoarea imobilelor” la Formularul nr.5 „Raportul privind circulația mijloacelor fixe”, aprobat prin Ordinul </w:t>
            </w:r>
            <w:r>
              <w:rPr>
                <w:rFonts w:ascii="Calibri" w:eastAsia="Times New Roman" w:hAnsi="Calibri" w:cs="Calibri"/>
                <w:color w:val="000000"/>
                <w:sz w:val="16"/>
                <w:szCs w:val="16"/>
              </w:rPr>
              <w:t>MF</w:t>
            </w:r>
            <w:r w:rsidRPr="00CF7154">
              <w:rPr>
                <w:rFonts w:ascii="Calibri" w:eastAsia="Times New Roman" w:hAnsi="Calibri" w:cs="Calibri"/>
                <w:color w:val="000000"/>
                <w:sz w:val="16"/>
                <w:szCs w:val="16"/>
              </w:rPr>
              <w:t xml:space="preserve"> nr.11 din 01.02.2007 (Scrisoarea MF nr.05-02/23 din 15.10.2013)</w:t>
            </w:r>
          </w:p>
        </w:tc>
        <w:tc>
          <w:tcPr>
            <w:tcW w:w="603" w:type="dxa"/>
            <w:tcBorders>
              <w:top w:val="nil"/>
              <w:left w:val="nil"/>
              <w:bottom w:val="single" w:sz="4" w:space="0" w:color="auto"/>
              <w:right w:val="single" w:sz="4" w:space="0" w:color="auto"/>
            </w:tcBorders>
            <w:shd w:val="clear" w:color="auto" w:fill="auto"/>
            <w:vAlign w:val="center"/>
            <w:hideMark/>
          </w:tcPr>
          <w:p w14:paraId="74F55B05" w14:textId="140C227A"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03B1B7B8"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53E1CCB5"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vAlign w:val="bottom"/>
            <w:hideMark/>
          </w:tcPr>
          <w:p w14:paraId="187724CE"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r>
      <w:tr w:rsidR="00447CBE" w:rsidRPr="00CF7154" w14:paraId="632B00BB" w14:textId="77777777" w:rsidTr="00447CBE">
        <w:trPr>
          <w:trHeight w:val="204"/>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7C83B105" w14:textId="77777777" w:rsidR="00447CBE" w:rsidRPr="00CF7154" w:rsidRDefault="00447CBE" w:rsidP="00447CBE">
            <w:pPr>
              <w:spacing w:after="0" w:line="240" w:lineRule="auto"/>
              <w:jc w:val="center"/>
              <w:rPr>
                <w:rFonts w:ascii="Calibri" w:eastAsia="Times New Roman" w:hAnsi="Calibri" w:cs="Calibri"/>
                <w:i/>
                <w:iCs/>
                <w:color w:val="000000"/>
                <w:sz w:val="16"/>
                <w:szCs w:val="16"/>
              </w:rPr>
            </w:pPr>
            <w:r w:rsidRPr="00CF7154">
              <w:rPr>
                <w:rFonts w:ascii="Calibri" w:eastAsia="Times New Roman" w:hAnsi="Calibri" w:cs="Calibri"/>
                <w:i/>
                <w:iCs/>
                <w:color w:val="000000"/>
                <w:sz w:val="16"/>
                <w:szCs w:val="16"/>
              </w:rPr>
              <w:t>Recomandări înaintate în Raportul de audit:</w:t>
            </w:r>
          </w:p>
        </w:tc>
      </w:tr>
      <w:tr w:rsidR="00447CBE" w:rsidRPr="00CF7154" w14:paraId="25E0809A" w14:textId="77777777" w:rsidTr="00447CBE">
        <w:trPr>
          <w:trHeight w:val="204"/>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03C7DFC7" w14:textId="77777777" w:rsidR="00447CBE" w:rsidRPr="00CF7154" w:rsidRDefault="00447CBE" w:rsidP="00447CBE">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CANCELARIA DE STAT</w:t>
            </w:r>
          </w:p>
        </w:tc>
      </w:tr>
      <w:tr w:rsidR="00447CBE" w:rsidRPr="00CF7154" w14:paraId="39638FF3" w14:textId="77777777" w:rsidTr="00447CBE">
        <w:trPr>
          <w:trHeight w:val="1560"/>
        </w:trPr>
        <w:tc>
          <w:tcPr>
            <w:tcW w:w="1985" w:type="dxa"/>
            <w:tcBorders>
              <w:top w:val="nil"/>
              <w:left w:val="single" w:sz="4" w:space="0" w:color="auto"/>
              <w:bottom w:val="single" w:sz="4" w:space="0" w:color="auto"/>
              <w:right w:val="single" w:sz="4" w:space="0" w:color="auto"/>
            </w:tcBorders>
            <w:shd w:val="clear" w:color="auto" w:fill="auto"/>
            <w:hideMark/>
          </w:tcPr>
          <w:p w14:paraId="30B26D56"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b/>
                <w:bCs/>
                <w:color w:val="000000"/>
                <w:sz w:val="16"/>
                <w:szCs w:val="16"/>
              </w:rPr>
              <w:t xml:space="preserve">Recomandarea nr. 1: </w:t>
            </w:r>
            <w:r w:rsidRPr="00CF7154">
              <w:rPr>
                <w:rFonts w:ascii="Calibri" w:eastAsia="Times New Roman" w:hAnsi="Calibri" w:cs="Calibri"/>
                <w:color w:val="000000"/>
                <w:sz w:val="16"/>
                <w:szCs w:val="16"/>
              </w:rPr>
              <w:t xml:space="preserve">Să intensifice sistemul de control intern în vederea fortificării acțiunilor de identificare a riscurilor și de monitorizare, în special prin implementarea normelor prevăzute de Legea nr.229 din 23.09.2010, precum și a asigurării activității Serviciului Audit Intern. </w:t>
            </w:r>
          </w:p>
        </w:tc>
        <w:tc>
          <w:tcPr>
            <w:tcW w:w="5529" w:type="dxa"/>
            <w:tcBorders>
              <w:top w:val="nil"/>
              <w:left w:val="nil"/>
              <w:bottom w:val="single" w:sz="4" w:space="0" w:color="auto"/>
              <w:right w:val="single" w:sz="4" w:space="0" w:color="auto"/>
            </w:tcBorders>
            <w:shd w:val="clear" w:color="auto" w:fill="auto"/>
            <w:hideMark/>
          </w:tcPr>
          <w:p w14:paraId="48194A78"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603" w:type="dxa"/>
            <w:tcBorders>
              <w:top w:val="nil"/>
              <w:left w:val="nil"/>
              <w:bottom w:val="single" w:sz="4" w:space="0" w:color="auto"/>
              <w:right w:val="single" w:sz="4" w:space="0" w:color="auto"/>
            </w:tcBorders>
            <w:shd w:val="clear" w:color="auto" w:fill="auto"/>
            <w:vAlign w:val="center"/>
            <w:hideMark/>
          </w:tcPr>
          <w:p w14:paraId="0D4AA95A"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044F8750" w14:textId="21CA3C6D"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7A06C294"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hideMark/>
          </w:tcPr>
          <w:p w14:paraId="7063A2A5" w14:textId="4644302C" w:rsidR="00447CBE" w:rsidRPr="009B6EAC" w:rsidRDefault="00447CBE" w:rsidP="00447CBE">
            <w:pPr>
              <w:spacing w:after="0" w:line="240" w:lineRule="auto"/>
              <w:rPr>
                <w:rFonts w:ascii="Calibri" w:eastAsia="Times New Roman" w:hAnsi="Calibri" w:cs="Calibri"/>
                <w:sz w:val="16"/>
                <w:szCs w:val="16"/>
              </w:rPr>
            </w:pPr>
            <w:r w:rsidRPr="009B6EAC">
              <w:rPr>
                <w:rFonts w:ascii="Calibri" w:eastAsia="Times New Roman" w:hAnsi="Calibri" w:cs="Calibri"/>
                <w:sz w:val="16"/>
                <w:szCs w:val="16"/>
              </w:rPr>
              <w:t>Problematica se reiterează la</w:t>
            </w:r>
            <w:r>
              <w:rPr>
                <w:rFonts w:ascii="Calibri" w:eastAsia="Times New Roman" w:hAnsi="Calibri" w:cs="Calibri"/>
                <w:sz w:val="16"/>
                <w:szCs w:val="16"/>
              </w:rPr>
              <w:t xml:space="preserve"> pct.4.4.1.</w:t>
            </w:r>
            <w:r w:rsidRPr="009B6EAC">
              <w:rPr>
                <w:rFonts w:ascii="Calibri" w:eastAsia="Times New Roman" w:hAnsi="Calibri" w:cs="Calibri"/>
                <w:sz w:val="16"/>
                <w:szCs w:val="16"/>
              </w:rPr>
              <w:t xml:space="preserve"> din prezentul Raport de audit</w:t>
            </w:r>
          </w:p>
        </w:tc>
      </w:tr>
      <w:tr w:rsidR="00447CBE" w:rsidRPr="00CF7154" w14:paraId="58F9ABE7" w14:textId="77777777" w:rsidTr="00447CBE">
        <w:trPr>
          <w:trHeight w:val="1740"/>
        </w:trPr>
        <w:tc>
          <w:tcPr>
            <w:tcW w:w="1985" w:type="dxa"/>
            <w:tcBorders>
              <w:top w:val="nil"/>
              <w:left w:val="single" w:sz="4" w:space="0" w:color="auto"/>
              <w:bottom w:val="single" w:sz="4" w:space="0" w:color="auto"/>
              <w:right w:val="single" w:sz="4" w:space="0" w:color="auto"/>
            </w:tcBorders>
            <w:shd w:val="clear" w:color="auto" w:fill="auto"/>
            <w:hideMark/>
          </w:tcPr>
          <w:p w14:paraId="3B96286E" w14:textId="77777777" w:rsidR="00447CBE" w:rsidRPr="00CF7154" w:rsidRDefault="00447CBE" w:rsidP="00447CBE">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 xml:space="preserve">Recomandarea nr.2: </w:t>
            </w:r>
            <w:r w:rsidRPr="00CF7154">
              <w:rPr>
                <w:rFonts w:ascii="Calibri" w:eastAsia="Times New Roman" w:hAnsi="Calibri" w:cs="Calibri"/>
                <w:color w:val="000000"/>
                <w:sz w:val="16"/>
                <w:szCs w:val="16"/>
              </w:rPr>
              <w:t xml:space="preserve">Să asigure funcționalitatea rezultativă a managementului financiar și a sistemului de control intern în vederea bunei guvernări a fondurilor publice. </w:t>
            </w:r>
          </w:p>
        </w:tc>
        <w:tc>
          <w:tcPr>
            <w:tcW w:w="5529" w:type="dxa"/>
            <w:tcBorders>
              <w:top w:val="nil"/>
              <w:left w:val="nil"/>
              <w:bottom w:val="single" w:sz="4" w:space="0" w:color="auto"/>
              <w:right w:val="single" w:sz="4" w:space="0" w:color="auto"/>
            </w:tcBorders>
            <w:shd w:val="clear" w:color="auto" w:fill="auto"/>
            <w:hideMark/>
          </w:tcPr>
          <w:p w14:paraId="0A99E4EC"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1. Ordinul I.P. Direcția generală pentru administrarea clădirilor guvernului nr.229-A din 29.08.2013 prin care s-a aprobat Planul de măsuri prin lichidarea neajunsurilor și încălcăril</w:t>
            </w:r>
            <w:r>
              <w:rPr>
                <w:rFonts w:ascii="Calibri" w:eastAsia="Times New Roman" w:hAnsi="Calibri" w:cs="Calibri"/>
                <w:color w:val="000000"/>
                <w:sz w:val="16"/>
                <w:szCs w:val="16"/>
              </w:rPr>
              <w:t>or constatate în rezultatul audi</w:t>
            </w:r>
            <w:r w:rsidRPr="00CF7154">
              <w:rPr>
                <w:rFonts w:ascii="Calibri" w:eastAsia="Times New Roman" w:hAnsi="Calibri" w:cs="Calibri"/>
                <w:color w:val="000000"/>
                <w:sz w:val="16"/>
                <w:szCs w:val="16"/>
              </w:rPr>
              <w:t>tului regularității exercițiului bugetar pe anul 2012 și gestionării patrimoniului public la l I.P. Direcția generală pentru administrarea clădirilor guvernului, aprobat la 28.08.2013;</w:t>
            </w:r>
            <w:r w:rsidRPr="00CF7154">
              <w:rPr>
                <w:rFonts w:ascii="Calibri" w:eastAsia="Times New Roman" w:hAnsi="Calibri" w:cs="Calibri"/>
                <w:color w:val="000000"/>
                <w:sz w:val="16"/>
                <w:szCs w:val="16"/>
              </w:rPr>
              <w:br/>
              <w:t>2. Scrisoarea I.P. Direcția generală pentru administrarea clădirilor guvernului nr.850-03 din 13.08.2013 prin care se prezintă propunerile la rectificarea bugetului de stat pe anul 2013 referitor la micșorarea veniturilor și respectiv a cheltuielilor preconizate la contul mijloacelor speciale. Micșorarea veniturilor se argumentează prin rezultatele pentru primul semestru al a.2013</w:t>
            </w:r>
          </w:p>
        </w:tc>
        <w:tc>
          <w:tcPr>
            <w:tcW w:w="603" w:type="dxa"/>
            <w:tcBorders>
              <w:top w:val="nil"/>
              <w:left w:val="nil"/>
              <w:bottom w:val="single" w:sz="4" w:space="0" w:color="auto"/>
              <w:right w:val="single" w:sz="4" w:space="0" w:color="auto"/>
            </w:tcBorders>
            <w:shd w:val="clear" w:color="auto" w:fill="auto"/>
            <w:vAlign w:val="center"/>
            <w:hideMark/>
          </w:tcPr>
          <w:p w14:paraId="4CEFE6DC"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2A785772" w14:textId="68B2E6AF"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65BF7BDD"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hideMark/>
          </w:tcPr>
          <w:p w14:paraId="7DFFCA1D" w14:textId="29A3BF7A" w:rsidR="00447CBE" w:rsidRPr="009B6EAC" w:rsidRDefault="00447CBE" w:rsidP="00447CBE">
            <w:pPr>
              <w:spacing w:after="0" w:line="240" w:lineRule="auto"/>
              <w:rPr>
                <w:rFonts w:ascii="Calibri" w:eastAsia="Times New Roman" w:hAnsi="Calibri" w:cs="Calibri"/>
                <w:sz w:val="16"/>
                <w:szCs w:val="16"/>
              </w:rPr>
            </w:pPr>
            <w:r w:rsidRPr="009B6EAC">
              <w:rPr>
                <w:rFonts w:ascii="Calibri" w:eastAsia="Times New Roman" w:hAnsi="Calibri" w:cs="Calibri"/>
                <w:sz w:val="16"/>
                <w:szCs w:val="16"/>
              </w:rPr>
              <w:t>Problematica se reiterează la pct. 4.</w:t>
            </w:r>
            <w:r>
              <w:rPr>
                <w:rFonts w:ascii="Calibri" w:eastAsia="Times New Roman" w:hAnsi="Calibri" w:cs="Calibri"/>
                <w:sz w:val="16"/>
                <w:szCs w:val="16"/>
              </w:rPr>
              <w:t>4.</w:t>
            </w:r>
            <w:r w:rsidRPr="009B6EAC">
              <w:rPr>
                <w:rFonts w:ascii="Calibri" w:eastAsia="Times New Roman" w:hAnsi="Calibri" w:cs="Calibri"/>
                <w:sz w:val="16"/>
                <w:szCs w:val="16"/>
              </w:rPr>
              <w:t>1</w:t>
            </w:r>
            <w:r>
              <w:rPr>
                <w:rFonts w:ascii="Calibri" w:eastAsia="Times New Roman" w:hAnsi="Calibri" w:cs="Calibri"/>
                <w:sz w:val="16"/>
                <w:szCs w:val="16"/>
              </w:rPr>
              <w:t>.</w:t>
            </w:r>
            <w:r w:rsidRPr="009B6EAC">
              <w:rPr>
                <w:rFonts w:ascii="Calibri" w:eastAsia="Times New Roman" w:hAnsi="Calibri" w:cs="Calibri"/>
                <w:sz w:val="16"/>
                <w:szCs w:val="16"/>
              </w:rPr>
              <w:t xml:space="preserve"> din prezentul Raport de audit</w:t>
            </w:r>
          </w:p>
        </w:tc>
      </w:tr>
      <w:tr w:rsidR="00447CBE" w:rsidRPr="00CF7154" w14:paraId="4781D34A" w14:textId="77777777" w:rsidTr="00447CBE">
        <w:trPr>
          <w:trHeight w:val="280"/>
        </w:trPr>
        <w:tc>
          <w:tcPr>
            <w:tcW w:w="1985" w:type="dxa"/>
            <w:tcBorders>
              <w:top w:val="nil"/>
              <w:left w:val="single" w:sz="4" w:space="0" w:color="auto"/>
              <w:bottom w:val="single" w:sz="4" w:space="0" w:color="auto"/>
              <w:right w:val="single" w:sz="4" w:space="0" w:color="auto"/>
            </w:tcBorders>
            <w:shd w:val="clear" w:color="auto" w:fill="auto"/>
            <w:hideMark/>
          </w:tcPr>
          <w:p w14:paraId="7D449003" w14:textId="0FE1A01D" w:rsidR="00447CBE" w:rsidRPr="00CF7154" w:rsidRDefault="00447CBE" w:rsidP="00447CBE">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Recomandarea nr.3:</w:t>
            </w:r>
            <w:r>
              <w:rPr>
                <w:rFonts w:ascii="Calibri" w:eastAsia="Times New Roman" w:hAnsi="Calibri" w:cs="Calibri"/>
                <w:b/>
                <w:bCs/>
                <w:color w:val="000000"/>
                <w:sz w:val="16"/>
                <w:szCs w:val="16"/>
              </w:rPr>
              <w:t xml:space="preserve"> </w:t>
            </w:r>
            <w:r w:rsidRPr="00CF7154">
              <w:rPr>
                <w:rFonts w:ascii="Calibri" w:eastAsia="Times New Roman" w:hAnsi="Calibri" w:cs="Calibri"/>
                <w:color w:val="000000"/>
                <w:sz w:val="16"/>
                <w:szCs w:val="16"/>
              </w:rPr>
              <w:t>Să întreprindă măsurile de rigoare pentru neadmiterea formării datoriilor debitoare și creditoare, cu identificarea factorilor și condițiilor ce generează admiterea și creșterea acestora.</w:t>
            </w:r>
          </w:p>
        </w:tc>
        <w:tc>
          <w:tcPr>
            <w:tcW w:w="5529" w:type="dxa"/>
            <w:tcBorders>
              <w:top w:val="nil"/>
              <w:left w:val="nil"/>
              <w:bottom w:val="single" w:sz="4" w:space="0" w:color="auto"/>
              <w:right w:val="single" w:sz="4" w:space="0" w:color="auto"/>
            </w:tcBorders>
            <w:shd w:val="clear" w:color="auto" w:fill="auto"/>
            <w:hideMark/>
          </w:tcPr>
          <w:p w14:paraId="4A55ADCA" w14:textId="61D4B1B4"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1. Lista debitorilor Direcției generale cărora li s-au înaintat pretenții în a.2013, suma totală a datorie la data pretenției constituie 2 142 462,75 lei;</w:t>
            </w:r>
            <w:r w:rsidRPr="00CF7154">
              <w:rPr>
                <w:rFonts w:ascii="Calibri" w:eastAsia="Times New Roman" w:hAnsi="Calibri" w:cs="Calibri"/>
                <w:color w:val="000000"/>
                <w:sz w:val="16"/>
                <w:szCs w:val="16"/>
              </w:rPr>
              <w:br/>
              <w:t>2. Litigiile aflate pe rolul instanțelor naționale în care DGACG are calitatea de reclamant (cu privire la încasarea datoriilor), suma totală</w:t>
            </w:r>
            <w:r>
              <w:rPr>
                <w:rFonts w:ascii="Calibri" w:eastAsia="Times New Roman" w:hAnsi="Calibri" w:cs="Calibri"/>
                <w:color w:val="000000"/>
                <w:sz w:val="16"/>
                <w:szCs w:val="16"/>
              </w:rPr>
              <w:t xml:space="preserve"> </w:t>
            </w:r>
            <w:r w:rsidRPr="00CF7154">
              <w:rPr>
                <w:rFonts w:ascii="Calibri" w:eastAsia="Times New Roman" w:hAnsi="Calibri" w:cs="Calibri"/>
                <w:color w:val="000000"/>
                <w:sz w:val="16"/>
                <w:szCs w:val="16"/>
              </w:rPr>
              <w:t>a datoriei de încasat constituie 2 741 242,29 lei.</w:t>
            </w:r>
          </w:p>
        </w:tc>
        <w:tc>
          <w:tcPr>
            <w:tcW w:w="603" w:type="dxa"/>
            <w:tcBorders>
              <w:top w:val="nil"/>
              <w:left w:val="nil"/>
              <w:bottom w:val="single" w:sz="4" w:space="0" w:color="auto"/>
              <w:right w:val="single" w:sz="4" w:space="0" w:color="auto"/>
            </w:tcBorders>
            <w:shd w:val="clear" w:color="auto" w:fill="auto"/>
            <w:vAlign w:val="center"/>
            <w:hideMark/>
          </w:tcPr>
          <w:p w14:paraId="53F8EB09"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0F5D8B25" w14:textId="0B207462"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12AFB9E0"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tcPr>
          <w:p w14:paraId="7A7A7906" w14:textId="0509D0AA" w:rsidR="00447CBE" w:rsidRPr="00CF7154" w:rsidRDefault="00447CBE" w:rsidP="00447CBE">
            <w:pPr>
              <w:spacing w:after="0" w:line="240" w:lineRule="auto"/>
              <w:rPr>
                <w:rFonts w:ascii="Calibri" w:eastAsia="Times New Roman" w:hAnsi="Calibri" w:cs="Calibri"/>
                <w:color w:val="000000"/>
                <w:sz w:val="16"/>
                <w:szCs w:val="16"/>
              </w:rPr>
            </w:pPr>
          </w:p>
        </w:tc>
      </w:tr>
      <w:tr w:rsidR="00447CBE" w:rsidRPr="00CF7154" w14:paraId="010E871C" w14:textId="77777777" w:rsidTr="00447CBE">
        <w:trPr>
          <w:trHeight w:val="58"/>
        </w:trPr>
        <w:tc>
          <w:tcPr>
            <w:tcW w:w="1985" w:type="dxa"/>
            <w:tcBorders>
              <w:top w:val="nil"/>
              <w:left w:val="single" w:sz="4" w:space="0" w:color="auto"/>
              <w:bottom w:val="single" w:sz="4" w:space="0" w:color="auto"/>
              <w:right w:val="single" w:sz="4" w:space="0" w:color="auto"/>
            </w:tcBorders>
            <w:shd w:val="clear" w:color="auto" w:fill="auto"/>
            <w:hideMark/>
          </w:tcPr>
          <w:p w14:paraId="5A939E50" w14:textId="47E46519" w:rsidR="00447CBE" w:rsidRPr="00CF7154" w:rsidRDefault="00447CBE" w:rsidP="00447CBE">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Recomandarea nr. 4:</w:t>
            </w:r>
            <w:r>
              <w:rPr>
                <w:rFonts w:ascii="Calibri" w:eastAsia="Times New Roman" w:hAnsi="Calibri" w:cs="Calibri"/>
                <w:b/>
                <w:bCs/>
                <w:color w:val="000000"/>
                <w:sz w:val="16"/>
                <w:szCs w:val="16"/>
              </w:rPr>
              <w:t xml:space="preserve"> </w:t>
            </w:r>
            <w:r w:rsidRPr="00CF7154">
              <w:rPr>
                <w:rFonts w:ascii="Calibri" w:eastAsia="Times New Roman" w:hAnsi="Calibri" w:cs="Calibri"/>
                <w:color w:val="000000"/>
                <w:sz w:val="16"/>
                <w:szCs w:val="16"/>
              </w:rPr>
              <w:t>Să asigure conformitatea înregistrării drepturilor patrimoniale la organele cadastrale.</w:t>
            </w:r>
          </w:p>
        </w:tc>
        <w:tc>
          <w:tcPr>
            <w:tcW w:w="9219" w:type="dxa"/>
            <w:gridSpan w:val="5"/>
            <w:tcBorders>
              <w:top w:val="nil"/>
              <w:left w:val="nil"/>
              <w:bottom w:val="single" w:sz="4" w:space="0" w:color="auto"/>
              <w:right w:val="single" w:sz="4" w:space="0" w:color="auto"/>
            </w:tcBorders>
            <w:shd w:val="clear" w:color="auto" w:fill="auto"/>
            <w:hideMark/>
          </w:tcPr>
          <w:p w14:paraId="62B674A0" w14:textId="026A1DC4" w:rsidR="00447CBE" w:rsidRPr="00CF7154" w:rsidRDefault="00447CBE" w:rsidP="00447CBE">
            <w:pPr>
              <w:spacing w:after="0" w:line="240" w:lineRule="auto"/>
              <w:jc w:val="both"/>
              <w:rPr>
                <w:rFonts w:ascii="Calibri" w:eastAsia="Times New Roman" w:hAnsi="Calibri" w:cs="Calibri"/>
                <w:color w:val="000000"/>
                <w:sz w:val="16"/>
                <w:szCs w:val="16"/>
              </w:rPr>
            </w:pPr>
            <w:r w:rsidRPr="00CF7154">
              <w:rPr>
                <w:rFonts w:ascii="Calibri" w:eastAsia="Times New Roman" w:hAnsi="Calibri" w:cs="Calibri"/>
                <w:color w:val="000000"/>
                <w:sz w:val="16"/>
                <w:szCs w:val="16"/>
              </w:rPr>
              <w:t>Imobilele gospodăriei auxiliare ale Complexului Condrița, cu suprafața totală de 611,8 m2 în valoare de 4,0 mil.lei au fost transmise</w:t>
            </w:r>
            <w:r>
              <w:rPr>
                <w:rFonts w:ascii="Calibri" w:eastAsia="Times New Roman" w:hAnsi="Calibri" w:cs="Calibri"/>
                <w:color w:val="000000"/>
                <w:sz w:val="16"/>
                <w:szCs w:val="16"/>
              </w:rPr>
              <w:t xml:space="preserve"> din gestiune DGACG </w:t>
            </w:r>
            <w:r w:rsidRPr="00CF7154">
              <w:rPr>
                <w:rFonts w:ascii="Calibri" w:eastAsia="Times New Roman" w:hAnsi="Calibri" w:cs="Calibri"/>
                <w:color w:val="000000"/>
                <w:sz w:val="16"/>
                <w:szCs w:val="16"/>
              </w:rPr>
              <w:t>în gestiunea Aparatului Președintelui RM</w:t>
            </w:r>
            <w:r>
              <w:rPr>
                <w:rFonts w:ascii="Calibri" w:eastAsia="Times New Roman" w:hAnsi="Calibri" w:cs="Calibri"/>
                <w:color w:val="000000"/>
                <w:sz w:val="16"/>
                <w:szCs w:val="16"/>
              </w:rPr>
              <w:t>. În acest context re</w:t>
            </w:r>
            <w:r w:rsidRPr="00CF7154">
              <w:rPr>
                <w:rFonts w:ascii="Calibri" w:eastAsia="Times New Roman" w:hAnsi="Calibri" w:cs="Calibri"/>
                <w:color w:val="000000"/>
                <w:sz w:val="16"/>
                <w:szCs w:val="16"/>
              </w:rPr>
              <w:t xml:space="preserve">comandarea dată și-a pierdut actualitatea, </w:t>
            </w:r>
            <w:r>
              <w:rPr>
                <w:rFonts w:ascii="Calibri" w:eastAsia="Times New Roman" w:hAnsi="Calibri" w:cs="Calibri"/>
                <w:color w:val="000000"/>
                <w:sz w:val="16"/>
                <w:szCs w:val="16"/>
              </w:rPr>
              <w:t>iar</w:t>
            </w:r>
            <w:r w:rsidRPr="00CF7154">
              <w:rPr>
                <w:rFonts w:ascii="Calibri" w:eastAsia="Times New Roman" w:hAnsi="Calibri" w:cs="Calibri"/>
                <w:color w:val="000000"/>
                <w:sz w:val="16"/>
                <w:szCs w:val="16"/>
              </w:rPr>
              <w:t xml:space="preserve"> recomandarea respectivă </w:t>
            </w:r>
            <w:r w:rsidRPr="00CF7154">
              <w:rPr>
                <w:rFonts w:ascii="Calibri" w:eastAsia="Times New Roman" w:hAnsi="Calibri" w:cs="Calibri"/>
                <w:b/>
                <w:bCs/>
                <w:color w:val="000000"/>
                <w:sz w:val="16"/>
                <w:szCs w:val="16"/>
              </w:rPr>
              <w:t>se propune de a fi exclusă din regim de monitorizare</w:t>
            </w:r>
          </w:p>
          <w:p w14:paraId="11A3DDCB" w14:textId="56807316"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p w14:paraId="1602BD29" w14:textId="021F9BAD"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p w14:paraId="0596B0EF" w14:textId="2F1D66EF"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r>
      <w:tr w:rsidR="00447CBE" w:rsidRPr="00CF7154" w14:paraId="34F951AA" w14:textId="77777777" w:rsidTr="00447CBE">
        <w:trPr>
          <w:trHeight w:val="1536"/>
        </w:trPr>
        <w:tc>
          <w:tcPr>
            <w:tcW w:w="1985" w:type="dxa"/>
            <w:tcBorders>
              <w:top w:val="nil"/>
              <w:left w:val="single" w:sz="4" w:space="0" w:color="auto"/>
              <w:bottom w:val="single" w:sz="4" w:space="0" w:color="auto"/>
              <w:right w:val="single" w:sz="4" w:space="0" w:color="auto"/>
            </w:tcBorders>
            <w:shd w:val="clear" w:color="auto" w:fill="auto"/>
            <w:hideMark/>
          </w:tcPr>
          <w:p w14:paraId="2561FF30" w14:textId="77777777" w:rsidR="00447CBE" w:rsidRPr="00CF7154" w:rsidRDefault="00447CBE" w:rsidP="00447CBE">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Recomandarea nr.5:</w:t>
            </w:r>
            <w:r w:rsidRPr="00CF7154">
              <w:rPr>
                <w:rFonts w:ascii="Calibri" w:eastAsia="Times New Roman" w:hAnsi="Calibri" w:cs="Calibri"/>
                <w:color w:val="000000"/>
                <w:sz w:val="16"/>
                <w:szCs w:val="16"/>
              </w:rPr>
              <w:t xml:space="preserve"> Să estimeze situația vizînd tendința de menținere a funcțiilor vacante pe perioade de lungă durată, cu excluderea planificării depline a surselor de finanțare și cu redistribuirea ulterioară a alocațiilor la alte destinații economice</w:t>
            </w:r>
          </w:p>
        </w:tc>
        <w:tc>
          <w:tcPr>
            <w:tcW w:w="5529" w:type="dxa"/>
            <w:tcBorders>
              <w:top w:val="nil"/>
              <w:left w:val="nil"/>
              <w:bottom w:val="single" w:sz="4" w:space="0" w:color="auto"/>
              <w:right w:val="single" w:sz="4" w:space="0" w:color="auto"/>
            </w:tcBorders>
            <w:shd w:val="clear" w:color="auto" w:fill="auto"/>
            <w:hideMark/>
          </w:tcPr>
          <w:p w14:paraId="3B8788E4"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1.Prin Scrisoarea nr.1015-02 din 18.10.2013 I.P Direcția generală pentru administrarea clădirilor guvernului, a informat CCRM despre faptul că, „în urma estimării situației vizând tendința de menținere a funcțiilor vacante, în anul 2013, au fost reduse 21 unități de personal, respectiv, alocațiile în sumă de 981,0 mii lei, prevăzute inițial pentru aceste unități, au fost redistribuite prin modificarea p</w:t>
            </w:r>
            <w:r>
              <w:rPr>
                <w:rFonts w:ascii="Calibri" w:eastAsia="Times New Roman" w:hAnsi="Calibri" w:cs="Calibri"/>
                <w:color w:val="000000"/>
                <w:sz w:val="16"/>
                <w:szCs w:val="16"/>
              </w:rPr>
              <w:t>lanului de finanțare, direcționâ</w:t>
            </w:r>
            <w:r w:rsidRPr="00CF7154">
              <w:rPr>
                <w:rFonts w:ascii="Calibri" w:eastAsia="Times New Roman" w:hAnsi="Calibri" w:cs="Calibri"/>
                <w:color w:val="000000"/>
                <w:sz w:val="16"/>
                <w:szCs w:val="16"/>
              </w:rPr>
              <w:t>nd aceste alocații pentru plata indemnizațiilor din mijloacele financiare ale angajatorului și mărfurilor și serviciilor, inclusiv: 120,0 mii lei din contul cheltuielilor de bază ale bugetului de stat; 861,1 mii lei din contul mijloacelor speciale. Următoarea estimare în acest scop va fi efectuată la finele anului 2013.</w:t>
            </w:r>
          </w:p>
        </w:tc>
        <w:tc>
          <w:tcPr>
            <w:tcW w:w="603" w:type="dxa"/>
            <w:tcBorders>
              <w:top w:val="nil"/>
              <w:left w:val="nil"/>
              <w:bottom w:val="single" w:sz="4" w:space="0" w:color="auto"/>
              <w:right w:val="single" w:sz="4" w:space="0" w:color="auto"/>
            </w:tcBorders>
            <w:shd w:val="clear" w:color="auto" w:fill="auto"/>
            <w:vAlign w:val="center"/>
            <w:hideMark/>
          </w:tcPr>
          <w:p w14:paraId="599B5780" w14:textId="1FC32CE5"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3778A25E"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29F9B3F6"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vAlign w:val="bottom"/>
            <w:hideMark/>
          </w:tcPr>
          <w:p w14:paraId="6B79A69A"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r>
      <w:tr w:rsidR="00447CBE" w:rsidRPr="00CF7154" w14:paraId="4A4DF977" w14:textId="77777777" w:rsidTr="00447CBE">
        <w:trPr>
          <w:trHeight w:val="7678"/>
        </w:trPr>
        <w:tc>
          <w:tcPr>
            <w:tcW w:w="1985" w:type="dxa"/>
            <w:tcBorders>
              <w:top w:val="nil"/>
              <w:left w:val="single" w:sz="4" w:space="0" w:color="auto"/>
              <w:bottom w:val="single" w:sz="4" w:space="0" w:color="auto"/>
              <w:right w:val="single" w:sz="4" w:space="0" w:color="auto"/>
            </w:tcBorders>
            <w:shd w:val="clear" w:color="auto" w:fill="auto"/>
            <w:hideMark/>
          </w:tcPr>
          <w:p w14:paraId="5BBEBA00" w14:textId="50B4AB0A" w:rsidR="00447CBE" w:rsidRPr="00CF7154" w:rsidRDefault="00447CBE" w:rsidP="00447CBE">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Recomandarea nr. 6:</w:t>
            </w:r>
            <w:r>
              <w:rPr>
                <w:rFonts w:ascii="Calibri" w:eastAsia="Times New Roman" w:hAnsi="Calibri" w:cs="Calibri"/>
                <w:b/>
                <w:bCs/>
                <w:color w:val="000000"/>
                <w:sz w:val="16"/>
                <w:szCs w:val="16"/>
              </w:rPr>
              <w:t xml:space="preserve"> </w:t>
            </w:r>
            <w:r w:rsidRPr="00CF7154">
              <w:rPr>
                <w:rFonts w:ascii="Calibri" w:eastAsia="Times New Roman" w:hAnsi="Calibri" w:cs="Calibri"/>
                <w:color w:val="000000"/>
                <w:sz w:val="16"/>
                <w:szCs w:val="16"/>
              </w:rPr>
              <w:t>Să asigure executarea Hotărîrii Guvernului nr. 443 din 24.04.2007 „Cu privire la transmiterea unui bun imobil”. (Să transmită, cu titlu gratuit, din proprietatea publică a statului (din gestiunea economică a Direcţiei generale pentru administrarea clădirilor Guvernului) în proprietatea Asociaţiei de coproprietari în condominiu nr.55/81 blocul locativ cu 63 apartamente (cu excepţia apartamentelor nr.29, 38 şi 50) şi construcţiile aferente, amplasate pe str.Florica Niţă 7/1, mun.Chişinău, conform documentelor cadastrale.</w:t>
            </w:r>
          </w:p>
        </w:tc>
        <w:tc>
          <w:tcPr>
            <w:tcW w:w="5529" w:type="dxa"/>
            <w:tcBorders>
              <w:top w:val="nil"/>
              <w:left w:val="nil"/>
              <w:bottom w:val="single" w:sz="4" w:space="0" w:color="auto"/>
              <w:right w:val="single" w:sz="4" w:space="0" w:color="auto"/>
            </w:tcBorders>
            <w:shd w:val="clear" w:color="auto" w:fill="auto"/>
            <w:hideMark/>
          </w:tcPr>
          <w:p w14:paraId="3EF28AA3"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1. Prin Demersul nr.12 din 06.06.2013 Consiliul de administrare al Asociației de coproprietari în condominiu nr.55/81 din str. Florica Niță 7/1 s-a adresat către Prim-Ministrul RM, de a apăra drepturile locatarilor la proprietate. În acest sens, în scrisoarea dată, se menționează că „Blocul locativ cu 63 de apartamente cu magazin anexat” din str. Florica Niță 7/1, a fost privatizat în întregime de către locatari, fapt confirmat de Direcția generală economie, reforme și relații patrimoniale a Consiliului mun.</w:t>
            </w:r>
            <w:r>
              <w:rPr>
                <w:rFonts w:ascii="Calibri" w:eastAsia="Times New Roman" w:hAnsi="Calibri" w:cs="Calibri"/>
                <w:color w:val="000000"/>
                <w:sz w:val="16"/>
                <w:szCs w:val="16"/>
              </w:rPr>
              <w:t xml:space="preserve"> </w:t>
            </w:r>
            <w:r w:rsidRPr="00CF7154">
              <w:rPr>
                <w:rFonts w:ascii="Calibri" w:eastAsia="Times New Roman" w:hAnsi="Calibri" w:cs="Calibri"/>
                <w:color w:val="000000"/>
                <w:sz w:val="16"/>
                <w:szCs w:val="16"/>
              </w:rPr>
              <w:t>Chișinău, și ignorat la transmiterea imobilu</w:t>
            </w:r>
            <w:r>
              <w:rPr>
                <w:rFonts w:ascii="Calibri" w:eastAsia="Times New Roman" w:hAnsi="Calibri" w:cs="Calibri"/>
                <w:color w:val="000000"/>
                <w:sz w:val="16"/>
                <w:szCs w:val="16"/>
              </w:rPr>
              <w:t>lu</w:t>
            </w:r>
            <w:r w:rsidRPr="00CF7154">
              <w:rPr>
                <w:rFonts w:ascii="Calibri" w:eastAsia="Times New Roman" w:hAnsi="Calibri" w:cs="Calibri"/>
                <w:color w:val="000000"/>
                <w:sz w:val="16"/>
                <w:szCs w:val="16"/>
              </w:rPr>
              <w:t xml:space="preserve">i integru de la balanța DGACG la balanța Asociației din cauza amplasării abuzive a magazinului anexat pe </w:t>
            </w:r>
            <w:r>
              <w:rPr>
                <w:rFonts w:ascii="Calibri" w:eastAsia="Times New Roman" w:hAnsi="Calibri" w:cs="Calibri"/>
                <w:color w:val="000000"/>
                <w:sz w:val="16"/>
                <w:szCs w:val="16"/>
              </w:rPr>
              <w:t>o altă adresă poș</w:t>
            </w:r>
            <w:r w:rsidRPr="00CF7154">
              <w:rPr>
                <w:rFonts w:ascii="Calibri" w:eastAsia="Times New Roman" w:hAnsi="Calibri" w:cs="Calibri"/>
                <w:color w:val="000000"/>
                <w:sz w:val="16"/>
                <w:szCs w:val="16"/>
              </w:rPr>
              <w:t>tală. Totodată, se menționează că, pct.11 din Hotărârea Plenului CSJ nr.10 din 30.10.2009, temei pentru înregistrarea dreptului de proprietate asupra bunului imobil construit este PV de recepție finală a construcției și nu decizia Primăriei de dare în exploatare, prin care obiectul integru cu rețelele inginerești comune, cu un bilanț unic, etc, a fost divizat în 2 obiecte;</w:t>
            </w:r>
            <w:r w:rsidRPr="00CF7154">
              <w:rPr>
                <w:rFonts w:ascii="Calibri" w:eastAsia="Times New Roman" w:hAnsi="Calibri" w:cs="Calibri"/>
                <w:color w:val="000000"/>
                <w:sz w:val="16"/>
                <w:szCs w:val="16"/>
              </w:rPr>
              <w:br/>
              <w:t>2. Scrisoarea răspuns nr.1904-635 di 07.08.2013 a Cancelariei de Stat la demersul nr. 12 din 06.06.2013 a Consi</w:t>
            </w:r>
            <w:r>
              <w:rPr>
                <w:rFonts w:ascii="Calibri" w:eastAsia="Times New Roman" w:hAnsi="Calibri" w:cs="Calibri"/>
                <w:color w:val="000000"/>
                <w:sz w:val="16"/>
                <w:szCs w:val="16"/>
              </w:rPr>
              <w:t>li</w:t>
            </w:r>
            <w:r w:rsidRPr="00CF7154">
              <w:rPr>
                <w:rFonts w:ascii="Calibri" w:eastAsia="Times New Roman" w:hAnsi="Calibri" w:cs="Calibri"/>
                <w:color w:val="000000"/>
                <w:sz w:val="16"/>
                <w:szCs w:val="16"/>
              </w:rPr>
              <w:t>ului de administrare a Asociației de coproprietari în condominiu nr.55/81, prin care se</w:t>
            </w:r>
            <w:r>
              <w:rPr>
                <w:rFonts w:ascii="Calibri" w:eastAsia="Times New Roman" w:hAnsi="Calibri" w:cs="Calibri"/>
                <w:color w:val="000000"/>
                <w:sz w:val="16"/>
                <w:szCs w:val="16"/>
              </w:rPr>
              <w:t xml:space="preserve"> </w:t>
            </w:r>
            <w:r w:rsidRPr="00CF7154">
              <w:rPr>
                <w:rFonts w:ascii="Calibri" w:eastAsia="Times New Roman" w:hAnsi="Calibri" w:cs="Calibri"/>
                <w:color w:val="000000"/>
                <w:sz w:val="16"/>
                <w:szCs w:val="16"/>
              </w:rPr>
              <w:t>comunică despre faptul că „prin Decizia Primăriei mun.</w:t>
            </w:r>
            <w:r>
              <w:rPr>
                <w:rFonts w:ascii="Calibri" w:eastAsia="Times New Roman" w:hAnsi="Calibri" w:cs="Calibri"/>
                <w:color w:val="000000"/>
                <w:sz w:val="16"/>
                <w:szCs w:val="16"/>
              </w:rPr>
              <w:t xml:space="preserve"> </w:t>
            </w:r>
            <w:r w:rsidRPr="00CF7154">
              <w:rPr>
                <w:rFonts w:ascii="Calibri" w:eastAsia="Times New Roman" w:hAnsi="Calibri" w:cs="Calibri"/>
                <w:color w:val="000000"/>
                <w:sz w:val="16"/>
                <w:szCs w:val="16"/>
              </w:rPr>
              <w:t>Chișinău nr.1/8 din 05.01.1995 „Cu privire la aprobarea proceselor verbale întocmite de comisiile de stat și la transmiterea obiectivelor la balanță” au fost transm</w:t>
            </w:r>
            <w:r>
              <w:rPr>
                <w:rFonts w:ascii="Calibri" w:eastAsia="Times New Roman" w:hAnsi="Calibri" w:cs="Calibri"/>
                <w:color w:val="000000"/>
                <w:sz w:val="16"/>
                <w:szCs w:val="16"/>
              </w:rPr>
              <w:t>ise la balanța DGACG „blocul loc</w:t>
            </w:r>
            <w:r w:rsidRPr="00CF7154">
              <w:rPr>
                <w:rFonts w:ascii="Calibri" w:eastAsia="Times New Roman" w:hAnsi="Calibri" w:cs="Calibri"/>
                <w:color w:val="000000"/>
                <w:sz w:val="16"/>
                <w:szCs w:val="16"/>
              </w:rPr>
              <w:t>ativ cu 9 etaje, 63 de apartamente, de pe str.</w:t>
            </w:r>
            <w:r>
              <w:rPr>
                <w:rFonts w:ascii="Calibri" w:eastAsia="Times New Roman" w:hAnsi="Calibri" w:cs="Calibri"/>
                <w:color w:val="000000"/>
                <w:sz w:val="16"/>
                <w:szCs w:val="16"/>
              </w:rPr>
              <w:t xml:space="preserve"> </w:t>
            </w:r>
            <w:r w:rsidRPr="00CF7154">
              <w:rPr>
                <w:rFonts w:ascii="Calibri" w:eastAsia="Times New Roman" w:hAnsi="Calibri" w:cs="Calibri"/>
                <w:color w:val="000000"/>
                <w:sz w:val="16"/>
                <w:szCs w:val="16"/>
              </w:rPr>
              <w:t>Florica Niță, 7/1 și magazinul (alimentar) anexat de pe str. Florica Niță 7/2. Prin urmare, au fost transmise DGACG 2 obiecte cu adrese diferite. La 16.03.2009 OCT Chișinău a înregistrat dreptul de gestiune economică al Direcției asupra blocului locativ cu 9 etaje,</w:t>
            </w:r>
            <w:r>
              <w:rPr>
                <w:rFonts w:ascii="Calibri" w:eastAsia="Times New Roman" w:hAnsi="Calibri" w:cs="Calibri"/>
                <w:color w:val="000000"/>
                <w:sz w:val="16"/>
                <w:szCs w:val="16"/>
              </w:rPr>
              <w:t xml:space="preserve"> </w:t>
            </w:r>
            <w:r w:rsidRPr="00CF7154">
              <w:rPr>
                <w:rFonts w:ascii="Calibri" w:eastAsia="Times New Roman" w:hAnsi="Calibri" w:cs="Calibri"/>
                <w:color w:val="000000"/>
                <w:sz w:val="16"/>
                <w:szCs w:val="16"/>
              </w:rPr>
              <w:t xml:space="preserve">iar la 02.04.2009 a înregistrat dreptul de gestiune economică asupra magazinului. Ulterior, la 27.09.2010, OCT Chișinău, a înregistrat dreptul de folosință a Direcției asupra terenului aferent blocului locativ cu 9 etaje și asupra terenului aferent magazinului. Totodată, în </w:t>
            </w:r>
            <w:r>
              <w:rPr>
                <w:rFonts w:ascii="Calibri" w:eastAsia="Times New Roman" w:hAnsi="Calibri" w:cs="Calibri"/>
                <w:color w:val="000000"/>
                <w:sz w:val="16"/>
                <w:szCs w:val="16"/>
              </w:rPr>
              <w:t>scrisoarea Consiliului municipal</w:t>
            </w:r>
            <w:r w:rsidRPr="00CF7154">
              <w:rPr>
                <w:rFonts w:ascii="Calibri" w:eastAsia="Times New Roman" w:hAnsi="Calibri" w:cs="Calibri"/>
                <w:color w:val="000000"/>
                <w:sz w:val="16"/>
                <w:szCs w:val="16"/>
              </w:rPr>
              <w:t xml:space="preserve"> Chișinău nr.02-08/914 din 31.05.2007, anexată la demersul Consiliului de administrare al Asociației locatarilor examinat, este indicat faptul că, „costul total al locuinței se stabilește în conformitate cu metodica de evaluare a locuinței care urmează să fie privatizată, în conformitate cu Anexa nr.2 la Legea privatizării fondului de locuințe nr.1324-XII din 10.03..1993. Conform pct.2 alin.(2) al acestei anexe „Dacă în imobil se află localuri nelocuibile destinate magazinelor, unităților de alimentație publică sau deservire socială, cheltui</w:t>
            </w:r>
            <w:r>
              <w:rPr>
                <w:rFonts w:ascii="Calibri" w:eastAsia="Times New Roman" w:hAnsi="Calibri" w:cs="Calibri"/>
                <w:color w:val="000000"/>
                <w:sz w:val="16"/>
                <w:szCs w:val="16"/>
              </w:rPr>
              <w:t>e</w:t>
            </w:r>
            <w:r w:rsidRPr="00CF7154">
              <w:rPr>
                <w:rFonts w:ascii="Calibri" w:eastAsia="Times New Roman" w:hAnsi="Calibri" w:cs="Calibri"/>
                <w:color w:val="000000"/>
                <w:sz w:val="16"/>
                <w:szCs w:val="16"/>
              </w:rPr>
              <w:t>lile legate de construirea acestor localuri nu se includ în costul apartamentelor, costul apartamentelor din astfel de imobile se compune din costul construcțiilor părții lui locuibile și din partea corespunzătoare a cheltu</w:t>
            </w:r>
            <w:r>
              <w:rPr>
                <w:rFonts w:ascii="Calibri" w:eastAsia="Times New Roman" w:hAnsi="Calibri" w:cs="Calibri"/>
                <w:color w:val="000000"/>
                <w:sz w:val="16"/>
                <w:szCs w:val="16"/>
              </w:rPr>
              <w:t>i</w:t>
            </w:r>
            <w:r w:rsidRPr="00CF7154">
              <w:rPr>
                <w:rFonts w:ascii="Calibri" w:eastAsia="Times New Roman" w:hAnsi="Calibri" w:cs="Calibri"/>
                <w:color w:val="000000"/>
                <w:sz w:val="16"/>
                <w:szCs w:val="16"/>
              </w:rPr>
              <w:t>elilor generale. Re</w:t>
            </w:r>
            <w:r>
              <w:rPr>
                <w:rFonts w:ascii="Calibri" w:eastAsia="Times New Roman" w:hAnsi="Calibri" w:cs="Calibri"/>
                <w:color w:val="000000"/>
                <w:sz w:val="16"/>
                <w:szCs w:val="16"/>
              </w:rPr>
              <w:t>i</w:t>
            </w:r>
            <w:r w:rsidRPr="00CF7154">
              <w:rPr>
                <w:rFonts w:ascii="Calibri" w:eastAsia="Times New Roman" w:hAnsi="Calibri" w:cs="Calibri"/>
                <w:color w:val="000000"/>
                <w:sz w:val="16"/>
                <w:szCs w:val="16"/>
              </w:rPr>
              <w:t>eșind din temeiurile de fapt și de drept expuse anterior, Cancelaria de Stat consideră nefondat demersul Consiliului de administrare a Asociației de coproprietari și necesară inițierea transmiterii blocului locativ cu 9 etaje, 63 de apartamente (cu excepția apartamentelor nr.29,38 și 50), de pe str. Florica Niță 7/1, conform prevederilor HG nr.443 din 24.04.2007.</w:t>
            </w:r>
          </w:p>
        </w:tc>
        <w:tc>
          <w:tcPr>
            <w:tcW w:w="603" w:type="dxa"/>
            <w:tcBorders>
              <w:top w:val="nil"/>
              <w:left w:val="nil"/>
              <w:bottom w:val="single" w:sz="4" w:space="0" w:color="auto"/>
              <w:right w:val="single" w:sz="4" w:space="0" w:color="auto"/>
            </w:tcBorders>
            <w:shd w:val="clear" w:color="auto" w:fill="auto"/>
            <w:vAlign w:val="center"/>
            <w:hideMark/>
          </w:tcPr>
          <w:p w14:paraId="79BD539F"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6F3DF4BE" w14:textId="351B37A8"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nil"/>
              <w:right w:val="nil"/>
            </w:tcBorders>
            <w:shd w:val="clear" w:color="auto" w:fill="auto"/>
            <w:vAlign w:val="bottom"/>
            <w:hideMark/>
          </w:tcPr>
          <w:p w14:paraId="36E31223" w14:textId="77777777" w:rsidR="00447CBE" w:rsidRPr="00CF7154" w:rsidRDefault="00447CBE" w:rsidP="00447CBE">
            <w:pPr>
              <w:spacing w:after="0" w:line="240" w:lineRule="auto"/>
              <w:jc w:val="center"/>
              <w:rPr>
                <w:rFonts w:ascii="Calibri" w:eastAsia="Times New Roman" w:hAnsi="Calibri" w:cs="Calibri"/>
                <w:color w:val="000000"/>
                <w:sz w:val="16"/>
                <w:szCs w:val="16"/>
              </w:rPr>
            </w:pPr>
          </w:p>
        </w:tc>
        <w:tc>
          <w:tcPr>
            <w:tcW w:w="1953" w:type="dxa"/>
            <w:tcBorders>
              <w:top w:val="nil"/>
              <w:left w:val="single" w:sz="4" w:space="0" w:color="auto"/>
              <w:bottom w:val="single" w:sz="4" w:space="0" w:color="auto"/>
              <w:right w:val="single" w:sz="4" w:space="0" w:color="auto"/>
            </w:tcBorders>
            <w:shd w:val="clear" w:color="auto" w:fill="auto"/>
            <w:hideMark/>
          </w:tcPr>
          <w:p w14:paraId="403B9EF5" w14:textId="09462AF8" w:rsidR="00447CBE" w:rsidRPr="003C6369" w:rsidRDefault="00447CBE" w:rsidP="00447CBE">
            <w:pPr>
              <w:spacing w:after="0" w:line="240" w:lineRule="auto"/>
              <w:rPr>
                <w:rFonts w:ascii="Calibri" w:eastAsia="Times New Roman" w:hAnsi="Calibri" w:cs="Calibri"/>
                <w:sz w:val="16"/>
                <w:szCs w:val="16"/>
              </w:rPr>
            </w:pPr>
            <w:r w:rsidRPr="003C6369">
              <w:rPr>
                <w:rFonts w:ascii="Calibri" w:eastAsia="Times New Roman" w:hAnsi="Calibri" w:cs="Calibri"/>
                <w:sz w:val="16"/>
                <w:szCs w:val="16"/>
              </w:rPr>
              <w:t xml:space="preserve">Problematică rămâne a fi situația referitor la implementarea Hotărârii Guvernului nr.443 din 24.04.2007, prin care s-a dispus transmiterea, cu titlu gratuit, din proprietatea publică a statului în proprietatea Asociației de coproprietari în condominiu nr.55/81 blocul locativ cu 63 apartamente (cu excepția apartamentelor nr.29, 37 și 50) și construcțiile aferente, amplasate pe str. Florica Niță 7/1, conform documentelor cadastrale, fapt pentru care aspectul dat </w:t>
            </w:r>
            <w:r w:rsidRPr="003C6369">
              <w:rPr>
                <w:rFonts w:ascii="Calibri" w:eastAsia="Times New Roman" w:hAnsi="Calibri" w:cs="Calibri"/>
                <w:b/>
                <w:bCs/>
                <w:sz w:val="16"/>
                <w:szCs w:val="16"/>
              </w:rPr>
              <w:t xml:space="preserve">se reiterează </w:t>
            </w:r>
            <w:r w:rsidRPr="003C6369">
              <w:rPr>
                <w:rFonts w:ascii="Calibri" w:eastAsia="Times New Roman" w:hAnsi="Calibri" w:cs="Calibri"/>
                <w:sz w:val="16"/>
                <w:szCs w:val="16"/>
              </w:rPr>
              <w:t>la pct. 4.3.2. din prezentul Raport de audit.</w:t>
            </w:r>
          </w:p>
        </w:tc>
      </w:tr>
      <w:tr w:rsidR="00447CBE" w:rsidRPr="00CF7154" w14:paraId="48A6B96F" w14:textId="77777777" w:rsidTr="00447CBE">
        <w:trPr>
          <w:trHeight w:val="1556"/>
        </w:trPr>
        <w:tc>
          <w:tcPr>
            <w:tcW w:w="1985" w:type="dxa"/>
            <w:tcBorders>
              <w:top w:val="nil"/>
              <w:left w:val="single" w:sz="4" w:space="0" w:color="auto"/>
              <w:bottom w:val="single" w:sz="4" w:space="0" w:color="auto"/>
              <w:right w:val="single" w:sz="4" w:space="0" w:color="auto"/>
            </w:tcBorders>
            <w:shd w:val="clear" w:color="auto" w:fill="auto"/>
            <w:hideMark/>
          </w:tcPr>
          <w:p w14:paraId="2C68299E" w14:textId="77777777" w:rsidR="00447CBE" w:rsidRPr="00CF7154" w:rsidRDefault="00447CBE" w:rsidP="00447CBE">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 xml:space="preserve">Recomandarea nr.7: </w:t>
            </w:r>
            <w:r w:rsidRPr="00CF7154">
              <w:rPr>
                <w:rFonts w:ascii="Calibri" w:eastAsia="Times New Roman" w:hAnsi="Calibri" w:cs="Calibri"/>
                <w:color w:val="000000"/>
                <w:sz w:val="16"/>
                <w:szCs w:val="16"/>
              </w:rPr>
              <w:t>Să asigure întreprinderea măsurilor de rigoare în vederea lichidării neregulilor constatate, respectării limitelor de parcurs, optimizării structurii și cheltuielilor publice</w:t>
            </w:r>
          </w:p>
        </w:tc>
        <w:tc>
          <w:tcPr>
            <w:tcW w:w="5529" w:type="dxa"/>
            <w:tcBorders>
              <w:top w:val="nil"/>
              <w:left w:val="nil"/>
              <w:bottom w:val="single" w:sz="4" w:space="0" w:color="auto"/>
              <w:right w:val="single" w:sz="4" w:space="0" w:color="auto"/>
            </w:tcBorders>
            <w:shd w:val="clear" w:color="auto" w:fill="auto"/>
            <w:hideMark/>
          </w:tcPr>
          <w:p w14:paraId="33114EA4"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xml:space="preserve">În conformitate cu HG nr.916 din 24.09.2018, I.P „Baza auto a ACSR” a fost absorbită, urmare reorganizării, de către I.P. „Baza Auto a CS”. </w:t>
            </w:r>
          </w:p>
        </w:tc>
        <w:tc>
          <w:tcPr>
            <w:tcW w:w="603" w:type="dxa"/>
            <w:tcBorders>
              <w:top w:val="nil"/>
              <w:left w:val="nil"/>
              <w:bottom w:val="single" w:sz="4" w:space="0" w:color="auto"/>
              <w:right w:val="single" w:sz="4" w:space="0" w:color="auto"/>
            </w:tcBorders>
            <w:shd w:val="clear" w:color="auto" w:fill="auto"/>
            <w:vAlign w:val="center"/>
            <w:hideMark/>
          </w:tcPr>
          <w:p w14:paraId="3A02C4EB"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17492EF6" w14:textId="10A86EB3"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D9B40B2"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hideMark/>
          </w:tcPr>
          <w:p w14:paraId="780DE8BE" w14:textId="52BF7457" w:rsidR="00447CBE" w:rsidRPr="003C6369" w:rsidRDefault="00447CBE" w:rsidP="00447CBE">
            <w:pPr>
              <w:spacing w:after="0" w:line="240" w:lineRule="auto"/>
              <w:rPr>
                <w:rFonts w:ascii="Calibri" w:eastAsia="Times New Roman" w:hAnsi="Calibri" w:cs="Calibri"/>
                <w:sz w:val="16"/>
                <w:szCs w:val="16"/>
              </w:rPr>
            </w:pPr>
            <w:r w:rsidRPr="003C6369">
              <w:rPr>
                <w:rFonts w:ascii="Calibri" w:eastAsia="Times New Roman" w:hAnsi="Calibri" w:cs="Calibri"/>
                <w:sz w:val="16"/>
                <w:szCs w:val="16"/>
              </w:rPr>
              <w:t xml:space="preserve">Deși de către entitate se întreprind careva măsuri de remediere, cazuri de depășire a limitelor de parcurs se atestă în continuare, fapt pentru care problematica de audit </w:t>
            </w:r>
            <w:r w:rsidRPr="003C6369">
              <w:rPr>
                <w:rFonts w:ascii="Calibri" w:eastAsia="Times New Roman" w:hAnsi="Calibri" w:cs="Calibri"/>
                <w:b/>
                <w:bCs/>
                <w:sz w:val="16"/>
                <w:szCs w:val="16"/>
              </w:rPr>
              <w:t>se reiterează</w:t>
            </w:r>
            <w:r w:rsidRPr="003C6369">
              <w:rPr>
                <w:rFonts w:ascii="Calibri" w:eastAsia="Times New Roman" w:hAnsi="Calibri" w:cs="Calibri"/>
                <w:sz w:val="16"/>
                <w:szCs w:val="16"/>
              </w:rPr>
              <w:t xml:space="preserve"> la pct. 4.1.5. din prezentul Raport de audit</w:t>
            </w:r>
          </w:p>
        </w:tc>
      </w:tr>
      <w:tr w:rsidR="00447CBE" w:rsidRPr="00CF7154" w14:paraId="2C41BD85" w14:textId="77777777" w:rsidTr="00447CBE">
        <w:trPr>
          <w:trHeight w:val="2548"/>
        </w:trPr>
        <w:tc>
          <w:tcPr>
            <w:tcW w:w="1985" w:type="dxa"/>
            <w:tcBorders>
              <w:top w:val="nil"/>
              <w:left w:val="single" w:sz="4" w:space="0" w:color="auto"/>
              <w:bottom w:val="single" w:sz="4" w:space="0" w:color="auto"/>
              <w:right w:val="single" w:sz="4" w:space="0" w:color="auto"/>
            </w:tcBorders>
            <w:shd w:val="clear" w:color="auto" w:fill="auto"/>
            <w:hideMark/>
          </w:tcPr>
          <w:p w14:paraId="3F24AD44"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b/>
                <w:bCs/>
                <w:color w:val="000000"/>
                <w:sz w:val="16"/>
                <w:szCs w:val="16"/>
              </w:rPr>
              <w:t>Recomandarea nr.8:</w:t>
            </w:r>
            <w:r w:rsidRPr="00CF7154">
              <w:rPr>
                <w:rFonts w:ascii="Calibri" w:eastAsia="Times New Roman" w:hAnsi="Calibri" w:cs="Calibri"/>
                <w:color w:val="000000"/>
                <w:sz w:val="16"/>
                <w:szCs w:val="16"/>
              </w:rPr>
              <w:t xml:space="preserve"> Să examineze oportunitatea optimizării numărului de personal cu revizuirea s</w:t>
            </w:r>
            <w:r>
              <w:rPr>
                <w:rFonts w:ascii="Calibri" w:eastAsia="Times New Roman" w:hAnsi="Calibri" w:cs="Calibri"/>
                <w:color w:val="000000"/>
                <w:sz w:val="16"/>
                <w:szCs w:val="16"/>
              </w:rPr>
              <w:t>c</w:t>
            </w:r>
            <w:r w:rsidRPr="00CF7154">
              <w:rPr>
                <w:rFonts w:ascii="Calibri" w:eastAsia="Times New Roman" w:hAnsi="Calibri" w:cs="Calibri"/>
                <w:color w:val="000000"/>
                <w:sz w:val="16"/>
                <w:szCs w:val="16"/>
              </w:rPr>
              <w:t>hemei de încadrare prezentate Asociației și Cancelariei de Stat, precum și cu justificarea necesităților</w:t>
            </w:r>
            <w:r>
              <w:rPr>
                <w:rFonts w:ascii="Calibri" w:eastAsia="Times New Roman" w:hAnsi="Calibri" w:cs="Calibri"/>
                <w:color w:val="000000"/>
                <w:sz w:val="16"/>
                <w:szCs w:val="16"/>
              </w:rPr>
              <w:t xml:space="preserve"> reale de resurse umane, asigurâ</w:t>
            </w:r>
            <w:r w:rsidRPr="00CF7154">
              <w:rPr>
                <w:rFonts w:ascii="Calibri" w:eastAsia="Times New Roman" w:hAnsi="Calibri" w:cs="Calibri"/>
                <w:color w:val="000000"/>
                <w:sz w:val="16"/>
                <w:szCs w:val="16"/>
              </w:rPr>
              <w:t>nd o planificare reală a necesarului de alocații bugetare pentru retribuirea muncii.</w:t>
            </w:r>
          </w:p>
        </w:tc>
        <w:tc>
          <w:tcPr>
            <w:tcW w:w="9219" w:type="dxa"/>
            <w:gridSpan w:val="5"/>
            <w:tcBorders>
              <w:top w:val="nil"/>
              <w:left w:val="nil"/>
              <w:bottom w:val="single" w:sz="4" w:space="0" w:color="auto"/>
              <w:right w:val="single" w:sz="4" w:space="0" w:color="auto"/>
            </w:tcBorders>
            <w:shd w:val="clear" w:color="auto" w:fill="auto"/>
            <w:hideMark/>
          </w:tcPr>
          <w:p w14:paraId="0045F6D0"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p w14:paraId="127BA3A5" w14:textId="52AC6CD6"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Recomandarea dată și-a pierdut actualitatea, re</w:t>
            </w:r>
            <w:r>
              <w:rPr>
                <w:rFonts w:ascii="Calibri" w:eastAsia="Times New Roman" w:hAnsi="Calibri" w:cs="Calibri"/>
                <w:color w:val="000000"/>
                <w:sz w:val="16"/>
                <w:szCs w:val="16"/>
              </w:rPr>
              <w:t>i</w:t>
            </w:r>
            <w:r w:rsidRPr="00CF7154">
              <w:rPr>
                <w:rFonts w:ascii="Calibri" w:eastAsia="Times New Roman" w:hAnsi="Calibri" w:cs="Calibri"/>
                <w:color w:val="000000"/>
                <w:sz w:val="16"/>
                <w:szCs w:val="16"/>
              </w:rPr>
              <w:t>eșind din faptul că entitățile vizate s-au reorganizat/lichidat:</w:t>
            </w:r>
            <w:r w:rsidRPr="00CF7154">
              <w:rPr>
                <w:rFonts w:ascii="Calibri" w:eastAsia="Times New Roman" w:hAnsi="Calibri" w:cs="Calibri"/>
                <w:color w:val="000000"/>
                <w:sz w:val="16"/>
                <w:szCs w:val="16"/>
              </w:rPr>
              <w:br/>
              <w:t>- în conformitate cu HG nr.981 din 10.10.2018, I.P „Asociația Curativ-Sanatorială și de Recuperare a Cancelariei de Stat” s-a dizolvat cu derularea procedurii de lichidare;</w:t>
            </w:r>
            <w:r w:rsidRPr="00CF7154">
              <w:rPr>
                <w:rFonts w:ascii="Calibri" w:eastAsia="Times New Roman" w:hAnsi="Calibri" w:cs="Calibri"/>
                <w:color w:val="000000"/>
                <w:sz w:val="16"/>
                <w:szCs w:val="16"/>
              </w:rPr>
              <w:br/>
              <w:t xml:space="preserve">- În conformitate cu HG nr.916 din 24.09.2018, I.P „Baza auto a ACSR” a fost absorbită, urmare reorganizării, de către I.P. „Baza Auto a CS”. </w:t>
            </w:r>
            <w:r w:rsidRPr="00CF7154">
              <w:rPr>
                <w:rFonts w:ascii="Calibri" w:eastAsia="Times New Roman" w:hAnsi="Calibri" w:cs="Calibri"/>
                <w:color w:val="000000"/>
                <w:sz w:val="16"/>
                <w:szCs w:val="16"/>
              </w:rPr>
              <w:br/>
              <w:t xml:space="preserve">Din aceste considerente, recomandarea respectivă </w:t>
            </w:r>
            <w:r w:rsidRPr="00CF7154">
              <w:rPr>
                <w:rFonts w:ascii="Calibri" w:eastAsia="Times New Roman" w:hAnsi="Calibri" w:cs="Calibri"/>
                <w:b/>
                <w:bCs/>
                <w:color w:val="000000"/>
                <w:sz w:val="16"/>
                <w:szCs w:val="16"/>
              </w:rPr>
              <w:t>se propune de a fi exclusă din regim de monitorizare.</w:t>
            </w:r>
          </w:p>
        </w:tc>
      </w:tr>
      <w:tr w:rsidR="00447CBE" w:rsidRPr="00CF7154" w14:paraId="4F12F86C" w14:textId="77777777" w:rsidTr="00447CBE">
        <w:trPr>
          <w:trHeight w:val="6408"/>
        </w:trPr>
        <w:tc>
          <w:tcPr>
            <w:tcW w:w="1985" w:type="dxa"/>
            <w:tcBorders>
              <w:top w:val="nil"/>
              <w:left w:val="single" w:sz="4" w:space="0" w:color="auto"/>
              <w:bottom w:val="single" w:sz="4" w:space="0" w:color="auto"/>
              <w:right w:val="single" w:sz="4" w:space="0" w:color="auto"/>
            </w:tcBorders>
            <w:shd w:val="clear" w:color="auto" w:fill="auto"/>
            <w:hideMark/>
          </w:tcPr>
          <w:p w14:paraId="71106337"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b/>
                <w:bCs/>
                <w:color w:val="000000"/>
                <w:sz w:val="16"/>
                <w:szCs w:val="16"/>
              </w:rPr>
              <w:t xml:space="preserve">Recomandarea nr. 9: </w:t>
            </w:r>
            <w:r w:rsidRPr="00CF7154">
              <w:rPr>
                <w:rFonts w:ascii="Calibri" w:eastAsia="Times New Roman" w:hAnsi="Calibri" w:cs="Calibri"/>
                <w:color w:val="000000"/>
                <w:sz w:val="16"/>
                <w:szCs w:val="16"/>
              </w:rPr>
              <w:t>Să asigure, la organele cadastrale, conformitatea înregistrării drepturilor patrimoniale.</w:t>
            </w:r>
          </w:p>
        </w:tc>
        <w:tc>
          <w:tcPr>
            <w:tcW w:w="5529" w:type="dxa"/>
            <w:tcBorders>
              <w:top w:val="nil"/>
              <w:left w:val="nil"/>
              <w:bottom w:val="single" w:sz="4" w:space="0" w:color="auto"/>
              <w:right w:val="single" w:sz="4" w:space="0" w:color="auto"/>
            </w:tcBorders>
            <w:shd w:val="clear" w:color="auto" w:fill="auto"/>
            <w:hideMark/>
          </w:tcPr>
          <w:p w14:paraId="1CBB3543" w14:textId="646B39B9"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1. Actul de primire-predare a terenului cu suprafața de 0,0339 din gestiunea IMSP Asociația Curativ Sanatorială și de Recuperare a Cancelariei de Stat în gestiunea CNAM, din 12.02.2013, înregistrat la oficiul cadastral la data 18.02.2013 cu nr.0100/13/21636;</w:t>
            </w:r>
            <w:r w:rsidRPr="00CF7154">
              <w:rPr>
                <w:rFonts w:ascii="Calibri" w:eastAsia="Times New Roman" w:hAnsi="Calibri" w:cs="Calibri"/>
                <w:color w:val="000000"/>
                <w:sz w:val="16"/>
                <w:szCs w:val="16"/>
              </w:rPr>
              <w:br/>
              <w:t>2. Copia Titlului de autentificare a deținătorului dreptului de teren;</w:t>
            </w:r>
            <w:r w:rsidRPr="00CF7154">
              <w:rPr>
                <w:rFonts w:ascii="Calibri" w:eastAsia="Times New Roman" w:hAnsi="Calibri" w:cs="Calibri"/>
                <w:color w:val="000000"/>
                <w:sz w:val="16"/>
                <w:szCs w:val="16"/>
              </w:rPr>
              <w:br/>
              <w:t>3. IMSP Asociația Curativ Sanatorială și de Recuperare a Cancelariei de Sta deține titlul de autentificare a dreptului deținătorului de teren din str. Veronica Micle nr.11, cu suprafața de 0,04ha. înregistrat la OCT Chișinău la data 23.03.2013 cu nr. 0100/10/20220. Conform Certificatului privind valoarea estimată bunului imobil eliberat de Agenția Relații Funciare și Cadastru valoarea estimată a acestui teren este de</w:t>
            </w:r>
            <w:r>
              <w:rPr>
                <w:rFonts w:ascii="Calibri" w:eastAsia="Times New Roman" w:hAnsi="Calibri" w:cs="Calibri"/>
                <w:color w:val="000000"/>
                <w:sz w:val="16"/>
                <w:szCs w:val="16"/>
              </w:rPr>
              <w:t xml:space="preserve"> </w:t>
            </w:r>
            <w:r w:rsidRPr="00CF7154">
              <w:rPr>
                <w:rFonts w:ascii="Calibri" w:eastAsia="Times New Roman" w:hAnsi="Calibri" w:cs="Calibri"/>
                <w:color w:val="000000"/>
                <w:sz w:val="16"/>
                <w:szCs w:val="16"/>
              </w:rPr>
              <w:t>2 379 739,0 lei, care a fost luat la evidența contabilă a IMSP Asociația Curativ Sanatorială și de Recuperare a Cancelariei de Sta;</w:t>
            </w:r>
            <w:r w:rsidRPr="00CF7154">
              <w:rPr>
                <w:rFonts w:ascii="Calibri" w:eastAsia="Times New Roman" w:hAnsi="Calibri" w:cs="Calibri"/>
                <w:color w:val="000000"/>
                <w:sz w:val="16"/>
                <w:szCs w:val="16"/>
              </w:rPr>
              <w:br/>
              <w:t>4. Demersul Cancelariei de Stat nr.01-17/01-260 din 12.05.2010 către Agenț</w:t>
            </w:r>
            <w:r>
              <w:rPr>
                <w:rFonts w:ascii="Calibri" w:eastAsia="Times New Roman" w:hAnsi="Calibri" w:cs="Calibri"/>
                <w:color w:val="000000"/>
                <w:sz w:val="16"/>
                <w:szCs w:val="16"/>
              </w:rPr>
              <w:t>i</w:t>
            </w:r>
            <w:r w:rsidRPr="00CF7154">
              <w:rPr>
                <w:rFonts w:ascii="Calibri" w:eastAsia="Times New Roman" w:hAnsi="Calibri" w:cs="Calibri"/>
                <w:color w:val="000000"/>
                <w:sz w:val="16"/>
                <w:szCs w:val="16"/>
              </w:rPr>
              <w:t>a Relații Funciare și Cadastru prin care se solicit</w:t>
            </w:r>
            <w:r>
              <w:rPr>
                <w:rFonts w:ascii="Calibri" w:eastAsia="Times New Roman" w:hAnsi="Calibri" w:cs="Calibri"/>
                <w:color w:val="000000"/>
                <w:sz w:val="16"/>
                <w:szCs w:val="16"/>
              </w:rPr>
              <w:t>ă delimitarea sectorului de pămâ</w:t>
            </w:r>
            <w:r w:rsidRPr="00CF7154">
              <w:rPr>
                <w:rFonts w:ascii="Calibri" w:eastAsia="Times New Roman" w:hAnsi="Calibri" w:cs="Calibri"/>
                <w:color w:val="000000"/>
                <w:sz w:val="16"/>
                <w:szCs w:val="16"/>
              </w:rPr>
              <w:t>nt aflat în gestiunea IMSP Asociația Curativ Sanatorială și de Recuperare a Cancelariei de Sta de pe str.</w:t>
            </w:r>
            <w:r>
              <w:rPr>
                <w:rFonts w:ascii="Calibri" w:eastAsia="Times New Roman" w:hAnsi="Calibri" w:cs="Calibri"/>
                <w:color w:val="000000"/>
                <w:sz w:val="16"/>
                <w:szCs w:val="16"/>
              </w:rPr>
              <w:t xml:space="preserve"> </w:t>
            </w:r>
            <w:r w:rsidRPr="00CF7154">
              <w:rPr>
                <w:rFonts w:ascii="Calibri" w:eastAsia="Times New Roman" w:hAnsi="Calibri" w:cs="Calibri"/>
                <w:color w:val="000000"/>
                <w:sz w:val="16"/>
                <w:szCs w:val="16"/>
              </w:rPr>
              <w:t>Șciusev nr.35, care a fost transmis IMSP Asociația Curativ Sanatorială și de Recuperare a Cancelariei de Sta prin dispoziția Guvernului nr.107-d din 28.03.1996 și a actului privind transmiterea la balanța IMSP Asociația Curativ Sanatorială și de Recuperare a Cancelariei de Stat din data 28.05.1996 a clădirii din str. Șciusev nr.35, cu înregistrarea lui ulterioară;</w:t>
            </w:r>
            <w:r w:rsidRPr="00CF7154">
              <w:rPr>
                <w:rFonts w:ascii="Calibri" w:eastAsia="Times New Roman" w:hAnsi="Calibri" w:cs="Calibri"/>
                <w:color w:val="000000"/>
                <w:sz w:val="16"/>
                <w:szCs w:val="16"/>
              </w:rPr>
              <w:br/>
              <w:t>5. Răspunsul ÎS Institutul de Proiectări pentru Organizarea Teritoriului nr.01-6-10/874 din 09.07.2010 la demersul IMSP Asociația Curativ Sanatorială și de Recuperare a Cancelariei de Sta</w:t>
            </w:r>
            <w:r>
              <w:rPr>
                <w:rFonts w:ascii="Calibri" w:eastAsia="Times New Roman" w:hAnsi="Calibri" w:cs="Calibri"/>
                <w:color w:val="000000"/>
                <w:sz w:val="16"/>
                <w:szCs w:val="16"/>
              </w:rPr>
              <w:t>t</w:t>
            </w:r>
            <w:r w:rsidRPr="00CF7154">
              <w:rPr>
                <w:rFonts w:ascii="Calibri" w:eastAsia="Times New Roman" w:hAnsi="Calibri" w:cs="Calibri"/>
                <w:color w:val="000000"/>
                <w:sz w:val="16"/>
                <w:szCs w:val="16"/>
              </w:rPr>
              <w:t xml:space="preserve"> și s</w:t>
            </w:r>
            <w:r>
              <w:rPr>
                <w:rFonts w:ascii="Calibri" w:eastAsia="Times New Roman" w:hAnsi="Calibri" w:cs="Calibri"/>
                <w:color w:val="000000"/>
                <w:sz w:val="16"/>
                <w:szCs w:val="16"/>
              </w:rPr>
              <w:t xml:space="preserve">crisorii </w:t>
            </w:r>
            <w:r w:rsidRPr="00CF7154">
              <w:rPr>
                <w:rFonts w:ascii="Calibri" w:eastAsia="Times New Roman" w:hAnsi="Calibri" w:cs="Calibri"/>
                <w:color w:val="000000"/>
                <w:sz w:val="16"/>
                <w:szCs w:val="16"/>
              </w:rPr>
              <w:t>Agenției Relații Funciare și Cadastru nr. 36/01-07/991 din 20.05.2010 privind executarea lucrărilor de stabilire a hotarelor cu autentificare a dreptului asupra terenului aferent obi</w:t>
            </w:r>
            <w:r>
              <w:rPr>
                <w:rFonts w:ascii="Calibri" w:eastAsia="Times New Roman" w:hAnsi="Calibri" w:cs="Calibri"/>
                <w:color w:val="000000"/>
                <w:sz w:val="16"/>
                <w:szCs w:val="16"/>
              </w:rPr>
              <w:t>e</w:t>
            </w:r>
            <w:r w:rsidRPr="00CF7154">
              <w:rPr>
                <w:rFonts w:ascii="Calibri" w:eastAsia="Times New Roman" w:hAnsi="Calibri" w:cs="Calibri"/>
                <w:color w:val="000000"/>
                <w:sz w:val="16"/>
                <w:szCs w:val="16"/>
              </w:rPr>
              <w:t>ctului amplasat pe str. Șciusev 35, prin care IMSP Asociația Curativ Sanatorială și de Recuperare a Cancelariei de Stat a fost informată precum că „lucrările menționate nu pot fi efectuate deoarece bunul gestionat de IMSP Asociația Curativ Sanatorială și de Recuperare a Cancelariei de Stat cu supraf</w:t>
            </w:r>
            <w:r>
              <w:rPr>
                <w:rFonts w:ascii="Calibri" w:eastAsia="Times New Roman" w:hAnsi="Calibri" w:cs="Calibri"/>
                <w:color w:val="000000"/>
                <w:sz w:val="16"/>
                <w:szCs w:val="16"/>
              </w:rPr>
              <w:t>ața</w:t>
            </w:r>
            <w:r w:rsidRPr="00CF7154">
              <w:rPr>
                <w:rFonts w:ascii="Calibri" w:eastAsia="Times New Roman" w:hAnsi="Calibri" w:cs="Calibri"/>
                <w:color w:val="000000"/>
                <w:sz w:val="16"/>
                <w:szCs w:val="16"/>
              </w:rPr>
              <w:t xml:space="preserve"> de 0,11 ha, nu a fost delimitat și aprobat anterior de către Consiliul mun.</w:t>
            </w:r>
            <w:r>
              <w:rPr>
                <w:rFonts w:ascii="Calibri" w:eastAsia="Times New Roman" w:hAnsi="Calibri" w:cs="Calibri"/>
                <w:color w:val="000000"/>
                <w:sz w:val="16"/>
                <w:szCs w:val="16"/>
              </w:rPr>
              <w:t xml:space="preserve"> </w:t>
            </w:r>
            <w:r w:rsidRPr="00CF7154">
              <w:rPr>
                <w:rFonts w:ascii="Calibri" w:eastAsia="Times New Roman" w:hAnsi="Calibri" w:cs="Calibri"/>
                <w:color w:val="000000"/>
                <w:sz w:val="16"/>
                <w:szCs w:val="16"/>
              </w:rPr>
              <w:t>Chișinău ca teren proprietate publică a statului și pentru că în Registrul bunurilor imobile sunt înscrieri la nivel de încăperi izolate (2 încăperi), proprietate privată. Pentru delimitarea terenului ca proprietate publică a statului este necesar ca bunul imobil (construcția) să aparțină integral ASCR. În caz contrar, conform prevederilor legale în vigoare coproprietarii au dreptul la terenul aferent. (Anexă: Extras din Registrul bunurilor imobile). Delimitarea și înreg</w:t>
            </w:r>
            <w:r>
              <w:rPr>
                <w:rFonts w:ascii="Calibri" w:eastAsia="Times New Roman" w:hAnsi="Calibri" w:cs="Calibri"/>
                <w:color w:val="000000"/>
                <w:sz w:val="16"/>
                <w:szCs w:val="16"/>
              </w:rPr>
              <w:t>i</w:t>
            </w:r>
            <w:r w:rsidRPr="00CF7154">
              <w:rPr>
                <w:rFonts w:ascii="Calibri" w:eastAsia="Times New Roman" w:hAnsi="Calibri" w:cs="Calibri"/>
                <w:color w:val="000000"/>
                <w:sz w:val="16"/>
                <w:szCs w:val="16"/>
              </w:rPr>
              <w:t>strarea drepturilor patrimoniale asupra acestuia imobil ține de competența organului ierarhic superior.</w:t>
            </w:r>
            <w:r w:rsidRPr="00CF7154">
              <w:rPr>
                <w:rFonts w:ascii="Calibri" w:eastAsia="Times New Roman" w:hAnsi="Calibri" w:cs="Calibri"/>
                <w:color w:val="000000"/>
                <w:sz w:val="16"/>
                <w:szCs w:val="16"/>
              </w:rPr>
              <w:br/>
              <w:t>6. Hotărârea Guvernului nr,32 din 15.01.2013 cu privire la transmiterea cu titlu gratuit a clădirii din str. V.</w:t>
            </w:r>
            <w:r>
              <w:rPr>
                <w:rFonts w:ascii="Calibri" w:eastAsia="Times New Roman" w:hAnsi="Calibri" w:cs="Calibri"/>
                <w:color w:val="000000"/>
                <w:sz w:val="16"/>
                <w:szCs w:val="16"/>
              </w:rPr>
              <w:t xml:space="preserve"> Pârcă</w:t>
            </w:r>
            <w:r w:rsidRPr="00CF7154">
              <w:rPr>
                <w:rFonts w:ascii="Calibri" w:eastAsia="Times New Roman" w:hAnsi="Calibri" w:cs="Calibri"/>
                <w:color w:val="000000"/>
                <w:sz w:val="16"/>
                <w:szCs w:val="16"/>
              </w:rPr>
              <w:t>lab nr.46, cu suprafața 1 147,8 m2 din gestiunea ÎS Medisan și terenul cu suprafața de 0,339 ha din gestiunea IMSP Asociația Curativ Sanatorială și de Recuperare a Cancelariei de Sta, ambele proprietate publică a statului, în gestiunea CNAM.</w:t>
            </w:r>
          </w:p>
        </w:tc>
        <w:tc>
          <w:tcPr>
            <w:tcW w:w="603" w:type="dxa"/>
            <w:tcBorders>
              <w:top w:val="nil"/>
              <w:left w:val="nil"/>
              <w:bottom w:val="single" w:sz="4" w:space="0" w:color="auto"/>
              <w:right w:val="single" w:sz="4" w:space="0" w:color="auto"/>
            </w:tcBorders>
            <w:shd w:val="clear" w:color="auto" w:fill="auto"/>
            <w:vAlign w:val="bottom"/>
            <w:hideMark/>
          </w:tcPr>
          <w:p w14:paraId="54F6FD9E"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226C6BAB"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346B4DB9"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hideMark/>
          </w:tcPr>
          <w:p w14:paraId="13917A71" w14:textId="2CA1E7BA"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Recomandarea dată și-a pierdut actualitatea, re</w:t>
            </w:r>
            <w:r>
              <w:rPr>
                <w:rFonts w:ascii="Calibri" w:eastAsia="Times New Roman" w:hAnsi="Calibri" w:cs="Calibri"/>
                <w:color w:val="000000"/>
                <w:sz w:val="16"/>
                <w:szCs w:val="16"/>
              </w:rPr>
              <w:t>i</w:t>
            </w:r>
            <w:r w:rsidRPr="00CF7154">
              <w:rPr>
                <w:rFonts w:ascii="Calibri" w:eastAsia="Times New Roman" w:hAnsi="Calibri" w:cs="Calibri"/>
                <w:color w:val="000000"/>
                <w:sz w:val="16"/>
                <w:szCs w:val="16"/>
              </w:rPr>
              <w:t>eșind din faptul că în conformitate cu HG nr.981 din 10.10.2018, I.P „Asociația Curativ-Sanatorială și de Recuperare a Cancelariei de Stat” s-a dizolvat cu derularea procedurii de lichidare, iar Î.S. Medisan, în conformitate cu</w:t>
            </w:r>
            <w:r>
              <w:rPr>
                <w:rFonts w:ascii="Calibri" w:eastAsia="Times New Roman" w:hAnsi="Calibri" w:cs="Calibri"/>
                <w:color w:val="000000"/>
                <w:sz w:val="16"/>
                <w:szCs w:val="16"/>
              </w:rPr>
              <w:t xml:space="preserve"> </w:t>
            </w:r>
            <w:r w:rsidRPr="00CF7154">
              <w:rPr>
                <w:rFonts w:ascii="Calibri" w:eastAsia="Times New Roman" w:hAnsi="Calibri" w:cs="Calibri"/>
                <w:color w:val="000000"/>
                <w:sz w:val="16"/>
                <w:szCs w:val="16"/>
              </w:rPr>
              <w:t>HG nr.168 din 16.03.2022,</w:t>
            </w:r>
            <w:r>
              <w:rPr>
                <w:rFonts w:ascii="Calibri" w:eastAsia="Times New Roman" w:hAnsi="Calibri" w:cs="Calibri"/>
                <w:color w:val="000000"/>
                <w:sz w:val="16"/>
                <w:szCs w:val="16"/>
              </w:rPr>
              <w:t xml:space="preserve"> </w:t>
            </w:r>
            <w:r w:rsidRPr="00CF7154">
              <w:rPr>
                <w:rFonts w:ascii="Calibri" w:eastAsia="Times New Roman" w:hAnsi="Calibri" w:cs="Calibri"/>
                <w:color w:val="000000"/>
                <w:sz w:val="16"/>
                <w:szCs w:val="16"/>
              </w:rPr>
              <w:t xml:space="preserve">a fost transmisă din administrarea CS în administrarea APP. Din aceste considerente recomandarea respectivă </w:t>
            </w:r>
            <w:r w:rsidRPr="00CF7154">
              <w:rPr>
                <w:rFonts w:ascii="Calibri" w:eastAsia="Times New Roman" w:hAnsi="Calibri" w:cs="Calibri"/>
                <w:b/>
                <w:bCs/>
                <w:color w:val="000000"/>
                <w:sz w:val="16"/>
                <w:szCs w:val="16"/>
              </w:rPr>
              <w:t>se propune de a fi exclusă din regim de monitorizare</w:t>
            </w:r>
          </w:p>
        </w:tc>
      </w:tr>
      <w:tr w:rsidR="00447CBE" w:rsidRPr="00CF7154" w14:paraId="51A3057B" w14:textId="77777777" w:rsidTr="00447CBE">
        <w:trPr>
          <w:trHeight w:val="720"/>
        </w:trPr>
        <w:tc>
          <w:tcPr>
            <w:tcW w:w="1985" w:type="dxa"/>
            <w:tcBorders>
              <w:top w:val="nil"/>
              <w:left w:val="single" w:sz="4" w:space="0" w:color="auto"/>
              <w:bottom w:val="single" w:sz="4" w:space="0" w:color="auto"/>
              <w:right w:val="single" w:sz="4" w:space="0" w:color="auto"/>
            </w:tcBorders>
            <w:shd w:val="clear" w:color="auto" w:fill="auto"/>
            <w:hideMark/>
          </w:tcPr>
          <w:p w14:paraId="25D129FE"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b/>
                <w:bCs/>
                <w:color w:val="000000"/>
                <w:sz w:val="16"/>
                <w:szCs w:val="16"/>
              </w:rPr>
              <w:t xml:space="preserve">Recomandarea nr. 10: </w:t>
            </w:r>
            <w:r w:rsidRPr="00CF7154">
              <w:rPr>
                <w:rFonts w:ascii="Calibri" w:eastAsia="Times New Roman" w:hAnsi="Calibri" w:cs="Calibri"/>
                <w:color w:val="000000"/>
                <w:sz w:val="16"/>
                <w:szCs w:val="16"/>
              </w:rPr>
              <w:t>Să asigure o planificare adecvată a necesarului de procurări, precum și punerea în funcțiune a utilajului procurat.</w:t>
            </w:r>
          </w:p>
        </w:tc>
        <w:tc>
          <w:tcPr>
            <w:tcW w:w="5529" w:type="dxa"/>
            <w:tcBorders>
              <w:top w:val="nil"/>
              <w:left w:val="nil"/>
              <w:bottom w:val="single" w:sz="4" w:space="0" w:color="auto"/>
              <w:right w:val="single" w:sz="4" w:space="0" w:color="auto"/>
            </w:tcBorders>
            <w:shd w:val="clear" w:color="auto" w:fill="auto"/>
            <w:hideMark/>
          </w:tcPr>
          <w:p w14:paraId="6444B82F"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1. Lista utilajului procurat de către Centrul de Sănătate Publică în anul 2012 din contul alocațiilor bugetare, care au fost puse în funcțiune în anul 2013</w:t>
            </w:r>
          </w:p>
        </w:tc>
        <w:tc>
          <w:tcPr>
            <w:tcW w:w="603" w:type="dxa"/>
            <w:tcBorders>
              <w:top w:val="nil"/>
              <w:left w:val="nil"/>
              <w:bottom w:val="single" w:sz="4" w:space="0" w:color="auto"/>
              <w:right w:val="single" w:sz="4" w:space="0" w:color="auto"/>
            </w:tcBorders>
            <w:shd w:val="clear" w:color="auto" w:fill="auto"/>
            <w:vAlign w:val="center"/>
            <w:hideMark/>
          </w:tcPr>
          <w:p w14:paraId="3B5AC4C8" w14:textId="20DDCF54"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243C011A"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2D03111F"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vAlign w:val="bottom"/>
            <w:hideMark/>
          </w:tcPr>
          <w:p w14:paraId="69B4A175"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r>
      <w:tr w:rsidR="00447CBE" w:rsidRPr="00CF7154" w14:paraId="3B31FC02" w14:textId="77777777" w:rsidTr="00447CBE">
        <w:trPr>
          <w:trHeight w:val="422"/>
        </w:trPr>
        <w:tc>
          <w:tcPr>
            <w:tcW w:w="1985" w:type="dxa"/>
            <w:tcBorders>
              <w:top w:val="nil"/>
              <w:left w:val="single" w:sz="4" w:space="0" w:color="auto"/>
              <w:bottom w:val="single" w:sz="4" w:space="0" w:color="auto"/>
              <w:right w:val="single" w:sz="4" w:space="0" w:color="auto"/>
            </w:tcBorders>
            <w:shd w:val="clear" w:color="auto" w:fill="auto"/>
            <w:hideMark/>
          </w:tcPr>
          <w:p w14:paraId="761622D0"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b/>
                <w:bCs/>
                <w:color w:val="000000"/>
                <w:sz w:val="16"/>
                <w:szCs w:val="16"/>
              </w:rPr>
              <w:t>Recomandarea nr. 11:</w:t>
            </w:r>
            <w:r w:rsidRPr="00CF7154">
              <w:rPr>
                <w:rFonts w:ascii="Calibri" w:eastAsia="Times New Roman" w:hAnsi="Calibri" w:cs="Calibri"/>
                <w:color w:val="000000"/>
                <w:sz w:val="16"/>
                <w:szCs w:val="16"/>
              </w:rPr>
              <w:t xml:space="preserve"> Să aplice măsuri concrete în vederea intensificării activităților și responsabilizării membrilor grupului de lucru pentru achiziții publice, cu înlăturarea n</w:t>
            </w:r>
            <w:r>
              <w:rPr>
                <w:rFonts w:ascii="Calibri" w:eastAsia="Times New Roman" w:hAnsi="Calibri" w:cs="Calibri"/>
                <w:color w:val="000000"/>
                <w:sz w:val="16"/>
                <w:szCs w:val="16"/>
              </w:rPr>
              <w:t>eregulilor identificate, asigurâ</w:t>
            </w:r>
            <w:r w:rsidRPr="00CF7154">
              <w:rPr>
                <w:rFonts w:ascii="Calibri" w:eastAsia="Times New Roman" w:hAnsi="Calibri" w:cs="Calibri"/>
                <w:color w:val="000000"/>
                <w:sz w:val="16"/>
                <w:szCs w:val="16"/>
              </w:rPr>
              <w:t>nd efectuarea achizițiilor publice conform prevederilor legale.</w:t>
            </w:r>
          </w:p>
        </w:tc>
        <w:tc>
          <w:tcPr>
            <w:tcW w:w="5529" w:type="dxa"/>
            <w:tcBorders>
              <w:top w:val="nil"/>
              <w:left w:val="nil"/>
              <w:bottom w:val="single" w:sz="4" w:space="0" w:color="auto"/>
              <w:right w:val="single" w:sz="4" w:space="0" w:color="auto"/>
            </w:tcBorders>
            <w:shd w:val="clear" w:color="auto" w:fill="auto"/>
            <w:hideMark/>
          </w:tcPr>
          <w:p w14:paraId="4A426B51"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Deși entitățile vizate întreprind măsuri întru intensificarea activităților și responsabilizării membrilor grupului de lucru pentru achiziții publice pentru a desfășura procedurile de achiziții publice conform prevederilor legale, problematici se atestă și pentru perioada auditată 2018-2022.</w:t>
            </w:r>
          </w:p>
        </w:tc>
        <w:tc>
          <w:tcPr>
            <w:tcW w:w="603" w:type="dxa"/>
            <w:tcBorders>
              <w:top w:val="nil"/>
              <w:left w:val="nil"/>
              <w:bottom w:val="single" w:sz="4" w:space="0" w:color="auto"/>
              <w:right w:val="single" w:sz="4" w:space="0" w:color="auto"/>
            </w:tcBorders>
            <w:shd w:val="clear" w:color="auto" w:fill="auto"/>
            <w:vAlign w:val="bottom"/>
            <w:hideMark/>
          </w:tcPr>
          <w:p w14:paraId="711BCFAD"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52FB041A" w14:textId="62897304"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02D934C9"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hideMark/>
          </w:tcPr>
          <w:p w14:paraId="61CAC69A" w14:textId="78A7440F" w:rsidR="00447CBE" w:rsidRPr="003C6369" w:rsidRDefault="00447CBE" w:rsidP="00447CBE">
            <w:pPr>
              <w:spacing w:after="0" w:line="240" w:lineRule="auto"/>
              <w:rPr>
                <w:rFonts w:ascii="Calibri" w:eastAsia="Times New Roman" w:hAnsi="Calibri" w:cs="Calibri"/>
                <w:sz w:val="16"/>
                <w:szCs w:val="16"/>
              </w:rPr>
            </w:pPr>
            <w:r>
              <w:rPr>
                <w:rFonts w:ascii="Calibri" w:eastAsia="Times New Roman" w:hAnsi="Calibri" w:cs="Calibri"/>
                <w:sz w:val="16"/>
                <w:szCs w:val="16"/>
              </w:rPr>
              <w:t>Problematica</w:t>
            </w:r>
            <w:r w:rsidRPr="003C6369">
              <w:rPr>
                <w:rFonts w:ascii="Calibri" w:eastAsia="Times New Roman" w:hAnsi="Calibri" w:cs="Calibri"/>
                <w:sz w:val="16"/>
                <w:szCs w:val="16"/>
              </w:rPr>
              <w:t xml:space="preserve"> de audit se reiterează la pct.4.1.6 din prezentul Raport de audit</w:t>
            </w:r>
          </w:p>
        </w:tc>
      </w:tr>
      <w:tr w:rsidR="00447CBE" w:rsidRPr="00CF7154" w14:paraId="2BF2062F" w14:textId="77777777" w:rsidTr="00447CBE">
        <w:trPr>
          <w:trHeight w:val="204"/>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698EF24B" w14:textId="6BAD43EE" w:rsidR="00447CBE" w:rsidRPr="00CF7154" w:rsidRDefault="00447CBE" w:rsidP="00447CBE">
            <w:pPr>
              <w:spacing w:after="0" w:line="240" w:lineRule="auto"/>
              <w:jc w:val="center"/>
              <w:rPr>
                <w:rFonts w:ascii="Calibri" w:eastAsia="Times New Roman" w:hAnsi="Calibri" w:cs="Calibri"/>
                <w:b/>
                <w:bCs/>
                <w:i/>
                <w:iCs/>
                <w:color w:val="000000"/>
                <w:sz w:val="16"/>
                <w:szCs w:val="16"/>
              </w:rPr>
            </w:pPr>
            <w:r w:rsidRPr="00CF7154">
              <w:rPr>
                <w:rFonts w:ascii="Calibri" w:eastAsia="Times New Roman" w:hAnsi="Calibri" w:cs="Calibri"/>
                <w:b/>
                <w:bCs/>
                <w:i/>
                <w:iCs/>
                <w:color w:val="000000"/>
                <w:sz w:val="16"/>
                <w:szCs w:val="16"/>
              </w:rPr>
              <w:t>Raportul auditului gestionării patrimoniului public pe anul 2012 la întreprinderile de stat monitorizate de Cancelaria de Stat</w:t>
            </w:r>
            <w:r>
              <w:rPr>
                <w:rFonts w:ascii="Calibri" w:eastAsia="Times New Roman" w:hAnsi="Calibri" w:cs="Calibri"/>
                <w:b/>
                <w:bCs/>
                <w:i/>
                <w:iCs/>
                <w:color w:val="000000"/>
                <w:sz w:val="16"/>
                <w:szCs w:val="16"/>
              </w:rPr>
              <w:t xml:space="preserve"> </w:t>
            </w:r>
            <w:r w:rsidRPr="00CF7154">
              <w:rPr>
                <w:rFonts w:ascii="Calibri" w:eastAsia="Times New Roman" w:hAnsi="Calibri" w:cs="Calibri"/>
                <w:b/>
                <w:bCs/>
                <w:i/>
                <w:iCs/>
                <w:color w:val="000000"/>
                <w:sz w:val="16"/>
                <w:szCs w:val="16"/>
              </w:rPr>
              <w:t>(Anexa nr.2)</w:t>
            </w:r>
          </w:p>
        </w:tc>
      </w:tr>
      <w:tr w:rsidR="00447CBE" w:rsidRPr="00CF7154" w14:paraId="09C2C5B7" w14:textId="77777777" w:rsidTr="00447CBE">
        <w:trPr>
          <w:trHeight w:val="204"/>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7EE3F1DE" w14:textId="77777777" w:rsidR="00447CBE" w:rsidRPr="00CF7154" w:rsidRDefault="00447CBE" w:rsidP="00447CBE">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 xml:space="preserve">Administratorilor întreprinderilor de stat auditate, de comun cu Consiliile de administrație și după caz, cu fondatorul: </w:t>
            </w:r>
          </w:p>
        </w:tc>
      </w:tr>
      <w:tr w:rsidR="00447CBE" w:rsidRPr="00CF7154" w14:paraId="17D6FCE7" w14:textId="77777777" w:rsidTr="00447CBE">
        <w:trPr>
          <w:trHeight w:val="1068"/>
        </w:trPr>
        <w:tc>
          <w:tcPr>
            <w:tcW w:w="1985" w:type="dxa"/>
            <w:tcBorders>
              <w:top w:val="nil"/>
              <w:left w:val="single" w:sz="4" w:space="0" w:color="auto"/>
              <w:bottom w:val="single" w:sz="4" w:space="0" w:color="auto"/>
              <w:right w:val="single" w:sz="4" w:space="0" w:color="auto"/>
            </w:tcBorders>
            <w:shd w:val="clear" w:color="auto" w:fill="auto"/>
            <w:hideMark/>
          </w:tcPr>
          <w:p w14:paraId="1027BEE5"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b/>
                <w:bCs/>
                <w:color w:val="000000"/>
                <w:sz w:val="16"/>
                <w:szCs w:val="16"/>
              </w:rPr>
              <w:t>Recomandarea nr.1:</w:t>
            </w:r>
            <w:r w:rsidRPr="00CF7154">
              <w:rPr>
                <w:rFonts w:ascii="Calibri" w:eastAsia="Times New Roman" w:hAnsi="Calibri" w:cs="Calibri"/>
                <w:color w:val="000000"/>
                <w:sz w:val="16"/>
                <w:szCs w:val="16"/>
              </w:rPr>
              <w:t xml:space="preserve"> Să asigure conformitatea gestiunii bunurilor imobile cu efectuarea regulamentară a inventarierilor patrimoniului public, inclusiv a creanțelor și datoriilor. </w:t>
            </w:r>
          </w:p>
        </w:tc>
        <w:tc>
          <w:tcPr>
            <w:tcW w:w="5529" w:type="dxa"/>
            <w:tcBorders>
              <w:top w:val="nil"/>
              <w:left w:val="nil"/>
              <w:bottom w:val="single" w:sz="4" w:space="0" w:color="auto"/>
              <w:right w:val="single" w:sz="4" w:space="0" w:color="auto"/>
            </w:tcBorders>
            <w:shd w:val="clear" w:color="auto" w:fill="auto"/>
            <w:hideMark/>
          </w:tcPr>
          <w:p w14:paraId="5FD3209F"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1. Ordinul Direcției generale pentru administrarea clădirilor guvernului nr.203-A din 06.08.2013 Cu privire la instituirea Comisiei privind inventarierea mijloacelor bănești.</w:t>
            </w:r>
          </w:p>
        </w:tc>
        <w:tc>
          <w:tcPr>
            <w:tcW w:w="603" w:type="dxa"/>
            <w:tcBorders>
              <w:top w:val="nil"/>
              <w:left w:val="nil"/>
              <w:bottom w:val="single" w:sz="4" w:space="0" w:color="auto"/>
              <w:right w:val="single" w:sz="4" w:space="0" w:color="auto"/>
            </w:tcBorders>
            <w:shd w:val="clear" w:color="auto" w:fill="auto"/>
            <w:hideMark/>
          </w:tcPr>
          <w:p w14:paraId="41974DE7"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14:paraId="64945E19" w14:textId="28B7FA6F"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hideMark/>
          </w:tcPr>
          <w:p w14:paraId="2AEAD45A"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tcPr>
          <w:p w14:paraId="0DE1506C" w14:textId="5251FBDE" w:rsidR="00447CBE" w:rsidRPr="00CF7154" w:rsidRDefault="00447CBE" w:rsidP="00447CBE">
            <w:pPr>
              <w:spacing w:after="0" w:line="240" w:lineRule="auto"/>
              <w:rPr>
                <w:rFonts w:ascii="Calibri" w:eastAsia="Times New Roman" w:hAnsi="Calibri" w:cs="Calibri"/>
                <w:color w:val="000000"/>
                <w:sz w:val="16"/>
                <w:szCs w:val="16"/>
              </w:rPr>
            </w:pPr>
          </w:p>
        </w:tc>
      </w:tr>
      <w:tr w:rsidR="00447CBE" w:rsidRPr="00CF7154" w14:paraId="04CC1DF5" w14:textId="77777777" w:rsidTr="00447CBE">
        <w:trPr>
          <w:trHeight w:val="1224"/>
        </w:trPr>
        <w:tc>
          <w:tcPr>
            <w:tcW w:w="1985" w:type="dxa"/>
            <w:tcBorders>
              <w:top w:val="nil"/>
              <w:left w:val="single" w:sz="4" w:space="0" w:color="auto"/>
              <w:bottom w:val="single" w:sz="4" w:space="0" w:color="auto"/>
              <w:right w:val="single" w:sz="4" w:space="0" w:color="auto"/>
            </w:tcBorders>
            <w:shd w:val="clear" w:color="auto" w:fill="auto"/>
            <w:hideMark/>
          </w:tcPr>
          <w:p w14:paraId="2DB0F034" w14:textId="77777777" w:rsidR="00447CBE" w:rsidRPr="00CF7154" w:rsidRDefault="00447CBE" w:rsidP="00447CBE">
            <w:pPr>
              <w:spacing w:after="0" w:line="240" w:lineRule="auto"/>
              <w:rPr>
                <w:rFonts w:ascii="Calibri" w:eastAsia="Times New Roman" w:hAnsi="Calibri" w:cs="Calibri"/>
                <w:sz w:val="16"/>
                <w:szCs w:val="16"/>
              </w:rPr>
            </w:pPr>
            <w:r w:rsidRPr="00CF7154">
              <w:rPr>
                <w:rFonts w:ascii="Calibri" w:eastAsia="Times New Roman" w:hAnsi="Calibri" w:cs="Calibri"/>
                <w:b/>
                <w:bCs/>
                <w:sz w:val="16"/>
                <w:szCs w:val="16"/>
              </w:rPr>
              <w:t>Recomandarea nr.2:</w:t>
            </w:r>
            <w:r w:rsidRPr="00CF7154">
              <w:rPr>
                <w:rFonts w:ascii="Calibri" w:eastAsia="Times New Roman" w:hAnsi="Calibri" w:cs="Calibri"/>
                <w:sz w:val="16"/>
                <w:szCs w:val="16"/>
              </w:rPr>
              <w:t xml:space="preserve"> Să conformeze ținerea evid</w:t>
            </w:r>
            <w:r>
              <w:rPr>
                <w:rFonts w:ascii="Calibri" w:eastAsia="Times New Roman" w:hAnsi="Calibri" w:cs="Calibri"/>
                <w:sz w:val="16"/>
                <w:szCs w:val="16"/>
              </w:rPr>
              <w:t>enței contabile privind circulaț</w:t>
            </w:r>
            <w:r w:rsidRPr="00CF7154">
              <w:rPr>
                <w:rFonts w:ascii="Calibri" w:eastAsia="Times New Roman" w:hAnsi="Calibri" w:cs="Calibri"/>
                <w:sz w:val="16"/>
                <w:szCs w:val="16"/>
              </w:rPr>
              <w:t>ia de active materiale pe termen lung și veridicitatea raportării tuturor elementelor contabile, inclusiv în aspect de structură a patrimoniului administrat.</w:t>
            </w:r>
          </w:p>
        </w:tc>
        <w:tc>
          <w:tcPr>
            <w:tcW w:w="5529" w:type="dxa"/>
            <w:tcBorders>
              <w:top w:val="nil"/>
              <w:left w:val="nil"/>
              <w:bottom w:val="nil"/>
              <w:right w:val="nil"/>
            </w:tcBorders>
            <w:shd w:val="clear" w:color="auto" w:fill="auto"/>
          </w:tcPr>
          <w:p w14:paraId="77FBBCE6" w14:textId="2C7AA7BB" w:rsidR="00447CBE" w:rsidRPr="009B6EAC" w:rsidRDefault="00447CBE" w:rsidP="00447CBE">
            <w:pPr>
              <w:spacing w:after="0" w:line="240" w:lineRule="auto"/>
              <w:rPr>
                <w:rFonts w:ascii="Calibri" w:eastAsia="Times New Roman" w:hAnsi="Calibri" w:cs="Calibri"/>
                <w:color w:val="FF0000"/>
                <w:sz w:val="16"/>
                <w:szCs w:val="16"/>
              </w:rPr>
            </w:pPr>
            <w:r w:rsidRPr="00CF7154">
              <w:rPr>
                <w:rFonts w:ascii="Calibri" w:eastAsia="Times New Roman" w:hAnsi="Calibri" w:cs="Calibri"/>
                <w:color w:val="000000"/>
                <w:sz w:val="16"/>
                <w:szCs w:val="16"/>
              </w:rPr>
              <w:t> </w:t>
            </w:r>
            <w:r>
              <w:rPr>
                <w:rFonts w:ascii="Calibri" w:eastAsia="Times New Roman" w:hAnsi="Calibri" w:cs="Calibri"/>
                <w:color w:val="000000"/>
                <w:sz w:val="16"/>
                <w:szCs w:val="16"/>
              </w:rPr>
              <w:t xml:space="preserve">Notă: În prezenta misiune de audit, nu au fost constatate careva problematici legate de </w:t>
            </w:r>
            <w:r w:rsidRPr="00CF7154">
              <w:rPr>
                <w:rFonts w:ascii="Calibri" w:eastAsia="Times New Roman" w:hAnsi="Calibri" w:cs="Calibri"/>
                <w:sz w:val="16"/>
                <w:szCs w:val="16"/>
              </w:rPr>
              <w:t>ținerea evid</w:t>
            </w:r>
            <w:r>
              <w:rPr>
                <w:rFonts w:ascii="Calibri" w:eastAsia="Times New Roman" w:hAnsi="Calibri" w:cs="Calibri"/>
                <w:sz w:val="16"/>
                <w:szCs w:val="16"/>
              </w:rPr>
              <w:t>enței contabile privind circulaț</w:t>
            </w:r>
            <w:r w:rsidRPr="00CF7154">
              <w:rPr>
                <w:rFonts w:ascii="Calibri" w:eastAsia="Times New Roman" w:hAnsi="Calibri" w:cs="Calibri"/>
                <w:sz w:val="16"/>
                <w:szCs w:val="16"/>
              </w:rPr>
              <w:t>ia de active materiale pe termen lung</w:t>
            </w:r>
            <w:r>
              <w:rPr>
                <w:rFonts w:ascii="Calibri" w:eastAsia="Times New Roman" w:hAnsi="Calibri" w:cs="Calibri"/>
                <w:color w:val="000000"/>
                <w:sz w:val="16"/>
                <w:szCs w:val="16"/>
              </w:rPr>
              <w:t>.</w:t>
            </w:r>
          </w:p>
        </w:tc>
        <w:tc>
          <w:tcPr>
            <w:tcW w:w="603" w:type="dxa"/>
            <w:tcBorders>
              <w:top w:val="nil"/>
              <w:left w:val="single" w:sz="4" w:space="0" w:color="auto"/>
              <w:bottom w:val="single" w:sz="4" w:space="0" w:color="auto"/>
              <w:right w:val="single" w:sz="4" w:space="0" w:color="auto"/>
            </w:tcBorders>
            <w:shd w:val="clear" w:color="auto" w:fill="auto"/>
          </w:tcPr>
          <w:p w14:paraId="0F8AC4BC" w14:textId="67AE41D7" w:rsidR="00447CBE" w:rsidRPr="00CF7154" w:rsidRDefault="00447CBE" w:rsidP="00447CBE">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v</w:t>
            </w:r>
          </w:p>
        </w:tc>
        <w:tc>
          <w:tcPr>
            <w:tcW w:w="567" w:type="dxa"/>
            <w:tcBorders>
              <w:top w:val="nil"/>
              <w:left w:val="nil"/>
              <w:bottom w:val="single" w:sz="4" w:space="0" w:color="auto"/>
              <w:right w:val="single" w:sz="4" w:space="0" w:color="auto"/>
            </w:tcBorders>
            <w:shd w:val="clear" w:color="auto" w:fill="auto"/>
            <w:hideMark/>
          </w:tcPr>
          <w:p w14:paraId="59AA1977" w14:textId="7DDBDBC4" w:rsidR="00447CBE" w:rsidRPr="00CF7154" w:rsidRDefault="00447CBE" w:rsidP="00447CBE">
            <w:pPr>
              <w:spacing w:after="0" w:line="240" w:lineRule="auto"/>
              <w:jc w:val="center"/>
              <w:rPr>
                <w:rFonts w:ascii="Calibri" w:eastAsia="Times New Roman" w:hAnsi="Calibri" w:cs="Calibri"/>
                <w:sz w:val="16"/>
                <w:szCs w:val="16"/>
              </w:rPr>
            </w:pPr>
          </w:p>
        </w:tc>
        <w:tc>
          <w:tcPr>
            <w:tcW w:w="567" w:type="dxa"/>
            <w:tcBorders>
              <w:top w:val="nil"/>
              <w:left w:val="nil"/>
              <w:bottom w:val="single" w:sz="4" w:space="0" w:color="auto"/>
              <w:right w:val="single" w:sz="4" w:space="0" w:color="auto"/>
            </w:tcBorders>
            <w:shd w:val="clear" w:color="auto" w:fill="auto"/>
            <w:hideMark/>
          </w:tcPr>
          <w:p w14:paraId="6D9FDAC5" w14:textId="77777777" w:rsidR="00447CBE" w:rsidRPr="00CF7154" w:rsidRDefault="00447CBE" w:rsidP="00447CBE">
            <w:pPr>
              <w:spacing w:after="0" w:line="240" w:lineRule="auto"/>
              <w:rPr>
                <w:rFonts w:ascii="Calibri" w:eastAsia="Times New Roman" w:hAnsi="Calibri" w:cs="Calibri"/>
                <w:sz w:val="16"/>
                <w:szCs w:val="16"/>
              </w:rPr>
            </w:pPr>
            <w:r w:rsidRPr="00CF7154">
              <w:rPr>
                <w:rFonts w:ascii="Calibri" w:eastAsia="Times New Roman" w:hAnsi="Calibri" w:cs="Calibri"/>
                <w:sz w:val="16"/>
                <w:szCs w:val="16"/>
              </w:rPr>
              <w:t> </w:t>
            </w:r>
          </w:p>
        </w:tc>
        <w:tc>
          <w:tcPr>
            <w:tcW w:w="1953" w:type="dxa"/>
            <w:tcBorders>
              <w:top w:val="nil"/>
              <w:left w:val="nil"/>
              <w:bottom w:val="single" w:sz="4" w:space="0" w:color="auto"/>
              <w:right w:val="single" w:sz="4" w:space="0" w:color="auto"/>
            </w:tcBorders>
            <w:shd w:val="clear" w:color="auto" w:fill="auto"/>
            <w:hideMark/>
          </w:tcPr>
          <w:p w14:paraId="2898B107" w14:textId="77777777" w:rsidR="00447CBE" w:rsidRPr="00CF7154" w:rsidRDefault="00447CBE" w:rsidP="00447CBE">
            <w:pPr>
              <w:spacing w:after="0" w:line="240" w:lineRule="auto"/>
              <w:rPr>
                <w:rFonts w:ascii="Calibri" w:eastAsia="Times New Roman" w:hAnsi="Calibri" w:cs="Calibri"/>
                <w:sz w:val="16"/>
                <w:szCs w:val="16"/>
              </w:rPr>
            </w:pPr>
            <w:r w:rsidRPr="00CF7154">
              <w:rPr>
                <w:rFonts w:ascii="Calibri" w:eastAsia="Times New Roman" w:hAnsi="Calibri" w:cs="Calibri"/>
                <w:sz w:val="16"/>
                <w:szCs w:val="16"/>
              </w:rPr>
              <w:t> </w:t>
            </w:r>
          </w:p>
        </w:tc>
      </w:tr>
      <w:tr w:rsidR="00447CBE" w:rsidRPr="00CF7154" w14:paraId="4A087270" w14:textId="77777777" w:rsidTr="00447CBE">
        <w:trPr>
          <w:trHeight w:val="1716"/>
        </w:trPr>
        <w:tc>
          <w:tcPr>
            <w:tcW w:w="1985" w:type="dxa"/>
            <w:tcBorders>
              <w:top w:val="nil"/>
              <w:left w:val="single" w:sz="4" w:space="0" w:color="auto"/>
              <w:bottom w:val="single" w:sz="4" w:space="0" w:color="auto"/>
              <w:right w:val="single" w:sz="4" w:space="0" w:color="auto"/>
            </w:tcBorders>
            <w:shd w:val="clear" w:color="auto" w:fill="auto"/>
            <w:hideMark/>
          </w:tcPr>
          <w:p w14:paraId="25A5ED43"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b/>
                <w:bCs/>
                <w:color w:val="000000"/>
                <w:sz w:val="16"/>
                <w:szCs w:val="16"/>
              </w:rPr>
              <w:t xml:space="preserve">Recomandarea nr. 3. </w:t>
            </w:r>
            <w:r w:rsidRPr="00CF7154">
              <w:rPr>
                <w:rFonts w:ascii="Calibri" w:eastAsia="Times New Roman" w:hAnsi="Calibri" w:cs="Calibri"/>
                <w:color w:val="000000"/>
                <w:sz w:val="16"/>
                <w:szCs w:val="16"/>
              </w:rPr>
              <w:t>Să reglementeze în politicile de contabilitate metode și procedee ce ar determina modul de evaluare a activelor pe termen lung (în special a terenurilor aferente), precum și de trecere a creanțelor de la un tip la altul, în vederea asigurării corectitudinii evidenței contabile și veridicității raportării financiare.</w:t>
            </w:r>
          </w:p>
        </w:tc>
        <w:tc>
          <w:tcPr>
            <w:tcW w:w="5529" w:type="dxa"/>
            <w:tcBorders>
              <w:top w:val="single" w:sz="4" w:space="0" w:color="auto"/>
              <w:left w:val="nil"/>
              <w:bottom w:val="single" w:sz="4" w:space="0" w:color="auto"/>
              <w:right w:val="single" w:sz="4" w:space="0" w:color="auto"/>
            </w:tcBorders>
            <w:shd w:val="clear" w:color="auto" w:fill="auto"/>
            <w:hideMark/>
          </w:tcPr>
          <w:p w14:paraId="698BF216" w14:textId="77777777" w:rsidR="00447CBE" w:rsidRPr="00CF7154" w:rsidRDefault="00447CBE" w:rsidP="00447CBE">
            <w:pPr>
              <w:spacing w:after="0" w:line="240" w:lineRule="auto"/>
              <w:rPr>
                <w:rFonts w:ascii="Calibri" w:eastAsia="Times New Roman" w:hAnsi="Calibri" w:cs="Calibri"/>
                <w:sz w:val="16"/>
                <w:szCs w:val="16"/>
              </w:rPr>
            </w:pPr>
            <w:r w:rsidRPr="00CF7154">
              <w:rPr>
                <w:rFonts w:ascii="Calibri" w:eastAsia="Times New Roman" w:hAnsi="Calibri" w:cs="Calibri"/>
                <w:sz w:val="16"/>
                <w:szCs w:val="16"/>
              </w:rPr>
              <w:t>Deși entitățile vizate au elaborate Politicile de contabilitate, acestea nu prevăd metode și procedee ce ar determina modul de evaluare a activelor pe termen lung (în special, a terenurilor aferente imobilelor din proprietate), precum este stipulat în paragraful 14 din Standardul Național de Contabilitate I, fapt ce afectează corectitudinea evidenței contabile și veridicitatea raportării financiare</w:t>
            </w:r>
          </w:p>
        </w:tc>
        <w:tc>
          <w:tcPr>
            <w:tcW w:w="603" w:type="dxa"/>
            <w:tcBorders>
              <w:top w:val="nil"/>
              <w:left w:val="nil"/>
              <w:bottom w:val="single" w:sz="4" w:space="0" w:color="auto"/>
              <w:right w:val="single" w:sz="4" w:space="0" w:color="auto"/>
            </w:tcBorders>
            <w:shd w:val="clear" w:color="auto" w:fill="auto"/>
            <w:vAlign w:val="bottom"/>
            <w:hideMark/>
          </w:tcPr>
          <w:p w14:paraId="38D33286"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1946142D" w14:textId="06D17FB2"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3080BF7E" w14:textId="77777777" w:rsidR="00447CBE" w:rsidRPr="00CF7154" w:rsidRDefault="00447CBE" w:rsidP="00447CBE">
            <w:pPr>
              <w:spacing w:after="0" w:line="240" w:lineRule="auto"/>
              <w:rPr>
                <w:rFonts w:ascii="Calibri" w:eastAsia="Times New Roman" w:hAnsi="Calibri" w:cs="Calibri"/>
                <w:color w:val="C00000"/>
                <w:sz w:val="16"/>
                <w:szCs w:val="16"/>
              </w:rPr>
            </w:pPr>
            <w:r w:rsidRPr="00CF7154">
              <w:rPr>
                <w:rFonts w:ascii="Calibri" w:eastAsia="Times New Roman" w:hAnsi="Calibri" w:cs="Calibri"/>
                <w:color w:val="C00000"/>
                <w:sz w:val="16"/>
                <w:szCs w:val="16"/>
              </w:rPr>
              <w:t> </w:t>
            </w:r>
          </w:p>
        </w:tc>
        <w:tc>
          <w:tcPr>
            <w:tcW w:w="1953" w:type="dxa"/>
            <w:tcBorders>
              <w:top w:val="nil"/>
              <w:left w:val="nil"/>
              <w:bottom w:val="single" w:sz="4" w:space="0" w:color="auto"/>
              <w:right w:val="single" w:sz="4" w:space="0" w:color="auto"/>
            </w:tcBorders>
            <w:shd w:val="clear" w:color="auto" w:fill="auto"/>
          </w:tcPr>
          <w:p w14:paraId="563F00A4" w14:textId="6146DAB6" w:rsidR="00447CBE" w:rsidRPr="00CF7154" w:rsidRDefault="00447CBE" w:rsidP="00447CBE">
            <w:pPr>
              <w:spacing w:after="0" w:line="240" w:lineRule="auto"/>
              <w:rPr>
                <w:rFonts w:ascii="Calibri" w:eastAsia="Times New Roman" w:hAnsi="Calibri" w:cs="Calibri"/>
                <w:color w:val="000000"/>
                <w:sz w:val="16"/>
                <w:szCs w:val="16"/>
              </w:rPr>
            </w:pPr>
          </w:p>
        </w:tc>
      </w:tr>
      <w:tr w:rsidR="00447CBE" w:rsidRPr="00CF7154" w14:paraId="608C41D0" w14:textId="77777777" w:rsidTr="00447CBE">
        <w:trPr>
          <w:trHeight w:val="1915"/>
        </w:trPr>
        <w:tc>
          <w:tcPr>
            <w:tcW w:w="1985" w:type="dxa"/>
            <w:tcBorders>
              <w:top w:val="nil"/>
              <w:left w:val="single" w:sz="4" w:space="0" w:color="auto"/>
              <w:bottom w:val="single" w:sz="4" w:space="0" w:color="auto"/>
              <w:right w:val="single" w:sz="4" w:space="0" w:color="auto"/>
            </w:tcBorders>
            <w:shd w:val="clear" w:color="auto" w:fill="auto"/>
            <w:hideMark/>
          </w:tcPr>
          <w:p w14:paraId="411B0AE1" w14:textId="0A81DBB9"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b/>
                <w:bCs/>
                <w:color w:val="000000"/>
                <w:sz w:val="16"/>
                <w:szCs w:val="16"/>
              </w:rPr>
              <w:t>Recomandarea nr. 4:</w:t>
            </w:r>
            <w:r w:rsidRPr="00CF7154">
              <w:rPr>
                <w:rFonts w:ascii="Calibri" w:eastAsia="Times New Roman" w:hAnsi="Calibri" w:cs="Calibri"/>
                <w:color w:val="000000"/>
                <w:sz w:val="16"/>
                <w:szCs w:val="16"/>
              </w:rPr>
              <w:t xml:space="preserve"> Să întreprindă măsuri în vederea elucidării situațiilor privind diferențele patrimoniului înregistrat la organul cadastral, cele reflectate în evidența contabilă,</w:t>
            </w:r>
            <w:r>
              <w:rPr>
                <w:rFonts w:ascii="Calibri" w:eastAsia="Times New Roman" w:hAnsi="Calibri" w:cs="Calibri"/>
                <w:color w:val="000000"/>
                <w:sz w:val="16"/>
                <w:szCs w:val="16"/>
              </w:rPr>
              <w:t xml:space="preserve"> </w:t>
            </w:r>
            <w:r w:rsidRPr="00CF7154">
              <w:rPr>
                <w:rFonts w:ascii="Calibri" w:eastAsia="Times New Roman" w:hAnsi="Calibri" w:cs="Calibri"/>
                <w:color w:val="000000"/>
                <w:sz w:val="16"/>
                <w:szCs w:val="16"/>
              </w:rPr>
              <w:t>real existente și raportate Agenției Proprietate Publică.</w:t>
            </w:r>
            <w:r>
              <w:rPr>
                <w:rFonts w:ascii="Calibri" w:eastAsia="Times New Roman" w:hAnsi="Calibri" w:cs="Calibri"/>
                <w:color w:val="000000"/>
                <w:sz w:val="16"/>
                <w:szCs w:val="16"/>
              </w:rPr>
              <w:t xml:space="preserve"> </w:t>
            </w:r>
            <w:r w:rsidRPr="00CF7154">
              <w:rPr>
                <w:rFonts w:ascii="Calibri" w:eastAsia="Times New Roman" w:hAnsi="Calibri" w:cs="Calibri"/>
                <w:color w:val="000000"/>
                <w:sz w:val="16"/>
                <w:szCs w:val="16"/>
              </w:rPr>
              <w:t xml:space="preserve"> </w:t>
            </w:r>
          </w:p>
        </w:tc>
        <w:tc>
          <w:tcPr>
            <w:tcW w:w="9219" w:type="dxa"/>
            <w:gridSpan w:val="5"/>
            <w:tcBorders>
              <w:top w:val="nil"/>
              <w:left w:val="nil"/>
              <w:bottom w:val="single" w:sz="4" w:space="0" w:color="auto"/>
              <w:right w:val="single" w:sz="4" w:space="0" w:color="auto"/>
            </w:tcBorders>
            <w:shd w:val="clear" w:color="auto" w:fill="auto"/>
            <w:hideMark/>
          </w:tcPr>
          <w:p w14:paraId="1297B1CA" w14:textId="7D3FF1B5" w:rsidR="00447CBE" w:rsidRPr="00CF7154" w:rsidRDefault="00447CBE" w:rsidP="00447CBE">
            <w:pPr>
              <w:spacing w:after="0" w:line="240" w:lineRule="auto"/>
              <w:jc w:val="both"/>
              <w:rPr>
                <w:rFonts w:ascii="Calibri" w:eastAsia="Times New Roman" w:hAnsi="Calibri" w:cs="Calibri"/>
                <w:color w:val="000000"/>
                <w:sz w:val="16"/>
                <w:szCs w:val="16"/>
              </w:rPr>
            </w:pPr>
            <w:r w:rsidRPr="00CF7154">
              <w:rPr>
                <w:rFonts w:ascii="Calibri" w:eastAsia="Times New Roman" w:hAnsi="Calibri" w:cs="Calibri"/>
                <w:color w:val="000000"/>
                <w:sz w:val="16"/>
                <w:szCs w:val="16"/>
              </w:rPr>
              <w:t>Recomandarea respectivă și-a pierdut din actualitate, din considerentul că, În conformitate cu HG nr.168 din 16.03.2022,</w:t>
            </w:r>
            <w:r>
              <w:rPr>
                <w:rFonts w:ascii="Calibri" w:eastAsia="Times New Roman" w:hAnsi="Calibri" w:cs="Calibri"/>
                <w:color w:val="000000"/>
                <w:sz w:val="16"/>
                <w:szCs w:val="16"/>
              </w:rPr>
              <w:t xml:space="preserve"> </w:t>
            </w:r>
            <w:r w:rsidRPr="00CF7154">
              <w:rPr>
                <w:rFonts w:ascii="Calibri" w:eastAsia="Times New Roman" w:hAnsi="Calibri" w:cs="Calibri"/>
                <w:color w:val="000000"/>
                <w:sz w:val="16"/>
                <w:szCs w:val="16"/>
              </w:rPr>
              <w:t>Î.S „Medisan” a fost transmisă din administrarea Cancelariei de Stat în administrarea Agenției Proprietății Publice, iar în conformitate cu HG nr.950 din 03.10.2018 Î.S. „Complexul „Casa Presei”</w:t>
            </w:r>
            <w:r>
              <w:rPr>
                <w:rFonts w:ascii="Calibri" w:eastAsia="Times New Roman" w:hAnsi="Calibri" w:cs="Calibri"/>
                <w:color w:val="000000"/>
                <w:sz w:val="16"/>
                <w:szCs w:val="16"/>
              </w:rPr>
              <w:t xml:space="preserve"> a fost absorbită, urmare reorga</w:t>
            </w:r>
            <w:r w:rsidRPr="00CF7154">
              <w:rPr>
                <w:rFonts w:ascii="Calibri" w:eastAsia="Times New Roman" w:hAnsi="Calibri" w:cs="Calibri"/>
                <w:color w:val="000000"/>
                <w:sz w:val="16"/>
                <w:szCs w:val="16"/>
              </w:rPr>
              <w:t>nizării, de către I.P. „Direcția generală pentru administrarea clădirilor guvernului” (entități vizate în raportul de audit), fapt pentru care se propune de a fi exclusă din regim de monitorizare</w:t>
            </w:r>
          </w:p>
        </w:tc>
      </w:tr>
      <w:tr w:rsidR="00447CBE" w:rsidRPr="00CF7154" w14:paraId="6DC5A245" w14:textId="77777777" w:rsidTr="00447CBE">
        <w:trPr>
          <w:trHeight w:val="2084"/>
        </w:trPr>
        <w:tc>
          <w:tcPr>
            <w:tcW w:w="1985" w:type="dxa"/>
            <w:tcBorders>
              <w:top w:val="nil"/>
              <w:left w:val="single" w:sz="4" w:space="0" w:color="auto"/>
              <w:bottom w:val="single" w:sz="4" w:space="0" w:color="auto"/>
              <w:right w:val="single" w:sz="4" w:space="0" w:color="auto"/>
            </w:tcBorders>
            <w:shd w:val="clear" w:color="auto" w:fill="auto"/>
            <w:hideMark/>
          </w:tcPr>
          <w:p w14:paraId="7FC5A193" w14:textId="47EA8B7A"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b/>
                <w:bCs/>
                <w:color w:val="000000"/>
                <w:sz w:val="16"/>
                <w:szCs w:val="16"/>
              </w:rPr>
              <w:t xml:space="preserve">Recomandarea nr. 5: </w:t>
            </w:r>
            <w:r w:rsidRPr="00CF7154">
              <w:rPr>
                <w:rFonts w:ascii="Calibri" w:eastAsia="Times New Roman" w:hAnsi="Calibri" w:cs="Calibri"/>
                <w:color w:val="000000"/>
                <w:sz w:val="16"/>
                <w:szCs w:val="16"/>
              </w:rPr>
              <w:t>Să examineze situațiile privind neutilizarea de lungă durată și neintegrală</w:t>
            </w:r>
            <w:r>
              <w:rPr>
                <w:rFonts w:ascii="Calibri" w:eastAsia="Times New Roman" w:hAnsi="Calibri" w:cs="Calibri"/>
                <w:color w:val="000000"/>
                <w:sz w:val="16"/>
                <w:szCs w:val="16"/>
              </w:rPr>
              <w:t xml:space="preserve"> </w:t>
            </w:r>
            <w:r w:rsidRPr="00CF7154">
              <w:rPr>
                <w:rFonts w:ascii="Calibri" w:eastAsia="Times New Roman" w:hAnsi="Calibri" w:cs="Calibri"/>
                <w:color w:val="000000"/>
                <w:sz w:val="16"/>
                <w:szCs w:val="16"/>
              </w:rPr>
              <w:t xml:space="preserve">a activelor pe termen lung, cu întreprinderea măsurilor de rigoare în vederea bunei gestionări a fondurilor publice cu neadmiterea degradării fizice. </w:t>
            </w:r>
          </w:p>
        </w:tc>
        <w:tc>
          <w:tcPr>
            <w:tcW w:w="9219" w:type="dxa"/>
            <w:gridSpan w:val="5"/>
            <w:tcBorders>
              <w:top w:val="nil"/>
              <w:left w:val="nil"/>
              <w:bottom w:val="single" w:sz="4" w:space="0" w:color="auto"/>
              <w:right w:val="single" w:sz="4" w:space="0" w:color="auto"/>
            </w:tcBorders>
            <w:shd w:val="clear" w:color="auto" w:fill="auto"/>
            <w:hideMark/>
          </w:tcPr>
          <w:p w14:paraId="4DE79464"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p w14:paraId="3A807998" w14:textId="67CD23BB"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Recomandarea dată și-a pierdut din actualitate, reieșind din faptul că entitățile vizate în raportul de audit au fost transmise din administrarea Cancelariei de Stat în administrarea Agenției Proprietății Publice:</w:t>
            </w:r>
            <w:r w:rsidRPr="00CF7154">
              <w:rPr>
                <w:rFonts w:ascii="Calibri" w:eastAsia="Times New Roman" w:hAnsi="Calibri" w:cs="Calibri"/>
                <w:color w:val="000000"/>
                <w:sz w:val="16"/>
                <w:szCs w:val="16"/>
              </w:rPr>
              <w:br/>
              <w:t>- prin HG nr.919 din 24.09.2018 - Î.S „Editura Universul”;</w:t>
            </w:r>
            <w:r w:rsidRPr="00CF7154">
              <w:rPr>
                <w:rFonts w:ascii="Calibri" w:eastAsia="Times New Roman" w:hAnsi="Calibri" w:cs="Calibri"/>
                <w:color w:val="000000"/>
                <w:sz w:val="16"/>
                <w:szCs w:val="16"/>
              </w:rPr>
              <w:br/>
              <w:t>- prin HG nr.168 din 16.03.2022,</w:t>
            </w:r>
            <w:r>
              <w:rPr>
                <w:rFonts w:ascii="Calibri" w:eastAsia="Times New Roman" w:hAnsi="Calibri" w:cs="Calibri"/>
                <w:color w:val="000000"/>
                <w:sz w:val="16"/>
                <w:szCs w:val="16"/>
              </w:rPr>
              <w:t xml:space="preserve"> </w:t>
            </w:r>
            <w:r w:rsidRPr="00CF7154">
              <w:rPr>
                <w:rFonts w:ascii="Calibri" w:eastAsia="Times New Roman" w:hAnsi="Calibri" w:cs="Calibri"/>
                <w:color w:val="000000"/>
                <w:sz w:val="16"/>
                <w:szCs w:val="16"/>
              </w:rPr>
              <w:t>Î.S „Medisan”. Din aceste considerente recomandarea respectivă se propune de a fi exclusă din regim de monitorizare.</w:t>
            </w:r>
          </w:p>
        </w:tc>
      </w:tr>
      <w:tr w:rsidR="00447CBE" w:rsidRPr="00CF7154" w14:paraId="56557B02" w14:textId="77777777" w:rsidTr="00447CBE">
        <w:trPr>
          <w:trHeight w:val="1140"/>
        </w:trPr>
        <w:tc>
          <w:tcPr>
            <w:tcW w:w="1985" w:type="dxa"/>
            <w:tcBorders>
              <w:top w:val="nil"/>
              <w:left w:val="single" w:sz="4" w:space="0" w:color="auto"/>
              <w:bottom w:val="single" w:sz="4" w:space="0" w:color="auto"/>
              <w:right w:val="single" w:sz="4" w:space="0" w:color="auto"/>
            </w:tcBorders>
            <w:shd w:val="clear" w:color="auto" w:fill="auto"/>
            <w:hideMark/>
          </w:tcPr>
          <w:p w14:paraId="51EF1A0A" w14:textId="1C69400F"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b/>
                <w:bCs/>
                <w:color w:val="000000"/>
                <w:sz w:val="16"/>
                <w:szCs w:val="16"/>
              </w:rPr>
              <w:t>Recomandarea nr. 6:</w:t>
            </w:r>
            <w:r w:rsidRPr="00CF7154">
              <w:rPr>
                <w:rFonts w:ascii="Calibri" w:eastAsia="Times New Roman" w:hAnsi="Calibri" w:cs="Calibri"/>
                <w:color w:val="000000"/>
                <w:sz w:val="16"/>
                <w:szCs w:val="16"/>
              </w:rPr>
              <w:t xml:space="preserve"> Să asigure prezența listelor bunurilor materiale depuse în capitalul social care ar justifica valoarea acestora transmise de către fondator întreprinderilor de stat monitorizate.</w:t>
            </w:r>
            <w:r>
              <w:rPr>
                <w:rFonts w:ascii="Calibri" w:eastAsia="Times New Roman" w:hAnsi="Calibri" w:cs="Calibri"/>
                <w:color w:val="000000"/>
                <w:sz w:val="16"/>
                <w:szCs w:val="16"/>
              </w:rPr>
              <w:t xml:space="preserve"> </w:t>
            </w:r>
          </w:p>
        </w:tc>
        <w:tc>
          <w:tcPr>
            <w:tcW w:w="5529" w:type="dxa"/>
            <w:tcBorders>
              <w:top w:val="nil"/>
              <w:left w:val="nil"/>
              <w:bottom w:val="single" w:sz="4" w:space="0" w:color="auto"/>
              <w:right w:val="single" w:sz="4" w:space="0" w:color="auto"/>
            </w:tcBorders>
            <w:shd w:val="clear" w:color="auto" w:fill="auto"/>
            <w:hideMark/>
          </w:tcPr>
          <w:p w14:paraId="5CC6DDE7" w14:textId="309E48E1"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1. În baza HG nr.519 din 15.07.2020, ÎS „Palatul Republicii” s-a reorganizat prin transformare, în I</w:t>
            </w:r>
            <w:r>
              <w:rPr>
                <w:rFonts w:ascii="Calibri" w:eastAsia="Times New Roman" w:hAnsi="Calibri" w:cs="Calibri"/>
                <w:color w:val="000000"/>
                <w:sz w:val="16"/>
                <w:szCs w:val="16"/>
              </w:rPr>
              <w:t>.</w:t>
            </w:r>
            <w:r w:rsidRPr="00CF7154">
              <w:rPr>
                <w:rFonts w:ascii="Calibri" w:eastAsia="Times New Roman" w:hAnsi="Calibri" w:cs="Calibri"/>
                <w:color w:val="000000"/>
                <w:sz w:val="16"/>
                <w:szCs w:val="16"/>
              </w:rPr>
              <w:t>P</w:t>
            </w:r>
            <w:r>
              <w:rPr>
                <w:rFonts w:ascii="Calibri" w:eastAsia="Times New Roman" w:hAnsi="Calibri" w:cs="Calibri"/>
                <w:color w:val="000000"/>
                <w:sz w:val="16"/>
                <w:szCs w:val="16"/>
              </w:rPr>
              <w:t>.</w:t>
            </w:r>
            <w:r w:rsidRPr="00CF7154">
              <w:rPr>
                <w:rFonts w:ascii="Calibri" w:eastAsia="Times New Roman" w:hAnsi="Calibri" w:cs="Calibri"/>
                <w:color w:val="000000"/>
                <w:sz w:val="16"/>
                <w:szCs w:val="16"/>
              </w:rPr>
              <w:t xml:space="preserve"> „Palatul Republicii”, bunurile fiind transmise de la o instituție la alta prin act de transmitere fiind anexată și lista cu bunurile proprietate publică care au intrat în componența capitalului statutar;</w:t>
            </w:r>
            <w:r w:rsidRPr="00CF7154">
              <w:rPr>
                <w:rFonts w:ascii="Calibri" w:eastAsia="Times New Roman" w:hAnsi="Calibri" w:cs="Calibri"/>
                <w:color w:val="000000"/>
                <w:sz w:val="16"/>
                <w:szCs w:val="16"/>
              </w:rPr>
              <w:br/>
              <w:t>2. În baza HG nr. 520 din 15.07.2020 Î.S „Pensiunea Holercani” s-a reorganizat prin transformare, în I.P.</w:t>
            </w:r>
            <w:r>
              <w:rPr>
                <w:rFonts w:ascii="Calibri" w:eastAsia="Times New Roman" w:hAnsi="Calibri" w:cs="Calibri"/>
                <w:color w:val="000000"/>
                <w:sz w:val="16"/>
                <w:szCs w:val="16"/>
              </w:rPr>
              <w:t xml:space="preserve"> </w:t>
            </w:r>
            <w:r w:rsidRPr="00CF7154">
              <w:rPr>
                <w:rFonts w:ascii="Calibri" w:eastAsia="Times New Roman" w:hAnsi="Calibri" w:cs="Calibri"/>
                <w:color w:val="000000"/>
                <w:sz w:val="16"/>
                <w:szCs w:val="16"/>
              </w:rPr>
              <w:t>„Pensiunea Holercani”.</w:t>
            </w:r>
          </w:p>
        </w:tc>
        <w:tc>
          <w:tcPr>
            <w:tcW w:w="603" w:type="dxa"/>
            <w:tcBorders>
              <w:top w:val="nil"/>
              <w:left w:val="nil"/>
              <w:bottom w:val="single" w:sz="4" w:space="0" w:color="auto"/>
              <w:right w:val="single" w:sz="4" w:space="0" w:color="auto"/>
            </w:tcBorders>
            <w:shd w:val="clear" w:color="auto" w:fill="auto"/>
            <w:vAlign w:val="bottom"/>
            <w:hideMark/>
          </w:tcPr>
          <w:p w14:paraId="543BD2D0"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161364FC" w14:textId="58962EE4"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0115CED9"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hideMark/>
          </w:tcPr>
          <w:p w14:paraId="3CAD1042" w14:textId="5AEEDC1A" w:rsidR="00447CBE" w:rsidRPr="003C6369" w:rsidRDefault="00447CBE" w:rsidP="00447CBE">
            <w:pPr>
              <w:spacing w:after="0" w:line="240" w:lineRule="auto"/>
              <w:rPr>
                <w:rFonts w:ascii="Calibri" w:eastAsia="Times New Roman" w:hAnsi="Calibri" w:cs="Calibri"/>
                <w:sz w:val="16"/>
                <w:szCs w:val="16"/>
              </w:rPr>
            </w:pPr>
            <w:r>
              <w:rPr>
                <w:rFonts w:ascii="Calibri" w:eastAsia="Times New Roman" w:hAnsi="Calibri" w:cs="Calibri"/>
                <w:sz w:val="16"/>
                <w:szCs w:val="16"/>
              </w:rPr>
              <w:t>Problematica</w:t>
            </w:r>
            <w:r w:rsidRPr="003C6369">
              <w:rPr>
                <w:rFonts w:ascii="Calibri" w:eastAsia="Times New Roman" w:hAnsi="Calibri" w:cs="Calibri"/>
                <w:sz w:val="16"/>
                <w:szCs w:val="16"/>
              </w:rPr>
              <w:t xml:space="preserve"> se reiterează în pct. 4.3.1. la prezentul Raport de audit</w:t>
            </w:r>
          </w:p>
        </w:tc>
      </w:tr>
      <w:tr w:rsidR="00447CBE" w:rsidRPr="00CF7154" w14:paraId="2E409A7C" w14:textId="77777777" w:rsidTr="00447CBE">
        <w:trPr>
          <w:trHeight w:val="819"/>
        </w:trPr>
        <w:tc>
          <w:tcPr>
            <w:tcW w:w="1985" w:type="dxa"/>
            <w:tcBorders>
              <w:top w:val="nil"/>
              <w:left w:val="single" w:sz="4" w:space="0" w:color="auto"/>
              <w:bottom w:val="single" w:sz="4" w:space="0" w:color="auto"/>
              <w:right w:val="single" w:sz="4" w:space="0" w:color="auto"/>
            </w:tcBorders>
            <w:shd w:val="clear" w:color="auto" w:fill="auto"/>
            <w:hideMark/>
          </w:tcPr>
          <w:p w14:paraId="285CE886" w14:textId="77777777" w:rsidR="00447CBE" w:rsidRPr="00CF7154" w:rsidRDefault="00447CBE" w:rsidP="00447CBE">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 xml:space="preserve">Recomandarea nr. 7: </w:t>
            </w:r>
            <w:r w:rsidRPr="00CF7154">
              <w:rPr>
                <w:rFonts w:ascii="Calibri" w:eastAsia="Times New Roman" w:hAnsi="Calibri" w:cs="Calibri"/>
                <w:color w:val="000000"/>
                <w:sz w:val="16"/>
                <w:szCs w:val="16"/>
              </w:rPr>
              <w:t>Să ajusteze prevederile statutare ale întreprinderilor de stat la prevederile cadrului legal</w:t>
            </w:r>
          </w:p>
        </w:tc>
        <w:tc>
          <w:tcPr>
            <w:tcW w:w="9219" w:type="dxa"/>
            <w:gridSpan w:val="5"/>
            <w:tcBorders>
              <w:top w:val="nil"/>
              <w:left w:val="nil"/>
              <w:bottom w:val="single" w:sz="4" w:space="0" w:color="auto"/>
              <w:right w:val="single" w:sz="4" w:space="0" w:color="auto"/>
            </w:tcBorders>
            <w:shd w:val="clear" w:color="auto" w:fill="auto"/>
            <w:hideMark/>
          </w:tcPr>
          <w:p w14:paraId="6EC24792" w14:textId="444E5321"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Reieșind din faptul că Î.S. „Palatul Republicii” și Î.S. „Pensiunea Holercani”, care au fost selectate pentru auditare, și care au fost vizate în raportul de audit s-au reorgan</w:t>
            </w:r>
            <w:r>
              <w:rPr>
                <w:rFonts w:ascii="Calibri" w:eastAsia="Times New Roman" w:hAnsi="Calibri" w:cs="Calibri"/>
                <w:color w:val="000000"/>
                <w:sz w:val="16"/>
                <w:szCs w:val="16"/>
              </w:rPr>
              <w:t>i</w:t>
            </w:r>
            <w:r w:rsidRPr="00CF7154">
              <w:rPr>
                <w:rFonts w:ascii="Calibri" w:eastAsia="Times New Roman" w:hAnsi="Calibri" w:cs="Calibri"/>
                <w:color w:val="000000"/>
                <w:sz w:val="16"/>
                <w:szCs w:val="16"/>
              </w:rPr>
              <w:t>zat prin transformare în instituții publice, recomandarea respectivă și-a pierdut din actualitate, motiv din care s</w:t>
            </w:r>
            <w:r w:rsidRPr="00CF7154">
              <w:rPr>
                <w:rFonts w:ascii="Calibri" w:eastAsia="Times New Roman" w:hAnsi="Calibri" w:cs="Calibri"/>
                <w:b/>
                <w:bCs/>
                <w:color w:val="000000"/>
                <w:sz w:val="16"/>
                <w:szCs w:val="16"/>
              </w:rPr>
              <w:t>e propune excluderea acesteia din regim de monitorizare.</w:t>
            </w:r>
          </w:p>
        </w:tc>
      </w:tr>
      <w:tr w:rsidR="00447CBE" w:rsidRPr="00CF7154" w14:paraId="0EC9ECEC" w14:textId="77777777" w:rsidTr="00447CBE">
        <w:trPr>
          <w:trHeight w:val="204"/>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191D2966" w14:textId="77777777" w:rsidR="00447CBE" w:rsidRPr="00CF7154" w:rsidRDefault="00447CBE" w:rsidP="00447CBE">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CANCELARIA DE STAT, în comun cu organele de conducere ale întreprinderilor de stat auditate</w:t>
            </w:r>
          </w:p>
        </w:tc>
      </w:tr>
      <w:tr w:rsidR="00447CBE" w:rsidRPr="00CF7154" w14:paraId="0108293F" w14:textId="77777777" w:rsidTr="00447CBE">
        <w:trPr>
          <w:trHeight w:val="2120"/>
        </w:trPr>
        <w:tc>
          <w:tcPr>
            <w:tcW w:w="1985" w:type="dxa"/>
            <w:tcBorders>
              <w:top w:val="nil"/>
              <w:left w:val="single" w:sz="4" w:space="0" w:color="auto"/>
              <w:bottom w:val="single" w:sz="4" w:space="0" w:color="auto"/>
              <w:right w:val="single" w:sz="4" w:space="0" w:color="auto"/>
            </w:tcBorders>
            <w:shd w:val="clear" w:color="auto" w:fill="auto"/>
            <w:hideMark/>
          </w:tcPr>
          <w:p w14:paraId="7392DC6B" w14:textId="6B0B98A7" w:rsidR="00447CBE" w:rsidRPr="00B221E8" w:rsidRDefault="00447CBE" w:rsidP="00447CBE">
            <w:pPr>
              <w:spacing w:after="0" w:line="240" w:lineRule="auto"/>
              <w:rPr>
                <w:rFonts w:ascii="Calibri" w:eastAsia="Times New Roman" w:hAnsi="Calibri" w:cs="Calibri"/>
                <w:color w:val="000000"/>
                <w:sz w:val="14"/>
                <w:szCs w:val="14"/>
              </w:rPr>
            </w:pPr>
            <w:r w:rsidRPr="00B221E8">
              <w:rPr>
                <w:rFonts w:ascii="Calibri" w:eastAsia="Times New Roman" w:hAnsi="Calibri" w:cs="Calibri"/>
                <w:b/>
                <w:bCs/>
                <w:color w:val="000000"/>
                <w:sz w:val="14"/>
                <w:szCs w:val="14"/>
              </w:rPr>
              <w:t xml:space="preserve">Recomandarea nr. 8: </w:t>
            </w:r>
            <w:r w:rsidRPr="00B221E8">
              <w:rPr>
                <w:rFonts w:ascii="Calibri" w:eastAsia="Times New Roman" w:hAnsi="Calibri" w:cs="Calibri"/>
                <w:color w:val="000000"/>
                <w:sz w:val="14"/>
                <w:szCs w:val="14"/>
              </w:rPr>
              <w:t>Să examineze situațiile economico-financiare ale întreprinderilor monitorizate în vederea aprobării programelor de perspectivă a dezvoltării și</w:t>
            </w:r>
            <w:r>
              <w:rPr>
                <w:rFonts w:ascii="Calibri" w:eastAsia="Times New Roman" w:hAnsi="Calibri" w:cs="Calibri"/>
                <w:color w:val="000000"/>
                <w:sz w:val="14"/>
                <w:szCs w:val="14"/>
              </w:rPr>
              <w:t xml:space="preserve"> </w:t>
            </w:r>
            <w:r w:rsidRPr="00B221E8">
              <w:rPr>
                <w:rFonts w:ascii="Calibri" w:eastAsia="Times New Roman" w:hAnsi="Calibri" w:cs="Calibri"/>
                <w:color w:val="000000"/>
                <w:sz w:val="14"/>
                <w:szCs w:val="14"/>
              </w:rPr>
              <w:t>măsurilor ce vor asigura integritatea și folosirea eficientă a bunurilor, inclusiv, după caz, luarea deciziilor conforme cadrului legal prin prisma oportunității modificării capitalului social.</w:t>
            </w:r>
          </w:p>
        </w:tc>
        <w:tc>
          <w:tcPr>
            <w:tcW w:w="9219" w:type="dxa"/>
            <w:gridSpan w:val="5"/>
            <w:tcBorders>
              <w:top w:val="nil"/>
              <w:left w:val="nil"/>
              <w:bottom w:val="single" w:sz="4" w:space="0" w:color="auto"/>
              <w:right w:val="single" w:sz="4" w:space="0" w:color="auto"/>
            </w:tcBorders>
            <w:shd w:val="clear" w:color="auto" w:fill="auto"/>
            <w:hideMark/>
          </w:tcPr>
          <w:p w14:paraId="430E02BB" w14:textId="1ACEDAE0" w:rsidR="00447CBE" w:rsidRPr="00CF7154" w:rsidRDefault="00447CBE" w:rsidP="00447CBE">
            <w:pPr>
              <w:spacing w:after="0" w:line="240" w:lineRule="auto"/>
              <w:rPr>
                <w:rFonts w:ascii="Calibri" w:eastAsia="Times New Roman" w:hAnsi="Calibri" w:cs="Calibri"/>
                <w:color w:val="000000"/>
                <w:sz w:val="16"/>
                <w:szCs w:val="16"/>
              </w:rPr>
            </w:pPr>
          </w:p>
          <w:p w14:paraId="480EF635" w14:textId="4FE67C9A"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Reieșind din faptul că Î.S. „Palatul Republicii” și Î.S. „Pensiunea Holercani”, care au fost selectate pentru auditare, s-au reorgan</w:t>
            </w:r>
            <w:r>
              <w:rPr>
                <w:rFonts w:ascii="Calibri" w:eastAsia="Times New Roman" w:hAnsi="Calibri" w:cs="Calibri"/>
                <w:color w:val="000000"/>
                <w:sz w:val="16"/>
                <w:szCs w:val="16"/>
              </w:rPr>
              <w:t>i</w:t>
            </w:r>
            <w:r w:rsidRPr="00CF7154">
              <w:rPr>
                <w:rFonts w:ascii="Calibri" w:eastAsia="Times New Roman" w:hAnsi="Calibri" w:cs="Calibri"/>
                <w:color w:val="000000"/>
                <w:sz w:val="16"/>
                <w:szCs w:val="16"/>
              </w:rPr>
              <w:t xml:space="preserve">zat prin transformare în instituții publice, recomandarea respectivă și-a pierdut din actualitate, motiv din care </w:t>
            </w:r>
            <w:r w:rsidRPr="00CF7154">
              <w:rPr>
                <w:rFonts w:ascii="Calibri" w:eastAsia="Times New Roman" w:hAnsi="Calibri" w:cs="Calibri"/>
                <w:b/>
                <w:bCs/>
                <w:color w:val="000000"/>
                <w:sz w:val="16"/>
                <w:szCs w:val="16"/>
              </w:rPr>
              <w:t>se propune excluderea acesteia din regim de monitorizare.</w:t>
            </w:r>
          </w:p>
        </w:tc>
      </w:tr>
      <w:tr w:rsidR="00447CBE" w:rsidRPr="00CF7154" w14:paraId="1EFDA64F" w14:textId="77777777" w:rsidTr="00447CBE">
        <w:trPr>
          <w:trHeight w:val="1836"/>
        </w:trPr>
        <w:tc>
          <w:tcPr>
            <w:tcW w:w="1985" w:type="dxa"/>
            <w:tcBorders>
              <w:top w:val="nil"/>
              <w:left w:val="single" w:sz="4" w:space="0" w:color="auto"/>
              <w:bottom w:val="single" w:sz="4" w:space="0" w:color="auto"/>
              <w:right w:val="single" w:sz="4" w:space="0" w:color="auto"/>
            </w:tcBorders>
            <w:shd w:val="clear" w:color="auto" w:fill="auto"/>
            <w:hideMark/>
          </w:tcPr>
          <w:p w14:paraId="31230F22"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b/>
                <w:bCs/>
                <w:color w:val="000000"/>
                <w:sz w:val="16"/>
                <w:szCs w:val="16"/>
              </w:rPr>
              <w:t xml:space="preserve">Recomandarea nr. 9: </w:t>
            </w:r>
            <w:r w:rsidRPr="00CF7154">
              <w:rPr>
                <w:rFonts w:ascii="Calibri" w:eastAsia="Times New Roman" w:hAnsi="Calibri" w:cs="Calibri"/>
                <w:color w:val="000000"/>
                <w:sz w:val="16"/>
                <w:szCs w:val="16"/>
              </w:rPr>
              <w:t>Să monitoriz</w:t>
            </w:r>
            <w:r>
              <w:rPr>
                <w:rFonts w:ascii="Calibri" w:eastAsia="Times New Roman" w:hAnsi="Calibri" w:cs="Calibri"/>
                <w:color w:val="000000"/>
                <w:sz w:val="16"/>
                <w:szCs w:val="16"/>
              </w:rPr>
              <w:t>eze regularitatea dării în locaț</w:t>
            </w:r>
            <w:r w:rsidRPr="00CF7154">
              <w:rPr>
                <w:rFonts w:ascii="Calibri" w:eastAsia="Times New Roman" w:hAnsi="Calibri" w:cs="Calibri"/>
                <w:color w:val="000000"/>
                <w:sz w:val="16"/>
                <w:szCs w:val="16"/>
              </w:rPr>
              <w:t>iune</w:t>
            </w:r>
            <w:r>
              <w:rPr>
                <w:rFonts w:ascii="Calibri" w:eastAsia="Times New Roman" w:hAnsi="Calibri" w:cs="Calibri"/>
                <w:color w:val="000000"/>
                <w:sz w:val="16"/>
                <w:szCs w:val="16"/>
              </w:rPr>
              <w:t xml:space="preserve"> </w:t>
            </w:r>
            <w:r w:rsidRPr="00CF7154">
              <w:rPr>
                <w:rFonts w:ascii="Calibri" w:eastAsia="Times New Roman" w:hAnsi="Calibri" w:cs="Calibri"/>
                <w:color w:val="000000"/>
                <w:sz w:val="16"/>
                <w:szCs w:val="16"/>
              </w:rPr>
              <w:t>/arendă a patrimon</w:t>
            </w:r>
            <w:r>
              <w:rPr>
                <w:rFonts w:ascii="Calibri" w:eastAsia="Times New Roman" w:hAnsi="Calibri" w:cs="Calibri"/>
                <w:color w:val="000000"/>
                <w:sz w:val="16"/>
                <w:szCs w:val="16"/>
              </w:rPr>
              <w:t>iului ș</w:t>
            </w:r>
            <w:r w:rsidRPr="00CF7154">
              <w:rPr>
                <w:rFonts w:ascii="Calibri" w:eastAsia="Times New Roman" w:hAnsi="Calibri" w:cs="Calibri"/>
                <w:color w:val="000000"/>
                <w:sz w:val="16"/>
                <w:szCs w:val="16"/>
              </w:rPr>
              <w:t xml:space="preserve">i să examineze oportunitatea de </w:t>
            </w:r>
            <w:r>
              <w:rPr>
                <w:rFonts w:ascii="Calibri" w:eastAsia="Times New Roman" w:hAnsi="Calibri" w:cs="Calibri"/>
                <w:color w:val="000000"/>
                <w:sz w:val="16"/>
                <w:szCs w:val="16"/>
              </w:rPr>
              <w:t>ajustare a contractelor de locaț</w:t>
            </w:r>
            <w:r w:rsidRPr="00CF7154">
              <w:rPr>
                <w:rFonts w:ascii="Calibri" w:eastAsia="Times New Roman" w:hAnsi="Calibri" w:cs="Calibri"/>
                <w:color w:val="000000"/>
                <w:sz w:val="16"/>
                <w:szCs w:val="16"/>
              </w:rPr>
              <w:t xml:space="preserve">iune, pentru aplicarea corectă a prevederilor </w:t>
            </w:r>
            <w:r>
              <w:rPr>
                <w:rFonts w:ascii="Calibri" w:eastAsia="Times New Roman" w:hAnsi="Calibri" w:cs="Calibri"/>
                <w:color w:val="000000"/>
                <w:sz w:val="16"/>
                <w:szCs w:val="16"/>
              </w:rPr>
              <w:t>Legii bugetului de stat anuale ș</w:t>
            </w:r>
            <w:r w:rsidRPr="00CF7154">
              <w:rPr>
                <w:rFonts w:ascii="Calibri" w:eastAsia="Times New Roman" w:hAnsi="Calibri" w:cs="Calibri"/>
                <w:color w:val="000000"/>
                <w:sz w:val="16"/>
                <w:szCs w:val="16"/>
              </w:rPr>
              <w:t xml:space="preserve">i a suprafețelor reale utilizate. </w:t>
            </w:r>
          </w:p>
        </w:tc>
        <w:tc>
          <w:tcPr>
            <w:tcW w:w="5529" w:type="dxa"/>
            <w:tcBorders>
              <w:top w:val="nil"/>
              <w:left w:val="nil"/>
              <w:bottom w:val="single" w:sz="4" w:space="0" w:color="auto"/>
              <w:right w:val="single" w:sz="4" w:space="0" w:color="auto"/>
            </w:tcBorders>
            <w:shd w:val="clear" w:color="auto" w:fill="auto"/>
            <w:hideMark/>
          </w:tcPr>
          <w:p w14:paraId="29085C80" w14:textId="20AA9D62" w:rsidR="00447CBE" w:rsidRPr="00B221E8" w:rsidRDefault="00447CBE" w:rsidP="00447CBE">
            <w:pPr>
              <w:spacing w:after="0" w:line="240" w:lineRule="auto"/>
              <w:rPr>
                <w:rFonts w:ascii="Calibri" w:eastAsia="Times New Roman" w:hAnsi="Calibri" w:cs="Calibri"/>
                <w:color w:val="000000"/>
                <w:sz w:val="16"/>
                <w:szCs w:val="16"/>
              </w:rPr>
            </w:pPr>
            <w:r w:rsidRPr="00B221E8">
              <w:rPr>
                <w:rFonts w:ascii="Calibri" w:eastAsia="Times New Roman" w:hAnsi="Calibri" w:cs="Calibri"/>
                <w:color w:val="000000"/>
                <w:sz w:val="16"/>
                <w:szCs w:val="16"/>
              </w:rPr>
              <w:t>1. Î.S. „Palatul Republicii” a ajustat tarifele pentru darea în locațiune a încăperilor din incinta Palatului Republicii în anul 2020 (PV nr.4 din 02.10.2020);</w:t>
            </w:r>
            <w:r>
              <w:rPr>
                <w:rFonts w:ascii="Calibri" w:eastAsia="Times New Roman" w:hAnsi="Calibri" w:cs="Calibri"/>
                <w:color w:val="000000"/>
                <w:sz w:val="16"/>
                <w:szCs w:val="16"/>
              </w:rPr>
              <w:t xml:space="preserve"> </w:t>
            </w:r>
            <w:r w:rsidRPr="00B221E8">
              <w:rPr>
                <w:rFonts w:ascii="Calibri" w:eastAsia="Times New Roman" w:hAnsi="Calibri" w:cs="Calibri"/>
                <w:color w:val="000000"/>
                <w:sz w:val="16"/>
                <w:szCs w:val="16"/>
              </w:rPr>
              <w:br/>
              <w:t>2. Î.S. Complexul „Casa Presei” a introdus în contractele de locațiune restricțiile cu privire la bunurile nepasibile privatizării, începând cu anul 2013;</w:t>
            </w:r>
            <w:r w:rsidRPr="00B221E8">
              <w:rPr>
                <w:rFonts w:ascii="Calibri" w:eastAsia="Times New Roman" w:hAnsi="Calibri" w:cs="Calibri"/>
                <w:color w:val="000000"/>
                <w:sz w:val="16"/>
                <w:szCs w:val="16"/>
              </w:rPr>
              <w:br/>
              <w:t>3. Pe parcursul auditului, Î.S. Editura „Universul” a calculat și a încasat venituri în sumă de 4,0 mii lei.</w:t>
            </w:r>
            <w:r w:rsidRPr="00B221E8">
              <w:rPr>
                <w:rFonts w:ascii="Calibri" w:eastAsia="Times New Roman" w:hAnsi="Calibri" w:cs="Calibri"/>
                <w:color w:val="000000"/>
                <w:sz w:val="16"/>
                <w:szCs w:val="16"/>
              </w:rPr>
              <w:br/>
              <w:t>4. Ordinul nr.17 din 01.03.2013 cu privire la modificarea tarifelor la prestarea serviciilor auto cu plată</w:t>
            </w:r>
            <w:r w:rsidRPr="00B221E8">
              <w:rPr>
                <w:rFonts w:ascii="Calibri" w:eastAsia="Times New Roman" w:hAnsi="Calibri" w:cs="Calibri"/>
                <w:color w:val="000000"/>
                <w:sz w:val="16"/>
                <w:szCs w:val="16"/>
              </w:rPr>
              <w:br/>
            </w:r>
            <w:r w:rsidRPr="00B221E8">
              <w:rPr>
                <w:rFonts w:ascii="Calibri" w:eastAsia="Times New Roman" w:hAnsi="Calibri" w:cs="Calibri"/>
                <w:bCs/>
                <w:color w:val="000000"/>
                <w:sz w:val="16"/>
                <w:szCs w:val="16"/>
              </w:rPr>
              <w:t>Se menționează că, în conformitate cu HG nr.919 din 24.09.2018 Î.S „Editura Universul” a fost transmisă cu titlu gratuit din administrarea CS în administrarea APP, iar prin HG nr.950 din 03.10.2018 Î.S „Complexul „Casa Presei” a fost absorbită, urmare reorganizării, de către I.P. „DGACG”</w:t>
            </w:r>
          </w:p>
        </w:tc>
        <w:tc>
          <w:tcPr>
            <w:tcW w:w="603" w:type="dxa"/>
            <w:tcBorders>
              <w:top w:val="nil"/>
              <w:left w:val="nil"/>
              <w:bottom w:val="single" w:sz="4" w:space="0" w:color="auto"/>
              <w:right w:val="single" w:sz="4" w:space="0" w:color="auto"/>
            </w:tcBorders>
            <w:shd w:val="clear" w:color="auto" w:fill="auto"/>
            <w:hideMark/>
          </w:tcPr>
          <w:p w14:paraId="40D174FA"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3E816E2E" w14:textId="24D53844"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hideMark/>
          </w:tcPr>
          <w:p w14:paraId="066CA44B"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hideMark/>
          </w:tcPr>
          <w:p w14:paraId="10E792F6" w14:textId="28D4DE15" w:rsidR="00447CBE" w:rsidRPr="003C6369" w:rsidRDefault="00447CBE" w:rsidP="00447CBE">
            <w:pPr>
              <w:spacing w:after="0" w:line="240" w:lineRule="auto"/>
              <w:rPr>
                <w:rFonts w:ascii="Calibri" w:eastAsia="Times New Roman" w:hAnsi="Calibri" w:cs="Calibri"/>
                <w:sz w:val="16"/>
                <w:szCs w:val="16"/>
              </w:rPr>
            </w:pPr>
            <w:r w:rsidRPr="003C6369">
              <w:rPr>
                <w:rFonts w:ascii="Calibri" w:eastAsia="Times New Roman" w:hAnsi="Calibri" w:cs="Calibri"/>
                <w:sz w:val="16"/>
                <w:szCs w:val="16"/>
              </w:rPr>
              <w:t>Problematica se reiterează în pct. 4.3.5. la prezentul Raport de audit</w:t>
            </w:r>
          </w:p>
        </w:tc>
      </w:tr>
      <w:tr w:rsidR="00447CBE" w:rsidRPr="00CF7154" w14:paraId="0D81E1BE" w14:textId="77777777" w:rsidTr="00447CBE">
        <w:trPr>
          <w:trHeight w:val="204"/>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03E1EE5C" w14:textId="77777777" w:rsidR="00447CBE" w:rsidRPr="00CF7154" w:rsidRDefault="00447CBE" w:rsidP="00447CBE">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 xml:space="preserve">CANCELARIA DE STAT, în comun acord cu organele de conducere ale Î.S. ,,Pensiunea din Holercani”: </w:t>
            </w:r>
          </w:p>
        </w:tc>
      </w:tr>
      <w:tr w:rsidR="00447CBE" w:rsidRPr="00CF7154" w14:paraId="36D4B516" w14:textId="77777777" w:rsidTr="00447CBE">
        <w:trPr>
          <w:trHeight w:val="1464"/>
        </w:trPr>
        <w:tc>
          <w:tcPr>
            <w:tcW w:w="1985" w:type="dxa"/>
            <w:tcBorders>
              <w:top w:val="nil"/>
              <w:left w:val="single" w:sz="4" w:space="0" w:color="auto"/>
              <w:bottom w:val="single" w:sz="4" w:space="0" w:color="auto"/>
              <w:right w:val="single" w:sz="4" w:space="0" w:color="auto"/>
            </w:tcBorders>
            <w:shd w:val="clear" w:color="auto" w:fill="auto"/>
            <w:hideMark/>
          </w:tcPr>
          <w:p w14:paraId="4ABDF0D8"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b/>
                <w:bCs/>
                <w:color w:val="000000"/>
                <w:sz w:val="16"/>
                <w:szCs w:val="16"/>
              </w:rPr>
              <w:t xml:space="preserve">Recomandarea nr. 10: </w:t>
            </w:r>
            <w:r w:rsidRPr="00CF7154">
              <w:rPr>
                <w:rFonts w:ascii="Calibri" w:eastAsia="Times New Roman" w:hAnsi="Calibri" w:cs="Calibri"/>
                <w:color w:val="000000"/>
                <w:sz w:val="16"/>
                <w:szCs w:val="16"/>
              </w:rPr>
              <w:t>Să monitorizeze situația referitor la respectarea clauzelor contractulu</w:t>
            </w:r>
            <w:r>
              <w:rPr>
                <w:rFonts w:ascii="Calibri" w:eastAsia="Times New Roman" w:hAnsi="Calibri" w:cs="Calibri"/>
                <w:color w:val="000000"/>
                <w:sz w:val="16"/>
                <w:szCs w:val="16"/>
              </w:rPr>
              <w:t>i de administrare fiduciară vizâ</w:t>
            </w:r>
            <w:r w:rsidRPr="00CF7154">
              <w:rPr>
                <w:rFonts w:ascii="Calibri" w:eastAsia="Times New Roman" w:hAnsi="Calibri" w:cs="Calibri"/>
                <w:color w:val="000000"/>
                <w:sz w:val="16"/>
                <w:szCs w:val="16"/>
              </w:rPr>
              <w:t>nd transmiterea terenului cu suprafața de 24,8 ha în gestiune Bursei ,,Lara” S.R.L., cu aprobarea măsurilor oportune în vederea gestiunii eficiente a bunului respectiv.</w:t>
            </w:r>
          </w:p>
        </w:tc>
        <w:tc>
          <w:tcPr>
            <w:tcW w:w="5529" w:type="dxa"/>
            <w:tcBorders>
              <w:top w:val="nil"/>
              <w:left w:val="nil"/>
              <w:bottom w:val="single" w:sz="4" w:space="0" w:color="auto"/>
              <w:right w:val="single" w:sz="4" w:space="0" w:color="auto"/>
            </w:tcBorders>
            <w:shd w:val="clear" w:color="auto" w:fill="auto"/>
            <w:hideMark/>
          </w:tcPr>
          <w:p w14:paraId="73CD587F" w14:textId="7A6217CA"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La 22 aprilie 2013, Cancelaria de Stat a ini</w:t>
            </w:r>
            <w:r>
              <w:rPr>
                <w:rFonts w:ascii="Calibri" w:eastAsia="Times New Roman" w:hAnsi="Calibri" w:cs="Calibri"/>
                <w:color w:val="000000"/>
                <w:sz w:val="16"/>
                <w:szCs w:val="16"/>
              </w:rPr>
              <w:t>ț</w:t>
            </w:r>
            <w:r w:rsidRPr="00CF7154">
              <w:rPr>
                <w:rFonts w:ascii="Calibri" w:eastAsia="Times New Roman" w:hAnsi="Calibri" w:cs="Calibri"/>
                <w:color w:val="000000"/>
                <w:sz w:val="16"/>
                <w:szCs w:val="16"/>
              </w:rPr>
              <w:t>iat procedura de reziliere a contractului de administrare fiduciară cu administratorul fiduciar Bursa ,,Lara” S.R.L.</w:t>
            </w:r>
            <w:r>
              <w:rPr>
                <w:rFonts w:ascii="Calibri" w:eastAsia="Times New Roman" w:hAnsi="Calibri" w:cs="Calibri"/>
                <w:color w:val="000000"/>
                <w:sz w:val="16"/>
                <w:szCs w:val="16"/>
              </w:rPr>
              <w:t>, procedură nefinalizată.</w:t>
            </w:r>
          </w:p>
        </w:tc>
        <w:tc>
          <w:tcPr>
            <w:tcW w:w="603" w:type="dxa"/>
            <w:tcBorders>
              <w:top w:val="nil"/>
              <w:left w:val="nil"/>
              <w:bottom w:val="nil"/>
              <w:right w:val="nil"/>
            </w:tcBorders>
            <w:shd w:val="clear" w:color="auto" w:fill="auto"/>
            <w:vAlign w:val="bottom"/>
            <w:hideMark/>
          </w:tcPr>
          <w:p w14:paraId="27C8EBA9" w14:textId="77777777" w:rsidR="00447CBE" w:rsidRPr="00CF7154" w:rsidRDefault="00447CBE" w:rsidP="00447CBE">
            <w:pPr>
              <w:spacing w:after="0" w:line="240" w:lineRule="auto"/>
              <w:rPr>
                <w:rFonts w:ascii="Calibri" w:eastAsia="Times New Roman" w:hAnsi="Calibri" w:cs="Calibri"/>
                <w:color w:val="000000"/>
                <w:sz w:val="16"/>
                <w:szCs w:val="16"/>
              </w:rPr>
            </w:pPr>
          </w:p>
        </w:tc>
        <w:tc>
          <w:tcPr>
            <w:tcW w:w="567" w:type="dxa"/>
            <w:tcBorders>
              <w:top w:val="nil"/>
              <w:left w:val="single" w:sz="4" w:space="0" w:color="auto"/>
              <w:bottom w:val="single" w:sz="4" w:space="0" w:color="auto"/>
              <w:right w:val="single" w:sz="4" w:space="0" w:color="auto"/>
            </w:tcBorders>
            <w:shd w:val="clear" w:color="auto" w:fill="auto"/>
            <w:vAlign w:val="bottom"/>
            <w:hideMark/>
          </w:tcPr>
          <w:p w14:paraId="62057F0B"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07E7C23C" w14:textId="15323D99"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1953" w:type="dxa"/>
            <w:tcBorders>
              <w:top w:val="nil"/>
              <w:left w:val="nil"/>
              <w:bottom w:val="single" w:sz="4" w:space="0" w:color="auto"/>
              <w:right w:val="single" w:sz="4" w:space="0" w:color="auto"/>
            </w:tcBorders>
            <w:shd w:val="clear" w:color="auto" w:fill="auto"/>
            <w:hideMark/>
          </w:tcPr>
          <w:p w14:paraId="6113273A" w14:textId="293034C6" w:rsidR="00447CBE" w:rsidRPr="003C6369" w:rsidRDefault="00447CBE" w:rsidP="00447CBE">
            <w:pPr>
              <w:spacing w:after="0" w:line="240" w:lineRule="auto"/>
              <w:rPr>
                <w:rFonts w:ascii="Calibri" w:eastAsia="Times New Roman" w:hAnsi="Calibri" w:cs="Calibri"/>
                <w:sz w:val="16"/>
                <w:szCs w:val="16"/>
              </w:rPr>
            </w:pPr>
            <w:r w:rsidRPr="003C6369">
              <w:rPr>
                <w:rFonts w:ascii="Calibri" w:eastAsia="Times New Roman" w:hAnsi="Calibri" w:cs="Calibri"/>
                <w:sz w:val="16"/>
                <w:szCs w:val="16"/>
              </w:rPr>
              <w:t>Problematica se reiterează în pct. 4.3.2. la prezentul Raport de audit</w:t>
            </w:r>
          </w:p>
        </w:tc>
      </w:tr>
      <w:tr w:rsidR="00447CBE" w:rsidRPr="00CF7154" w14:paraId="75F4D904" w14:textId="77777777" w:rsidTr="00447CBE">
        <w:trPr>
          <w:trHeight w:val="204"/>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1933DEBE" w14:textId="77777777" w:rsidR="00447CBE" w:rsidRPr="00CF7154" w:rsidRDefault="00447CBE" w:rsidP="00447CBE">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CANCELARIA DE STAT, în comun cu organele de conducere ale întreprinderilor de stat auditate</w:t>
            </w:r>
          </w:p>
        </w:tc>
      </w:tr>
      <w:tr w:rsidR="00447CBE" w:rsidRPr="00CF7154" w14:paraId="1EB4F920" w14:textId="77777777" w:rsidTr="00447CBE">
        <w:trPr>
          <w:trHeight w:val="1692"/>
        </w:trPr>
        <w:tc>
          <w:tcPr>
            <w:tcW w:w="1985" w:type="dxa"/>
            <w:tcBorders>
              <w:top w:val="nil"/>
              <w:left w:val="single" w:sz="4" w:space="0" w:color="auto"/>
              <w:bottom w:val="single" w:sz="4" w:space="0" w:color="auto"/>
              <w:right w:val="single" w:sz="4" w:space="0" w:color="auto"/>
            </w:tcBorders>
            <w:shd w:val="clear" w:color="auto" w:fill="auto"/>
            <w:hideMark/>
          </w:tcPr>
          <w:p w14:paraId="4D365EEC"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b/>
                <w:bCs/>
                <w:color w:val="000000"/>
                <w:sz w:val="16"/>
                <w:szCs w:val="16"/>
              </w:rPr>
              <w:t>Recomandarea nr. 11:</w:t>
            </w:r>
            <w:r w:rsidRPr="00CF7154">
              <w:rPr>
                <w:rFonts w:ascii="Calibri" w:eastAsia="Times New Roman" w:hAnsi="Calibri" w:cs="Calibri"/>
                <w:color w:val="000000"/>
                <w:sz w:val="16"/>
                <w:szCs w:val="16"/>
              </w:rPr>
              <w:t xml:space="preserve"> Să se conformeze cadrului legal în vederea respectării principiilor de bază ale ținerii evidenței contabile și raportării financiare, precum și a normelor de asigurare a integrității mijloacelor bănești, cu depunerea și utilizarea lor prin intermediul conturilor bancare.</w:t>
            </w:r>
          </w:p>
        </w:tc>
        <w:tc>
          <w:tcPr>
            <w:tcW w:w="5529" w:type="dxa"/>
            <w:tcBorders>
              <w:top w:val="nil"/>
              <w:left w:val="nil"/>
              <w:bottom w:val="single" w:sz="4" w:space="0" w:color="auto"/>
              <w:right w:val="single" w:sz="4" w:space="0" w:color="auto"/>
            </w:tcBorders>
            <w:shd w:val="clear" w:color="auto" w:fill="auto"/>
            <w:hideMark/>
          </w:tcPr>
          <w:p w14:paraId="39E44FF0" w14:textId="77777777" w:rsidR="00447CBE" w:rsidRPr="00CF7154" w:rsidRDefault="00447CBE" w:rsidP="00447CB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1. Î.S. „</w:t>
            </w:r>
            <w:r w:rsidRPr="00CF7154">
              <w:rPr>
                <w:rFonts w:ascii="Calibri" w:eastAsia="Times New Roman" w:hAnsi="Calibri" w:cs="Calibri"/>
                <w:color w:val="000000"/>
                <w:sz w:val="16"/>
                <w:szCs w:val="16"/>
              </w:rPr>
              <w:t>Palatul Republicii” pe parcursul auditului s-a conformat la cerințele cadrului normativ, depun</w:t>
            </w:r>
            <w:r>
              <w:rPr>
                <w:rFonts w:ascii="Calibri" w:eastAsia="Times New Roman" w:hAnsi="Calibri" w:cs="Calibri"/>
                <w:color w:val="000000"/>
                <w:sz w:val="16"/>
                <w:szCs w:val="16"/>
              </w:rPr>
              <w:t>â</w:t>
            </w:r>
            <w:r w:rsidRPr="00CF7154">
              <w:rPr>
                <w:rFonts w:ascii="Calibri" w:eastAsia="Times New Roman" w:hAnsi="Calibri" w:cs="Calibri"/>
                <w:color w:val="000000"/>
                <w:sz w:val="16"/>
                <w:szCs w:val="16"/>
              </w:rPr>
              <w:t>nd prealabil mijloacele bănești la contul bancar.</w:t>
            </w:r>
            <w:r w:rsidRPr="00CF7154">
              <w:rPr>
                <w:rFonts w:ascii="Calibri" w:eastAsia="Times New Roman" w:hAnsi="Calibri" w:cs="Calibri"/>
                <w:color w:val="000000"/>
                <w:sz w:val="16"/>
                <w:szCs w:val="16"/>
              </w:rPr>
              <w:br/>
              <w:t xml:space="preserve">Totodată, se menționează </w:t>
            </w:r>
            <w:r>
              <w:rPr>
                <w:rFonts w:ascii="Calibri" w:eastAsia="Times New Roman" w:hAnsi="Calibri" w:cs="Calibri"/>
                <w:color w:val="000000"/>
                <w:sz w:val="16"/>
                <w:szCs w:val="16"/>
              </w:rPr>
              <w:t>că, Hotărâ</w:t>
            </w:r>
            <w:r w:rsidRPr="00CF7154">
              <w:rPr>
                <w:rFonts w:ascii="Calibri" w:eastAsia="Times New Roman" w:hAnsi="Calibri" w:cs="Calibri"/>
                <w:color w:val="000000"/>
                <w:sz w:val="16"/>
                <w:szCs w:val="16"/>
              </w:rPr>
              <w:t>rea Guvernului nr.764 din 25.11.1992 privind aprobarea Normelor pentru efectuarea operațiunilor de casă în economia națională a Republicii Moldova”, prin care întreprinderile erau obligate să predea instituțiilor financiare ce le deservesc toate surplusurile de numerar ce depășesc necesarul minim pentru efectuarea decontărilor la începutul zilei următoare, a fost abrogată prin HG nr.326 din 10.11.2021.</w:t>
            </w:r>
          </w:p>
        </w:tc>
        <w:tc>
          <w:tcPr>
            <w:tcW w:w="603" w:type="dxa"/>
            <w:tcBorders>
              <w:top w:val="nil"/>
              <w:left w:val="nil"/>
              <w:bottom w:val="single" w:sz="4" w:space="0" w:color="auto"/>
              <w:right w:val="single" w:sz="4" w:space="0" w:color="auto"/>
            </w:tcBorders>
            <w:shd w:val="clear" w:color="auto" w:fill="auto"/>
            <w:vAlign w:val="center"/>
            <w:hideMark/>
          </w:tcPr>
          <w:p w14:paraId="06DB799E" w14:textId="7CD753AD"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hideMark/>
          </w:tcPr>
          <w:p w14:paraId="2CD54431"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14:paraId="0CA5E292"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hideMark/>
          </w:tcPr>
          <w:p w14:paraId="52F1BB8D"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r>
      <w:tr w:rsidR="00447CBE" w:rsidRPr="00CF7154" w14:paraId="3A53F622" w14:textId="77777777" w:rsidTr="00447CBE">
        <w:trPr>
          <w:trHeight w:val="2556"/>
        </w:trPr>
        <w:tc>
          <w:tcPr>
            <w:tcW w:w="1985" w:type="dxa"/>
            <w:tcBorders>
              <w:top w:val="nil"/>
              <w:left w:val="single" w:sz="4" w:space="0" w:color="auto"/>
              <w:bottom w:val="single" w:sz="4" w:space="0" w:color="auto"/>
              <w:right w:val="single" w:sz="4" w:space="0" w:color="auto"/>
            </w:tcBorders>
            <w:shd w:val="clear" w:color="auto" w:fill="auto"/>
            <w:hideMark/>
          </w:tcPr>
          <w:p w14:paraId="1FC5FF7E" w14:textId="46EE8645"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b/>
                <w:bCs/>
                <w:color w:val="000000"/>
                <w:sz w:val="16"/>
                <w:szCs w:val="16"/>
              </w:rPr>
              <w:t xml:space="preserve">Recomandarea nr. 12: </w:t>
            </w:r>
            <w:r w:rsidRPr="00CF7154">
              <w:rPr>
                <w:rFonts w:ascii="Calibri" w:eastAsia="Times New Roman" w:hAnsi="Calibri" w:cs="Calibri"/>
                <w:color w:val="000000"/>
                <w:sz w:val="16"/>
                <w:szCs w:val="16"/>
              </w:rPr>
              <w:t>Să revizuiască componența consiliilor de administrație ale</w:t>
            </w:r>
            <w:r>
              <w:rPr>
                <w:rFonts w:ascii="Calibri" w:eastAsia="Times New Roman" w:hAnsi="Calibri" w:cs="Calibri"/>
                <w:color w:val="000000"/>
                <w:sz w:val="16"/>
                <w:szCs w:val="16"/>
              </w:rPr>
              <w:t xml:space="preserve"> </w:t>
            </w:r>
            <w:r w:rsidRPr="00CF7154">
              <w:rPr>
                <w:rFonts w:ascii="Calibri" w:eastAsia="Times New Roman" w:hAnsi="Calibri" w:cs="Calibri"/>
                <w:color w:val="000000"/>
                <w:sz w:val="16"/>
                <w:szCs w:val="16"/>
              </w:rPr>
              <w:t xml:space="preserve">Î.S. „Palatul Republicii”, Î.S. „Centrul de Telecomunicații Speciale”, A.I.S. „Moldpres” Î.S, Î.S. Complexul „Casa Presei”, Î.S. ,,Medisan” ACSR, Î.S. Editura ,,Universul”, Î.S. ,,Cantina Cancelariei de Stat”, Î.S. ,,Pensiunea din Holercani”, acestea fiind conforme revederilor legale. </w:t>
            </w:r>
          </w:p>
        </w:tc>
        <w:tc>
          <w:tcPr>
            <w:tcW w:w="5529" w:type="dxa"/>
            <w:tcBorders>
              <w:top w:val="nil"/>
              <w:left w:val="nil"/>
              <w:bottom w:val="single" w:sz="4" w:space="0" w:color="auto"/>
              <w:right w:val="single" w:sz="4" w:space="0" w:color="auto"/>
            </w:tcBorders>
            <w:shd w:val="clear" w:color="auto" w:fill="auto"/>
            <w:hideMark/>
          </w:tcPr>
          <w:p w14:paraId="09E74777" w14:textId="2730A49F"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xml:space="preserve">1. În conformitate cu HG nr.916 din 24.09.2018, I.P „Baza auto a ACSR” a fost absorbită, urmare reorganizării, de către I.P. „Baza Auto a CS”. </w:t>
            </w:r>
            <w:r w:rsidRPr="00CF7154">
              <w:rPr>
                <w:rFonts w:ascii="Calibri" w:eastAsia="Times New Roman" w:hAnsi="Calibri" w:cs="Calibri"/>
                <w:color w:val="000000"/>
                <w:sz w:val="16"/>
                <w:szCs w:val="16"/>
              </w:rPr>
              <w:br/>
              <w:t>2. În conformitate cu HG nr.919 din 24.09.2018 Î.S „Editura Universul” a fost transmisă cu titlu gratuit din administrarea CS în administrarea APP;</w:t>
            </w:r>
            <w:r w:rsidRPr="00CF7154">
              <w:rPr>
                <w:rFonts w:ascii="Calibri" w:eastAsia="Times New Roman" w:hAnsi="Calibri" w:cs="Calibri"/>
                <w:color w:val="000000"/>
                <w:sz w:val="16"/>
                <w:szCs w:val="16"/>
              </w:rPr>
              <w:br/>
              <w:t>3. În conformitate cu HG nr.950 din 03.10.2018 Î.S „Complexul „Casa Presei”</w:t>
            </w:r>
            <w:r>
              <w:rPr>
                <w:rFonts w:ascii="Calibri" w:eastAsia="Times New Roman" w:hAnsi="Calibri" w:cs="Calibri"/>
                <w:color w:val="000000"/>
                <w:sz w:val="16"/>
                <w:szCs w:val="16"/>
              </w:rPr>
              <w:t xml:space="preserve"> a fost absorbită, urmare reorga</w:t>
            </w:r>
            <w:r w:rsidRPr="00CF7154">
              <w:rPr>
                <w:rFonts w:ascii="Calibri" w:eastAsia="Times New Roman" w:hAnsi="Calibri" w:cs="Calibri"/>
                <w:color w:val="000000"/>
                <w:sz w:val="16"/>
                <w:szCs w:val="16"/>
              </w:rPr>
              <w:t>nizării, de către I.P. „DGACG”;</w:t>
            </w:r>
            <w:r w:rsidRPr="00CF7154">
              <w:rPr>
                <w:rFonts w:ascii="Calibri" w:eastAsia="Times New Roman" w:hAnsi="Calibri" w:cs="Calibri"/>
                <w:color w:val="000000"/>
                <w:sz w:val="16"/>
                <w:szCs w:val="16"/>
              </w:rPr>
              <w:br/>
              <w:t>4. În conformitate cu HG nr.519 din 15.07.2020, Î.S. „Palatul Republicii” s-a reorganizat, prin transformare în I.P. „Palatul Republicii”;</w:t>
            </w:r>
            <w:r w:rsidRPr="00CF7154">
              <w:rPr>
                <w:rFonts w:ascii="Calibri" w:eastAsia="Times New Roman" w:hAnsi="Calibri" w:cs="Calibri"/>
                <w:color w:val="000000"/>
                <w:sz w:val="16"/>
                <w:szCs w:val="16"/>
              </w:rPr>
              <w:br/>
              <w:t>5. În conformitate cu HG nr.981 din 10.10.2018, I.P „Asociația Curativ-Sanatorială și de Recuperare a Cancelariei de Stat” s-a dizolvat cu derularea procedurii de lichidare;</w:t>
            </w:r>
            <w:r w:rsidRPr="00CF7154">
              <w:rPr>
                <w:rFonts w:ascii="Calibri" w:eastAsia="Times New Roman" w:hAnsi="Calibri" w:cs="Calibri"/>
                <w:color w:val="000000"/>
                <w:sz w:val="16"/>
                <w:szCs w:val="16"/>
              </w:rPr>
              <w:br/>
              <w:t>6. În conformitate cu HG nr.168 din 16.03.2022,</w:t>
            </w:r>
            <w:r>
              <w:rPr>
                <w:rFonts w:ascii="Calibri" w:eastAsia="Times New Roman" w:hAnsi="Calibri" w:cs="Calibri"/>
                <w:color w:val="000000"/>
                <w:sz w:val="16"/>
                <w:szCs w:val="16"/>
              </w:rPr>
              <w:t xml:space="preserve"> </w:t>
            </w:r>
            <w:r w:rsidRPr="00CF7154">
              <w:rPr>
                <w:rFonts w:ascii="Calibri" w:eastAsia="Times New Roman" w:hAnsi="Calibri" w:cs="Calibri"/>
                <w:color w:val="000000"/>
                <w:sz w:val="16"/>
                <w:szCs w:val="16"/>
              </w:rPr>
              <w:t>Î.S „Medisan” a fost transmisă din administrarea CS în administrarea APP.</w:t>
            </w:r>
          </w:p>
        </w:tc>
        <w:tc>
          <w:tcPr>
            <w:tcW w:w="603" w:type="dxa"/>
            <w:tcBorders>
              <w:top w:val="nil"/>
              <w:left w:val="nil"/>
              <w:bottom w:val="single" w:sz="4" w:space="0" w:color="auto"/>
              <w:right w:val="single" w:sz="4" w:space="0" w:color="auto"/>
            </w:tcBorders>
            <w:shd w:val="clear" w:color="auto" w:fill="auto"/>
            <w:vAlign w:val="bottom"/>
            <w:hideMark/>
          </w:tcPr>
          <w:p w14:paraId="08AD46AC"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7A7CEEED"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25E6EE03"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hideMark/>
          </w:tcPr>
          <w:p w14:paraId="2745C2EE"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xml:space="preserve">Recomandarea respectivă și-a pierdut din actualitate, din considerentul că entitățile vizate s-au reorganizat/lichidat/ sau au fost transmise în administrare Agenției Proprietății Publice, din care considerent se propune </w:t>
            </w:r>
            <w:r w:rsidRPr="00CF7154">
              <w:rPr>
                <w:rFonts w:ascii="Calibri" w:eastAsia="Times New Roman" w:hAnsi="Calibri" w:cs="Calibri"/>
                <w:b/>
                <w:bCs/>
                <w:color w:val="000000"/>
                <w:sz w:val="16"/>
                <w:szCs w:val="16"/>
              </w:rPr>
              <w:t>de a fi exclusă din regim de monitorizare</w:t>
            </w:r>
          </w:p>
        </w:tc>
      </w:tr>
      <w:tr w:rsidR="00447CBE" w:rsidRPr="00CF7154" w14:paraId="57FE6B5C" w14:textId="77777777" w:rsidTr="00447CBE">
        <w:trPr>
          <w:trHeight w:val="240"/>
        </w:trPr>
        <w:tc>
          <w:tcPr>
            <w:tcW w:w="11204" w:type="dxa"/>
            <w:gridSpan w:val="6"/>
            <w:tcBorders>
              <w:top w:val="single" w:sz="4" w:space="0" w:color="auto"/>
              <w:left w:val="single" w:sz="4" w:space="0" w:color="auto"/>
              <w:bottom w:val="single" w:sz="4" w:space="0" w:color="auto"/>
              <w:right w:val="single" w:sz="4" w:space="0" w:color="000000"/>
            </w:tcBorders>
            <w:shd w:val="clear" w:color="000000" w:fill="DCE6F1"/>
            <w:vAlign w:val="bottom"/>
            <w:hideMark/>
          </w:tcPr>
          <w:p w14:paraId="5E46AA41" w14:textId="77777777" w:rsidR="00447CBE" w:rsidRPr="00CF7154" w:rsidRDefault="00447CBE" w:rsidP="00447CBE">
            <w:pPr>
              <w:spacing w:after="0" w:line="240" w:lineRule="auto"/>
              <w:jc w:val="center"/>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3. Hotărârea Curții de Conturi nr. 42 din 18.08.2011 privind Raportul auditului regularității utilizării mijloacelor publice alocate pentru investiții și reparații capitale pe anul 2010 la Cancelaria de Stat</w:t>
            </w:r>
          </w:p>
        </w:tc>
      </w:tr>
      <w:tr w:rsidR="00447CBE" w:rsidRPr="00CF7154" w14:paraId="29DC48D2" w14:textId="77777777" w:rsidTr="00447CBE">
        <w:trPr>
          <w:trHeight w:val="240"/>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566989E7" w14:textId="77777777" w:rsidR="00447CBE" w:rsidRPr="00CF7154" w:rsidRDefault="00447CBE" w:rsidP="00447CBE">
            <w:pPr>
              <w:spacing w:after="0" w:line="240" w:lineRule="auto"/>
              <w:jc w:val="center"/>
              <w:rPr>
                <w:rFonts w:ascii="Calibri" w:eastAsia="Times New Roman" w:hAnsi="Calibri" w:cs="Calibri"/>
                <w:i/>
                <w:iCs/>
                <w:color w:val="000000"/>
                <w:sz w:val="16"/>
                <w:szCs w:val="16"/>
              </w:rPr>
            </w:pPr>
            <w:r w:rsidRPr="00CF7154">
              <w:rPr>
                <w:rFonts w:ascii="Calibri" w:eastAsia="Times New Roman" w:hAnsi="Calibri" w:cs="Calibri"/>
                <w:i/>
                <w:iCs/>
                <w:color w:val="000000"/>
                <w:sz w:val="16"/>
                <w:szCs w:val="16"/>
              </w:rPr>
              <w:t>Recomandări înaintate prin Hotărârea Curții de Conturi:</w:t>
            </w:r>
          </w:p>
        </w:tc>
      </w:tr>
      <w:tr w:rsidR="00447CBE" w:rsidRPr="00CF7154" w14:paraId="45A21397" w14:textId="77777777" w:rsidTr="00447CBE">
        <w:trPr>
          <w:trHeight w:val="240"/>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02E27B55" w14:textId="77777777" w:rsidR="00447CBE" w:rsidRPr="00CF7154" w:rsidRDefault="00447CBE" w:rsidP="00447CBE">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CANCELARIA DE STAT</w:t>
            </w:r>
          </w:p>
        </w:tc>
      </w:tr>
      <w:tr w:rsidR="00447CBE" w:rsidRPr="00CF7154" w14:paraId="059CC661" w14:textId="77777777" w:rsidTr="00447CBE">
        <w:trPr>
          <w:trHeight w:val="1512"/>
        </w:trPr>
        <w:tc>
          <w:tcPr>
            <w:tcW w:w="1985" w:type="dxa"/>
            <w:tcBorders>
              <w:top w:val="nil"/>
              <w:left w:val="single" w:sz="4" w:space="0" w:color="auto"/>
              <w:bottom w:val="single" w:sz="4" w:space="0" w:color="auto"/>
              <w:right w:val="single" w:sz="4" w:space="0" w:color="auto"/>
            </w:tcBorders>
            <w:shd w:val="clear" w:color="auto" w:fill="auto"/>
            <w:hideMark/>
          </w:tcPr>
          <w:p w14:paraId="75D66C09" w14:textId="6EBAD88B" w:rsidR="00447CBE" w:rsidRPr="00CF7154" w:rsidRDefault="00447CBE" w:rsidP="00447CBE">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Recomandarea nr. 2.1:</w:t>
            </w:r>
            <w:r>
              <w:rPr>
                <w:rFonts w:ascii="Calibri" w:eastAsia="Times New Roman" w:hAnsi="Calibri" w:cs="Calibri"/>
                <w:b/>
                <w:bCs/>
                <w:color w:val="000000"/>
                <w:sz w:val="16"/>
                <w:szCs w:val="16"/>
              </w:rPr>
              <w:t xml:space="preserve"> </w:t>
            </w:r>
            <w:r w:rsidRPr="00CF7154">
              <w:rPr>
                <w:rFonts w:ascii="Calibri" w:eastAsia="Times New Roman" w:hAnsi="Calibri" w:cs="Calibri"/>
                <w:color w:val="000000"/>
                <w:sz w:val="16"/>
                <w:szCs w:val="16"/>
              </w:rPr>
              <w:t>Implementarea recomandărilor auditului, indicate în Raportul de audit, cu determinarea acțiunilor concrete în vederea înlăturării neregulilor constatate, cu stabilirea termenelor și a persoanelor responsabile de implementarea recomandărilor.</w:t>
            </w:r>
          </w:p>
        </w:tc>
        <w:tc>
          <w:tcPr>
            <w:tcW w:w="5529" w:type="dxa"/>
            <w:tcBorders>
              <w:top w:val="nil"/>
              <w:left w:val="nil"/>
              <w:bottom w:val="single" w:sz="4" w:space="0" w:color="auto"/>
              <w:right w:val="single" w:sz="4" w:space="0" w:color="auto"/>
            </w:tcBorders>
            <w:shd w:val="clear" w:color="auto" w:fill="auto"/>
            <w:hideMark/>
          </w:tcPr>
          <w:p w14:paraId="3DFB807E" w14:textId="7E93F99B"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1. Scrisoarea Cancelariei de Stat nr.1917-580 din 15.07.2011, prin care informează CCRM despre măsurile întreprinse în vederea lichidării neajunsurilor și încălcărilor constatate în raportul de audit, la care au fost anexate:</w:t>
            </w:r>
            <w:r w:rsidRPr="00CF7154">
              <w:rPr>
                <w:rFonts w:ascii="Calibri" w:eastAsia="Times New Roman" w:hAnsi="Calibri" w:cs="Calibri"/>
                <w:color w:val="000000"/>
                <w:sz w:val="16"/>
                <w:szCs w:val="16"/>
              </w:rPr>
              <w:br/>
              <w:t>- Copia extrasului din Ordinul nr.265-A din 05.07.2011;</w:t>
            </w:r>
            <w:r w:rsidRPr="00CF7154">
              <w:rPr>
                <w:rFonts w:ascii="Calibri" w:eastAsia="Times New Roman" w:hAnsi="Calibri" w:cs="Calibri"/>
                <w:color w:val="000000"/>
                <w:sz w:val="16"/>
                <w:szCs w:val="16"/>
              </w:rPr>
              <w:br/>
              <w:t>- Nota explicativă</w:t>
            </w:r>
            <w:r>
              <w:rPr>
                <w:rFonts w:ascii="Calibri" w:eastAsia="Times New Roman" w:hAnsi="Calibri" w:cs="Calibri"/>
                <w:color w:val="000000"/>
                <w:sz w:val="16"/>
                <w:szCs w:val="16"/>
              </w:rPr>
              <w:t>;</w:t>
            </w:r>
            <w:r w:rsidRPr="00CF7154">
              <w:rPr>
                <w:rFonts w:ascii="Calibri" w:eastAsia="Times New Roman" w:hAnsi="Calibri" w:cs="Calibri"/>
                <w:color w:val="000000"/>
                <w:sz w:val="16"/>
                <w:szCs w:val="16"/>
              </w:rPr>
              <w:br/>
              <w:t>- Plan de măsuri</w:t>
            </w:r>
            <w:r>
              <w:rPr>
                <w:rFonts w:ascii="Calibri" w:eastAsia="Times New Roman" w:hAnsi="Calibri" w:cs="Calibri"/>
                <w:color w:val="000000"/>
                <w:sz w:val="16"/>
                <w:szCs w:val="16"/>
              </w:rPr>
              <w:t>.</w:t>
            </w:r>
          </w:p>
        </w:tc>
        <w:tc>
          <w:tcPr>
            <w:tcW w:w="603" w:type="dxa"/>
            <w:tcBorders>
              <w:top w:val="nil"/>
              <w:left w:val="nil"/>
              <w:bottom w:val="single" w:sz="4" w:space="0" w:color="auto"/>
              <w:right w:val="single" w:sz="4" w:space="0" w:color="auto"/>
            </w:tcBorders>
            <w:shd w:val="clear" w:color="auto" w:fill="auto"/>
            <w:vAlign w:val="center"/>
            <w:hideMark/>
          </w:tcPr>
          <w:p w14:paraId="747D38EA" w14:textId="793DBA59"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02FD4C5E"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4A67603B"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vAlign w:val="bottom"/>
            <w:hideMark/>
          </w:tcPr>
          <w:p w14:paraId="7AE3861B"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r>
      <w:tr w:rsidR="00447CBE" w:rsidRPr="00CF7154" w14:paraId="5DD61030" w14:textId="77777777" w:rsidTr="00447CBE">
        <w:trPr>
          <w:trHeight w:val="204"/>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6A73216C" w14:textId="77777777" w:rsidR="00447CBE" w:rsidRPr="00CF7154" w:rsidRDefault="00447CBE" w:rsidP="00447CBE">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MINISTERUL FINANȚELOR</w:t>
            </w:r>
          </w:p>
        </w:tc>
      </w:tr>
      <w:tr w:rsidR="00447CBE" w:rsidRPr="00CF7154" w14:paraId="459532E1" w14:textId="77777777" w:rsidTr="00447CBE">
        <w:trPr>
          <w:trHeight w:val="924"/>
        </w:trPr>
        <w:tc>
          <w:tcPr>
            <w:tcW w:w="1985" w:type="dxa"/>
            <w:tcBorders>
              <w:top w:val="nil"/>
              <w:left w:val="single" w:sz="4" w:space="0" w:color="auto"/>
              <w:bottom w:val="single" w:sz="4" w:space="0" w:color="auto"/>
              <w:right w:val="single" w:sz="4" w:space="0" w:color="auto"/>
            </w:tcBorders>
            <w:shd w:val="clear" w:color="auto" w:fill="auto"/>
            <w:hideMark/>
          </w:tcPr>
          <w:p w14:paraId="7837E71D"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b/>
                <w:bCs/>
                <w:color w:val="000000"/>
                <w:sz w:val="16"/>
                <w:szCs w:val="16"/>
              </w:rPr>
              <w:t>Recomandarea nr. 2.2:</w:t>
            </w:r>
            <w:r w:rsidRPr="00CF7154">
              <w:rPr>
                <w:rFonts w:ascii="Calibri" w:eastAsia="Times New Roman" w:hAnsi="Calibri" w:cs="Calibri"/>
                <w:color w:val="000000"/>
                <w:sz w:val="16"/>
                <w:szCs w:val="16"/>
              </w:rPr>
              <w:t xml:space="preserve"> Excluderea practicii nerespectării prevederilor legale de finanțare directă a instituțiilor neautorizate în calitate de beneficiar de la bugetul de stat</w:t>
            </w:r>
          </w:p>
        </w:tc>
        <w:tc>
          <w:tcPr>
            <w:tcW w:w="5529" w:type="dxa"/>
            <w:tcBorders>
              <w:top w:val="nil"/>
              <w:left w:val="nil"/>
              <w:bottom w:val="single" w:sz="4" w:space="0" w:color="auto"/>
              <w:right w:val="single" w:sz="4" w:space="0" w:color="auto"/>
            </w:tcBorders>
            <w:shd w:val="clear" w:color="auto" w:fill="auto"/>
            <w:hideMark/>
          </w:tcPr>
          <w:p w14:paraId="13AA3009" w14:textId="55B97F19"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r>
              <w:rPr>
                <w:rFonts w:ascii="Calibri" w:eastAsia="Times New Roman" w:hAnsi="Calibri" w:cs="Calibri"/>
                <w:color w:val="000000"/>
                <w:sz w:val="16"/>
                <w:szCs w:val="16"/>
              </w:rPr>
              <w:t xml:space="preserve">Notă: În prezenta misiune de audit, nu au fost constatate careva problematici legate de </w:t>
            </w:r>
            <w:r w:rsidRPr="00CF7154">
              <w:rPr>
                <w:rFonts w:ascii="Calibri" w:eastAsia="Times New Roman" w:hAnsi="Calibri" w:cs="Calibri"/>
                <w:color w:val="000000"/>
                <w:sz w:val="16"/>
                <w:szCs w:val="16"/>
              </w:rPr>
              <w:t>finanțare directă a instituțiilor neautorizate în calitate de beneficiar de la bugetul de stat</w:t>
            </w:r>
            <w:r>
              <w:rPr>
                <w:rFonts w:ascii="Calibri" w:eastAsia="Times New Roman" w:hAnsi="Calibri" w:cs="Calibri"/>
                <w:color w:val="000000"/>
                <w:sz w:val="16"/>
                <w:szCs w:val="16"/>
              </w:rPr>
              <w:t>.</w:t>
            </w:r>
          </w:p>
        </w:tc>
        <w:tc>
          <w:tcPr>
            <w:tcW w:w="603" w:type="dxa"/>
            <w:tcBorders>
              <w:top w:val="nil"/>
              <w:left w:val="nil"/>
              <w:bottom w:val="single" w:sz="4" w:space="0" w:color="auto"/>
              <w:right w:val="single" w:sz="4" w:space="0" w:color="auto"/>
            </w:tcBorders>
            <w:shd w:val="clear" w:color="auto" w:fill="auto"/>
            <w:vAlign w:val="center"/>
            <w:hideMark/>
          </w:tcPr>
          <w:p w14:paraId="03017D59" w14:textId="5BB880B3" w:rsidR="00447CBE" w:rsidRPr="00525245" w:rsidRDefault="00447CBE" w:rsidP="00447CBE">
            <w:pPr>
              <w:spacing w:after="0" w:line="240" w:lineRule="auto"/>
              <w:jc w:val="center"/>
              <w:rPr>
                <w:rFonts w:ascii="Calibri" w:eastAsia="Times New Roman" w:hAnsi="Calibri" w:cs="Calibri"/>
                <w:sz w:val="16"/>
                <w:szCs w:val="16"/>
              </w:rPr>
            </w:pPr>
            <w:r w:rsidRPr="00525245">
              <w:rPr>
                <w:rFonts w:ascii="Calibri" w:eastAsia="Times New Roman" w:hAnsi="Calibri" w:cs="Calibri"/>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6B327C06"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0ACCD0F8"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vAlign w:val="bottom"/>
            <w:hideMark/>
          </w:tcPr>
          <w:p w14:paraId="6E797BF4"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r>
      <w:tr w:rsidR="00447CBE" w:rsidRPr="00CF7154" w14:paraId="7CBE561F" w14:textId="77777777" w:rsidTr="00447CBE">
        <w:trPr>
          <w:trHeight w:val="240"/>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07CDC9AB" w14:textId="77777777" w:rsidR="00447CBE" w:rsidRPr="00525245" w:rsidRDefault="00447CBE" w:rsidP="00447CBE">
            <w:pPr>
              <w:spacing w:after="0" w:line="240" w:lineRule="auto"/>
              <w:jc w:val="center"/>
              <w:rPr>
                <w:rFonts w:ascii="Calibri" w:eastAsia="Times New Roman" w:hAnsi="Calibri" w:cs="Calibri"/>
                <w:i/>
                <w:iCs/>
                <w:sz w:val="16"/>
                <w:szCs w:val="16"/>
              </w:rPr>
            </w:pPr>
            <w:r w:rsidRPr="00525245">
              <w:rPr>
                <w:rFonts w:ascii="Calibri" w:eastAsia="Times New Roman" w:hAnsi="Calibri" w:cs="Calibri"/>
                <w:i/>
                <w:iCs/>
                <w:sz w:val="16"/>
                <w:szCs w:val="16"/>
              </w:rPr>
              <w:t>Recomandări înaintate în Raportul de audit:</w:t>
            </w:r>
          </w:p>
        </w:tc>
      </w:tr>
      <w:tr w:rsidR="00447CBE" w:rsidRPr="00CF7154" w14:paraId="2EC46BB0" w14:textId="77777777" w:rsidTr="00447CBE">
        <w:trPr>
          <w:trHeight w:val="240"/>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2CFADB86" w14:textId="77777777" w:rsidR="00447CBE" w:rsidRPr="00525245" w:rsidRDefault="00447CBE" w:rsidP="00447CBE">
            <w:pPr>
              <w:spacing w:after="0" w:line="240" w:lineRule="auto"/>
              <w:rPr>
                <w:rFonts w:ascii="Calibri" w:eastAsia="Times New Roman" w:hAnsi="Calibri" w:cs="Calibri"/>
                <w:b/>
                <w:bCs/>
                <w:sz w:val="16"/>
                <w:szCs w:val="16"/>
              </w:rPr>
            </w:pPr>
            <w:r w:rsidRPr="00525245">
              <w:rPr>
                <w:rFonts w:ascii="Calibri" w:eastAsia="Times New Roman" w:hAnsi="Calibri" w:cs="Calibri"/>
                <w:b/>
                <w:bCs/>
                <w:sz w:val="16"/>
                <w:szCs w:val="16"/>
              </w:rPr>
              <w:t>CANCELARIA DE STAT</w:t>
            </w:r>
          </w:p>
        </w:tc>
      </w:tr>
      <w:tr w:rsidR="00447CBE" w:rsidRPr="00CF7154" w14:paraId="19B7C09F" w14:textId="77777777" w:rsidTr="00447CBE">
        <w:trPr>
          <w:trHeight w:val="564"/>
        </w:trPr>
        <w:tc>
          <w:tcPr>
            <w:tcW w:w="1985" w:type="dxa"/>
            <w:tcBorders>
              <w:top w:val="nil"/>
              <w:left w:val="single" w:sz="4" w:space="0" w:color="auto"/>
              <w:bottom w:val="single" w:sz="4" w:space="0" w:color="auto"/>
              <w:right w:val="single" w:sz="4" w:space="0" w:color="auto"/>
            </w:tcBorders>
            <w:shd w:val="clear" w:color="auto" w:fill="auto"/>
            <w:hideMark/>
          </w:tcPr>
          <w:p w14:paraId="406407C5"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b/>
                <w:bCs/>
                <w:color w:val="000000"/>
                <w:sz w:val="16"/>
                <w:szCs w:val="16"/>
              </w:rPr>
              <w:t xml:space="preserve">Recomandarea nr. 4.1.1: </w:t>
            </w:r>
            <w:r w:rsidRPr="00CF7154">
              <w:rPr>
                <w:rFonts w:ascii="Calibri" w:eastAsia="Times New Roman" w:hAnsi="Calibri" w:cs="Calibri"/>
                <w:color w:val="000000"/>
                <w:sz w:val="16"/>
                <w:szCs w:val="16"/>
              </w:rPr>
              <w:t xml:space="preserve">Să excludă practica transmiterii funcției de beneficiar instituțiilor din subordine și să asigure executarea regulamentară a acestor atribuții, prin elaborarea politicilor manageriale eficiente </w:t>
            </w:r>
          </w:p>
        </w:tc>
        <w:tc>
          <w:tcPr>
            <w:tcW w:w="5529" w:type="dxa"/>
            <w:tcBorders>
              <w:top w:val="nil"/>
              <w:left w:val="nil"/>
              <w:bottom w:val="single" w:sz="4" w:space="0" w:color="auto"/>
              <w:right w:val="single" w:sz="4" w:space="0" w:color="auto"/>
            </w:tcBorders>
            <w:shd w:val="clear" w:color="auto" w:fill="auto"/>
            <w:hideMark/>
          </w:tcPr>
          <w:p w14:paraId="588AD952" w14:textId="23FFAD06" w:rsidR="00447CBE" w:rsidRPr="00CF7154" w:rsidRDefault="00447CBE" w:rsidP="00447CBE">
            <w:pPr>
              <w:spacing w:after="0" w:line="240" w:lineRule="auto"/>
              <w:jc w:val="both"/>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r>
              <w:rPr>
                <w:rFonts w:ascii="Calibri" w:eastAsia="Times New Roman" w:hAnsi="Calibri" w:cs="Calibri"/>
                <w:color w:val="000000"/>
                <w:sz w:val="16"/>
                <w:szCs w:val="16"/>
              </w:rPr>
              <w:t xml:space="preserve">Notă: În prezenta misiune de audit, nu au fost constatate careva problematici legate de </w:t>
            </w:r>
            <w:r w:rsidRPr="00CF7154">
              <w:rPr>
                <w:rFonts w:ascii="Calibri" w:eastAsia="Times New Roman" w:hAnsi="Calibri" w:cs="Calibri"/>
                <w:color w:val="000000"/>
                <w:sz w:val="16"/>
                <w:szCs w:val="16"/>
              </w:rPr>
              <w:t>finanțare directă a instituțiilor neautorizate în calitate de beneficiar de la bugetul de stat</w:t>
            </w:r>
            <w:r>
              <w:rPr>
                <w:rFonts w:ascii="Calibri" w:eastAsia="Times New Roman" w:hAnsi="Calibri" w:cs="Calibri"/>
                <w:color w:val="000000"/>
                <w:sz w:val="16"/>
                <w:szCs w:val="16"/>
              </w:rPr>
              <w:t>.</w:t>
            </w:r>
          </w:p>
        </w:tc>
        <w:tc>
          <w:tcPr>
            <w:tcW w:w="603" w:type="dxa"/>
            <w:tcBorders>
              <w:top w:val="nil"/>
              <w:left w:val="nil"/>
              <w:bottom w:val="single" w:sz="4" w:space="0" w:color="auto"/>
              <w:right w:val="single" w:sz="4" w:space="0" w:color="auto"/>
            </w:tcBorders>
            <w:shd w:val="clear" w:color="auto" w:fill="auto"/>
            <w:vAlign w:val="center"/>
            <w:hideMark/>
          </w:tcPr>
          <w:p w14:paraId="61C006F0" w14:textId="089BCD80" w:rsidR="00447CBE" w:rsidRPr="00525245" w:rsidRDefault="00447CBE" w:rsidP="00447CBE">
            <w:pPr>
              <w:spacing w:after="0" w:line="240" w:lineRule="auto"/>
              <w:jc w:val="center"/>
              <w:rPr>
                <w:rFonts w:ascii="Calibri" w:eastAsia="Times New Roman" w:hAnsi="Calibri" w:cs="Calibri"/>
                <w:sz w:val="16"/>
                <w:szCs w:val="16"/>
              </w:rPr>
            </w:pPr>
            <w:r w:rsidRPr="00525245">
              <w:rPr>
                <w:rFonts w:ascii="Calibri" w:eastAsia="Times New Roman" w:hAnsi="Calibri" w:cs="Calibri"/>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1ED71176"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3BC5A167"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vAlign w:val="bottom"/>
            <w:hideMark/>
          </w:tcPr>
          <w:p w14:paraId="27CDB57A"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r>
      <w:tr w:rsidR="00447CBE" w:rsidRPr="00CF7154" w14:paraId="32B7212A" w14:textId="77777777" w:rsidTr="00447CBE">
        <w:trPr>
          <w:trHeight w:val="1488"/>
        </w:trPr>
        <w:tc>
          <w:tcPr>
            <w:tcW w:w="1985" w:type="dxa"/>
            <w:tcBorders>
              <w:top w:val="nil"/>
              <w:left w:val="single" w:sz="4" w:space="0" w:color="auto"/>
              <w:bottom w:val="single" w:sz="4" w:space="0" w:color="auto"/>
              <w:right w:val="single" w:sz="4" w:space="0" w:color="auto"/>
            </w:tcBorders>
            <w:shd w:val="clear" w:color="auto" w:fill="auto"/>
            <w:hideMark/>
          </w:tcPr>
          <w:p w14:paraId="39654930" w14:textId="04D62F0F"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b/>
                <w:bCs/>
                <w:color w:val="000000"/>
                <w:sz w:val="16"/>
                <w:szCs w:val="16"/>
              </w:rPr>
              <w:t>Recomandarea nr. 4.1.2:</w:t>
            </w:r>
            <w:r>
              <w:rPr>
                <w:rFonts w:ascii="Calibri" w:eastAsia="Times New Roman" w:hAnsi="Calibri" w:cs="Calibri"/>
                <w:b/>
                <w:bCs/>
                <w:color w:val="000000"/>
                <w:sz w:val="16"/>
                <w:szCs w:val="16"/>
              </w:rPr>
              <w:t xml:space="preserve"> </w:t>
            </w:r>
            <w:r w:rsidRPr="00CF7154">
              <w:rPr>
                <w:rFonts w:ascii="Calibri" w:eastAsia="Times New Roman" w:hAnsi="Calibri" w:cs="Calibri"/>
                <w:color w:val="000000"/>
                <w:sz w:val="16"/>
                <w:szCs w:val="16"/>
              </w:rPr>
              <w:t>Să elaboreze și să realizeze un plan de acțiuni cu determinarea termenelor-limită privind definitivarea documentației de proiect și deviz, elaborată și verificată în modul stabilit.</w:t>
            </w:r>
          </w:p>
        </w:tc>
        <w:tc>
          <w:tcPr>
            <w:tcW w:w="5529" w:type="dxa"/>
            <w:tcBorders>
              <w:top w:val="nil"/>
              <w:left w:val="nil"/>
              <w:bottom w:val="single" w:sz="4" w:space="0" w:color="auto"/>
              <w:right w:val="single" w:sz="4" w:space="0" w:color="auto"/>
            </w:tcBorders>
            <w:shd w:val="clear" w:color="auto" w:fill="auto"/>
            <w:hideMark/>
          </w:tcPr>
          <w:p w14:paraId="7DB57D77" w14:textId="77777777" w:rsidR="00447CBE" w:rsidRPr="00CF7154" w:rsidRDefault="00447CBE" w:rsidP="00447CBE">
            <w:pPr>
              <w:spacing w:after="0" w:line="240" w:lineRule="auto"/>
              <w:jc w:val="both"/>
              <w:rPr>
                <w:rFonts w:ascii="Calibri" w:eastAsia="Times New Roman" w:hAnsi="Calibri" w:cs="Calibri"/>
                <w:color w:val="000000"/>
                <w:sz w:val="16"/>
                <w:szCs w:val="16"/>
              </w:rPr>
            </w:pPr>
            <w:r w:rsidRPr="00CF7154">
              <w:rPr>
                <w:rFonts w:ascii="Calibri" w:eastAsia="Times New Roman" w:hAnsi="Calibri" w:cs="Calibri"/>
                <w:color w:val="000000"/>
                <w:sz w:val="16"/>
                <w:szCs w:val="16"/>
              </w:rPr>
              <w:t>1. Extras din Ordinul DGACG nr.265-A din 05.07.2011 „Cu privire la lichidarea deficiențelor și neregulilor la utilizarea finanțelor publice pentru investiții și reparații capitale, prin care s-a aprobat Planul de măsuri privind lichidarea neajunsurilor și încălcărilor constatate în rezultatul auditului regularității utilizării mijloacelor publice al</w:t>
            </w:r>
            <w:r>
              <w:rPr>
                <w:rFonts w:ascii="Calibri" w:eastAsia="Times New Roman" w:hAnsi="Calibri" w:cs="Calibri"/>
                <w:color w:val="000000"/>
                <w:sz w:val="16"/>
                <w:szCs w:val="16"/>
              </w:rPr>
              <w:t>o</w:t>
            </w:r>
            <w:r w:rsidRPr="00CF7154">
              <w:rPr>
                <w:rFonts w:ascii="Calibri" w:eastAsia="Times New Roman" w:hAnsi="Calibri" w:cs="Calibri"/>
                <w:color w:val="000000"/>
                <w:sz w:val="16"/>
                <w:szCs w:val="16"/>
              </w:rPr>
              <w:t>cate pentru investiții și reparații capitale la DGACG în a. 2010;</w:t>
            </w:r>
            <w:r w:rsidRPr="00CF7154">
              <w:rPr>
                <w:rFonts w:ascii="Calibri" w:eastAsia="Times New Roman" w:hAnsi="Calibri" w:cs="Calibri"/>
                <w:color w:val="000000"/>
                <w:sz w:val="16"/>
                <w:szCs w:val="16"/>
              </w:rPr>
              <w:br/>
              <w:t>2. Nota explicativă la Nota informativă privind rezultatele auditului regularității utilizării mijloacelor publice alocate pentru in</w:t>
            </w:r>
            <w:r>
              <w:rPr>
                <w:rFonts w:ascii="Calibri" w:eastAsia="Times New Roman" w:hAnsi="Calibri" w:cs="Calibri"/>
                <w:color w:val="000000"/>
                <w:sz w:val="16"/>
                <w:szCs w:val="16"/>
              </w:rPr>
              <w:t>vestiții și reparații capitale î</w:t>
            </w:r>
            <w:r w:rsidRPr="00CF7154">
              <w:rPr>
                <w:rFonts w:ascii="Calibri" w:eastAsia="Times New Roman" w:hAnsi="Calibri" w:cs="Calibri"/>
                <w:color w:val="000000"/>
                <w:sz w:val="16"/>
                <w:szCs w:val="16"/>
              </w:rPr>
              <w:t>n anul 2010 la DGACG, prin care s-a comunicat măsurile întreprinse în vederea remedierii deficiențelor constatate în raportul de audit</w:t>
            </w:r>
          </w:p>
        </w:tc>
        <w:tc>
          <w:tcPr>
            <w:tcW w:w="603" w:type="dxa"/>
            <w:tcBorders>
              <w:top w:val="nil"/>
              <w:left w:val="nil"/>
              <w:bottom w:val="single" w:sz="4" w:space="0" w:color="auto"/>
              <w:right w:val="single" w:sz="4" w:space="0" w:color="auto"/>
            </w:tcBorders>
            <w:shd w:val="clear" w:color="auto" w:fill="auto"/>
            <w:vAlign w:val="center"/>
            <w:hideMark/>
          </w:tcPr>
          <w:p w14:paraId="369B45ED" w14:textId="59A7E2CC" w:rsidR="00447CBE" w:rsidRPr="00CF7154" w:rsidRDefault="00447CBE" w:rsidP="00447CBE">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7DD66D23"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2625C1F7"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vAlign w:val="bottom"/>
            <w:hideMark/>
          </w:tcPr>
          <w:p w14:paraId="118EEA17"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r>
      <w:tr w:rsidR="00447CBE" w:rsidRPr="00CF7154" w14:paraId="6A7B43D7" w14:textId="77777777" w:rsidTr="00447CBE">
        <w:trPr>
          <w:trHeight w:val="204"/>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36801390" w14:textId="77777777" w:rsidR="00447CBE" w:rsidRPr="00CF7154" w:rsidRDefault="00447CBE" w:rsidP="00447CBE">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Direcția pentru administrarea clădirilor guvernului în comun cu Î.S.„SABOS”:</w:t>
            </w:r>
          </w:p>
        </w:tc>
      </w:tr>
      <w:tr w:rsidR="00447CBE" w:rsidRPr="00CF7154" w14:paraId="3CB02985" w14:textId="77777777" w:rsidTr="00447CBE">
        <w:trPr>
          <w:trHeight w:val="3516"/>
        </w:trPr>
        <w:tc>
          <w:tcPr>
            <w:tcW w:w="1985" w:type="dxa"/>
            <w:tcBorders>
              <w:top w:val="nil"/>
              <w:left w:val="single" w:sz="4" w:space="0" w:color="auto"/>
              <w:bottom w:val="single" w:sz="4" w:space="0" w:color="auto"/>
              <w:right w:val="single" w:sz="4" w:space="0" w:color="auto"/>
            </w:tcBorders>
            <w:shd w:val="clear" w:color="auto" w:fill="auto"/>
            <w:hideMark/>
          </w:tcPr>
          <w:p w14:paraId="15E688B8"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b/>
                <w:bCs/>
                <w:color w:val="000000"/>
                <w:sz w:val="16"/>
                <w:szCs w:val="16"/>
              </w:rPr>
              <w:t>Recomandarea nr. 4.2.1:</w:t>
            </w:r>
            <w:r w:rsidRPr="00CF7154">
              <w:rPr>
                <w:rFonts w:ascii="Calibri" w:eastAsia="Times New Roman" w:hAnsi="Calibri" w:cs="Calibri"/>
                <w:color w:val="000000"/>
                <w:sz w:val="16"/>
                <w:szCs w:val="16"/>
              </w:rPr>
              <w:t xml:space="preserve"> Să reglementeze modalitatea de confirmare a tipului, volumului și costului serviciilor de supraveghere tehnică prestate.</w:t>
            </w:r>
          </w:p>
        </w:tc>
        <w:tc>
          <w:tcPr>
            <w:tcW w:w="5529" w:type="dxa"/>
            <w:tcBorders>
              <w:top w:val="nil"/>
              <w:left w:val="nil"/>
              <w:bottom w:val="single" w:sz="4" w:space="0" w:color="auto"/>
              <w:right w:val="single" w:sz="4" w:space="0" w:color="auto"/>
            </w:tcBorders>
            <w:shd w:val="clear" w:color="auto" w:fill="auto"/>
            <w:hideMark/>
          </w:tcPr>
          <w:p w14:paraId="4817A6C0" w14:textId="77777777" w:rsidR="00447CBE" w:rsidRPr="00CF7154" w:rsidRDefault="00447CBE" w:rsidP="00447CBE">
            <w:pPr>
              <w:spacing w:after="0" w:line="240" w:lineRule="auto"/>
              <w:jc w:val="both"/>
              <w:rPr>
                <w:rFonts w:ascii="Calibri" w:eastAsia="Times New Roman" w:hAnsi="Calibri" w:cs="Calibri"/>
                <w:color w:val="000000"/>
                <w:sz w:val="16"/>
                <w:szCs w:val="16"/>
              </w:rPr>
            </w:pPr>
            <w:r w:rsidRPr="00CF7154">
              <w:rPr>
                <w:rFonts w:ascii="Calibri" w:eastAsia="Times New Roman" w:hAnsi="Calibri" w:cs="Calibri"/>
                <w:color w:val="000000"/>
                <w:sz w:val="16"/>
                <w:szCs w:val="16"/>
              </w:rPr>
              <w:t xml:space="preserve">1. Demersul DGACG nr.7 din 10.09.2011 către ÎS </w:t>
            </w:r>
            <w:r>
              <w:rPr>
                <w:rFonts w:ascii="Calibri" w:eastAsia="Times New Roman" w:hAnsi="Calibri" w:cs="Calibri"/>
                <w:color w:val="000000"/>
                <w:sz w:val="16"/>
                <w:szCs w:val="16"/>
              </w:rPr>
              <w:t>„</w:t>
            </w:r>
            <w:r w:rsidRPr="00CF7154">
              <w:rPr>
                <w:rFonts w:ascii="Calibri" w:eastAsia="Times New Roman" w:hAnsi="Calibri" w:cs="Calibri"/>
                <w:color w:val="000000"/>
                <w:sz w:val="16"/>
                <w:szCs w:val="16"/>
              </w:rPr>
              <w:t>Sabos</w:t>
            </w:r>
            <w:r>
              <w:rPr>
                <w:rFonts w:ascii="Calibri" w:eastAsia="Times New Roman" w:hAnsi="Calibri" w:cs="Calibri"/>
                <w:color w:val="000000"/>
                <w:sz w:val="16"/>
                <w:szCs w:val="16"/>
              </w:rPr>
              <w:t>”</w:t>
            </w:r>
            <w:r w:rsidRPr="00CF7154">
              <w:rPr>
                <w:rFonts w:ascii="Calibri" w:eastAsia="Times New Roman" w:hAnsi="Calibri" w:cs="Calibri"/>
                <w:color w:val="000000"/>
                <w:sz w:val="16"/>
                <w:szCs w:val="16"/>
              </w:rPr>
              <w:t xml:space="preserve"> pentru a soluționa următoarele probleme: </w:t>
            </w:r>
            <w:r w:rsidRPr="00CF7154">
              <w:rPr>
                <w:rFonts w:ascii="Calibri" w:eastAsia="Times New Roman" w:hAnsi="Calibri" w:cs="Calibri"/>
                <w:color w:val="000000"/>
                <w:sz w:val="16"/>
                <w:szCs w:val="16"/>
              </w:rPr>
              <w:br/>
              <w:t>- efectuarea recalculării valorii serviciilor acordate în anul 2009, în conformitate cu Acordul adițional anexat;</w:t>
            </w:r>
            <w:r w:rsidRPr="00CF7154">
              <w:rPr>
                <w:rFonts w:ascii="Calibri" w:eastAsia="Times New Roman" w:hAnsi="Calibri" w:cs="Calibri"/>
                <w:color w:val="000000"/>
                <w:sz w:val="16"/>
                <w:szCs w:val="16"/>
              </w:rPr>
              <w:br/>
              <w:t>- asigurarea justificării calculului și argumentarea documentară a valorii serviciilor de supraveghere tehnică pentru a.2019 și 2010 înaintate spre plată;</w:t>
            </w:r>
            <w:r w:rsidRPr="00CF7154">
              <w:rPr>
                <w:rFonts w:ascii="Calibri" w:eastAsia="Times New Roman" w:hAnsi="Calibri" w:cs="Calibri"/>
                <w:color w:val="000000"/>
                <w:sz w:val="16"/>
                <w:szCs w:val="16"/>
              </w:rPr>
              <w:br/>
              <w:t>- prezentarea calculului final pentru serviciile de supraveghere tehnică pentru a.2010;</w:t>
            </w:r>
            <w:r w:rsidRPr="00CF7154">
              <w:rPr>
                <w:rFonts w:ascii="Calibri" w:eastAsia="Times New Roman" w:hAnsi="Calibri" w:cs="Calibri"/>
                <w:color w:val="000000"/>
                <w:sz w:val="16"/>
                <w:szCs w:val="16"/>
              </w:rPr>
              <w:br/>
              <w:t xml:space="preserve">2. Răspunsul ÎS </w:t>
            </w:r>
            <w:r>
              <w:rPr>
                <w:rFonts w:ascii="Calibri" w:eastAsia="Times New Roman" w:hAnsi="Calibri" w:cs="Calibri"/>
                <w:color w:val="000000"/>
                <w:sz w:val="16"/>
                <w:szCs w:val="16"/>
              </w:rPr>
              <w:t>„</w:t>
            </w:r>
            <w:r w:rsidRPr="00CF7154">
              <w:rPr>
                <w:rFonts w:ascii="Calibri" w:eastAsia="Times New Roman" w:hAnsi="Calibri" w:cs="Calibri"/>
                <w:color w:val="000000"/>
                <w:sz w:val="16"/>
                <w:szCs w:val="16"/>
              </w:rPr>
              <w:t>Sabos</w:t>
            </w:r>
            <w:r>
              <w:rPr>
                <w:rFonts w:ascii="Calibri" w:eastAsia="Times New Roman" w:hAnsi="Calibri" w:cs="Calibri"/>
                <w:color w:val="000000"/>
                <w:sz w:val="16"/>
                <w:szCs w:val="16"/>
              </w:rPr>
              <w:t>”</w:t>
            </w:r>
            <w:r w:rsidRPr="00CF7154">
              <w:rPr>
                <w:rFonts w:ascii="Calibri" w:eastAsia="Times New Roman" w:hAnsi="Calibri" w:cs="Calibri"/>
                <w:color w:val="000000"/>
                <w:sz w:val="16"/>
                <w:szCs w:val="16"/>
              </w:rPr>
              <w:t xml:space="preserve"> nr.425-04 din 19.11.2011, la demersul DGACG, prin care ÎS </w:t>
            </w:r>
            <w:r>
              <w:rPr>
                <w:rFonts w:ascii="Calibri" w:eastAsia="Times New Roman" w:hAnsi="Calibri" w:cs="Calibri"/>
                <w:color w:val="000000"/>
                <w:sz w:val="16"/>
                <w:szCs w:val="16"/>
              </w:rPr>
              <w:t>„</w:t>
            </w:r>
            <w:r w:rsidRPr="00CF7154">
              <w:rPr>
                <w:rFonts w:ascii="Calibri" w:eastAsia="Times New Roman" w:hAnsi="Calibri" w:cs="Calibri"/>
                <w:color w:val="000000"/>
                <w:sz w:val="16"/>
                <w:szCs w:val="16"/>
              </w:rPr>
              <w:t>Sabos</w:t>
            </w:r>
            <w:r>
              <w:rPr>
                <w:rFonts w:ascii="Calibri" w:eastAsia="Times New Roman" w:hAnsi="Calibri" w:cs="Calibri"/>
                <w:color w:val="000000"/>
                <w:sz w:val="16"/>
                <w:szCs w:val="16"/>
              </w:rPr>
              <w:t>”</w:t>
            </w:r>
            <w:r w:rsidRPr="00CF7154">
              <w:rPr>
                <w:rFonts w:ascii="Calibri" w:eastAsia="Times New Roman" w:hAnsi="Calibri" w:cs="Calibri"/>
                <w:color w:val="000000"/>
                <w:sz w:val="16"/>
                <w:szCs w:val="16"/>
              </w:rPr>
              <w:t xml:space="preserve"> nu recunoaște problemele înaintate pentru soluționare de c</w:t>
            </w:r>
            <w:r>
              <w:rPr>
                <w:rFonts w:ascii="Calibri" w:eastAsia="Times New Roman" w:hAnsi="Calibri" w:cs="Calibri"/>
                <w:color w:val="000000"/>
                <w:sz w:val="16"/>
                <w:szCs w:val="16"/>
              </w:rPr>
              <w:t>ătre DGACG, invocâ</w:t>
            </w:r>
            <w:r w:rsidRPr="00CF7154">
              <w:rPr>
                <w:rFonts w:ascii="Calibri" w:eastAsia="Times New Roman" w:hAnsi="Calibri" w:cs="Calibri"/>
                <w:color w:val="000000"/>
                <w:sz w:val="16"/>
                <w:szCs w:val="16"/>
              </w:rPr>
              <w:t>nd faptul că acestea de facto nu există și nu pot exista în cazul în care părțile contractante își onorează reciproc obligațiunile contractuale. Totodată, este nefondată și lipsită de sens efectuarea recalculării valorii serviciilor de supraveghere tehnică prestate în perioada 2009-2010</w:t>
            </w:r>
            <w:r>
              <w:rPr>
                <w:rFonts w:ascii="Calibri" w:eastAsia="Times New Roman" w:hAnsi="Calibri" w:cs="Calibri"/>
                <w:color w:val="000000"/>
                <w:sz w:val="16"/>
                <w:szCs w:val="16"/>
              </w:rPr>
              <w:t>, precum și asigurarea justifică</w:t>
            </w:r>
            <w:r w:rsidRPr="00CF7154">
              <w:rPr>
                <w:rFonts w:ascii="Calibri" w:eastAsia="Times New Roman" w:hAnsi="Calibri" w:cs="Calibri"/>
                <w:color w:val="000000"/>
                <w:sz w:val="16"/>
                <w:szCs w:val="16"/>
              </w:rPr>
              <w:t xml:space="preserve">rii calculului și asigurarea documentară a valorii serviciilor prestate, deoarece: </w:t>
            </w:r>
            <w:r w:rsidRPr="00CF7154">
              <w:rPr>
                <w:rFonts w:ascii="Calibri" w:eastAsia="Times New Roman" w:hAnsi="Calibri" w:cs="Calibri"/>
                <w:color w:val="000000"/>
                <w:sz w:val="16"/>
                <w:szCs w:val="16"/>
              </w:rPr>
              <w:br/>
              <w:t>- acordarea serviciilor de supraveghere tehnică constituie o activitate de verificare a execuției lucrărilor de reparație capitală a clădirii nominalizate, monitorizarea și coordonarea lucrărilor de reparație capitală a clădirii, identificarea și soluțion</w:t>
            </w:r>
            <w:r>
              <w:rPr>
                <w:rFonts w:ascii="Calibri" w:eastAsia="Times New Roman" w:hAnsi="Calibri" w:cs="Calibri"/>
                <w:color w:val="000000"/>
                <w:sz w:val="16"/>
                <w:szCs w:val="16"/>
              </w:rPr>
              <w:t>area.</w:t>
            </w:r>
            <w:r w:rsidRPr="00CF7154">
              <w:rPr>
                <w:rFonts w:ascii="Calibri" w:eastAsia="Times New Roman" w:hAnsi="Calibri" w:cs="Calibri"/>
                <w:color w:val="000000"/>
                <w:sz w:val="16"/>
                <w:szCs w:val="16"/>
              </w:rPr>
              <w:br/>
              <w:t>- conform prevederilor legale costul serviciilor prevăzut în oferta care a fost stabi</w:t>
            </w:r>
            <w:r>
              <w:rPr>
                <w:rFonts w:ascii="Calibri" w:eastAsia="Times New Roman" w:hAnsi="Calibri" w:cs="Calibri"/>
                <w:color w:val="000000"/>
                <w:sz w:val="16"/>
                <w:szCs w:val="16"/>
              </w:rPr>
              <w:t>lită ca fiind câ</w:t>
            </w:r>
            <w:r w:rsidRPr="00CF7154">
              <w:rPr>
                <w:rFonts w:ascii="Calibri" w:eastAsia="Times New Roman" w:hAnsi="Calibri" w:cs="Calibri"/>
                <w:color w:val="000000"/>
                <w:sz w:val="16"/>
                <w:szCs w:val="16"/>
              </w:rPr>
              <w:t>știgătoare este ferm și se va constitui ca parte integrantă a contractului de achiziție publică;</w:t>
            </w:r>
            <w:r w:rsidRPr="00CF7154">
              <w:rPr>
                <w:rFonts w:ascii="Calibri" w:eastAsia="Times New Roman" w:hAnsi="Calibri" w:cs="Calibri"/>
                <w:color w:val="000000"/>
                <w:sz w:val="16"/>
                <w:szCs w:val="16"/>
              </w:rPr>
              <w:br/>
              <w:t>- în scopul îndeplinirii condițiilor contractuale ÎS SABOS a antrenat numărul necesar de specialiști care deja au fost remunerați pentru lucrul executat.</w:t>
            </w:r>
          </w:p>
        </w:tc>
        <w:tc>
          <w:tcPr>
            <w:tcW w:w="603" w:type="dxa"/>
            <w:tcBorders>
              <w:top w:val="nil"/>
              <w:left w:val="nil"/>
              <w:bottom w:val="single" w:sz="4" w:space="0" w:color="auto"/>
              <w:right w:val="single" w:sz="4" w:space="0" w:color="auto"/>
            </w:tcBorders>
            <w:shd w:val="clear" w:color="auto" w:fill="auto"/>
            <w:vAlign w:val="center"/>
          </w:tcPr>
          <w:p w14:paraId="4E64FE86" w14:textId="47679B34" w:rsidR="00447CBE" w:rsidRPr="00CF7154" w:rsidRDefault="00447CBE" w:rsidP="00447CBE">
            <w:pPr>
              <w:spacing w:after="0" w:line="240" w:lineRule="auto"/>
              <w:jc w:val="center"/>
              <w:rPr>
                <w:rFonts w:ascii="Calibri" w:eastAsia="Times New Roman" w:hAnsi="Calibri" w:cs="Calibri"/>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13852E4D" w14:textId="65B2A486"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774E0EB8"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vAlign w:val="center"/>
            <w:hideMark/>
          </w:tcPr>
          <w:p w14:paraId="0897A561"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r>
      <w:tr w:rsidR="00447CBE" w:rsidRPr="00CF7154" w14:paraId="719192B9" w14:textId="77777777" w:rsidTr="00447CBE">
        <w:trPr>
          <w:trHeight w:val="1704"/>
        </w:trPr>
        <w:tc>
          <w:tcPr>
            <w:tcW w:w="1985" w:type="dxa"/>
            <w:tcBorders>
              <w:top w:val="nil"/>
              <w:left w:val="single" w:sz="4" w:space="0" w:color="auto"/>
              <w:bottom w:val="single" w:sz="4" w:space="0" w:color="auto"/>
              <w:right w:val="single" w:sz="4" w:space="0" w:color="auto"/>
            </w:tcBorders>
            <w:shd w:val="clear" w:color="auto" w:fill="auto"/>
            <w:hideMark/>
          </w:tcPr>
          <w:p w14:paraId="4D359E65"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b/>
                <w:bCs/>
                <w:color w:val="000000"/>
                <w:sz w:val="16"/>
                <w:szCs w:val="16"/>
              </w:rPr>
              <w:t xml:space="preserve">Recomandarea nr. 4.2.2: </w:t>
            </w:r>
            <w:r w:rsidRPr="00CF7154">
              <w:rPr>
                <w:rFonts w:ascii="Calibri" w:eastAsia="Times New Roman" w:hAnsi="Calibri" w:cs="Calibri"/>
                <w:color w:val="000000"/>
                <w:sz w:val="16"/>
                <w:szCs w:val="16"/>
              </w:rPr>
              <w:t>Să asigure controlul asupra verificării calității execuției construcțiilor efectuate de către proprii responsabili tehnici atestați, întru neadmiterea încălcării Instrucțiunii privind întocmirea devizelor pentru lucrările de construcție-montaj prin metoda de resurse (CPL.01.01-2001).</w:t>
            </w:r>
          </w:p>
        </w:tc>
        <w:tc>
          <w:tcPr>
            <w:tcW w:w="5529" w:type="dxa"/>
            <w:tcBorders>
              <w:top w:val="nil"/>
              <w:left w:val="nil"/>
              <w:bottom w:val="single" w:sz="4" w:space="0" w:color="auto"/>
              <w:right w:val="single" w:sz="4" w:space="0" w:color="auto"/>
            </w:tcBorders>
            <w:shd w:val="clear" w:color="auto" w:fill="auto"/>
            <w:hideMark/>
          </w:tcPr>
          <w:p w14:paraId="1D0A62AF" w14:textId="77777777" w:rsidR="00447CBE" w:rsidRPr="00CF7154" w:rsidRDefault="00447CBE" w:rsidP="00447CBE">
            <w:pPr>
              <w:spacing w:after="0" w:line="240" w:lineRule="auto"/>
              <w:jc w:val="both"/>
              <w:rPr>
                <w:rFonts w:ascii="Calibri" w:eastAsia="Times New Roman" w:hAnsi="Calibri" w:cs="Calibri"/>
                <w:color w:val="000000"/>
                <w:sz w:val="16"/>
                <w:szCs w:val="16"/>
              </w:rPr>
            </w:pPr>
            <w:r w:rsidRPr="00CF7154">
              <w:rPr>
                <w:rFonts w:ascii="Calibri" w:eastAsia="Times New Roman" w:hAnsi="Calibri" w:cs="Calibri"/>
                <w:color w:val="000000"/>
                <w:sz w:val="16"/>
                <w:szCs w:val="16"/>
              </w:rPr>
              <w:t>1. Ordinul DGACG nr.265-A din 05.07.2011 „Cu privire la lichidarea deficiențelor și neregulilor la utilizarea finanțelor publice pentru investiții și reparații capitale, prin care s-a aprobat Planul de măsuri privind lichidarea neajunsurilor și încălcărilor constatate în rezultatul auditului regularității utilizării mijloacelor publice al</w:t>
            </w:r>
            <w:r>
              <w:rPr>
                <w:rFonts w:ascii="Calibri" w:eastAsia="Times New Roman" w:hAnsi="Calibri" w:cs="Calibri"/>
                <w:color w:val="000000"/>
                <w:sz w:val="16"/>
                <w:szCs w:val="16"/>
              </w:rPr>
              <w:t>o</w:t>
            </w:r>
            <w:r w:rsidRPr="00CF7154">
              <w:rPr>
                <w:rFonts w:ascii="Calibri" w:eastAsia="Times New Roman" w:hAnsi="Calibri" w:cs="Calibri"/>
                <w:color w:val="000000"/>
                <w:sz w:val="16"/>
                <w:szCs w:val="16"/>
              </w:rPr>
              <w:t>cate pentru investiții și reparații capitale la DGACG în a. 2010, prin care a fost delegat vicepreședintele grupului de lucru pentru achiziții publice cu sarcina de a informa membrii grupului de lucru cu deficiențele și neregulile constatate în raportul de audit, cu luarea de atitudine și neadmiterea acestora pe viitor.</w:t>
            </w:r>
          </w:p>
        </w:tc>
        <w:tc>
          <w:tcPr>
            <w:tcW w:w="603" w:type="dxa"/>
            <w:tcBorders>
              <w:top w:val="nil"/>
              <w:left w:val="nil"/>
              <w:bottom w:val="single" w:sz="4" w:space="0" w:color="auto"/>
              <w:right w:val="single" w:sz="4" w:space="0" w:color="auto"/>
            </w:tcBorders>
            <w:shd w:val="clear" w:color="auto" w:fill="auto"/>
            <w:vAlign w:val="center"/>
            <w:hideMark/>
          </w:tcPr>
          <w:p w14:paraId="32788CD2" w14:textId="7FB44835"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55BF256F"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210C08AA"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vAlign w:val="bottom"/>
            <w:hideMark/>
          </w:tcPr>
          <w:p w14:paraId="65B52677"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r>
    </w:tbl>
    <w:p w14:paraId="2CCCA5E5" w14:textId="013B88A4" w:rsidR="00963662" w:rsidRPr="003B329E" w:rsidRDefault="00963662" w:rsidP="00770AC9">
      <w:pPr>
        <w:rPr>
          <w:rFonts w:ascii="Times New Roman" w:hAnsi="Times New Roman" w:cs="Times New Roman"/>
          <w:b/>
          <w:color w:val="2F5496" w:themeColor="accent5" w:themeShade="BF"/>
        </w:rPr>
      </w:pPr>
    </w:p>
    <w:sectPr w:rsidR="00963662" w:rsidRPr="003B329E" w:rsidSect="002E528C">
      <w:pgSz w:w="11906" w:h="16838" w:code="9"/>
      <w:pgMar w:top="1140" w:right="567" w:bottom="992" w:left="155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6631B3" w14:textId="77777777" w:rsidR="00A0698C" w:rsidRDefault="00A0698C" w:rsidP="006049D5">
      <w:pPr>
        <w:spacing w:after="0" w:line="240" w:lineRule="auto"/>
      </w:pPr>
      <w:r>
        <w:separator/>
      </w:r>
    </w:p>
  </w:endnote>
  <w:endnote w:type="continuationSeparator" w:id="0">
    <w:p w14:paraId="4754743F" w14:textId="77777777" w:rsidR="00A0698C" w:rsidRDefault="00A0698C" w:rsidP="00604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MS Gothic"/>
    <w:charset w:val="80"/>
    <w:family w:val="auto"/>
    <w:pitch w:val="default"/>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0027572"/>
      <w:docPartObj>
        <w:docPartGallery w:val="Page Numbers (Bottom of Page)"/>
        <w:docPartUnique/>
      </w:docPartObj>
    </w:sdtPr>
    <w:sdtEndPr>
      <w:rPr>
        <w:noProof/>
      </w:rPr>
    </w:sdtEndPr>
    <w:sdtContent>
      <w:p w14:paraId="3FF01D86" w14:textId="7BBE5243" w:rsidR="00753EA2" w:rsidRDefault="00753EA2">
        <w:pPr>
          <w:pStyle w:val="ac"/>
          <w:jc w:val="right"/>
        </w:pPr>
        <w:r>
          <w:fldChar w:fldCharType="begin"/>
        </w:r>
        <w:r>
          <w:instrText xml:space="preserve"> PAGE   \* MERGEFORMAT </w:instrText>
        </w:r>
        <w:r>
          <w:fldChar w:fldCharType="separate"/>
        </w:r>
        <w:r w:rsidR="0066705D">
          <w:rPr>
            <w:noProof/>
          </w:rPr>
          <w:t>9</w:t>
        </w:r>
        <w:r>
          <w:rPr>
            <w:noProof/>
          </w:rPr>
          <w:fldChar w:fldCharType="end"/>
        </w:r>
      </w:p>
    </w:sdtContent>
  </w:sdt>
  <w:p w14:paraId="79A97EB5" w14:textId="77777777" w:rsidR="00753EA2" w:rsidRDefault="00753EA2">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23BBB3" w14:textId="77777777" w:rsidR="00A0698C" w:rsidRDefault="00A0698C" w:rsidP="006049D5">
      <w:pPr>
        <w:spacing w:after="0" w:line="240" w:lineRule="auto"/>
      </w:pPr>
      <w:r>
        <w:separator/>
      </w:r>
    </w:p>
  </w:footnote>
  <w:footnote w:type="continuationSeparator" w:id="0">
    <w:p w14:paraId="79611599" w14:textId="77777777" w:rsidR="00A0698C" w:rsidRDefault="00A0698C" w:rsidP="006049D5">
      <w:pPr>
        <w:spacing w:after="0" w:line="240" w:lineRule="auto"/>
      </w:pPr>
      <w:r>
        <w:continuationSeparator/>
      </w:r>
    </w:p>
  </w:footnote>
  <w:footnote w:id="1">
    <w:p w14:paraId="46321ED9" w14:textId="71E231F0" w:rsidR="00753EA2" w:rsidRPr="00A57EC9" w:rsidRDefault="00753EA2" w:rsidP="000E07D1">
      <w:pPr>
        <w:pStyle w:val="a3"/>
        <w:jc w:val="both"/>
        <w:rPr>
          <w:rFonts w:ascii="Times New Roman" w:hAnsi="Times New Roman" w:cs="Times New Roman"/>
          <w:sz w:val="16"/>
          <w:szCs w:val="16"/>
        </w:rPr>
      </w:pPr>
      <w:r w:rsidRPr="00A57EC9">
        <w:rPr>
          <w:rStyle w:val="a5"/>
          <w:rFonts w:ascii="Times New Roman" w:hAnsi="Times New Roman" w:cs="Times New Roman"/>
          <w:sz w:val="16"/>
          <w:szCs w:val="16"/>
        </w:rPr>
        <w:footnoteRef/>
      </w:r>
      <w:r w:rsidRPr="00A57EC9">
        <w:rPr>
          <w:rFonts w:ascii="Times New Roman" w:hAnsi="Times New Roman" w:cs="Times New Roman"/>
          <w:sz w:val="16"/>
          <w:szCs w:val="16"/>
        </w:rPr>
        <w:t xml:space="preserve"> Pct. 3.2.35., Subclasa 25 „Subvenții” din Ordinul MF nr. 215 din 28.12.2015.</w:t>
      </w:r>
      <w:r>
        <w:rPr>
          <w:rFonts w:ascii="Times New Roman" w:hAnsi="Times New Roman" w:cs="Times New Roman"/>
          <w:sz w:val="16"/>
          <w:szCs w:val="16"/>
        </w:rPr>
        <w:t xml:space="preserve"> </w:t>
      </w:r>
    </w:p>
  </w:footnote>
  <w:footnote w:id="2">
    <w:p w14:paraId="0BD64AAB" w14:textId="77777777" w:rsidR="00753EA2" w:rsidRPr="00014964" w:rsidRDefault="00753EA2" w:rsidP="000E07D1">
      <w:pPr>
        <w:pStyle w:val="a3"/>
        <w:jc w:val="both"/>
        <w:rPr>
          <w:sz w:val="16"/>
          <w:szCs w:val="16"/>
        </w:rPr>
      </w:pPr>
      <w:r w:rsidRPr="00A57EC9">
        <w:rPr>
          <w:rStyle w:val="a5"/>
          <w:rFonts w:ascii="Times New Roman" w:hAnsi="Times New Roman" w:cs="Times New Roman"/>
          <w:sz w:val="16"/>
          <w:szCs w:val="16"/>
        </w:rPr>
        <w:footnoteRef/>
      </w:r>
      <w:r w:rsidRPr="00A57EC9">
        <w:rPr>
          <w:rFonts w:ascii="Times New Roman" w:hAnsi="Times New Roman" w:cs="Times New Roman"/>
          <w:sz w:val="16"/>
          <w:szCs w:val="16"/>
        </w:rPr>
        <w:t xml:space="preserve"> Pct. 3.2.38., Subclasa 26 „Granturi acordate” </w:t>
      </w:r>
      <w:r>
        <w:rPr>
          <w:rFonts w:ascii="Times New Roman" w:hAnsi="Times New Roman" w:cs="Times New Roman"/>
          <w:sz w:val="16"/>
          <w:szCs w:val="16"/>
        </w:rPr>
        <w:t xml:space="preserve">din </w:t>
      </w:r>
      <w:r w:rsidRPr="00A57EC9">
        <w:rPr>
          <w:rFonts w:ascii="Times New Roman" w:hAnsi="Times New Roman" w:cs="Times New Roman"/>
          <w:sz w:val="16"/>
          <w:szCs w:val="16"/>
        </w:rPr>
        <w:t>Ordinul MF nr. 215 din 28.12.2015.</w:t>
      </w:r>
    </w:p>
  </w:footnote>
  <w:footnote w:id="3">
    <w:p w14:paraId="78F28681" w14:textId="77777777" w:rsidR="00753EA2" w:rsidRPr="00120603" w:rsidRDefault="00753EA2" w:rsidP="00291C57">
      <w:pPr>
        <w:pStyle w:val="a3"/>
        <w:jc w:val="both"/>
        <w:rPr>
          <w:rFonts w:ascii="Times New Roman" w:hAnsi="Times New Roman" w:cs="Times New Roman"/>
          <w:sz w:val="16"/>
          <w:szCs w:val="16"/>
        </w:rPr>
      </w:pPr>
      <w:r w:rsidRPr="00120603">
        <w:rPr>
          <w:rStyle w:val="a5"/>
          <w:rFonts w:ascii="Times New Roman" w:hAnsi="Times New Roman" w:cs="Times New Roman"/>
          <w:sz w:val="16"/>
          <w:szCs w:val="16"/>
        </w:rPr>
        <w:footnoteRef/>
      </w:r>
      <w:r w:rsidRPr="00120603">
        <w:rPr>
          <w:rFonts w:ascii="Times New Roman" w:hAnsi="Times New Roman" w:cs="Times New Roman"/>
          <w:sz w:val="16"/>
          <w:szCs w:val="16"/>
        </w:rPr>
        <w:t xml:space="preserve"> Hotărârea Curții de Conturi nr.65 din 22.12.2022 „Privind aprobarea Programului activității de audit a</w:t>
      </w:r>
      <w:r>
        <w:rPr>
          <w:rFonts w:ascii="Times New Roman" w:hAnsi="Times New Roman" w:cs="Times New Roman"/>
          <w:sz w:val="16"/>
          <w:szCs w:val="16"/>
        </w:rPr>
        <w:t>l</w:t>
      </w:r>
      <w:r w:rsidRPr="00120603">
        <w:rPr>
          <w:rFonts w:ascii="Times New Roman" w:hAnsi="Times New Roman" w:cs="Times New Roman"/>
          <w:sz w:val="16"/>
          <w:szCs w:val="16"/>
        </w:rPr>
        <w:t xml:space="preserve"> Curții de Conturi pe anul 2023”.</w:t>
      </w:r>
    </w:p>
  </w:footnote>
  <w:footnote w:id="4">
    <w:p w14:paraId="0B1F08D7" w14:textId="77777777" w:rsidR="00753EA2" w:rsidRPr="00850790" w:rsidRDefault="00753EA2" w:rsidP="00291C57">
      <w:pPr>
        <w:pStyle w:val="a3"/>
        <w:tabs>
          <w:tab w:val="left" w:pos="0"/>
        </w:tabs>
        <w:jc w:val="both"/>
        <w:rPr>
          <w:sz w:val="16"/>
          <w:szCs w:val="16"/>
          <w:lang w:val="ro-RO"/>
        </w:rPr>
      </w:pPr>
      <w:r w:rsidRPr="001460FE">
        <w:rPr>
          <w:rStyle w:val="a5"/>
          <w:rFonts w:ascii="Times New Roman" w:hAnsi="Times New Roman" w:cs="Times New Roman"/>
          <w:sz w:val="16"/>
          <w:szCs w:val="16"/>
        </w:rPr>
        <w:footnoteRef/>
      </w:r>
      <w:r w:rsidRPr="001460FE">
        <w:rPr>
          <w:rFonts w:ascii="Times New Roman" w:hAnsi="Times New Roman" w:cs="Times New Roman"/>
          <w:sz w:val="16"/>
          <w:szCs w:val="16"/>
        </w:rPr>
        <w:t xml:space="preserve"> Raportul de evaluare a performanței cheltuielilor publice și responsabilităților financiare (PEFA) din anul 2022.</w:t>
      </w:r>
    </w:p>
  </w:footnote>
  <w:footnote w:id="5">
    <w:p w14:paraId="176D53E9" w14:textId="61531CB8" w:rsidR="00753EA2" w:rsidRPr="000F4443" w:rsidRDefault="00753EA2" w:rsidP="000F4443">
      <w:pPr>
        <w:pStyle w:val="a3"/>
        <w:jc w:val="both"/>
        <w:rPr>
          <w:rFonts w:ascii="Times New Roman" w:hAnsi="Times New Roman" w:cs="Times New Roman"/>
          <w:sz w:val="16"/>
          <w:szCs w:val="16"/>
          <w:lang w:val="en-US"/>
        </w:rPr>
      </w:pPr>
      <w:r w:rsidRPr="000F4443">
        <w:rPr>
          <w:rStyle w:val="a5"/>
          <w:rFonts w:ascii="Times New Roman" w:hAnsi="Times New Roman" w:cs="Times New Roman"/>
          <w:sz w:val="16"/>
          <w:szCs w:val="16"/>
        </w:rPr>
        <w:footnoteRef/>
      </w:r>
      <w:r w:rsidRPr="000F4443">
        <w:rPr>
          <w:rFonts w:ascii="Times New Roman" w:hAnsi="Times New Roman" w:cs="Times New Roman"/>
          <w:sz w:val="16"/>
          <w:szCs w:val="16"/>
        </w:rPr>
        <w:t xml:space="preserve"> </w:t>
      </w:r>
      <w:r w:rsidRPr="00BD6B0F">
        <w:rPr>
          <w:rFonts w:ascii="Times New Roman" w:hAnsi="Times New Roman" w:cs="Times New Roman"/>
          <w:sz w:val="16"/>
          <w:szCs w:val="16"/>
          <w:lang w:val="ro-RO"/>
        </w:rPr>
        <w:t xml:space="preserve">Consiliu </w:t>
      </w:r>
      <w:r w:rsidRPr="000F4443">
        <w:rPr>
          <w:rFonts w:ascii="Times New Roman" w:hAnsi="Times New Roman" w:cs="Times New Roman"/>
          <w:sz w:val="16"/>
          <w:szCs w:val="16"/>
          <w:lang w:val="en-US"/>
        </w:rPr>
        <w:t>STISC</w:t>
      </w:r>
      <w:r>
        <w:rPr>
          <w:rFonts w:ascii="Times New Roman" w:hAnsi="Times New Roman" w:cs="Times New Roman"/>
          <w:sz w:val="16"/>
          <w:szCs w:val="16"/>
          <w:lang w:val="en-US"/>
        </w:rPr>
        <w:t>.</w:t>
      </w:r>
    </w:p>
  </w:footnote>
  <w:footnote w:id="6">
    <w:p w14:paraId="593DA0B6" w14:textId="541D2355" w:rsidR="00753EA2" w:rsidRPr="000F4443" w:rsidRDefault="00753EA2" w:rsidP="000F4443">
      <w:pPr>
        <w:pStyle w:val="a3"/>
        <w:jc w:val="both"/>
        <w:rPr>
          <w:rFonts w:ascii="Times New Roman" w:hAnsi="Times New Roman" w:cs="Times New Roman"/>
          <w:sz w:val="16"/>
          <w:szCs w:val="16"/>
          <w:lang w:val="en-US"/>
        </w:rPr>
      </w:pPr>
      <w:r w:rsidRPr="000F4443">
        <w:rPr>
          <w:rStyle w:val="a5"/>
          <w:rFonts w:ascii="Times New Roman" w:hAnsi="Times New Roman" w:cs="Times New Roman"/>
          <w:sz w:val="16"/>
          <w:szCs w:val="16"/>
        </w:rPr>
        <w:footnoteRef/>
      </w:r>
      <w:r w:rsidRPr="000F4443">
        <w:rPr>
          <w:rFonts w:ascii="Times New Roman" w:hAnsi="Times New Roman" w:cs="Times New Roman"/>
          <w:sz w:val="16"/>
          <w:szCs w:val="16"/>
        </w:rPr>
        <w:t xml:space="preserve"> </w:t>
      </w:r>
      <w:r w:rsidRPr="000F4443">
        <w:rPr>
          <w:rFonts w:ascii="Times New Roman" w:hAnsi="Times New Roman" w:cs="Times New Roman"/>
          <w:sz w:val="16"/>
          <w:szCs w:val="16"/>
          <w:lang w:val="en-US"/>
        </w:rPr>
        <w:t>AGE</w:t>
      </w:r>
      <w:r>
        <w:rPr>
          <w:rFonts w:ascii="Times New Roman" w:hAnsi="Times New Roman" w:cs="Times New Roman"/>
          <w:sz w:val="16"/>
          <w:szCs w:val="16"/>
          <w:lang w:val="en-US"/>
        </w:rPr>
        <w:t>.</w:t>
      </w:r>
    </w:p>
  </w:footnote>
  <w:footnote w:id="7">
    <w:p w14:paraId="051B892C" w14:textId="6917DC28" w:rsidR="00753EA2" w:rsidRPr="00A671CB" w:rsidRDefault="00753EA2" w:rsidP="00A671CB">
      <w:pPr>
        <w:pStyle w:val="a3"/>
        <w:jc w:val="both"/>
        <w:rPr>
          <w:rFonts w:ascii="Times New Roman" w:hAnsi="Times New Roman" w:cs="Times New Roman"/>
          <w:sz w:val="16"/>
          <w:szCs w:val="16"/>
        </w:rPr>
      </w:pPr>
      <w:r w:rsidRPr="00A671CB">
        <w:rPr>
          <w:rStyle w:val="a5"/>
          <w:rFonts w:ascii="Times New Roman" w:hAnsi="Times New Roman" w:cs="Times New Roman"/>
          <w:sz w:val="16"/>
          <w:szCs w:val="16"/>
        </w:rPr>
        <w:footnoteRef/>
      </w:r>
      <w:r w:rsidRPr="00A671CB">
        <w:rPr>
          <w:rFonts w:ascii="Times New Roman" w:hAnsi="Times New Roman" w:cs="Times New Roman"/>
          <w:sz w:val="16"/>
          <w:szCs w:val="16"/>
        </w:rPr>
        <w:t xml:space="preserve"> </w:t>
      </w:r>
      <w:r w:rsidRPr="00A671CB">
        <w:rPr>
          <w:rFonts w:ascii="Times New Roman" w:eastAsia="Times New Roman" w:hAnsi="Times New Roman" w:cs="Times New Roman"/>
          <w:color w:val="000000"/>
          <w:sz w:val="16"/>
          <w:szCs w:val="16"/>
        </w:rPr>
        <w:t>DGACG, BA și I.P. „Pensiunea din Holercani”.</w:t>
      </w:r>
    </w:p>
  </w:footnote>
  <w:footnote w:id="8">
    <w:p w14:paraId="6E7EDB4A" w14:textId="186F5A99" w:rsidR="00753EA2" w:rsidRDefault="00753EA2" w:rsidP="00A671CB">
      <w:pPr>
        <w:pStyle w:val="a3"/>
        <w:jc w:val="both"/>
      </w:pPr>
      <w:r w:rsidRPr="00A671CB">
        <w:rPr>
          <w:rStyle w:val="a5"/>
          <w:rFonts w:ascii="Times New Roman" w:hAnsi="Times New Roman" w:cs="Times New Roman"/>
          <w:sz w:val="16"/>
          <w:szCs w:val="16"/>
        </w:rPr>
        <w:footnoteRef/>
      </w:r>
      <w:r w:rsidRPr="00A671CB">
        <w:rPr>
          <w:rFonts w:ascii="Times New Roman" w:hAnsi="Times New Roman" w:cs="Times New Roman"/>
          <w:sz w:val="16"/>
          <w:szCs w:val="16"/>
        </w:rPr>
        <w:t xml:space="preserve"> Hotărârea Curții de Conturi nr.78 din 24.12.2020 „Privind Raportul auditului conformității asupra privatizării încăperilor nelocuibile”.</w:t>
      </w:r>
    </w:p>
  </w:footnote>
  <w:footnote w:id="9">
    <w:p w14:paraId="18AE34C9" w14:textId="4015F6C0" w:rsidR="00753EA2" w:rsidRPr="00A671CB" w:rsidRDefault="00753EA2" w:rsidP="00A671CB">
      <w:pPr>
        <w:pStyle w:val="a3"/>
        <w:jc w:val="both"/>
        <w:rPr>
          <w:rFonts w:ascii="Times New Roman" w:hAnsi="Times New Roman" w:cs="Times New Roman"/>
          <w:sz w:val="16"/>
          <w:szCs w:val="16"/>
        </w:rPr>
      </w:pPr>
      <w:r w:rsidRPr="00A671CB">
        <w:rPr>
          <w:rStyle w:val="a5"/>
          <w:rFonts w:ascii="Times New Roman" w:hAnsi="Times New Roman" w:cs="Times New Roman"/>
          <w:sz w:val="16"/>
          <w:szCs w:val="16"/>
        </w:rPr>
        <w:footnoteRef/>
      </w:r>
      <w:r w:rsidRPr="00A671CB">
        <w:rPr>
          <w:rFonts w:ascii="Times New Roman" w:hAnsi="Times New Roman" w:cs="Times New Roman"/>
          <w:sz w:val="16"/>
          <w:szCs w:val="16"/>
        </w:rPr>
        <w:t xml:space="preserve"> </w:t>
      </w:r>
      <w:r>
        <w:rPr>
          <w:rFonts w:ascii="Times New Roman" w:eastAsia="Times New Roman" w:hAnsi="Times New Roman" w:cs="Times New Roman"/>
          <w:color w:val="000000"/>
          <w:sz w:val="16"/>
          <w:szCs w:val="16"/>
        </w:rPr>
        <w:t xml:space="preserve">DGACG, BA, </w:t>
      </w:r>
      <w:r w:rsidRPr="00A671CB">
        <w:rPr>
          <w:rFonts w:ascii="Times New Roman" w:eastAsia="Times New Roman" w:hAnsi="Times New Roman" w:cs="Times New Roman"/>
          <w:color w:val="000000"/>
          <w:sz w:val="16"/>
          <w:szCs w:val="16"/>
        </w:rPr>
        <w:t>I.P. „Pensiunea din Holercani” și I.P. „Palatul Republicii”.</w:t>
      </w:r>
    </w:p>
  </w:footnote>
  <w:footnote w:id="10">
    <w:p w14:paraId="3AF79C49" w14:textId="46FFB0BA" w:rsidR="00753EA2" w:rsidRPr="00A57EC9" w:rsidRDefault="00753EA2" w:rsidP="008912A3">
      <w:pPr>
        <w:pStyle w:val="a3"/>
        <w:jc w:val="both"/>
        <w:rPr>
          <w:rFonts w:ascii="Times New Roman" w:hAnsi="Times New Roman" w:cs="Times New Roman"/>
          <w:sz w:val="16"/>
          <w:szCs w:val="16"/>
        </w:rPr>
      </w:pPr>
      <w:r w:rsidRPr="00A57EC9">
        <w:rPr>
          <w:rStyle w:val="a5"/>
          <w:rFonts w:ascii="Times New Roman" w:hAnsi="Times New Roman" w:cs="Times New Roman"/>
          <w:sz w:val="16"/>
          <w:szCs w:val="16"/>
        </w:rPr>
        <w:footnoteRef/>
      </w:r>
      <w:r w:rsidRPr="00A57EC9">
        <w:rPr>
          <w:rFonts w:ascii="Times New Roman" w:hAnsi="Times New Roman" w:cs="Times New Roman"/>
          <w:sz w:val="16"/>
          <w:szCs w:val="16"/>
        </w:rPr>
        <w:t xml:space="preserve"> Art. 31 din Legea nr. 136 din 07.07.2017 cu privire la Guvern</w:t>
      </w:r>
      <w:r>
        <w:rPr>
          <w:rFonts w:ascii="Times New Roman" w:hAnsi="Times New Roman" w:cs="Times New Roman"/>
          <w:sz w:val="16"/>
          <w:szCs w:val="16"/>
        </w:rPr>
        <w:t xml:space="preserve">, Legea nr. 98 din 04.05.2012 </w:t>
      </w:r>
      <w:r w:rsidRPr="00306C8A">
        <w:rPr>
          <w:rFonts w:ascii="Times New Roman" w:hAnsi="Times New Roman" w:cs="Times New Roman"/>
          <w:sz w:val="16"/>
          <w:szCs w:val="16"/>
        </w:rPr>
        <w:t>privind administrația publică centrală de specialitate</w:t>
      </w:r>
      <w:r>
        <w:rPr>
          <w:rFonts w:ascii="Times New Roman" w:hAnsi="Times New Roman" w:cs="Times New Roman"/>
          <w:sz w:val="16"/>
          <w:szCs w:val="16"/>
        </w:rPr>
        <w:t>, HG nr.610 din 03.07.2018 „P</w:t>
      </w:r>
      <w:r w:rsidRPr="00306C8A">
        <w:rPr>
          <w:rFonts w:ascii="Times New Roman" w:hAnsi="Times New Roman" w:cs="Times New Roman"/>
          <w:sz w:val="16"/>
          <w:szCs w:val="16"/>
        </w:rPr>
        <w:t>entru aprobarea Regulamentului Guvernului</w:t>
      </w:r>
      <w:r>
        <w:rPr>
          <w:rFonts w:ascii="Times New Roman" w:hAnsi="Times New Roman" w:cs="Times New Roman"/>
          <w:sz w:val="16"/>
          <w:szCs w:val="16"/>
        </w:rPr>
        <w:t>”, HG nr.657 din 06.11.2009 „P</w:t>
      </w:r>
      <w:r w:rsidRPr="00306C8A">
        <w:rPr>
          <w:rFonts w:ascii="Times New Roman" w:hAnsi="Times New Roman" w:cs="Times New Roman"/>
          <w:sz w:val="16"/>
          <w:szCs w:val="16"/>
        </w:rPr>
        <w:t>entru aprobarea Regulamentului privind organizarea și funcționarea,</w:t>
      </w:r>
      <w:r>
        <w:rPr>
          <w:rFonts w:ascii="Times New Roman" w:hAnsi="Times New Roman" w:cs="Times New Roman"/>
          <w:sz w:val="16"/>
          <w:szCs w:val="16"/>
        </w:rPr>
        <w:t xml:space="preserve"> </w:t>
      </w:r>
      <w:r w:rsidRPr="00306C8A">
        <w:rPr>
          <w:rFonts w:ascii="Times New Roman" w:hAnsi="Times New Roman" w:cs="Times New Roman"/>
          <w:sz w:val="16"/>
          <w:szCs w:val="16"/>
        </w:rPr>
        <w:t>structurii și efectivului-limită ale Cancelariei de Stat</w:t>
      </w:r>
      <w:r>
        <w:rPr>
          <w:rFonts w:ascii="Times New Roman" w:hAnsi="Times New Roman" w:cs="Times New Roman"/>
          <w:sz w:val="16"/>
          <w:szCs w:val="16"/>
        </w:rPr>
        <w:t>”.</w:t>
      </w:r>
    </w:p>
  </w:footnote>
  <w:footnote w:id="11">
    <w:p w14:paraId="48337562" w14:textId="2B8E0AF1" w:rsidR="00753EA2" w:rsidRPr="00A57EC9" w:rsidRDefault="00753EA2" w:rsidP="008912A3">
      <w:pPr>
        <w:pStyle w:val="a3"/>
        <w:jc w:val="both"/>
        <w:rPr>
          <w:rFonts w:ascii="Times New Roman" w:hAnsi="Times New Roman" w:cs="Times New Roman"/>
          <w:sz w:val="16"/>
          <w:szCs w:val="16"/>
        </w:rPr>
      </w:pPr>
      <w:r w:rsidRPr="00A57EC9">
        <w:rPr>
          <w:rStyle w:val="a5"/>
          <w:rFonts w:ascii="Times New Roman" w:hAnsi="Times New Roman" w:cs="Times New Roman"/>
          <w:sz w:val="16"/>
          <w:szCs w:val="16"/>
        </w:rPr>
        <w:footnoteRef/>
      </w:r>
      <w:r w:rsidRPr="00A57EC9">
        <w:rPr>
          <w:rFonts w:ascii="Times New Roman" w:hAnsi="Times New Roman" w:cs="Times New Roman"/>
          <w:sz w:val="16"/>
          <w:szCs w:val="16"/>
        </w:rPr>
        <w:t xml:space="preserve"> HG nr. 657 din 06.11.2009 </w:t>
      </w:r>
      <w:r>
        <w:rPr>
          <w:rFonts w:ascii="Times New Roman" w:hAnsi="Times New Roman" w:cs="Times New Roman"/>
          <w:sz w:val="16"/>
          <w:szCs w:val="16"/>
        </w:rPr>
        <w:t>„P</w:t>
      </w:r>
      <w:r w:rsidRPr="00A57EC9">
        <w:rPr>
          <w:rFonts w:ascii="Times New Roman" w:hAnsi="Times New Roman" w:cs="Times New Roman"/>
          <w:sz w:val="16"/>
          <w:szCs w:val="16"/>
        </w:rPr>
        <w:t>entru aprobarea Regulamentului privind organizarea și funcționarea, structurii și efectivului-limită ale Cancelariei de Stat</w:t>
      </w:r>
      <w:r>
        <w:rPr>
          <w:rFonts w:ascii="Times New Roman" w:hAnsi="Times New Roman" w:cs="Times New Roman"/>
          <w:sz w:val="16"/>
          <w:szCs w:val="16"/>
        </w:rPr>
        <w:t>”</w:t>
      </w:r>
      <w:r w:rsidRPr="00A57EC9">
        <w:rPr>
          <w:rFonts w:ascii="Times New Roman" w:hAnsi="Times New Roman" w:cs="Times New Roman"/>
          <w:sz w:val="16"/>
          <w:szCs w:val="16"/>
        </w:rPr>
        <w:t>.</w:t>
      </w:r>
    </w:p>
  </w:footnote>
  <w:footnote w:id="12">
    <w:p w14:paraId="792B1AC6" w14:textId="3286A1BD" w:rsidR="00753EA2" w:rsidRDefault="00753EA2" w:rsidP="008912A3">
      <w:pPr>
        <w:pStyle w:val="a3"/>
        <w:jc w:val="both"/>
      </w:pPr>
      <w:r w:rsidRPr="00A57EC9">
        <w:rPr>
          <w:rStyle w:val="a5"/>
          <w:rFonts w:ascii="Times New Roman" w:hAnsi="Times New Roman" w:cs="Times New Roman"/>
          <w:sz w:val="16"/>
          <w:szCs w:val="16"/>
        </w:rPr>
        <w:footnoteRef/>
      </w:r>
      <w:r w:rsidRPr="00A57EC9">
        <w:rPr>
          <w:rFonts w:ascii="Times New Roman" w:hAnsi="Times New Roman" w:cs="Times New Roman"/>
          <w:sz w:val="16"/>
          <w:szCs w:val="16"/>
        </w:rPr>
        <w:t xml:space="preserve"> Pe parcursul desfășurării misiunii de audit, efectivul-limită a</w:t>
      </w:r>
      <w:r>
        <w:rPr>
          <w:rFonts w:ascii="Times New Roman" w:hAnsi="Times New Roman" w:cs="Times New Roman"/>
          <w:sz w:val="16"/>
          <w:szCs w:val="16"/>
        </w:rPr>
        <w:t>l</w:t>
      </w:r>
      <w:r w:rsidRPr="00A57EC9">
        <w:rPr>
          <w:rFonts w:ascii="Times New Roman" w:hAnsi="Times New Roman" w:cs="Times New Roman"/>
          <w:sz w:val="16"/>
          <w:szCs w:val="16"/>
        </w:rPr>
        <w:t xml:space="preserve"> CS s-a majorat p</w:t>
      </w:r>
      <w:r>
        <w:rPr>
          <w:rFonts w:ascii="Times New Roman" w:hAnsi="Times New Roman" w:cs="Times New Roman"/>
          <w:sz w:val="16"/>
          <w:szCs w:val="16"/>
        </w:rPr>
        <w:t>â</w:t>
      </w:r>
      <w:r w:rsidRPr="00A57EC9">
        <w:rPr>
          <w:rFonts w:ascii="Times New Roman" w:hAnsi="Times New Roman" w:cs="Times New Roman"/>
          <w:sz w:val="16"/>
          <w:szCs w:val="16"/>
        </w:rPr>
        <w:t xml:space="preserve">nă la 281 </w:t>
      </w:r>
      <w:r>
        <w:rPr>
          <w:rFonts w:ascii="Times New Roman" w:hAnsi="Times New Roman" w:cs="Times New Roman"/>
          <w:sz w:val="16"/>
          <w:szCs w:val="16"/>
        </w:rPr>
        <w:t xml:space="preserve">de </w:t>
      </w:r>
      <w:r w:rsidRPr="00A57EC9">
        <w:rPr>
          <w:rFonts w:ascii="Times New Roman" w:hAnsi="Times New Roman" w:cs="Times New Roman"/>
          <w:sz w:val="16"/>
          <w:szCs w:val="16"/>
        </w:rPr>
        <w:t xml:space="preserve">unități </w:t>
      </w:r>
      <w:r>
        <w:rPr>
          <w:rFonts w:ascii="Times New Roman" w:hAnsi="Times New Roman" w:cs="Times New Roman"/>
          <w:sz w:val="16"/>
          <w:szCs w:val="16"/>
        </w:rPr>
        <w:t xml:space="preserve">ca </w:t>
      </w:r>
      <w:r w:rsidRPr="00A57EC9">
        <w:rPr>
          <w:rFonts w:ascii="Times New Roman" w:hAnsi="Times New Roman" w:cs="Times New Roman"/>
          <w:sz w:val="16"/>
          <w:szCs w:val="16"/>
        </w:rPr>
        <w:t xml:space="preserve">urmare </w:t>
      </w:r>
      <w:r>
        <w:rPr>
          <w:rFonts w:ascii="Times New Roman" w:hAnsi="Times New Roman" w:cs="Times New Roman"/>
          <w:sz w:val="16"/>
          <w:szCs w:val="16"/>
        </w:rPr>
        <w:t xml:space="preserve">a </w:t>
      </w:r>
      <w:r w:rsidRPr="00A57EC9">
        <w:rPr>
          <w:rFonts w:ascii="Times New Roman" w:hAnsi="Times New Roman" w:cs="Times New Roman"/>
          <w:sz w:val="16"/>
          <w:szCs w:val="16"/>
        </w:rPr>
        <w:t>reorganizării din 22.11.2023.</w:t>
      </w:r>
    </w:p>
  </w:footnote>
  <w:footnote w:id="13">
    <w:p w14:paraId="31BD29D7" w14:textId="1510ECF1" w:rsidR="00753EA2" w:rsidRPr="00A57EC9" w:rsidRDefault="00753EA2" w:rsidP="008912A3">
      <w:pPr>
        <w:pStyle w:val="a3"/>
        <w:jc w:val="both"/>
        <w:rPr>
          <w:rFonts w:ascii="Times New Roman" w:hAnsi="Times New Roman" w:cs="Times New Roman"/>
          <w:sz w:val="16"/>
          <w:szCs w:val="16"/>
        </w:rPr>
      </w:pPr>
      <w:r w:rsidRPr="00A57EC9">
        <w:rPr>
          <w:rStyle w:val="a5"/>
          <w:rFonts w:ascii="Times New Roman" w:hAnsi="Times New Roman" w:cs="Times New Roman"/>
          <w:sz w:val="16"/>
          <w:szCs w:val="16"/>
        </w:rPr>
        <w:footnoteRef/>
      </w:r>
      <w:r w:rsidRPr="00A57EC9">
        <w:rPr>
          <w:rFonts w:ascii="Times New Roman" w:hAnsi="Times New Roman" w:cs="Times New Roman"/>
          <w:sz w:val="16"/>
          <w:szCs w:val="16"/>
        </w:rPr>
        <w:t xml:space="preserve"> Din cele 8 I</w:t>
      </w:r>
      <w:r>
        <w:rPr>
          <w:rFonts w:ascii="Times New Roman" w:hAnsi="Times New Roman" w:cs="Times New Roman"/>
          <w:sz w:val="16"/>
          <w:szCs w:val="16"/>
        </w:rPr>
        <w:t>.</w:t>
      </w:r>
      <w:r w:rsidRPr="00A57EC9">
        <w:rPr>
          <w:rFonts w:ascii="Times New Roman" w:hAnsi="Times New Roman" w:cs="Times New Roman"/>
          <w:sz w:val="16"/>
          <w:szCs w:val="16"/>
        </w:rPr>
        <w:t>P</w:t>
      </w:r>
      <w:r>
        <w:rPr>
          <w:rFonts w:ascii="Times New Roman" w:hAnsi="Times New Roman" w:cs="Times New Roman"/>
          <w:sz w:val="16"/>
          <w:szCs w:val="16"/>
        </w:rPr>
        <w:t>.</w:t>
      </w:r>
      <w:r w:rsidRPr="00A57EC9">
        <w:rPr>
          <w:rFonts w:ascii="Times New Roman" w:hAnsi="Times New Roman" w:cs="Times New Roman"/>
          <w:sz w:val="16"/>
          <w:szCs w:val="16"/>
        </w:rPr>
        <w:t xml:space="preserve"> monitorizate de CS</w:t>
      </w:r>
      <w:r>
        <w:rPr>
          <w:rFonts w:ascii="Times New Roman" w:hAnsi="Times New Roman" w:cs="Times New Roman"/>
          <w:sz w:val="16"/>
          <w:szCs w:val="16"/>
        </w:rPr>
        <w:t>,</w:t>
      </w:r>
      <w:r w:rsidRPr="00A57EC9">
        <w:rPr>
          <w:rFonts w:ascii="Times New Roman" w:hAnsi="Times New Roman" w:cs="Times New Roman"/>
          <w:sz w:val="16"/>
          <w:szCs w:val="16"/>
        </w:rPr>
        <w:t xml:space="preserve"> doar patru au formate </w:t>
      </w:r>
      <w:r>
        <w:rPr>
          <w:rFonts w:ascii="Times New Roman" w:hAnsi="Times New Roman" w:cs="Times New Roman"/>
          <w:sz w:val="16"/>
          <w:szCs w:val="16"/>
        </w:rPr>
        <w:t>o</w:t>
      </w:r>
      <w:r w:rsidRPr="00A57EC9">
        <w:rPr>
          <w:rFonts w:ascii="Times New Roman" w:hAnsi="Times New Roman" w:cs="Times New Roman"/>
          <w:sz w:val="16"/>
          <w:szCs w:val="16"/>
        </w:rPr>
        <w:t>rgane de con</w:t>
      </w:r>
      <w:r>
        <w:rPr>
          <w:rFonts w:ascii="Times New Roman" w:hAnsi="Times New Roman" w:cs="Times New Roman"/>
          <w:sz w:val="16"/>
          <w:szCs w:val="16"/>
        </w:rPr>
        <w:t>d</w:t>
      </w:r>
      <w:r w:rsidRPr="00A57EC9">
        <w:rPr>
          <w:rFonts w:ascii="Times New Roman" w:hAnsi="Times New Roman" w:cs="Times New Roman"/>
          <w:sz w:val="16"/>
          <w:szCs w:val="16"/>
        </w:rPr>
        <w:t xml:space="preserve">ucere </w:t>
      </w:r>
      <w:r>
        <w:rPr>
          <w:rFonts w:ascii="Times New Roman" w:hAnsi="Times New Roman" w:cs="Times New Roman"/>
          <w:sz w:val="16"/>
          <w:szCs w:val="16"/>
        </w:rPr>
        <w:t>(c</w:t>
      </w:r>
      <w:r w:rsidRPr="00A57EC9">
        <w:rPr>
          <w:rFonts w:ascii="Times New Roman" w:hAnsi="Times New Roman" w:cs="Times New Roman"/>
          <w:sz w:val="16"/>
          <w:szCs w:val="16"/>
        </w:rPr>
        <w:t>onsilii</w:t>
      </w:r>
      <w:r>
        <w:rPr>
          <w:rFonts w:ascii="Times New Roman" w:hAnsi="Times New Roman" w:cs="Times New Roman"/>
          <w:sz w:val="16"/>
          <w:szCs w:val="16"/>
        </w:rPr>
        <w:t>).</w:t>
      </w:r>
    </w:p>
  </w:footnote>
  <w:footnote w:id="14">
    <w:p w14:paraId="30C338AF" w14:textId="7BD77F14" w:rsidR="00753EA2" w:rsidRPr="00A57EC9" w:rsidRDefault="00753EA2" w:rsidP="00690AB9">
      <w:pPr>
        <w:pStyle w:val="a3"/>
        <w:jc w:val="both"/>
        <w:rPr>
          <w:rFonts w:ascii="Times New Roman" w:hAnsi="Times New Roman" w:cs="Times New Roman"/>
          <w:sz w:val="16"/>
          <w:szCs w:val="16"/>
        </w:rPr>
      </w:pPr>
      <w:r w:rsidRPr="00A57EC9">
        <w:rPr>
          <w:rStyle w:val="a5"/>
          <w:rFonts w:ascii="Times New Roman" w:hAnsi="Times New Roman" w:cs="Times New Roman"/>
          <w:sz w:val="16"/>
          <w:szCs w:val="16"/>
        </w:rPr>
        <w:footnoteRef/>
      </w:r>
      <w:r w:rsidRPr="00A57EC9">
        <w:rPr>
          <w:rFonts w:ascii="Times New Roman" w:hAnsi="Times New Roman" w:cs="Times New Roman"/>
          <w:sz w:val="16"/>
          <w:szCs w:val="16"/>
        </w:rPr>
        <w:t xml:space="preserve"> În cadrul Proiectului „Modernizarea serviciilor guvernamentale” implementat în baza Acordul</w:t>
      </w:r>
      <w:r>
        <w:rPr>
          <w:rFonts w:ascii="Times New Roman" w:hAnsi="Times New Roman" w:cs="Times New Roman"/>
          <w:sz w:val="16"/>
          <w:szCs w:val="16"/>
        </w:rPr>
        <w:t>ui</w:t>
      </w:r>
      <w:r w:rsidRPr="00A57EC9">
        <w:rPr>
          <w:rFonts w:ascii="Times New Roman" w:hAnsi="Times New Roman" w:cs="Times New Roman"/>
          <w:sz w:val="16"/>
          <w:szCs w:val="16"/>
        </w:rPr>
        <w:t xml:space="preserve"> de finanțare dintre Republica Moldova şi Asociaţia Internaţională pentru Dezvoltare (</w:t>
      </w:r>
      <w:r>
        <w:rPr>
          <w:rFonts w:ascii="Times New Roman" w:hAnsi="Times New Roman" w:cs="Times New Roman"/>
          <w:sz w:val="16"/>
          <w:szCs w:val="16"/>
        </w:rPr>
        <w:t>nr.</w:t>
      </w:r>
      <w:r w:rsidRPr="00A57EC9">
        <w:rPr>
          <w:rFonts w:ascii="Times New Roman" w:hAnsi="Times New Roman" w:cs="Times New Roman"/>
          <w:sz w:val="16"/>
          <w:szCs w:val="16"/>
        </w:rPr>
        <w:t xml:space="preserve"> 6126-MD) și Acordul</w:t>
      </w:r>
      <w:r>
        <w:rPr>
          <w:rFonts w:ascii="Times New Roman" w:hAnsi="Times New Roman" w:cs="Times New Roman"/>
          <w:sz w:val="16"/>
          <w:szCs w:val="16"/>
        </w:rPr>
        <w:t>ui</w:t>
      </w:r>
      <w:r w:rsidRPr="00A57EC9">
        <w:rPr>
          <w:rFonts w:ascii="Times New Roman" w:hAnsi="Times New Roman" w:cs="Times New Roman"/>
          <w:sz w:val="16"/>
          <w:szCs w:val="16"/>
        </w:rPr>
        <w:t xml:space="preserve"> de împrumut dintre Republica Moldova şi Banca Internaţională pentru Reconstrucţie şi Dezvoltare (</w:t>
      </w:r>
      <w:r>
        <w:rPr>
          <w:rFonts w:ascii="Times New Roman" w:hAnsi="Times New Roman" w:cs="Times New Roman"/>
          <w:sz w:val="16"/>
          <w:szCs w:val="16"/>
        </w:rPr>
        <w:t>n</w:t>
      </w:r>
      <w:r w:rsidRPr="00A57EC9">
        <w:rPr>
          <w:rFonts w:ascii="Times New Roman" w:hAnsi="Times New Roman" w:cs="Times New Roman"/>
          <w:sz w:val="16"/>
          <w:szCs w:val="16"/>
        </w:rPr>
        <w:t>r.8774-MD), ratificate prin Legea nr.25 din 01.03.2018.</w:t>
      </w:r>
    </w:p>
  </w:footnote>
  <w:footnote w:id="15">
    <w:p w14:paraId="4C625070" w14:textId="13566D3B" w:rsidR="00753EA2" w:rsidRPr="0023191E" w:rsidRDefault="00753EA2" w:rsidP="00690AB9">
      <w:pPr>
        <w:pStyle w:val="a3"/>
        <w:jc w:val="both"/>
        <w:rPr>
          <w:sz w:val="16"/>
          <w:szCs w:val="16"/>
        </w:rPr>
      </w:pPr>
      <w:r w:rsidRPr="00A57EC9">
        <w:rPr>
          <w:rStyle w:val="a5"/>
          <w:rFonts w:ascii="Times New Roman" w:hAnsi="Times New Roman" w:cs="Times New Roman"/>
          <w:sz w:val="16"/>
          <w:szCs w:val="16"/>
        </w:rPr>
        <w:footnoteRef/>
      </w:r>
      <w:r w:rsidRPr="00A57EC9">
        <w:rPr>
          <w:rFonts w:ascii="Times New Roman" w:hAnsi="Times New Roman" w:cs="Times New Roman"/>
          <w:sz w:val="16"/>
          <w:szCs w:val="16"/>
        </w:rPr>
        <w:t xml:space="preserve"> </w:t>
      </w:r>
      <w:r w:rsidRPr="00A57EC9">
        <w:rPr>
          <w:rFonts w:ascii="Times New Roman" w:eastAsia="Times New Roman" w:hAnsi="Times New Roman" w:cs="Times New Roman"/>
          <w:color w:val="000000"/>
          <w:sz w:val="16"/>
          <w:szCs w:val="16"/>
        </w:rPr>
        <w:t>MCloud</w:t>
      </w:r>
      <w:r>
        <w:rPr>
          <w:rFonts w:ascii="Times New Roman" w:eastAsia="Times New Roman" w:hAnsi="Times New Roman" w:cs="Times New Roman"/>
          <w:color w:val="000000"/>
          <w:sz w:val="16"/>
          <w:szCs w:val="16"/>
        </w:rPr>
        <w:t xml:space="preserve"> –</w:t>
      </w:r>
      <w:r w:rsidRPr="00A57EC9">
        <w:rPr>
          <w:rFonts w:ascii="Times New Roman" w:eastAsia="Times New Roman" w:hAnsi="Times New Roman" w:cs="Times New Roman"/>
          <w:color w:val="000000"/>
          <w:sz w:val="16"/>
          <w:szCs w:val="16"/>
        </w:rPr>
        <w:t xml:space="preserve"> HG nr. 128/2014; Sistemul de telecomunicații al autorităților administrației publice – HG nr.840/2004; 3.</w:t>
      </w:r>
      <w:r w:rsidRPr="00A57EC9">
        <w:rPr>
          <w:rFonts w:ascii="Times New Roman" w:eastAsia="Times New Roman" w:hAnsi="Times New Roman" w:cs="Times New Roman"/>
          <w:color w:val="000000"/>
          <w:sz w:val="16"/>
          <w:szCs w:val="16"/>
        </w:rPr>
        <w:tab/>
        <w:t xml:space="preserve">Emiterea semnăturii electronice avansate calificate pentru subiecții declarării averii și a intereselor personale </w:t>
      </w:r>
      <w:r>
        <w:rPr>
          <w:rFonts w:ascii="Times New Roman" w:eastAsia="Times New Roman" w:hAnsi="Times New Roman" w:cs="Times New Roman"/>
          <w:color w:val="000000"/>
          <w:sz w:val="16"/>
          <w:szCs w:val="16"/>
        </w:rPr>
        <w:t>–</w:t>
      </w:r>
      <w:r w:rsidRPr="00A57EC9">
        <w:rPr>
          <w:rFonts w:ascii="Times New Roman" w:eastAsia="Times New Roman" w:hAnsi="Times New Roman" w:cs="Times New Roman"/>
          <w:color w:val="000000"/>
          <w:sz w:val="16"/>
          <w:szCs w:val="16"/>
        </w:rPr>
        <w:t xml:space="preserve"> HG nr. 673/2017; Consolidarea centrelor de date în sectorul public și administrare</w:t>
      </w:r>
      <w:r>
        <w:rPr>
          <w:rFonts w:ascii="Times New Roman" w:eastAsia="Times New Roman" w:hAnsi="Times New Roman" w:cs="Times New Roman"/>
          <w:color w:val="000000"/>
          <w:sz w:val="16"/>
          <w:szCs w:val="16"/>
        </w:rPr>
        <w:t>a</w:t>
      </w:r>
      <w:r w:rsidRPr="00A57EC9">
        <w:rPr>
          <w:rFonts w:ascii="Times New Roman" w:eastAsia="Times New Roman" w:hAnsi="Times New Roman" w:cs="Times New Roman"/>
          <w:color w:val="000000"/>
          <w:sz w:val="16"/>
          <w:szCs w:val="16"/>
        </w:rPr>
        <w:t xml:space="preserve"> sistemelor informaționale de stat </w:t>
      </w:r>
      <w:r>
        <w:rPr>
          <w:rFonts w:ascii="Times New Roman" w:eastAsia="Times New Roman" w:hAnsi="Times New Roman" w:cs="Times New Roman"/>
          <w:color w:val="000000"/>
          <w:sz w:val="16"/>
          <w:szCs w:val="16"/>
        </w:rPr>
        <w:t>–</w:t>
      </w:r>
      <w:r w:rsidRPr="00A57EC9">
        <w:rPr>
          <w:rFonts w:ascii="Times New Roman" w:eastAsia="Times New Roman" w:hAnsi="Times New Roman" w:cs="Times New Roman"/>
          <w:color w:val="000000"/>
          <w:sz w:val="16"/>
          <w:szCs w:val="16"/>
        </w:rPr>
        <w:t xml:space="preserve"> HG nr. 414/2018; Activitățile legate de înregistrarea animalelor și exploatațiilor, precum și de eliberarea formularului de identificare – HG nr. 700/2018 și Implementarea măsurilor necesare pentru asigurarea securității cibernetice la nivel guvernamental – HG nr.482/2020.</w:t>
      </w:r>
    </w:p>
  </w:footnote>
  <w:footnote w:id="16">
    <w:p w14:paraId="72B4C1BC" w14:textId="5BB961F1" w:rsidR="00753EA2" w:rsidRPr="00A57EC9" w:rsidRDefault="00753EA2" w:rsidP="00690AB9">
      <w:pPr>
        <w:pStyle w:val="a3"/>
        <w:jc w:val="both"/>
        <w:rPr>
          <w:rFonts w:ascii="Times New Roman" w:hAnsi="Times New Roman" w:cs="Times New Roman"/>
          <w:sz w:val="16"/>
          <w:szCs w:val="16"/>
        </w:rPr>
      </w:pPr>
      <w:r w:rsidRPr="00A57EC9">
        <w:rPr>
          <w:rStyle w:val="a5"/>
          <w:rFonts w:ascii="Times New Roman" w:hAnsi="Times New Roman" w:cs="Times New Roman"/>
          <w:sz w:val="16"/>
          <w:szCs w:val="16"/>
        </w:rPr>
        <w:footnoteRef/>
      </w:r>
      <w:r w:rsidRPr="00A57EC9">
        <w:rPr>
          <w:rFonts w:ascii="Times New Roman" w:hAnsi="Times New Roman" w:cs="Times New Roman"/>
          <w:sz w:val="16"/>
          <w:szCs w:val="16"/>
        </w:rPr>
        <w:t xml:space="preserve"> </w:t>
      </w:r>
      <w:r>
        <w:rPr>
          <w:rFonts w:ascii="Times New Roman" w:hAnsi="Times New Roman" w:cs="Times New Roman"/>
          <w:sz w:val="16"/>
          <w:szCs w:val="16"/>
          <w:lang w:val="ro-RO"/>
        </w:rPr>
        <w:t>A</w:t>
      </w:r>
      <w:r w:rsidRPr="00A57EC9">
        <w:rPr>
          <w:rFonts w:ascii="Times New Roman" w:hAnsi="Times New Roman" w:cs="Times New Roman"/>
          <w:sz w:val="16"/>
          <w:szCs w:val="16"/>
          <w:lang w:val="ro-RO"/>
        </w:rPr>
        <w:t>rt. 72 lit.(4) din Legea nr. 100 din 26.04.2001 privind actele de stare civilă prevede că „Formularele actelor şi certificatelor de stare civilă şi alte formulare necesare pentru înregistrarea actelor de stare civilă se confecționează centralizat, prin metodă tipografică, din contul mijloacelor bugetului de stat alocate de Guvern”</w:t>
      </w:r>
      <w:r>
        <w:rPr>
          <w:rFonts w:ascii="Times New Roman" w:hAnsi="Times New Roman" w:cs="Times New Roman"/>
          <w:sz w:val="16"/>
          <w:szCs w:val="16"/>
          <w:lang w:val="ro-RO"/>
        </w:rPr>
        <w:t>.</w:t>
      </w:r>
    </w:p>
  </w:footnote>
  <w:footnote w:id="17">
    <w:p w14:paraId="1B793C77" w14:textId="37EE0BCD" w:rsidR="00753EA2" w:rsidRPr="00A57EC9" w:rsidRDefault="00753EA2" w:rsidP="00690AB9">
      <w:pPr>
        <w:pStyle w:val="a3"/>
        <w:jc w:val="both"/>
        <w:rPr>
          <w:rFonts w:ascii="Times New Roman" w:hAnsi="Times New Roman" w:cs="Times New Roman"/>
        </w:rPr>
      </w:pPr>
      <w:r w:rsidRPr="00A57EC9">
        <w:rPr>
          <w:rStyle w:val="a5"/>
          <w:rFonts w:ascii="Times New Roman" w:hAnsi="Times New Roman" w:cs="Times New Roman"/>
          <w:sz w:val="16"/>
          <w:szCs w:val="16"/>
        </w:rPr>
        <w:footnoteRef/>
      </w:r>
      <w:r w:rsidRPr="00A57EC9">
        <w:rPr>
          <w:rFonts w:ascii="Times New Roman" w:hAnsi="Times New Roman" w:cs="Times New Roman"/>
          <w:sz w:val="16"/>
          <w:szCs w:val="16"/>
        </w:rPr>
        <w:t xml:space="preserve"> HG nr. 210 din 24.03.2014 </w:t>
      </w:r>
      <w:r>
        <w:rPr>
          <w:rFonts w:ascii="Times New Roman" w:hAnsi="Times New Roman" w:cs="Times New Roman"/>
          <w:sz w:val="16"/>
          <w:szCs w:val="16"/>
        </w:rPr>
        <w:t>„C</w:t>
      </w:r>
      <w:r w:rsidRPr="00A57EC9">
        <w:rPr>
          <w:rFonts w:ascii="Times New Roman" w:hAnsi="Times New Roman" w:cs="Times New Roman"/>
          <w:sz w:val="16"/>
          <w:szCs w:val="16"/>
        </w:rPr>
        <w:t>u privire la acordarea înlesnirilor la eliberarea actelor de identitate</w:t>
      </w:r>
      <w:r>
        <w:rPr>
          <w:rFonts w:ascii="Times New Roman" w:hAnsi="Times New Roman" w:cs="Times New Roman"/>
          <w:sz w:val="16"/>
          <w:szCs w:val="16"/>
        </w:rPr>
        <w:t>”</w:t>
      </w:r>
      <w:r w:rsidRPr="00A57EC9">
        <w:rPr>
          <w:rFonts w:ascii="Times New Roman" w:hAnsi="Times New Roman" w:cs="Times New Roman"/>
          <w:sz w:val="16"/>
          <w:szCs w:val="16"/>
        </w:rPr>
        <w:t>.</w:t>
      </w:r>
    </w:p>
  </w:footnote>
  <w:footnote w:id="18">
    <w:p w14:paraId="66B38DE0" w14:textId="77777777" w:rsidR="00753EA2" w:rsidRPr="009C6D60" w:rsidRDefault="00753EA2" w:rsidP="00690AB9">
      <w:pPr>
        <w:pStyle w:val="a3"/>
        <w:jc w:val="both"/>
        <w:rPr>
          <w:rFonts w:ascii="Times New Roman" w:hAnsi="Times New Roman" w:cs="Times New Roman"/>
          <w:sz w:val="16"/>
          <w:szCs w:val="16"/>
        </w:rPr>
      </w:pPr>
      <w:r w:rsidRPr="009C6D60">
        <w:rPr>
          <w:rStyle w:val="a5"/>
          <w:rFonts w:ascii="Times New Roman" w:hAnsi="Times New Roman" w:cs="Times New Roman"/>
          <w:sz w:val="16"/>
          <w:szCs w:val="16"/>
        </w:rPr>
        <w:footnoteRef/>
      </w:r>
      <w:r w:rsidRPr="009C6D60">
        <w:rPr>
          <w:rFonts w:ascii="Times New Roman" w:hAnsi="Times New Roman" w:cs="Times New Roman"/>
          <w:sz w:val="16"/>
          <w:szCs w:val="16"/>
        </w:rPr>
        <w:t xml:space="preserve"> Ordinul MF nr. 45 din 09.03.2021 privind modificarea și completarea Cerințelor la întocmirea Raportului narativ privind executarea bugetelor autorităților/instituțiilor bugetare, aprobat prin Ordinul ministrului finanțelor nr.164 din 30 decembrie 2016.</w:t>
      </w:r>
    </w:p>
  </w:footnote>
  <w:footnote w:id="19">
    <w:p w14:paraId="40F49B8E" w14:textId="0B21E4D9" w:rsidR="00753EA2" w:rsidRPr="009C6D60" w:rsidRDefault="00753EA2" w:rsidP="009C6D60">
      <w:pPr>
        <w:pStyle w:val="a3"/>
        <w:jc w:val="both"/>
        <w:rPr>
          <w:rFonts w:ascii="Times New Roman" w:hAnsi="Times New Roman" w:cs="Times New Roman"/>
          <w:sz w:val="16"/>
          <w:szCs w:val="16"/>
        </w:rPr>
      </w:pPr>
      <w:r w:rsidRPr="009C6D60">
        <w:rPr>
          <w:rStyle w:val="a5"/>
          <w:rFonts w:ascii="Times New Roman" w:hAnsi="Times New Roman" w:cs="Times New Roman"/>
          <w:sz w:val="16"/>
          <w:szCs w:val="16"/>
        </w:rPr>
        <w:footnoteRef/>
      </w:r>
      <w:r>
        <w:rPr>
          <w:rFonts w:ascii="Times New Roman" w:hAnsi="Times New Roman" w:cs="Times New Roman"/>
          <w:sz w:val="16"/>
          <w:szCs w:val="16"/>
        </w:rPr>
        <w:t xml:space="preserve"> În principal, descreșterea a</w:t>
      </w:r>
      <w:r w:rsidRPr="009C6D60">
        <w:rPr>
          <w:rFonts w:ascii="Times New Roman" w:hAnsi="Times New Roman" w:cs="Times New Roman"/>
          <w:sz w:val="16"/>
          <w:szCs w:val="16"/>
        </w:rPr>
        <w:t xml:space="preserve"> fost condiționată de majorarea uzurii mijloacelor fixe din bilanț precum și de faptul că în anul 2022 CS odată cu transmiterea I.P. „Academia de Administrare Publică” în subordinea I.P. „Universitatea de Stat din Moldova”, a transmis și</w:t>
      </w:r>
      <w:r>
        <w:rPr>
          <w:rFonts w:ascii="Times New Roman" w:hAnsi="Times New Roman" w:cs="Times New Roman"/>
          <w:sz w:val="16"/>
          <w:szCs w:val="16"/>
        </w:rPr>
        <w:t xml:space="preserve"> </w:t>
      </w:r>
      <w:r w:rsidRPr="009C6D60">
        <w:rPr>
          <w:rFonts w:ascii="Times New Roman" w:hAnsi="Times New Roman" w:cs="Times New Roman"/>
          <w:sz w:val="16"/>
          <w:szCs w:val="16"/>
        </w:rPr>
        <w:t xml:space="preserve">valoarea patrimoniului gestionat de instituție și înregistrat în contul de investiții în părți legate al autorității. </w:t>
      </w:r>
    </w:p>
  </w:footnote>
  <w:footnote w:id="20">
    <w:p w14:paraId="3A59C0D0" w14:textId="3868D314" w:rsidR="00753EA2" w:rsidRPr="00E22CCA" w:rsidRDefault="00753EA2" w:rsidP="00690AB9">
      <w:pPr>
        <w:pStyle w:val="a3"/>
        <w:jc w:val="both"/>
        <w:rPr>
          <w:rFonts w:ascii="Times New Roman" w:hAnsi="Times New Roman" w:cs="Times New Roman"/>
          <w:sz w:val="16"/>
          <w:szCs w:val="16"/>
        </w:rPr>
      </w:pPr>
      <w:r w:rsidRPr="00E22CCA">
        <w:rPr>
          <w:rStyle w:val="a5"/>
          <w:rFonts w:ascii="Times New Roman" w:hAnsi="Times New Roman" w:cs="Times New Roman"/>
          <w:sz w:val="16"/>
          <w:szCs w:val="16"/>
        </w:rPr>
        <w:footnoteRef/>
      </w:r>
      <w:r w:rsidRPr="00E22CCA">
        <w:rPr>
          <w:rFonts w:ascii="Times New Roman" w:hAnsi="Times New Roman" w:cs="Times New Roman"/>
          <w:sz w:val="16"/>
          <w:szCs w:val="16"/>
        </w:rPr>
        <w:t xml:space="preserve"> I</w:t>
      </w:r>
      <w:r>
        <w:rPr>
          <w:rFonts w:ascii="Times New Roman" w:hAnsi="Times New Roman" w:cs="Times New Roman"/>
          <w:sz w:val="16"/>
          <w:szCs w:val="16"/>
        </w:rPr>
        <w:t>.</w:t>
      </w:r>
      <w:r w:rsidRPr="00E22CCA">
        <w:rPr>
          <w:rFonts w:ascii="Times New Roman" w:hAnsi="Times New Roman" w:cs="Times New Roman"/>
          <w:sz w:val="16"/>
          <w:szCs w:val="16"/>
        </w:rPr>
        <w:t>P</w:t>
      </w:r>
      <w:r>
        <w:rPr>
          <w:rFonts w:ascii="Times New Roman" w:hAnsi="Times New Roman" w:cs="Times New Roman"/>
          <w:sz w:val="16"/>
          <w:szCs w:val="16"/>
        </w:rPr>
        <w:t>.</w:t>
      </w:r>
      <w:r w:rsidRPr="00E22CCA">
        <w:rPr>
          <w:rFonts w:ascii="Times New Roman" w:hAnsi="Times New Roman" w:cs="Times New Roman"/>
          <w:sz w:val="16"/>
          <w:szCs w:val="16"/>
        </w:rPr>
        <w:t xml:space="preserve"> </w:t>
      </w:r>
      <w:r>
        <w:rPr>
          <w:rFonts w:ascii="Times New Roman" w:hAnsi="Times New Roman" w:cs="Times New Roman"/>
          <w:sz w:val="16"/>
          <w:szCs w:val="16"/>
        </w:rPr>
        <w:t>„</w:t>
      </w:r>
      <w:r w:rsidRPr="00E22CCA">
        <w:rPr>
          <w:rFonts w:ascii="Times New Roman" w:hAnsi="Times New Roman" w:cs="Times New Roman"/>
          <w:sz w:val="16"/>
          <w:szCs w:val="16"/>
        </w:rPr>
        <w:t>Palatul Republicii</w:t>
      </w:r>
      <w:r>
        <w:rPr>
          <w:rFonts w:ascii="Times New Roman" w:hAnsi="Times New Roman" w:cs="Times New Roman"/>
          <w:sz w:val="16"/>
          <w:szCs w:val="16"/>
        </w:rPr>
        <w:t>”</w:t>
      </w:r>
      <w:r w:rsidRPr="00E22CCA">
        <w:rPr>
          <w:rFonts w:ascii="Times New Roman" w:hAnsi="Times New Roman" w:cs="Times New Roman"/>
          <w:sz w:val="16"/>
          <w:szCs w:val="16"/>
        </w:rPr>
        <w:t xml:space="preserve"> și I</w:t>
      </w:r>
      <w:r>
        <w:rPr>
          <w:rFonts w:ascii="Times New Roman" w:hAnsi="Times New Roman" w:cs="Times New Roman"/>
          <w:sz w:val="16"/>
          <w:szCs w:val="16"/>
        </w:rPr>
        <w:t>.</w:t>
      </w:r>
      <w:r w:rsidRPr="00E22CCA">
        <w:rPr>
          <w:rFonts w:ascii="Times New Roman" w:hAnsi="Times New Roman" w:cs="Times New Roman"/>
          <w:sz w:val="16"/>
          <w:szCs w:val="16"/>
        </w:rPr>
        <w:t>P</w:t>
      </w:r>
      <w:r>
        <w:rPr>
          <w:rFonts w:ascii="Times New Roman" w:hAnsi="Times New Roman" w:cs="Times New Roman"/>
          <w:sz w:val="16"/>
          <w:szCs w:val="16"/>
        </w:rPr>
        <w:t>.</w:t>
      </w:r>
      <w:r w:rsidRPr="00E22CCA">
        <w:rPr>
          <w:rFonts w:ascii="Times New Roman" w:hAnsi="Times New Roman" w:cs="Times New Roman"/>
          <w:sz w:val="16"/>
          <w:szCs w:val="16"/>
        </w:rPr>
        <w:t xml:space="preserve"> </w:t>
      </w:r>
      <w:r>
        <w:rPr>
          <w:rFonts w:ascii="Times New Roman" w:hAnsi="Times New Roman" w:cs="Times New Roman"/>
          <w:sz w:val="16"/>
          <w:szCs w:val="16"/>
        </w:rPr>
        <w:t>„</w:t>
      </w:r>
      <w:r w:rsidRPr="00E22CCA">
        <w:rPr>
          <w:rFonts w:ascii="Times New Roman" w:hAnsi="Times New Roman" w:cs="Times New Roman"/>
          <w:sz w:val="16"/>
          <w:szCs w:val="16"/>
        </w:rPr>
        <w:t>Baza Auto</w:t>
      </w:r>
      <w:r>
        <w:rPr>
          <w:rFonts w:ascii="Times New Roman" w:hAnsi="Times New Roman" w:cs="Times New Roman"/>
          <w:sz w:val="16"/>
          <w:szCs w:val="16"/>
        </w:rPr>
        <w:t xml:space="preserve"> a Cancelariei de Stat”</w:t>
      </w:r>
      <w:r w:rsidRPr="00E22CCA">
        <w:rPr>
          <w:rFonts w:ascii="Times New Roman" w:hAnsi="Times New Roman" w:cs="Times New Roman"/>
          <w:sz w:val="16"/>
          <w:szCs w:val="16"/>
        </w:rPr>
        <w:t>.</w:t>
      </w:r>
    </w:p>
  </w:footnote>
  <w:footnote w:id="21">
    <w:p w14:paraId="03D3D7E4" w14:textId="7641426E" w:rsidR="00753EA2" w:rsidRPr="003E2F47" w:rsidRDefault="00753EA2" w:rsidP="009C6D60">
      <w:pPr>
        <w:pStyle w:val="a3"/>
        <w:jc w:val="both"/>
        <w:rPr>
          <w:rFonts w:asciiTheme="majorHAnsi" w:hAnsiTheme="majorHAnsi" w:cstheme="majorHAnsi"/>
          <w:sz w:val="16"/>
          <w:szCs w:val="16"/>
        </w:rPr>
      </w:pPr>
      <w:r w:rsidRPr="009C6D60">
        <w:rPr>
          <w:rStyle w:val="a5"/>
          <w:rFonts w:ascii="Times New Roman" w:hAnsi="Times New Roman" w:cs="Times New Roman"/>
          <w:sz w:val="16"/>
          <w:szCs w:val="16"/>
        </w:rPr>
        <w:footnoteRef/>
      </w:r>
      <w:r>
        <w:rPr>
          <w:rFonts w:ascii="Times New Roman" w:hAnsi="Times New Roman" w:cs="Times New Roman"/>
          <w:sz w:val="16"/>
          <w:szCs w:val="16"/>
        </w:rPr>
        <w:t xml:space="preserve"> </w:t>
      </w:r>
      <w:r w:rsidRPr="000854D0">
        <w:rPr>
          <w:rFonts w:ascii="Times New Roman" w:hAnsi="Times New Roman" w:cs="Times New Roman"/>
          <w:sz w:val="16"/>
          <w:szCs w:val="16"/>
        </w:rPr>
        <w:t>Registrele operative privind evidența contractelor la finele anilor 2018, 2019, 2020, 2021</w:t>
      </w:r>
      <w:r>
        <w:rPr>
          <w:rFonts w:ascii="Times New Roman" w:hAnsi="Times New Roman" w:cs="Times New Roman"/>
          <w:sz w:val="16"/>
          <w:szCs w:val="16"/>
        </w:rPr>
        <w:t xml:space="preserve"> și</w:t>
      </w:r>
      <w:r w:rsidRPr="000854D0">
        <w:rPr>
          <w:rFonts w:ascii="Times New Roman" w:hAnsi="Times New Roman" w:cs="Times New Roman"/>
          <w:sz w:val="16"/>
          <w:szCs w:val="16"/>
        </w:rPr>
        <w:t xml:space="preserve"> 2022 ale CS și instituțiilor publice monitorizate prezentate echipei de audit.</w:t>
      </w:r>
    </w:p>
  </w:footnote>
  <w:footnote w:id="22">
    <w:p w14:paraId="244540A3" w14:textId="25C71951" w:rsidR="00753EA2" w:rsidRPr="00A57EC9" w:rsidRDefault="00753EA2" w:rsidP="00A57EC9">
      <w:pPr>
        <w:pStyle w:val="a3"/>
        <w:jc w:val="both"/>
        <w:rPr>
          <w:rFonts w:ascii="Times New Roman" w:hAnsi="Times New Roman" w:cs="Times New Roman"/>
          <w:sz w:val="16"/>
          <w:szCs w:val="16"/>
          <w:vertAlign w:val="superscript"/>
        </w:rPr>
      </w:pPr>
      <w:r w:rsidRPr="00A57EC9">
        <w:rPr>
          <w:rStyle w:val="a5"/>
          <w:rFonts w:ascii="Times New Roman" w:hAnsi="Times New Roman" w:cs="Times New Roman"/>
          <w:sz w:val="16"/>
          <w:szCs w:val="16"/>
        </w:rPr>
        <w:footnoteRef/>
      </w:r>
      <w:r w:rsidRPr="00A57EC9">
        <w:rPr>
          <w:rFonts w:ascii="Times New Roman" w:hAnsi="Times New Roman" w:cs="Times New Roman"/>
          <w:sz w:val="16"/>
          <w:szCs w:val="16"/>
          <w:vertAlign w:val="superscript"/>
        </w:rPr>
        <w:t xml:space="preserve"> </w:t>
      </w:r>
      <w:r w:rsidRPr="00A57EC9">
        <w:rPr>
          <w:rFonts w:ascii="Times New Roman" w:hAnsi="Times New Roman" w:cs="Times New Roman"/>
          <w:sz w:val="16"/>
          <w:szCs w:val="16"/>
        </w:rPr>
        <w:t>Hotărârea Curții de Conturi nr.2 din 24.01.2020 „Cu privire la Cadrul Declarațiilor Profesionale ale INTOSAI”.</w:t>
      </w:r>
    </w:p>
  </w:footnote>
  <w:footnote w:id="23">
    <w:p w14:paraId="505AA3B1" w14:textId="77777777" w:rsidR="00753EA2" w:rsidRPr="00044A5B" w:rsidRDefault="00753EA2" w:rsidP="003E4630">
      <w:pPr>
        <w:pStyle w:val="a3"/>
        <w:jc w:val="both"/>
        <w:rPr>
          <w:rFonts w:asciiTheme="majorHAnsi" w:hAnsiTheme="majorHAnsi" w:cstheme="majorHAnsi"/>
          <w:sz w:val="18"/>
          <w:szCs w:val="18"/>
        </w:rPr>
      </w:pPr>
      <w:r w:rsidRPr="00A57EC9">
        <w:rPr>
          <w:rStyle w:val="a5"/>
          <w:rFonts w:ascii="Times New Roman" w:hAnsi="Times New Roman" w:cs="Times New Roman"/>
          <w:sz w:val="16"/>
          <w:szCs w:val="16"/>
        </w:rPr>
        <w:footnoteRef/>
      </w:r>
      <w:r w:rsidRPr="00A57EC9">
        <w:rPr>
          <w:rFonts w:ascii="Times New Roman" w:hAnsi="Times New Roman" w:cs="Times New Roman"/>
          <w:sz w:val="16"/>
          <w:szCs w:val="16"/>
        </w:rPr>
        <w:t xml:space="preserve"> </w:t>
      </w:r>
      <w:r w:rsidRPr="00A57EC9">
        <w:rPr>
          <w:rFonts w:ascii="Times New Roman" w:eastAsia="Times New Roman" w:hAnsi="Times New Roman" w:cs="Times New Roman"/>
          <w:sz w:val="16"/>
          <w:szCs w:val="16"/>
          <w:lang w:val="ro-RO"/>
        </w:rPr>
        <w:t>Hotărârea Curții de Conturi nr.19 din 05.04.2019 „Cu privire la aprobarea Codului etic al Curții de Conturi”.</w:t>
      </w:r>
      <w:r w:rsidRPr="00A57EC9">
        <w:rPr>
          <w:rFonts w:ascii="Times New Roman" w:eastAsia="Times New Roman" w:hAnsi="Times New Roman" w:cs="Times New Roman"/>
          <w:sz w:val="18"/>
          <w:szCs w:val="18"/>
          <w:lang w:val="ro-RO"/>
        </w:rPr>
        <w:t xml:space="preserve"> </w:t>
      </w:r>
    </w:p>
  </w:footnote>
  <w:footnote w:id="24">
    <w:p w14:paraId="7A24AEE8" w14:textId="77777777" w:rsidR="00753EA2" w:rsidRPr="00A57EC9" w:rsidRDefault="00753EA2" w:rsidP="00624A63">
      <w:pPr>
        <w:pStyle w:val="a3"/>
        <w:jc w:val="both"/>
        <w:rPr>
          <w:rFonts w:ascii="Times New Roman" w:hAnsi="Times New Roman" w:cs="Times New Roman"/>
          <w:sz w:val="16"/>
          <w:szCs w:val="16"/>
        </w:rPr>
      </w:pPr>
      <w:r w:rsidRPr="00A57EC9">
        <w:rPr>
          <w:rStyle w:val="a5"/>
          <w:rFonts w:ascii="Times New Roman" w:hAnsi="Times New Roman" w:cs="Times New Roman"/>
          <w:sz w:val="16"/>
          <w:szCs w:val="16"/>
        </w:rPr>
        <w:footnoteRef/>
      </w:r>
      <w:r w:rsidRPr="00A57EC9">
        <w:rPr>
          <w:rFonts w:ascii="Times New Roman" w:hAnsi="Times New Roman" w:cs="Times New Roman"/>
          <w:sz w:val="16"/>
          <w:szCs w:val="16"/>
        </w:rPr>
        <w:t xml:space="preserve"> Planurile de acțiuni ale Guvernului implementate în perioada auditată, inclusiv din:  anii 2016-2018, aprobat prin HG 890/2016; anii 2019-2020, aprobat prin HG 420/2019; anii 2021-2022, aprobat prin HG 235/2021 și anii 2020-2023 aprobat prin HG 636/2019.</w:t>
      </w:r>
    </w:p>
  </w:footnote>
  <w:footnote w:id="25">
    <w:p w14:paraId="7906AB73" w14:textId="77777777" w:rsidR="00753EA2" w:rsidRPr="00695D3A" w:rsidRDefault="00753EA2" w:rsidP="00B73D05">
      <w:pPr>
        <w:pStyle w:val="a3"/>
        <w:jc w:val="both"/>
        <w:rPr>
          <w:rFonts w:ascii="Times New Roman" w:hAnsi="Times New Roman" w:cs="Times New Roman"/>
          <w:sz w:val="16"/>
          <w:szCs w:val="16"/>
        </w:rPr>
      </w:pPr>
      <w:r w:rsidRPr="00695D3A">
        <w:rPr>
          <w:rStyle w:val="a5"/>
          <w:rFonts w:ascii="Times New Roman" w:hAnsi="Times New Roman" w:cs="Times New Roman"/>
          <w:sz w:val="16"/>
          <w:szCs w:val="16"/>
        </w:rPr>
        <w:footnoteRef/>
      </w:r>
      <w:r w:rsidRPr="00695D3A">
        <w:rPr>
          <w:rFonts w:ascii="Times New Roman" w:hAnsi="Times New Roman" w:cs="Times New Roman"/>
          <w:sz w:val="16"/>
          <w:szCs w:val="16"/>
        </w:rPr>
        <w:t xml:space="preserve"> La situația din 31.12.2022 se atestă nevalorificarea </w:t>
      </w:r>
      <w:r>
        <w:rPr>
          <w:rFonts w:ascii="Times New Roman" w:hAnsi="Times New Roman" w:cs="Times New Roman"/>
          <w:sz w:val="16"/>
          <w:szCs w:val="16"/>
        </w:rPr>
        <w:t xml:space="preserve">mijloacelor bugetare precizate la următoarele categorii de cheltuieli: </w:t>
      </w:r>
      <w:r w:rsidRPr="00695D3A">
        <w:rPr>
          <w:rFonts w:ascii="Times New Roman" w:hAnsi="Times New Roman" w:cs="Times New Roman"/>
          <w:sz w:val="16"/>
          <w:szCs w:val="16"/>
        </w:rPr>
        <w:t>deplasări de serviciu peste hotare</w:t>
      </w:r>
      <w:r>
        <w:rPr>
          <w:rFonts w:ascii="Times New Roman" w:hAnsi="Times New Roman" w:cs="Times New Roman"/>
          <w:sz w:val="16"/>
          <w:szCs w:val="16"/>
        </w:rPr>
        <w:t xml:space="preserve"> (CS și BA), proiecte de investiții capitale și procurarea mijloacelor de transport (DGACG), </w:t>
      </w:r>
      <w:r w:rsidRPr="00695D3A">
        <w:rPr>
          <w:rFonts w:ascii="Times New Roman" w:hAnsi="Times New Roman" w:cs="Times New Roman"/>
          <w:sz w:val="16"/>
          <w:szCs w:val="16"/>
        </w:rPr>
        <w:t>achiziția bunurilor și serviciilor</w:t>
      </w:r>
      <w:r>
        <w:rPr>
          <w:rFonts w:ascii="Times New Roman" w:hAnsi="Times New Roman" w:cs="Times New Roman"/>
          <w:sz w:val="16"/>
          <w:szCs w:val="16"/>
        </w:rPr>
        <w:t xml:space="preserve"> (CS, DGACG, BA), i</w:t>
      </w:r>
      <w:r w:rsidRPr="00695D3A">
        <w:rPr>
          <w:rFonts w:ascii="Times New Roman" w:hAnsi="Times New Roman" w:cs="Times New Roman"/>
          <w:sz w:val="16"/>
          <w:szCs w:val="16"/>
        </w:rPr>
        <w:t>ndemnizațiile pentru incapacitatea temporară de muncă</w:t>
      </w:r>
      <w:r>
        <w:rPr>
          <w:rFonts w:ascii="Times New Roman" w:hAnsi="Times New Roman" w:cs="Times New Roman"/>
          <w:sz w:val="16"/>
          <w:szCs w:val="16"/>
        </w:rPr>
        <w:t xml:space="preserve"> (BA).</w:t>
      </w:r>
    </w:p>
  </w:footnote>
  <w:footnote w:id="26">
    <w:p w14:paraId="6B25CDE2" w14:textId="77777777" w:rsidR="00753EA2" w:rsidRPr="00BD0392" w:rsidRDefault="00753EA2" w:rsidP="00DF7451">
      <w:pPr>
        <w:pStyle w:val="a3"/>
        <w:jc w:val="both"/>
        <w:rPr>
          <w:sz w:val="16"/>
          <w:szCs w:val="16"/>
        </w:rPr>
      </w:pPr>
      <w:r w:rsidRPr="00045402">
        <w:rPr>
          <w:rStyle w:val="a5"/>
          <w:rFonts w:ascii="Times New Roman" w:hAnsi="Times New Roman" w:cs="Times New Roman"/>
          <w:sz w:val="16"/>
          <w:szCs w:val="16"/>
        </w:rPr>
        <w:footnoteRef/>
      </w:r>
      <w:r w:rsidRPr="00045402">
        <w:rPr>
          <w:rFonts w:ascii="Times New Roman" w:hAnsi="Times New Roman" w:cs="Times New Roman"/>
          <w:sz w:val="16"/>
          <w:szCs w:val="16"/>
        </w:rPr>
        <w:t xml:space="preserve"> Legea nr. 181 din 15.07.2014.</w:t>
      </w:r>
    </w:p>
  </w:footnote>
  <w:footnote w:id="27">
    <w:p w14:paraId="24583C1B" w14:textId="5CD9890F" w:rsidR="00753EA2" w:rsidRPr="00045402" w:rsidRDefault="00753EA2" w:rsidP="00DF7451">
      <w:pPr>
        <w:pStyle w:val="a3"/>
        <w:jc w:val="both"/>
        <w:rPr>
          <w:rFonts w:ascii="Times New Roman" w:hAnsi="Times New Roman" w:cs="Times New Roman"/>
        </w:rPr>
      </w:pPr>
      <w:r w:rsidRPr="00045402">
        <w:rPr>
          <w:rStyle w:val="a5"/>
          <w:rFonts w:ascii="Times New Roman" w:hAnsi="Times New Roman" w:cs="Times New Roman"/>
          <w:sz w:val="16"/>
          <w:szCs w:val="16"/>
        </w:rPr>
        <w:footnoteRef/>
      </w:r>
      <w:r w:rsidRPr="00045402">
        <w:rPr>
          <w:rFonts w:ascii="Times New Roman" w:hAnsi="Times New Roman" w:cs="Times New Roman"/>
          <w:sz w:val="16"/>
          <w:szCs w:val="16"/>
        </w:rPr>
        <w:t xml:space="preserve"> Noțiunile s</w:t>
      </w:r>
      <w:r>
        <w:rPr>
          <w:rFonts w:ascii="Times New Roman" w:hAnsi="Times New Roman" w:cs="Times New Roman"/>
          <w:sz w:val="16"/>
          <w:szCs w:val="16"/>
        </w:rPr>
        <w:t>u</w:t>
      </w:r>
      <w:r w:rsidRPr="00045402">
        <w:rPr>
          <w:rFonts w:ascii="Times New Roman" w:hAnsi="Times New Roman" w:cs="Times New Roman"/>
          <w:sz w:val="16"/>
          <w:szCs w:val="16"/>
        </w:rPr>
        <w:t xml:space="preserve">nt redate în partea incipientă a prezentului </w:t>
      </w:r>
      <w:r>
        <w:rPr>
          <w:rFonts w:ascii="Times New Roman" w:hAnsi="Times New Roman" w:cs="Times New Roman"/>
          <w:sz w:val="16"/>
          <w:szCs w:val="16"/>
        </w:rPr>
        <w:t xml:space="preserve">raport </w:t>
      </w:r>
      <w:r w:rsidRPr="00045402">
        <w:rPr>
          <w:rFonts w:ascii="Times New Roman" w:hAnsi="Times New Roman" w:cs="Times New Roman"/>
          <w:sz w:val="16"/>
          <w:szCs w:val="16"/>
        </w:rPr>
        <w:t>de audit.</w:t>
      </w:r>
    </w:p>
  </w:footnote>
  <w:footnote w:id="28">
    <w:p w14:paraId="5FCF19B6" w14:textId="248F9AC0" w:rsidR="00753EA2" w:rsidRPr="00045402" w:rsidRDefault="00753EA2" w:rsidP="00DF7451">
      <w:pPr>
        <w:pStyle w:val="a3"/>
        <w:jc w:val="both"/>
        <w:rPr>
          <w:rFonts w:ascii="Times New Roman" w:hAnsi="Times New Roman" w:cs="Times New Roman"/>
          <w:sz w:val="16"/>
          <w:szCs w:val="16"/>
        </w:rPr>
      </w:pPr>
      <w:r w:rsidRPr="00045402">
        <w:rPr>
          <w:rStyle w:val="a5"/>
          <w:rFonts w:ascii="Times New Roman" w:hAnsi="Times New Roman" w:cs="Times New Roman"/>
          <w:sz w:val="16"/>
          <w:szCs w:val="16"/>
        </w:rPr>
        <w:footnoteRef/>
      </w:r>
      <w:r w:rsidRPr="00045402">
        <w:rPr>
          <w:rFonts w:ascii="Times New Roman" w:hAnsi="Times New Roman" w:cs="Times New Roman"/>
          <w:sz w:val="16"/>
          <w:szCs w:val="16"/>
        </w:rPr>
        <w:t xml:space="preserve"> Prevăzută de S</w:t>
      </w:r>
      <w:r w:rsidRPr="00045402">
        <w:rPr>
          <w:rFonts w:ascii="Times New Roman" w:hAnsi="Times New Roman" w:cs="Times New Roman"/>
          <w:sz w:val="16"/>
          <w:szCs w:val="16"/>
          <w:lang w:val="ro-RO"/>
        </w:rPr>
        <w:t>etul metodologic privind elaborarea, aprobarea şi modificarea bugetului, a</w:t>
      </w:r>
      <w:r w:rsidRPr="00045402">
        <w:rPr>
          <w:rFonts w:ascii="Times New Roman" w:hAnsi="Times New Roman" w:cs="Times New Roman"/>
          <w:sz w:val="16"/>
          <w:szCs w:val="16"/>
        </w:rPr>
        <w:t xml:space="preserve">probat prin Ordinul </w:t>
      </w:r>
      <w:r>
        <w:rPr>
          <w:rFonts w:ascii="Times New Roman" w:hAnsi="Times New Roman" w:cs="Times New Roman"/>
          <w:sz w:val="16"/>
          <w:szCs w:val="16"/>
        </w:rPr>
        <w:t xml:space="preserve">MF </w:t>
      </w:r>
      <w:r w:rsidRPr="00045402">
        <w:rPr>
          <w:rFonts w:ascii="Times New Roman" w:hAnsi="Times New Roman" w:cs="Times New Roman"/>
          <w:sz w:val="16"/>
          <w:szCs w:val="16"/>
        </w:rPr>
        <w:t>nr. 209 din 24.12.2015.</w:t>
      </w:r>
    </w:p>
  </w:footnote>
  <w:footnote w:id="29">
    <w:p w14:paraId="271A41C5" w14:textId="58ABC4E9" w:rsidR="00753EA2" w:rsidRPr="00045402" w:rsidRDefault="00753EA2" w:rsidP="00DF7451">
      <w:pPr>
        <w:pStyle w:val="a3"/>
        <w:jc w:val="both"/>
        <w:rPr>
          <w:rFonts w:ascii="Times New Roman" w:hAnsi="Times New Roman" w:cs="Times New Roman"/>
          <w:sz w:val="16"/>
          <w:szCs w:val="16"/>
        </w:rPr>
      </w:pPr>
      <w:r w:rsidRPr="00045402">
        <w:rPr>
          <w:rStyle w:val="a5"/>
          <w:rFonts w:ascii="Times New Roman" w:hAnsi="Times New Roman" w:cs="Times New Roman"/>
          <w:sz w:val="16"/>
          <w:szCs w:val="16"/>
        </w:rPr>
        <w:footnoteRef/>
      </w:r>
      <w:r w:rsidRPr="00045402">
        <w:rPr>
          <w:rFonts w:ascii="Times New Roman" w:hAnsi="Times New Roman" w:cs="Times New Roman"/>
          <w:sz w:val="16"/>
          <w:szCs w:val="16"/>
        </w:rPr>
        <w:t xml:space="preserve"> Formularul nr. 5 „Detalierea subvențiilor/granturilor conform Clasificației bugetare pe CS”.</w:t>
      </w:r>
    </w:p>
  </w:footnote>
  <w:footnote w:id="30">
    <w:p w14:paraId="3559F690" w14:textId="035E7859" w:rsidR="00753EA2" w:rsidRPr="00A92503" w:rsidRDefault="00753EA2" w:rsidP="00DF7451">
      <w:pPr>
        <w:pStyle w:val="a3"/>
        <w:jc w:val="both"/>
        <w:rPr>
          <w:rFonts w:ascii="Times New Roman" w:hAnsi="Times New Roman" w:cs="Times New Roman"/>
          <w:sz w:val="16"/>
          <w:szCs w:val="16"/>
        </w:rPr>
      </w:pPr>
      <w:r w:rsidRPr="00045402">
        <w:rPr>
          <w:rStyle w:val="a5"/>
          <w:rFonts w:ascii="Times New Roman" w:hAnsi="Times New Roman" w:cs="Times New Roman"/>
          <w:sz w:val="16"/>
          <w:szCs w:val="16"/>
        </w:rPr>
        <w:footnoteRef/>
      </w:r>
      <w:r w:rsidRPr="00045402">
        <w:rPr>
          <w:rFonts w:ascii="Times New Roman" w:hAnsi="Times New Roman" w:cs="Times New Roman"/>
          <w:sz w:val="16"/>
          <w:szCs w:val="16"/>
        </w:rPr>
        <w:t xml:space="preserve"> </w:t>
      </w:r>
      <w:r w:rsidRPr="00045402">
        <w:rPr>
          <w:rFonts w:ascii="Times New Roman" w:hAnsi="Times New Roman" w:cs="Times New Roman"/>
          <w:sz w:val="16"/>
          <w:szCs w:val="16"/>
          <w:lang w:val="pt-BR"/>
        </w:rPr>
        <w:t xml:space="preserve">Anexa nr. 1 „Informație cu privire la executarea subvențiilor acordate din buget” la Ordinul MF </w:t>
      </w:r>
      <w:r>
        <w:rPr>
          <w:rFonts w:ascii="Times New Roman" w:hAnsi="Times New Roman" w:cs="Times New Roman"/>
          <w:sz w:val="16"/>
          <w:szCs w:val="16"/>
          <w:lang w:val="pt-BR"/>
        </w:rPr>
        <w:t>nr.</w:t>
      </w:r>
      <w:r w:rsidRPr="00045402">
        <w:rPr>
          <w:rFonts w:ascii="Times New Roman" w:hAnsi="Times New Roman" w:cs="Times New Roman"/>
          <w:sz w:val="16"/>
          <w:szCs w:val="16"/>
          <w:lang w:val="pt-BR"/>
        </w:rPr>
        <w:t xml:space="preserve">164 din 30.12.2016 </w:t>
      </w:r>
      <w:r>
        <w:rPr>
          <w:rFonts w:ascii="Times New Roman" w:hAnsi="Times New Roman" w:cs="Times New Roman"/>
          <w:sz w:val="16"/>
          <w:szCs w:val="16"/>
          <w:lang w:val="pt-BR"/>
        </w:rPr>
        <w:t>„C</w:t>
      </w:r>
      <w:r w:rsidRPr="00045402">
        <w:rPr>
          <w:rFonts w:ascii="Times New Roman" w:hAnsi="Times New Roman" w:cs="Times New Roman"/>
          <w:sz w:val="16"/>
          <w:szCs w:val="16"/>
          <w:lang w:val="pt-BR"/>
        </w:rPr>
        <w:t>u privire la aprobarea Cerințelor la întocmirea Raportului narativ privind executarea bugetelor autorităților/instituților bugetare</w:t>
      </w:r>
      <w:r>
        <w:rPr>
          <w:rFonts w:ascii="Times New Roman" w:hAnsi="Times New Roman" w:cs="Times New Roman"/>
          <w:sz w:val="16"/>
          <w:szCs w:val="16"/>
          <w:lang w:val="pt-BR"/>
        </w:rPr>
        <w:t>”</w:t>
      </w:r>
      <w:r w:rsidRPr="00045402">
        <w:rPr>
          <w:rFonts w:ascii="Times New Roman" w:hAnsi="Times New Roman" w:cs="Times New Roman"/>
          <w:sz w:val="16"/>
          <w:szCs w:val="16"/>
          <w:lang w:val="pt-BR"/>
        </w:rPr>
        <w:t>.</w:t>
      </w:r>
    </w:p>
  </w:footnote>
  <w:footnote w:id="31">
    <w:p w14:paraId="6669073A" w14:textId="5AA3BA5D" w:rsidR="00753EA2" w:rsidRPr="00B04BC3" w:rsidRDefault="00753EA2" w:rsidP="00DF7451">
      <w:pPr>
        <w:pStyle w:val="a3"/>
        <w:jc w:val="both"/>
        <w:rPr>
          <w:rFonts w:ascii="Times New Roman" w:hAnsi="Times New Roman" w:cs="Times New Roman"/>
          <w:sz w:val="16"/>
          <w:szCs w:val="16"/>
        </w:rPr>
      </w:pPr>
      <w:r w:rsidRPr="00B04BC3">
        <w:rPr>
          <w:rStyle w:val="a5"/>
          <w:rFonts w:ascii="Times New Roman" w:hAnsi="Times New Roman" w:cs="Times New Roman"/>
          <w:sz w:val="16"/>
          <w:szCs w:val="16"/>
        </w:rPr>
        <w:footnoteRef/>
      </w:r>
      <w:r w:rsidRPr="00B04BC3">
        <w:rPr>
          <w:rFonts w:ascii="Times New Roman" w:hAnsi="Times New Roman" w:cs="Times New Roman"/>
          <w:sz w:val="16"/>
          <w:szCs w:val="16"/>
        </w:rPr>
        <w:t xml:space="preserve">Instituția are capacitatea de a realiza un anumit proiect? Țintele/obiectivele au o fundamentare financiar-economică? Actualitatea proiectului, încadrarea în obiectivele și acțiunile PAG. Entitatea dispune de o capacitate de cofinanțare sau urmează să fie utilizate doar </w:t>
      </w:r>
      <w:r>
        <w:rPr>
          <w:rFonts w:ascii="Times New Roman" w:hAnsi="Times New Roman" w:cs="Times New Roman"/>
          <w:sz w:val="16"/>
          <w:szCs w:val="16"/>
        </w:rPr>
        <w:t>re</w:t>
      </w:r>
      <w:r w:rsidRPr="00B04BC3">
        <w:rPr>
          <w:rFonts w:ascii="Times New Roman" w:hAnsi="Times New Roman" w:cs="Times New Roman"/>
          <w:sz w:val="16"/>
          <w:szCs w:val="16"/>
        </w:rPr>
        <w:t>sursele bugetare? Există o delimitare care activități urmează a fi finanțate din buget și care din sursele proprii? Existența obligativității monitorizării și evaluării rezultatelor obținute și raportate de donator/finanțator</w:t>
      </w:r>
      <w:r>
        <w:rPr>
          <w:rFonts w:ascii="Times New Roman" w:hAnsi="Times New Roman" w:cs="Times New Roman"/>
          <w:sz w:val="16"/>
          <w:szCs w:val="16"/>
        </w:rPr>
        <w:t>.</w:t>
      </w:r>
      <w:r w:rsidRPr="00B04BC3">
        <w:rPr>
          <w:rFonts w:ascii="Times New Roman" w:hAnsi="Times New Roman" w:cs="Times New Roman"/>
          <w:sz w:val="16"/>
          <w:szCs w:val="16"/>
        </w:rPr>
        <w:t xml:space="preserve"> Restricții privind finanțarea anumitor activități din proiect sau redirecționarea mijloacelor acordate; Existența unui act juridic civil (contract/acord) care ar legifera proiectul de grant, delimita responsabilitățile, termenele, sancțiunile ș.a.</w:t>
      </w:r>
    </w:p>
  </w:footnote>
  <w:footnote w:id="32">
    <w:p w14:paraId="003FAE71" w14:textId="043DCF8E" w:rsidR="00753EA2" w:rsidRPr="00B04BC3" w:rsidRDefault="00753EA2" w:rsidP="00DF7451">
      <w:pPr>
        <w:pStyle w:val="a3"/>
        <w:jc w:val="both"/>
        <w:rPr>
          <w:rFonts w:ascii="Times New Roman" w:hAnsi="Times New Roman" w:cs="Times New Roman"/>
          <w:sz w:val="16"/>
          <w:szCs w:val="16"/>
        </w:rPr>
      </w:pPr>
      <w:r w:rsidRPr="00B04BC3">
        <w:rPr>
          <w:rStyle w:val="a5"/>
          <w:rFonts w:ascii="Times New Roman" w:hAnsi="Times New Roman" w:cs="Times New Roman"/>
          <w:sz w:val="16"/>
          <w:szCs w:val="16"/>
        </w:rPr>
        <w:footnoteRef/>
      </w:r>
      <w:r w:rsidRPr="00B04BC3">
        <w:rPr>
          <w:rFonts w:ascii="Times New Roman" w:hAnsi="Times New Roman" w:cs="Times New Roman"/>
          <w:sz w:val="16"/>
          <w:szCs w:val="16"/>
        </w:rPr>
        <w:t xml:space="preserve"> Formularul nr. 9 „Solicitări de alocații, suplimentar la limitele stabilite”.</w:t>
      </w:r>
    </w:p>
  </w:footnote>
  <w:footnote w:id="33">
    <w:p w14:paraId="0B6C91D7" w14:textId="77777777" w:rsidR="00753EA2" w:rsidRPr="00B04BC3" w:rsidRDefault="00753EA2" w:rsidP="00161D23">
      <w:pPr>
        <w:pStyle w:val="a3"/>
        <w:jc w:val="both"/>
        <w:rPr>
          <w:rFonts w:ascii="Times New Roman" w:hAnsi="Times New Roman" w:cs="Times New Roman"/>
          <w:sz w:val="16"/>
          <w:szCs w:val="16"/>
        </w:rPr>
      </w:pPr>
      <w:r w:rsidRPr="00B04BC3">
        <w:rPr>
          <w:rStyle w:val="a5"/>
          <w:rFonts w:ascii="Times New Roman" w:hAnsi="Times New Roman" w:cs="Times New Roman"/>
          <w:sz w:val="16"/>
          <w:szCs w:val="16"/>
        </w:rPr>
        <w:footnoteRef/>
      </w:r>
      <w:r w:rsidRPr="00B04BC3">
        <w:rPr>
          <w:rFonts w:ascii="Times New Roman" w:hAnsi="Times New Roman" w:cs="Times New Roman"/>
          <w:sz w:val="16"/>
          <w:szCs w:val="16"/>
        </w:rPr>
        <w:t xml:space="preserve"> P</w:t>
      </w:r>
      <w:r>
        <w:rPr>
          <w:rFonts w:ascii="Times New Roman" w:hAnsi="Times New Roman" w:cs="Times New Roman"/>
          <w:sz w:val="16"/>
          <w:szCs w:val="16"/>
        </w:rPr>
        <w:t>c</w:t>
      </w:r>
      <w:r w:rsidRPr="00B04BC3">
        <w:rPr>
          <w:rFonts w:ascii="Times New Roman" w:hAnsi="Times New Roman" w:cs="Times New Roman"/>
          <w:sz w:val="16"/>
          <w:szCs w:val="16"/>
        </w:rPr>
        <w:t xml:space="preserve">t. </w:t>
      </w:r>
      <w:r w:rsidRPr="00580290">
        <w:rPr>
          <w:rFonts w:ascii="Times New Roman" w:hAnsi="Times New Roman" w:cs="Times New Roman"/>
          <w:sz w:val="16"/>
          <w:szCs w:val="16"/>
        </w:rPr>
        <w:t>3.2.40</w:t>
      </w:r>
      <w:r w:rsidRPr="00580290">
        <w:rPr>
          <w:rFonts w:ascii="Times New Roman" w:hAnsi="Times New Roman" w:cs="Times New Roman"/>
          <w:sz w:val="16"/>
          <w:szCs w:val="16"/>
          <w:vertAlign w:val="superscript"/>
        </w:rPr>
        <w:t xml:space="preserve">1 </w:t>
      </w:r>
      <w:r w:rsidRPr="00580290">
        <w:rPr>
          <w:rFonts w:ascii="Times New Roman" w:hAnsi="Times New Roman" w:cs="Times New Roman"/>
          <w:sz w:val="16"/>
          <w:szCs w:val="16"/>
        </w:rPr>
        <w:t xml:space="preserve">din </w:t>
      </w:r>
      <w:r>
        <w:rPr>
          <w:rFonts w:ascii="Times New Roman" w:hAnsi="Times New Roman" w:cs="Times New Roman"/>
          <w:sz w:val="16"/>
          <w:szCs w:val="16"/>
        </w:rPr>
        <w:t>O</w:t>
      </w:r>
      <w:r w:rsidRPr="00580290">
        <w:rPr>
          <w:rFonts w:ascii="Times New Roman" w:hAnsi="Times New Roman" w:cs="Times New Roman"/>
          <w:sz w:val="16"/>
          <w:szCs w:val="16"/>
        </w:rPr>
        <w:t xml:space="preserve">rdinul MF </w:t>
      </w:r>
      <w:r>
        <w:rPr>
          <w:rFonts w:ascii="Times New Roman" w:hAnsi="Times New Roman" w:cs="Times New Roman"/>
          <w:sz w:val="16"/>
          <w:szCs w:val="16"/>
        </w:rPr>
        <w:t>nr.</w:t>
      </w:r>
      <w:r w:rsidRPr="00580290">
        <w:rPr>
          <w:rFonts w:ascii="Times New Roman" w:hAnsi="Times New Roman" w:cs="Times New Roman"/>
          <w:sz w:val="16"/>
          <w:szCs w:val="16"/>
        </w:rPr>
        <w:t>216/2015 și pct. 77 și 80 din SNC „Capital propriu și datorii”.</w:t>
      </w:r>
    </w:p>
  </w:footnote>
  <w:footnote w:id="34">
    <w:p w14:paraId="5F238E8A" w14:textId="77777777" w:rsidR="00753EA2" w:rsidRPr="00871B83" w:rsidRDefault="00753EA2" w:rsidP="00161D23">
      <w:pPr>
        <w:pStyle w:val="a3"/>
        <w:jc w:val="both"/>
        <w:rPr>
          <w:sz w:val="16"/>
          <w:szCs w:val="16"/>
        </w:rPr>
      </w:pPr>
      <w:r w:rsidRPr="00B04BC3">
        <w:rPr>
          <w:rStyle w:val="a5"/>
          <w:rFonts w:ascii="Times New Roman" w:hAnsi="Times New Roman" w:cs="Times New Roman"/>
          <w:sz w:val="16"/>
          <w:szCs w:val="16"/>
        </w:rPr>
        <w:footnoteRef/>
      </w:r>
      <w:r w:rsidRPr="00B04BC3">
        <w:rPr>
          <w:rFonts w:ascii="Times New Roman" w:hAnsi="Times New Roman" w:cs="Times New Roman"/>
          <w:sz w:val="16"/>
          <w:szCs w:val="16"/>
        </w:rPr>
        <w:t xml:space="preserve"> Proiectul Modernizarea Serviciilor Guvernamentale în Republica Moldova a fost lansat la 25 iunie 2018 (Acord </w:t>
      </w:r>
      <w:r w:rsidRPr="00B04BC3">
        <w:rPr>
          <w:rFonts w:ascii="Times New Roman" w:hAnsi="Times New Roman" w:cs="Times New Roman"/>
          <w:iCs/>
          <w:color w:val="212121"/>
          <w:sz w:val="16"/>
          <w:szCs w:val="16"/>
          <w:shd w:val="clear" w:color="auto" w:fill="FFFFFF"/>
        </w:rPr>
        <w:t>de împrumut dintre RM și BIRD (Nr.8774-MD),</w:t>
      </w:r>
      <w:r w:rsidRPr="00B04BC3">
        <w:rPr>
          <w:rFonts w:ascii="Times New Roman" w:hAnsi="Times New Roman" w:cs="Times New Roman"/>
          <w:b/>
          <w:bCs/>
          <w:color w:val="212121"/>
          <w:sz w:val="16"/>
          <w:szCs w:val="16"/>
          <w:shd w:val="clear" w:color="auto" w:fill="FFFFFF"/>
        </w:rPr>
        <w:t> </w:t>
      </w:r>
      <w:r w:rsidRPr="00B04BC3">
        <w:rPr>
          <w:rFonts w:ascii="Times New Roman" w:hAnsi="Times New Roman" w:cs="Times New Roman"/>
          <w:color w:val="212121"/>
          <w:sz w:val="16"/>
          <w:szCs w:val="16"/>
          <w:shd w:val="clear" w:color="auto" w:fill="FFFFFF"/>
        </w:rPr>
        <w:t xml:space="preserve">ratificat prin Legea nr.25 din 01.03.2018) </w:t>
      </w:r>
      <w:r w:rsidRPr="00B04BC3">
        <w:rPr>
          <w:rFonts w:ascii="Times New Roman" w:hAnsi="Times New Roman" w:cs="Times New Roman"/>
          <w:sz w:val="16"/>
          <w:szCs w:val="16"/>
        </w:rPr>
        <w:t>cu o perioadă de implementare de 5 ani și include 3 componente</w:t>
      </w:r>
      <w:r>
        <w:rPr>
          <w:rFonts w:ascii="Times New Roman" w:hAnsi="Times New Roman" w:cs="Times New Roman"/>
          <w:sz w:val="16"/>
          <w:szCs w:val="16"/>
        </w:rPr>
        <w:t>-</w:t>
      </w:r>
      <w:r w:rsidRPr="00B04BC3">
        <w:rPr>
          <w:rFonts w:ascii="Times New Roman" w:hAnsi="Times New Roman" w:cs="Times New Roman"/>
          <w:sz w:val="16"/>
          <w:szCs w:val="16"/>
        </w:rPr>
        <w:t>cheie de implementare, inclusiv: Modernizarea serviciilor; Platforme și servicii digitale; Implementarea noului model</w:t>
      </w:r>
      <w:r w:rsidRPr="003535BE">
        <w:rPr>
          <w:rFonts w:ascii="Times New Roman" w:hAnsi="Times New Roman" w:cs="Times New Roman"/>
          <w:sz w:val="16"/>
          <w:szCs w:val="16"/>
        </w:rPr>
        <w:t>. Obiectivul de dezvoltare al proiectului finanțat din</w:t>
      </w:r>
      <w:r w:rsidRPr="00871B83">
        <w:rPr>
          <w:rFonts w:ascii="Times New Roman" w:hAnsi="Times New Roman" w:cs="Times New Roman"/>
          <w:sz w:val="16"/>
          <w:szCs w:val="16"/>
        </w:rPr>
        <w:t xml:space="preserve"> împrumutul acordat de Grupul Băncii Mondiale și contribuția Guvernului Moldovei este îmbunătățirea accesibilității, eficienței și calității furnizării serviciilor administrației publice, prin modernizarea centrată pe client/cetățean.</w:t>
      </w:r>
    </w:p>
  </w:footnote>
  <w:footnote w:id="35">
    <w:p w14:paraId="1B5874F5" w14:textId="77777777" w:rsidR="00753EA2" w:rsidRPr="00A57EC9" w:rsidRDefault="00753EA2" w:rsidP="00161D23">
      <w:pPr>
        <w:pStyle w:val="a3"/>
        <w:jc w:val="both"/>
        <w:rPr>
          <w:rFonts w:ascii="Times New Roman" w:hAnsi="Times New Roman" w:cs="Times New Roman"/>
          <w:sz w:val="16"/>
          <w:szCs w:val="16"/>
        </w:rPr>
      </w:pPr>
      <w:r w:rsidRPr="00A57EC9">
        <w:rPr>
          <w:rStyle w:val="a5"/>
          <w:rFonts w:ascii="Times New Roman" w:hAnsi="Times New Roman" w:cs="Times New Roman"/>
          <w:sz w:val="16"/>
          <w:szCs w:val="16"/>
        </w:rPr>
        <w:footnoteRef/>
      </w:r>
      <w:r w:rsidRPr="00A57EC9">
        <w:rPr>
          <w:rFonts w:ascii="Times New Roman" w:hAnsi="Times New Roman" w:cs="Times New Roman"/>
          <w:sz w:val="16"/>
          <w:szCs w:val="16"/>
        </w:rPr>
        <w:t xml:space="preserve"> La sfârșitul anului 2018 se înregistra un sold de – 7,8 mil. lei; sf. anului 2019 – 33,8 mil. lei; sf. anului 2020 – 32,9 mil.lei și sf. anului 2021 – 40,2 mil. lei.  </w:t>
      </w:r>
    </w:p>
  </w:footnote>
  <w:footnote w:id="36">
    <w:p w14:paraId="01ED622B" w14:textId="77777777" w:rsidR="00753EA2" w:rsidRPr="00A57EC9" w:rsidRDefault="00753EA2" w:rsidP="00161D23">
      <w:pPr>
        <w:pStyle w:val="a3"/>
        <w:jc w:val="both"/>
        <w:rPr>
          <w:rFonts w:ascii="Times New Roman" w:hAnsi="Times New Roman" w:cs="Times New Roman"/>
          <w:sz w:val="16"/>
          <w:szCs w:val="16"/>
        </w:rPr>
      </w:pPr>
      <w:r w:rsidRPr="00A57EC9">
        <w:rPr>
          <w:rStyle w:val="a5"/>
          <w:rFonts w:ascii="Times New Roman" w:hAnsi="Times New Roman" w:cs="Times New Roman"/>
          <w:sz w:val="16"/>
          <w:szCs w:val="16"/>
        </w:rPr>
        <w:footnoteRef/>
      </w:r>
      <w:r w:rsidRPr="00A57EC9">
        <w:rPr>
          <w:rFonts w:ascii="Times New Roman" w:hAnsi="Times New Roman" w:cs="Times New Roman"/>
          <w:sz w:val="16"/>
          <w:szCs w:val="16"/>
        </w:rPr>
        <w:t xml:space="preserve"> Pct. 35 din Anexa nr. 1 Statutul I</w:t>
      </w:r>
      <w:r>
        <w:rPr>
          <w:rFonts w:ascii="Times New Roman" w:hAnsi="Times New Roman" w:cs="Times New Roman"/>
          <w:sz w:val="16"/>
          <w:szCs w:val="16"/>
        </w:rPr>
        <w:t>.</w:t>
      </w:r>
      <w:r w:rsidRPr="00A57EC9">
        <w:rPr>
          <w:rFonts w:ascii="Times New Roman" w:hAnsi="Times New Roman" w:cs="Times New Roman"/>
          <w:sz w:val="16"/>
          <w:szCs w:val="16"/>
        </w:rPr>
        <w:t>P</w:t>
      </w:r>
      <w:r>
        <w:rPr>
          <w:rFonts w:ascii="Times New Roman" w:hAnsi="Times New Roman" w:cs="Times New Roman"/>
          <w:sz w:val="16"/>
          <w:szCs w:val="16"/>
        </w:rPr>
        <w:t>.</w:t>
      </w:r>
      <w:r w:rsidRPr="00A57EC9">
        <w:rPr>
          <w:rFonts w:ascii="Times New Roman" w:hAnsi="Times New Roman" w:cs="Times New Roman"/>
          <w:sz w:val="16"/>
          <w:szCs w:val="16"/>
        </w:rPr>
        <w:t xml:space="preserve"> „AGE” la HG 760/2010</w:t>
      </w:r>
      <w:r>
        <w:rPr>
          <w:rFonts w:ascii="Times New Roman" w:hAnsi="Times New Roman" w:cs="Times New Roman"/>
          <w:sz w:val="16"/>
          <w:szCs w:val="16"/>
        </w:rPr>
        <w:t>.</w:t>
      </w:r>
    </w:p>
  </w:footnote>
  <w:footnote w:id="37">
    <w:p w14:paraId="0ADBB416" w14:textId="77777777" w:rsidR="00753EA2" w:rsidRPr="00A57EC9" w:rsidRDefault="00753EA2" w:rsidP="00161D23">
      <w:pPr>
        <w:pStyle w:val="af0"/>
        <w:spacing w:after="0" w:line="276" w:lineRule="auto"/>
        <w:jc w:val="both"/>
        <w:rPr>
          <w:lang w:val="pt-BR"/>
        </w:rPr>
      </w:pPr>
      <w:r w:rsidRPr="00A57EC9">
        <w:rPr>
          <w:rStyle w:val="a5"/>
          <w:sz w:val="16"/>
          <w:szCs w:val="16"/>
        </w:rPr>
        <w:footnoteRef/>
      </w:r>
      <w:r w:rsidRPr="00A57EC9">
        <w:rPr>
          <w:sz w:val="16"/>
          <w:szCs w:val="16"/>
        </w:rPr>
        <w:t xml:space="preserve"> </w:t>
      </w:r>
      <w:r w:rsidRPr="00A57EC9">
        <w:rPr>
          <w:sz w:val="16"/>
          <w:szCs w:val="16"/>
          <w:lang w:val="pt-BR"/>
        </w:rPr>
        <w:t>Obligativitatea de a vira la buget la sfărșitul anului bugetar a soldului de mijloacele bugetare neutilizate este prestabilită și pentru I</w:t>
      </w:r>
      <w:r>
        <w:rPr>
          <w:sz w:val="16"/>
          <w:szCs w:val="16"/>
          <w:lang w:val="pt-BR"/>
        </w:rPr>
        <w:t>.</w:t>
      </w:r>
      <w:r w:rsidRPr="00A57EC9">
        <w:rPr>
          <w:sz w:val="16"/>
          <w:szCs w:val="16"/>
          <w:lang w:val="pt-BR"/>
        </w:rPr>
        <w:t>P</w:t>
      </w:r>
      <w:r>
        <w:rPr>
          <w:sz w:val="16"/>
          <w:szCs w:val="16"/>
          <w:lang w:val="pt-BR"/>
        </w:rPr>
        <w:t>.</w:t>
      </w:r>
      <w:r w:rsidRPr="00A57EC9">
        <w:rPr>
          <w:sz w:val="16"/>
          <w:szCs w:val="16"/>
          <w:lang w:val="pt-BR"/>
        </w:rPr>
        <w:t xml:space="preserve"> „Palatul Republicii” și IP„Pensiunea din Holercani”, însă urmare utilizării integrale de către instituții a sumelor acordate nu au fost înregistrate astfel de tranzacții.</w:t>
      </w:r>
    </w:p>
  </w:footnote>
  <w:footnote w:id="38">
    <w:p w14:paraId="299866C5" w14:textId="77777777" w:rsidR="00753EA2" w:rsidRPr="00E12AB0" w:rsidRDefault="00753EA2" w:rsidP="00161D23">
      <w:pPr>
        <w:pStyle w:val="a3"/>
        <w:jc w:val="both"/>
        <w:rPr>
          <w:rFonts w:cstheme="minorHAnsi"/>
          <w:sz w:val="16"/>
          <w:szCs w:val="16"/>
        </w:rPr>
      </w:pPr>
      <w:r w:rsidRPr="00A57EC9">
        <w:rPr>
          <w:rStyle w:val="a5"/>
          <w:rFonts w:ascii="Times New Roman" w:hAnsi="Times New Roman" w:cs="Times New Roman"/>
          <w:sz w:val="16"/>
          <w:szCs w:val="16"/>
        </w:rPr>
        <w:footnoteRef/>
      </w:r>
      <w:r w:rsidRPr="00A57EC9">
        <w:rPr>
          <w:rFonts w:ascii="Times New Roman" w:hAnsi="Times New Roman" w:cs="Times New Roman"/>
          <w:sz w:val="16"/>
          <w:szCs w:val="16"/>
        </w:rPr>
        <w:t xml:space="preserve"> Pct. 30 din Anexa nr. 1 </w:t>
      </w:r>
      <w:r>
        <w:rPr>
          <w:rFonts w:ascii="Times New Roman" w:hAnsi="Times New Roman" w:cs="Times New Roman"/>
          <w:sz w:val="16"/>
          <w:szCs w:val="16"/>
        </w:rPr>
        <w:t xml:space="preserve">la </w:t>
      </w:r>
      <w:r w:rsidRPr="00A57EC9">
        <w:rPr>
          <w:rFonts w:ascii="Times New Roman" w:hAnsi="Times New Roman" w:cs="Times New Roman"/>
          <w:sz w:val="16"/>
          <w:szCs w:val="16"/>
        </w:rPr>
        <w:t>Statutul I</w:t>
      </w:r>
      <w:r>
        <w:rPr>
          <w:rFonts w:ascii="Times New Roman" w:hAnsi="Times New Roman" w:cs="Times New Roman"/>
          <w:sz w:val="16"/>
          <w:szCs w:val="16"/>
        </w:rPr>
        <w:t>.</w:t>
      </w:r>
      <w:r w:rsidRPr="00A57EC9">
        <w:rPr>
          <w:rFonts w:ascii="Times New Roman" w:hAnsi="Times New Roman" w:cs="Times New Roman"/>
          <w:sz w:val="16"/>
          <w:szCs w:val="16"/>
        </w:rPr>
        <w:t>P</w:t>
      </w:r>
      <w:r>
        <w:rPr>
          <w:rFonts w:ascii="Times New Roman" w:hAnsi="Times New Roman" w:cs="Times New Roman"/>
          <w:sz w:val="16"/>
          <w:szCs w:val="16"/>
        </w:rPr>
        <w:t>.</w:t>
      </w:r>
      <w:r w:rsidRPr="00A57EC9">
        <w:rPr>
          <w:rFonts w:ascii="Times New Roman" w:hAnsi="Times New Roman" w:cs="Times New Roman"/>
          <w:sz w:val="16"/>
          <w:szCs w:val="16"/>
        </w:rPr>
        <w:t xml:space="preserve"> „STISC”</w:t>
      </w:r>
      <w:r>
        <w:rPr>
          <w:rFonts w:ascii="Times New Roman" w:hAnsi="Times New Roman" w:cs="Times New Roman"/>
          <w:sz w:val="16"/>
          <w:szCs w:val="16"/>
        </w:rPr>
        <w:t>, aprobat prin</w:t>
      </w:r>
      <w:r w:rsidRPr="00A57EC9">
        <w:rPr>
          <w:rFonts w:ascii="Times New Roman" w:hAnsi="Times New Roman" w:cs="Times New Roman"/>
          <w:sz w:val="16"/>
          <w:szCs w:val="16"/>
        </w:rPr>
        <w:t xml:space="preserve"> HG </w:t>
      </w:r>
      <w:r>
        <w:rPr>
          <w:rFonts w:ascii="Times New Roman" w:hAnsi="Times New Roman" w:cs="Times New Roman"/>
          <w:sz w:val="16"/>
          <w:szCs w:val="16"/>
        </w:rPr>
        <w:t>nr/</w:t>
      </w:r>
      <w:r w:rsidRPr="00A57EC9">
        <w:rPr>
          <w:rFonts w:ascii="Times New Roman" w:hAnsi="Times New Roman" w:cs="Times New Roman"/>
          <w:sz w:val="16"/>
          <w:szCs w:val="16"/>
        </w:rPr>
        <w:t>414/2018.</w:t>
      </w:r>
    </w:p>
  </w:footnote>
  <w:footnote w:id="39">
    <w:p w14:paraId="1E97900D" w14:textId="77777777" w:rsidR="00753EA2" w:rsidRPr="00A57EC9" w:rsidRDefault="00753EA2" w:rsidP="001A76A4">
      <w:pPr>
        <w:pStyle w:val="a3"/>
        <w:jc w:val="both"/>
        <w:rPr>
          <w:rFonts w:ascii="Times New Roman" w:hAnsi="Times New Roman" w:cs="Times New Roman"/>
          <w:sz w:val="16"/>
          <w:szCs w:val="16"/>
        </w:rPr>
      </w:pPr>
      <w:r w:rsidRPr="00A57EC9">
        <w:rPr>
          <w:rStyle w:val="a5"/>
          <w:rFonts w:ascii="Times New Roman" w:hAnsi="Times New Roman" w:cs="Times New Roman"/>
          <w:sz w:val="16"/>
          <w:szCs w:val="16"/>
        </w:rPr>
        <w:footnoteRef/>
      </w:r>
      <w:r w:rsidRPr="00A57EC9">
        <w:rPr>
          <w:rFonts w:ascii="Times New Roman" w:hAnsi="Times New Roman" w:cs="Times New Roman"/>
          <w:sz w:val="16"/>
          <w:szCs w:val="16"/>
        </w:rPr>
        <w:t xml:space="preserve"> </w:t>
      </w:r>
      <w:r w:rsidRPr="000C0180">
        <w:rPr>
          <w:rFonts w:ascii="Times New Roman" w:hAnsi="Times New Roman" w:cs="Times New Roman"/>
          <w:sz w:val="16"/>
          <w:szCs w:val="16"/>
        </w:rPr>
        <w:t xml:space="preserve">Dispozitivele HSM CryptoServer LAN V5 Se-Series Gen2 au fost procurate în anul 2020, iar Crypto Se1500 LAN V5 – </w:t>
      </w:r>
      <w:r w:rsidRPr="00731C56">
        <w:rPr>
          <w:rFonts w:ascii="Times New Roman" w:hAnsi="Times New Roman" w:cs="Times New Roman"/>
          <w:sz w:val="16"/>
          <w:szCs w:val="16"/>
        </w:rPr>
        <w:t>în anul 2022.</w:t>
      </w:r>
    </w:p>
  </w:footnote>
  <w:footnote w:id="40">
    <w:p w14:paraId="34BBB2B9" w14:textId="77777777" w:rsidR="00753EA2" w:rsidRPr="00FE7699" w:rsidRDefault="00753EA2" w:rsidP="001A76A4">
      <w:pPr>
        <w:pStyle w:val="a3"/>
        <w:jc w:val="both"/>
        <w:rPr>
          <w:sz w:val="16"/>
          <w:szCs w:val="16"/>
        </w:rPr>
      </w:pPr>
      <w:r w:rsidRPr="00A57EC9">
        <w:rPr>
          <w:rStyle w:val="a5"/>
          <w:rFonts w:ascii="Times New Roman" w:hAnsi="Times New Roman" w:cs="Times New Roman"/>
          <w:sz w:val="16"/>
          <w:szCs w:val="16"/>
        </w:rPr>
        <w:footnoteRef/>
      </w:r>
      <w:r w:rsidRPr="00A57EC9">
        <w:rPr>
          <w:rFonts w:ascii="Times New Roman" w:hAnsi="Times New Roman" w:cs="Times New Roman"/>
          <w:sz w:val="16"/>
          <w:szCs w:val="16"/>
        </w:rPr>
        <w:t xml:space="preserve"> Declarațiile vamale nr. 29160 din 24.11.2020 și nr. 35147 din 21.12.2022.</w:t>
      </w:r>
    </w:p>
  </w:footnote>
  <w:footnote w:id="41">
    <w:p w14:paraId="7266C890" w14:textId="63E4C486" w:rsidR="00753EA2" w:rsidRPr="00A6022F" w:rsidRDefault="00753EA2" w:rsidP="009B2D03">
      <w:pPr>
        <w:pStyle w:val="a3"/>
        <w:jc w:val="both"/>
        <w:rPr>
          <w:rFonts w:ascii="Times New Roman" w:hAnsi="Times New Roman" w:cs="Times New Roman"/>
          <w:sz w:val="16"/>
          <w:szCs w:val="16"/>
        </w:rPr>
      </w:pPr>
      <w:r w:rsidRPr="00A6022F">
        <w:rPr>
          <w:rStyle w:val="a5"/>
          <w:rFonts w:ascii="Times New Roman" w:hAnsi="Times New Roman" w:cs="Times New Roman"/>
          <w:sz w:val="16"/>
          <w:szCs w:val="16"/>
        </w:rPr>
        <w:footnoteRef/>
      </w:r>
      <w:r>
        <w:rPr>
          <w:rFonts w:ascii="Times New Roman" w:hAnsi="Times New Roman" w:cs="Times New Roman"/>
          <w:sz w:val="16"/>
          <w:szCs w:val="16"/>
        </w:rPr>
        <w:t xml:space="preserve"> Licitația</w:t>
      </w:r>
      <w:r w:rsidRPr="00A6022F">
        <w:rPr>
          <w:rFonts w:ascii="Times New Roman" w:hAnsi="Times New Roman" w:cs="Times New Roman"/>
          <w:sz w:val="16"/>
          <w:szCs w:val="16"/>
        </w:rPr>
        <w:t xml:space="preserve"> publică deschisă din 22.04.2019.</w:t>
      </w:r>
    </w:p>
  </w:footnote>
  <w:footnote w:id="42">
    <w:p w14:paraId="6C293E03" w14:textId="715BE788" w:rsidR="00753EA2" w:rsidRPr="00A6022F" w:rsidRDefault="00753EA2" w:rsidP="009B2D03">
      <w:pPr>
        <w:pStyle w:val="a3"/>
        <w:jc w:val="both"/>
        <w:rPr>
          <w:rFonts w:ascii="Times New Roman" w:hAnsi="Times New Roman" w:cs="Times New Roman"/>
          <w:sz w:val="16"/>
          <w:szCs w:val="16"/>
        </w:rPr>
      </w:pPr>
      <w:r w:rsidRPr="00A6022F">
        <w:rPr>
          <w:rStyle w:val="a5"/>
          <w:rFonts w:ascii="Times New Roman" w:hAnsi="Times New Roman" w:cs="Times New Roman"/>
          <w:sz w:val="16"/>
          <w:szCs w:val="16"/>
        </w:rPr>
        <w:footnoteRef/>
      </w:r>
      <w:r w:rsidRPr="00A6022F">
        <w:rPr>
          <w:rFonts w:ascii="Times New Roman" w:hAnsi="Times New Roman" w:cs="Times New Roman"/>
          <w:sz w:val="16"/>
          <w:szCs w:val="16"/>
        </w:rPr>
        <w:t xml:space="preserve"> </w:t>
      </w:r>
      <w:r w:rsidRPr="00A57EC9">
        <w:rPr>
          <w:rFonts w:ascii="Times New Roman" w:hAnsi="Times New Roman" w:cs="Times New Roman"/>
          <w:sz w:val="16"/>
          <w:szCs w:val="16"/>
        </w:rPr>
        <w:t>Act de predare în exploatare industrial</w:t>
      </w:r>
      <w:r>
        <w:rPr>
          <w:rFonts w:ascii="Times New Roman" w:hAnsi="Times New Roman" w:cs="Times New Roman"/>
          <w:sz w:val="16"/>
          <w:szCs w:val="16"/>
        </w:rPr>
        <w:t>ă</w:t>
      </w:r>
      <w:r w:rsidRPr="00A57EC9">
        <w:rPr>
          <w:rFonts w:ascii="Times New Roman" w:hAnsi="Times New Roman" w:cs="Times New Roman"/>
          <w:sz w:val="16"/>
          <w:szCs w:val="16"/>
        </w:rPr>
        <w:t xml:space="preserve"> din 02.06.2020, semnat de conducătorul instituției și doi manageri operaționali din cadrul STISC</w:t>
      </w:r>
      <w:r>
        <w:rPr>
          <w:rFonts w:ascii="Times New Roman" w:hAnsi="Times New Roman" w:cs="Times New Roman"/>
          <w:sz w:val="16"/>
          <w:szCs w:val="16"/>
        </w:rPr>
        <w:t>, care potrivit pct. 4.2.3. din Ordinul</w:t>
      </w:r>
      <w:r w:rsidRPr="001068FE">
        <w:rPr>
          <w:rFonts w:ascii="Times New Roman" w:hAnsi="Times New Roman" w:cs="Times New Roman"/>
          <w:sz w:val="16"/>
          <w:szCs w:val="16"/>
        </w:rPr>
        <w:t xml:space="preserve"> M</w:t>
      </w:r>
      <w:r>
        <w:rPr>
          <w:rFonts w:ascii="Times New Roman" w:hAnsi="Times New Roman" w:cs="Times New Roman"/>
          <w:sz w:val="16"/>
          <w:szCs w:val="16"/>
        </w:rPr>
        <w:t xml:space="preserve">inisterului Dezvoltării </w:t>
      </w:r>
      <w:r w:rsidRPr="001068FE">
        <w:rPr>
          <w:rFonts w:ascii="Times New Roman" w:hAnsi="Times New Roman" w:cs="Times New Roman"/>
          <w:sz w:val="16"/>
          <w:szCs w:val="16"/>
        </w:rPr>
        <w:t>I</w:t>
      </w:r>
      <w:r>
        <w:rPr>
          <w:rFonts w:ascii="Times New Roman" w:hAnsi="Times New Roman" w:cs="Times New Roman"/>
          <w:sz w:val="16"/>
          <w:szCs w:val="16"/>
        </w:rPr>
        <w:t xml:space="preserve">nformaționale nr. 78 din </w:t>
      </w:r>
      <w:r w:rsidRPr="001068FE">
        <w:rPr>
          <w:rFonts w:ascii="Times New Roman" w:hAnsi="Times New Roman" w:cs="Times New Roman"/>
          <w:sz w:val="16"/>
          <w:szCs w:val="16"/>
        </w:rPr>
        <w:t>2006</w:t>
      </w:r>
      <w:r>
        <w:rPr>
          <w:rFonts w:ascii="Times New Roman" w:hAnsi="Times New Roman" w:cs="Times New Roman"/>
          <w:sz w:val="16"/>
          <w:szCs w:val="16"/>
        </w:rPr>
        <w:t xml:space="preserve"> se întocmește la etapa de implementare a ciclului de viață a sistemului software, care include pregătirea și testarea aplicației nu și utilizarea acesteia în activitatea STISC.</w:t>
      </w:r>
    </w:p>
  </w:footnote>
  <w:footnote w:id="43">
    <w:p w14:paraId="053CE31E" w14:textId="77777777" w:rsidR="00753EA2" w:rsidRPr="008D3271" w:rsidRDefault="00753EA2" w:rsidP="009B2D03">
      <w:pPr>
        <w:pStyle w:val="a3"/>
        <w:jc w:val="both"/>
        <w:rPr>
          <w:rFonts w:ascii="Times New Roman" w:hAnsi="Times New Roman" w:cs="Times New Roman"/>
          <w:sz w:val="16"/>
          <w:szCs w:val="16"/>
        </w:rPr>
      </w:pPr>
      <w:r w:rsidRPr="00A57EC9">
        <w:rPr>
          <w:rStyle w:val="a5"/>
          <w:rFonts w:ascii="Times New Roman" w:hAnsi="Times New Roman" w:cs="Times New Roman"/>
          <w:sz w:val="16"/>
          <w:szCs w:val="16"/>
        </w:rPr>
        <w:footnoteRef/>
      </w:r>
      <w:r w:rsidRPr="00A57EC9">
        <w:rPr>
          <w:rFonts w:ascii="Times New Roman" w:hAnsi="Times New Roman" w:cs="Times New Roman"/>
          <w:sz w:val="16"/>
          <w:szCs w:val="16"/>
        </w:rPr>
        <w:t xml:space="preserve"> HG nr. 1140 din 20.12.2017 </w:t>
      </w:r>
      <w:r>
        <w:rPr>
          <w:rFonts w:ascii="Times New Roman" w:hAnsi="Times New Roman" w:cs="Times New Roman"/>
          <w:sz w:val="16"/>
          <w:szCs w:val="16"/>
        </w:rPr>
        <w:t>„P</w:t>
      </w:r>
      <w:r w:rsidRPr="00A57EC9">
        <w:rPr>
          <w:rFonts w:ascii="Times New Roman" w:hAnsi="Times New Roman" w:cs="Times New Roman"/>
          <w:sz w:val="16"/>
          <w:szCs w:val="16"/>
        </w:rPr>
        <w:t>entru aprobarea Regulamentului privind activitatea prestatorilor de servicii de certificare în domeniul aplicării semnăturii electronice</w:t>
      </w:r>
      <w:r>
        <w:rPr>
          <w:rFonts w:ascii="Times New Roman" w:hAnsi="Times New Roman" w:cs="Times New Roman"/>
          <w:sz w:val="16"/>
          <w:szCs w:val="16"/>
        </w:rPr>
        <w:t>”</w:t>
      </w:r>
      <w:r w:rsidRPr="00A57EC9">
        <w:rPr>
          <w:rFonts w:ascii="Times New Roman" w:hAnsi="Times New Roman" w:cs="Times New Roman"/>
          <w:sz w:val="16"/>
          <w:szCs w:val="16"/>
        </w:rPr>
        <w:t xml:space="preserve">; Ordinul SIS nr. 25 din </w:t>
      </w:r>
      <w:r w:rsidRPr="008D3271">
        <w:rPr>
          <w:rFonts w:ascii="Times New Roman" w:hAnsi="Times New Roman" w:cs="Times New Roman"/>
          <w:sz w:val="16"/>
          <w:szCs w:val="16"/>
        </w:rPr>
        <w:t xml:space="preserve">17.03.2017 </w:t>
      </w:r>
      <w:r>
        <w:rPr>
          <w:rFonts w:ascii="Times New Roman" w:hAnsi="Times New Roman" w:cs="Times New Roman"/>
          <w:sz w:val="16"/>
          <w:szCs w:val="16"/>
        </w:rPr>
        <w:t>„C</w:t>
      </w:r>
      <w:r w:rsidRPr="008D3271">
        <w:rPr>
          <w:rFonts w:ascii="Times New Roman" w:hAnsi="Times New Roman" w:cs="Times New Roman"/>
          <w:sz w:val="16"/>
          <w:szCs w:val="16"/>
        </w:rPr>
        <w:t>u privire la aprobarea Regulamentului privind procedura de avizare a dispozitivelor de creare și/sau verificare a semnăturii electronice și a produselor asociate semnăturii electronice</w:t>
      </w:r>
      <w:r>
        <w:rPr>
          <w:rFonts w:ascii="Times New Roman" w:hAnsi="Times New Roman" w:cs="Times New Roman"/>
          <w:sz w:val="16"/>
          <w:szCs w:val="16"/>
        </w:rPr>
        <w:t>”</w:t>
      </w:r>
      <w:r w:rsidRPr="008D3271">
        <w:rPr>
          <w:rFonts w:ascii="Times New Roman" w:hAnsi="Times New Roman" w:cs="Times New Roman"/>
          <w:sz w:val="16"/>
          <w:szCs w:val="16"/>
        </w:rPr>
        <w:t>.</w:t>
      </w:r>
    </w:p>
  </w:footnote>
  <w:footnote w:id="44">
    <w:p w14:paraId="0BE1AA47" w14:textId="77777777" w:rsidR="00753EA2" w:rsidRPr="009B10C0" w:rsidRDefault="00753EA2" w:rsidP="009B2D03">
      <w:pPr>
        <w:pStyle w:val="a3"/>
        <w:jc w:val="both"/>
        <w:rPr>
          <w:rFonts w:ascii="Times New Roman" w:hAnsi="Times New Roman" w:cs="Times New Roman"/>
          <w:sz w:val="16"/>
          <w:szCs w:val="16"/>
        </w:rPr>
      </w:pPr>
      <w:r w:rsidRPr="00A6022F">
        <w:rPr>
          <w:rStyle w:val="a5"/>
          <w:rFonts w:ascii="Times New Roman" w:hAnsi="Times New Roman" w:cs="Times New Roman"/>
          <w:sz w:val="16"/>
          <w:szCs w:val="16"/>
        </w:rPr>
        <w:footnoteRef/>
      </w:r>
      <w:r w:rsidRPr="00A6022F">
        <w:rPr>
          <w:rFonts w:ascii="Times New Roman" w:hAnsi="Times New Roman" w:cs="Times New Roman"/>
          <w:sz w:val="16"/>
          <w:szCs w:val="16"/>
        </w:rPr>
        <w:t xml:space="preserve"> </w:t>
      </w:r>
      <w:r w:rsidRPr="00C21C49">
        <w:rPr>
          <w:rFonts w:ascii="Times New Roman" w:hAnsi="Times New Roman" w:cs="Times New Roman"/>
          <w:sz w:val="16"/>
          <w:szCs w:val="16"/>
        </w:rPr>
        <w:t>Conform informații</w:t>
      </w:r>
      <w:r>
        <w:rPr>
          <w:rFonts w:ascii="Times New Roman" w:hAnsi="Times New Roman" w:cs="Times New Roman"/>
          <w:sz w:val="16"/>
          <w:szCs w:val="16"/>
        </w:rPr>
        <w:t>lor</w:t>
      </w:r>
      <w:r w:rsidRPr="00C21C49">
        <w:rPr>
          <w:rFonts w:ascii="Times New Roman" w:hAnsi="Times New Roman" w:cs="Times New Roman"/>
          <w:sz w:val="16"/>
          <w:szCs w:val="16"/>
        </w:rPr>
        <w:t xml:space="preserve"> prezentate de STISC, p</w:t>
      </w:r>
      <w:r>
        <w:rPr>
          <w:rFonts w:ascii="Times New Roman" w:hAnsi="Times New Roman" w:cs="Times New Roman"/>
          <w:sz w:val="16"/>
          <w:szCs w:val="16"/>
        </w:rPr>
        <w:t>â</w:t>
      </w:r>
      <w:r w:rsidRPr="00C21C49">
        <w:rPr>
          <w:rFonts w:ascii="Times New Roman" w:hAnsi="Times New Roman" w:cs="Times New Roman"/>
          <w:sz w:val="16"/>
          <w:szCs w:val="16"/>
        </w:rPr>
        <w:t xml:space="preserve">nă </w:t>
      </w:r>
      <w:r w:rsidRPr="00CD43A6">
        <w:rPr>
          <w:rFonts w:ascii="Times New Roman" w:hAnsi="Times New Roman" w:cs="Times New Roman"/>
          <w:sz w:val="16"/>
          <w:szCs w:val="16"/>
        </w:rPr>
        <w:t>la punerea în funcțiune a SIA „MoldovaGovCA” la contul 112 „Imobilizări necorporale în exploatare”, programul informațional era înregistrat la contul 111 „Imobilizări necorporale în curs de execuție”.</w:t>
      </w:r>
    </w:p>
  </w:footnote>
  <w:footnote w:id="45">
    <w:p w14:paraId="6B4E17FE" w14:textId="77777777" w:rsidR="00753EA2" w:rsidRPr="009B10C0" w:rsidRDefault="00753EA2" w:rsidP="009B2D03">
      <w:pPr>
        <w:pStyle w:val="a3"/>
        <w:jc w:val="both"/>
        <w:rPr>
          <w:rFonts w:ascii="Times New Roman" w:hAnsi="Times New Roman" w:cs="Times New Roman"/>
          <w:sz w:val="16"/>
          <w:szCs w:val="16"/>
        </w:rPr>
      </w:pPr>
      <w:r w:rsidRPr="009B10C0">
        <w:rPr>
          <w:rStyle w:val="a5"/>
          <w:rFonts w:ascii="Times New Roman" w:hAnsi="Times New Roman" w:cs="Times New Roman"/>
          <w:sz w:val="16"/>
          <w:szCs w:val="16"/>
        </w:rPr>
        <w:footnoteRef/>
      </w:r>
      <w:r w:rsidRPr="009B10C0">
        <w:rPr>
          <w:rFonts w:ascii="Times New Roman" w:hAnsi="Times New Roman" w:cs="Times New Roman"/>
          <w:sz w:val="16"/>
          <w:szCs w:val="16"/>
        </w:rPr>
        <w:t xml:space="preserve"> Lipsește instituită o comisia care ar constata darea activului nematerial în exploatare, durata de funcționare utilă, determinarea responsabilului de gestionare a acestui activ, etc.</w:t>
      </w:r>
      <w:r>
        <w:rPr>
          <w:rFonts w:ascii="Times New Roman" w:hAnsi="Times New Roman" w:cs="Times New Roman"/>
          <w:sz w:val="16"/>
          <w:szCs w:val="16"/>
        </w:rPr>
        <w:t xml:space="preserve"> </w:t>
      </w:r>
    </w:p>
  </w:footnote>
  <w:footnote w:id="46">
    <w:p w14:paraId="27A5AD01" w14:textId="77777777" w:rsidR="00753EA2" w:rsidRPr="009B10C0" w:rsidRDefault="00753EA2" w:rsidP="001A76A4">
      <w:pPr>
        <w:pStyle w:val="a3"/>
        <w:jc w:val="both"/>
        <w:rPr>
          <w:rFonts w:ascii="Times New Roman" w:hAnsi="Times New Roman" w:cs="Times New Roman"/>
          <w:sz w:val="16"/>
          <w:szCs w:val="16"/>
        </w:rPr>
      </w:pPr>
      <w:r w:rsidRPr="009B10C0">
        <w:rPr>
          <w:rStyle w:val="a5"/>
          <w:rFonts w:ascii="Times New Roman" w:hAnsi="Times New Roman" w:cs="Times New Roman"/>
          <w:sz w:val="16"/>
          <w:szCs w:val="16"/>
        </w:rPr>
        <w:footnoteRef/>
      </w:r>
      <w:r w:rsidRPr="009B10C0">
        <w:rPr>
          <w:rFonts w:ascii="Times New Roman" w:hAnsi="Times New Roman" w:cs="Times New Roman"/>
          <w:sz w:val="16"/>
          <w:szCs w:val="16"/>
        </w:rPr>
        <w:t xml:space="preserve"> Ordinul Ministerului Dezvoltării Informaționale nr. 78 din 01.06.2006 „cu privire la aprobarea reglementării tehnice "Procesele ciclului de viaţă al software-ului"RT 38370656 - 002:2006”, în speță pct. 4.2.4.</w:t>
      </w:r>
    </w:p>
  </w:footnote>
  <w:footnote w:id="47">
    <w:p w14:paraId="1F9C4CFC" w14:textId="77777777" w:rsidR="00753EA2" w:rsidRPr="009B10C0" w:rsidRDefault="00753EA2" w:rsidP="009B2D03">
      <w:pPr>
        <w:pStyle w:val="a3"/>
        <w:jc w:val="both"/>
        <w:rPr>
          <w:rFonts w:ascii="Times New Roman" w:hAnsi="Times New Roman" w:cs="Times New Roman"/>
          <w:sz w:val="16"/>
          <w:szCs w:val="16"/>
        </w:rPr>
      </w:pPr>
      <w:r w:rsidRPr="009B10C0">
        <w:rPr>
          <w:rStyle w:val="a5"/>
          <w:rFonts w:ascii="Times New Roman" w:hAnsi="Times New Roman" w:cs="Times New Roman"/>
          <w:sz w:val="16"/>
          <w:szCs w:val="16"/>
        </w:rPr>
        <w:footnoteRef/>
      </w:r>
      <w:r w:rsidRPr="009B10C0">
        <w:rPr>
          <w:rFonts w:ascii="Times New Roman" w:hAnsi="Times New Roman" w:cs="Times New Roman"/>
          <w:sz w:val="16"/>
          <w:szCs w:val="16"/>
        </w:rPr>
        <w:t xml:space="preserve"> </w:t>
      </w:r>
      <w:r w:rsidRPr="000C0180">
        <w:rPr>
          <w:rFonts w:ascii="Times New Roman" w:hAnsi="Times New Roman" w:cs="Times New Roman"/>
          <w:sz w:val="16"/>
          <w:szCs w:val="16"/>
        </w:rPr>
        <w:t xml:space="preserve">Dispozitivele HSM CryptoServer LAN V5 Se-Series Gen2 au fost procurate în anul 2020, iar Crypto Se1500 LAN V5 – </w:t>
      </w:r>
      <w:r w:rsidRPr="00731C56">
        <w:rPr>
          <w:rFonts w:ascii="Times New Roman" w:hAnsi="Times New Roman" w:cs="Times New Roman"/>
          <w:sz w:val="16"/>
          <w:szCs w:val="16"/>
        </w:rPr>
        <w:t>în anul 2022.</w:t>
      </w:r>
    </w:p>
  </w:footnote>
  <w:footnote w:id="48">
    <w:p w14:paraId="16D0615E" w14:textId="77777777" w:rsidR="00753EA2" w:rsidRPr="009B10C0" w:rsidRDefault="00753EA2" w:rsidP="00AC3956">
      <w:pPr>
        <w:pStyle w:val="a3"/>
        <w:jc w:val="both"/>
        <w:rPr>
          <w:rFonts w:ascii="Times New Roman" w:hAnsi="Times New Roman" w:cs="Times New Roman"/>
          <w:sz w:val="16"/>
          <w:szCs w:val="16"/>
        </w:rPr>
      </w:pPr>
      <w:r w:rsidRPr="009B10C0">
        <w:rPr>
          <w:rStyle w:val="a5"/>
          <w:rFonts w:ascii="Times New Roman" w:hAnsi="Times New Roman" w:cs="Times New Roman"/>
          <w:sz w:val="16"/>
          <w:szCs w:val="16"/>
        </w:rPr>
        <w:footnoteRef/>
      </w:r>
      <w:r w:rsidRPr="009B10C0">
        <w:rPr>
          <w:rFonts w:ascii="Times New Roman" w:hAnsi="Times New Roman" w:cs="Times New Roman"/>
          <w:sz w:val="16"/>
          <w:szCs w:val="16"/>
        </w:rPr>
        <w:t xml:space="preserve"> </w:t>
      </w:r>
      <w:r>
        <w:rPr>
          <w:rFonts w:ascii="Times New Roman" w:hAnsi="Times New Roman" w:cs="Times New Roman"/>
          <w:sz w:val="16"/>
          <w:szCs w:val="16"/>
        </w:rPr>
        <w:t>Procesul-verbal de punere în funcțiune a mijloacelor fixe din 06.08.2021.</w:t>
      </w:r>
    </w:p>
  </w:footnote>
  <w:footnote w:id="49">
    <w:p w14:paraId="67F9CFA5" w14:textId="77777777" w:rsidR="00753EA2" w:rsidRPr="008D3271" w:rsidRDefault="00753EA2" w:rsidP="009B2D03">
      <w:pPr>
        <w:pStyle w:val="a3"/>
        <w:jc w:val="both"/>
        <w:rPr>
          <w:lang w:val="ro-RO"/>
        </w:rPr>
      </w:pPr>
      <w:r w:rsidRPr="008D3271">
        <w:rPr>
          <w:rStyle w:val="a5"/>
          <w:rFonts w:ascii="Times New Roman" w:hAnsi="Times New Roman" w:cs="Times New Roman"/>
          <w:sz w:val="16"/>
          <w:szCs w:val="16"/>
        </w:rPr>
        <w:footnoteRef/>
      </w:r>
      <w:r w:rsidRPr="008D3271">
        <w:rPr>
          <w:rFonts w:ascii="Times New Roman" w:hAnsi="Times New Roman" w:cs="Times New Roman"/>
          <w:sz w:val="16"/>
          <w:szCs w:val="16"/>
        </w:rPr>
        <w:t xml:space="preserve"> </w:t>
      </w:r>
      <w:r w:rsidRPr="008D3271">
        <w:rPr>
          <w:rFonts w:ascii="Times New Roman" w:hAnsi="Times New Roman" w:cs="Times New Roman"/>
          <w:sz w:val="16"/>
          <w:szCs w:val="16"/>
          <w:lang w:val="ro-RO"/>
        </w:rPr>
        <w:t>Raport de constatare tehnică nr. 01 din 12.12.2023 a modelului HSM Utimaco CryptoServer LAN V5 Se500 Gen2 și Raport de constatare tehnică nr. 02 din 15.12.2023 a modelului HSM Utimaco CryptoServer CP5 Se1500.</w:t>
      </w:r>
    </w:p>
  </w:footnote>
  <w:footnote w:id="50">
    <w:p w14:paraId="155B5382" w14:textId="6B0BD0C3" w:rsidR="00753EA2" w:rsidRPr="00D56E22" w:rsidRDefault="00753EA2" w:rsidP="009F5D93">
      <w:pPr>
        <w:pStyle w:val="a3"/>
        <w:jc w:val="both"/>
        <w:rPr>
          <w:rFonts w:ascii="Times New Roman" w:hAnsi="Times New Roman" w:cs="Times New Roman"/>
          <w:sz w:val="16"/>
          <w:szCs w:val="16"/>
        </w:rPr>
      </w:pPr>
      <w:r w:rsidRPr="00D56E22">
        <w:rPr>
          <w:rStyle w:val="a5"/>
          <w:rFonts w:ascii="Times New Roman" w:hAnsi="Times New Roman" w:cs="Times New Roman"/>
          <w:sz w:val="16"/>
          <w:szCs w:val="16"/>
        </w:rPr>
        <w:footnoteRef/>
      </w:r>
      <w:r w:rsidRPr="00D56E22">
        <w:rPr>
          <w:rFonts w:ascii="Times New Roman" w:hAnsi="Times New Roman" w:cs="Times New Roman"/>
          <w:sz w:val="16"/>
          <w:szCs w:val="16"/>
        </w:rPr>
        <w:t xml:space="preserve"> Fo</w:t>
      </w:r>
      <w:r w:rsidRPr="009F5D93">
        <w:rPr>
          <w:rFonts w:ascii="Times New Roman" w:hAnsi="Times New Roman" w:cs="Times New Roman"/>
          <w:sz w:val="16"/>
          <w:szCs w:val="16"/>
        </w:rPr>
        <w:t xml:space="preserve"> </w:t>
      </w:r>
      <w:r w:rsidRPr="00D56E22">
        <w:rPr>
          <w:rFonts w:ascii="Times New Roman" w:hAnsi="Times New Roman" w:cs="Times New Roman"/>
          <w:sz w:val="16"/>
          <w:szCs w:val="16"/>
        </w:rPr>
        <w:t>FortiGate, FortiCare, FortiManager, FortiMail, FortiClient, FortiAnalyzer și altele.</w:t>
      </w:r>
    </w:p>
  </w:footnote>
  <w:footnote w:id="51">
    <w:p w14:paraId="6B9F57B9" w14:textId="212F452C" w:rsidR="00753EA2" w:rsidRPr="00D56E22" w:rsidRDefault="00753EA2" w:rsidP="009F5D93">
      <w:pPr>
        <w:pStyle w:val="a3"/>
        <w:jc w:val="both"/>
        <w:rPr>
          <w:rFonts w:ascii="Times New Roman" w:hAnsi="Times New Roman" w:cs="Times New Roman"/>
          <w:sz w:val="16"/>
          <w:szCs w:val="16"/>
        </w:rPr>
      </w:pPr>
      <w:r w:rsidRPr="00D56E22">
        <w:rPr>
          <w:rStyle w:val="a5"/>
          <w:rFonts w:ascii="Times New Roman" w:hAnsi="Times New Roman" w:cs="Times New Roman"/>
          <w:sz w:val="16"/>
          <w:szCs w:val="16"/>
        </w:rPr>
        <w:footnoteRef/>
      </w:r>
      <w:r w:rsidRPr="00D56E22">
        <w:rPr>
          <w:rFonts w:ascii="Times New Roman" w:hAnsi="Times New Roman" w:cs="Times New Roman"/>
          <w:sz w:val="16"/>
          <w:szCs w:val="16"/>
        </w:rPr>
        <w:t xml:space="preserve"> Scrisoarea Netsafe Distribution SRL nr. 92 din 29.12.2023.</w:t>
      </w:r>
    </w:p>
  </w:footnote>
  <w:footnote w:id="52">
    <w:p w14:paraId="5AF54892" w14:textId="778DFC2E" w:rsidR="00753EA2" w:rsidRPr="00D56E22" w:rsidRDefault="00753EA2" w:rsidP="009F5D93">
      <w:pPr>
        <w:pStyle w:val="a3"/>
        <w:jc w:val="both"/>
        <w:rPr>
          <w:rFonts w:ascii="Times New Roman" w:hAnsi="Times New Roman" w:cs="Times New Roman"/>
          <w:sz w:val="16"/>
          <w:szCs w:val="16"/>
        </w:rPr>
      </w:pPr>
      <w:r w:rsidRPr="00D56E22">
        <w:rPr>
          <w:rStyle w:val="a5"/>
          <w:rFonts w:ascii="Times New Roman" w:hAnsi="Times New Roman" w:cs="Times New Roman"/>
          <w:sz w:val="16"/>
          <w:szCs w:val="16"/>
        </w:rPr>
        <w:footnoteRef/>
      </w:r>
      <w:r w:rsidRPr="00D56E22">
        <w:rPr>
          <w:rFonts w:ascii="Times New Roman" w:hAnsi="Times New Roman" w:cs="Times New Roman"/>
          <w:sz w:val="16"/>
          <w:szCs w:val="16"/>
        </w:rPr>
        <w:t xml:space="preserve"> STISC deține următoarele domenii de competență: Administrarea infrastructurii de tehnologie a informației și a Sistemului de telecomunicaţii al autorităţilor administraţiei publice ca parte a reţelei de comunicaţii speciale; Administrarea și menținerea sistemelor informaționale de stat; Securitate cibernetică; Gestionarea infrastructurii unice a cheii publice (PKI) a Guvernului; Implementarea tehnologiilor inf</w:t>
      </w:r>
      <w:r>
        <w:rPr>
          <w:rFonts w:ascii="Times New Roman" w:hAnsi="Times New Roman" w:cs="Times New Roman"/>
          <w:sz w:val="16"/>
          <w:szCs w:val="16"/>
        </w:rPr>
        <w:t>ormaționale în sectorul public.</w:t>
      </w:r>
    </w:p>
  </w:footnote>
  <w:footnote w:id="53">
    <w:p w14:paraId="6E3D3357" w14:textId="55DD2E40" w:rsidR="00753EA2" w:rsidRPr="00DC7CEA" w:rsidRDefault="00753EA2" w:rsidP="002868BE">
      <w:pPr>
        <w:pStyle w:val="a3"/>
        <w:jc w:val="both"/>
        <w:rPr>
          <w:rFonts w:ascii="Times New Roman" w:hAnsi="Times New Roman" w:cs="Times New Roman"/>
          <w:sz w:val="16"/>
          <w:szCs w:val="16"/>
        </w:rPr>
      </w:pPr>
      <w:r w:rsidRPr="00DC7CEA">
        <w:rPr>
          <w:rStyle w:val="a5"/>
          <w:rFonts w:ascii="Times New Roman" w:hAnsi="Times New Roman" w:cs="Times New Roman"/>
          <w:sz w:val="16"/>
          <w:szCs w:val="16"/>
        </w:rPr>
        <w:footnoteRef/>
      </w:r>
      <w:r w:rsidRPr="00DC7CEA">
        <w:rPr>
          <w:rFonts w:ascii="Times New Roman" w:hAnsi="Times New Roman" w:cs="Times New Roman"/>
          <w:sz w:val="16"/>
          <w:szCs w:val="16"/>
        </w:rPr>
        <w:t xml:space="preserve"> Pct 9.1 din NCM L.01.03:2015, art</w:t>
      </w:r>
      <w:r>
        <w:rPr>
          <w:rFonts w:ascii="Times New Roman" w:hAnsi="Times New Roman" w:cs="Times New Roman"/>
          <w:sz w:val="16"/>
          <w:szCs w:val="16"/>
        </w:rPr>
        <w:t>.</w:t>
      </w:r>
      <w:r w:rsidRPr="00DC7CEA">
        <w:rPr>
          <w:rFonts w:ascii="Times New Roman" w:hAnsi="Times New Roman" w:cs="Times New Roman"/>
          <w:sz w:val="16"/>
          <w:szCs w:val="16"/>
        </w:rPr>
        <w:t xml:space="preserve"> 13 alin.(1) și alin.(2) din Legea privind calitatea în construcții nr.721-XIII din 02.02.1996.</w:t>
      </w:r>
    </w:p>
  </w:footnote>
  <w:footnote w:id="54">
    <w:p w14:paraId="2C7FB7EE" w14:textId="76FFBB29" w:rsidR="00753EA2" w:rsidRPr="00DC7CEA" w:rsidRDefault="00753EA2" w:rsidP="002868BE">
      <w:pPr>
        <w:pStyle w:val="a3"/>
        <w:jc w:val="both"/>
        <w:rPr>
          <w:rFonts w:ascii="Times New Roman" w:hAnsi="Times New Roman" w:cs="Times New Roman"/>
          <w:sz w:val="16"/>
          <w:szCs w:val="16"/>
        </w:rPr>
      </w:pPr>
      <w:r w:rsidRPr="00DC7CEA">
        <w:rPr>
          <w:rStyle w:val="a5"/>
          <w:rFonts w:ascii="Times New Roman" w:hAnsi="Times New Roman" w:cs="Times New Roman"/>
          <w:sz w:val="16"/>
          <w:szCs w:val="16"/>
        </w:rPr>
        <w:footnoteRef/>
      </w:r>
      <w:r w:rsidRPr="00DC7CEA">
        <w:rPr>
          <w:rFonts w:ascii="Times New Roman" w:hAnsi="Times New Roman" w:cs="Times New Roman"/>
          <w:sz w:val="16"/>
          <w:szCs w:val="16"/>
        </w:rPr>
        <w:t xml:space="preserve"> </w:t>
      </w:r>
      <w:r>
        <w:rPr>
          <w:rFonts w:ascii="Times New Roman" w:hAnsi="Times New Roman" w:cs="Times New Roman"/>
          <w:sz w:val="16"/>
          <w:szCs w:val="16"/>
        </w:rPr>
        <w:t>1) „</w:t>
      </w:r>
      <w:r w:rsidRPr="00DC7CEA">
        <w:rPr>
          <w:rFonts w:ascii="Times New Roman" w:hAnsi="Times New Roman" w:cs="Times New Roman"/>
          <w:sz w:val="16"/>
          <w:szCs w:val="16"/>
        </w:rPr>
        <w:t xml:space="preserve">Construcția gardului la </w:t>
      </w:r>
      <w:r>
        <w:rPr>
          <w:rFonts w:ascii="Times New Roman" w:hAnsi="Times New Roman" w:cs="Times New Roman"/>
          <w:sz w:val="16"/>
          <w:szCs w:val="16"/>
        </w:rPr>
        <w:t>C</w:t>
      </w:r>
      <w:r w:rsidRPr="00DC7CEA">
        <w:rPr>
          <w:rFonts w:ascii="Times New Roman" w:hAnsi="Times New Roman" w:cs="Times New Roman"/>
          <w:sz w:val="16"/>
          <w:szCs w:val="16"/>
        </w:rPr>
        <w:t xml:space="preserve">asa </w:t>
      </w:r>
      <w:r>
        <w:rPr>
          <w:rFonts w:ascii="Times New Roman" w:hAnsi="Times New Roman" w:cs="Times New Roman"/>
          <w:sz w:val="16"/>
          <w:szCs w:val="16"/>
        </w:rPr>
        <w:t>G</w:t>
      </w:r>
      <w:r w:rsidRPr="00DC7CEA">
        <w:rPr>
          <w:rFonts w:ascii="Times New Roman" w:hAnsi="Times New Roman" w:cs="Times New Roman"/>
          <w:sz w:val="16"/>
          <w:szCs w:val="16"/>
        </w:rPr>
        <w:t>uvernului” în sumă de 10,0 mii lei</w:t>
      </w:r>
      <w:r>
        <w:rPr>
          <w:rFonts w:ascii="Times New Roman" w:hAnsi="Times New Roman" w:cs="Times New Roman"/>
          <w:sz w:val="16"/>
          <w:szCs w:val="16"/>
        </w:rPr>
        <w:t xml:space="preserve">; 2) reparația </w:t>
      </w:r>
      <w:r w:rsidRPr="00DC7CEA">
        <w:rPr>
          <w:rFonts w:ascii="Times New Roman" w:hAnsi="Times New Roman" w:cs="Times New Roman"/>
          <w:sz w:val="16"/>
          <w:szCs w:val="16"/>
        </w:rPr>
        <w:t>„Grădi</w:t>
      </w:r>
      <w:r>
        <w:rPr>
          <w:rFonts w:ascii="Times New Roman" w:hAnsi="Times New Roman" w:cs="Times New Roman"/>
          <w:sz w:val="16"/>
          <w:szCs w:val="16"/>
        </w:rPr>
        <w:t>nii</w:t>
      </w:r>
      <w:r w:rsidRPr="00DC7CEA">
        <w:rPr>
          <w:rFonts w:ascii="Times New Roman" w:hAnsi="Times New Roman" w:cs="Times New Roman"/>
          <w:sz w:val="16"/>
          <w:szCs w:val="16"/>
        </w:rPr>
        <w:t xml:space="preserve"> public</w:t>
      </w:r>
      <w:r>
        <w:rPr>
          <w:rFonts w:ascii="Times New Roman" w:hAnsi="Times New Roman" w:cs="Times New Roman"/>
          <w:sz w:val="16"/>
          <w:szCs w:val="16"/>
        </w:rPr>
        <w:t>e</w:t>
      </w:r>
      <w:r w:rsidRPr="00DC7CEA">
        <w:rPr>
          <w:rFonts w:ascii="Times New Roman" w:hAnsi="Times New Roman" w:cs="Times New Roman"/>
          <w:sz w:val="16"/>
          <w:szCs w:val="16"/>
        </w:rPr>
        <w:t xml:space="preserve"> pe teren</w:t>
      </w:r>
      <w:r>
        <w:rPr>
          <w:rFonts w:ascii="Times New Roman" w:hAnsi="Times New Roman" w:cs="Times New Roman"/>
          <w:sz w:val="16"/>
          <w:szCs w:val="16"/>
        </w:rPr>
        <w:t>ul</w:t>
      </w:r>
      <w:r w:rsidRPr="00DC7CEA">
        <w:rPr>
          <w:rFonts w:ascii="Times New Roman" w:hAnsi="Times New Roman" w:cs="Times New Roman"/>
          <w:sz w:val="16"/>
          <w:szCs w:val="16"/>
        </w:rPr>
        <w:t xml:space="preserve"> aferent Casei Guver</w:t>
      </w:r>
      <w:r>
        <w:rPr>
          <w:rFonts w:ascii="Times New Roman" w:hAnsi="Times New Roman" w:cs="Times New Roman"/>
          <w:sz w:val="16"/>
          <w:szCs w:val="16"/>
        </w:rPr>
        <w:t xml:space="preserve">nului” în sumă de 109,5 mii lei și 3) </w:t>
      </w:r>
      <w:r w:rsidRPr="00DC7CEA">
        <w:rPr>
          <w:rFonts w:ascii="Times New Roman" w:hAnsi="Times New Roman" w:cs="Times New Roman"/>
          <w:sz w:val="16"/>
          <w:szCs w:val="16"/>
        </w:rPr>
        <w:t>reparația biroului nr</w:t>
      </w:r>
      <w:r>
        <w:rPr>
          <w:rFonts w:ascii="Times New Roman" w:hAnsi="Times New Roman" w:cs="Times New Roman"/>
          <w:sz w:val="16"/>
          <w:szCs w:val="16"/>
        </w:rPr>
        <w:t>.</w:t>
      </w:r>
      <w:r w:rsidRPr="00DC7CEA">
        <w:rPr>
          <w:rFonts w:ascii="Times New Roman" w:hAnsi="Times New Roman" w:cs="Times New Roman"/>
          <w:sz w:val="16"/>
          <w:szCs w:val="16"/>
        </w:rPr>
        <w:t xml:space="preserve"> 524 din Casa Guvernului în sumă de 45,5 mii</w:t>
      </w:r>
      <w:r>
        <w:rPr>
          <w:rFonts w:ascii="Times New Roman" w:hAnsi="Times New Roman" w:cs="Times New Roman"/>
          <w:sz w:val="16"/>
          <w:szCs w:val="16"/>
        </w:rPr>
        <w:t xml:space="preserve"> lei.</w:t>
      </w:r>
    </w:p>
  </w:footnote>
  <w:footnote w:id="55">
    <w:p w14:paraId="72258229" w14:textId="4C92B269" w:rsidR="00753EA2" w:rsidRPr="00DC7CEA" w:rsidRDefault="00753EA2" w:rsidP="00DA7801">
      <w:pPr>
        <w:pStyle w:val="a3"/>
        <w:jc w:val="both"/>
        <w:rPr>
          <w:rFonts w:ascii="Times New Roman" w:hAnsi="Times New Roman" w:cs="Times New Roman"/>
          <w:sz w:val="16"/>
          <w:szCs w:val="16"/>
        </w:rPr>
      </w:pPr>
      <w:r w:rsidRPr="00DC7CEA">
        <w:rPr>
          <w:rStyle w:val="a5"/>
          <w:rFonts w:ascii="Times New Roman" w:hAnsi="Times New Roman" w:cs="Times New Roman"/>
          <w:sz w:val="16"/>
          <w:szCs w:val="16"/>
        </w:rPr>
        <w:footnoteRef/>
      </w:r>
      <w:r w:rsidRPr="00DC7CEA">
        <w:rPr>
          <w:rFonts w:ascii="Times New Roman" w:hAnsi="Times New Roman" w:cs="Times New Roman"/>
          <w:sz w:val="16"/>
          <w:szCs w:val="16"/>
        </w:rPr>
        <w:t xml:space="preserve"> Pct</w:t>
      </w:r>
      <w:r>
        <w:rPr>
          <w:rFonts w:ascii="Times New Roman" w:hAnsi="Times New Roman" w:cs="Times New Roman"/>
          <w:sz w:val="16"/>
          <w:szCs w:val="16"/>
        </w:rPr>
        <w:t>.</w:t>
      </w:r>
      <w:r w:rsidRPr="00DC7CEA">
        <w:rPr>
          <w:rFonts w:ascii="Times New Roman" w:hAnsi="Times New Roman" w:cs="Times New Roman"/>
          <w:sz w:val="16"/>
          <w:szCs w:val="16"/>
        </w:rPr>
        <w:t xml:space="preserve"> 9.6 din NCM L.01.03:2015</w:t>
      </w:r>
      <w:r>
        <w:rPr>
          <w:rFonts w:ascii="Times New Roman" w:hAnsi="Times New Roman" w:cs="Times New Roman"/>
          <w:sz w:val="16"/>
          <w:szCs w:val="16"/>
        </w:rPr>
        <w:t>.</w:t>
      </w:r>
    </w:p>
  </w:footnote>
  <w:footnote w:id="56">
    <w:p w14:paraId="6AC13CCC" w14:textId="1DF142AB" w:rsidR="00753EA2" w:rsidRPr="00DC7CEA" w:rsidRDefault="00753EA2" w:rsidP="002868BE">
      <w:pPr>
        <w:pStyle w:val="a3"/>
        <w:jc w:val="both"/>
        <w:rPr>
          <w:rFonts w:ascii="Times New Roman" w:hAnsi="Times New Roman" w:cs="Times New Roman"/>
          <w:sz w:val="16"/>
          <w:szCs w:val="16"/>
        </w:rPr>
      </w:pPr>
      <w:r w:rsidRPr="00DC7CEA">
        <w:rPr>
          <w:rStyle w:val="a5"/>
          <w:rFonts w:ascii="Times New Roman" w:hAnsi="Times New Roman" w:cs="Times New Roman"/>
          <w:sz w:val="16"/>
          <w:szCs w:val="16"/>
        </w:rPr>
        <w:footnoteRef/>
      </w:r>
      <w:r w:rsidRPr="00DC7CEA">
        <w:rPr>
          <w:rFonts w:ascii="Times New Roman" w:hAnsi="Times New Roman" w:cs="Times New Roman"/>
          <w:sz w:val="16"/>
          <w:szCs w:val="16"/>
        </w:rPr>
        <w:t xml:space="preserve"> </w:t>
      </w:r>
      <w:r>
        <w:rPr>
          <w:rFonts w:ascii="Times New Roman" w:hAnsi="Times New Roman" w:cs="Times New Roman"/>
          <w:sz w:val="16"/>
          <w:szCs w:val="16"/>
        </w:rPr>
        <w:t>S</w:t>
      </w:r>
      <w:r w:rsidRPr="00DC7CEA">
        <w:rPr>
          <w:rFonts w:ascii="Times New Roman" w:hAnsi="Times New Roman" w:cs="Times New Roman"/>
          <w:sz w:val="16"/>
          <w:szCs w:val="16"/>
        </w:rPr>
        <w:t>uprafața de 852,90 m.p. a fost dat</w:t>
      </w:r>
      <w:r>
        <w:rPr>
          <w:rFonts w:ascii="Times New Roman" w:hAnsi="Times New Roman" w:cs="Times New Roman"/>
          <w:sz w:val="16"/>
          <w:szCs w:val="16"/>
        </w:rPr>
        <w:t>ă</w:t>
      </w:r>
      <w:r w:rsidRPr="00DC7CEA">
        <w:rPr>
          <w:rFonts w:ascii="Times New Roman" w:hAnsi="Times New Roman" w:cs="Times New Roman"/>
          <w:sz w:val="16"/>
          <w:szCs w:val="16"/>
        </w:rPr>
        <w:t xml:space="preserve"> în locațiune de către  Î.S</w:t>
      </w:r>
      <w:r>
        <w:rPr>
          <w:rFonts w:ascii="Times New Roman" w:hAnsi="Times New Roman" w:cs="Times New Roman"/>
          <w:sz w:val="16"/>
          <w:szCs w:val="16"/>
        </w:rPr>
        <w:t>.</w:t>
      </w:r>
      <w:r w:rsidRPr="00DC7CEA">
        <w:rPr>
          <w:rFonts w:ascii="Times New Roman" w:hAnsi="Times New Roman" w:cs="Times New Roman"/>
          <w:sz w:val="16"/>
          <w:szCs w:val="16"/>
        </w:rPr>
        <w:t xml:space="preserve"> „Universul</w:t>
      </w:r>
      <w:r>
        <w:rPr>
          <w:rFonts w:ascii="Times New Roman" w:hAnsi="Times New Roman" w:cs="Times New Roman"/>
          <w:sz w:val="16"/>
          <w:szCs w:val="16"/>
        </w:rPr>
        <w:t>”</w:t>
      </w:r>
      <w:r w:rsidRPr="00DC7CEA">
        <w:rPr>
          <w:rFonts w:ascii="Times New Roman" w:hAnsi="Times New Roman" w:cs="Times New Roman"/>
          <w:sz w:val="16"/>
          <w:szCs w:val="16"/>
        </w:rPr>
        <w:t xml:space="preserve"> (fostul proprietar) unui agent economic pe o perioadă de 10 ani, și anume de la 09.02.2015 până </w:t>
      </w:r>
      <w:r>
        <w:rPr>
          <w:rFonts w:ascii="Times New Roman" w:hAnsi="Times New Roman" w:cs="Times New Roman"/>
          <w:sz w:val="16"/>
          <w:szCs w:val="16"/>
        </w:rPr>
        <w:t xml:space="preserve">la </w:t>
      </w:r>
      <w:r w:rsidRPr="00DC7CEA">
        <w:rPr>
          <w:rFonts w:ascii="Times New Roman" w:hAnsi="Times New Roman" w:cs="Times New Roman"/>
          <w:sz w:val="16"/>
          <w:szCs w:val="16"/>
        </w:rPr>
        <w:t>31.12.2025.</w:t>
      </w:r>
    </w:p>
  </w:footnote>
  <w:footnote w:id="57">
    <w:p w14:paraId="3F2B5221" w14:textId="64D6D7B7" w:rsidR="00753EA2" w:rsidRPr="00DC7CEA" w:rsidRDefault="00753EA2" w:rsidP="002868BE">
      <w:pPr>
        <w:pStyle w:val="a3"/>
        <w:jc w:val="both"/>
        <w:rPr>
          <w:rFonts w:ascii="Times New Roman" w:hAnsi="Times New Roman" w:cs="Times New Roman"/>
          <w:sz w:val="16"/>
          <w:szCs w:val="16"/>
        </w:rPr>
      </w:pPr>
      <w:r w:rsidRPr="00DC7CEA">
        <w:rPr>
          <w:rStyle w:val="a5"/>
          <w:rFonts w:ascii="Times New Roman" w:hAnsi="Times New Roman" w:cs="Times New Roman"/>
          <w:sz w:val="16"/>
          <w:szCs w:val="16"/>
        </w:rPr>
        <w:footnoteRef/>
      </w:r>
      <w:r w:rsidRPr="00DC7CEA">
        <w:rPr>
          <w:rFonts w:ascii="Times New Roman" w:eastAsia="Times New Roman" w:hAnsi="Times New Roman" w:cs="Times New Roman"/>
          <w:bCs/>
          <w:sz w:val="16"/>
          <w:szCs w:val="16"/>
        </w:rPr>
        <w:t xml:space="preserve"> Pct.20 subpct.(9) din </w:t>
      </w:r>
      <w:r w:rsidRPr="00DC7CEA">
        <w:rPr>
          <w:rFonts w:ascii="Times New Roman" w:hAnsi="Times New Roman" w:cs="Times New Roman"/>
          <w:sz w:val="16"/>
          <w:szCs w:val="16"/>
        </w:rPr>
        <w:t xml:space="preserve">Regulamentul cu privire </w:t>
      </w:r>
      <w:r w:rsidRPr="00DC7CEA">
        <w:rPr>
          <w:rFonts w:ascii="Times New Roman" w:eastAsia="Times New Roman" w:hAnsi="Times New Roman" w:cs="Times New Roman"/>
          <w:bCs/>
          <w:sz w:val="16"/>
          <w:szCs w:val="16"/>
        </w:rPr>
        <w:t>la activitatea grupului de lucru pentru achiziții, aprobat prin H</w:t>
      </w:r>
      <w:r>
        <w:rPr>
          <w:rFonts w:ascii="Times New Roman" w:eastAsia="Times New Roman" w:hAnsi="Times New Roman" w:cs="Times New Roman"/>
          <w:bCs/>
          <w:sz w:val="16"/>
          <w:szCs w:val="16"/>
        </w:rPr>
        <w:t>G</w:t>
      </w:r>
      <w:r w:rsidRPr="00DC7CEA">
        <w:rPr>
          <w:rFonts w:ascii="Times New Roman" w:eastAsia="Times New Roman" w:hAnsi="Times New Roman" w:cs="Times New Roman"/>
          <w:bCs/>
          <w:sz w:val="16"/>
          <w:szCs w:val="16"/>
        </w:rPr>
        <w:t xml:space="preserve"> nr. 667 din 27.05.2016.</w:t>
      </w:r>
    </w:p>
  </w:footnote>
  <w:footnote w:id="58">
    <w:p w14:paraId="7BFAA303" w14:textId="77777777" w:rsidR="00753EA2" w:rsidRPr="00DC7CEA" w:rsidRDefault="00753EA2" w:rsidP="002868BE">
      <w:pPr>
        <w:pStyle w:val="a3"/>
        <w:jc w:val="both"/>
        <w:rPr>
          <w:rFonts w:ascii="Times New Roman" w:hAnsi="Times New Roman" w:cs="Times New Roman"/>
          <w:sz w:val="16"/>
          <w:szCs w:val="16"/>
        </w:rPr>
      </w:pPr>
      <w:r w:rsidRPr="00DC7CEA">
        <w:rPr>
          <w:rStyle w:val="a5"/>
          <w:rFonts w:ascii="Times New Roman" w:hAnsi="Times New Roman" w:cs="Times New Roman"/>
          <w:sz w:val="16"/>
          <w:szCs w:val="16"/>
        </w:rPr>
        <w:footnoteRef/>
      </w:r>
      <w:r w:rsidRPr="00DC7CEA">
        <w:rPr>
          <w:rFonts w:ascii="Times New Roman" w:hAnsi="Times New Roman" w:cs="Times New Roman"/>
          <w:sz w:val="16"/>
          <w:szCs w:val="16"/>
        </w:rPr>
        <w:t xml:space="preserve"> C</w:t>
      </w:r>
      <w:r w:rsidRPr="00DC7CEA">
        <w:rPr>
          <w:rFonts w:ascii="Times New Roman" w:eastAsia="Times New Roman" w:hAnsi="Times New Roman" w:cs="Times New Roman"/>
          <w:bCs/>
          <w:sz w:val="16"/>
          <w:szCs w:val="16"/>
        </w:rPr>
        <w:t>ontractul de antrepriză nr. 4 din 10.03.2022</w:t>
      </w:r>
      <w:r>
        <w:rPr>
          <w:rFonts w:ascii="Times New Roman" w:eastAsia="Times New Roman" w:hAnsi="Times New Roman" w:cs="Times New Roman"/>
          <w:bCs/>
          <w:sz w:val="16"/>
          <w:szCs w:val="16"/>
        </w:rPr>
        <w:t>.</w:t>
      </w:r>
    </w:p>
  </w:footnote>
  <w:footnote w:id="59">
    <w:p w14:paraId="594CA0ED" w14:textId="037E4F35" w:rsidR="00753EA2" w:rsidRPr="00E3137C" w:rsidRDefault="00753EA2" w:rsidP="002868BE">
      <w:pPr>
        <w:pStyle w:val="a3"/>
        <w:jc w:val="both"/>
        <w:rPr>
          <w:rFonts w:ascii="Times New Roman" w:hAnsi="Times New Roman" w:cs="Times New Roman"/>
          <w:sz w:val="16"/>
          <w:szCs w:val="16"/>
        </w:rPr>
      </w:pPr>
      <w:r w:rsidRPr="002868BE">
        <w:rPr>
          <w:rStyle w:val="a5"/>
          <w:rFonts w:ascii="Times New Roman" w:hAnsi="Times New Roman" w:cs="Times New Roman"/>
          <w:sz w:val="16"/>
          <w:szCs w:val="16"/>
        </w:rPr>
        <w:footnoteRef/>
      </w:r>
      <w:r w:rsidRPr="002868BE">
        <w:rPr>
          <w:rFonts w:ascii="Times New Roman" w:hAnsi="Times New Roman" w:cs="Times New Roman"/>
          <w:sz w:val="16"/>
          <w:szCs w:val="16"/>
        </w:rPr>
        <w:t xml:space="preserve"> Art. 76 alin. (7) lit. 4) din</w:t>
      </w:r>
      <w:r w:rsidRPr="00DC7CEA">
        <w:rPr>
          <w:rFonts w:ascii="Times New Roman" w:hAnsi="Times New Roman" w:cs="Times New Roman"/>
          <w:sz w:val="16"/>
          <w:szCs w:val="16"/>
        </w:rPr>
        <w:t xml:space="preserve"> Legea privind achizițiile publice nr</w:t>
      </w:r>
      <w:r>
        <w:rPr>
          <w:rFonts w:ascii="Times New Roman" w:hAnsi="Times New Roman" w:cs="Times New Roman"/>
          <w:sz w:val="16"/>
          <w:szCs w:val="16"/>
        </w:rPr>
        <w:t>.</w:t>
      </w:r>
      <w:r w:rsidRPr="00DC7CEA">
        <w:rPr>
          <w:rFonts w:ascii="Times New Roman" w:hAnsi="Times New Roman" w:cs="Times New Roman"/>
          <w:sz w:val="16"/>
          <w:szCs w:val="16"/>
        </w:rPr>
        <w:t xml:space="preserve"> 131 din 03.07.2015</w:t>
      </w:r>
      <w:r>
        <w:rPr>
          <w:rFonts w:ascii="Times New Roman" w:hAnsi="Times New Roman" w:cs="Times New Roman"/>
          <w:sz w:val="16"/>
          <w:szCs w:val="16"/>
        </w:rPr>
        <w:t>.</w:t>
      </w:r>
    </w:p>
  </w:footnote>
  <w:footnote w:id="60">
    <w:p w14:paraId="2F7B59D1" w14:textId="77777777" w:rsidR="00753EA2" w:rsidRPr="000C3CF3" w:rsidRDefault="00753EA2" w:rsidP="002868BE">
      <w:pPr>
        <w:pStyle w:val="a3"/>
        <w:jc w:val="both"/>
        <w:rPr>
          <w:rFonts w:ascii="Times New Roman" w:hAnsi="Times New Roman" w:cs="Times New Roman"/>
          <w:sz w:val="16"/>
          <w:szCs w:val="16"/>
        </w:rPr>
      </w:pPr>
      <w:r w:rsidRPr="00E3137C">
        <w:rPr>
          <w:rStyle w:val="a5"/>
          <w:rFonts w:ascii="Times New Roman" w:hAnsi="Times New Roman" w:cs="Times New Roman"/>
          <w:sz w:val="16"/>
          <w:szCs w:val="16"/>
        </w:rPr>
        <w:footnoteRef/>
      </w:r>
      <w:r w:rsidRPr="00E3137C">
        <w:rPr>
          <w:rFonts w:ascii="Times New Roman" w:hAnsi="Times New Roman" w:cs="Times New Roman"/>
          <w:sz w:val="16"/>
          <w:szCs w:val="16"/>
        </w:rPr>
        <w:t xml:space="preserve"> Ordinul </w:t>
      </w:r>
      <w:r w:rsidRPr="00E3137C">
        <w:rPr>
          <w:rFonts w:ascii="Times New Roman" w:hAnsi="Times New Roman" w:cs="Times New Roman"/>
          <w:color w:val="000000" w:themeColor="text1"/>
          <w:sz w:val="16"/>
          <w:szCs w:val="16"/>
          <w:lang w:val="ro-RO"/>
        </w:rPr>
        <w:t xml:space="preserve">Ministrului Transporturilor și Gospodăriei Drumurilor nr. 172 din 09.12.2005 </w:t>
      </w:r>
      <w:r>
        <w:rPr>
          <w:rFonts w:ascii="Times New Roman" w:hAnsi="Times New Roman" w:cs="Times New Roman"/>
          <w:color w:val="000000" w:themeColor="text1"/>
          <w:sz w:val="16"/>
          <w:szCs w:val="16"/>
          <w:lang w:val="ro-RO"/>
        </w:rPr>
        <w:t>„C</w:t>
      </w:r>
      <w:r w:rsidRPr="00E3137C">
        <w:rPr>
          <w:rFonts w:ascii="Times New Roman" w:hAnsi="Times New Roman" w:cs="Times New Roman"/>
          <w:color w:val="000000" w:themeColor="text1"/>
          <w:sz w:val="16"/>
          <w:szCs w:val="16"/>
          <w:lang w:val="ro-RO"/>
        </w:rPr>
        <w:t>u privire la aprobarea Normelor de consum de combustibil și lubrifianți în transportul auto</w:t>
      </w:r>
      <w:r>
        <w:rPr>
          <w:rFonts w:ascii="Times New Roman" w:hAnsi="Times New Roman" w:cs="Times New Roman"/>
          <w:color w:val="000000" w:themeColor="text1"/>
          <w:sz w:val="16"/>
          <w:szCs w:val="16"/>
          <w:lang w:val="ro-RO"/>
        </w:rPr>
        <w:t>”</w:t>
      </w:r>
      <w:r w:rsidRPr="00E3137C">
        <w:rPr>
          <w:rFonts w:ascii="Times New Roman" w:hAnsi="Times New Roman" w:cs="Times New Roman"/>
          <w:color w:val="000000" w:themeColor="text1"/>
          <w:sz w:val="16"/>
          <w:szCs w:val="16"/>
          <w:lang w:val="ro-RO"/>
        </w:rPr>
        <w:t>.</w:t>
      </w:r>
    </w:p>
  </w:footnote>
  <w:footnote w:id="61">
    <w:p w14:paraId="2A316737" w14:textId="1DEC8B88" w:rsidR="00753EA2" w:rsidRPr="000C3CF3" w:rsidRDefault="00753EA2" w:rsidP="002868BE">
      <w:pPr>
        <w:pStyle w:val="a3"/>
        <w:jc w:val="both"/>
        <w:rPr>
          <w:rFonts w:ascii="Times New Roman" w:hAnsi="Times New Roman" w:cs="Times New Roman"/>
          <w:sz w:val="16"/>
          <w:szCs w:val="16"/>
        </w:rPr>
      </w:pPr>
      <w:r w:rsidRPr="000C3CF3">
        <w:rPr>
          <w:rStyle w:val="a5"/>
          <w:rFonts w:ascii="Times New Roman" w:hAnsi="Times New Roman" w:cs="Times New Roman"/>
          <w:sz w:val="16"/>
          <w:szCs w:val="16"/>
        </w:rPr>
        <w:footnoteRef/>
      </w:r>
      <w:r w:rsidRPr="000C3CF3">
        <w:rPr>
          <w:rFonts w:ascii="Times New Roman" w:hAnsi="Times New Roman" w:cs="Times New Roman"/>
          <w:sz w:val="16"/>
          <w:szCs w:val="16"/>
        </w:rPr>
        <w:t xml:space="preserve"> BA</w:t>
      </w:r>
      <w:r>
        <w:rPr>
          <w:rFonts w:ascii="Times New Roman" w:hAnsi="Times New Roman" w:cs="Times New Roman"/>
          <w:sz w:val="16"/>
          <w:szCs w:val="16"/>
        </w:rPr>
        <w:t xml:space="preserve"> a </w:t>
      </w:r>
      <w:r w:rsidRPr="000C3CF3">
        <w:rPr>
          <w:rFonts w:ascii="Times New Roman" w:hAnsi="Times New Roman" w:cs="Times New Roman"/>
          <w:sz w:val="16"/>
          <w:szCs w:val="16"/>
        </w:rPr>
        <w:t xml:space="preserve">CS stabilește 4 norme de consum de combustibil pentru mijloacele de transport gestionate, acestea fiind aplicate în </w:t>
      </w:r>
      <w:r>
        <w:rPr>
          <w:rFonts w:ascii="Times New Roman" w:hAnsi="Times New Roman" w:cs="Times New Roman"/>
          <w:sz w:val="16"/>
          <w:szCs w:val="16"/>
        </w:rPr>
        <w:t>funcție</w:t>
      </w:r>
      <w:r w:rsidRPr="000C3CF3">
        <w:rPr>
          <w:rFonts w:ascii="Times New Roman" w:hAnsi="Times New Roman" w:cs="Times New Roman"/>
          <w:sz w:val="16"/>
          <w:szCs w:val="16"/>
        </w:rPr>
        <w:t xml:space="preserve"> de factorul climatic (vară sau iarnă) și de regimul de circulație la exploatare </w:t>
      </w:r>
      <w:r>
        <w:rPr>
          <w:rFonts w:ascii="Times New Roman" w:hAnsi="Times New Roman" w:cs="Times New Roman"/>
          <w:sz w:val="16"/>
          <w:szCs w:val="16"/>
        </w:rPr>
        <w:t>(ciclul urban sau extra-urban).</w:t>
      </w:r>
    </w:p>
  </w:footnote>
  <w:footnote w:id="62">
    <w:p w14:paraId="1CF4AD0A" w14:textId="77777777" w:rsidR="00753EA2" w:rsidRPr="00EA7FDA" w:rsidRDefault="00753EA2" w:rsidP="002868BE">
      <w:pPr>
        <w:pStyle w:val="a3"/>
        <w:jc w:val="both"/>
      </w:pPr>
      <w:r w:rsidRPr="000C3CF3">
        <w:rPr>
          <w:rStyle w:val="a5"/>
          <w:rFonts w:ascii="Times New Roman" w:hAnsi="Times New Roman" w:cs="Times New Roman"/>
          <w:sz w:val="16"/>
          <w:szCs w:val="16"/>
        </w:rPr>
        <w:footnoteRef/>
      </w:r>
      <w:r w:rsidRPr="000C3CF3">
        <w:rPr>
          <w:rFonts w:ascii="Times New Roman" w:hAnsi="Times New Roman" w:cs="Times New Roman"/>
          <w:sz w:val="16"/>
          <w:szCs w:val="16"/>
        </w:rPr>
        <w:t xml:space="preserve"> Din cele 67 </w:t>
      </w:r>
      <w:r>
        <w:rPr>
          <w:rFonts w:ascii="Times New Roman" w:hAnsi="Times New Roman" w:cs="Times New Roman"/>
          <w:sz w:val="16"/>
          <w:szCs w:val="16"/>
        </w:rPr>
        <w:t xml:space="preserve">de </w:t>
      </w:r>
      <w:r w:rsidRPr="000C3CF3">
        <w:rPr>
          <w:rFonts w:ascii="Times New Roman" w:hAnsi="Times New Roman" w:cs="Times New Roman"/>
          <w:sz w:val="16"/>
          <w:szCs w:val="16"/>
        </w:rPr>
        <w:t>unități verificate.</w:t>
      </w:r>
    </w:p>
  </w:footnote>
  <w:footnote w:id="63">
    <w:p w14:paraId="779BB2A1" w14:textId="65D03200" w:rsidR="00753EA2" w:rsidRPr="005027AB" w:rsidRDefault="00753EA2" w:rsidP="002868BE">
      <w:pPr>
        <w:pStyle w:val="Footnote0"/>
        <w:shd w:val="clear" w:color="auto" w:fill="auto"/>
        <w:tabs>
          <w:tab w:val="left" w:pos="574"/>
        </w:tabs>
        <w:rPr>
          <w:rFonts w:ascii="Times New Roman" w:hAnsi="Times New Roman" w:cs="Times New Roman"/>
          <w:sz w:val="16"/>
          <w:szCs w:val="16"/>
          <w:lang w:val="ro-RO"/>
        </w:rPr>
      </w:pPr>
      <w:r w:rsidRPr="000F2840">
        <w:rPr>
          <w:rFonts w:ascii="Times New Roman" w:hAnsi="Times New Roman" w:cs="Times New Roman"/>
          <w:color w:val="000000"/>
          <w:sz w:val="16"/>
          <w:szCs w:val="16"/>
          <w:vertAlign w:val="superscript"/>
          <w:lang w:val="ro-RO" w:eastAsia="ro-RO" w:bidi="ro-RO"/>
        </w:rPr>
        <w:footnoteRef/>
      </w:r>
      <w:r>
        <w:rPr>
          <w:rFonts w:ascii="Times New Roman" w:hAnsi="Times New Roman" w:cs="Times New Roman"/>
          <w:color w:val="000000"/>
          <w:sz w:val="16"/>
          <w:szCs w:val="16"/>
          <w:lang w:val="ro-RO" w:eastAsia="ro-RO" w:bidi="ro-RO"/>
        </w:rPr>
        <w:t xml:space="preserve"> </w:t>
      </w:r>
      <w:r w:rsidRPr="000F2840">
        <w:rPr>
          <w:rFonts w:ascii="Times New Roman" w:hAnsi="Times New Roman" w:cs="Times New Roman"/>
          <w:color w:val="000000"/>
          <w:sz w:val="16"/>
          <w:szCs w:val="16"/>
          <w:lang w:val="ro-RO" w:eastAsia="ro-RO" w:bidi="ro-RO"/>
        </w:rPr>
        <w:t>Art.74 alin. (1) din Legea nr. 131/2015 privind achizițiile publice.</w:t>
      </w:r>
    </w:p>
  </w:footnote>
  <w:footnote w:id="64">
    <w:p w14:paraId="2B20B0FE" w14:textId="77777777" w:rsidR="00753EA2" w:rsidRPr="000C0180" w:rsidRDefault="00753EA2" w:rsidP="002868BE">
      <w:pPr>
        <w:pStyle w:val="Footnote0"/>
        <w:shd w:val="clear" w:color="auto" w:fill="auto"/>
        <w:tabs>
          <w:tab w:val="left" w:pos="90"/>
          <w:tab w:val="left" w:pos="180"/>
        </w:tabs>
        <w:rPr>
          <w:rFonts w:ascii="Times New Roman" w:hAnsi="Times New Roman" w:cs="Times New Roman"/>
          <w:sz w:val="16"/>
          <w:szCs w:val="16"/>
          <w:lang w:val="ro-RO"/>
        </w:rPr>
      </w:pPr>
      <w:r w:rsidRPr="000C0180">
        <w:rPr>
          <w:rFonts w:ascii="Times New Roman" w:hAnsi="Times New Roman" w:cs="Times New Roman"/>
          <w:color w:val="000000"/>
          <w:sz w:val="16"/>
          <w:szCs w:val="16"/>
          <w:vertAlign w:val="superscript"/>
          <w:lang w:val="ro-RO" w:eastAsia="ro-RO" w:bidi="ro-RO"/>
        </w:rPr>
        <w:footnoteRef/>
      </w:r>
      <w:r w:rsidRPr="000C0180">
        <w:rPr>
          <w:rFonts w:ascii="Times New Roman" w:hAnsi="Times New Roman" w:cs="Times New Roman"/>
          <w:color w:val="000000"/>
          <w:sz w:val="16"/>
          <w:szCs w:val="16"/>
          <w:lang w:val="ro-RO" w:eastAsia="ro-RO" w:bidi="ro-RO"/>
        </w:rPr>
        <w:t xml:space="preserve"> Art.76 alin. (1) din Legea nr. 131/2015 privind achizițiile publice.</w:t>
      </w:r>
    </w:p>
  </w:footnote>
  <w:footnote w:id="65">
    <w:p w14:paraId="56EF7E59" w14:textId="1ACFC647" w:rsidR="00753EA2" w:rsidRPr="005027AB" w:rsidRDefault="00753EA2" w:rsidP="002868BE">
      <w:pPr>
        <w:pStyle w:val="a3"/>
        <w:jc w:val="both"/>
        <w:rPr>
          <w:rFonts w:ascii="Times New Roman" w:hAnsi="Times New Roman" w:cs="Times New Roman"/>
          <w:sz w:val="16"/>
          <w:szCs w:val="16"/>
          <w:lang w:val="ro-RO"/>
        </w:rPr>
      </w:pPr>
      <w:r w:rsidRPr="005027AB">
        <w:rPr>
          <w:rStyle w:val="a5"/>
          <w:rFonts w:ascii="Times New Roman" w:hAnsi="Times New Roman" w:cs="Times New Roman"/>
          <w:sz w:val="16"/>
          <w:szCs w:val="16"/>
          <w:lang w:val="ro-RO"/>
        </w:rPr>
        <w:footnoteRef/>
      </w:r>
      <w:r w:rsidRPr="000C0180">
        <w:rPr>
          <w:rFonts w:ascii="Times New Roman" w:hAnsi="Times New Roman" w:cs="Times New Roman"/>
          <w:sz w:val="16"/>
          <w:szCs w:val="16"/>
          <w:lang w:val="ro-RO"/>
        </w:rPr>
        <w:t xml:space="preserve"> </w:t>
      </w:r>
      <w:r w:rsidRPr="00CC296E">
        <w:rPr>
          <w:rFonts w:ascii="Times New Roman" w:hAnsi="Times New Roman" w:cs="Times New Roman"/>
          <w:sz w:val="16"/>
          <w:szCs w:val="16"/>
          <w:lang w:val="ro-RO"/>
        </w:rPr>
        <w:t xml:space="preserve">Pct. 7 din </w:t>
      </w:r>
      <w:r w:rsidRPr="00CC296E">
        <w:rPr>
          <w:rFonts w:ascii="Times New Roman" w:hAnsi="Times New Roman" w:cs="Times New Roman"/>
          <w:color w:val="333333"/>
          <w:sz w:val="16"/>
          <w:szCs w:val="16"/>
          <w:shd w:val="clear" w:color="auto" w:fill="FFFFFF"/>
          <w:lang w:val="ro-RO"/>
        </w:rPr>
        <w:t xml:space="preserve">Regulamentul cu privire la achizițiile publice de valoare </w:t>
      </w:r>
      <w:r w:rsidRPr="002868BE">
        <w:rPr>
          <w:rFonts w:ascii="Times New Roman" w:hAnsi="Times New Roman" w:cs="Times New Roman"/>
          <w:color w:val="333333"/>
          <w:sz w:val="16"/>
          <w:szCs w:val="16"/>
          <w:shd w:val="clear" w:color="auto" w:fill="FFFFFF"/>
          <w:lang w:val="ro-RO"/>
        </w:rPr>
        <w:t>mică, aprobat prin HG nr.665 din 27.05.2016 și p</w:t>
      </w:r>
      <w:r w:rsidRPr="002868BE">
        <w:rPr>
          <w:rFonts w:ascii="Times New Roman" w:hAnsi="Times New Roman" w:cs="Times New Roman"/>
          <w:sz w:val="16"/>
          <w:szCs w:val="16"/>
          <w:lang w:val="ro-RO"/>
        </w:rPr>
        <w:t xml:space="preserve">ct. 13 din </w:t>
      </w:r>
      <w:r w:rsidRPr="002868BE">
        <w:rPr>
          <w:rFonts w:ascii="Times New Roman" w:hAnsi="Times New Roman" w:cs="Times New Roman"/>
          <w:color w:val="333333"/>
          <w:sz w:val="16"/>
          <w:szCs w:val="16"/>
          <w:shd w:val="clear" w:color="auto" w:fill="FFFFFF"/>
          <w:lang w:val="ro-RO"/>
        </w:rPr>
        <w:t>Regulamentul cu privire la achizițiile publice de valoare mică, aprobat prin HG nr.870/2022.</w:t>
      </w:r>
      <w:r>
        <w:rPr>
          <w:rFonts w:ascii="Times New Roman" w:hAnsi="Times New Roman" w:cs="Times New Roman"/>
          <w:color w:val="333333"/>
          <w:sz w:val="16"/>
          <w:szCs w:val="16"/>
          <w:shd w:val="clear" w:color="auto" w:fill="FFFFFF"/>
          <w:lang w:val="ro-RO"/>
        </w:rPr>
        <w:t xml:space="preserve"> </w:t>
      </w:r>
    </w:p>
  </w:footnote>
  <w:footnote w:id="66">
    <w:p w14:paraId="3CCF0382" w14:textId="0F89A13E" w:rsidR="00753EA2" w:rsidRPr="000F2840" w:rsidRDefault="00753EA2" w:rsidP="002868BE">
      <w:pPr>
        <w:pStyle w:val="a3"/>
        <w:jc w:val="both"/>
        <w:rPr>
          <w:rFonts w:ascii="Times New Roman" w:hAnsi="Times New Roman" w:cs="Times New Roman"/>
          <w:sz w:val="16"/>
          <w:szCs w:val="16"/>
          <w:lang w:val="ro-RO"/>
        </w:rPr>
      </w:pPr>
      <w:r w:rsidRPr="005027AB">
        <w:rPr>
          <w:rStyle w:val="a5"/>
          <w:rFonts w:ascii="Times New Roman" w:hAnsi="Times New Roman" w:cs="Times New Roman"/>
          <w:sz w:val="16"/>
          <w:szCs w:val="16"/>
          <w:lang w:val="ro-RO"/>
        </w:rPr>
        <w:footnoteRef/>
      </w:r>
      <w:r w:rsidRPr="005027AB">
        <w:rPr>
          <w:rFonts w:ascii="Times New Roman" w:hAnsi="Times New Roman" w:cs="Times New Roman"/>
          <w:sz w:val="16"/>
          <w:szCs w:val="16"/>
          <w:lang w:val="ro-RO"/>
        </w:rPr>
        <w:t xml:space="preserve"> </w:t>
      </w:r>
      <w:r w:rsidRPr="00CC296E">
        <w:rPr>
          <w:rFonts w:ascii="Times New Roman" w:hAnsi="Times New Roman" w:cs="Times New Roman"/>
          <w:sz w:val="16"/>
          <w:szCs w:val="16"/>
          <w:shd w:val="clear" w:color="auto" w:fill="FFFFFF"/>
          <w:lang w:val="ro-RO"/>
        </w:rPr>
        <w:t>Mobilier, drapele, servicii de traducere, servicii de cercetări științifice, echipament tehnic, dispozitive periferice.</w:t>
      </w:r>
    </w:p>
  </w:footnote>
  <w:footnote w:id="67">
    <w:p w14:paraId="6CC670A2" w14:textId="7C48BF5B" w:rsidR="00753EA2" w:rsidRPr="005027AB" w:rsidRDefault="00753EA2" w:rsidP="002868BE">
      <w:pPr>
        <w:pStyle w:val="a3"/>
        <w:jc w:val="both"/>
        <w:rPr>
          <w:rFonts w:ascii="Times New Roman" w:hAnsi="Times New Roman" w:cs="Times New Roman"/>
          <w:sz w:val="16"/>
          <w:szCs w:val="16"/>
          <w:lang w:val="ro-RO"/>
        </w:rPr>
      </w:pPr>
      <w:r w:rsidRPr="005027AB">
        <w:rPr>
          <w:rStyle w:val="a5"/>
          <w:rFonts w:ascii="Times New Roman" w:hAnsi="Times New Roman" w:cs="Times New Roman"/>
          <w:sz w:val="16"/>
          <w:szCs w:val="16"/>
          <w:lang w:val="ro-RO"/>
        </w:rPr>
        <w:footnoteRef/>
      </w:r>
      <w:r w:rsidRPr="005027AB">
        <w:rPr>
          <w:rFonts w:ascii="Times New Roman" w:hAnsi="Times New Roman" w:cs="Times New Roman"/>
          <w:sz w:val="16"/>
          <w:szCs w:val="16"/>
          <w:lang w:val="ro-RO"/>
        </w:rPr>
        <w:t xml:space="preserve"> </w:t>
      </w:r>
      <w:r>
        <w:rPr>
          <w:rFonts w:ascii="Times New Roman" w:hAnsi="Times New Roman" w:cs="Times New Roman"/>
          <w:sz w:val="16"/>
          <w:szCs w:val="16"/>
          <w:lang w:val="ro-RO"/>
        </w:rPr>
        <w:t>P</w:t>
      </w:r>
      <w:r w:rsidRPr="00CC296E">
        <w:rPr>
          <w:rFonts w:ascii="Times New Roman" w:hAnsi="Times New Roman" w:cs="Times New Roman"/>
          <w:sz w:val="16"/>
          <w:szCs w:val="16"/>
          <w:lang w:val="ro-RO"/>
        </w:rPr>
        <w:t>ct.5 din Regulamentul cu privire la modul de planificare a contractelor de achiziții publice</w:t>
      </w:r>
      <w:r>
        <w:rPr>
          <w:rFonts w:ascii="Times New Roman" w:hAnsi="Times New Roman" w:cs="Times New Roman"/>
          <w:sz w:val="16"/>
          <w:szCs w:val="16"/>
          <w:lang w:val="ro-RO"/>
        </w:rPr>
        <w:t>,</w:t>
      </w:r>
      <w:r w:rsidRPr="00CC296E">
        <w:rPr>
          <w:rFonts w:ascii="Times New Roman" w:hAnsi="Times New Roman" w:cs="Times New Roman"/>
          <w:sz w:val="16"/>
          <w:szCs w:val="16"/>
          <w:lang w:val="ro-RO"/>
        </w:rPr>
        <w:t xml:space="preserve"> aprobat prin HG </w:t>
      </w:r>
      <w:r>
        <w:rPr>
          <w:rFonts w:ascii="Times New Roman" w:hAnsi="Times New Roman" w:cs="Times New Roman"/>
          <w:sz w:val="16"/>
          <w:szCs w:val="16"/>
          <w:lang w:val="ro-RO"/>
        </w:rPr>
        <w:t>nr.</w:t>
      </w:r>
      <w:r w:rsidRPr="00CC296E">
        <w:rPr>
          <w:rFonts w:ascii="Times New Roman" w:hAnsi="Times New Roman" w:cs="Times New Roman"/>
          <w:sz w:val="16"/>
          <w:szCs w:val="16"/>
          <w:lang w:val="ro-RO"/>
        </w:rPr>
        <w:t>1419 din 28</w:t>
      </w:r>
      <w:r>
        <w:rPr>
          <w:rFonts w:ascii="Times New Roman" w:hAnsi="Times New Roman" w:cs="Times New Roman"/>
          <w:sz w:val="16"/>
          <w:szCs w:val="16"/>
          <w:lang w:val="ro-RO"/>
        </w:rPr>
        <w:t>.12.</w:t>
      </w:r>
      <w:r w:rsidRPr="00CC296E">
        <w:rPr>
          <w:rFonts w:ascii="Times New Roman" w:hAnsi="Times New Roman" w:cs="Times New Roman"/>
          <w:sz w:val="16"/>
          <w:szCs w:val="16"/>
          <w:lang w:val="ro-RO"/>
        </w:rPr>
        <w:t>2016.</w:t>
      </w:r>
    </w:p>
  </w:footnote>
  <w:footnote w:id="68">
    <w:p w14:paraId="13DBF1F6" w14:textId="49DEADA7" w:rsidR="00753EA2" w:rsidRPr="002035E1" w:rsidRDefault="00753EA2" w:rsidP="002868BE">
      <w:pPr>
        <w:pStyle w:val="a3"/>
        <w:jc w:val="both"/>
        <w:rPr>
          <w:rFonts w:ascii="Times New Roman" w:hAnsi="Times New Roman" w:cs="Times New Roman"/>
          <w:sz w:val="16"/>
          <w:szCs w:val="16"/>
        </w:rPr>
      </w:pPr>
      <w:r w:rsidRPr="005027AB">
        <w:rPr>
          <w:rStyle w:val="a5"/>
          <w:rFonts w:ascii="Times New Roman" w:hAnsi="Times New Roman" w:cs="Times New Roman"/>
          <w:sz w:val="16"/>
          <w:szCs w:val="16"/>
          <w:lang w:val="ro-RO"/>
        </w:rPr>
        <w:footnoteRef/>
      </w:r>
      <w:r w:rsidRPr="005027AB">
        <w:rPr>
          <w:rFonts w:ascii="Times New Roman" w:hAnsi="Times New Roman" w:cs="Times New Roman"/>
          <w:sz w:val="16"/>
          <w:szCs w:val="16"/>
          <w:lang w:val="ro-RO"/>
        </w:rPr>
        <w:t xml:space="preserve"> </w:t>
      </w:r>
      <w:r w:rsidRPr="00F7386F">
        <w:rPr>
          <w:rFonts w:ascii="Times New Roman" w:hAnsi="Times New Roman" w:cs="Times New Roman"/>
          <w:sz w:val="16"/>
          <w:szCs w:val="16"/>
          <w:lang w:val="ro-RO"/>
        </w:rPr>
        <w:t>La DGACG cele mai semnificative divergențe dintre planul de alocații și planul de achiziție se atestă în anul 2018 – 2,69 mil. lei</w:t>
      </w:r>
      <w:r>
        <w:rPr>
          <w:rFonts w:ascii="Times New Roman" w:hAnsi="Times New Roman" w:cs="Times New Roman"/>
          <w:sz w:val="16"/>
          <w:szCs w:val="16"/>
          <w:lang w:val="ro-RO"/>
        </w:rPr>
        <w:t>,</w:t>
      </w:r>
      <w:r w:rsidRPr="00F7386F">
        <w:rPr>
          <w:rFonts w:ascii="Times New Roman" w:hAnsi="Times New Roman" w:cs="Times New Roman"/>
          <w:sz w:val="16"/>
          <w:szCs w:val="16"/>
          <w:lang w:val="ro-RO"/>
        </w:rPr>
        <w:t xml:space="preserve"> și anul </w:t>
      </w:r>
      <w:r>
        <w:rPr>
          <w:rFonts w:ascii="Times New Roman" w:hAnsi="Times New Roman" w:cs="Times New Roman"/>
          <w:sz w:val="16"/>
          <w:szCs w:val="16"/>
          <w:lang w:val="ro-RO"/>
        </w:rPr>
        <w:t xml:space="preserve">în </w:t>
      </w:r>
      <w:r w:rsidRPr="00F7386F">
        <w:rPr>
          <w:rFonts w:ascii="Times New Roman" w:hAnsi="Times New Roman" w:cs="Times New Roman"/>
          <w:sz w:val="16"/>
          <w:szCs w:val="16"/>
          <w:lang w:val="ro-RO"/>
        </w:rPr>
        <w:t xml:space="preserve">2019 – 2,3 </w:t>
      </w:r>
      <w:r>
        <w:rPr>
          <w:rFonts w:ascii="Times New Roman" w:hAnsi="Times New Roman" w:cs="Times New Roman"/>
          <w:sz w:val="16"/>
          <w:szCs w:val="16"/>
        </w:rPr>
        <w:t>mil. lei..</w:t>
      </w:r>
    </w:p>
  </w:footnote>
  <w:footnote w:id="69">
    <w:p w14:paraId="77DE2EA0" w14:textId="3044134B" w:rsidR="00753EA2" w:rsidRPr="00F5103C" w:rsidRDefault="00753EA2" w:rsidP="002868BE">
      <w:pPr>
        <w:pStyle w:val="a3"/>
        <w:jc w:val="both"/>
        <w:rPr>
          <w:rFonts w:ascii="Times New Roman" w:hAnsi="Times New Roman" w:cs="Times New Roman"/>
          <w:sz w:val="18"/>
          <w:szCs w:val="18"/>
        </w:rPr>
      </w:pPr>
      <w:r w:rsidRPr="002035E1">
        <w:rPr>
          <w:rStyle w:val="a5"/>
          <w:rFonts w:ascii="Times New Roman" w:hAnsi="Times New Roman" w:cs="Times New Roman"/>
          <w:sz w:val="16"/>
          <w:szCs w:val="16"/>
        </w:rPr>
        <w:footnoteRef/>
      </w:r>
      <w:r w:rsidRPr="002035E1">
        <w:rPr>
          <w:rFonts w:ascii="Times New Roman" w:hAnsi="Times New Roman" w:cs="Times New Roman"/>
          <w:sz w:val="16"/>
          <w:szCs w:val="16"/>
        </w:rPr>
        <w:t xml:space="preserve"> </w:t>
      </w:r>
      <w:r>
        <w:rPr>
          <w:rFonts w:ascii="Times New Roman" w:hAnsi="Times New Roman" w:cs="Times New Roman"/>
          <w:sz w:val="16"/>
          <w:szCs w:val="16"/>
        </w:rPr>
        <w:t>Î</w:t>
      </w:r>
      <w:r w:rsidRPr="002035E1">
        <w:rPr>
          <w:rFonts w:ascii="Times New Roman" w:hAnsi="Times New Roman" w:cs="Times New Roman"/>
          <w:sz w:val="16"/>
          <w:szCs w:val="16"/>
        </w:rPr>
        <w:t>n planurile anuale de achiziții publice pentru an</w:t>
      </w:r>
      <w:r>
        <w:rPr>
          <w:rFonts w:ascii="Times New Roman" w:hAnsi="Times New Roman" w:cs="Times New Roman"/>
          <w:sz w:val="16"/>
          <w:szCs w:val="16"/>
        </w:rPr>
        <w:t>ii</w:t>
      </w:r>
      <w:r w:rsidRPr="002035E1">
        <w:rPr>
          <w:rFonts w:ascii="Times New Roman" w:hAnsi="Times New Roman" w:cs="Times New Roman"/>
          <w:sz w:val="16"/>
          <w:szCs w:val="16"/>
        </w:rPr>
        <w:t xml:space="preserve"> 2020, 2021 și 2022 nu este indicată valoarea estimată a contractelor de achiziții publice.</w:t>
      </w:r>
    </w:p>
  </w:footnote>
  <w:footnote w:id="70">
    <w:p w14:paraId="21AF9C2C" w14:textId="77777777" w:rsidR="00753EA2" w:rsidRPr="00045402" w:rsidRDefault="00753EA2" w:rsidP="002868BE">
      <w:pPr>
        <w:pStyle w:val="a3"/>
        <w:jc w:val="both"/>
        <w:rPr>
          <w:rFonts w:ascii="Times New Roman" w:hAnsi="Times New Roman" w:cs="Times New Roman"/>
          <w:sz w:val="16"/>
          <w:szCs w:val="16"/>
        </w:rPr>
      </w:pPr>
      <w:r w:rsidRPr="00045402">
        <w:rPr>
          <w:rStyle w:val="a5"/>
          <w:rFonts w:ascii="Times New Roman" w:hAnsi="Times New Roman" w:cs="Times New Roman"/>
          <w:sz w:val="16"/>
          <w:szCs w:val="16"/>
        </w:rPr>
        <w:footnoteRef/>
      </w:r>
      <w:r w:rsidRPr="00045402">
        <w:rPr>
          <w:rFonts w:ascii="Times New Roman" w:hAnsi="Times New Roman" w:cs="Times New Roman"/>
          <w:sz w:val="16"/>
          <w:szCs w:val="16"/>
        </w:rPr>
        <w:t xml:space="preserve"> </w:t>
      </w:r>
      <w:r>
        <w:rPr>
          <w:rFonts w:ascii="Times New Roman" w:hAnsi="Times New Roman" w:cs="Times New Roman"/>
          <w:sz w:val="16"/>
          <w:szCs w:val="16"/>
        </w:rPr>
        <w:t>P</w:t>
      </w:r>
      <w:r w:rsidRPr="002035E1">
        <w:rPr>
          <w:rFonts w:ascii="Times New Roman" w:hAnsi="Times New Roman" w:cs="Times New Roman"/>
          <w:sz w:val="16"/>
          <w:szCs w:val="16"/>
        </w:rPr>
        <w:t>ct. 13 din Regulamentul cu privire la modul de planificare a contractelor de achiziții publice</w:t>
      </w:r>
      <w:r>
        <w:rPr>
          <w:rFonts w:ascii="Times New Roman" w:hAnsi="Times New Roman" w:cs="Times New Roman"/>
          <w:sz w:val="16"/>
          <w:szCs w:val="16"/>
        </w:rPr>
        <w:t>,</w:t>
      </w:r>
      <w:r w:rsidRPr="002035E1">
        <w:rPr>
          <w:rFonts w:ascii="Times New Roman" w:hAnsi="Times New Roman" w:cs="Times New Roman"/>
          <w:sz w:val="16"/>
          <w:szCs w:val="16"/>
        </w:rPr>
        <w:t xml:space="preserve"> aprobat prin HG </w:t>
      </w:r>
      <w:r>
        <w:rPr>
          <w:rFonts w:ascii="Times New Roman" w:hAnsi="Times New Roman" w:cs="Times New Roman"/>
          <w:sz w:val="16"/>
          <w:szCs w:val="16"/>
        </w:rPr>
        <w:t>nr.</w:t>
      </w:r>
      <w:r w:rsidRPr="002035E1">
        <w:rPr>
          <w:rFonts w:ascii="Times New Roman" w:hAnsi="Times New Roman" w:cs="Times New Roman"/>
          <w:sz w:val="16"/>
          <w:szCs w:val="16"/>
        </w:rPr>
        <w:t>1419/2016</w:t>
      </w:r>
      <w:r>
        <w:rPr>
          <w:rFonts w:ascii="Times New Roman" w:hAnsi="Times New Roman" w:cs="Times New Roman"/>
          <w:sz w:val="16"/>
          <w:szCs w:val="16"/>
        </w:rPr>
        <w:t>.</w:t>
      </w:r>
    </w:p>
  </w:footnote>
  <w:footnote w:id="71">
    <w:p w14:paraId="69071B20" w14:textId="64A9B16F" w:rsidR="00753EA2" w:rsidRPr="00045402" w:rsidRDefault="00753EA2" w:rsidP="002868BE">
      <w:pPr>
        <w:pStyle w:val="a3"/>
        <w:jc w:val="both"/>
        <w:rPr>
          <w:rFonts w:ascii="Times New Roman" w:hAnsi="Times New Roman" w:cs="Times New Roman"/>
          <w:sz w:val="16"/>
          <w:szCs w:val="16"/>
        </w:rPr>
      </w:pPr>
      <w:r w:rsidRPr="00045402">
        <w:rPr>
          <w:rStyle w:val="a5"/>
          <w:rFonts w:ascii="Times New Roman" w:hAnsi="Times New Roman" w:cs="Times New Roman"/>
          <w:sz w:val="16"/>
          <w:szCs w:val="16"/>
        </w:rPr>
        <w:footnoteRef/>
      </w:r>
      <w:r w:rsidRPr="00045402">
        <w:rPr>
          <w:rFonts w:ascii="Times New Roman" w:hAnsi="Times New Roman" w:cs="Times New Roman"/>
          <w:sz w:val="16"/>
          <w:szCs w:val="16"/>
        </w:rPr>
        <w:t xml:space="preserve"> Detaliat constatările au fost prezentate I</w:t>
      </w:r>
      <w:r>
        <w:rPr>
          <w:rFonts w:ascii="Times New Roman" w:hAnsi="Times New Roman" w:cs="Times New Roman"/>
          <w:sz w:val="16"/>
          <w:szCs w:val="16"/>
        </w:rPr>
        <w:t>.</w:t>
      </w:r>
      <w:r w:rsidRPr="00045402">
        <w:rPr>
          <w:rFonts w:ascii="Times New Roman" w:hAnsi="Times New Roman" w:cs="Times New Roman"/>
          <w:sz w:val="16"/>
          <w:szCs w:val="16"/>
        </w:rPr>
        <w:t>P</w:t>
      </w:r>
      <w:r>
        <w:rPr>
          <w:rFonts w:ascii="Times New Roman" w:hAnsi="Times New Roman" w:cs="Times New Roman"/>
          <w:sz w:val="16"/>
          <w:szCs w:val="16"/>
        </w:rPr>
        <w:t>.</w:t>
      </w:r>
      <w:r w:rsidRPr="00045402">
        <w:rPr>
          <w:rFonts w:ascii="Times New Roman" w:hAnsi="Times New Roman" w:cs="Times New Roman"/>
          <w:sz w:val="16"/>
          <w:szCs w:val="16"/>
        </w:rPr>
        <w:t xml:space="preserve"> prin Note preliminare de comunicare, inclusiv: Nota nr. 1 din 27.11.2023 prezentată BA,</w:t>
      </w:r>
      <w:r>
        <w:rPr>
          <w:rFonts w:ascii="Times New Roman" w:hAnsi="Times New Roman" w:cs="Times New Roman"/>
          <w:sz w:val="16"/>
          <w:szCs w:val="16"/>
        </w:rPr>
        <w:t xml:space="preserve"> Nota prezentată DGACG la 03.01.2024 și Nota prezentată CS la data de 29.12.2023</w:t>
      </w:r>
      <w:r w:rsidRPr="00045402">
        <w:rPr>
          <w:rFonts w:ascii="Times New Roman" w:hAnsi="Times New Roman" w:cs="Times New Roman"/>
          <w:sz w:val="16"/>
          <w:szCs w:val="16"/>
        </w:rPr>
        <w:t>.</w:t>
      </w:r>
    </w:p>
  </w:footnote>
  <w:footnote w:id="72">
    <w:p w14:paraId="50A87DFB" w14:textId="77777777" w:rsidR="00753EA2" w:rsidRPr="00045402" w:rsidRDefault="00753EA2" w:rsidP="002868BE">
      <w:pPr>
        <w:pStyle w:val="a3"/>
        <w:jc w:val="both"/>
        <w:rPr>
          <w:rFonts w:ascii="Times New Roman" w:hAnsi="Times New Roman" w:cs="Times New Roman"/>
          <w:sz w:val="16"/>
          <w:szCs w:val="16"/>
        </w:rPr>
      </w:pPr>
      <w:r w:rsidRPr="00045402">
        <w:rPr>
          <w:rStyle w:val="a5"/>
          <w:rFonts w:ascii="Times New Roman" w:hAnsi="Times New Roman" w:cs="Times New Roman"/>
          <w:sz w:val="16"/>
          <w:szCs w:val="16"/>
        </w:rPr>
        <w:footnoteRef/>
      </w:r>
      <w:r w:rsidRPr="00045402">
        <w:rPr>
          <w:rFonts w:ascii="Times New Roman" w:hAnsi="Times New Roman" w:cs="Times New Roman"/>
          <w:sz w:val="16"/>
          <w:szCs w:val="16"/>
        </w:rPr>
        <w:t xml:space="preserve"> Drept exemplu</w:t>
      </w:r>
      <w:r>
        <w:rPr>
          <w:rFonts w:ascii="Times New Roman" w:hAnsi="Times New Roman" w:cs="Times New Roman"/>
          <w:sz w:val="16"/>
          <w:szCs w:val="16"/>
        </w:rPr>
        <w:t>,</w:t>
      </w:r>
      <w:r w:rsidRPr="00045402">
        <w:rPr>
          <w:rFonts w:ascii="Times New Roman" w:hAnsi="Times New Roman" w:cs="Times New Roman"/>
          <w:sz w:val="16"/>
          <w:szCs w:val="16"/>
        </w:rPr>
        <w:t xml:space="preserve"> DGACG nu include în plan codul CPV; la BA </w:t>
      </w:r>
      <w:r>
        <w:rPr>
          <w:rFonts w:ascii="Times New Roman" w:hAnsi="Times New Roman" w:cs="Times New Roman"/>
          <w:sz w:val="16"/>
          <w:szCs w:val="16"/>
        </w:rPr>
        <w:t>–</w:t>
      </w:r>
      <w:r w:rsidRPr="00045402">
        <w:rPr>
          <w:rFonts w:ascii="Times New Roman" w:hAnsi="Times New Roman" w:cs="Times New Roman"/>
          <w:sz w:val="16"/>
          <w:szCs w:val="16"/>
        </w:rPr>
        <w:t xml:space="preserve"> </w:t>
      </w:r>
      <w:r>
        <w:rPr>
          <w:rFonts w:ascii="Times New Roman" w:hAnsi="Times New Roman" w:cs="Times New Roman"/>
          <w:sz w:val="16"/>
          <w:szCs w:val="16"/>
        </w:rPr>
        <w:t>p</w:t>
      </w:r>
      <w:r w:rsidRPr="00045402">
        <w:rPr>
          <w:rFonts w:ascii="Times New Roman" w:hAnsi="Times New Roman" w:cs="Times New Roman"/>
          <w:sz w:val="16"/>
          <w:szCs w:val="16"/>
        </w:rPr>
        <w:t xml:space="preserve">lanurile de achiziții </w:t>
      </w:r>
      <w:r>
        <w:rPr>
          <w:rFonts w:ascii="Times New Roman" w:hAnsi="Times New Roman" w:cs="Times New Roman"/>
          <w:sz w:val="16"/>
          <w:szCs w:val="16"/>
        </w:rPr>
        <w:t>sunt</w:t>
      </w:r>
      <w:r w:rsidRPr="00045402">
        <w:rPr>
          <w:rFonts w:ascii="Times New Roman" w:hAnsi="Times New Roman" w:cs="Times New Roman"/>
          <w:sz w:val="16"/>
          <w:szCs w:val="16"/>
        </w:rPr>
        <w:t xml:space="preserve"> întocmite vag și nu conțin informații detaliate privind procedurile de achiziții planificate cu indicarea valorii estimative pentru fiecare procedură și perioadei </w:t>
      </w:r>
      <w:r>
        <w:rPr>
          <w:rFonts w:ascii="Times New Roman" w:hAnsi="Times New Roman" w:cs="Times New Roman"/>
          <w:sz w:val="16"/>
          <w:szCs w:val="16"/>
        </w:rPr>
        <w:t xml:space="preserve">de </w:t>
      </w:r>
      <w:r w:rsidRPr="00045402">
        <w:rPr>
          <w:rFonts w:ascii="Times New Roman" w:hAnsi="Times New Roman" w:cs="Times New Roman"/>
          <w:sz w:val="16"/>
          <w:szCs w:val="16"/>
        </w:rPr>
        <w:t>desfășur</w:t>
      </w:r>
      <w:r>
        <w:rPr>
          <w:rFonts w:ascii="Times New Roman" w:hAnsi="Times New Roman" w:cs="Times New Roman"/>
          <w:sz w:val="16"/>
          <w:szCs w:val="16"/>
        </w:rPr>
        <w:t>are a</w:t>
      </w:r>
      <w:r w:rsidRPr="00045402">
        <w:rPr>
          <w:rFonts w:ascii="Times New Roman" w:hAnsi="Times New Roman" w:cs="Times New Roman"/>
          <w:sz w:val="16"/>
          <w:szCs w:val="16"/>
        </w:rPr>
        <w:t xml:space="preserve"> achiziției publice</w:t>
      </w:r>
      <w:r>
        <w:rPr>
          <w:rFonts w:ascii="Times New Roman" w:hAnsi="Times New Roman" w:cs="Times New Roman"/>
          <w:sz w:val="16"/>
          <w:szCs w:val="16"/>
        </w:rPr>
        <w:t>.</w:t>
      </w:r>
      <w:r w:rsidRPr="00045402">
        <w:rPr>
          <w:rFonts w:ascii="Times New Roman" w:hAnsi="Times New Roman" w:cs="Times New Roman"/>
          <w:sz w:val="16"/>
          <w:szCs w:val="16"/>
        </w:rPr>
        <w:t xml:space="preserve"> </w:t>
      </w:r>
    </w:p>
  </w:footnote>
  <w:footnote w:id="73">
    <w:p w14:paraId="10D3D7E1" w14:textId="77777777" w:rsidR="00753EA2" w:rsidRPr="00045402" w:rsidRDefault="00753EA2" w:rsidP="002868BE">
      <w:pPr>
        <w:pStyle w:val="a3"/>
        <w:jc w:val="both"/>
        <w:rPr>
          <w:rFonts w:ascii="Times New Roman" w:hAnsi="Times New Roman" w:cs="Times New Roman"/>
          <w:sz w:val="16"/>
          <w:szCs w:val="16"/>
        </w:rPr>
      </w:pPr>
      <w:r w:rsidRPr="00045402">
        <w:rPr>
          <w:rStyle w:val="a5"/>
          <w:rFonts w:ascii="Times New Roman" w:hAnsi="Times New Roman" w:cs="Times New Roman"/>
          <w:sz w:val="16"/>
          <w:szCs w:val="16"/>
        </w:rPr>
        <w:footnoteRef/>
      </w:r>
      <w:r w:rsidRPr="00045402">
        <w:rPr>
          <w:rFonts w:ascii="Times New Roman" w:hAnsi="Times New Roman" w:cs="Times New Roman"/>
          <w:sz w:val="16"/>
          <w:szCs w:val="16"/>
        </w:rPr>
        <w:t xml:space="preserve"> Grupul de lucru pentru achiziții publice din cadrul Cancelariei de Stat nu a elaborat, pentru anii 2018, 2019, 2020, planuri anuale de achiziții înainte de aprobarea bugetului (Planul de achiziții provizoriu). Contrar prevederilor legale, verificările auditului denotă că entitatea nu a publicat planul de achiziții modificat pentru anul 2018.</w:t>
      </w:r>
    </w:p>
    <w:p w14:paraId="74CB616B" w14:textId="5B3A1341" w:rsidR="00753EA2" w:rsidRPr="00045402" w:rsidRDefault="00753EA2" w:rsidP="002868BE">
      <w:pPr>
        <w:pStyle w:val="a3"/>
        <w:jc w:val="both"/>
        <w:rPr>
          <w:rFonts w:ascii="Times New Roman" w:hAnsi="Times New Roman" w:cs="Times New Roman"/>
          <w:sz w:val="16"/>
          <w:szCs w:val="16"/>
        </w:rPr>
      </w:pPr>
      <w:r w:rsidRPr="00045402">
        <w:rPr>
          <w:rFonts w:ascii="Times New Roman" w:hAnsi="Times New Roman" w:cs="Times New Roman"/>
          <w:sz w:val="16"/>
          <w:szCs w:val="16"/>
        </w:rPr>
        <w:t>BA a CS nu a</w:t>
      </w:r>
      <w:r>
        <w:rPr>
          <w:rFonts w:ascii="Times New Roman" w:hAnsi="Times New Roman" w:cs="Times New Roman"/>
          <w:sz w:val="16"/>
          <w:szCs w:val="16"/>
        </w:rPr>
        <w:t>u</w:t>
      </w:r>
      <w:r w:rsidRPr="00045402">
        <w:rPr>
          <w:rFonts w:ascii="Times New Roman" w:hAnsi="Times New Roman" w:cs="Times New Roman"/>
          <w:sz w:val="16"/>
          <w:szCs w:val="16"/>
        </w:rPr>
        <w:t xml:space="preserve"> publicat pe pagina oficială a Cancelariei de Stat și/sau </w:t>
      </w:r>
      <w:r>
        <w:rPr>
          <w:rFonts w:ascii="Times New Roman" w:hAnsi="Times New Roman" w:cs="Times New Roman"/>
          <w:sz w:val="16"/>
          <w:szCs w:val="16"/>
        </w:rPr>
        <w:t xml:space="preserve">pe </w:t>
      </w:r>
      <w:r w:rsidRPr="00045402">
        <w:rPr>
          <w:rFonts w:ascii="Times New Roman" w:hAnsi="Times New Roman" w:cs="Times New Roman"/>
          <w:sz w:val="16"/>
          <w:szCs w:val="16"/>
        </w:rPr>
        <w:t>pagina oficială a Bazei auto a CS</w:t>
      </w:r>
      <w:r>
        <w:rPr>
          <w:rFonts w:ascii="Times New Roman" w:hAnsi="Times New Roman" w:cs="Times New Roman"/>
          <w:sz w:val="16"/>
          <w:szCs w:val="16"/>
        </w:rPr>
        <w:t>,</w:t>
      </w:r>
      <w:r w:rsidRPr="00045402">
        <w:rPr>
          <w:rFonts w:ascii="Times New Roman" w:hAnsi="Times New Roman" w:cs="Times New Roman"/>
          <w:sz w:val="16"/>
          <w:szCs w:val="16"/>
        </w:rPr>
        <w:t xml:space="preserve"> Planurile de achiziții pentru an</w:t>
      </w:r>
      <w:r>
        <w:rPr>
          <w:rFonts w:ascii="Times New Roman" w:hAnsi="Times New Roman" w:cs="Times New Roman"/>
          <w:sz w:val="16"/>
          <w:szCs w:val="16"/>
        </w:rPr>
        <w:t>ii</w:t>
      </w:r>
      <w:r w:rsidRPr="00045402">
        <w:rPr>
          <w:rFonts w:ascii="Times New Roman" w:hAnsi="Times New Roman" w:cs="Times New Roman"/>
          <w:sz w:val="16"/>
          <w:szCs w:val="16"/>
        </w:rPr>
        <w:t xml:space="preserve"> 2020 și 2022..</w:t>
      </w:r>
    </w:p>
  </w:footnote>
  <w:footnote w:id="74">
    <w:p w14:paraId="396543AD" w14:textId="390F3E54" w:rsidR="00753EA2" w:rsidRPr="00045402" w:rsidRDefault="00753EA2" w:rsidP="002868BE">
      <w:pPr>
        <w:pStyle w:val="a3"/>
        <w:jc w:val="both"/>
        <w:rPr>
          <w:rFonts w:ascii="Times New Roman" w:hAnsi="Times New Roman" w:cs="Times New Roman"/>
          <w:sz w:val="16"/>
          <w:szCs w:val="16"/>
        </w:rPr>
      </w:pPr>
      <w:r w:rsidRPr="00045402">
        <w:rPr>
          <w:rStyle w:val="a5"/>
          <w:rFonts w:ascii="Times New Roman" w:hAnsi="Times New Roman" w:cs="Times New Roman"/>
          <w:sz w:val="16"/>
          <w:szCs w:val="16"/>
        </w:rPr>
        <w:footnoteRef/>
      </w:r>
      <w:r w:rsidRPr="00045402">
        <w:rPr>
          <w:rFonts w:ascii="Times New Roman" w:hAnsi="Times New Roman" w:cs="Times New Roman"/>
          <w:sz w:val="16"/>
          <w:szCs w:val="16"/>
        </w:rPr>
        <w:t xml:space="preserve"> </w:t>
      </w:r>
      <w:r>
        <w:rPr>
          <w:rFonts w:ascii="Times New Roman" w:hAnsi="Times New Roman" w:cs="Times New Roman"/>
          <w:sz w:val="16"/>
          <w:szCs w:val="16"/>
        </w:rPr>
        <w:t>A</w:t>
      </w:r>
      <w:r w:rsidRPr="00B6141A">
        <w:rPr>
          <w:rFonts w:ascii="Times New Roman" w:hAnsi="Times New Roman" w:cs="Times New Roman"/>
          <w:sz w:val="16"/>
          <w:szCs w:val="16"/>
        </w:rPr>
        <w:t>rt. 28 alin. (1),</w:t>
      </w:r>
      <w:r>
        <w:rPr>
          <w:rFonts w:ascii="Times New Roman" w:hAnsi="Times New Roman" w:cs="Times New Roman"/>
          <w:sz w:val="16"/>
          <w:szCs w:val="16"/>
        </w:rPr>
        <w:t xml:space="preserve"> </w:t>
      </w:r>
      <w:r w:rsidRPr="00B6141A">
        <w:rPr>
          <w:rFonts w:ascii="Times New Roman" w:hAnsi="Times New Roman" w:cs="Times New Roman"/>
          <w:sz w:val="16"/>
          <w:szCs w:val="16"/>
        </w:rPr>
        <w:t xml:space="preserve">(3) și (4) </w:t>
      </w:r>
      <w:r>
        <w:rPr>
          <w:rFonts w:ascii="Times New Roman" w:hAnsi="Times New Roman" w:cs="Times New Roman"/>
          <w:sz w:val="16"/>
          <w:szCs w:val="16"/>
        </w:rPr>
        <w:t>din</w:t>
      </w:r>
      <w:r w:rsidRPr="00B6141A">
        <w:rPr>
          <w:rFonts w:ascii="Times New Roman" w:hAnsi="Times New Roman" w:cs="Times New Roman"/>
          <w:sz w:val="16"/>
          <w:szCs w:val="16"/>
        </w:rPr>
        <w:t xml:space="preserve"> Leg</w:t>
      </w:r>
      <w:r>
        <w:rPr>
          <w:rFonts w:ascii="Times New Roman" w:hAnsi="Times New Roman" w:cs="Times New Roman"/>
          <w:sz w:val="16"/>
          <w:szCs w:val="16"/>
        </w:rPr>
        <w:t>ea</w:t>
      </w:r>
      <w:r w:rsidRPr="00B6141A">
        <w:rPr>
          <w:rFonts w:ascii="Times New Roman" w:hAnsi="Times New Roman" w:cs="Times New Roman"/>
          <w:sz w:val="16"/>
          <w:szCs w:val="16"/>
        </w:rPr>
        <w:t xml:space="preserve"> nr. 131/2015 privind achizițiile publice</w:t>
      </w:r>
      <w:r>
        <w:rPr>
          <w:rFonts w:ascii="Times New Roman" w:hAnsi="Times New Roman" w:cs="Times New Roman"/>
          <w:sz w:val="16"/>
          <w:szCs w:val="16"/>
        </w:rPr>
        <w:t>.</w:t>
      </w:r>
    </w:p>
  </w:footnote>
  <w:footnote w:id="75">
    <w:p w14:paraId="7CE21CC9" w14:textId="77777777" w:rsidR="00753EA2" w:rsidRPr="00045402" w:rsidRDefault="00753EA2" w:rsidP="002868BE">
      <w:pPr>
        <w:spacing w:after="0" w:line="240" w:lineRule="auto"/>
        <w:jc w:val="both"/>
        <w:rPr>
          <w:rFonts w:ascii="Times New Roman" w:eastAsia="Times New Roman" w:hAnsi="Times New Roman" w:cs="Times New Roman"/>
          <w:sz w:val="16"/>
          <w:szCs w:val="16"/>
          <w:lang w:val="en-US"/>
        </w:rPr>
      </w:pPr>
      <w:r w:rsidRPr="00045402">
        <w:rPr>
          <w:rStyle w:val="a5"/>
          <w:rFonts w:ascii="Times New Roman" w:hAnsi="Times New Roman" w:cs="Times New Roman"/>
          <w:sz w:val="16"/>
          <w:szCs w:val="16"/>
        </w:rPr>
        <w:footnoteRef/>
      </w:r>
      <w:r w:rsidRPr="00045402">
        <w:rPr>
          <w:rFonts w:ascii="Times New Roman" w:hAnsi="Times New Roman" w:cs="Times New Roman"/>
          <w:sz w:val="16"/>
          <w:szCs w:val="16"/>
        </w:rPr>
        <w:t xml:space="preserve"> </w:t>
      </w:r>
      <w:r w:rsidRPr="00B6141A">
        <w:rPr>
          <w:rFonts w:ascii="Times New Roman" w:eastAsia="Times New Roman" w:hAnsi="Times New Roman" w:cs="Times New Roman"/>
          <w:sz w:val="16"/>
          <w:szCs w:val="16"/>
          <w:lang w:eastAsia="ro-MD"/>
        </w:rPr>
        <w:t>CS nu a asigurat publica</w:t>
      </w:r>
      <w:r>
        <w:rPr>
          <w:rFonts w:ascii="Times New Roman" w:eastAsia="Times New Roman" w:hAnsi="Times New Roman" w:cs="Times New Roman"/>
          <w:sz w:val="16"/>
          <w:szCs w:val="16"/>
          <w:lang w:eastAsia="ro-MD"/>
        </w:rPr>
        <w:t>rea</w:t>
      </w:r>
      <w:r w:rsidRPr="00B6141A">
        <w:rPr>
          <w:rFonts w:ascii="Times New Roman" w:eastAsia="Times New Roman" w:hAnsi="Times New Roman" w:cs="Times New Roman"/>
          <w:sz w:val="16"/>
          <w:szCs w:val="16"/>
          <w:lang w:eastAsia="ro-MD"/>
        </w:rPr>
        <w:t xml:space="preserve"> anunțuri</w:t>
      </w:r>
      <w:r>
        <w:rPr>
          <w:rFonts w:ascii="Times New Roman" w:eastAsia="Times New Roman" w:hAnsi="Times New Roman" w:cs="Times New Roman"/>
          <w:sz w:val="16"/>
          <w:szCs w:val="16"/>
          <w:lang w:eastAsia="ro-MD"/>
        </w:rPr>
        <w:t>lor</w:t>
      </w:r>
      <w:r w:rsidRPr="00B6141A">
        <w:rPr>
          <w:rFonts w:ascii="Times New Roman" w:eastAsia="Times New Roman" w:hAnsi="Times New Roman" w:cs="Times New Roman"/>
          <w:sz w:val="16"/>
          <w:szCs w:val="16"/>
          <w:lang w:eastAsia="ro-MD"/>
        </w:rPr>
        <w:t xml:space="preserve"> de</w:t>
      </w:r>
      <w:r>
        <w:rPr>
          <w:rFonts w:ascii="Times New Roman" w:eastAsia="Times New Roman" w:hAnsi="Times New Roman" w:cs="Times New Roman"/>
          <w:sz w:val="16"/>
          <w:szCs w:val="16"/>
          <w:lang w:eastAsia="ro-MD"/>
        </w:rPr>
        <w:t xml:space="preserve"> intenție pentru anii 2018 </w:t>
      </w:r>
      <w:r w:rsidRPr="00B6141A">
        <w:rPr>
          <w:rFonts w:ascii="Times New Roman" w:eastAsia="Times New Roman" w:hAnsi="Times New Roman" w:cs="Times New Roman"/>
          <w:sz w:val="16"/>
          <w:szCs w:val="16"/>
          <w:lang w:eastAsia="ro-MD"/>
        </w:rPr>
        <w:t xml:space="preserve">pentru achiziționarea: </w:t>
      </w:r>
      <w:r>
        <w:rPr>
          <w:rFonts w:ascii="Times New Roman" w:eastAsia="Times New Roman" w:hAnsi="Times New Roman" w:cs="Times New Roman"/>
          <w:sz w:val="16"/>
          <w:szCs w:val="16"/>
          <w:lang w:eastAsia="ro-MD"/>
        </w:rPr>
        <w:t>r</w:t>
      </w:r>
      <w:r w:rsidRPr="00B6141A">
        <w:rPr>
          <w:rFonts w:ascii="Times New Roman" w:eastAsia="Times New Roman" w:hAnsi="Times New Roman" w:cs="Times New Roman"/>
          <w:sz w:val="16"/>
          <w:szCs w:val="16"/>
          <w:lang w:eastAsia="ro-MD"/>
        </w:rPr>
        <w:t>echizite</w:t>
      </w:r>
      <w:r>
        <w:rPr>
          <w:rFonts w:ascii="Times New Roman" w:eastAsia="Times New Roman" w:hAnsi="Times New Roman" w:cs="Times New Roman"/>
          <w:sz w:val="16"/>
          <w:szCs w:val="16"/>
          <w:lang w:eastAsia="ro-MD"/>
        </w:rPr>
        <w:t>lor</w:t>
      </w:r>
      <w:r w:rsidRPr="00B6141A">
        <w:rPr>
          <w:rFonts w:ascii="Times New Roman" w:eastAsia="Times New Roman" w:hAnsi="Times New Roman" w:cs="Times New Roman"/>
          <w:sz w:val="16"/>
          <w:szCs w:val="16"/>
          <w:lang w:eastAsia="ro-MD"/>
        </w:rPr>
        <w:t xml:space="preserve"> de birou – 850,0 mii lei;</w:t>
      </w:r>
      <w:r>
        <w:rPr>
          <w:rFonts w:ascii="Times New Roman" w:eastAsia="Times New Roman" w:hAnsi="Times New Roman" w:cs="Times New Roman"/>
          <w:sz w:val="16"/>
          <w:szCs w:val="16"/>
          <w:lang w:eastAsia="ro-MD"/>
        </w:rPr>
        <w:t xml:space="preserve"> s</w:t>
      </w:r>
      <w:r w:rsidRPr="00B6141A">
        <w:rPr>
          <w:rFonts w:ascii="Times New Roman" w:eastAsia="Times New Roman" w:hAnsi="Times New Roman" w:cs="Times New Roman"/>
          <w:sz w:val="16"/>
          <w:szCs w:val="16"/>
          <w:lang w:eastAsia="ro-MD"/>
        </w:rPr>
        <w:t>ervicii</w:t>
      </w:r>
      <w:r>
        <w:rPr>
          <w:rFonts w:ascii="Times New Roman" w:eastAsia="Times New Roman" w:hAnsi="Times New Roman" w:cs="Times New Roman"/>
          <w:sz w:val="16"/>
          <w:szCs w:val="16"/>
          <w:lang w:eastAsia="ro-MD"/>
        </w:rPr>
        <w:t>lor</w:t>
      </w:r>
      <w:r w:rsidRPr="00B6141A">
        <w:rPr>
          <w:rFonts w:ascii="Times New Roman" w:eastAsia="Times New Roman" w:hAnsi="Times New Roman" w:cs="Times New Roman"/>
          <w:sz w:val="16"/>
          <w:szCs w:val="16"/>
          <w:lang w:eastAsia="ro-MD"/>
        </w:rPr>
        <w:t xml:space="preserve"> de transport avia – 900,0 mii lei; tehnicii de calcul – 600,0 mii lei, proceduri planificate pentru anul 2018. BA - în anul 2019 nu a fost publicat anunț de intenție pentru 1 procedură de achiziție, 2020 – 3 proceduri de achiziții, 2021 – 4 proceduri de achiziții, 2022 – 5 proceduri de achiziții.</w:t>
      </w:r>
    </w:p>
  </w:footnote>
  <w:footnote w:id="76">
    <w:p w14:paraId="09773C2A" w14:textId="77777777" w:rsidR="00753EA2" w:rsidRPr="00B6141A" w:rsidRDefault="00753EA2" w:rsidP="002868BE">
      <w:pPr>
        <w:pStyle w:val="a3"/>
        <w:jc w:val="both"/>
        <w:rPr>
          <w:rFonts w:ascii="Times New Roman" w:hAnsi="Times New Roman" w:cs="Times New Roman"/>
          <w:sz w:val="16"/>
          <w:szCs w:val="16"/>
        </w:rPr>
      </w:pPr>
      <w:r w:rsidRPr="00B6141A">
        <w:rPr>
          <w:rStyle w:val="a5"/>
          <w:rFonts w:ascii="Times New Roman" w:hAnsi="Times New Roman" w:cs="Times New Roman"/>
          <w:sz w:val="16"/>
          <w:szCs w:val="16"/>
        </w:rPr>
        <w:footnoteRef/>
      </w:r>
      <w:r w:rsidRPr="00B6141A">
        <w:rPr>
          <w:rFonts w:ascii="Times New Roman" w:hAnsi="Times New Roman" w:cs="Times New Roman"/>
          <w:sz w:val="16"/>
          <w:szCs w:val="16"/>
        </w:rPr>
        <w:t xml:space="preserve"> </w:t>
      </w:r>
      <w:r w:rsidRPr="00D116F3">
        <w:rPr>
          <w:rFonts w:ascii="Times New Roman" w:hAnsi="Times New Roman" w:cs="Times New Roman"/>
          <w:sz w:val="16"/>
          <w:szCs w:val="16"/>
        </w:rPr>
        <w:t>Anunțurile de intenție nu sunt publicate și elaborate în majoritatea cazurilor de către I</w:t>
      </w:r>
      <w:r>
        <w:rPr>
          <w:rFonts w:ascii="Times New Roman" w:hAnsi="Times New Roman" w:cs="Times New Roman"/>
          <w:sz w:val="16"/>
          <w:szCs w:val="16"/>
        </w:rPr>
        <w:t>.</w:t>
      </w:r>
      <w:r w:rsidRPr="00D116F3">
        <w:rPr>
          <w:rFonts w:ascii="Times New Roman" w:hAnsi="Times New Roman" w:cs="Times New Roman"/>
          <w:sz w:val="16"/>
          <w:szCs w:val="16"/>
        </w:rPr>
        <w:t>P</w:t>
      </w:r>
      <w:r>
        <w:rPr>
          <w:rFonts w:ascii="Times New Roman" w:hAnsi="Times New Roman" w:cs="Times New Roman"/>
          <w:sz w:val="16"/>
          <w:szCs w:val="16"/>
        </w:rPr>
        <w:t>.</w:t>
      </w:r>
      <w:r w:rsidRPr="00D116F3">
        <w:rPr>
          <w:rFonts w:ascii="Times New Roman" w:hAnsi="Times New Roman" w:cs="Times New Roman"/>
          <w:sz w:val="16"/>
          <w:szCs w:val="16"/>
        </w:rPr>
        <w:t xml:space="preserve"> DGACG și nu corespund modelului prevăzut, nefiind indicate natura și amploarea lucrărilor, natura și cantitatea sau valoarea bunurilor, natura și amploarea serviciilor. Acestea conțin doar o descriere generală ca lucrări sau servicii.</w:t>
      </w:r>
    </w:p>
  </w:footnote>
  <w:footnote w:id="77">
    <w:p w14:paraId="3E4BD586" w14:textId="2E070D4C" w:rsidR="00753EA2" w:rsidRPr="000C3CF3" w:rsidRDefault="00753EA2" w:rsidP="002868BE">
      <w:pPr>
        <w:pStyle w:val="a3"/>
        <w:jc w:val="both"/>
        <w:rPr>
          <w:rFonts w:ascii="Times New Roman" w:hAnsi="Times New Roman" w:cs="Times New Roman"/>
          <w:sz w:val="16"/>
          <w:szCs w:val="16"/>
        </w:rPr>
      </w:pPr>
      <w:r w:rsidRPr="000C3CF3">
        <w:rPr>
          <w:rStyle w:val="a5"/>
          <w:rFonts w:ascii="Times New Roman" w:hAnsi="Times New Roman" w:cs="Times New Roman"/>
          <w:sz w:val="16"/>
          <w:szCs w:val="16"/>
        </w:rPr>
        <w:footnoteRef/>
      </w:r>
      <w:r w:rsidRPr="000C3CF3">
        <w:rPr>
          <w:rFonts w:ascii="Times New Roman" w:hAnsi="Times New Roman" w:cs="Times New Roman"/>
          <w:sz w:val="16"/>
          <w:szCs w:val="16"/>
        </w:rPr>
        <w:t xml:space="preserve"> La BA membrii GL nu au semnat Procesele-verbale ale ședințelor de deschidere a ofertelor (pentru perioada 2019 – 5.02.2021), nu toate Deciziile de atribuire a contractului de achiziție publică au fost semnate de reprezentanții Cancelariei de Stat desemnați ca membri ai GL privind achizițiile publice, ceea ce contravine prevederilor pct. 37 din HG nr. 10/2021. Nici membrii GL din cadrul DGACG nu au semnat în toate cazurile procesele</w:t>
      </w:r>
      <w:r>
        <w:rPr>
          <w:rFonts w:ascii="Times New Roman" w:hAnsi="Times New Roman" w:cs="Times New Roman"/>
          <w:sz w:val="16"/>
          <w:szCs w:val="16"/>
        </w:rPr>
        <w:t>-</w:t>
      </w:r>
      <w:r w:rsidRPr="000C3CF3">
        <w:rPr>
          <w:rFonts w:ascii="Times New Roman" w:hAnsi="Times New Roman" w:cs="Times New Roman"/>
          <w:sz w:val="16"/>
          <w:szCs w:val="16"/>
        </w:rPr>
        <w:t>verbale de achiziționare a bunurilor și serviciilor/lucrări</w:t>
      </w:r>
      <w:r>
        <w:rPr>
          <w:rFonts w:ascii="Times New Roman" w:hAnsi="Times New Roman" w:cs="Times New Roman"/>
          <w:sz w:val="16"/>
          <w:szCs w:val="16"/>
        </w:rPr>
        <w:t>lor</w:t>
      </w:r>
      <w:r w:rsidRPr="000C3CF3">
        <w:rPr>
          <w:rFonts w:ascii="Times New Roman" w:hAnsi="Times New Roman" w:cs="Times New Roman"/>
          <w:sz w:val="16"/>
          <w:szCs w:val="16"/>
        </w:rPr>
        <w:t xml:space="preserve"> de mică valoare.</w:t>
      </w:r>
    </w:p>
  </w:footnote>
  <w:footnote w:id="78">
    <w:p w14:paraId="4E9DFC40" w14:textId="18C8B292" w:rsidR="00753EA2" w:rsidRPr="00A57EC9" w:rsidRDefault="00753EA2" w:rsidP="003E2E30">
      <w:pPr>
        <w:pStyle w:val="a3"/>
        <w:jc w:val="both"/>
        <w:rPr>
          <w:rFonts w:ascii="Times New Roman" w:hAnsi="Times New Roman" w:cs="Times New Roman"/>
          <w:sz w:val="16"/>
          <w:szCs w:val="16"/>
        </w:rPr>
      </w:pPr>
      <w:r w:rsidRPr="00A57EC9">
        <w:rPr>
          <w:rStyle w:val="a5"/>
          <w:rFonts w:ascii="Times New Roman" w:hAnsi="Times New Roman" w:cs="Times New Roman"/>
          <w:sz w:val="16"/>
          <w:szCs w:val="16"/>
        </w:rPr>
        <w:footnoteRef/>
      </w:r>
      <w:r w:rsidRPr="00A57EC9">
        <w:rPr>
          <w:rFonts w:ascii="Times New Roman" w:hAnsi="Times New Roman" w:cs="Times New Roman"/>
          <w:sz w:val="16"/>
          <w:szCs w:val="16"/>
        </w:rPr>
        <w:t>Cu excepția celor de reglementare normativ-juridică, supraveghere și control de stat, precum și a altor func</w:t>
      </w:r>
      <w:r>
        <w:rPr>
          <w:rFonts w:ascii="Times New Roman" w:hAnsi="Times New Roman" w:cs="Times New Roman"/>
          <w:sz w:val="16"/>
          <w:szCs w:val="16"/>
        </w:rPr>
        <w:t>ț</w:t>
      </w:r>
      <w:r w:rsidRPr="00A57EC9">
        <w:rPr>
          <w:rFonts w:ascii="Times New Roman" w:hAnsi="Times New Roman" w:cs="Times New Roman"/>
          <w:sz w:val="16"/>
          <w:szCs w:val="16"/>
        </w:rPr>
        <w:t>ii care implică exercitarea prerogativelor de putere publică</w:t>
      </w:r>
      <w:r>
        <w:rPr>
          <w:rFonts w:ascii="Times New Roman" w:hAnsi="Times New Roman" w:cs="Times New Roman"/>
          <w:sz w:val="16"/>
          <w:szCs w:val="16"/>
        </w:rPr>
        <w:t>.</w:t>
      </w:r>
    </w:p>
  </w:footnote>
  <w:footnote w:id="79">
    <w:p w14:paraId="582FBE30" w14:textId="0D44C168" w:rsidR="00753EA2" w:rsidRPr="00A57EC9" w:rsidRDefault="00753EA2" w:rsidP="003E2E30">
      <w:pPr>
        <w:pStyle w:val="a3"/>
        <w:jc w:val="both"/>
        <w:rPr>
          <w:rFonts w:ascii="Times New Roman" w:hAnsi="Times New Roman" w:cs="Times New Roman"/>
          <w:sz w:val="16"/>
          <w:szCs w:val="16"/>
        </w:rPr>
      </w:pPr>
      <w:r w:rsidRPr="00A57EC9">
        <w:rPr>
          <w:rStyle w:val="a5"/>
          <w:rFonts w:ascii="Times New Roman" w:hAnsi="Times New Roman" w:cs="Times New Roman"/>
          <w:sz w:val="16"/>
          <w:szCs w:val="16"/>
        </w:rPr>
        <w:footnoteRef/>
      </w:r>
      <w:r w:rsidRPr="00A57EC9">
        <w:rPr>
          <w:rFonts w:ascii="Times New Roman" w:hAnsi="Times New Roman" w:cs="Times New Roman"/>
          <w:sz w:val="16"/>
          <w:szCs w:val="16"/>
        </w:rPr>
        <w:t xml:space="preserve"> </w:t>
      </w:r>
      <w:r>
        <w:rPr>
          <w:rFonts w:ascii="Times New Roman" w:hAnsi="Times New Roman" w:cs="Times New Roman"/>
          <w:sz w:val="16"/>
          <w:szCs w:val="16"/>
        </w:rPr>
        <w:t>A</w:t>
      </w:r>
      <w:r w:rsidRPr="00A57EC9">
        <w:rPr>
          <w:rFonts w:ascii="Times New Roman" w:hAnsi="Times New Roman" w:cs="Times New Roman"/>
          <w:sz w:val="16"/>
          <w:szCs w:val="16"/>
        </w:rPr>
        <w:t xml:space="preserve">rt.32 din </w:t>
      </w:r>
      <w:r w:rsidRPr="00761420">
        <w:rPr>
          <w:rFonts w:ascii="Times New Roman" w:hAnsi="Times New Roman" w:cs="Times New Roman"/>
          <w:sz w:val="16"/>
          <w:szCs w:val="16"/>
        </w:rPr>
        <w:t>Legea privind administrația publică centrală de specialitate; art. 3 din Legea finanțelor publice și responsabilității bugetar-fiscale nr. 181 din 25.07.2014.</w:t>
      </w:r>
    </w:p>
  </w:footnote>
  <w:footnote w:id="80">
    <w:p w14:paraId="3AA02F53" w14:textId="4C043B3E" w:rsidR="00753EA2" w:rsidRPr="00617D17" w:rsidRDefault="00753EA2" w:rsidP="003E2E30">
      <w:pPr>
        <w:pStyle w:val="a3"/>
        <w:jc w:val="both"/>
        <w:rPr>
          <w:rFonts w:ascii="Times New Roman" w:hAnsi="Times New Roman" w:cs="Times New Roman"/>
          <w:sz w:val="16"/>
          <w:szCs w:val="16"/>
        </w:rPr>
      </w:pPr>
      <w:r w:rsidRPr="005E534C">
        <w:rPr>
          <w:rStyle w:val="a5"/>
          <w:rFonts w:ascii="Times New Roman" w:hAnsi="Times New Roman" w:cs="Times New Roman"/>
          <w:sz w:val="16"/>
          <w:szCs w:val="16"/>
        </w:rPr>
        <w:footnoteRef/>
      </w:r>
      <w:r w:rsidRPr="005E534C">
        <w:rPr>
          <w:rFonts w:ascii="Times New Roman" w:hAnsi="Times New Roman" w:cs="Times New Roman"/>
          <w:sz w:val="16"/>
          <w:szCs w:val="16"/>
        </w:rPr>
        <w:t xml:space="preserve"> </w:t>
      </w:r>
      <w:r w:rsidRPr="00761420">
        <w:rPr>
          <w:rStyle w:val="af5"/>
          <w:rFonts w:ascii="Times New Roman" w:hAnsi="Times New Roman" w:cs="Times New Roman"/>
          <w:i w:val="0"/>
          <w:color w:val="333333"/>
          <w:sz w:val="16"/>
          <w:szCs w:val="16"/>
          <w:shd w:val="clear" w:color="auto" w:fill="FFFFFF"/>
        </w:rPr>
        <w:t>Autoritate/instituție publică la autogestiune</w:t>
      </w:r>
      <w:r>
        <w:rPr>
          <w:rStyle w:val="af5"/>
          <w:rFonts w:ascii="Times New Roman" w:hAnsi="Times New Roman" w:cs="Times New Roman"/>
          <w:i w:val="0"/>
          <w:color w:val="333333"/>
          <w:sz w:val="16"/>
          <w:szCs w:val="16"/>
          <w:shd w:val="clear" w:color="auto" w:fill="FFFFFF"/>
        </w:rPr>
        <w:t xml:space="preserve"> –</w:t>
      </w:r>
      <w:r w:rsidRPr="00A57EC9">
        <w:rPr>
          <w:rFonts w:ascii="Times New Roman" w:hAnsi="Times New Roman" w:cs="Times New Roman"/>
          <w:color w:val="333333"/>
          <w:sz w:val="16"/>
          <w:szCs w:val="16"/>
          <w:shd w:val="clear" w:color="auto" w:fill="FFFFFF"/>
        </w:rPr>
        <w:t> </w:t>
      </w:r>
      <w:r w:rsidRPr="00A57EC9">
        <w:rPr>
          <w:rFonts w:ascii="Times New Roman" w:hAnsi="Times New Roman" w:cs="Times New Roman"/>
          <w:sz w:val="16"/>
          <w:szCs w:val="16"/>
        </w:rPr>
        <w:t>entitate de drept public care, potrivit actului normativ prin care a fost fondată, desfășoară activitate necomercială (nonprofit) și activează în baza principiilor d</w:t>
      </w:r>
      <w:r>
        <w:rPr>
          <w:rFonts w:ascii="Times New Roman" w:hAnsi="Times New Roman" w:cs="Times New Roman"/>
          <w:sz w:val="16"/>
          <w:szCs w:val="16"/>
        </w:rPr>
        <w:t>e autogestiune</w:t>
      </w:r>
      <w:r w:rsidRPr="00A57EC9">
        <w:rPr>
          <w:rFonts w:ascii="Times New Roman" w:hAnsi="Times New Roman" w:cs="Times New Roman"/>
          <w:sz w:val="16"/>
          <w:szCs w:val="16"/>
        </w:rPr>
        <w:t>.</w:t>
      </w:r>
    </w:p>
  </w:footnote>
  <w:footnote w:id="81">
    <w:p w14:paraId="2E444E9B" w14:textId="62DAB4AF" w:rsidR="00753EA2" w:rsidRPr="00A57EC9" w:rsidRDefault="00753EA2" w:rsidP="003E2E30">
      <w:pPr>
        <w:pStyle w:val="a3"/>
        <w:jc w:val="both"/>
        <w:rPr>
          <w:rFonts w:ascii="Times New Roman" w:hAnsi="Times New Roman" w:cs="Times New Roman"/>
          <w:sz w:val="16"/>
          <w:szCs w:val="16"/>
          <w:lang w:val="ro-RO"/>
        </w:rPr>
      </w:pPr>
      <w:r w:rsidRPr="00A57EC9">
        <w:rPr>
          <w:rStyle w:val="a5"/>
          <w:rFonts w:ascii="Times New Roman" w:hAnsi="Times New Roman" w:cs="Times New Roman"/>
          <w:sz w:val="16"/>
          <w:szCs w:val="16"/>
        </w:rPr>
        <w:footnoteRef/>
      </w:r>
      <w:r w:rsidRPr="00A57EC9">
        <w:rPr>
          <w:rFonts w:ascii="Times New Roman" w:hAnsi="Times New Roman" w:cs="Times New Roman"/>
          <w:sz w:val="16"/>
          <w:szCs w:val="16"/>
        </w:rPr>
        <w:t xml:space="preserve"> Instituția publică este persoană juridică de drept public care se constituie în baza unui act emis de autoritatea publică și care este finanțată, integral sau parțial, de la bugetul acesteia din urmă.</w:t>
      </w:r>
    </w:p>
  </w:footnote>
  <w:footnote w:id="82">
    <w:p w14:paraId="0D8866C7" w14:textId="0D9090C7" w:rsidR="00753EA2" w:rsidRPr="002F4691" w:rsidRDefault="00753EA2" w:rsidP="003E2E30">
      <w:pPr>
        <w:pStyle w:val="a3"/>
        <w:jc w:val="both"/>
        <w:rPr>
          <w:rFonts w:ascii="Times New Roman" w:hAnsi="Times New Roman" w:cs="Times New Roman"/>
          <w:sz w:val="16"/>
          <w:szCs w:val="16"/>
        </w:rPr>
      </w:pPr>
      <w:r w:rsidRPr="002F4691">
        <w:rPr>
          <w:rStyle w:val="a5"/>
          <w:rFonts w:ascii="Times New Roman" w:hAnsi="Times New Roman" w:cs="Times New Roman"/>
          <w:sz w:val="16"/>
          <w:szCs w:val="16"/>
        </w:rPr>
        <w:footnoteRef/>
      </w:r>
      <w:r w:rsidRPr="002F4691">
        <w:rPr>
          <w:rFonts w:ascii="Times New Roman" w:hAnsi="Times New Roman" w:cs="Times New Roman"/>
          <w:sz w:val="16"/>
          <w:szCs w:val="16"/>
        </w:rPr>
        <w:t xml:space="preserve"> HG nr. 911 din 25.07.2016 „Pentru aprobarea Strategiei privind reforma administrației publice pentru anii 2016-2020”.</w:t>
      </w:r>
    </w:p>
  </w:footnote>
  <w:footnote w:id="83">
    <w:p w14:paraId="44DBAB4C" w14:textId="293F1282" w:rsidR="00753EA2" w:rsidRPr="002F4691" w:rsidRDefault="00753EA2" w:rsidP="003E2E30">
      <w:pPr>
        <w:pStyle w:val="a3"/>
        <w:jc w:val="both"/>
        <w:rPr>
          <w:rFonts w:ascii="Times New Roman" w:hAnsi="Times New Roman" w:cs="Times New Roman"/>
          <w:sz w:val="16"/>
          <w:szCs w:val="16"/>
        </w:rPr>
      </w:pPr>
      <w:r w:rsidRPr="002F4691">
        <w:rPr>
          <w:rStyle w:val="a5"/>
          <w:rFonts w:ascii="Times New Roman" w:hAnsi="Times New Roman" w:cs="Times New Roman"/>
          <w:sz w:val="16"/>
          <w:szCs w:val="16"/>
        </w:rPr>
        <w:footnoteRef/>
      </w:r>
      <w:r w:rsidRPr="002F4691">
        <w:rPr>
          <w:rFonts w:ascii="Times New Roman" w:hAnsi="Times New Roman" w:cs="Times New Roman"/>
          <w:sz w:val="16"/>
          <w:szCs w:val="16"/>
        </w:rPr>
        <w:t xml:space="preserve"> Aprobat prin HG nr.90 din 28.02.2023.</w:t>
      </w:r>
    </w:p>
  </w:footnote>
  <w:footnote w:id="84">
    <w:p w14:paraId="3A4755A1" w14:textId="2264D64C" w:rsidR="00753EA2" w:rsidRPr="002F4691" w:rsidRDefault="00753EA2" w:rsidP="00DE4CE7">
      <w:pPr>
        <w:spacing w:after="0"/>
        <w:jc w:val="both"/>
        <w:rPr>
          <w:sz w:val="16"/>
          <w:szCs w:val="16"/>
        </w:rPr>
      </w:pPr>
      <w:r w:rsidRPr="002F4691">
        <w:rPr>
          <w:rStyle w:val="a5"/>
          <w:rFonts w:ascii="Times New Roman" w:hAnsi="Times New Roman" w:cs="Times New Roman"/>
          <w:sz w:val="16"/>
          <w:szCs w:val="16"/>
        </w:rPr>
        <w:footnoteRef/>
      </w:r>
      <w:r w:rsidRPr="002F4691">
        <w:rPr>
          <w:rFonts w:ascii="Times New Roman" w:hAnsi="Times New Roman" w:cs="Times New Roman"/>
          <w:sz w:val="16"/>
          <w:szCs w:val="16"/>
        </w:rPr>
        <w:t xml:space="preserve"> PAG: Capitolul I. „GUVERNARE EFICIENTĂ, INCLUZIVĂ ȘI TRANSPARENTĂ”: Acțiunea 1.8. Aprobarea proiectului de lege privind instituțiile publice și transmis Parlamentului.</w:t>
      </w:r>
    </w:p>
  </w:footnote>
  <w:footnote w:id="85">
    <w:p w14:paraId="67B685C4" w14:textId="6BB8E24F" w:rsidR="00753EA2" w:rsidRPr="00096329" w:rsidRDefault="00753EA2" w:rsidP="00DE4CE7">
      <w:pPr>
        <w:pStyle w:val="a3"/>
        <w:jc w:val="both"/>
        <w:rPr>
          <w:rFonts w:ascii="Times New Roman" w:hAnsi="Times New Roman" w:cs="Times New Roman"/>
          <w:sz w:val="16"/>
          <w:szCs w:val="16"/>
        </w:rPr>
      </w:pPr>
      <w:r w:rsidRPr="002F4691">
        <w:rPr>
          <w:rStyle w:val="a5"/>
          <w:rFonts w:ascii="Times New Roman" w:hAnsi="Times New Roman" w:cs="Times New Roman"/>
          <w:sz w:val="16"/>
          <w:szCs w:val="16"/>
        </w:rPr>
        <w:footnoteRef/>
      </w:r>
      <w:r w:rsidRPr="002F4691">
        <w:rPr>
          <w:rFonts w:ascii="Times New Roman" w:hAnsi="Times New Roman" w:cs="Times New Roman"/>
          <w:sz w:val="16"/>
          <w:szCs w:val="16"/>
        </w:rPr>
        <w:t xml:space="preserve"> Legea finanțelor publice și responsabilității bugetar-fiscale nr. 181 din 25.07.2014.</w:t>
      </w:r>
    </w:p>
  </w:footnote>
  <w:footnote w:id="86">
    <w:p w14:paraId="60369FD8" w14:textId="5478D241" w:rsidR="00753EA2" w:rsidRPr="005027AB" w:rsidRDefault="00753EA2" w:rsidP="00DE4CE7">
      <w:pPr>
        <w:pStyle w:val="a3"/>
        <w:jc w:val="both"/>
        <w:rPr>
          <w:sz w:val="16"/>
          <w:szCs w:val="16"/>
        </w:rPr>
      </w:pPr>
      <w:r w:rsidRPr="00096329">
        <w:rPr>
          <w:rStyle w:val="a5"/>
          <w:rFonts w:ascii="Times New Roman" w:hAnsi="Times New Roman" w:cs="Times New Roman"/>
          <w:sz w:val="16"/>
          <w:szCs w:val="16"/>
        </w:rPr>
        <w:footnoteRef/>
      </w:r>
      <w:r w:rsidRPr="00096329">
        <w:rPr>
          <w:rFonts w:ascii="Times New Roman" w:hAnsi="Times New Roman" w:cs="Times New Roman"/>
          <w:sz w:val="16"/>
          <w:szCs w:val="16"/>
        </w:rPr>
        <w:t xml:space="preserve"> Art.2 din Legea contabilității și raportării financiare</w:t>
      </w:r>
      <w:r>
        <w:rPr>
          <w:rFonts w:ascii="Times New Roman" w:hAnsi="Times New Roman" w:cs="Times New Roman"/>
          <w:sz w:val="16"/>
          <w:szCs w:val="16"/>
        </w:rPr>
        <w:t xml:space="preserve"> </w:t>
      </w:r>
      <w:r w:rsidRPr="00096329">
        <w:rPr>
          <w:rFonts w:ascii="Times New Roman" w:hAnsi="Times New Roman" w:cs="Times New Roman"/>
          <w:sz w:val="16"/>
          <w:szCs w:val="16"/>
        </w:rPr>
        <w:t>nr.287 din 15.12.2017,</w:t>
      </w:r>
      <w:r w:rsidRPr="00761420">
        <w:rPr>
          <w:rFonts w:ascii="Times New Roman" w:hAnsi="Times New Roman" w:cs="Times New Roman"/>
          <w:sz w:val="16"/>
          <w:szCs w:val="16"/>
        </w:rPr>
        <w:t xml:space="preserve"> </w:t>
      </w:r>
      <w:r w:rsidRPr="00096329">
        <w:rPr>
          <w:rFonts w:ascii="Times New Roman" w:hAnsi="Times New Roman" w:cs="Times New Roman"/>
          <w:sz w:val="16"/>
          <w:szCs w:val="16"/>
        </w:rPr>
        <w:t>care stabilește că aceste reguli de evidență sunt aplicate de „autoritățile/instituțiile, cu excepția autoritățil</w:t>
      </w:r>
      <w:r>
        <w:rPr>
          <w:rFonts w:ascii="Times New Roman" w:hAnsi="Times New Roman" w:cs="Times New Roman"/>
          <w:sz w:val="16"/>
          <w:szCs w:val="16"/>
        </w:rPr>
        <w:t>or/</w:t>
      </w:r>
      <w:r w:rsidRPr="00096329">
        <w:rPr>
          <w:rFonts w:ascii="Times New Roman" w:hAnsi="Times New Roman" w:cs="Times New Roman"/>
          <w:sz w:val="16"/>
          <w:szCs w:val="16"/>
        </w:rPr>
        <w:t>instituțiil</w:t>
      </w:r>
      <w:r>
        <w:rPr>
          <w:rFonts w:ascii="Times New Roman" w:hAnsi="Times New Roman" w:cs="Times New Roman"/>
          <w:sz w:val="16"/>
          <w:szCs w:val="16"/>
        </w:rPr>
        <w:t>or</w:t>
      </w:r>
      <w:r w:rsidRPr="00096329">
        <w:rPr>
          <w:rFonts w:ascii="Times New Roman" w:hAnsi="Times New Roman" w:cs="Times New Roman"/>
          <w:sz w:val="16"/>
          <w:szCs w:val="16"/>
        </w:rPr>
        <w:t xml:space="preserve"> bugetare”.</w:t>
      </w:r>
    </w:p>
  </w:footnote>
  <w:footnote w:id="87">
    <w:p w14:paraId="2CB5EB90" w14:textId="5E0533EB" w:rsidR="00753EA2" w:rsidRPr="00CC0B60" w:rsidRDefault="00753EA2" w:rsidP="00DE4CE7">
      <w:pPr>
        <w:pStyle w:val="a3"/>
        <w:jc w:val="both"/>
        <w:rPr>
          <w:rFonts w:ascii="Times New Roman" w:hAnsi="Times New Roman" w:cs="Times New Roman"/>
          <w:sz w:val="16"/>
          <w:szCs w:val="16"/>
        </w:rPr>
      </w:pPr>
      <w:r w:rsidRPr="00CC0B60">
        <w:rPr>
          <w:rStyle w:val="a5"/>
          <w:rFonts w:ascii="Times New Roman" w:hAnsi="Times New Roman" w:cs="Times New Roman"/>
          <w:sz w:val="16"/>
          <w:szCs w:val="16"/>
        </w:rPr>
        <w:footnoteRef/>
      </w:r>
      <w:r w:rsidRPr="00CC0B60">
        <w:rPr>
          <w:rFonts w:ascii="Times New Roman" w:hAnsi="Times New Roman" w:cs="Times New Roman"/>
          <w:sz w:val="16"/>
          <w:szCs w:val="16"/>
        </w:rPr>
        <w:t xml:space="preserve"> Aprobat prin HG nr. 657 din 06.11.2009 </w:t>
      </w:r>
      <w:r>
        <w:rPr>
          <w:rFonts w:ascii="Times New Roman" w:hAnsi="Times New Roman" w:cs="Times New Roman"/>
          <w:sz w:val="16"/>
          <w:szCs w:val="16"/>
        </w:rPr>
        <w:t>„P</w:t>
      </w:r>
      <w:r w:rsidRPr="00CC0B60">
        <w:rPr>
          <w:rFonts w:ascii="Times New Roman" w:hAnsi="Times New Roman" w:cs="Times New Roman"/>
          <w:sz w:val="16"/>
          <w:szCs w:val="16"/>
        </w:rPr>
        <w:t>entru aprobarea Regulamentului privind organizarea şi funcționarea,  a structurii şi efectivului-limită ale Cancelariei de Stat</w:t>
      </w:r>
      <w:r>
        <w:rPr>
          <w:rFonts w:ascii="Times New Roman" w:hAnsi="Times New Roman" w:cs="Times New Roman"/>
          <w:sz w:val="16"/>
          <w:szCs w:val="16"/>
        </w:rPr>
        <w:t>”, Anexa nr. 1.</w:t>
      </w:r>
    </w:p>
  </w:footnote>
  <w:footnote w:id="88">
    <w:p w14:paraId="5A1ABE77" w14:textId="4BF78082" w:rsidR="00753EA2" w:rsidRPr="00CC0B60" w:rsidRDefault="00753EA2" w:rsidP="00DE4CE7">
      <w:pPr>
        <w:pStyle w:val="a3"/>
        <w:jc w:val="both"/>
        <w:rPr>
          <w:rFonts w:ascii="Times New Roman" w:hAnsi="Times New Roman" w:cs="Times New Roman"/>
          <w:sz w:val="16"/>
          <w:szCs w:val="16"/>
        </w:rPr>
      </w:pPr>
      <w:r w:rsidRPr="00CC0B60">
        <w:rPr>
          <w:rStyle w:val="a5"/>
          <w:rFonts w:ascii="Times New Roman" w:hAnsi="Times New Roman" w:cs="Times New Roman"/>
          <w:sz w:val="16"/>
          <w:szCs w:val="16"/>
        </w:rPr>
        <w:footnoteRef/>
      </w:r>
      <w:r w:rsidRPr="00CC0B60">
        <w:rPr>
          <w:rFonts w:ascii="Times New Roman" w:hAnsi="Times New Roman" w:cs="Times New Roman"/>
          <w:sz w:val="16"/>
          <w:szCs w:val="16"/>
        </w:rPr>
        <w:t xml:space="preserve"> Ordin</w:t>
      </w:r>
      <w:r>
        <w:rPr>
          <w:rFonts w:ascii="Times New Roman" w:hAnsi="Times New Roman" w:cs="Times New Roman"/>
          <w:sz w:val="16"/>
          <w:szCs w:val="16"/>
        </w:rPr>
        <w:t>ul</w:t>
      </w:r>
      <w:r w:rsidRPr="00CC0B60">
        <w:rPr>
          <w:rFonts w:ascii="Times New Roman" w:hAnsi="Times New Roman" w:cs="Times New Roman"/>
          <w:sz w:val="16"/>
          <w:szCs w:val="16"/>
        </w:rPr>
        <w:t xml:space="preserve"> nr. 74 din 07.12.2022, Ordinul nr. 36 din 17.06.2022, Ordinul nr. 9 din 10.02.2022, Ordinul </w:t>
      </w:r>
      <w:r>
        <w:rPr>
          <w:rFonts w:ascii="Times New Roman" w:hAnsi="Times New Roman" w:cs="Times New Roman"/>
          <w:sz w:val="16"/>
          <w:szCs w:val="16"/>
        </w:rPr>
        <w:t>nr.</w:t>
      </w:r>
      <w:r w:rsidRPr="00CC0B60">
        <w:rPr>
          <w:rFonts w:ascii="Times New Roman" w:hAnsi="Times New Roman" w:cs="Times New Roman"/>
          <w:sz w:val="16"/>
          <w:szCs w:val="16"/>
        </w:rPr>
        <w:t>279-P din 11.02.2021, Ordinul nr. 411-A din 13.09.2019, Ordinul nr. 370-A din 31.05.2018.</w:t>
      </w:r>
    </w:p>
  </w:footnote>
  <w:footnote w:id="89">
    <w:p w14:paraId="70D4966B" w14:textId="77777777" w:rsidR="00753EA2" w:rsidRPr="00A57EC9" w:rsidRDefault="00753EA2" w:rsidP="00DE4CE7">
      <w:pPr>
        <w:pStyle w:val="a3"/>
        <w:jc w:val="both"/>
        <w:rPr>
          <w:rFonts w:ascii="Times New Roman" w:hAnsi="Times New Roman" w:cs="Times New Roman"/>
          <w:sz w:val="16"/>
          <w:szCs w:val="16"/>
        </w:rPr>
      </w:pPr>
      <w:r w:rsidRPr="00A57EC9">
        <w:rPr>
          <w:rStyle w:val="a5"/>
          <w:rFonts w:ascii="Times New Roman" w:hAnsi="Times New Roman" w:cs="Times New Roman"/>
          <w:sz w:val="16"/>
          <w:szCs w:val="16"/>
        </w:rPr>
        <w:footnoteRef/>
      </w:r>
      <w:r w:rsidRPr="00A57EC9">
        <w:rPr>
          <w:rFonts w:ascii="Times New Roman" w:hAnsi="Times New Roman" w:cs="Times New Roman"/>
          <w:sz w:val="16"/>
          <w:szCs w:val="16"/>
        </w:rPr>
        <w:t xml:space="preserve"> </w:t>
      </w:r>
      <w:r>
        <w:rPr>
          <w:rFonts w:ascii="Times New Roman" w:hAnsi="Times New Roman" w:cs="Times New Roman"/>
          <w:sz w:val="16"/>
          <w:szCs w:val="16"/>
        </w:rPr>
        <w:t>P</w:t>
      </w:r>
      <w:r w:rsidRPr="00A57EC9">
        <w:rPr>
          <w:rFonts w:ascii="Times New Roman" w:hAnsi="Times New Roman" w:cs="Times New Roman"/>
          <w:sz w:val="16"/>
          <w:szCs w:val="16"/>
        </w:rPr>
        <w:t xml:space="preserve">ct. 8 alin. (2) din HG nr. 520 din 15.07.2020 </w:t>
      </w:r>
      <w:r>
        <w:rPr>
          <w:rFonts w:ascii="Times New Roman" w:hAnsi="Times New Roman" w:cs="Times New Roman"/>
          <w:sz w:val="16"/>
          <w:szCs w:val="16"/>
        </w:rPr>
        <w:t>„C</w:t>
      </w:r>
      <w:r w:rsidRPr="00A57EC9">
        <w:rPr>
          <w:rFonts w:ascii="Times New Roman" w:hAnsi="Times New Roman" w:cs="Times New Roman"/>
          <w:sz w:val="16"/>
          <w:szCs w:val="16"/>
        </w:rPr>
        <w:t xml:space="preserve">u privire la organizarea și funcționarea Instituției Publice „Pensiunea din Holercani”; pct. 8 alin. (2) din HG nr. 519 din 15.07.2020 </w:t>
      </w:r>
      <w:r>
        <w:rPr>
          <w:rFonts w:ascii="Times New Roman" w:hAnsi="Times New Roman" w:cs="Times New Roman"/>
          <w:sz w:val="16"/>
          <w:szCs w:val="16"/>
        </w:rPr>
        <w:t>„C</w:t>
      </w:r>
      <w:r w:rsidRPr="00A57EC9">
        <w:rPr>
          <w:rFonts w:ascii="Times New Roman" w:hAnsi="Times New Roman" w:cs="Times New Roman"/>
          <w:sz w:val="16"/>
          <w:szCs w:val="16"/>
        </w:rPr>
        <w:t>u privire la organizarea și funcționarea Instituției Publice „Palatul Republicii”</w:t>
      </w:r>
      <w:r>
        <w:rPr>
          <w:rFonts w:ascii="Times New Roman" w:hAnsi="Times New Roman" w:cs="Times New Roman"/>
          <w:sz w:val="16"/>
          <w:szCs w:val="16"/>
        </w:rPr>
        <w:t>”</w:t>
      </w:r>
      <w:r w:rsidRPr="00A57EC9">
        <w:rPr>
          <w:rFonts w:ascii="Times New Roman" w:hAnsi="Times New Roman" w:cs="Times New Roman"/>
          <w:sz w:val="16"/>
          <w:szCs w:val="16"/>
        </w:rPr>
        <w:t>.</w:t>
      </w:r>
    </w:p>
  </w:footnote>
  <w:footnote w:id="90">
    <w:p w14:paraId="269B741E" w14:textId="77777777" w:rsidR="00753EA2" w:rsidRPr="00A57EC9" w:rsidRDefault="00753EA2" w:rsidP="00DE4CE7">
      <w:pPr>
        <w:pStyle w:val="a3"/>
        <w:jc w:val="both"/>
        <w:rPr>
          <w:rFonts w:ascii="Times New Roman" w:hAnsi="Times New Roman" w:cs="Times New Roman"/>
          <w:sz w:val="16"/>
          <w:szCs w:val="16"/>
        </w:rPr>
      </w:pPr>
      <w:r w:rsidRPr="00A57EC9">
        <w:rPr>
          <w:rStyle w:val="a5"/>
          <w:rFonts w:ascii="Times New Roman" w:hAnsi="Times New Roman" w:cs="Times New Roman"/>
          <w:sz w:val="16"/>
          <w:szCs w:val="16"/>
        </w:rPr>
        <w:footnoteRef/>
      </w:r>
      <w:r w:rsidRPr="00A57EC9">
        <w:rPr>
          <w:rFonts w:ascii="Times New Roman" w:hAnsi="Times New Roman" w:cs="Times New Roman"/>
          <w:sz w:val="16"/>
          <w:szCs w:val="16"/>
        </w:rPr>
        <w:t xml:space="preserve"> Pct. 8 a</w:t>
      </w:r>
      <w:r>
        <w:rPr>
          <w:rFonts w:ascii="Times New Roman" w:hAnsi="Times New Roman" w:cs="Times New Roman"/>
          <w:sz w:val="16"/>
          <w:szCs w:val="16"/>
        </w:rPr>
        <w:t>lin.</w:t>
      </w:r>
      <w:r w:rsidRPr="00A57EC9">
        <w:rPr>
          <w:rFonts w:ascii="Times New Roman" w:hAnsi="Times New Roman" w:cs="Times New Roman"/>
          <w:sz w:val="16"/>
          <w:szCs w:val="16"/>
        </w:rPr>
        <w:t xml:space="preserve"> (2) din HG nr. 1208 din 05.12.2008 </w:t>
      </w:r>
      <w:r>
        <w:rPr>
          <w:rFonts w:ascii="Times New Roman" w:hAnsi="Times New Roman" w:cs="Times New Roman"/>
          <w:sz w:val="16"/>
          <w:szCs w:val="16"/>
        </w:rPr>
        <w:t>„C</w:t>
      </w:r>
      <w:r w:rsidRPr="00A57EC9">
        <w:rPr>
          <w:rFonts w:ascii="Times New Roman" w:hAnsi="Times New Roman" w:cs="Times New Roman"/>
          <w:sz w:val="16"/>
          <w:szCs w:val="16"/>
        </w:rPr>
        <w:t>u privire la organizarea și funcționarea Instituției publice „Agenția Informațională de Stat „Moldpres”</w:t>
      </w:r>
      <w:r>
        <w:rPr>
          <w:rFonts w:ascii="Times New Roman" w:hAnsi="Times New Roman" w:cs="Times New Roman"/>
          <w:sz w:val="16"/>
          <w:szCs w:val="16"/>
        </w:rPr>
        <w:t>”</w:t>
      </w:r>
      <w:r w:rsidRPr="00A57EC9">
        <w:rPr>
          <w:rFonts w:ascii="Times New Roman" w:hAnsi="Times New Roman" w:cs="Times New Roman"/>
          <w:sz w:val="16"/>
          <w:szCs w:val="16"/>
        </w:rPr>
        <w:t>.</w:t>
      </w:r>
    </w:p>
  </w:footnote>
  <w:footnote w:id="91">
    <w:p w14:paraId="34C27672" w14:textId="77777777" w:rsidR="00753EA2" w:rsidRPr="00A57EC9" w:rsidRDefault="00753EA2" w:rsidP="00DE4CE7">
      <w:pPr>
        <w:pStyle w:val="a3"/>
        <w:jc w:val="both"/>
        <w:rPr>
          <w:rFonts w:ascii="Times New Roman" w:hAnsi="Times New Roman" w:cs="Times New Roman"/>
          <w:sz w:val="16"/>
          <w:szCs w:val="16"/>
        </w:rPr>
      </w:pPr>
      <w:r w:rsidRPr="00A57EC9">
        <w:rPr>
          <w:rStyle w:val="a5"/>
          <w:rFonts w:ascii="Times New Roman" w:hAnsi="Times New Roman" w:cs="Times New Roman"/>
          <w:sz w:val="16"/>
          <w:szCs w:val="16"/>
        </w:rPr>
        <w:footnoteRef/>
      </w:r>
      <w:r w:rsidRPr="00A57EC9">
        <w:rPr>
          <w:rFonts w:ascii="Times New Roman" w:hAnsi="Times New Roman" w:cs="Times New Roman"/>
          <w:sz w:val="16"/>
          <w:szCs w:val="16"/>
        </w:rPr>
        <w:t xml:space="preserve"> HG nr. 884 din 14.12.2022 </w:t>
      </w:r>
      <w:r>
        <w:rPr>
          <w:rFonts w:ascii="Times New Roman" w:hAnsi="Times New Roman" w:cs="Times New Roman"/>
          <w:sz w:val="16"/>
          <w:szCs w:val="16"/>
        </w:rPr>
        <w:t>„</w:t>
      </w:r>
      <w:r w:rsidRPr="00A57EC9">
        <w:rPr>
          <w:rFonts w:ascii="Times New Roman" w:hAnsi="Times New Roman" w:cs="Times New Roman"/>
          <w:sz w:val="16"/>
          <w:szCs w:val="16"/>
        </w:rPr>
        <w:t>Cu privire la aprobarea Metodologiei de calculare a tarifelor la serviciile prestate de Instituția Publică Agenția Informațională de Stat „Moldpres” și a Nomenclatorului serviciilor și a cuantumului tarifelor la acestea</w:t>
      </w:r>
      <w:r>
        <w:rPr>
          <w:rFonts w:ascii="Times New Roman" w:hAnsi="Times New Roman" w:cs="Times New Roman"/>
          <w:sz w:val="16"/>
          <w:szCs w:val="16"/>
        </w:rPr>
        <w:t>”</w:t>
      </w:r>
      <w:r w:rsidRPr="00A57EC9">
        <w:rPr>
          <w:rFonts w:ascii="Times New Roman" w:hAnsi="Times New Roman" w:cs="Times New Roman"/>
          <w:sz w:val="16"/>
          <w:szCs w:val="16"/>
        </w:rPr>
        <w:t>.</w:t>
      </w:r>
    </w:p>
  </w:footnote>
  <w:footnote w:id="92">
    <w:p w14:paraId="2346BB33" w14:textId="28891262" w:rsidR="00753EA2" w:rsidRPr="00A57EC9" w:rsidRDefault="00753EA2" w:rsidP="00DE4CE7">
      <w:pPr>
        <w:pStyle w:val="a3"/>
        <w:jc w:val="both"/>
        <w:rPr>
          <w:rFonts w:ascii="Times New Roman" w:hAnsi="Times New Roman" w:cs="Times New Roman"/>
          <w:sz w:val="16"/>
          <w:szCs w:val="16"/>
        </w:rPr>
      </w:pPr>
      <w:r w:rsidRPr="00A57EC9">
        <w:rPr>
          <w:rStyle w:val="a5"/>
          <w:rFonts w:ascii="Times New Roman" w:hAnsi="Times New Roman" w:cs="Times New Roman"/>
          <w:sz w:val="16"/>
          <w:szCs w:val="16"/>
        </w:rPr>
        <w:footnoteRef/>
      </w:r>
      <w:r w:rsidRPr="00A57EC9">
        <w:rPr>
          <w:rFonts w:ascii="Times New Roman" w:hAnsi="Times New Roman" w:cs="Times New Roman"/>
          <w:sz w:val="16"/>
          <w:szCs w:val="16"/>
        </w:rPr>
        <w:t xml:space="preserve"> ce activa </w:t>
      </w:r>
      <w:r>
        <w:rPr>
          <w:rFonts w:ascii="Times New Roman" w:hAnsi="Times New Roman" w:cs="Times New Roman"/>
          <w:sz w:val="16"/>
          <w:szCs w:val="16"/>
        </w:rPr>
        <w:t xml:space="preserve">ca </w:t>
      </w:r>
      <w:r w:rsidRPr="00A57EC9">
        <w:rPr>
          <w:rFonts w:ascii="Times New Roman" w:hAnsi="Times New Roman" w:cs="Times New Roman"/>
          <w:sz w:val="16"/>
          <w:szCs w:val="16"/>
        </w:rPr>
        <w:t>întreprindere de stat  până la reorganizare.</w:t>
      </w:r>
    </w:p>
  </w:footnote>
  <w:footnote w:id="93">
    <w:p w14:paraId="6B884773" w14:textId="2A1925E0" w:rsidR="00753EA2" w:rsidRPr="005D1B54" w:rsidRDefault="00753EA2" w:rsidP="00DE4CE7">
      <w:pPr>
        <w:pStyle w:val="a3"/>
        <w:jc w:val="both"/>
        <w:rPr>
          <w:rFonts w:ascii="Times New Roman" w:hAnsi="Times New Roman" w:cs="Times New Roman"/>
          <w:sz w:val="16"/>
          <w:szCs w:val="16"/>
        </w:rPr>
      </w:pPr>
      <w:r w:rsidRPr="00A57EC9">
        <w:rPr>
          <w:rStyle w:val="a5"/>
          <w:rFonts w:ascii="Times New Roman" w:hAnsi="Times New Roman" w:cs="Times New Roman"/>
          <w:sz w:val="16"/>
          <w:szCs w:val="16"/>
        </w:rPr>
        <w:footnoteRef/>
      </w:r>
      <w:r w:rsidRPr="00A57EC9">
        <w:rPr>
          <w:rFonts w:ascii="Times New Roman" w:hAnsi="Times New Roman" w:cs="Times New Roman"/>
          <w:sz w:val="16"/>
          <w:szCs w:val="16"/>
        </w:rPr>
        <w:t xml:space="preserve"> Pen</w:t>
      </w:r>
      <w:r>
        <w:rPr>
          <w:rFonts w:ascii="Times New Roman" w:hAnsi="Times New Roman" w:cs="Times New Roman"/>
          <w:sz w:val="16"/>
          <w:szCs w:val="16"/>
        </w:rPr>
        <w:t>tr</w:t>
      </w:r>
      <w:r w:rsidRPr="00A57EC9">
        <w:rPr>
          <w:rFonts w:ascii="Times New Roman" w:hAnsi="Times New Roman" w:cs="Times New Roman"/>
          <w:sz w:val="16"/>
          <w:szCs w:val="16"/>
        </w:rPr>
        <w:t>u anul 2023, Nomenclatorul serviciilor prestate de către I.P. „Pensiune</w:t>
      </w:r>
      <w:r>
        <w:rPr>
          <w:rFonts w:ascii="Times New Roman" w:hAnsi="Times New Roman" w:cs="Times New Roman"/>
          <w:sz w:val="16"/>
          <w:szCs w:val="16"/>
        </w:rPr>
        <w:t>a din</w:t>
      </w:r>
      <w:r w:rsidRPr="00A57EC9">
        <w:rPr>
          <w:rFonts w:ascii="Times New Roman" w:hAnsi="Times New Roman" w:cs="Times New Roman"/>
          <w:sz w:val="16"/>
          <w:szCs w:val="16"/>
        </w:rPr>
        <w:t xml:space="preserve"> Holercani” și </w:t>
      </w:r>
      <w:r>
        <w:rPr>
          <w:rFonts w:ascii="Times New Roman" w:hAnsi="Times New Roman" w:cs="Times New Roman"/>
          <w:sz w:val="16"/>
          <w:szCs w:val="16"/>
        </w:rPr>
        <w:t>de</w:t>
      </w:r>
      <w:r w:rsidRPr="00A57EC9">
        <w:rPr>
          <w:rFonts w:ascii="Times New Roman" w:hAnsi="Times New Roman" w:cs="Times New Roman"/>
          <w:sz w:val="16"/>
          <w:szCs w:val="16"/>
        </w:rPr>
        <w:t xml:space="preserve"> I.P. „Palatul Republicii” au fost aprobate prin Ordinul CS nr. 65 din 30.05.2023</w:t>
      </w:r>
      <w:r>
        <w:rPr>
          <w:rFonts w:ascii="Times New Roman" w:hAnsi="Times New Roman" w:cs="Times New Roman"/>
          <w:sz w:val="16"/>
          <w:szCs w:val="16"/>
        </w:rPr>
        <w:t>,</w:t>
      </w:r>
      <w:r w:rsidRPr="00A57EC9">
        <w:rPr>
          <w:rFonts w:ascii="Times New Roman" w:hAnsi="Times New Roman" w:cs="Times New Roman"/>
          <w:sz w:val="16"/>
          <w:szCs w:val="16"/>
        </w:rPr>
        <w:t xml:space="preserve"> semnat d</w:t>
      </w:r>
      <w:r>
        <w:rPr>
          <w:rFonts w:ascii="Times New Roman" w:hAnsi="Times New Roman" w:cs="Times New Roman"/>
          <w:sz w:val="16"/>
          <w:szCs w:val="16"/>
        </w:rPr>
        <w:t>e</w:t>
      </w:r>
      <w:r w:rsidRPr="00A57EC9">
        <w:rPr>
          <w:rFonts w:ascii="Times New Roman" w:hAnsi="Times New Roman" w:cs="Times New Roman"/>
          <w:sz w:val="16"/>
          <w:szCs w:val="16"/>
        </w:rPr>
        <w:t xml:space="preserve"> Secretarul general al Guvernului.</w:t>
      </w:r>
    </w:p>
  </w:footnote>
  <w:footnote w:id="94">
    <w:p w14:paraId="0FCC8262" w14:textId="676E98CF" w:rsidR="00753EA2" w:rsidRPr="00045402" w:rsidRDefault="00753EA2" w:rsidP="00DE4CE7">
      <w:pPr>
        <w:pStyle w:val="tt"/>
        <w:jc w:val="both"/>
        <w:rPr>
          <w:sz w:val="16"/>
          <w:szCs w:val="16"/>
        </w:rPr>
      </w:pPr>
      <w:r w:rsidRPr="00761420">
        <w:rPr>
          <w:rStyle w:val="a5"/>
          <w:b w:val="0"/>
          <w:sz w:val="16"/>
          <w:szCs w:val="16"/>
        </w:rPr>
        <w:footnoteRef/>
      </w:r>
      <w:r w:rsidRPr="00761420">
        <w:rPr>
          <w:b w:val="0"/>
          <w:sz w:val="16"/>
          <w:szCs w:val="16"/>
        </w:rPr>
        <w:t xml:space="preserve"> Anexa nr. 1 la HG nr.193/2019 C</w:t>
      </w:r>
      <w:r w:rsidRPr="00F14E2F">
        <w:rPr>
          <w:b w:val="0"/>
          <w:sz w:val="16"/>
          <w:szCs w:val="16"/>
          <w:lang w:val="ro-MD"/>
        </w:rPr>
        <w:t xml:space="preserve">u privire la aprobarea Metodologiei de calculare a tarifelor la serviciile prestate de Instituţia Publică „Serviciul Tehnologia Informaţiei şi Securitate Cibernetică”, a Nomenclatorului serviciilor prestate şi tarifelor la aceasta, precum şi a modificărilor ce se </w:t>
      </w:r>
      <w:r w:rsidRPr="00761420">
        <w:rPr>
          <w:b w:val="0"/>
          <w:sz w:val="16"/>
          <w:szCs w:val="16"/>
          <w:lang w:val="ro-MD"/>
        </w:rPr>
        <w:t>operează în unele hotăr</w:t>
      </w:r>
      <w:r>
        <w:rPr>
          <w:b w:val="0"/>
          <w:sz w:val="16"/>
          <w:szCs w:val="16"/>
          <w:lang w:val="ro-MD"/>
        </w:rPr>
        <w:t>â</w:t>
      </w:r>
      <w:r w:rsidRPr="00F14E2F">
        <w:rPr>
          <w:b w:val="0"/>
          <w:sz w:val="16"/>
          <w:szCs w:val="16"/>
          <w:lang w:val="ro-MD"/>
        </w:rPr>
        <w:t>ri ale Guvernului</w:t>
      </w:r>
      <w:r w:rsidRPr="00045402">
        <w:rPr>
          <w:sz w:val="16"/>
          <w:szCs w:val="16"/>
        </w:rPr>
        <w:t>.</w:t>
      </w:r>
    </w:p>
  </w:footnote>
  <w:footnote w:id="95">
    <w:p w14:paraId="33B295E3" w14:textId="2F40BAD3" w:rsidR="00753EA2" w:rsidRPr="00045402" w:rsidRDefault="00753EA2" w:rsidP="00DE4CE7">
      <w:pPr>
        <w:pStyle w:val="a3"/>
        <w:jc w:val="both"/>
        <w:rPr>
          <w:rFonts w:ascii="Times New Roman" w:hAnsi="Times New Roman" w:cs="Times New Roman"/>
          <w:sz w:val="16"/>
          <w:szCs w:val="16"/>
        </w:rPr>
      </w:pPr>
      <w:r w:rsidRPr="00045402">
        <w:rPr>
          <w:rStyle w:val="a5"/>
          <w:rFonts w:ascii="Times New Roman" w:hAnsi="Times New Roman" w:cs="Times New Roman"/>
          <w:sz w:val="16"/>
          <w:szCs w:val="16"/>
        </w:rPr>
        <w:footnoteRef/>
      </w:r>
      <w:r w:rsidRPr="00045402">
        <w:rPr>
          <w:rFonts w:ascii="Times New Roman" w:hAnsi="Times New Roman" w:cs="Times New Roman"/>
          <w:sz w:val="16"/>
          <w:szCs w:val="16"/>
        </w:rPr>
        <w:t xml:space="preserve"> Servicii </w:t>
      </w:r>
      <w:r>
        <w:rPr>
          <w:rFonts w:ascii="Times New Roman" w:hAnsi="Times New Roman" w:cs="Times New Roman"/>
          <w:sz w:val="16"/>
          <w:szCs w:val="16"/>
        </w:rPr>
        <w:t xml:space="preserve">de </w:t>
      </w:r>
      <w:r w:rsidRPr="00045402">
        <w:rPr>
          <w:rFonts w:ascii="Times New Roman" w:hAnsi="Times New Roman" w:cs="Times New Roman"/>
          <w:sz w:val="16"/>
          <w:szCs w:val="16"/>
        </w:rPr>
        <w:t>telecomunicați</w:t>
      </w:r>
      <w:r>
        <w:rPr>
          <w:rFonts w:ascii="Times New Roman" w:hAnsi="Times New Roman" w:cs="Times New Roman"/>
          <w:sz w:val="16"/>
          <w:szCs w:val="16"/>
        </w:rPr>
        <w:t>i</w:t>
      </w:r>
      <w:r w:rsidRPr="00045402">
        <w:rPr>
          <w:rFonts w:ascii="Times New Roman" w:hAnsi="Times New Roman" w:cs="Times New Roman"/>
          <w:sz w:val="16"/>
          <w:szCs w:val="16"/>
        </w:rPr>
        <w:t xml:space="preserve">; Servicii de administrare și menținere tehnică a resurselor informaționale, precum și alte servicii conexe; Servicii de certificare a cheilor publice și alte servicii în domeniul semnăturii electronice; Servicii în domeniul securității cibernetice; Alte servicii în domeniul TIC.             </w:t>
      </w:r>
    </w:p>
  </w:footnote>
  <w:footnote w:id="96">
    <w:p w14:paraId="652CE65A" w14:textId="22973713" w:rsidR="00753EA2" w:rsidRPr="00045402" w:rsidRDefault="00753EA2" w:rsidP="00DE4CE7">
      <w:pPr>
        <w:pStyle w:val="a3"/>
        <w:jc w:val="both"/>
        <w:rPr>
          <w:rFonts w:ascii="Times New Roman" w:hAnsi="Times New Roman" w:cs="Times New Roman"/>
          <w:sz w:val="16"/>
          <w:szCs w:val="16"/>
        </w:rPr>
      </w:pPr>
      <w:r w:rsidRPr="00045402">
        <w:rPr>
          <w:rStyle w:val="a5"/>
          <w:rFonts w:ascii="Times New Roman" w:hAnsi="Times New Roman" w:cs="Times New Roman"/>
          <w:sz w:val="16"/>
          <w:szCs w:val="16"/>
        </w:rPr>
        <w:footnoteRef/>
      </w:r>
      <w:r w:rsidRPr="00045402">
        <w:rPr>
          <w:rFonts w:ascii="Times New Roman" w:hAnsi="Times New Roman" w:cs="Times New Roman"/>
          <w:sz w:val="16"/>
          <w:szCs w:val="16"/>
        </w:rPr>
        <w:t xml:space="preserve"> </w:t>
      </w:r>
      <w:r w:rsidRPr="00045402">
        <w:rPr>
          <w:rFonts w:ascii="Times New Roman" w:eastAsia="Times New Roman" w:hAnsi="Times New Roman" w:cs="Times New Roman"/>
          <w:sz w:val="16"/>
          <w:szCs w:val="16"/>
        </w:rPr>
        <w:t>valoarea cheltuielilor operaționale și a costurilor suportate și raportate de entitate</w:t>
      </w:r>
      <w:r w:rsidRPr="00045402">
        <w:rPr>
          <w:rStyle w:val="a5"/>
          <w:rFonts w:ascii="Times New Roman" w:eastAsia="Times New Roman" w:hAnsi="Times New Roman" w:cs="Times New Roman"/>
          <w:sz w:val="16"/>
          <w:szCs w:val="16"/>
        </w:rPr>
        <w:footnoteRef/>
      </w:r>
      <w:r w:rsidRPr="00045402">
        <w:rPr>
          <w:rFonts w:ascii="Times New Roman" w:eastAsia="Times New Roman" w:hAnsi="Times New Roman" w:cs="Times New Roman"/>
          <w:sz w:val="16"/>
          <w:szCs w:val="16"/>
        </w:rPr>
        <w:t xml:space="preserve"> s-au majorat în anii 2020 – 2021 comparativ cu anul 2019 de la 127,0 mil. lei până la 147,2 mil lei și respectiv 164,8 mil. lei, ulterior în anul 2022 micșorîndu-se pînă la 145,6 mil. lei.</w:t>
      </w:r>
    </w:p>
  </w:footnote>
  <w:footnote w:id="97">
    <w:p w14:paraId="068DF014" w14:textId="75102BA8" w:rsidR="00753EA2" w:rsidRPr="00045402" w:rsidRDefault="00753EA2" w:rsidP="00DE4CE7">
      <w:pPr>
        <w:pStyle w:val="a3"/>
        <w:jc w:val="both"/>
        <w:rPr>
          <w:rFonts w:ascii="Times New Roman" w:hAnsi="Times New Roman" w:cs="Times New Roman"/>
          <w:sz w:val="16"/>
          <w:szCs w:val="16"/>
        </w:rPr>
      </w:pPr>
      <w:r w:rsidRPr="00045402">
        <w:rPr>
          <w:rStyle w:val="a5"/>
          <w:rFonts w:ascii="Times New Roman" w:hAnsi="Times New Roman" w:cs="Times New Roman"/>
          <w:sz w:val="16"/>
          <w:szCs w:val="16"/>
        </w:rPr>
        <w:footnoteRef/>
      </w:r>
      <w:r w:rsidRPr="00045402">
        <w:rPr>
          <w:rFonts w:ascii="Times New Roman" w:hAnsi="Times New Roman" w:cs="Times New Roman"/>
          <w:sz w:val="16"/>
          <w:szCs w:val="16"/>
        </w:rPr>
        <w:t xml:space="preserve"> Costul unitar al serviciului se calculează prin raportarea costului total la cantitatea/volumul/ total de servicii prestate.</w:t>
      </w:r>
    </w:p>
  </w:footnote>
  <w:footnote w:id="98">
    <w:p w14:paraId="7EB852EE" w14:textId="5EEEBB03" w:rsidR="00753EA2" w:rsidRPr="00A05427" w:rsidRDefault="00753EA2" w:rsidP="00A05427">
      <w:pPr>
        <w:pStyle w:val="a3"/>
        <w:jc w:val="both"/>
        <w:rPr>
          <w:rFonts w:ascii="Times New Roman" w:hAnsi="Times New Roman" w:cs="Times New Roman"/>
          <w:sz w:val="16"/>
          <w:szCs w:val="16"/>
        </w:rPr>
      </w:pPr>
      <w:r w:rsidRPr="00A05427">
        <w:rPr>
          <w:rStyle w:val="a5"/>
          <w:rFonts w:ascii="Times New Roman" w:hAnsi="Times New Roman" w:cs="Times New Roman"/>
          <w:sz w:val="16"/>
          <w:szCs w:val="16"/>
        </w:rPr>
        <w:footnoteRef/>
      </w:r>
      <w:r w:rsidRPr="00A05427">
        <w:rPr>
          <w:rFonts w:ascii="Times New Roman" w:hAnsi="Times New Roman" w:cs="Times New Roman"/>
          <w:sz w:val="16"/>
          <w:szCs w:val="16"/>
        </w:rPr>
        <w:t xml:space="preserve"> I.P. „DGACG”, I.P. „Baza Auto a CS”, I.P. „AGE”, I.P. „ASP”, I.P.„STISC”, I.P. „Palatul Republicii”, I.P. „Pensiunea din Holercani”, I.P. AIS „Moldopres”.</w:t>
      </w:r>
    </w:p>
  </w:footnote>
  <w:footnote w:id="99">
    <w:p w14:paraId="66B7AFD3" w14:textId="29735B1C" w:rsidR="00753EA2" w:rsidRPr="006B0985" w:rsidRDefault="00753EA2" w:rsidP="006B0985">
      <w:pPr>
        <w:pStyle w:val="a3"/>
        <w:jc w:val="both"/>
        <w:rPr>
          <w:rFonts w:ascii="Times New Roman" w:hAnsi="Times New Roman" w:cs="Times New Roman"/>
          <w:sz w:val="16"/>
          <w:szCs w:val="16"/>
        </w:rPr>
      </w:pPr>
      <w:r w:rsidRPr="006B0985">
        <w:rPr>
          <w:rStyle w:val="a5"/>
          <w:rFonts w:ascii="Times New Roman" w:hAnsi="Times New Roman" w:cs="Times New Roman"/>
          <w:sz w:val="16"/>
          <w:szCs w:val="16"/>
        </w:rPr>
        <w:footnoteRef/>
      </w:r>
      <w:r w:rsidRPr="006B0985">
        <w:rPr>
          <w:rFonts w:ascii="Times New Roman" w:hAnsi="Times New Roman" w:cs="Times New Roman"/>
          <w:sz w:val="16"/>
          <w:szCs w:val="16"/>
        </w:rPr>
        <w:t xml:space="preserve"> Cifra a fost estimată de audit în baza informațiilor prezentate de CS și I.P. fondate.</w:t>
      </w:r>
    </w:p>
  </w:footnote>
  <w:footnote w:id="100">
    <w:p w14:paraId="0052660E" w14:textId="77C2D59E" w:rsidR="00753EA2" w:rsidRPr="006B0985" w:rsidRDefault="00753EA2" w:rsidP="006B0985">
      <w:pPr>
        <w:pStyle w:val="a3"/>
        <w:jc w:val="both"/>
        <w:rPr>
          <w:rFonts w:ascii="Times New Roman" w:hAnsi="Times New Roman" w:cs="Times New Roman"/>
          <w:sz w:val="16"/>
          <w:szCs w:val="16"/>
        </w:rPr>
      </w:pPr>
      <w:r w:rsidRPr="006B0985">
        <w:rPr>
          <w:rStyle w:val="a5"/>
          <w:rFonts w:ascii="Times New Roman" w:hAnsi="Times New Roman" w:cs="Times New Roman"/>
          <w:sz w:val="16"/>
          <w:szCs w:val="16"/>
        </w:rPr>
        <w:footnoteRef/>
      </w:r>
      <w:r w:rsidRPr="006B0985">
        <w:rPr>
          <w:rFonts w:ascii="Times New Roman" w:hAnsi="Times New Roman" w:cs="Times New Roman"/>
          <w:sz w:val="16"/>
          <w:szCs w:val="16"/>
        </w:rPr>
        <w:t xml:space="preserve"> Cifra a f</w:t>
      </w:r>
      <w:r>
        <w:rPr>
          <w:rFonts w:ascii="Times New Roman" w:hAnsi="Times New Roman" w:cs="Times New Roman"/>
          <w:sz w:val="16"/>
          <w:szCs w:val="16"/>
        </w:rPr>
        <w:t>ost preluată din Raportul anual al STISC</w:t>
      </w:r>
      <w:r w:rsidRPr="006B0985">
        <w:rPr>
          <w:rFonts w:ascii="Times New Roman" w:hAnsi="Times New Roman" w:cs="Times New Roman"/>
          <w:sz w:val="16"/>
          <w:szCs w:val="16"/>
        </w:rPr>
        <w:t xml:space="preserve"> la situația din 31.12.2022.</w:t>
      </w:r>
    </w:p>
  </w:footnote>
  <w:footnote w:id="101">
    <w:p w14:paraId="7421E8A5" w14:textId="0C856C83" w:rsidR="00753EA2" w:rsidRPr="006B0985" w:rsidRDefault="00753EA2" w:rsidP="006B0985">
      <w:pPr>
        <w:pStyle w:val="a3"/>
        <w:jc w:val="both"/>
        <w:rPr>
          <w:rFonts w:ascii="Times New Roman" w:hAnsi="Times New Roman" w:cs="Times New Roman"/>
          <w:sz w:val="16"/>
          <w:szCs w:val="16"/>
        </w:rPr>
      </w:pPr>
      <w:r w:rsidRPr="006B0985">
        <w:rPr>
          <w:rStyle w:val="a5"/>
          <w:rFonts w:ascii="Times New Roman" w:hAnsi="Times New Roman" w:cs="Times New Roman"/>
          <w:sz w:val="16"/>
          <w:szCs w:val="16"/>
        </w:rPr>
        <w:footnoteRef/>
      </w:r>
      <w:r w:rsidRPr="006B0985">
        <w:rPr>
          <w:rFonts w:ascii="Times New Roman" w:hAnsi="Times New Roman" w:cs="Times New Roman"/>
          <w:sz w:val="16"/>
          <w:szCs w:val="16"/>
        </w:rPr>
        <w:t xml:space="preserve"> Cifra a fost preluată din Informația prezentată de ASP prin Scrisoarea nr. 01/10388 din 15.11.2023.</w:t>
      </w:r>
    </w:p>
  </w:footnote>
  <w:footnote w:id="102">
    <w:p w14:paraId="1291832A" w14:textId="3CEFAD15" w:rsidR="00753EA2" w:rsidRPr="006B0985" w:rsidRDefault="00753EA2" w:rsidP="006B0985">
      <w:pPr>
        <w:pStyle w:val="a3"/>
        <w:jc w:val="both"/>
        <w:rPr>
          <w:rFonts w:ascii="Times New Roman" w:hAnsi="Times New Roman" w:cs="Times New Roman"/>
          <w:sz w:val="16"/>
          <w:szCs w:val="16"/>
        </w:rPr>
      </w:pPr>
      <w:r w:rsidRPr="006B0985">
        <w:rPr>
          <w:rStyle w:val="a5"/>
          <w:rFonts w:ascii="Times New Roman" w:hAnsi="Times New Roman" w:cs="Times New Roman"/>
          <w:sz w:val="16"/>
          <w:szCs w:val="16"/>
        </w:rPr>
        <w:footnoteRef/>
      </w:r>
      <w:r w:rsidRPr="006B0985">
        <w:rPr>
          <w:rFonts w:ascii="Times New Roman" w:hAnsi="Times New Roman" w:cs="Times New Roman"/>
          <w:sz w:val="16"/>
          <w:szCs w:val="16"/>
        </w:rPr>
        <w:t xml:space="preserve"> I.P. „Palatul Republicii”- 177,588,473.00 lei și I.P. „Pensiunea din Holercani! - 52,834,972.00.</w:t>
      </w:r>
    </w:p>
  </w:footnote>
  <w:footnote w:id="103">
    <w:p w14:paraId="77302646" w14:textId="77777777" w:rsidR="00753EA2" w:rsidRPr="006B0985" w:rsidRDefault="00753EA2" w:rsidP="006B0985">
      <w:pPr>
        <w:pStyle w:val="a3"/>
        <w:jc w:val="both"/>
        <w:rPr>
          <w:rFonts w:ascii="Times New Roman" w:hAnsi="Times New Roman" w:cs="Times New Roman"/>
          <w:sz w:val="16"/>
          <w:szCs w:val="16"/>
        </w:rPr>
      </w:pPr>
      <w:r w:rsidRPr="006B0985">
        <w:rPr>
          <w:rStyle w:val="a5"/>
          <w:rFonts w:ascii="Times New Roman" w:hAnsi="Times New Roman" w:cs="Times New Roman"/>
          <w:sz w:val="16"/>
          <w:szCs w:val="16"/>
        </w:rPr>
        <w:footnoteRef/>
      </w:r>
      <w:r w:rsidRPr="006B0985">
        <w:rPr>
          <w:rFonts w:ascii="Times New Roman" w:hAnsi="Times New Roman" w:cs="Times New Roman"/>
          <w:sz w:val="16"/>
          <w:szCs w:val="16"/>
        </w:rPr>
        <w:t xml:space="preserve"> Cifra a fost preluată din Raportul narativ al I.P. STISC prezentat CS la situația din 31.12.2022.</w:t>
      </w:r>
    </w:p>
  </w:footnote>
  <w:footnote w:id="104">
    <w:p w14:paraId="6079CDB3" w14:textId="77777777" w:rsidR="00753EA2" w:rsidRPr="006B0985" w:rsidRDefault="00753EA2" w:rsidP="006B0985">
      <w:pPr>
        <w:pStyle w:val="a3"/>
        <w:jc w:val="both"/>
        <w:rPr>
          <w:rFonts w:ascii="Times New Roman" w:hAnsi="Times New Roman" w:cs="Times New Roman"/>
          <w:sz w:val="16"/>
          <w:szCs w:val="16"/>
        </w:rPr>
      </w:pPr>
      <w:r w:rsidRPr="006B0985">
        <w:rPr>
          <w:rStyle w:val="a5"/>
          <w:rFonts w:ascii="Times New Roman" w:hAnsi="Times New Roman" w:cs="Times New Roman"/>
          <w:sz w:val="16"/>
          <w:szCs w:val="16"/>
        </w:rPr>
        <w:footnoteRef/>
      </w:r>
      <w:r w:rsidRPr="006B0985">
        <w:rPr>
          <w:rFonts w:ascii="Times New Roman" w:hAnsi="Times New Roman" w:cs="Times New Roman"/>
          <w:sz w:val="16"/>
          <w:szCs w:val="16"/>
        </w:rPr>
        <w:t xml:space="preserve"> Î.S. Cadastru, Î.S. „Camera Înregistrării de Stat” și Î.S. CRIS „Registru”.</w:t>
      </w:r>
    </w:p>
  </w:footnote>
  <w:footnote w:id="105">
    <w:p w14:paraId="2859D075" w14:textId="38547A23" w:rsidR="00753EA2" w:rsidRPr="006B0985" w:rsidRDefault="00753EA2" w:rsidP="006B0985">
      <w:pPr>
        <w:pStyle w:val="a3"/>
        <w:jc w:val="both"/>
        <w:rPr>
          <w:rFonts w:ascii="Times New Roman" w:hAnsi="Times New Roman" w:cs="Times New Roman"/>
          <w:sz w:val="16"/>
          <w:szCs w:val="16"/>
        </w:rPr>
      </w:pPr>
      <w:r w:rsidRPr="006B0985">
        <w:rPr>
          <w:rStyle w:val="a5"/>
          <w:rFonts w:ascii="Times New Roman" w:hAnsi="Times New Roman" w:cs="Times New Roman"/>
          <w:sz w:val="16"/>
          <w:szCs w:val="16"/>
        </w:rPr>
        <w:footnoteRef/>
      </w:r>
      <w:r w:rsidRPr="006B0985">
        <w:rPr>
          <w:rFonts w:ascii="Times New Roman" w:hAnsi="Times New Roman" w:cs="Times New Roman"/>
          <w:sz w:val="16"/>
          <w:szCs w:val="16"/>
        </w:rPr>
        <w:t xml:space="preserve"> Hotărârea nr.50 din 30 noiembrie 2023 cu privire la Raportul auditului conformității privind gestionarea patrimoniului public și a resurselor financiare de către Instituția Publică „Agenția Servicii Publice” în anul 2022</w:t>
      </w:r>
      <w:r>
        <w:rPr>
          <w:rFonts w:ascii="Times New Roman" w:hAnsi="Times New Roman" w:cs="Times New Roman"/>
          <w:sz w:val="16"/>
          <w:szCs w:val="16"/>
        </w:rPr>
        <w:t>.</w:t>
      </w:r>
    </w:p>
  </w:footnote>
  <w:footnote w:id="106">
    <w:p w14:paraId="3BD542A4" w14:textId="265AB289" w:rsidR="00753EA2" w:rsidRPr="000F3BC6" w:rsidRDefault="00753EA2" w:rsidP="00450503">
      <w:pPr>
        <w:pStyle w:val="a3"/>
        <w:jc w:val="both"/>
        <w:rPr>
          <w:rFonts w:ascii="Times New Roman" w:hAnsi="Times New Roman" w:cs="Times New Roman"/>
          <w:sz w:val="16"/>
          <w:szCs w:val="16"/>
        </w:rPr>
      </w:pPr>
      <w:r w:rsidRPr="000F3BC6">
        <w:rPr>
          <w:rStyle w:val="a5"/>
          <w:rFonts w:ascii="Times New Roman" w:hAnsi="Times New Roman" w:cs="Times New Roman"/>
          <w:sz w:val="16"/>
          <w:szCs w:val="16"/>
        </w:rPr>
        <w:footnoteRef/>
      </w:r>
      <w:r w:rsidRPr="000F3BC6">
        <w:rPr>
          <w:rFonts w:ascii="Times New Roman" w:hAnsi="Times New Roman" w:cs="Times New Roman"/>
          <w:sz w:val="16"/>
          <w:szCs w:val="16"/>
        </w:rPr>
        <w:t xml:space="preserve"> Art. 5 alin. (2) și art. 9 lit. k) din Legea nr.29 din 05.04.2018 privind delimitarea proprietății publice statuează că: de domeniul public al statului țin: „clădirile, inclusiv încăperile izolate şi terenurile proprietate publică de stat în/pe care îşi desfăşoară activitatea Parlamentul, Președintele Republicii Moldova, Guvernul, ministerele şi alte autorităţi ale administraţiei publice centrale, autorităţile publice autonome şi serviciile desconcentrate ale acestora, instituţiile bugetare/publice cu autogestiune subordonate acestora, instanţele judecătoreşti, organele procuraturii şi alte organe de drept”.</w:t>
      </w:r>
    </w:p>
  </w:footnote>
  <w:footnote w:id="107">
    <w:p w14:paraId="7F6A55A8" w14:textId="007FF549" w:rsidR="00753EA2" w:rsidRPr="00450503" w:rsidRDefault="00753EA2" w:rsidP="00450503">
      <w:pPr>
        <w:pStyle w:val="a3"/>
        <w:jc w:val="both"/>
        <w:rPr>
          <w:rFonts w:ascii="Times New Roman" w:hAnsi="Times New Roman" w:cs="Times New Roman"/>
          <w:sz w:val="16"/>
          <w:szCs w:val="16"/>
        </w:rPr>
      </w:pPr>
      <w:r w:rsidRPr="000F3BC6">
        <w:rPr>
          <w:rStyle w:val="a5"/>
          <w:rFonts w:ascii="Times New Roman" w:hAnsi="Times New Roman" w:cs="Times New Roman"/>
          <w:sz w:val="16"/>
          <w:szCs w:val="16"/>
        </w:rPr>
        <w:footnoteRef/>
      </w:r>
      <w:r w:rsidRPr="000F3BC6">
        <w:rPr>
          <w:rFonts w:ascii="Times New Roman" w:hAnsi="Times New Roman" w:cs="Times New Roman"/>
          <w:sz w:val="16"/>
          <w:szCs w:val="16"/>
        </w:rPr>
        <w:t xml:space="preserve"> Cu excepția patrimoniului statuat în art. 9 lit. k) din Legea nr. 29 din 05.04.2018 privind delimitarea proprietății publice.</w:t>
      </w:r>
    </w:p>
  </w:footnote>
  <w:footnote w:id="108">
    <w:p w14:paraId="12A0C327" w14:textId="77777777" w:rsidR="00753EA2" w:rsidRPr="00F5103C" w:rsidRDefault="00753EA2" w:rsidP="003264FB">
      <w:pPr>
        <w:pStyle w:val="a3"/>
        <w:jc w:val="both"/>
        <w:rPr>
          <w:rFonts w:ascii="Times New Roman" w:hAnsi="Times New Roman" w:cs="Times New Roman"/>
          <w:sz w:val="16"/>
          <w:szCs w:val="16"/>
        </w:rPr>
      </w:pPr>
      <w:r w:rsidRPr="00F5103C">
        <w:rPr>
          <w:rStyle w:val="a5"/>
          <w:rFonts w:ascii="Times New Roman" w:hAnsi="Times New Roman" w:cs="Times New Roman"/>
          <w:sz w:val="16"/>
          <w:szCs w:val="16"/>
        </w:rPr>
        <w:footnoteRef/>
      </w:r>
      <w:r w:rsidRPr="00F5103C">
        <w:rPr>
          <w:rFonts w:ascii="Times New Roman" w:hAnsi="Times New Roman" w:cs="Times New Roman"/>
          <w:sz w:val="16"/>
          <w:szCs w:val="16"/>
          <w:vertAlign w:val="superscript"/>
        </w:rPr>
        <w:t xml:space="preserve"> </w:t>
      </w:r>
      <w:r w:rsidRPr="00F5103C">
        <w:rPr>
          <w:rFonts w:ascii="Times New Roman" w:hAnsi="Times New Roman" w:cs="Times New Roman"/>
          <w:sz w:val="16"/>
          <w:szCs w:val="16"/>
        </w:rPr>
        <w:t>Transmisă în gestiune DGACG în anul 2020</w:t>
      </w:r>
      <w:r>
        <w:rPr>
          <w:rFonts w:ascii="Times New Roman" w:hAnsi="Times New Roman" w:cs="Times New Roman"/>
          <w:sz w:val="16"/>
          <w:szCs w:val="16"/>
        </w:rPr>
        <w:t>.</w:t>
      </w:r>
    </w:p>
  </w:footnote>
  <w:footnote w:id="109">
    <w:p w14:paraId="3C6B6C29" w14:textId="77777777" w:rsidR="00753EA2" w:rsidRPr="00F5103C" w:rsidRDefault="00753EA2" w:rsidP="003264FB">
      <w:pPr>
        <w:pStyle w:val="a3"/>
        <w:tabs>
          <w:tab w:val="left" w:pos="768"/>
        </w:tabs>
        <w:jc w:val="both"/>
        <w:rPr>
          <w:rFonts w:ascii="Times New Roman" w:hAnsi="Times New Roman" w:cs="Times New Roman"/>
          <w:sz w:val="16"/>
          <w:szCs w:val="16"/>
        </w:rPr>
      </w:pPr>
      <w:r w:rsidRPr="00F5103C">
        <w:rPr>
          <w:rStyle w:val="a5"/>
          <w:rFonts w:ascii="Times New Roman" w:hAnsi="Times New Roman" w:cs="Times New Roman"/>
          <w:sz w:val="16"/>
          <w:szCs w:val="16"/>
        </w:rPr>
        <w:footnoteRef/>
      </w:r>
      <w:r w:rsidRPr="00F5103C">
        <w:rPr>
          <w:rFonts w:ascii="Times New Roman" w:hAnsi="Times New Roman" w:cs="Times New Roman"/>
          <w:sz w:val="16"/>
          <w:szCs w:val="16"/>
        </w:rPr>
        <w:t xml:space="preserve"> Transmisă în anul 2017</w:t>
      </w:r>
      <w:r>
        <w:rPr>
          <w:rFonts w:ascii="Times New Roman" w:hAnsi="Times New Roman" w:cs="Times New Roman"/>
          <w:sz w:val="16"/>
          <w:szCs w:val="16"/>
        </w:rPr>
        <w:t>.</w:t>
      </w:r>
    </w:p>
  </w:footnote>
  <w:footnote w:id="110">
    <w:p w14:paraId="00213531" w14:textId="77777777" w:rsidR="00753EA2" w:rsidRPr="00231A57" w:rsidRDefault="00753EA2" w:rsidP="003264FB">
      <w:pPr>
        <w:pStyle w:val="a3"/>
        <w:jc w:val="both"/>
        <w:rPr>
          <w:sz w:val="16"/>
          <w:szCs w:val="16"/>
        </w:rPr>
      </w:pPr>
      <w:r w:rsidRPr="00231A57">
        <w:rPr>
          <w:rStyle w:val="a5"/>
          <w:rFonts w:ascii="Times New Roman" w:hAnsi="Times New Roman" w:cs="Times New Roman"/>
          <w:sz w:val="16"/>
          <w:szCs w:val="16"/>
        </w:rPr>
        <w:footnoteRef/>
      </w:r>
      <w:r w:rsidRPr="00231A57">
        <w:rPr>
          <w:rFonts w:ascii="Times New Roman" w:hAnsi="Times New Roman" w:cs="Times New Roman"/>
          <w:sz w:val="16"/>
          <w:szCs w:val="16"/>
        </w:rPr>
        <w:t xml:space="preserve"> Primită de către DGACG în anul 2015.</w:t>
      </w:r>
    </w:p>
  </w:footnote>
  <w:footnote w:id="111">
    <w:p w14:paraId="2625841E" w14:textId="3CBAD8B0" w:rsidR="00753EA2" w:rsidRPr="00231A57" w:rsidRDefault="00753EA2" w:rsidP="00A05427">
      <w:pPr>
        <w:pStyle w:val="a3"/>
        <w:jc w:val="both"/>
        <w:rPr>
          <w:rFonts w:ascii="Times New Roman" w:hAnsi="Times New Roman" w:cs="Times New Roman"/>
          <w:sz w:val="16"/>
          <w:szCs w:val="16"/>
        </w:rPr>
      </w:pPr>
      <w:r w:rsidRPr="00231A57">
        <w:rPr>
          <w:rStyle w:val="a5"/>
          <w:rFonts w:ascii="Times New Roman" w:hAnsi="Times New Roman" w:cs="Times New Roman"/>
          <w:sz w:val="16"/>
          <w:szCs w:val="16"/>
        </w:rPr>
        <w:footnoteRef/>
      </w:r>
      <w:r w:rsidRPr="00231A57">
        <w:rPr>
          <w:rFonts w:ascii="Times New Roman" w:hAnsi="Times New Roman" w:cs="Times New Roman"/>
          <w:sz w:val="16"/>
          <w:szCs w:val="16"/>
        </w:rPr>
        <w:t xml:space="preserve"> Autorizație de casare a CS nr. 17-95-10819 din 10.10.2023.</w:t>
      </w:r>
    </w:p>
  </w:footnote>
  <w:footnote w:id="112">
    <w:p w14:paraId="2293D937" w14:textId="15264F2F" w:rsidR="00753EA2" w:rsidRPr="00231A57" w:rsidRDefault="00753EA2" w:rsidP="00A05427">
      <w:pPr>
        <w:pStyle w:val="a3"/>
        <w:jc w:val="both"/>
        <w:rPr>
          <w:rFonts w:ascii="Times New Roman" w:hAnsi="Times New Roman" w:cs="Times New Roman"/>
          <w:sz w:val="16"/>
          <w:szCs w:val="16"/>
        </w:rPr>
      </w:pPr>
      <w:r w:rsidRPr="00231A57">
        <w:rPr>
          <w:rStyle w:val="a5"/>
          <w:rFonts w:ascii="Times New Roman" w:hAnsi="Times New Roman" w:cs="Times New Roman"/>
          <w:sz w:val="16"/>
          <w:szCs w:val="16"/>
        </w:rPr>
        <w:footnoteRef/>
      </w:r>
      <w:r w:rsidRPr="00231A57">
        <w:rPr>
          <w:rFonts w:ascii="Times New Roman" w:hAnsi="Times New Roman" w:cs="Times New Roman"/>
          <w:sz w:val="16"/>
          <w:szCs w:val="16"/>
          <w:vertAlign w:val="superscript"/>
        </w:rPr>
        <w:t xml:space="preserve"> </w:t>
      </w:r>
      <w:r w:rsidRPr="00231A57">
        <w:rPr>
          <w:rFonts w:ascii="Times New Roman" w:hAnsi="Times New Roman" w:cs="Times New Roman"/>
          <w:sz w:val="16"/>
          <w:szCs w:val="16"/>
        </w:rPr>
        <w:t>Hotărârea CCRM nr.50 din 30.11.2023 „Cu privire la Raportul auditului conformității privind gestionarea patrimoniului public și a resurselor financiare de către Instituția Publică „Agenția Servicii Publice” în anul 2022”.</w:t>
      </w:r>
    </w:p>
  </w:footnote>
  <w:footnote w:id="113">
    <w:p w14:paraId="1D00E2EE" w14:textId="7B68D3B7" w:rsidR="00753EA2" w:rsidRPr="00D05634" w:rsidRDefault="00753EA2" w:rsidP="00A05427">
      <w:pPr>
        <w:pStyle w:val="a3"/>
        <w:jc w:val="both"/>
        <w:rPr>
          <w:rFonts w:ascii="Times New Roman" w:hAnsi="Times New Roman" w:cs="Times New Roman"/>
          <w:sz w:val="16"/>
          <w:szCs w:val="16"/>
        </w:rPr>
      </w:pPr>
      <w:r w:rsidRPr="00231A57">
        <w:rPr>
          <w:rStyle w:val="a5"/>
          <w:rFonts w:ascii="Times New Roman" w:hAnsi="Times New Roman" w:cs="Times New Roman"/>
          <w:sz w:val="16"/>
          <w:szCs w:val="16"/>
        </w:rPr>
        <w:footnoteRef/>
      </w:r>
      <w:r w:rsidRPr="00231A57">
        <w:rPr>
          <w:rFonts w:ascii="Times New Roman" w:hAnsi="Times New Roman" w:cs="Times New Roman"/>
          <w:sz w:val="16"/>
          <w:szCs w:val="16"/>
        </w:rPr>
        <w:t xml:space="preserve"> HG nr.587 din 24.07.2017 „Cu privire la transmiterea unor bunuri, părți sociale deținute în unele societăți comerciale și reorganizarea unei persoane juridice”.</w:t>
      </w:r>
    </w:p>
  </w:footnote>
  <w:footnote w:id="114">
    <w:p w14:paraId="460E9708" w14:textId="476ABB0D" w:rsidR="00753EA2" w:rsidRPr="00121B98" w:rsidRDefault="00753EA2" w:rsidP="00450503">
      <w:pPr>
        <w:pStyle w:val="a3"/>
        <w:jc w:val="both"/>
        <w:rPr>
          <w:rFonts w:ascii="Times New Roman" w:hAnsi="Times New Roman" w:cs="Times New Roman"/>
          <w:sz w:val="16"/>
          <w:szCs w:val="16"/>
        </w:rPr>
      </w:pPr>
      <w:r w:rsidRPr="00121B98">
        <w:rPr>
          <w:rStyle w:val="a5"/>
          <w:rFonts w:ascii="Times New Roman" w:hAnsi="Times New Roman" w:cs="Times New Roman"/>
          <w:sz w:val="16"/>
          <w:szCs w:val="16"/>
        </w:rPr>
        <w:footnoteRef/>
      </w:r>
      <w:r w:rsidRPr="00121B98">
        <w:rPr>
          <w:rFonts w:ascii="Times New Roman" w:hAnsi="Times New Roman" w:cs="Times New Roman"/>
          <w:sz w:val="16"/>
          <w:szCs w:val="16"/>
        </w:rPr>
        <w:t xml:space="preserve"> HG nr. 391 din 25.04.2018 „Pentru modificarea și completarea Hotărârii Guvernului nr. 587 din 24 iulie 2017”.</w:t>
      </w:r>
    </w:p>
  </w:footnote>
  <w:footnote w:id="115">
    <w:p w14:paraId="38C4EE31" w14:textId="2727B3DB" w:rsidR="00753EA2" w:rsidRPr="00121B98" w:rsidRDefault="00753EA2" w:rsidP="00450503">
      <w:pPr>
        <w:pStyle w:val="a3"/>
        <w:jc w:val="both"/>
        <w:rPr>
          <w:rFonts w:ascii="Times New Roman" w:hAnsi="Times New Roman" w:cs="Times New Roman"/>
          <w:sz w:val="16"/>
          <w:szCs w:val="16"/>
        </w:rPr>
      </w:pPr>
      <w:r w:rsidRPr="00121B98">
        <w:rPr>
          <w:rStyle w:val="a5"/>
          <w:rFonts w:ascii="Times New Roman" w:hAnsi="Times New Roman" w:cs="Times New Roman"/>
          <w:sz w:val="16"/>
          <w:szCs w:val="16"/>
        </w:rPr>
        <w:footnoteRef/>
      </w:r>
      <w:r w:rsidRPr="00121B98">
        <w:rPr>
          <w:rFonts w:ascii="Times New Roman" w:hAnsi="Times New Roman" w:cs="Times New Roman"/>
          <w:sz w:val="16"/>
          <w:szCs w:val="16"/>
        </w:rPr>
        <w:t xml:space="preserve"> Art. 14 alin. (3) și art. 24 alin. (3) lit. a) din Legea cadastrului bunurilor imobile nr.1543 din 25.02.1998.</w:t>
      </w:r>
    </w:p>
  </w:footnote>
  <w:footnote w:id="116">
    <w:p w14:paraId="75F290EF" w14:textId="77777777" w:rsidR="00753EA2" w:rsidRPr="00121B98" w:rsidRDefault="00753EA2" w:rsidP="00450503">
      <w:pPr>
        <w:pStyle w:val="a3"/>
        <w:jc w:val="both"/>
        <w:rPr>
          <w:rFonts w:ascii="Times New Roman" w:hAnsi="Times New Roman" w:cs="Times New Roman"/>
          <w:sz w:val="16"/>
          <w:szCs w:val="16"/>
        </w:rPr>
      </w:pPr>
      <w:r w:rsidRPr="00121B98">
        <w:rPr>
          <w:rStyle w:val="a5"/>
          <w:rFonts w:ascii="Times New Roman" w:hAnsi="Times New Roman" w:cs="Times New Roman"/>
          <w:sz w:val="16"/>
          <w:szCs w:val="16"/>
        </w:rPr>
        <w:footnoteRef/>
      </w:r>
      <w:r w:rsidRPr="00121B98">
        <w:rPr>
          <w:rFonts w:ascii="Times New Roman" w:hAnsi="Times New Roman" w:cs="Times New Roman"/>
          <w:sz w:val="16"/>
          <w:szCs w:val="16"/>
        </w:rPr>
        <w:t xml:space="preserve"> Contract de depozitare a bunurilor nr. 01 din 31.05.2018.</w:t>
      </w:r>
    </w:p>
  </w:footnote>
  <w:footnote w:id="117">
    <w:p w14:paraId="75AF176F" w14:textId="77777777" w:rsidR="00753EA2" w:rsidRPr="00121B98" w:rsidRDefault="00753EA2" w:rsidP="00450503">
      <w:pPr>
        <w:pStyle w:val="a3"/>
        <w:jc w:val="both"/>
        <w:rPr>
          <w:rFonts w:ascii="Times New Roman" w:hAnsi="Times New Roman" w:cs="Times New Roman"/>
          <w:sz w:val="16"/>
          <w:szCs w:val="16"/>
        </w:rPr>
      </w:pPr>
      <w:r w:rsidRPr="00121B98">
        <w:rPr>
          <w:rStyle w:val="a5"/>
          <w:rFonts w:ascii="Times New Roman" w:hAnsi="Times New Roman" w:cs="Times New Roman"/>
          <w:sz w:val="16"/>
          <w:szCs w:val="16"/>
        </w:rPr>
        <w:footnoteRef/>
      </w:r>
      <w:r w:rsidRPr="00121B98">
        <w:rPr>
          <w:rFonts w:ascii="Times New Roman" w:hAnsi="Times New Roman" w:cs="Times New Roman"/>
          <w:sz w:val="16"/>
          <w:szCs w:val="16"/>
        </w:rPr>
        <w:t xml:space="preserve"> Pct. 3.3.1 din Ordinul ministrului Finanțelor nr.216/2015.</w:t>
      </w:r>
    </w:p>
  </w:footnote>
  <w:footnote w:id="118">
    <w:p w14:paraId="5922EBD8" w14:textId="77777777" w:rsidR="00753EA2" w:rsidRPr="00121B98" w:rsidRDefault="00753EA2" w:rsidP="00450503">
      <w:pPr>
        <w:pStyle w:val="a3"/>
        <w:jc w:val="both"/>
        <w:rPr>
          <w:rFonts w:ascii="Times New Roman" w:hAnsi="Times New Roman" w:cs="Times New Roman"/>
          <w:sz w:val="16"/>
          <w:szCs w:val="16"/>
        </w:rPr>
      </w:pPr>
      <w:r w:rsidRPr="00121B98">
        <w:rPr>
          <w:rStyle w:val="a5"/>
          <w:rFonts w:ascii="Times New Roman" w:hAnsi="Times New Roman" w:cs="Times New Roman"/>
          <w:sz w:val="16"/>
          <w:szCs w:val="16"/>
        </w:rPr>
        <w:footnoteRef/>
      </w:r>
      <w:r w:rsidRPr="00121B98">
        <w:rPr>
          <w:rFonts w:ascii="Times New Roman" w:hAnsi="Times New Roman" w:cs="Times New Roman"/>
          <w:sz w:val="16"/>
          <w:szCs w:val="16"/>
        </w:rPr>
        <w:t xml:space="preserve"> Anunț de desfășurare a licitațiilor publice cu strigare publicate în MORM nr. 122-128 din 21.05.2021 și MORM nr. 159-163 din 27.05.2022.</w:t>
      </w:r>
    </w:p>
  </w:footnote>
  <w:footnote w:id="119">
    <w:p w14:paraId="1C14DE33" w14:textId="716C4806" w:rsidR="00753EA2" w:rsidRDefault="00753EA2">
      <w:pPr>
        <w:pStyle w:val="a3"/>
      </w:pPr>
      <w:r w:rsidRPr="00121B98">
        <w:rPr>
          <w:rStyle w:val="a5"/>
          <w:rFonts w:ascii="Times New Roman" w:hAnsi="Times New Roman" w:cs="Times New Roman"/>
          <w:sz w:val="16"/>
          <w:szCs w:val="16"/>
        </w:rPr>
        <w:footnoteRef/>
      </w:r>
      <w:r w:rsidRPr="00121B98">
        <w:rPr>
          <w:rFonts w:ascii="Times New Roman" w:hAnsi="Times New Roman" w:cs="Times New Roman"/>
          <w:sz w:val="16"/>
          <w:szCs w:val="16"/>
        </w:rPr>
        <w:t xml:space="preserve"> </w:t>
      </w:r>
      <w:r>
        <w:rPr>
          <w:rFonts w:ascii="Times New Roman" w:hAnsi="Times New Roman" w:cs="Times New Roman"/>
          <w:sz w:val="16"/>
          <w:szCs w:val="16"/>
        </w:rPr>
        <w:t xml:space="preserve">HG nr. 759 din 06.07.2004 </w:t>
      </w:r>
      <w:r w:rsidRPr="003264FB">
        <w:rPr>
          <w:rFonts w:ascii="Times New Roman" w:hAnsi="Times New Roman" w:cs="Times New Roman"/>
          <w:sz w:val="16"/>
          <w:szCs w:val="16"/>
        </w:rPr>
        <w:t>cu privire la transmiterea unor terenuri</w:t>
      </w:r>
      <w:r>
        <w:rPr>
          <w:rFonts w:ascii="Times New Roman" w:hAnsi="Times New Roman" w:cs="Times New Roman"/>
          <w:sz w:val="16"/>
          <w:szCs w:val="16"/>
        </w:rPr>
        <w:t>.</w:t>
      </w:r>
    </w:p>
  </w:footnote>
  <w:footnote w:id="120">
    <w:p w14:paraId="2E281DB9" w14:textId="6ED5383A" w:rsidR="00753EA2" w:rsidRPr="00121B98" w:rsidRDefault="00753EA2" w:rsidP="009D6C87">
      <w:pPr>
        <w:spacing w:after="0"/>
        <w:rPr>
          <w:rFonts w:ascii="Times New Roman" w:hAnsi="Times New Roman" w:cs="Times New Roman"/>
          <w:sz w:val="16"/>
          <w:szCs w:val="16"/>
        </w:rPr>
      </w:pPr>
      <w:r w:rsidRPr="00121B98">
        <w:rPr>
          <w:rStyle w:val="a5"/>
          <w:rFonts w:ascii="Times New Roman" w:hAnsi="Times New Roman" w:cs="Times New Roman"/>
          <w:sz w:val="16"/>
          <w:szCs w:val="16"/>
        </w:rPr>
        <w:footnoteRef/>
      </w:r>
      <w:r w:rsidRPr="00121B98">
        <w:rPr>
          <w:rFonts w:ascii="Times New Roman" w:hAnsi="Times New Roman" w:cs="Times New Roman"/>
          <w:sz w:val="16"/>
          <w:szCs w:val="16"/>
        </w:rPr>
        <w:t xml:space="preserve"> </w:t>
      </w:r>
      <w:r>
        <w:rPr>
          <w:rFonts w:ascii="Times New Roman" w:hAnsi="Times New Roman" w:cs="Times New Roman"/>
          <w:sz w:val="16"/>
          <w:szCs w:val="16"/>
        </w:rPr>
        <w:t xml:space="preserve">HG nr. 666 din 27.05.2002 </w:t>
      </w:r>
      <w:r w:rsidRPr="009D6C87">
        <w:rPr>
          <w:rFonts w:ascii="Times New Roman" w:hAnsi="Times New Roman" w:cs="Times New Roman"/>
          <w:sz w:val="16"/>
          <w:szCs w:val="16"/>
        </w:rPr>
        <w:t>cu privir</w:t>
      </w:r>
      <w:r>
        <w:rPr>
          <w:rFonts w:ascii="Times New Roman" w:hAnsi="Times New Roman" w:cs="Times New Roman"/>
          <w:sz w:val="16"/>
          <w:szCs w:val="16"/>
        </w:rPr>
        <w:t xml:space="preserve">e la transmiterea unor terenuri. </w:t>
      </w:r>
    </w:p>
  </w:footnote>
  <w:footnote w:id="121">
    <w:p w14:paraId="3F6CEACE" w14:textId="77777777" w:rsidR="00753EA2" w:rsidRPr="00CC0B60" w:rsidRDefault="00753EA2" w:rsidP="009D6C87">
      <w:pPr>
        <w:pStyle w:val="a3"/>
        <w:jc w:val="both"/>
        <w:rPr>
          <w:rFonts w:ascii="Times New Roman" w:hAnsi="Times New Roman" w:cs="Times New Roman"/>
          <w:sz w:val="16"/>
          <w:szCs w:val="16"/>
        </w:rPr>
      </w:pPr>
      <w:r w:rsidRPr="00CC0B60">
        <w:rPr>
          <w:rStyle w:val="a5"/>
          <w:rFonts w:ascii="Times New Roman" w:hAnsi="Times New Roman" w:cs="Times New Roman"/>
          <w:sz w:val="16"/>
          <w:szCs w:val="16"/>
        </w:rPr>
        <w:footnoteRef/>
      </w:r>
      <w:r w:rsidRPr="00CC0B60">
        <w:rPr>
          <w:rFonts w:ascii="Times New Roman" w:hAnsi="Times New Roman" w:cs="Times New Roman"/>
          <w:sz w:val="16"/>
          <w:szCs w:val="16"/>
        </w:rPr>
        <w:t xml:space="preserve"> Legea </w:t>
      </w:r>
      <w:r>
        <w:rPr>
          <w:rFonts w:ascii="Times New Roman" w:hAnsi="Times New Roman" w:cs="Times New Roman"/>
          <w:sz w:val="16"/>
          <w:szCs w:val="16"/>
        </w:rPr>
        <w:t>nr.</w:t>
      </w:r>
      <w:r w:rsidRPr="00CC0B60">
        <w:rPr>
          <w:rFonts w:ascii="Times New Roman" w:hAnsi="Times New Roman" w:cs="Times New Roman"/>
          <w:sz w:val="16"/>
          <w:szCs w:val="16"/>
        </w:rPr>
        <w:t xml:space="preserve">440 din 27.04.1995 cu privire la zonele și fășiile de protecție a apelor, râurilor și bazinelor de apă, redacția </w:t>
      </w:r>
      <w:r>
        <w:rPr>
          <w:rFonts w:ascii="Times New Roman" w:hAnsi="Times New Roman" w:cs="Times New Roman"/>
          <w:sz w:val="16"/>
          <w:szCs w:val="16"/>
        </w:rPr>
        <w:t>în vigoare în</w:t>
      </w:r>
      <w:r w:rsidRPr="00CC0B60">
        <w:rPr>
          <w:rFonts w:ascii="Times New Roman" w:hAnsi="Times New Roman" w:cs="Times New Roman"/>
          <w:sz w:val="16"/>
          <w:szCs w:val="16"/>
        </w:rPr>
        <w:t xml:space="preserve"> perioad</w:t>
      </w:r>
      <w:r>
        <w:rPr>
          <w:rFonts w:ascii="Times New Roman" w:hAnsi="Times New Roman" w:cs="Times New Roman"/>
          <w:sz w:val="16"/>
          <w:szCs w:val="16"/>
        </w:rPr>
        <w:t>a</w:t>
      </w:r>
      <w:r w:rsidRPr="00CC0B60">
        <w:rPr>
          <w:rFonts w:ascii="Times New Roman" w:hAnsi="Times New Roman" w:cs="Times New Roman"/>
          <w:sz w:val="16"/>
          <w:szCs w:val="16"/>
        </w:rPr>
        <w:t xml:space="preserve"> 2004-2022.</w:t>
      </w:r>
    </w:p>
  </w:footnote>
  <w:footnote w:id="122">
    <w:p w14:paraId="0F6873F8" w14:textId="77777777" w:rsidR="00753EA2" w:rsidRPr="00231A57" w:rsidRDefault="00753EA2" w:rsidP="009D6C87">
      <w:pPr>
        <w:pStyle w:val="a3"/>
        <w:jc w:val="both"/>
        <w:rPr>
          <w:rFonts w:ascii="Times New Roman" w:hAnsi="Times New Roman" w:cs="Times New Roman"/>
        </w:rPr>
      </w:pPr>
      <w:r w:rsidRPr="00231A57">
        <w:rPr>
          <w:rStyle w:val="a5"/>
          <w:rFonts w:ascii="Times New Roman" w:hAnsi="Times New Roman" w:cs="Times New Roman"/>
          <w:sz w:val="16"/>
          <w:szCs w:val="16"/>
        </w:rPr>
        <w:footnoteRef/>
      </w:r>
      <w:r w:rsidRPr="00231A57">
        <w:rPr>
          <w:rFonts w:ascii="Times New Roman" w:hAnsi="Times New Roman" w:cs="Times New Roman"/>
          <w:sz w:val="16"/>
          <w:szCs w:val="16"/>
        </w:rPr>
        <w:t xml:space="preserve"> Scrisoarea MERN nr. 11-05/1364 din 15.11.2004 și Scrisoarea IES nr. 1763 din 24.10.2006, Scrisoarea Agenției Ecologice Centru nr. 1738-01/1-6 din 28.10.2004.</w:t>
      </w:r>
    </w:p>
  </w:footnote>
  <w:footnote w:id="123">
    <w:p w14:paraId="3535AE89" w14:textId="77777777" w:rsidR="00753EA2" w:rsidRPr="00231A57" w:rsidRDefault="00753EA2" w:rsidP="009D6C87">
      <w:pPr>
        <w:pStyle w:val="a3"/>
        <w:jc w:val="both"/>
        <w:rPr>
          <w:rFonts w:ascii="Times New Roman" w:hAnsi="Times New Roman" w:cs="Times New Roman"/>
          <w:sz w:val="16"/>
          <w:szCs w:val="16"/>
        </w:rPr>
      </w:pPr>
      <w:r w:rsidRPr="00231A57">
        <w:rPr>
          <w:rStyle w:val="a5"/>
          <w:rFonts w:ascii="Times New Roman" w:hAnsi="Times New Roman" w:cs="Times New Roman"/>
          <w:sz w:val="16"/>
          <w:szCs w:val="16"/>
        </w:rPr>
        <w:footnoteRef/>
      </w:r>
      <w:r w:rsidRPr="00231A57">
        <w:rPr>
          <w:rFonts w:ascii="Times New Roman" w:hAnsi="Times New Roman" w:cs="Times New Roman"/>
          <w:sz w:val="16"/>
          <w:szCs w:val="16"/>
        </w:rPr>
        <w:t xml:space="preserve"> Codul funciar nr. 828 din 25.12.1991.</w:t>
      </w:r>
    </w:p>
  </w:footnote>
  <w:footnote w:id="124">
    <w:p w14:paraId="67759582" w14:textId="77777777" w:rsidR="00753EA2" w:rsidRPr="00231A57" w:rsidRDefault="00753EA2" w:rsidP="009D6C87">
      <w:pPr>
        <w:pStyle w:val="a3"/>
        <w:jc w:val="both"/>
        <w:rPr>
          <w:rFonts w:cstheme="minorHAnsi"/>
          <w:sz w:val="16"/>
          <w:szCs w:val="16"/>
        </w:rPr>
      </w:pPr>
      <w:r w:rsidRPr="00231A57">
        <w:rPr>
          <w:rStyle w:val="a5"/>
          <w:rFonts w:ascii="Times New Roman" w:hAnsi="Times New Roman" w:cs="Times New Roman"/>
          <w:sz w:val="16"/>
          <w:szCs w:val="16"/>
        </w:rPr>
        <w:footnoteRef/>
      </w:r>
      <w:r w:rsidRPr="00231A57">
        <w:rPr>
          <w:rFonts w:ascii="Times New Roman" w:hAnsi="Times New Roman" w:cs="Times New Roman"/>
          <w:sz w:val="16"/>
          <w:szCs w:val="16"/>
        </w:rPr>
        <w:t xml:space="preserve"> Codul silvic nr. 887 din 21.01.1996.</w:t>
      </w:r>
    </w:p>
  </w:footnote>
  <w:footnote w:id="125">
    <w:p w14:paraId="28921B56" w14:textId="75BF2782" w:rsidR="00753EA2" w:rsidRPr="00231A57" w:rsidRDefault="00753EA2" w:rsidP="00A57892">
      <w:pPr>
        <w:pStyle w:val="a3"/>
        <w:jc w:val="both"/>
        <w:rPr>
          <w:rFonts w:ascii="Times New Roman" w:hAnsi="Times New Roman" w:cs="Times New Roman"/>
          <w:sz w:val="16"/>
          <w:szCs w:val="16"/>
        </w:rPr>
      </w:pPr>
      <w:r w:rsidRPr="00231A57">
        <w:rPr>
          <w:rStyle w:val="a5"/>
          <w:rFonts w:ascii="Times New Roman" w:hAnsi="Times New Roman" w:cs="Times New Roman"/>
          <w:sz w:val="16"/>
          <w:szCs w:val="16"/>
        </w:rPr>
        <w:footnoteRef/>
      </w:r>
      <w:r w:rsidRPr="00231A57">
        <w:rPr>
          <w:rFonts w:ascii="Times New Roman" w:hAnsi="Times New Roman" w:cs="Times New Roman"/>
          <w:sz w:val="16"/>
          <w:szCs w:val="16"/>
        </w:rPr>
        <w:t xml:space="preserve"> Ținta națională nr. 15.1 și nr. 15.2 din Cadrul național de monitorizare a implementării Agendei de Dezvoltare Durabilă 2030, aprobat prin HG nr. 953 din 28.12.2022.</w:t>
      </w:r>
    </w:p>
  </w:footnote>
  <w:footnote w:id="126">
    <w:p w14:paraId="082F7C46" w14:textId="58A2435F" w:rsidR="00753EA2" w:rsidRPr="00CC0B60" w:rsidRDefault="00753EA2" w:rsidP="00A57892">
      <w:pPr>
        <w:pStyle w:val="a3"/>
        <w:jc w:val="both"/>
        <w:rPr>
          <w:rFonts w:ascii="Times New Roman" w:hAnsi="Times New Roman" w:cs="Times New Roman"/>
          <w:sz w:val="16"/>
          <w:szCs w:val="16"/>
        </w:rPr>
      </w:pPr>
      <w:r w:rsidRPr="00231A57">
        <w:rPr>
          <w:rStyle w:val="a5"/>
          <w:rFonts w:ascii="Times New Roman" w:hAnsi="Times New Roman" w:cs="Times New Roman"/>
          <w:sz w:val="16"/>
          <w:szCs w:val="16"/>
        </w:rPr>
        <w:footnoteRef/>
      </w:r>
      <w:r w:rsidRPr="00231A57">
        <w:rPr>
          <w:rFonts w:ascii="Times New Roman" w:hAnsi="Times New Roman" w:cs="Times New Roman"/>
          <w:sz w:val="16"/>
          <w:szCs w:val="16"/>
        </w:rPr>
        <w:t xml:space="preserve"> Strategia privind diversitatea biologică a Republicii Moldova pentru anii 2015-2020 şi Planul de acțiuni pentru implementarea acesteia, aprobate prin HG nr.274/2015; Legea nr. 315 din 17.11.2022 pentru aprobarea Strategiei naționale de dezvoltare „Moldova Europeană 2030”; HG nr. 55 din 17.02.2023 „Cu privire la aprobarea Programului național de extindere și reabilitare a pădurilor pentru perioada 2023-2032 și a Planului de acțiuni pentru implementarea acestuia pe perioada 2023-2027”.</w:t>
      </w:r>
    </w:p>
  </w:footnote>
  <w:footnote w:id="127">
    <w:p w14:paraId="20BF4E97" w14:textId="2EBD1644" w:rsidR="00753EA2" w:rsidRPr="00CC0B60" w:rsidRDefault="00753EA2" w:rsidP="00A57892">
      <w:pPr>
        <w:pStyle w:val="a3"/>
        <w:jc w:val="both"/>
        <w:rPr>
          <w:rFonts w:ascii="Times New Roman" w:hAnsi="Times New Roman" w:cs="Times New Roman"/>
          <w:sz w:val="16"/>
          <w:szCs w:val="16"/>
        </w:rPr>
      </w:pPr>
      <w:r w:rsidRPr="00CC0B60">
        <w:rPr>
          <w:rStyle w:val="a5"/>
          <w:rFonts w:ascii="Times New Roman" w:hAnsi="Times New Roman" w:cs="Times New Roman"/>
          <w:sz w:val="16"/>
          <w:szCs w:val="16"/>
        </w:rPr>
        <w:footnoteRef/>
      </w:r>
      <w:r w:rsidRPr="00CC0B60">
        <w:rPr>
          <w:rFonts w:ascii="Times New Roman" w:hAnsi="Times New Roman" w:cs="Times New Roman"/>
          <w:sz w:val="16"/>
          <w:szCs w:val="16"/>
        </w:rPr>
        <w:t xml:space="preserve"> Scrisoarea nr. 1904-39 din 21.01.2013 adresată Secretarului general al Guvernului de către Secretarul general adjunct al </w:t>
      </w:r>
      <w:r>
        <w:rPr>
          <w:rFonts w:ascii="Times New Roman" w:hAnsi="Times New Roman" w:cs="Times New Roman"/>
          <w:sz w:val="16"/>
          <w:szCs w:val="16"/>
        </w:rPr>
        <w:t>E</w:t>
      </w:r>
      <w:r w:rsidRPr="00CC0B60">
        <w:rPr>
          <w:rFonts w:ascii="Times New Roman" w:hAnsi="Times New Roman" w:cs="Times New Roman"/>
          <w:sz w:val="16"/>
          <w:szCs w:val="16"/>
        </w:rPr>
        <w:t>xecutivului.</w:t>
      </w:r>
    </w:p>
  </w:footnote>
  <w:footnote w:id="128">
    <w:p w14:paraId="6636C36E" w14:textId="3C9B01DB" w:rsidR="00753EA2" w:rsidRPr="00CC0B60" w:rsidRDefault="00753EA2" w:rsidP="00A57892">
      <w:pPr>
        <w:pStyle w:val="a3"/>
        <w:jc w:val="both"/>
        <w:rPr>
          <w:rFonts w:ascii="Times New Roman" w:hAnsi="Times New Roman" w:cs="Times New Roman"/>
          <w:sz w:val="16"/>
          <w:szCs w:val="16"/>
        </w:rPr>
      </w:pPr>
      <w:r w:rsidRPr="00CC0B60">
        <w:rPr>
          <w:rStyle w:val="a5"/>
          <w:rFonts w:ascii="Times New Roman" w:hAnsi="Times New Roman" w:cs="Times New Roman"/>
          <w:sz w:val="16"/>
          <w:szCs w:val="16"/>
        </w:rPr>
        <w:footnoteRef/>
      </w:r>
      <w:r w:rsidRPr="00CC0B60">
        <w:rPr>
          <w:rFonts w:ascii="Times New Roman" w:hAnsi="Times New Roman" w:cs="Times New Roman"/>
          <w:sz w:val="16"/>
          <w:szCs w:val="16"/>
        </w:rPr>
        <w:t xml:space="preserve"> Scrisoarea Bursei „LARA” SRL nr. 60-02 din 25.03.2015.</w:t>
      </w:r>
    </w:p>
  </w:footnote>
  <w:footnote w:id="129">
    <w:p w14:paraId="5DF4453A" w14:textId="77777777" w:rsidR="00753EA2" w:rsidRPr="00CC0B60" w:rsidRDefault="00753EA2" w:rsidP="00A57892">
      <w:pPr>
        <w:pStyle w:val="a3"/>
        <w:jc w:val="both"/>
        <w:rPr>
          <w:rFonts w:ascii="Times New Roman" w:hAnsi="Times New Roman" w:cs="Times New Roman"/>
          <w:sz w:val="16"/>
          <w:szCs w:val="16"/>
        </w:rPr>
      </w:pPr>
      <w:r w:rsidRPr="00CC0B60">
        <w:rPr>
          <w:rStyle w:val="a5"/>
          <w:rFonts w:ascii="Times New Roman" w:hAnsi="Times New Roman" w:cs="Times New Roman"/>
          <w:sz w:val="16"/>
          <w:szCs w:val="16"/>
        </w:rPr>
        <w:footnoteRef/>
      </w:r>
      <w:r w:rsidRPr="00CC0B60">
        <w:rPr>
          <w:rFonts w:ascii="Times New Roman" w:hAnsi="Times New Roman" w:cs="Times New Roman"/>
          <w:sz w:val="16"/>
          <w:szCs w:val="16"/>
        </w:rPr>
        <w:t xml:space="preserve"> Comisia de predare-primire şi coordonare a relaţiilor financiare şi economice dintre părţile participante la proiect</w:t>
      </w:r>
      <w:r>
        <w:rPr>
          <w:rFonts w:ascii="Times New Roman" w:hAnsi="Times New Roman" w:cs="Times New Roman"/>
          <w:sz w:val="16"/>
          <w:szCs w:val="16"/>
        </w:rPr>
        <w:t>.</w:t>
      </w:r>
    </w:p>
  </w:footnote>
  <w:footnote w:id="130">
    <w:p w14:paraId="7F109BFB" w14:textId="101E774C" w:rsidR="00753EA2" w:rsidRPr="00CC0B60" w:rsidRDefault="00753EA2" w:rsidP="00A57892">
      <w:pPr>
        <w:pStyle w:val="a3"/>
        <w:jc w:val="both"/>
        <w:rPr>
          <w:rFonts w:ascii="Times New Roman" w:hAnsi="Times New Roman" w:cs="Times New Roman"/>
          <w:sz w:val="16"/>
          <w:szCs w:val="16"/>
        </w:rPr>
      </w:pPr>
      <w:r w:rsidRPr="00CC0B60">
        <w:rPr>
          <w:rStyle w:val="a5"/>
          <w:rFonts w:ascii="Times New Roman" w:hAnsi="Times New Roman" w:cs="Times New Roman"/>
          <w:sz w:val="16"/>
          <w:szCs w:val="16"/>
        </w:rPr>
        <w:footnoteRef/>
      </w:r>
      <w:r w:rsidRPr="00CC0B60">
        <w:rPr>
          <w:rFonts w:ascii="Times New Roman" w:hAnsi="Times New Roman" w:cs="Times New Roman"/>
          <w:sz w:val="16"/>
          <w:szCs w:val="16"/>
        </w:rPr>
        <w:t xml:space="preserve"> </w:t>
      </w:r>
      <w:r>
        <w:rPr>
          <w:rFonts w:ascii="Times New Roman" w:hAnsi="Times New Roman" w:cs="Times New Roman"/>
          <w:sz w:val="16"/>
          <w:szCs w:val="16"/>
        </w:rPr>
        <w:t>P</w:t>
      </w:r>
      <w:r w:rsidRPr="00CC0B60">
        <w:rPr>
          <w:rFonts w:ascii="Times New Roman" w:hAnsi="Times New Roman" w:cs="Times New Roman"/>
          <w:sz w:val="16"/>
          <w:szCs w:val="16"/>
        </w:rPr>
        <w:t xml:space="preserve">ct. 3.1.7. din </w:t>
      </w:r>
      <w:r>
        <w:rPr>
          <w:rFonts w:ascii="Times New Roman" w:hAnsi="Times New Roman" w:cs="Times New Roman"/>
          <w:sz w:val="16"/>
          <w:szCs w:val="16"/>
        </w:rPr>
        <w:t>C</w:t>
      </w:r>
      <w:r w:rsidRPr="00CC0B60">
        <w:rPr>
          <w:rFonts w:ascii="Times New Roman" w:hAnsi="Times New Roman" w:cs="Times New Roman"/>
          <w:sz w:val="16"/>
          <w:szCs w:val="16"/>
        </w:rPr>
        <w:t>ontract</w:t>
      </w:r>
      <w:r>
        <w:rPr>
          <w:rFonts w:ascii="Times New Roman" w:hAnsi="Times New Roman" w:cs="Times New Roman"/>
          <w:sz w:val="16"/>
          <w:szCs w:val="16"/>
        </w:rPr>
        <w:t>ul</w:t>
      </w:r>
      <w:r w:rsidRPr="00CC0B60">
        <w:rPr>
          <w:rFonts w:ascii="Times New Roman" w:hAnsi="Times New Roman" w:cs="Times New Roman"/>
          <w:sz w:val="16"/>
          <w:szCs w:val="16"/>
        </w:rPr>
        <w:t xml:space="preserve"> nr. 1/2004</w:t>
      </w:r>
      <w:r>
        <w:rPr>
          <w:rFonts w:ascii="Times New Roman" w:hAnsi="Times New Roman" w:cs="Times New Roman"/>
          <w:sz w:val="16"/>
          <w:szCs w:val="16"/>
        </w:rPr>
        <w:t>.</w:t>
      </w:r>
    </w:p>
  </w:footnote>
  <w:footnote w:id="131">
    <w:p w14:paraId="3B3CEB30" w14:textId="58CF715F" w:rsidR="00753EA2" w:rsidRPr="00CC0B60" w:rsidRDefault="00753EA2" w:rsidP="00A57892">
      <w:pPr>
        <w:pStyle w:val="a3"/>
        <w:jc w:val="both"/>
        <w:rPr>
          <w:rFonts w:ascii="Times New Roman" w:hAnsi="Times New Roman" w:cs="Times New Roman"/>
          <w:sz w:val="16"/>
          <w:szCs w:val="16"/>
        </w:rPr>
      </w:pPr>
      <w:r w:rsidRPr="00CC0B60">
        <w:rPr>
          <w:rStyle w:val="a5"/>
          <w:rFonts w:ascii="Times New Roman" w:hAnsi="Times New Roman" w:cs="Times New Roman"/>
          <w:sz w:val="16"/>
          <w:szCs w:val="16"/>
        </w:rPr>
        <w:footnoteRef/>
      </w:r>
      <w:r w:rsidRPr="00CC0B60">
        <w:rPr>
          <w:rFonts w:ascii="Times New Roman" w:hAnsi="Times New Roman" w:cs="Times New Roman"/>
          <w:sz w:val="16"/>
          <w:szCs w:val="16"/>
        </w:rPr>
        <w:t xml:space="preserve"> Nu există un </w:t>
      </w:r>
      <w:r>
        <w:rPr>
          <w:rFonts w:ascii="Times New Roman" w:hAnsi="Times New Roman" w:cs="Times New Roman"/>
          <w:sz w:val="16"/>
          <w:szCs w:val="16"/>
        </w:rPr>
        <w:t>r</w:t>
      </w:r>
      <w:r w:rsidRPr="00CC0B60">
        <w:rPr>
          <w:rFonts w:ascii="Times New Roman" w:hAnsi="Times New Roman" w:cs="Times New Roman"/>
          <w:sz w:val="16"/>
          <w:szCs w:val="16"/>
        </w:rPr>
        <w:t>aport/</w:t>
      </w:r>
      <w:r>
        <w:rPr>
          <w:rFonts w:ascii="Times New Roman" w:hAnsi="Times New Roman" w:cs="Times New Roman"/>
          <w:sz w:val="16"/>
          <w:szCs w:val="16"/>
        </w:rPr>
        <w:t>n</w:t>
      </w:r>
      <w:r w:rsidRPr="00CC0B60">
        <w:rPr>
          <w:rFonts w:ascii="Times New Roman" w:hAnsi="Times New Roman" w:cs="Times New Roman"/>
          <w:sz w:val="16"/>
          <w:szCs w:val="16"/>
        </w:rPr>
        <w:t xml:space="preserve">otă a Comisiei specializate institute (pct. 2 din HG </w:t>
      </w:r>
      <w:r>
        <w:rPr>
          <w:rFonts w:ascii="Times New Roman" w:hAnsi="Times New Roman" w:cs="Times New Roman"/>
          <w:sz w:val="16"/>
          <w:szCs w:val="16"/>
        </w:rPr>
        <w:t>nr.</w:t>
      </w:r>
      <w:r w:rsidRPr="00CC0B60">
        <w:rPr>
          <w:rFonts w:ascii="Times New Roman" w:hAnsi="Times New Roman" w:cs="Times New Roman"/>
          <w:sz w:val="16"/>
          <w:szCs w:val="16"/>
        </w:rPr>
        <w:t>759/2004) privind rezultatele controlului financiar, juridic și tehnic al</w:t>
      </w:r>
      <w:r>
        <w:rPr>
          <w:rFonts w:ascii="Times New Roman" w:hAnsi="Times New Roman" w:cs="Times New Roman"/>
          <w:sz w:val="16"/>
          <w:szCs w:val="16"/>
        </w:rPr>
        <w:t xml:space="preserve"> </w:t>
      </w:r>
      <w:r w:rsidRPr="00CC0B60">
        <w:rPr>
          <w:rFonts w:ascii="Times New Roman" w:hAnsi="Times New Roman" w:cs="Times New Roman"/>
          <w:sz w:val="16"/>
          <w:szCs w:val="16"/>
        </w:rPr>
        <w:t xml:space="preserve">cheltuielilor invocate de Bursa </w:t>
      </w:r>
      <w:r>
        <w:rPr>
          <w:rFonts w:ascii="Times New Roman" w:hAnsi="Times New Roman" w:cs="Times New Roman"/>
          <w:sz w:val="16"/>
          <w:szCs w:val="16"/>
        </w:rPr>
        <w:t>„</w:t>
      </w:r>
      <w:r w:rsidRPr="00CC0B60">
        <w:rPr>
          <w:rFonts w:ascii="Times New Roman" w:hAnsi="Times New Roman" w:cs="Times New Roman"/>
          <w:sz w:val="16"/>
          <w:szCs w:val="16"/>
        </w:rPr>
        <w:t>Lara</w:t>
      </w:r>
      <w:r>
        <w:rPr>
          <w:rFonts w:ascii="Times New Roman" w:hAnsi="Times New Roman" w:cs="Times New Roman"/>
          <w:sz w:val="16"/>
          <w:szCs w:val="16"/>
        </w:rPr>
        <w:t>”</w:t>
      </w:r>
      <w:r w:rsidRPr="00CC0B60">
        <w:rPr>
          <w:rFonts w:ascii="Times New Roman" w:hAnsi="Times New Roman" w:cs="Times New Roman"/>
          <w:sz w:val="16"/>
          <w:szCs w:val="16"/>
        </w:rPr>
        <w:t xml:space="preserve"> SRL.</w:t>
      </w:r>
    </w:p>
  </w:footnote>
  <w:footnote w:id="132">
    <w:p w14:paraId="2B1765C8" w14:textId="3F2A2420" w:rsidR="00753EA2" w:rsidRPr="007933FA" w:rsidRDefault="00753EA2" w:rsidP="00A57892">
      <w:pPr>
        <w:pStyle w:val="a3"/>
        <w:jc w:val="both"/>
        <w:rPr>
          <w:sz w:val="16"/>
          <w:szCs w:val="16"/>
        </w:rPr>
      </w:pPr>
      <w:r w:rsidRPr="00CC0B60">
        <w:rPr>
          <w:rStyle w:val="a5"/>
          <w:rFonts w:ascii="Times New Roman" w:hAnsi="Times New Roman" w:cs="Times New Roman"/>
          <w:sz w:val="16"/>
          <w:szCs w:val="16"/>
        </w:rPr>
        <w:footnoteRef/>
      </w:r>
      <w:r w:rsidRPr="00CC0B60">
        <w:rPr>
          <w:rFonts w:ascii="Times New Roman" w:hAnsi="Times New Roman" w:cs="Times New Roman"/>
          <w:sz w:val="16"/>
          <w:szCs w:val="16"/>
        </w:rPr>
        <w:t xml:space="preserve"> În Procesele</w:t>
      </w:r>
      <w:r>
        <w:rPr>
          <w:rFonts w:ascii="Times New Roman" w:hAnsi="Times New Roman" w:cs="Times New Roman"/>
          <w:sz w:val="16"/>
          <w:szCs w:val="16"/>
        </w:rPr>
        <w:t>-</w:t>
      </w:r>
      <w:r w:rsidRPr="00CC0B60">
        <w:rPr>
          <w:rFonts w:ascii="Times New Roman" w:hAnsi="Times New Roman" w:cs="Times New Roman"/>
          <w:sz w:val="16"/>
          <w:szCs w:val="16"/>
        </w:rPr>
        <w:t xml:space="preserve">verbale ale Comisiei nr. 1 </w:t>
      </w:r>
      <w:r>
        <w:rPr>
          <w:rFonts w:ascii="Times New Roman" w:hAnsi="Times New Roman" w:cs="Times New Roman"/>
          <w:sz w:val="16"/>
          <w:szCs w:val="16"/>
        </w:rPr>
        <w:t xml:space="preserve">din </w:t>
      </w:r>
      <w:r w:rsidRPr="00BF710E">
        <w:rPr>
          <w:rFonts w:ascii="Times New Roman" w:hAnsi="Times New Roman" w:cs="Times New Roman"/>
          <w:sz w:val="16"/>
          <w:szCs w:val="16"/>
        </w:rPr>
        <w:t>03.08.2004 și nr. 2 din 1</w:t>
      </w:r>
      <w:r>
        <w:rPr>
          <w:rFonts w:ascii="Times New Roman" w:hAnsi="Times New Roman" w:cs="Times New Roman"/>
          <w:sz w:val="16"/>
          <w:szCs w:val="16"/>
        </w:rPr>
        <w:t xml:space="preserve">0.08.2004 </w:t>
      </w:r>
      <w:r w:rsidRPr="00CC0B60">
        <w:rPr>
          <w:rFonts w:ascii="Times New Roman" w:hAnsi="Times New Roman" w:cs="Times New Roman"/>
          <w:sz w:val="16"/>
          <w:szCs w:val="16"/>
        </w:rPr>
        <w:t>nu s</w:t>
      </w:r>
      <w:r>
        <w:rPr>
          <w:rFonts w:ascii="Times New Roman" w:hAnsi="Times New Roman" w:cs="Times New Roman"/>
          <w:sz w:val="16"/>
          <w:szCs w:val="16"/>
        </w:rPr>
        <w:t>u</w:t>
      </w:r>
      <w:r w:rsidRPr="00CC0B60">
        <w:rPr>
          <w:rFonts w:ascii="Times New Roman" w:hAnsi="Times New Roman" w:cs="Times New Roman"/>
          <w:sz w:val="16"/>
          <w:szCs w:val="16"/>
        </w:rPr>
        <w:t>nt înscrieri privind prezentarea de către agentul economic a ra</w:t>
      </w:r>
      <w:r>
        <w:rPr>
          <w:rFonts w:ascii="Times New Roman" w:hAnsi="Times New Roman" w:cs="Times New Roman"/>
          <w:sz w:val="16"/>
          <w:szCs w:val="16"/>
        </w:rPr>
        <w:t>p</w:t>
      </w:r>
      <w:r w:rsidRPr="00CC0B60">
        <w:rPr>
          <w:rFonts w:ascii="Times New Roman" w:hAnsi="Times New Roman" w:cs="Times New Roman"/>
          <w:sz w:val="16"/>
          <w:szCs w:val="16"/>
        </w:rPr>
        <w:t>oartelor financiare pentru verificare.</w:t>
      </w:r>
      <w:r w:rsidRPr="007933FA">
        <w:rPr>
          <w:sz w:val="16"/>
          <w:szCs w:val="16"/>
        </w:rPr>
        <w:t xml:space="preserve"> </w:t>
      </w:r>
    </w:p>
  </w:footnote>
  <w:footnote w:id="133">
    <w:p w14:paraId="3BA87F3A" w14:textId="6FCFE753" w:rsidR="00753EA2" w:rsidRPr="00CC0B60" w:rsidRDefault="00753EA2" w:rsidP="00A57892">
      <w:pPr>
        <w:pStyle w:val="a3"/>
        <w:jc w:val="both"/>
        <w:rPr>
          <w:rFonts w:ascii="Times New Roman" w:hAnsi="Times New Roman" w:cs="Times New Roman"/>
          <w:sz w:val="16"/>
          <w:szCs w:val="16"/>
        </w:rPr>
      </w:pPr>
      <w:r w:rsidRPr="00CC0B60">
        <w:rPr>
          <w:rStyle w:val="a5"/>
          <w:rFonts w:ascii="Times New Roman" w:hAnsi="Times New Roman" w:cs="Times New Roman"/>
          <w:sz w:val="16"/>
          <w:szCs w:val="16"/>
        </w:rPr>
        <w:footnoteRef/>
      </w:r>
      <w:r w:rsidRPr="00CC0B60">
        <w:rPr>
          <w:rFonts w:ascii="Times New Roman" w:hAnsi="Times New Roman" w:cs="Times New Roman"/>
          <w:sz w:val="16"/>
          <w:szCs w:val="16"/>
        </w:rPr>
        <w:t xml:space="preserve"> </w:t>
      </w:r>
      <w:r>
        <w:rPr>
          <w:rFonts w:ascii="Times New Roman" w:hAnsi="Times New Roman" w:cs="Times New Roman"/>
          <w:sz w:val="16"/>
          <w:szCs w:val="16"/>
        </w:rPr>
        <w:t>P</w:t>
      </w:r>
      <w:r w:rsidRPr="00CC0B60">
        <w:rPr>
          <w:rFonts w:ascii="Times New Roman" w:hAnsi="Times New Roman" w:cs="Times New Roman"/>
          <w:sz w:val="16"/>
          <w:szCs w:val="16"/>
        </w:rPr>
        <w:t>ct. 5.3 din Contractul nr.1/2004.</w:t>
      </w:r>
    </w:p>
  </w:footnote>
  <w:footnote w:id="134">
    <w:p w14:paraId="4A25982E" w14:textId="566276A6" w:rsidR="00753EA2" w:rsidRPr="00CC0B60" w:rsidRDefault="00753EA2" w:rsidP="00A57892">
      <w:pPr>
        <w:pStyle w:val="a3"/>
        <w:jc w:val="both"/>
        <w:rPr>
          <w:rFonts w:ascii="Times New Roman" w:hAnsi="Times New Roman" w:cs="Times New Roman"/>
          <w:sz w:val="16"/>
          <w:szCs w:val="16"/>
        </w:rPr>
      </w:pPr>
      <w:r w:rsidRPr="00CC0B60">
        <w:rPr>
          <w:rStyle w:val="a5"/>
          <w:rFonts w:ascii="Times New Roman" w:hAnsi="Times New Roman" w:cs="Times New Roman"/>
          <w:sz w:val="16"/>
          <w:szCs w:val="16"/>
        </w:rPr>
        <w:footnoteRef/>
      </w:r>
      <w:r w:rsidRPr="00CC0B60">
        <w:rPr>
          <w:rFonts w:ascii="Times New Roman" w:hAnsi="Times New Roman" w:cs="Times New Roman"/>
          <w:sz w:val="16"/>
          <w:szCs w:val="16"/>
        </w:rPr>
        <w:t xml:space="preserve"> Scrisoarea I</w:t>
      </w:r>
      <w:r>
        <w:rPr>
          <w:rFonts w:ascii="Times New Roman" w:hAnsi="Times New Roman" w:cs="Times New Roman"/>
          <w:sz w:val="16"/>
          <w:szCs w:val="16"/>
        </w:rPr>
        <w:t>.</w:t>
      </w:r>
      <w:r w:rsidRPr="00CC0B60">
        <w:rPr>
          <w:rFonts w:ascii="Times New Roman" w:hAnsi="Times New Roman" w:cs="Times New Roman"/>
          <w:sz w:val="16"/>
          <w:szCs w:val="16"/>
        </w:rPr>
        <w:t>P</w:t>
      </w:r>
      <w:r>
        <w:rPr>
          <w:rFonts w:ascii="Times New Roman" w:hAnsi="Times New Roman" w:cs="Times New Roman"/>
          <w:sz w:val="16"/>
          <w:szCs w:val="16"/>
        </w:rPr>
        <w:t>.</w:t>
      </w:r>
      <w:r w:rsidRPr="00CC0B60">
        <w:rPr>
          <w:rFonts w:ascii="Times New Roman" w:hAnsi="Times New Roman" w:cs="Times New Roman"/>
          <w:sz w:val="16"/>
          <w:szCs w:val="16"/>
        </w:rPr>
        <w:t xml:space="preserve"> „Pensiun</w:t>
      </w:r>
      <w:r>
        <w:rPr>
          <w:rFonts w:ascii="Times New Roman" w:hAnsi="Times New Roman" w:cs="Times New Roman"/>
          <w:sz w:val="16"/>
          <w:szCs w:val="16"/>
        </w:rPr>
        <w:t>ea</w:t>
      </w:r>
      <w:r w:rsidRPr="00CC0B60">
        <w:rPr>
          <w:rFonts w:ascii="Times New Roman" w:hAnsi="Times New Roman" w:cs="Times New Roman"/>
          <w:sz w:val="16"/>
          <w:szCs w:val="16"/>
        </w:rPr>
        <w:t xml:space="preserve"> </w:t>
      </w:r>
      <w:r>
        <w:rPr>
          <w:rFonts w:ascii="Times New Roman" w:hAnsi="Times New Roman" w:cs="Times New Roman"/>
          <w:sz w:val="16"/>
          <w:szCs w:val="16"/>
        </w:rPr>
        <w:t xml:space="preserve">din </w:t>
      </w:r>
      <w:r w:rsidRPr="00CC0B60">
        <w:rPr>
          <w:rFonts w:ascii="Times New Roman" w:hAnsi="Times New Roman" w:cs="Times New Roman"/>
          <w:sz w:val="16"/>
          <w:szCs w:val="16"/>
        </w:rPr>
        <w:t>Holercani” nr. 81 din 06.06.2022 și anexel</w:t>
      </w:r>
      <w:r>
        <w:rPr>
          <w:rFonts w:ascii="Times New Roman" w:hAnsi="Times New Roman" w:cs="Times New Roman"/>
          <w:sz w:val="16"/>
          <w:szCs w:val="16"/>
        </w:rPr>
        <w:t>e</w:t>
      </w:r>
      <w:r w:rsidRPr="00CC0B60">
        <w:rPr>
          <w:rFonts w:ascii="Times New Roman" w:hAnsi="Times New Roman" w:cs="Times New Roman"/>
          <w:sz w:val="16"/>
          <w:szCs w:val="16"/>
        </w:rPr>
        <w:t xml:space="preserve"> la aceasta, inclusiv: Proces</w:t>
      </w:r>
      <w:r>
        <w:rPr>
          <w:rFonts w:ascii="Times New Roman" w:hAnsi="Times New Roman" w:cs="Times New Roman"/>
          <w:sz w:val="16"/>
          <w:szCs w:val="16"/>
        </w:rPr>
        <w:t>ul</w:t>
      </w:r>
      <w:r w:rsidRPr="00CC0B60">
        <w:rPr>
          <w:rFonts w:ascii="Times New Roman" w:hAnsi="Times New Roman" w:cs="Times New Roman"/>
          <w:sz w:val="16"/>
          <w:szCs w:val="16"/>
        </w:rPr>
        <w:t>-verbal nr. 30-P din 25.05.2004 al ședinței grupului de lucru instituit pentru a efectua controlul tematic al terenului transmis în administrare fiduciară și Nota</w:t>
      </w:r>
      <w:r>
        <w:rPr>
          <w:rFonts w:ascii="Times New Roman" w:hAnsi="Times New Roman" w:cs="Times New Roman"/>
          <w:sz w:val="16"/>
          <w:szCs w:val="16"/>
        </w:rPr>
        <w:t>-</w:t>
      </w:r>
      <w:r w:rsidRPr="00CC0B60">
        <w:rPr>
          <w:rFonts w:ascii="Times New Roman" w:hAnsi="Times New Roman" w:cs="Times New Roman"/>
          <w:sz w:val="16"/>
          <w:szCs w:val="16"/>
        </w:rPr>
        <w:t>raport a contabilului</w:t>
      </w:r>
      <w:r>
        <w:rPr>
          <w:rFonts w:ascii="Times New Roman" w:hAnsi="Times New Roman" w:cs="Times New Roman"/>
          <w:sz w:val="16"/>
          <w:szCs w:val="16"/>
        </w:rPr>
        <w:t>-</w:t>
      </w:r>
      <w:r w:rsidRPr="00CC0B60">
        <w:rPr>
          <w:rFonts w:ascii="Times New Roman" w:hAnsi="Times New Roman" w:cs="Times New Roman"/>
          <w:sz w:val="16"/>
          <w:szCs w:val="16"/>
        </w:rPr>
        <w:t>șef al I</w:t>
      </w:r>
      <w:r>
        <w:rPr>
          <w:rFonts w:ascii="Times New Roman" w:hAnsi="Times New Roman" w:cs="Times New Roman"/>
          <w:sz w:val="16"/>
          <w:szCs w:val="16"/>
        </w:rPr>
        <w:t>.</w:t>
      </w:r>
      <w:r w:rsidRPr="00CC0B60">
        <w:rPr>
          <w:rFonts w:ascii="Times New Roman" w:hAnsi="Times New Roman" w:cs="Times New Roman"/>
          <w:sz w:val="16"/>
          <w:szCs w:val="16"/>
        </w:rPr>
        <w:t>P</w:t>
      </w:r>
      <w:r>
        <w:rPr>
          <w:rFonts w:ascii="Times New Roman" w:hAnsi="Times New Roman" w:cs="Times New Roman"/>
          <w:sz w:val="16"/>
          <w:szCs w:val="16"/>
        </w:rPr>
        <w:t>.</w:t>
      </w:r>
      <w:r w:rsidRPr="00CC0B60">
        <w:rPr>
          <w:rFonts w:ascii="Times New Roman" w:hAnsi="Times New Roman" w:cs="Times New Roman"/>
          <w:sz w:val="16"/>
          <w:szCs w:val="16"/>
        </w:rPr>
        <w:t xml:space="preserve"> </w:t>
      </w:r>
      <w:r>
        <w:rPr>
          <w:rFonts w:ascii="Times New Roman" w:hAnsi="Times New Roman" w:cs="Times New Roman"/>
          <w:sz w:val="16"/>
          <w:szCs w:val="16"/>
        </w:rPr>
        <w:t>„</w:t>
      </w:r>
      <w:r w:rsidRPr="00CC0B60">
        <w:rPr>
          <w:rFonts w:ascii="Times New Roman" w:hAnsi="Times New Roman" w:cs="Times New Roman"/>
          <w:sz w:val="16"/>
          <w:szCs w:val="16"/>
        </w:rPr>
        <w:t>Pensiun</w:t>
      </w:r>
      <w:r>
        <w:rPr>
          <w:rFonts w:ascii="Times New Roman" w:hAnsi="Times New Roman" w:cs="Times New Roman"/>
          <w:sz w:val="16"/>
          <w:szCs w:val="16"/>
        </w:rPr>
        <w:t>ea</w:t>
      </w:r>
      <w:r w:rsidRPr="00CC0B60">
        <w:rPr>
          <w:rFonts w:ascii="Times New Roman" w:hAnsi="Times New Roman" w:cs="Times New Roman"/>
          <w:sz w:val="16"/>
          <w:szCs w:val="16"/>
        </w:rPr>
        <w:t xml:space="preserve"> </w:t>
      </w:r>
      <w:r>
        <w:rPr>
          <w:rFonts w:ascii="Times New Roman" w:hAnsi="Times New Roman" w:cs="Times New Roman"/>
          <w:sz w:val="16"/>
          <w:szCs w:val="16"/>
        </w:rPr>
        <w:t xml:space="preserve">din </w:t>
      </w:r>
      <w:r w:rsidRPr="00CC0B60">
        <w:rPr>
          <w:rFonts w:ascii="Times New Roman" w:hAnsi="Times New Roman" w:cs="Times New Roman"/>
          <w:sz w:val="16"/>
          <w:szCs w:val="16"/>
        </w:rPr>
        <w:t>Holercani</w:t>
      </w:r>
      <w:r>
        <w:rPr>
          <w:rFonts w:ascii="Times New Roman" w:hAnsi="Times New Roman" w:cs="Times New Roman"/>
          <w:sz w:val="16"/>
          <w:szCs w:val="16"/>
        </w:rPr>
        <w:t>”</w:t>
      </w:r>
      <w:r w:rsidRPr="00CC0B60">
        <w:rPr>
          <w:rFonts w:ascii="Times New Roman" w:hAnsi="Times New Roman" w:cs="Times New Roman"/>
          <w:sz w:val="16"/>
          <w:szCs w:val="16"/>
        </w:rPr>
        <w:t>.</w:t>
      </w:r>
    </w:p>
  </w:footnote>
  <w:footnote w:id="135">
    <w:p w14:paraId="008E8451" w14:textId="77777777" w:rsidR="00753EA2" w:rsidRPr="00CC0B60" w:rsidRDefault="00753EA2" w:rsidP="009D6C87">
      <w:pPr>
        <w:pStyle w:val="a3"/>
        <w:jc w:val="both"/>
        <w:rPr>
          <w:rFonts w:ascii="Times New Roman" w:hAnsi="Times New Roman" w:cs="Times New Roman"/>
          <w:sz w:val="16"/>
          <w:szCs w:val="16"/>
        </w:rPr>
      </w:pPr>
      <w:r w:rsidRPr="00CC0B60">
        <w:rPr>
          <w:rStyle w:val="a5"/>
          <w:rFonts w:ascii="Times New Roman" w:hAnsi="Times New Roman" w:cs="Times New Roman"/>
          <w:sz w:val="16"/>
          <w:szCs w:val="16"/>
        </w:rPr>
        <w:footnoteRef/>
      </w:r>
      <w:r w:rsidRPr="00CC0B60">
        <w:rPr>
          <w:rFonts w:ascii="Times New Roman" w:hAnsi="Times New Roman" w:cs="Times New Roman"/>
          <w:sz w:val="16"/>
          <w:szCs w:val="16"/>
        </w:rPr>
        <w:t xml:space="preserve"> HG </w:t>
      </w:r>
      <w:r>
        <w:rPr>
          <w:rFonts w:ascii="Times New Roman" w:hAnsi="Times New Roman" w:cs="Times New Roman"/>
          <w:sz w:val="16"/>
          <w:szCs w:val="16"/>
        </w:rPr>
        <w:t>nr.</w:t>
      </w:r>
      <w:r w:rsidRPr="00CC0B60">
        <w:rPr>
          <w:rFonts w:ascii="Times New Roman" w:hAnsi="Times New Roman" w:cs="Times New Roman"/>
          <w:sz w:val="16"/>
          <w:szCs w:val="16"/>
        </w:rPr>
        <w:t xml:space="preserve">187 din 20.02.2008 </w:t>
      </w:r>
      <w:r>
        <w:rPr>
          <w:rFonts w:ascii="Times New Roman" w:hAnsi="Times New Roman" w:cs="Times New Roman"/>
          <w:sz w:val="16"/>
          <w:szCs w:val="16"/>
        </w:rPr>
        <w:t>„P</w:t>
      </w:r>
      <w:r w:rsidRPr="00CC0B60">
        <w:rPr>
          <w:rFonts w:ascii="Times New Roman" w:hAnsi="Times New Roman" w:cs="Times New Roman"/>
          <w:sz w:val="16"/>
          <w:szCs w:val="16"/>
        </w:rPr>
        <w:t>entru aprobarea Regulamentului privind atribuirea în folosință a terenurilor din fondul forestier în scopuri de gospodărire cinegetică şi/sau de recreere</w:t>
      </w:r>
      <w:r>
        <w:rPr>
          <w:rFonts w:ascii="Times New Roman" w:hAnsi="Times New Roman" w:cs="Times New Roman"/>
          <w:sz w:val="16"/>
          <w:szCs w:val="16"/>
        </w:rPr>
        <w:t>”</w:t>
      </w:r>
      <w:r w:rsidRPr="00CC0B60">
        <w:rPr>
          <w:rFonts w:ascii="Times New Roman" w:hAnsi="Times New Roman" w:cs="Times New Roman"/>
          <w:sz w:val="16"/>
          <w:szCs w:val="16"/>
        </w:rPr>
        <w:t>.</w:t>
      </w:r>
    </w:p>
  </w:footnote>
  <w:footnote w:id="136">
    <w:p w14:paraId="5CD712A8" w14:textId="77777777" w:rsidR="00753EA2" w:rsidRPr="00CC0B60" w:rsidRDefault="00753EA2" w:rsidP="009D6C87">
      <w:pPr>
        <w:pStyle w:val="a3"/>
        <w:jc w:val="both"/>
        <w:rPr>
          <w:rFonts w:ascii="Times New Roman" w:hAnsi="Times New Roman" w:cs="Times New Roman"/>
          <w:sz w:val="16"/>
          <w:szCs w:val="16"/>
        </w:rPr>
      </w:pPr>
      <w:r w:rsidRPr="00CC0B60">
        <w:rPr>
          <w:rStyle w:val="a5"/>
          <w:rFonts w:ascii="Times New Roman" w:hAnsi="Times New Roman" w:cs="Times New Roman"/>
          <w:sz w:val="16"/>
          <w:szCs w:val="16"/>
        </w:rPr>
        <w:footnoteRef/>
      </w:r>
      <w:r w:rsidRPr="00CC0B60">
        <w:rPr>
          <w:rFonts w:ascii="Times New Roman" w:hAnsi="Times New Roman" w:cs="Times New Roman"/>
          <w:sz w:val="16"/>
          <w:szCs w:val="16"/>
        </w:rPr>
        <w:t xml:space="preserve"> R</w:t>
      </w:r>
      <w:r>
        <w:rPr>
          <w:rFonts w:ascii="Times New Roman" w:hAnsi="Times New Roman" w:cs="Times New Roman"/>
          <w:sz w:val="16"/>
          <w:szCs w:val="16"/>
        </w:rPr>
        <w:t>aportul</w:t>
      </w:r>
      <w:r w:rsidRPr="00CC0B60">
        <w:rPr>
          <w:rFonts w:ascii="Times New Roman" w:hAnsi="Times New Roman" w:cs="Times New Roman"/>
          <w:sz w:val="16"/>
          <w:szCs w:val="16"/>
        </w:rPr>
        <w:t xml:space="preserve"> auditului gestionării patrimoniului public pe anul 2012 la întreprinderile de stat monitorizate de Cancelaria de Stat (Anexa nr. 2)</w:t>
      </w:r>
      <w:r>
        <w:rPr>
          <w:rFonts w:ascii="Times New Roman" w:hAnsi="Times New Roman" w:cs="Times New Roman"/>
          <w:sz w:val="16"/>
          <w:szCs w:val="16"/>
        </w:rPr>
        <w:t>,</w:t>
      </w:r>
      <w:r w:rsidRPr="00CC0B60">
        <w:rPr>
          <w:rFonts w:ascii="Times New Roman" w:hAnsi="Times New Roman" w:cs="Times New Roman"/>
          <w:sz w:val="16"/>
          <w:szCs w:val="16"/>
        </w:rPr>
        <w:t xml:space="preserve"> aprobat prin Hotăr</w:t>
      </w:r>
      <w:r>
        <w:rPr>
          <w:rFonts w:ascii="Times New Roman" w:hAnsi="Times New Roman" w:cs="Times New Roman"/>
          <w:sz w:val="16"/>
          <w:szCs w:val="16"/>
        </w:rPr>
        <w:t>â</w:t>
      </w:r>
      <w:r w:rsidRPr="00CC0B60">
        <w:rPr>
          <w:rFonts w:ascii="Times New Roman" w:hAnsi="Times New Roman" w:cs="Times New Roman"/>
          <w:sz w:val="16"/>
          <w:szCs w:val="16"/>
        </w:rPr>
        <w:t>rea nr.24 din 18 mai 2013.</w:t>
      </w:r>
    </w:p>
  </w:footnote>
  <w:footnote w:id="137">
    <w:p w14:paraId="41F3A76D" w14:textId="77777777" w:rsidR="00753EA2" w:rsidRPr="00CC0B60" w:rsidRDefault="00753EA2" w:rsidP="009D6C87">
      <w:pPr>
        <w:pStyle w:val="a3"/>
        <w:jc w:val="both"/>
        <w:rPr>
          <w:rFonts w:ascii="Times New Roman" w:hAnsi="Times New Roman" w:cs="Times New Roman"/>
          <w:sz w:val="16"/>
          <w:szCs w:val="16"/>
        </w:rPr>
      </w:pPr>
      <w:r w:rsidRPr="00CC0B60">
        <w:rPr>
          <w:rStyle w:val="a5"/>
          <w:rFonts w:ascii="Times New Roman" w:hAnsi="Times New Roman" w:cs="Times New Roman"/>
          <w:sz w:val="16"/>
          <w:szCs w:val="16"/>
        </w:rPr>
        <w:footnoteRef/>
      </w:r>
      <w:r w:rsidRPr="00CC0B60">
        <w:rPr>
          <w:rFonts w:ascii="Times New Roman" w:hAnsi="Times New Roman" w:cs="Times New Roman"/>
          <w:sz w:val="16"/>
          <w:szCs w:val="16"/>
        </w:rPr>
        <w:t xml:space="preserve"> Recomandarea nr. 9 din R</w:t>
      </w:r>
      <w:r>
        <w:rPr>
          <w:rFonts w:ascii="Times New Roman" w:hAnsi="Times New Roman" w:cs="Times New Roman"/>
          <w:sz w:val="16"/>
          <w:szCs w:val="16"/>
        </w:rPr>
        <w:t>aportul</w:t>
      </w:r>
      <w:r w:rsidRPr="00CC0B60">
        <w:rPr>
          <w:rFonts w:ascii="Times New Roman" w:hAnsi="Times New Roman" w:cs="Times New Roman"/>
          <w:sz w:val="16"/>
          <w:szCs w:val="16"/>
        </w:rPr>
        <w:t xml:space="preserve"> auditului gestionării patrimoniului public pe anul 2012 la întreprinderile de stat monitorizate de Cancelaria de Stat (Anexa nr. 2)</w:t>
      </w:r>
      <w:r>
        <w:rPr>
          <w:rFonts w:ascii="Times New Roman" w:hAnsi="Times New Roman" w:cs="Times New Roman"/>
          <w:sz w:val="16"/>
          <w:szCs w:val="16"/>
        </w:rPr>
        <w:t>,</w:t>
      </w:r>
      <w:r w:rsidRPr="00CC0B60">
        <w:rPr>
          <w:rFonts w:ascii="Times New Roman" w:hAnsi="Times New Roman" w:cs="Times New Roman"/>
          <w:sz w:val="16"/>
          <w:szCs w:val="16"/>
        </w:rPr>
        <w:t xml:space="preserve"> aprobat prin Hotăr</w:t>
      </w:r>
      <w:r>
        <w:rPr>
          <w:rFonts w:ascii="Times New Roman" w:hAnsi="Times New Roman" w:cs="Times New Roman"/>
          <w:sz w:val="16"/>
          <w:szCs w:val="16"/>
        </w:rPr>
        <w:t>â</w:t>
      </w:r>
      <w:r w:rsidRPr="00CC0B60">
        <w:rPr>
          <w:rFonts w:ascii="Times New Roman" w:hAnsi="Times New Roman" w:cs="Times New Roman"/>
          <w:sz w:val="16"/>
          <w:szCs w:val="16"/>
        </w:rPr>
        <w:t>rea CCRM nr.24 din 18 mai 2013.</w:t>
      </w:r>
    </w:p>
  </w:footnote>
  <w:footnote w:id="138">
    <w:p w14:paraId="3B6AC5C2" w14:textId="77777777" w:rsidR="00753EA2" w:rsidRPr="00B94290" w:rsidRDefault="00753EA2" w:rsidP="009D6C87">
      <w:pPr>
        <w:pStyle w:val="a3"/>
        <w:jc w:val="both"/>
        <w:rPr>
          <w:sz w:val="16"/>
          <w:szCs w:val="16"/>
        </w:rPr>
      </w:pPr>
      <w:r w:rsidRPr="005F3ED5">
        <w:rPr>
          <w:rStyle w:val="a5"/>
          <w:rFonts w:ascii="Times New Roman" w:hAnsi="Times New Roman" w:cs="Times New Roman"/>
          <w:sz w:val="16"/>
          <w:szCs w:val="16"/>
        </w:rPr>
        <w:footnoteRef/>
      </w:r>
      <w:r w:rsidRPr="005F3ED5">
        <w:rPr>
          <w:rFonts w:ascii="Times New Roman" w:hAnsi="Times New Roman" w:cs="Times New Roman"/>
          <w:sz w:val="16"/>
          <w:szCs w:val="16"/>
        </w:rPr>
        <w:t xml:space="preserve"> Nu au fost transmise actele în instanțele de judecată</w:t>
      </w:r>
      <w:r>
        <w:rPr>
          <w:rFonts w:ascii="Times New Roman" w:hAnsi="Times New Roman" w:cs="Times New Roman"/>
          <w:sz w:val="16"/>
          <w:szCs w:val="16"/>
        </w:rPr>
        <w:t>,</w:t>
      </w:r>
      <w:r w:rsidRPr="005F3ED5">
        <w:rPr>
          <w:rFonts w:ascii="Times New Roman" w:hAnsi="Times New Roman" w:cs="Times New Roman"/>
          <w:sz w:val="16"/>
          <w:szCs w:val="16"/>
        </w:rPr>
        <w:t xml:space="preserve"> precum și nu a fost </w:t>
      </w:r>
      <w:r>
        <w:rPr>
          <w:rFonts w:ascii="Times New Roman" w:hAnsi="Times New Roman" w:cs="Times New Roman"/>
          <w:sz w:val="16"/>
          <w:szCs w:val="16"/>
        </w:rPr>
        <w:t>pornit</w:t>
      </w:r>
      <w:r w:rsidRPr="005F3ED5">
        <w:rPr>
          <w:rFonts w:ascii="Times New Roman" w:hAnsi="Times New Roman" w:cs="Times New Roman"/>
          <w:sz w:val="16"/>
          <w:szCs w:val="16"/>
        </w:rPr>
        <w:t xml:space="preserve"> proces penal </w:t>
      </w:r>
      <w:r>
        <w:rPr>
          <w:rFonts w:ascii="Times New Roman" w:hAnsi="Times New Roman" w:cs="Times New Roman"/>
          <w:sz w:val="16"/>
          <w:szCs w:val="16"/>
        </w:rPr>
        <w:t>pe</w:t>
      </w:r>
      <w:r w:rsidRPr="005F3ED5">
        <w:rPr>
          <w:rFonts w:ascii="Times New Roman" w:hAnsi="Times New Roman" w:cs="Times New Roman"/>
          <w:sz w:val="16"/>
          <w:szCs w:val="16"/>
        </w:rPr>
        <w:t xml:space="preserve"> acest caz.</w:t>
      </w:r>
    </w:p>
  </w:footnote>
  <w:footnote w:id="139">
    <w:p w14:paraId="7D5EFB7D" w14:textId="4D9C58B4" w:rsidR="00753EA2" w:rsidRPr="0069766E" w:rsidRDefault="00753EA2" w:rsidP="0069766E">
      <w:pPr>
        <w:pStyle w:val="a3"/>
        <w:jc w:val="both"/>
        <w:rPr>
          <w:rFonts w:ascii="Times New Roman" w:hAnsi="Times New Roman" w:cs="Times New Roman"/>
          <w:sz w:val="16"/>
          <w:szCs w:val="16"/>
        </w:rPr>
      </w:pPr>
      <w:r w:rsidRPr="0069766E">
        <w:rPr>
          <w:rStyle w:val="a5"/>
          <w:rFonts w:ascii="Times New Roman" w:hAnsi="Times New Roman" w:cs="Times New Roman"/>
          <w:sz w:val="16"/>
          <w:szCs w:val="16"/>
        </w:rPr>
        <w:footnoteRef/>
      </w:r>
      <w:r w:rsidRPr="0069766E">
        <w:rPr>
          <w:rFonts w:ascii="Times New Roman" w:hAnsi="Times New Roman" w:cs="Times New Roman"/>
          <w:sz w:val="16"/>
          <w:szCs w:val="16"/>
        </w:rPr>
        <w:t xml:space="preserve"> Scrisoare</w:t>
      </w:r>
      <w:r>
        <w:rPr>
          <w:rFonts w:ascii="Times New Roman" w:hAnsi="Times New Roman" w:cs="Times New Roman"/>
          <w:sz w:val="16"/>
          <w:szCs w:val="16"/>
        </w:rPr>
        <w:t>a</w:t>
      </w:r>
      <w:r w:rsidRPr="0069766E">
        <w:rPr>
          <w:rFonts w:ascii="Times New Roman" w:hAnsi="Times New Roman" w:cs="Times New Roman"/>
          <w:sz w:val="16"/>
          <w:szCs w:val="16"/>
        </w:rPr>
        <w:t xml:space="preserve"> DGACG nr. 268-01 din 14.03.2019 către APP, în care instituția confirmă faptul că „că spațiile respective prezintă încăperi izolate și</w:t>
      </w:r>
      <w:r>
        <w:rPr>
          <w:rFonts w:ascii="Times New Roman" w:hAnsi="Times New Roman" w:cs="Times New Roman"/>
          <w:sz w:val="16"/>
          <w:szCs w:val="16"/>
        </w:rPr>
        <w:t xml:space="preserve"> </w:t>
      </w:r>
      <w:r w:rsidRPr="0069766E">
        <w:rPr>
          <w:rFonts w:ascii="Times New Roman" w:hAnsi="Times New Roman" w:cs="Times New Roman"/>
          <w:sz w:val="16"/>
          <w:szCs w:val="16"/>
        </w:rPr>
        <w:t>au fost transmise pentru a fi utilizate ca bunuri cu destinație comercială, dispun de intrare separată, iar înstrăinarea acestora nu va periclita activitatea instituțiilor amplasate în imobil.”</w:t>
      </w:r>
      <w:r w:rsidRPr="0069766E">
        <w:rPr>
          <w:rFonts w:ascii="Times New Roman" w:hAnsi="Times New Roman" w:cs="Times New Roman"/>
          <w:sz w:val="16"/>
          <w:szCs w:val="16"/>
        </w:rPr>
        <w:tab/>
        <w:t xml:space="preserve"> </w:t>
      </w:r>
    </w:p>
  </w:footnote>
  <w:footnote w:id="140">
    <w:p w14:paraId="2B48BF47" w14:textId="77777777" w:rsidR="00753EA2" w:rsidRPr="0069766E" w:rsidRDefault="00753EA2" w:rsidP="0069766E">
      <w:pPr>
        <w:pStyle w:val="a3"/>
        <w:jc w:val="both"/>
        <w:rPr>
          <w:rFonts w:ascii="Times New Roman" w:hAnsi="Times New Roman" w:cs="Times New Roman"/>
          <w:sz w:val="16"/>
          <w:szCs w:val="16"/>
        </w:rPr>
      </w:pPr>
      <w:r w:rsidRPr="0069766E">
        <w:rPr>
          <w:rStyle w:val="a5"/>
          <w:rFonts w:ascii="Times New Roman" w:hAnsi="Times New Roman" w:cs="Times New Roman"/>
          <w:sz w:val="16"/>
          <w:szCs w:val="16"/>
        </w:rPr>
        <w:footnoteRef/>
      </w:r>
      <w:r w:rsidRPr="0069766E">
        <w:rPr>
          <w:rFonts w:ascii="Times New Roman" w:hAnsi="Times New Roman" w:cs="Times New Roman"/>
          <w:sz w:val="16"/>
          <w:szCs w:val="16"/>
        </w:rPr>
        <w:t xml:space="preserve"> Încăperile nr. 53, 54 și 55, cu numărul cadastral 0100206.171.01.020.</w:t>
      </w:r>
    </w:p>
  </w:footnote>
  <w:footnote w:id="141">
    <w:p w14:paraId="20DECFDA" w14:textId="2AE4FEF4" w:rsidR="00753EA2" w:rsidRPr="0069766E" w:rsidRDefault="00753EA2" w:rsidP="0069766E">
      <w:pPr>
        <w:pStyle w:val="rg"/>
        <w:jc w:val="both"/>
        <w:rPr>
          <w:sz w:val="16"/>
          <w:szCs w:val="16"/>
          <w:lang w:val="ro-MD"/>
        </w:rPr>
      </w:pPr>
      <w:r w:rsidRPr="0069766E">
        <w:rPr>
          <w:rStyle w:val="a5"/>
          <w:rFonts w:eastAsiaTheme="majorEastAsia"/>
          <w:sz w:val="16"/>
          <w:szCs w:val="16"/>
          <w:lang w:val="ro-MD"/>
        </w:rPr>
        <w:footnoteRef/>
      </w:r>
      <w:r w:rsidRPr="0069766E">
        <w:rPr>
          <w:sz w:val="16"/>
          <w:szCs w:val="16"/>
          <w:lang w:val="ro-MD"/>
        </w:rPr>
        <w:t xml:space="preserve"> Art. </w:t>
      </w:r>
      <w:r>
        <w:rPr>
          <w:sz w:val="16"/>
          <w:szCs w:val="16"/>
          <w:lang w:val="ro-MD"/>
        </w:rPr>
        <w:t>50 alin. (3</w:t>
      </w:r>
      <w:r w:rsidRPr="0069766E">
        <w:rPr>
          <w:sz w:val="16"/>
          <w:szCs w:val="16"/>
          <w:lang w:val="ro-MD"/>
        </w:rPr>
        <w:t>) lit. a) din Legea nr. 121 din 04.05.20</w:t>
      </w:r>
      <w:r>
        <w:rPr>
          <w:sz w:val="16"/>
          <w:szCs w:val="16"/>
          <w:lang w:val="ro-MD"/>
        </w:rPr>
        <w:t>0</w:t>
      </w:r>
      <w:r w:rsidRPr="0069766E">
        <w:rPr>
          <w:sz w:val="16"/>
          <w:szCs w:val="16"/>
          <w:lang w:val="ro-MD"/>
        </w:rPr>
        <w:t>7 privind administrarea şi deetatizarea proprietăţii publice și pct 3 lit. a) din Regulamentul cu privire la modul de privatizare a încăperilor nelocuibile date în locaţiune, aprobat prin HG nr.468 din 25.03.2008.</w:t>
      </w:r>
    </w:p>
  </w:footnote>
  <w:footnote w:id="142">
    <w:p w14:paraId="1ED8957F" w14:textId="77777777" w:rsidR="00753EA2" w:rsidRPr="0069766E" w:rsidRDefault="00753EA2" w:rsidP="0069766E">
      <w:pPr>
        <w:pStyle w:val="a3"/>
        <w:jc w:val="both"/>
        <w:rPr>
          <w:rFonts w:ascii="Times New Roman" w:hAnsi="Times New Roman" w:cs="Times New Roman"/>
          <w:sz w:val="16"/>
          <w:szCs w:val="16"/>
        </w:rPr>
      </w:pPr>
      <w:r w:rsidRPr="0069766E">
        <w:rPr>
          <w:rStyle w:val="a5"/>
          <w:rFonts w:ascii="Times New Roman" w:hAnsi="Times New Roman" w:cs="Times New Roman"/>
          <w:sz w:val="16"/>
          <w:szCs w:val="16"/>
        </w:rPr>
        <w:footnoteRef/>
      </w:r>
      <w:r w:rsidRPr="0069766E">
        <w:rPr>
          <w:rFonts w:ascii="Times New Roman" w:hAnsi="Times New Roman" w:cs="Times New Roman"/>
          <w:sz w:val="16"/>
          <w:szCs w:val="16"/>
        </w:rPr>
        <w:t xml:space="preserve"> Hotărârea Curții de Conturi nr.78 din 24.12.2020 „Privind Raportul auditului conformității asupra privatizării încăperilor nelocuibile”, Capitolul nr. 4.1.1 (4.1.1 Neconformitățile admise de către autoritățile publice centrale și ambiguitatea cadrului normativ au cauzat ratarea posibilelor venituri de cel puțin 256,9 mil. lei).</w:t>
      </w:r>
    </w:p>
  </w:footnote>
  <w:footnote w:id="143">
    <w:p w14:paraId="75EBDE8F" w14:textId="77777777" w:rsidR="00753EA2" w:rsidRPr="0069766E" w:rsidRDefault="00753EA2" w:rsidP="0069766E">
      <w:pPr>
        <w:pStyle w:val="a3"/>
        <w:jc w:val="both"/>
        <w:rPr>
          <w:rFonts w:ascii="Times New Roman" w:hAnsi="Times New Roman" w:cs="Times New Roman"/>
        </w:rPr>
      </w:pPr>
      <w:r w:rsidRPr="0069766E">
        <w:rPr>
          <w:rStyle w:val="a5"/>
          <w:rFonts w:ascii="Times New Roman" w:hAnsi="Times New Roman" w:cs="Times New Roman"/>
          <w:sz w:val="16"/>
          <w:szCs w:val="16"/>
        </w:rPr>
        <w:footnoteRef/>
      </w:r>
      <w:r w:rsidRPr="0069766E">
        <w:rPr>
          <w:rFonts w:ascii="Times New Roman" w:hAnsi="Times New Roman" w:cs="Times New Roman"/>
          <w:sz w:val="16"/>
          <w:szCs w:val="16"/>
        </w:rPr>
        <w:t xml:space="preserve"> Care constituia în acea perioadă 1.000 euro/m</w:t>
      </w:r>
      <w:r w:rsidRPr="0069766E">
        <w:rPr>
          <w:rFonts w:ascii="Times New Roman" w:hAnsi="Times New Roman" w:cs="Times New Roman"/>
          <w:sz w:val="16"/>
          <w:szCs w:val="16"/>
          <w:vertAlign w:val="superscript"/>
        </w:rPr>
        <w:t>2</w:t>
      </w:r>
      <w:r w:rsidRPr="0069766E">
        <w:rPr>
          <w:rFonts w:ascii="Times New Roman" w:hAnsi="Times New Roman" w:cs="Times New Roman"/>
          <w:sz w:val="16"/>
          <w:szCs w:val="16"/>
        </w:rPr>
        <w:t>, sau 20,9 mii lei/m</w:t>
      </w:r>
      <w:r w:rsidRPr="0069766E">
        <w:rPr>
          <w:rFonts w:ascii="Times New Roman" w:hAnsi="Times New Roman" w:cs="Times New Roman"/>
          <w:sz w:val="16"/>
          <w:szCs w:val="16"/>
          <w:vertAlign w:val="superscript"/>
        </w:rPr>
        <w:t>2</w:t>
      </w:r>
      <w:r w:rsidRPr="0069766E">
        <w:rPr>
          <w:rFonts w:ascii="Times New Roman" w:hAnsi="Times New Roman" w:cs="Times New Roman"/>
          <w:sz w:val="16"/>
          <w:szCs w:val="16"/>
        </w:rPr>
        <w:t>.</w:t>
      </w:r>
    </w:p>
  </w:footnote>
  <w:footnote w:id="144">
    <w:p w14:paraId="3BE5EAA0" w14:textId="77777777" w:rsidR="00753EA2" w:rsidRPr="0069766E" w:rsidRDefault="00753EA2" w:rsidP="009D6C87">
      <w:pPr>
        <w:pStyle w:val="a3"/>
        <w:jc w:val="both"/>
        <w:rPr>
          <w:rFonts w:ascii="Times New Roman" w:hAnsi="Times New Roman" w:cs="Times New Roman"/>
          <w:sz w:val="16"/>
          <w:szCs w:val="16"/>
        </w:rPr>
      </w:pPr>
      <w:r w:rsidRPr="0069766E">
        <w:rPr>
          <w:rStyle w:val="a5"/>
          <w:rFonts w:ascii="Times New Roman" w:hAnsi="Times New Roman" w:cs="Times New Roman"/>
          <w:sz w:val="16"/>
          <w:szCs w:val="16"/>
        </w:rPr>
        <w:footnoteRef/>
      </w:r>
      <w:r w:rsidRPr="0069766E">
        <w:rPr>
          <w:rFonts w:ascii="Times New Roman" w:hAnsi="Times New Roman" w:cs="Times New Roman"/>
          <w:sz w:val="16"/>
          <w:szCs w:val="16"/>
        </w:rPr>
        <w:t xml:space="preserve"> Dispoziția Guvernului nr. 14-d din 27.01.1998, semnată de prim-ministru.</w:t>
      </w:r>
    </w:p>
  </w:footnote>
  <w:footnote w:id="145">
    <w:p w14:paraId="7E66D151" w14:textId="21B687DE" w:rsidR="00753EA2" w:rsidRPr="0069766E" w:rsidRDefault="00753EA2" w:rsidP="009D6C87">
      <w:pPr>
        <w:pStyle w:val="a3"/>
        <w:jc w:val="both"/>
        <w:rPr>
          <w:rFonts w:ascii="Times New Roman" w:hAnsi="Times New Roman" w:cs="Times New Roman"/>
          <w:sz w:val="16"/>
          <w:szCs w:val="16"/>
        </w:rPr>
      </w:pPr>
      <w:r w:rsidRPr="0069766E">
        <w:rPr>
          <w:rStyle w:val="a5"/>
          <w:rFonts w:ascii="Times New Roman" w:hAnsi="Times New Roman" w:cs="Times New Roman"/>
          <w:sz w:val="16"/>
          <w:szCs w:val="16"/>
        </w:rPr>
        <w:footnoteRef/>
      </w:r>
      <w:r w:rsidRPr="0069766E">
        <w:rPr>
          <w:rFonts w:ascii="Times New Roman" w:hAnsi="Times New Roman" w:cs="Times New Roman"/>
          <w:sz w:val="16"/>
          <w:szCs w:val="16"/>
        </w:rPr>
        <w:t xml:space="preserve"> Vilele nr. 11/1 și nr. 11/2, în anul 2002 au fost restituite în gestiune I</w:t>
      </w:r>
      <w:r>
        <w:rPr>
          <w:rFonts w:ascii="Times New Roman" w:hAnsi="Times New Roman" w:cs="Times New Roman"/>
          <w:sz w:val="16"/>
          <w:szCs w:val="16"/>
        </w:rPr>
        <w:t>.</w:t>
      </w:r>
      <w:r w:rsidRPr="0069766E">
        <w:rPr>
          <w:rFonts w:ascii="Times New Roman" w:hAnsi="Times New Roman" w:cs="Times New Roman"/>
          <w:sz w:val="16"/>
          <w:szCs w:val="16"/>
        </w:rPr>
        <w:t>P</w:t>
      </w:r>
      <w:r>
        <w:rPr>
          <w:rFonts w:ascii="Times New Roman" w:hAnsi="Times New Roman" w:cs="Times New Roman"/>
          <w:sz w:val="16"/>
          <w:szCs w:val="16"/>
        </w:rPr>
        <w:t>.</w:t>
      </w:r>
      <w:r w:rsidRPr="0069766E">
        <w:rPr>
          <w:rFonts w:ascii="Times New Roman" w:hAnsi="Times New Roman" w:cs="Times New Roman"/>
          <w:sz w:val="16"/>
          <w:szCs w:val="16"/>
        </w:rPr>
        <w:t xml:space="preserve"> „Pensiunea din Holercani”, potrivit Dispoziției Guvernului </w:t>
      </w:r>
      <w:r w:rsidRPr="0069766E">
        <w:rPr>
          <w:rFonts w:ascii="Times New Roman" w:eastAsia="Calibri" w:hAnsi="Times New Roman" w:cs="Times New Roman"/>
          <w:sz w:val="16"/>
          <w:szCs w:val="16"/>
        </w:rPr>
        <w:t>nr. 56-d din 03.07.2002</w:t>
      </w:r>
      <w:r>
        <w:rPr>
          <w:rFonts w:ascii="Times New Roman" w:eastAsia="Calibri" w:hAnsi="Times New Roman" w:cs="Times New Roman"/>
          <w:sz w:val="16"/>
          <w:szCs w:val="16"/>
        </w:rPr>
        <w:t>.</w:t>
      </w:r>
    </w:p>
  </w:footnote>
  <w:footnote w:id="146">
    <w:p w14:paraId="4978FE6C" w14:textId="77777777" w:rsidR="00753EA2" w:rsidRPr="0069766E" w:rsidRDefault="00753EA2" w:rsidP="009D6C87">
      <w:pPr>
        <w:pStyle w:val="a3"/>
        <w:jc w:val="both"/>
        <w:rPr>
          <w:rFonts w:ascii="Times New Roman" w:hAnsi="Times New Roman" w:cs="Times New Roman"/>
          <w:sz w:val="16"/>
          <w:szCs w:val="16"/>
        </w:rPr>
      </w:pPr>
      <w:r w:rsidRPr="0069766E">
        <w:rPr>
          <w:rStyle w:val="a5"/>
          <w:rFonts w:ascii="Times New Roman" w:hAnsi="Times New Roman" w:cs="Times New Roman"/>
          <w:sz w:val="16"/>
          <w:szCs w:val="16"/>
        </w:rPr>
        <w:footnoteRef/>
      </w:r>
      <w:r w:rsidRPr="0069766E">
        <w:rPr>
          <w:rFonts w:ascii="Times New Roman" w:hAnsi="Times New Roman" w:cs="Times New Roman"/>
          <w:sz w:val="16"/>
          <w:szCs w:val="16"/>
        </w:rPr>
        <w:t xml:space="preserve"> Ordinul Ministrului de Stat nr. 27-A din 05.03.1998 „Privind instituirea Comisiei pentru transmiterea clădirilor nr. 9, nr. 11/1 și nr. 11/2 din Pensiune”.</w:t>
      </w:r>
    </w:p>
  </w:footnote>
  <w:footnote w:id="147">
    <w:p w14:paraId="73C55EE4" w14:textId="139956C0" w:rsidR="00753EA2" w:rsidRPr="0069766E" w:rsidRDefault="00753EA2" w:rsidP="0069766E">
      <w:pPr>
        <w:pStyle w:val="a3"/>
        <w:jc w:val="both"/>
        <w:rPr>
          <w:rFonts w:ascii="Times New Roman" w:hAnsi="Times New Roman" w:cs="Times New Roman"/>
          <w:sz w:val="16"/>
          <w:szCs w:val="16"/>
        </w:rPr>
      </w:pPr>
      <w:r w:rsidRPr="0069766E">
        <w:rPr>
          <w:rStyle w:val="a5"/>
          <w:rFonts w:ascii="Times New Roman" w:hAnsi="Times New Roman" w:cs="Times New Roman"/>
          <w:sz w:val="16"/>
          <w:szCs w:val="16"/>
        </w:rPr>
        <w:footnoteRef/>
      </w:r>
      <w:r w:rsidRPr="0069766E">
        <w:rPr>
          <w:rFonts w:ascii="Times New Roman" w:hAnsi="Times New Roman" w:cs="Times New Roman"/>
          <w:sz w:val="16"/>
          <w:szCs w:val="16"/>
        </w:rPr>
        <w:t xml:space="preserve"> Hotărârea CCRM nr. 22 din 06.07.2015 „Privind Raportul auditului conformității executării devizului de cheltuieli la Banca Națională a Moldovei pe anii 2013-2014”.</w:t>
      </w:r>
    </w:p>
  </w:footnote>
  <w:footnote w:id="148">
    <w:p w14:paraId="75D64C75" w14:textId="7C7CFF9E" w:rsidR="00753EA2" w:rsidRPr="00CC0B60" w:rsidRDefault="00753EA2" w:rsidP="0069766E">
      <w:pPr>
        <w:pStyle w:val="a3"/>
        <w:jc w:val="both"/>
        <w:rPr>
          <w:rFonts w:ascii="Times New Roman" w:hAnsi="Times New Roman" w:cs="Times New Roman"/>
          <w:sz w:val="16"/>
          <w:szCs w:val="16"/>
        </w:rPr>
      </w:pPr>
      <w:r w:rsidRPr="0069766E">
        <w:rPr>
          <w:rStyle w:val="a5"/>
          <w:rFonts w:ascii="Times New Roman" w:hAnsi="Times New Roman" w:cs="Times New Roman"/>
          <w:sz w:val="16"/>
          <w:szCs w:val="16"/>
        </w:rPr>
        <w:footnoteRef/>
      </w:r>
      <w:r w:rsidRPr="0069766E">
        <w:rPr>
          <w:rFonts w:ascii="Times New Roman" w:hAnsi="Times New Roman" w:cs="Times New Roman"/>
          <w:sz w:val="16"/>
          <w:szCs w:val="16"/>
        </w:rPr>
        <w:t xml:space="preserve"> Scrisoarea BNM nr. 17-0202-1/683/2504 din 22.06.2015 adresată ARFC; Scrisoarea BNM nr.17-0104/4/148 din 09.01.2016 adresată APP; Scrisoarea BNM nr. 17-0202-1/207/425 din 09.02.2016 adresată Î.S. „Cadastru”.</w:t>
      </w:r>
      <w:r>
        <w:rPr>
          <w:rFonts w:ascii="Times New Roman" w:hAnsi="Times New Roman" w:cs="Times New Roman"/>
          <w:sz w:val="16"/>
          <w:szCs w:val="16"/>
        </w:rPr>
        <w:t xml:space="preserve"> </w:t>
      </w:r>
    </w:p>
  </w:footnote>
  <w:footnote w:id="149">
    <w:p w14:paraId="24AA4781" w14:textId="77777777" w:rsidR="00753EA2" w:rsidRPr="00307CDE" w:rsidRDefault="00753EA2" w:rsidP="00F94284">
      <w:pPr>
        <w:pStyle w:val="a3"/>
        <w:jc w:val="both"/>
        <w:rPr>
          <w:sz w:val="16"/>
          <w:szCs w:val="16"/>
        </w:rPr>
      </w:pPr>
      <w:r w:rsidRPr="00CC0B60">
        <w:rPr>
          <w:rStyle w:val="a5"/>
          <w:rFonts w:ascii="Times New Roman" w:hAnsi="Times New Roman" w:cs="Times New Roman"/>
          <w:sz w:val="16"/>
          <w:szCs w:val="16"/>
        </w:rPr>
        <w:footnoteRef/>
      </w:r>
      <w:r w:rsidRPr="00CC0B60">
        <w:rPr>
          <w:rFonts w:ascii="Times New Roman" w:hAnsi="Times New Roman" w:cs="Times New Roman"/>
          <w:sz w:val="16"/>
          <w:szCs w:val="16"/>
        </w:rPr>
        <w:t xml:space="preserve"> Pct. 14 din Regulamentul cu privire la modul de transmitere a întreprinderilor de stat, organizațiilor, instituțiilor, a subdiviziunilor lor, clădirilor, construcțiilor</w:t>
      </w:r>
      <w:r>
        <w:rPr>
          <w:rFonts w:ascii="Times New Roman" w:hAnsi="Times New Roman" w:cs="Times New Roman"/>
          <w:sz w:val="16"/>
          <w:szCs w:val="16"/>
        </w:rPr>
        <w:t>,</w:t>
      </w:r>
      <w:r w:rsidRPr="00CC0B60">
        <w:rPr>
          <w:rFonts w:ascii="Times New Roman" w:hAnsi="Times New Roman" w:cs="Times New Roman"/>
          <w:sz w:val="16"/>
          <w:szCs w:val="16"/>
        </w:rPr>
        <w:t xml:space="preserve"> mijloacelor fixe şi altor active, aprobat prin HG nr. 688 din 09.10.1995 și pct. 10 din Regulamentul cu privire la modul de transmitere a bunurilor proprietate publică, aprobat prin HG nr. 901 din 31.12.2015.</w:t>
      </w:r>
    </w:p>
  </w:footnote>
  <w:footnote w:id="150">
    <w:p w14:paraId="3385DAFC" w14:textId="21388AF2" w:rsidR="00753EA2" w:rsidRPr="00CC0B60" w:rsidRDefault="00753EA2" w:rsidP="00F94284">
      <w:pPr>
        <w:pStyle w:val="a3"/>
        <w:jc w:val="both"/>
        <w:rPr>
          <w:rFonts w:ascii="Times New Roman" w:hAnsi="Times New Roman" w:cs="Times New Roman"/>
          <w:sz w:val="16"/>
          <w:szCs w:val="16"/>
        </w:rPr>
      </w:pPr>
      <w:r w:rsidRPr="00CC0B60">
        <w:rPr>
          <w:rStyle w:val="a5"/>
          <w:rFonts w:ascii="Times New Roman" w:hAnsi="Times New Roman" w:cs="Times New Roman"/>
          <w:sz w:val="16"/>
          <w:szCs w:val="16"/>
        </w:rPr>
        <w:footnoteRef/>
      </w:r>
      <w:r w:rsidRPr="00CC0B60">
        <w:rPr>
          <w:rFonts w:ascii="Times New Roman" w:hAnsi="Times New Roman" w:cs="Times New Roman"/>
          <w:sz w:val="16"/>
          <w:szCs w:val="16"/>
        </w:rPr>
        <w:t xml:space="preserve"> Potrivit art. 30 din Legea cu privire la Guvern nr. 64-XII din 31.05.1990</w:t>
      </w:r>
      <w:r>
        <w:rPr>
          <w:rFonts w:ascii="Times New Roman" w:hAnsi="Times New Roman" w:cs="Times New Roman"/>
          <w:sz w:val="16"/>
          <w:szCs w:val="16"/>
        </w:rPr>
        <w:t>,</w:t>
      </w:r>
      <w:r w:rsidRPr="00CC0B60">
        <w:rPr>
          <w:rFonts w:ascii="Times New Roman" w:hAnsi="Times New Roman" w:cs="Times New Roman"/>
          <w:sz w:val="16"/>
          <w:szCs w:val="16"/>
        </w:rPr>
        <w:t xml:space="preserve"> „</w:t>
      </w:r>
      <w:r w:rsidRPr="00CC0B60">
        <w:rPr>
          <w:rFonts w:ascii="Times New Roman" w:hAnsi="Times New Roman" w:cs="Times New Roman"/>
          <w:color w:val="333333"/>
          <w:sz w:val="16"/>
          <w:szCs w:val="16"/>
          <w:shd w:val="clear" w:color="auto" w:fill="FFFFFF"/>
        </w:rPr>
        <w:t>Dispozițiile se emit de către Prim-ministru pentru organizarea activității interne a Guvernului.”</w:t>
      </w:r>
    </w:p>
  </w:footnote>
  <w:footnote w:id="151">
    <w:p w14:paraId="312EB516" w14:textId="77777777" w:rsidR="00753EA2" w:rsidRPr="00CC0B60" w:rsidRDefault="00753EA2" w:rsidP="00F94284">
      <w:pPr>
        <w:pStyle w:val="a3"/>
        <w:jc w:val="both"/>
        <w:rPr>
          <w:rFonts w:ascii="Times New Roman" w:hAnsi="Times New Roman" w:cs="Times New Roman"/>
          <w:sz w:val="16"/>
          <w:szCs w:val="16"/>
        </w:rPr>
      </w:pPr>
      <w:r w:rsidRPr="00CC0B60">
        <w:rPr>
          <w:rStyle w:val="a5"/>
          <w:rFonts w:ascii="Times New Roman" w:hAnsi="Times New Roman" w:cs="Times New Roman"/>
          <w:sz w:val="16"/>
          <w:szCs w:val="16"/>
        </w:rPr>
        <w:footnoteRef/>
      </w:r>
      <w:r w:rsidRPr="00CC0B60">
        <w:rPr>
          <w:rFonts w:ascii="Times New Roman" w:hAnsi="Times New Roman" w:cs="Times New Roman"/>
          <w:sz w:val="16"/>
          <w:szCs w:val="16"/>
        </w:rPr>
        <w:t xml:space="preserve"> </w:t>
      </w:r>
      <w:r>
        <w:rPr>
          <w:rFonts w:ascii="Times New Roman" w:hAnsi="Times New Roman" w:cs="Times New Roman"/>
          <w:sz w:val="16"/>
          <w:szCs w:val="16"/>
        </w:rPr>
        <w:t>A</w:t>
      </w:r>
      <w:r w:rsidRPr="00CC0B60">
        <w:rPr>
          <w:rFonts w:ascii="Times New Roman" w:hAnsi="Times New Roman" w:cs="Times New Roman"/>
          <w:sz w:val="16"/>
          <w:szCs w:val="16"/>
        </w:rPr>
        <w:t>nexa nr. 22</w:t>
      </w:r>
      <w:r w:rsidRPr="00CC0B60">
        <w:rPr>
          <w:rFonts w:ascii="Times New Roman" w:hAnsi="Times New Roman" w:cs="Times New Roman"/>
          <w:sz w:val="16"/>
          <w:szCs w:val="16"/>
          <w:vertAlign w:val="superscript"/>
        </w:rPr>
        <w:t>2</w:t>
      </w:r>
      <w:r>
        <w:rPr>
          <w:rFonts w:ascii="Times New Roman" w:hAnsi="Times New Roman" w:cs="Times New Roman"/>
          <w:sz w:val="16"/>
          <w:szCs w:val="16"/>
          <w:vertAlign w:val="superscript"/>
        </w:rPr>
        <w:t xml:space="preserve"> </w:t>
      </w:r>
      <w:r w:rsidRPr="00B94290">
        <w:rPr>
          <w:rFonts w:ascii="Times New Roman" w:hAnsi="Times New Roman" w:cs="Times New Roman"/>
          <w:sz w:val="16"/>
          <w:szCs w:val="16"/>
        </w:rPr>
        <w:t>la</w:t>
      </w:r>
      <w:r>
        <w:rPr>
          <w:rFonts w:ascii="Times New Roman" w:hAnsi="Times New Roman" w:cs="Times New Roman"/>
          <w:sz w:val="16"/>
          <w:szCs w:val="16"/>
        </w:rPr>
        <w:t xml:space="preserve"> </w:t>
      </w:r>
      <w:r w:rsidRPr="00CC0B60">
        <w:rPr>
          <w:rFonts w:ascii="Times New Roman" w:hAnsi="Times New Roman" w:cs="Times New Roman"/>
          <w:sz w:val="16"/>
          <w:szCs w:val="16"/>
        </w:rPr>
        <w:t xml:space="preserve">HG nr.351 din 23.03.2002 </w:t>
      </w:r>
      <w:r>
        <w:rPr>
          <w:rFonts w:ascii="Times New Roman" w:hAnsi="Times New Roman" w:cs="Times New Roman"/>
          <w:sz w:val="16"/>
          <w:szCs w:val="16"/>
        </w:rPr>
        <w:t>„C</w:t>
      </w:r>
      <w:r w:rsidRPr="00CC0B60">
        <w:rPr>
          <w:rFonts w:ascii="Times New Roman" w:hAnsi="Times New Roman" w:cs="Times New Roman"/>
          <w:sz w:val="16"/>
          <w:szCs w:val="16"/>
        </w:rPr>
        <w:t>u privire la aprobarea listelor bunurilor imobile proprietate publică a statului şi la transmiterea unor bunuri imobile”</w:t>
      </w:r>
      <w:r>
        <w:rPr>
          <w:rFonts w:ascii="Times New Roman" w:hAnsi="Times New Roman" w:cs="Times New Roman"/>
          <w:sz w:val="16"/>
          <w:szCs w:val="16"/>
        </w:rPr>
        <w:t>.</w:t>
      </w:r>
    </w:p>
  </w:footnote>
  <w:footnote w:id="152">
    <w:p w14:paraId="67E5E807" w14:textId="080D4704" w:rsidR="00753EA2" w:rsidRPr="00E77980" w:rsidRDefault="00753EA2" w:rsidP="00F94284">
      <w:pPr>
        <w:pStyle w:val="a3"/>
        <w:jc w:val="both"/>
        <w:rPr>
          <w:rFonts w:ascii="Times New Roman" w:hAnsi="Times New Roman" w:cs="Times New Roman"/>
          <w:sz w:val="16"/>
          <w:szCs w:val="16"/>
        </w:rPr>
      </w:pPr>
      <w:r w:rsidRPr="00CC0B60">
        <w:rPr>
          <w:rStyle w:val="a5"/>
          <w:rFonts w:ascii="Times New Roman" w:hAnsi="Times New Roman" w:cs="Times New Roman"/>
          <w:sz w:val="16"/>
          <w:szCs w:val="16"/>
        </w:rPr>
        <w:footnoteRef/>
      </w:r>
      <w:r w:rsidRPr="00CC0B60">
        <w:rPr>
          <w:rFonts w:ascii="Times New Roman" w:hAnsi="Times New Roman" w:cs="Times New Roman"/>
          <w:sz w:val="16"/>
          <w:szCs w:val="16"/>
        </w:rPr>
        <w:t xml:space="preserve"> Scrisoarea ME nr. 10-2097 din 05.04.2016 către BNM privind prezentarea spre examinare și avizare a proiectului HG „Pentru </w:t>
      </w:r>
      <w:r>
        <w:rPr>
          <w:rFonts w:ascii="Times New Roman" w:hAnsi="Times New Roman" w:cs="Times New Roman"/>
          <w:sz w:val="16"/>
          <w:szCs w:val="16"/>
        </w:rPr>
        <w:t>a</w:t>
      </w:r>
      <w:r w:rsidRPr="00CC0B60">
        <w:rPr>
          <w:rFonts w:ascii="Times New Roman" w:hAnsi="Times New Roman" w:cs="Times New Roman"/>
          <w:sz w:val="16"/>
          <w:szCs w:val="16"/>
        </w:rPr>
        <w:t xml:space="preserve">probarea modificărilor </w:t>
      </w:r>
      <w:r w:rsidRPr="00E77980">
        <w:rPr>
          <w:rFonts w:ascii="Times New Roman" w:hAnsi="Times New Roman" w:cs="Times New Roman"/>
          <w:sz w:val="16"/>
          <w:szCs w:val="16"/>
        </w:rPr>
        <w:t xml:space="preserve">și completărilor ce se operează în HG </w:t>
      </w:r>
      <w:r>
        <w:rPr>
          <w:rFonts w:ascii="Times New Roman" w:hAnsi="Times New Roman" w:cs="Times New Roman"/>
          <w:sz w:val="16"/>
          <w:szCs w:val="16"/>
        </w:rPr>
        <w:t>nr.</w:t>
      </w:r>
      <w:r w:rsidRPr="00E77980">
        <w:rPr>
          <w:rFonts w:ascii="Times New Roman" w:hAnsi="Times New Roman" w:cs="Times New Roman"/>
          <w:sz w:val="16"/>
          <w:szCs w:val="16"/>
        </w:rPr>
        <w:t>351 din 23.03.2005”.</w:t>
      </w:r>
    </w:p>
  </w:footnote>
  <w:footnote w:id="153">
    <w:p w14:paraId="43ECA6CD" w14:textId="48270D92" w:rsidR="00753EA2" w:rsidRPr="00E77980" w:rsidRDefault="00753EA2" w:rsidP="00B94290">
      <w:pPr>
        <w:pStyle w:val="a3"/>
        <w:rPr>
          <w:rFonts w:ascii="Times New Roman" w:hAnsi="Times New Roman" w:cs="Times New Roman"/>
          <w:sz w:val="16"/>
          <w:szCs w:val="16"/>
        </w:rPr>
      </w:pPr>
      <w:r w:rsidRPr="00E77980">
        <w:rPr>
          <w:rStyle w:val="a5"/>
          <w:rFonts w:ascii="Times New Roman" w:hAnsi="Times New Roman" w:cs="Times New Roman"/>
          <w:sz w:val="16"/>
          <w:szCs w:val="16"/>
        </w:rPr>
        <w:footnoteRef/>
      </w:r>
      <w:r w:rsidRPr="00E77980">
        <w:rPr>
          <w:rFonts w:ascii="Times New Roman" w:hAnsi="Times New Roman" w:cs="Times New Roman"/>
          <w:sz w:val="16"/>
          <w:szCs w:val="16"/>
        </w:rPr>
        <w:t xml:space="preserve"> Dispoziți</w:t>
      </w:r>
      <w:r>
        <w:rPr>
          <w:rFonts w:ascii="Times New Roman" w:hAnsi="Times New Roman" w:cs="Times New Roman"/>
          <w:sz w:val="16"/>
          <w:szCs w:val="16"/>
        </w:rPr>
        <w:t>a</w:t>
      </w:r>
      <w:r w:rsidRPr="00E77980">
        <w:rPr>
          <w:rFonts w:ascii="Times New Roman" w:hAnsi="Times New Roman" w:cs="Times New Roman"/>
          <w:sz w:val="16"/>
          <w:szCs w:val="16"/>
        </w:rPr>
        <w:t xml:space="preserve"> Guvernului nr. 6 din 28.01.2008</w:t>
      </w:r>
      <w:r>
        <w:rPr>
          <w:rFonts w:ascii="Times New Roman" w:hAnsi="Times New Roman" w:cs="Times New Roman"/>
          <w:sz w:val="16"/>
          <w:szCs w:val="16"/>
        </w:rPr>
        <w:t xml:space="preserve"> semnată de Prim-ministru.</w:t>
      </w:r>
    </w:p>
  </w:footnote>
  <w:footnote w:id="154">
    <w:p w14:paraId="68C7D991" w14:textId="00F406A2" w:rsidR="00753EA2" w:rsidRDefault="00753EA2" w:rsidP="00B94290">
      <w:pPr>
        <w:pStyle w:val="a3"/>
      </w:pPr>
      <w:r w:rsidRPr="00B94290">
        <w:rPr>
          <w:rStyle w:val="a5"/>
          <w:rFonts w:ascii="Times New Roman" w:hAnsi="Times New Roman" w:cs="Times New Roman"/>
          <w:sz w:val="16"/>
          <w:szCs w:val="16"/>
        </w:rPr>
        <w:footnoteRef/>
      </w:r>
      <w:r w:rsidRPr="00B94290">
        <w:rPr>
          <w:rFonts w:ascii="Times New Roman" w:hAnsi="Times New Roman" w:cs="Times New Roman"/>
          <w:sz w:val="16"/>
          <w:szCs w:val="16"/>
        </w:rPr>
        <w:t xml:space="preserve"> Valoare</w:t>
      </w:r>
      <w:r>
        <w:rPr>
          <w:rFonts w:ascii="Times New Roman" w:hAnsi="Times New Roman" w:cs="Times New Roman"/>
          <w:sz w:val="16"/>
          <w:szCs w:val="16"/>
        </w:rPr>
        <w:t>a</w:t>
      </w:r>
      <w:r w:rsidRPr="00B94290">
        <w:rPr>
          <w:rFonts w:ascii="Times New Roman" w:hAnsi="Times New Roman" w:cs="Times New Roman"/>
          <w:sz w:val="16"/>
          <w:szCs w:val="16"/>
        </w:rPr>
        <w:t xml:space="preserve"> de 2 342,8 mii lei și uzura de 909,5 mii lei. Nr. cadastral 010051700201.</w:t>
      </w:r>
    </w:p>
  </w:footnote>
  <w:footnote w:id="155">
    <w:p w14:paraId="36C9E122" w14:textId="7297A0BA" w:rsidR="00753EA2" w:rsidRPr="0087221A" w:rsidRDefault="00753EA2" w:rsidP="00F94284">
      <w:pPr>
        <w:pStyle w:val="a3"/>
        <w:jc w:val="both"/>
        <w:rPr>
          <w:rFonts w:cstheme="minorHAnsi"/>
          <w:sz w:val="18"/>
          <w:szCs w:val="18"/>
        </w:rPr>
      </w:pPr>
      <w:r w:rsidRPr="00CC0B60">
        <w:rPr>
          <w:rStyle w:val="a5"/>
          <w:rFonts w:ascii="Times New Roman" w:hAnsi="Times New Roman" w:cs="Times New Roman"/>
          <w:sz w:val="16"/>
          <w:szCs w:val="16"/>
        </w:rPr>
        <w:footnoteRef/>
      </w:r>
      <w:r w:rsidRPr="00CC0B60">
        <w:rPr>
          <w:rFonts w:ascii="Times New Roman" w:hAnsi="Times New Roman" w:cs="Times New Roman"/>
          <w:sz w:val="16"/>
          <w:szCs w:val="16"/>
        </w:rPr>
        <w:t xml:space="preserve"> Pct</w:t>
      </w:r>
      <w:r>
        <w:rPr>
          <w:rFonts w:ascii="Times New Roman" w:hAnsi="Times New Roman" w:cs="Times New Roman"/>
          <w:sz w:val="16"/>
          <w:szCs w:val="16"/>
        </w:rPr>
        <w:t>.</w:t>
      </w:r>
      <w:r w:rsidRPr="00CC0B60">
        <w:rPr>
          <w:rFonts w:ascii="Times New Roman" w:hAnsi="Times New Roman" w:cs="Times New Roman"/>
          <w:sz w:val="16"/>
          <w:szCs w:val="16"/>
        </w:rPr>
        <w:t xml:space="preserve"> </w:t>
      </w:r>
      <w:r w:rsidRPr="00CC0B60">
        <w:rPr>
          <w:rFonts w:ascii="Times New Roman" w:hAnsi="Times New Roman" w:cs="Times New Roman"/>
          <w:bCs/>
          <w:sz w:val="16"/>
          <w:szCs w:val="16"/>
        </w:rPr>
        <w:t xml:space="preserve">3.3.6. din </w:t>
      </w:r>
      <w:r w:rsidRPr="00CC0B60">
        <w:rPr>
          <w:rFonts w:ascii="Times New Roman" w:hAnsi="Times New Roman" w:cs="Times New Roman"/>
          <w:color w:val="333333"/>
          <w:sz w:val="16"/>
          <w:szCs w:val="16"/>
          <w:shd w:val="clear" w:color="auto" w:fill="FFFFFF"/>
        </w:rPr>
        <w:t>Planul de conturi contabile în sistemul bugetar și Normele metodologice privind evidența contabilă şi raportarea financiară în sistemul bugetar, aprobat</w:t>
      </w:r>
      <w:r>
        <w:rPr>
          <w:rFonts w:ascii="Times New Roman" w:hAnsi="Times New Roman" w:cs="Times New Roman"/>
          <w:color w:val="333333"/>
          <w:sz w:val="16"/>
          <w:szCs w:val="16"/>
          <w:shd w:val="clear" w:color="auto" w:fill="FFFFFF"/>
        </w:rPr>
        <w:t>e</w:t>
      </w:r>
      <w:r w:rsidRPr="00CC0B60">
        <w:rPr>
          <w:rFonts w:ascii="Times New Roman" w:hAnsi="Times New Roman" w:cs="Times New Roman"/>
          <w:color w:val="333333"/>
          <w:sz w:val="16"/>
          <w:szCs w:val="16"/>
          <w:shd w:val="clear" w:color="auto" w:fill="FFFFFF"/>
        </w:rPr>
        <w:t xml:space="preserve"> prin </w:t>
      </w:r>
      <w:r>
        <w:rPr>
          <w:rFonts w:ascii="Times New Roman" w:hAnsi="Times New Roman" w:cs="Times New Roman"/>
          <w:color w:val="333333"/>
          <w:sz w:val="16"/>
          <w:szCs w:val="16"/>
          <w:shd w:val="clear" w:color="auto" w:fill="FFFFFF"/>
        </w:rPr>
        <w:t>O</w:t>
      </w:r>
      <w:r w:rsidRPr="00CC0B60">
        <w:rPr>
          <w:rFonts w:ascii="Times New Roman" w:hAnsi="Times New Roman" w:cs="Times New Roman"/>
          <w:color w:val="333333"/>
          <w:sz w:val="16"/>
          <w:szCs w:val="16"/>
          <w:shd w:val="clear" w:color="auto" w:fill="FFFFFF"/>
        </w:rPr>
        <w:t>rdin</w:t>
      </w:r>
      <w:r>
        <w:rPr>
          <w:rFonts w:ascii="Times New Roman" w:hAnsi="Times New Roman" w:cs="Times New Roman"/>
          <w:color w:val="333333"/>
          <w:sz w:val="16"/>
          <w:szCs w:val="16"/>
          <w:shd w:val="clear" w:color="auto" w:fill="FFFFFF"/>
        </w:rPr>
        <w:t>ul</w:t>
      </w:r>
      <w:r w:rsidRPr="00CC0B60">
        <w:rPr>
          <w:rFonts w:ascii="Times New Roman" w:hAnsi="Times New Roman" w:cs="Times New Roman"/>
          <w:color w:val="333333"/>
          <w:sz w:val="16"/>
          <w:szCs w:val="16"/>
          <w:shd w:val="clear" w:color="auto" w:fill="FFFFFF"/>
        </w:rPr>
        <w:t xml:space="preserve"> MF </w:t>
      </w:r>
      <w:r>
        <w:rPr>
          <w:rStyle w:val="a9"/>
          <w:rFonts w:ascii="Times New Roman" w:hAnsi="Times New Roman" w:cs="Times New Roman"/>
          <w:b w:val="0"/>
          <w:color w:val="333333"/>
          <w:sz w:val="16"/>
          <w:szCs w:val="16"/>
          <w:shd w:val="clear" w:color="auto" w:fill="FFFFFF"/>
        </w:rPr>
        <w:t>nr. 216/2015.</w:t>
      </w:r>
    </w:p>
  </w:footnote>
  <w:footnote w:id="156">
    <w:p w14:paraId="5858056D" w14:textId="77777777" w:rsidR="00753EA2" w:rsidRPr="00F5103C" w:rsidRDefault="00753EA2" w:rsidP="00F94284">
      <w:pPr>
        <w:pStyle w:val="a3"/>
        <w:jc w:val="both"/>
        <w:rPr>
          <w:rFonts w:ascii="Times New Roman" w:hAnsi="Times New Roman" w:cs="Times New Roman"/>
          <w:sz w:val="16"/>
          <w:szCs w:val="16"/>
        </w:rPr>
      </w:pPr>
      <w:r w:rsidRPr="00F5103C">
        <w:rPr>
          <w:rStyle w:val="a5"/>
          <w:rFonts w:ascii="Times New Roman" w:hAnsi="Times New Roman" w:cs="Times New Roman"/>
          <w:sz w:val="16"/>
          <w:szCs w:val="16"/>
        </w:rPr>
        <w:footnoteRef/>
      </w:r>
      <w:r w:rsidRPr="00F5103C">
        <w:rPr>
          <w:rFonts w:ascii="Times New Roman" w:hAnsi="Times New Roman" w:cs="Times New Roman"/>
          <w:sz w:val="16"/>
          <w:szCs w:val="16"/>
        </w:rPr>
        <w:t xml:space="preserve"> HG nr. 410 din 21.08.2019 </w:t>
      </w:r>
      <w:r>
        <w:rPr>
          <w:rFonts w:ascii="Times New Roman" w:hAnsi="Times New Roman" w:cs="Times New Roman"/>
          <w:sz w:val="16"/>
          <w:szCs w:val="16"/>
        </w:rPr>
        <w:t>„C</w:t>
      </w:r>
      <w:r w:rsidRPr="00F5103C">
        <w:rPr>
          <w:rFonts w:ascii="Times New Roman" w:hAnsi="Times New Roman" w:cs="Times New Roman"/>
          <w:sz w:val="16"/>
          <w:szCs w:val="16"/>
        </w:rPr>
        <w:t>u privire la transmiterea unor instituții medico-sanitare publice</w:t>
      </w:r>
      <w:r>
        <w:rPr>
          <w:rFonts w:ascii="Times New Roman" w:hAnsi="Times New Roman" w:cs="Times New Roman"/>
          <w:sz w:val="16"/>
          <w:szCs w:val="16"/>
        </w:rPr>
        <w:t>”</w:t>
      </w:r>
      <w:r w:rsidRPr="00F5103C">
        <w:rPr>
          <w:rFonts w:ascii="Times New Roman" w:hAnsi="Times New Roman" w:cs="Times New Roman"/>
          <w:sz w:val="16"/>
          <w:szCs w:val="16"/>
        </w:rPr>
        <w:t>.</w:t>
      </w:r>
    </w:p>
  </w:footnote>
  <w:footnote w:id="157">
    <w:p w14:paraId="43D4FE57" w14:textId="77777777" w:rsidR="00753EA2" w:rsidRPr="00F5103C" w:rsidRDefault="00753EA2" w:rsidP="00F94284">
      <w:pPr>
        <w:pStyle w:val="a3"/>
        <w:jc w:val="both"/>
        <w:rPr>
          <w:rFonts w:ascii="Times New Roman" w:hAnsi="Times New Roman" w:cs="Times New Roman"/>
          <w:sz w:val="16"/>
          <w:szCs w:val="16"/>
        </w:rPr>
      </w:pPr>
      <w:r w:rsidRPr="00F5103C">
        <w:rPr>
          <w:rStyle w:val="a5"/>
          <w:rFonts w:ascii="Times New Roman" w:hAnsi="Times New Roman" w:cs="Times New Roman"/>
          <w:sz w:val="16"/>
          <w:szCs w:val="16"/>
        </w:rPr>
        <w:footnoteRef/>
      </w:r>
      <w:r w:rsidRPr="00F5103C">
        <w:rPr>
          <w:rFonts w:ascii="Times New Roman" w:hAnsi="Times New Roman" w:cs="Times New Roman"/>
          <w:sz w:val="16"/>
          <w:szCs w:val="16"/>
        </w:rPr>
        <w:t xml:space="preserve"> HG </w:t>
      </w:r>
      <w:r>
        <w:rPr>
          <w:rFonts w:ascii="Times New Roman" w:hAnsi="Times New Roman" w:cs="Times New Roman"/>
          <w:sz w:val="16"/>
          <w:szCs w:val="16"/>
        </w:rPr>
        <w:t>nr.</w:t>
      </w:r>
      <w:r w:rsidRPr="00F5103C">
        <w:rPr>
          <w:rFonts w:ascii="Times New Roman" w:hAnsi="Times New Roman" w:cs="Times New Roman"/>
          <w:sz w:val="16"/>
          <w:szCs w:val="16"/>
        </w:rPr>
        <w:t xml:space="preserve">916 din 24.09.2018 </w:t>
      </w:r>
      <w:r>
        <w:rPr>
          <w:rFonts w:ascii="Times New Roman" w:hAnsi="Times New Roman" w:cs="Times New Roman"/>
          <w:sz w:val="16"/>
          <w:szCs w:val="16"/>
        </w:rPr>
        <w:t>„C</w:t>
      </w:r>
      <w:r w:rsidRPr="00F5103C">
        <w:rPr>
          <w:rFonts w:ascii="Times New Roman" w:hAnsi="Times New Roman" w:cs="Times New Roman"/>
          <w:sz w:val="16"/>
          <w:szCs w:val="16"/>
        </w:rPr>
        <w:t>u privire la organizarea și funcționarea I</w:t>
      </w:r>
      <w:r>
        <w:rPr>
          <w:rFonts w:ascii="Times New Roman" w:hAnsi="Times New Roman" w:cs="Times New Roman"/>
          <w:sz w:val="16"/>
          <w:szCs w:val="16"/>
        </w:rPr>
        <w:t>.</w:t>
      </w:r>
      <w:r w:rsidRPr="00F5103C">
        <w:rPr>
          <w:rFonts w:ascii="Times New Roman" w:hAnsi="Times New Roman" w:cs="Times New Roman"/>
          <w:sz w:val="16"/>
          <w:szCs w:val="16"/>
        </w:rPr>
        <w:t>P</w:t>
      </w:r>
      <w:r>
        <w:rPr>
          <w:rFonts w:ascii="Times New Roman" w:hAnsi="Times New Roman" w:cs="Times New Roman"/>
          <w:sz w:val="16"/>
          <w:szCs w:val="16"/>
        </w:rPr>
        <w:t>.</w:t>
      </w:r>
      <w:r w:rsidRPr="00F5103C">
        <w:rPr>
          <w:rFonts w:ascii="Times New Roman" w:hAnsi="Times New Roman" w:cs="Times New Roman"/>
          <w:sz w:val="16"/>
          <w:szCs w:val="16"/>
        </w:rPr>
        <w:t xml:space="preserve"> „Baza auto a C</w:t>
      </w:r>
      <w:r>
        <w:rPr>
          <w:rFonts w:ascii="Times New Roman" w:hAnsi="Times New Roman" w:cs="Times New Roman"/>
          <w:sz w:val="16"/>
          <w:szCs w:val="16"/>
        </w:rPr>
        <w:t xml:space="preserve">ancelariei de </w:t>
      </w:r>
      <w:r w:rsidRPr="00F5103C">
        <w:rPr>
          <w:rFonts w:ascii="Times New Roman" w:hAnsi="Times New Roman" w:cs="Times New Roman"/>
          <w:sz w:val="16"/>
          <w:szCs w:val="16"/>
        </w:rPr>
        <w:t>S</w:t>
      </w:r>
      <w:r>
        <w:rPr>
          <w:rFonts w:ascii="Times New Roman" w:hAnsi="Times New Roman" w:cs="Times New Roman"/>
          <w:sz w:val="16"/>
          <w:szCs w:val="16"/>
        </w:rPr>
        <w:t>tat</w:t>
      </w:r>
      <w:r w:rsidRPr="00F5103C">
        <w:rPr>
          <w:rFonts w:ascii="Times New Roman" w:hAnsi="Times New Roman" w:cs="Times New Roman"/>
          <w:sz w:val="16"/>
          <w:szCs w:val="16"/>
        </w:rPr>
        <w:t>”</w:t>
      </w:r>
      <w:r>
        <w:rPr>
          <w:rFonts w:ascii="Times New Roman" w:hAnsi="Times New Roman" w:cs="Times New Roman"/>
          <w:sz w:val="16"/>
          <w:szCs w:val="16"/>
        </w:rPr>
        <w:t>”.</w:t>
      </w:r>
    </w:p>
  </w:footnote>
  <w:footnote w:id="158">
    <w:p w14:paraId="5D2E1DFB" w14:textId="77777777" w:rsidR="00753EA2" w:rsidRPr="002326D0" w:rsidRDefault="00753EA2" w:rsidP="00F94284">
      <w:pPr>
        <w:pStyle w:val="a3"/>
        <w:jc w:val="both"/>
        <w:rPr>
          <w:rFonts w:asciiTheme="majorHAnsi" w:hAnsiTheme="majorHAnsi" w:cstheme="majorHAnsi"/>
          <w:sz w:val="16"/>
          <w:szCs w:val="16"/>
        </w:rPr>
      </w:pPr>
      <w:r w:rsidRPr="00F5103C">
        <w:rPr>
          <w:rStyle w:val="a5"/>
          <w:rFonts w:ascii="Times New Roman" w:hAnsi="Times New Roman" w:cs="Times New Roman"/>
          <w:sz w:val="16"/>
          <w:szCs w:val="16"/>
        </w:rPr>
        <w:footnoteRef/>
      </w:r>
      <w:r w:rsidRPr="00F5103C">
        <w:rPr>
          <w:rFonts w:ascii="Times New Roman" w:hAnsi="Times New Roman" w:cs="Times New Roman"/>
          <w:sz w:val="16"/>
          <w:szCs w:val="16"/>
        </w:rPr>
        <w:t xml:space="preserve"> HG </w:t>
      </w:r>
      <w:r w:rsidRPr="00F5103C">
        <w:rPr>
          <w:rFonts w:ascii="Times New Roman" w:hAnsi="Times New Roman" w:cs="Times New Roman"/>
          <w:bCs/>
          <w:color w:val="333333"/>
          <w:sz w:val="16"/>
          <w:szCs w:val="16"/>
          <w:shd w:val="clear" w:color="auto" w:fill="FFFFFF"/>
        </w:rPr>
        <w:t xml:space="preserve">nr.1404 </w:t>
      </w:r>
      <w:r>
        <w:rPr>
          <w:rFonts w:ascii="Times New Roman" w:hAnsi="Times New Roman" w:cs="Times New Roman"/>
          <w:bCs/>
          <w:color w:val="333333"/>
          <w:sz w:val="16"/>
          <w:szCs w:val="16"/>
          <w:shd w:val="clear" w:color="auto" w:fill="FFFFFF"/>
        </w:rPr>
        <w:t xml:space="preserve">din </w:t>
      </w:r>
      <w:r w:rsidRPr="00F5103C">
        <w:rPr>
          <w:rFonts w:ascii="Times New Roman" w:hAnsi="Times New Roman" w:cs="Times New Roman"/>
          <w:bCs/>
          <w:color w:val="333333"/>
          <w:sz w:val="16"/>
          <w:szCs w:val="16"/>
          <w:shd w:val="clear" w:color="auto" w:fill="FFFFFF"/>
        </w:rPr>
        <w:t xml:space="preserve">30.12.2005 </w:t>
      </w:r>
      <w:r>
        <w:rPr>
          <w:rFonts w:ascii="Times New Roman" w:hAnsi="Times New Roman" w:cs="Times New Roman"/>
          <w:bCs/>
          <w:color w:val="333333"/>
          <w:sz w:val="16"/>
          <w:szCs w:val="16"/>
          <w:shd w:val="clear" w:color="auto" w:fill="FFFFFF"/>
        </w:rPr>
        <w:t>„P</w:t>
      </w:r>
      <w:r w:rsidRPr="00F5103C">
        <w:rPr>
          <w:rFonts w:ascii="Times New Roman" w:hAnsi="Times New Roman" w:cs="Times New Roman"/>
          <w:bCs/>
          <w:color w:val="333333"/>
          <w:sz w:val="16"/>
          <w:szCs w:val="16"/>
          <w:shd w:val="clear" w:color="auto" w:fill="FFFFFF"/>
        </w:rPr>
        <w:t>rivind reglementarea utilizării autoturismelor de serviciu de către autoritățile administrației publice</w:t>
      </w:r>
      <w:r>
        <w:rPr>
          <w:rFonts w:ascii="Times New Roman" w:hAnsi="Times New Roman" w:cs="Times New Roman"/>
          <w:bCs/>
          <w:color w:val="333333"/>
          <w:sz w:val="16"/>
          <w:szCs w:val="16"/>
          <w:shd w:val="clear" w:color="auto" w:fill="FFFFFF"/>
        </w:rPr>
        <w:t>”.</w:t>
      </w:r>
    </w:p>
  </w:footnote>
  <w:footnote w:id="159">
    <w:p w14:paraId="2EA47BEB" w14:textId="4AFB8DB1" w:rsidR="00753EA2" w:rsidRPr="00CC0B60" w:rsidRDefault="00753EA2" w:rsidP="003019F5">
      <w:pPr>
        <w:pStyle w:val="a3"/>
        <w:jc w:val="both"/>
        <w:rPr>
          <w:rFonts w:ascii="Times New Roman" w:hAnsi="Times New Roman" w:cs="Times New Roman"/>
          <w:sz w:val="16"/>
          <w:szCs w:val="16"/>
        </w:rPr>
      </w:pPr>
      <w:r w:rsidRPr="00CC0B60">
        <w:rPr>
          <w:rStyle w:val="a5"/>
          <w:rFonts w:ascii="Times New Roman" w:hAnsi="Times New Roman" w:cs="Times New Roman"/>
          <w:sz w:val="16"/>
          <w:szCs w:val="16"/>
        </w:rPr>
        <w:footnoteRef/>
      </w:r>
      <w:r w:rsidRPr="00CC0B60">
        <w:rPr>
          <w:rFonts w:ascii="Times New Roman" w:hAnsi="Times New Roman" w:cs="Times New Roman"/>
          <w:sz w:val="16"/>
          <w:szCs w:val="16"/>
        </w:rPr>
        <w:t xml:space="preserve"> </w:t>
      </w:r>
      <w:r>
        <w:rPr>
          <w:rFonts w:ascii="Times New Roman" w:hAnsi="Times New Roman" w:cs="Times New Roman"/>
          <w:sz w:val="16"/>
          <w:szCs w:val="16"/>
        </w:rPr>
        <w:t>A</w:t>
      </w:r>
      <w:r w:rsidRPr="00CC0B60">
        <w:rPr>
          <w:rFonts w:ascii="Times New Roman" w:hAnsi="Times New Roman" w:cs="Times New Roman"/>
          <w:sz w:val="16"/>
          <w:szCs w:val="16"/>
        </w:rPr>
        <w:t>rt. 4 alin. (3) și art. 42 alin. (1) din Legea cadastru</w:t>
      </w:r>
      <w:r>
        <w:rPr>
          <w:rFonts w:ascii="Times New Roman" w:hAnsi="Times New Roman" w:cs="Times New Roman"/>
          <w:sz w:val="16"/>
          <w:szCs w:val="16"/>
        </w:rPr>
        <w:t>lui</w:t>
      </w:r>
      <w:r w:rsidRPr="00CC0B60">
        <w:rPr>
          <w:rFonts w:ascii="Times New Roman" w:hAnsi="Times New Roman" w:cs="Times New Roman"/>
          <w:sz w:val="16"/>
          <w:szCs w:val="16"/>
        </w:rPr>
        <w:t xml:space="preserve"> bunurilor imobile</w:t>
      </w:r>
      <w:r>
        <w:rPr>
          <w:rFonts w:ascii="Times New Roman" w:hAnsi="Times New Roman" w:cs="Times New Roman"/>
          <w:sz w:val="16"/>
          <w:szCs w:val="16"/>
        </w:rPr>
        <w:t xml:space="preserve"> nr.</w:t>
      </w:r>
      <w:r w:rsidRPr="00CC0B60">
        <w:rPr>
          <w:rFonts w:ascii="Times New Roman" w:hAnsi="Times New Roman" w:cs="Times New Roman"/>
          <w:sz w:val="16"/>
          <w:szCs w:val="16"/>
        </w:rPr>
        <w:t xml:space="preserve">1543 din 25.02.1998. </w:t>
      </w:r>
    </w:p>
  </w:footnote>
  <w:footnote w:id="160">
    <w:p w14:paraId="3AF735E4" w14:textId="4564BE13" w:rsidR="00753EA2" w:rsidRPr="00CC0B60" w:rsidRDefault="00753EA2" w:rsidP="003019F5">
      <w:pPr>
        <w:pStyle w:val="a3"/>
        <w:jc w:val="both"/>
        <w:rPr>
          <w:rFonts w:ascii="Times New Roman" w:hAnsi="Times New Roman" w:cs="Times New Roman"/>
          <w:sz w:val="16"/>
          <w:szCs w:val="16"/>
        </w:rPr>
      </w:pPr>
      <w:r w:rsidRPr="00CC0B60">
        <w:rPr>
          <w:rStyle w:val="a5"/>
          <w:rFonts w:ascii="Times New Roman" w:hAnsi="Times New Roman" w:cs="Times New Roman"/>
          <w:sz w:val="16"/>
          <w:szCs w:val="16"/>
        </w:rPr>
        <w:footnoteRef/>
      </w:r>
      <w:r w:rsidRPr="00CC0B60">
        <w:rPr>
          <w:rFonts w:ascii="Times New Roman" w:hAnsi="Times New Roman" w:cs="Times New Roman"/>
          <w:sz w:val="16"/>
          <w:szCs w:val="16"/>
        </w:rPr>
        <w:t xml:space="preserve"> </w:t>
      </w:r>
      <w:r>
        <w:rPr>
          <w:rFonts w:ascii="Times New Roman" w:hAnsi="Times New Roman" w:cs="Times New Roman"/>
          <w:sz w:val="16"/>
          <w:szCs w:val="16"/>
        </w:rPr>
        <w:t>G</w:t>
      </w:r>
      <w:r w:rsidRPr="00CC0B60">
        <w:rPr>
          <w:rFonts w:ascii="Times New Roman" w:hAnsi="Times New Roman" w:cs="Times New Roman"/>
          <w:sz w:val="16"/>
          <w:szCs w:val="16"/>
        </w:rPr>
        <w:t>araj</w:t>
      </w:r>
      <w:r>
        <w:rPr>
          <w:rFonts w:ascii="Times New Roman" w:hAnsi="Times New Roman" w:cs="Times New Roman"/>
          <w:sz w:val="16"/>
          <w:szCs w:val="16"/>
        </w:rPr>
        <w:t xml:space="preserve"> –</w:t>
      </w:r>
      <w:r w:rsidRPr="00CC0B60">
        <w:rPr>
          <w:rFonts w:ascii="Times New Roman" w:hAnsi="Times New Roman" w:cs="Times New Roman"/>
          <w:sz w:val="16"/>
          <w:szCs w:val="16"/>
        </w:rPr>
        <w:t xml:space="preserve"> 33,7 m.p</w:t>
      </w:r>
      <w:r>
        <w:rPr>
          <w:rFonts w:ascii="Times New Roman" w:hAnsi="Times New Roman" w:cs="Times New Roman"/>
          <w:sz w:val="16"/>
          <w:szCs w:val="16"/>
        </w:rPr>
        <w:t>.</w:t>
      </w:r>
      <w:r w:rsidRPr="00CC0B60">
        <w:rPr>
          <w:rFonts w:ascii="Times New Roman" w:hAnsi="Times New Roman" w:cs="Times New Roman"/>
          <w:sz w:val="16"/>
          <w:szCs w:val="16"/>
        </w:rPr>
        <w:t>, șopron din piatră</w:t>
      </w:r>
      <w:r>
        <w:rPr>
          <w:rFonts w:ascii="Times New Roman" w:hAnsi="Times New Roman" w:cs="Times New Roman"/>
          <w:sz w:val="16"/>
          <w:szCs w:val="16"/>
        </w:rPr>
        <w:t xml:space="preserve"> –</w:t>
      </w:r>
      <w:r w:rsidRPr="00CC0B60">
        <w:rPr>
          <w:rFonts w:ascii="Times New Roman" w:hAnsi="Times New Roman" w:cs="Times New Roman"/>
          <w:sz w:val="16"/>
          <w:szCs w:val="16"/>
        </w:rPr>
        <w:t xml:space="preserve"> 12</w:t>
      </w:r>
      <w:r>
        <w:rPr>
          <w:rFonts w:ascii="Times New Roman" w:hAnsi="Times New Roman" w:cs="Times New Roman"/>
          <w:sz w:val="16"/>
          <w:szCs w:val="16"/>
        </w:rPr>
        <w:t>,</w:t>
      </w:r>
      <w:r w:rsidRPr="00CC0B60">
        <w:rPr>
          <w:rFonts w:ascii="Times New Roman" w:hAnsi="Times New Roman" w:cs="Times New Roman"/>
          <w:sz w:val="16"/>
          <w:szCs w:val="16"/>
        </w:rPr>
        <w:t>83</w:t>
      </w:r>
      <w:r>
        <w:rPr>
          <w:rFonts w:ascii="Times New Roman" w:hAnsi="Times New Roman" w:cs="Times New Roman"/>
          <w:sz w:val="16"/>
          <w:szCs w:val="16"/>
        </w:rPr>
        <w:t xml:space="preserve"> </w:t>
      </w:r>
      <w:r w:rsidRPr="00CC0B60">
        <w:rPr>
          <w:rFonts w:ascii="Times New Roman" w:hAnsi="Times New Roman" w:cs="Times New Roman"/>
          <w:sz w:val="16"/>
          <w:szCs w:val="16"/>
        </w:rPr>
        <w:t>m.p</w:t>
      </w:r>
      <w:r>
        <w:rPr>
          <w:rFonts w:ascii="Times New Roman" w:hAnsi="Times New Roman" w:cs="Times New Roman"/>
          <w:sz w:val="16"/>
          <w:szCs w:val="16"/>
        </w:rPr>
        <w:t>.,</w:t>
      </w:r>
      <w:r w:rsidRPr="00CC0B60">
        <w:rPr>
          <w:rFonts w:ascii="Times New Roman" w:hAnsi="Times New Roman" w:cs="Times New Roman"/>
          <w:sz w:val="16"/>
          <w:szCs w:val="16"/>
        </w:rPr>
        <w:t xml:space="preserve"> și construcție</w:t>
      </w:r>
      <w:r>
        <w:rPr>
          <w:rFonts w:ascii="Times New Roman" w:hAnsi="Times New Roman" w:cs="Times New Roman"/>
          <w:sz w:val="16"/>
          <w:szCs w:val="16"/>
        </w:rPr>
        <w:t>-</w:t>
      </w:r>
      <w:r w:rsidRPr="00CC0B60">
        <w:rPr>
          <w:rFonts w:ascii="Times New Roman" w:hAnsi="Times New Roman" w:cs="Times New Roman"/>
          <w:sz w:val="16"/>
          <w:szCs w:val="16"/>
        </w:rPr>
        <w:t xml:space="preserve">depozit </w:t>
      </w:r>
      <w:r>
        <w:rPr>
          <w:rFonts w:ascii="Times New Roman" w:hAnsi="Times New Roman" w:cs="Times New Roman"/>
          <w:sz w:val="16"/>
          <w:szCs w:val="16"/>
        </w:rPr>
        <w:t xml:space="preserve">– </w:t>
      </w:r>
      <w:r w:rsidRPr="00CC0B60">
        <w:rPr>
          <w:rFonts w:ascii="Times New Roman" w:hAnsi="Times New Roman" w:cs="Times New Roman"/>
          <w:sz w:val="16"/>
          <w:szCs w:val="16"/>
        </w:rPr>
        <w:t>18,07 m. p</w:t>
      </w:r>
      <w:r>
        <w:rPr>
          <w:rFonts w:ascii="Times New Roman" w:hAnsi="Times New Roman" w:cs="Times New Roman"/>
          <w:sz w:val="16"/>
          <w:szCs w:val="16"/>
        </w:rPr>
        <w:t>.</w:t>
      </w:r>
    </w:p>
  </w:footnote>
  <w:footnote w:id="161">
    <w:p w14:paraId="38DB3230" w14:textId="1E806776" w:rsidR="00753EA2" w:rsidRPr="00CC0B60" w:rsidRDefault="00753EA2" w:rsidP="003019F5">
      <w:pPr>
        <w:pStyle w:val="a3"/>
        <w:jc w:val="both"/>
        <w:rPr>
          <w:rFonts w:ascii="Times New Roman" w:hAnsi="Times New Roman" w:cs="Times New Roman"/>
          <w:sz w:val="16"/>
          <w:szCs w:val="16"/>
        </w:rPr>
      </w:pPr>
      <w:r w:rsidRPr="00CC0B60">
        <w:rPr>
          <w:rStyle w:val="a5"/>
          <w:rFonts w:ascii="Times New Roman" w:hAnsi="Times New Roman" w:cs="Times New Roman"/>
          <w:sz w:val="16"/>
          <w:szCs w:val="16"/>
        </w:rPr>
        <w:footnoteRef/>
      </w:r>
      <w:r w:rsidRPr="00CC0B60">
        <w:rPr>
          <w:rFonts w:ascii="Times New Roman" w:hAnsi="Times New Roman" w:cs="Times New Roman"/>
          <w:sz w:val="16"/>
          <w:szCs w:val="16"/>
        </w:rPr>
        <w:t xml:space="preserve"> În Darea de seamă persoanele responsabile a</w:t>
      </w:r>
      <w:r>
        <w:rPr>
          <w:rFonts w:ascii="Times New Roman" w:hAnsi="Times New Roman" w:cs="Times New Roman"/>
          <w:sz w:val="16"/>
          <w:szCs w:val="16"/>
        </w:rPr>
        <w:t>le</w:t>
      </w:r>
      <w:r w:rsidRPr="00CC0B60">
        <w:rPr>
          <w:rFonts w:ascii="Times New Roman" w:hAnsi="Times New Roman" w:cs="Times New Roman"/>
          <w:sz w:val="16"/>
          <w:szCs w:val="16"/>
        </w:rPr>
        <w:t xml:space="preserve"> DGACG indică că depozitul și șopronul nu s</w:t>
      </w:r>
      <w:r>
        <w:rPr>
          <w:rFonts w:ascii="Times New Roman" w:hAnsi="Times New Roman" w:cs="Times New Roman"/>
          <w:sz w:val="16"/>
          <w:szCs w:val="16"/>
        </w:rPr>
        <w:t>u</w:t>
      </w:r>
      <w:r w:rsidRPr="00CC0B60">
        <w:rPr>
          <w:rFonts w:ascii="Times New Roman" w:hAnsi="Times New Roman" w:cs="Times New Roman"/>
          <w:sz w:val="16"/>
          <w:szCs w:val="16"/>
        </w:rPr>
        <w:t>nt pasibile înregistr</w:t>
      </w:r>
      <w:r>
        <w:rPr>
          <w:rFonts w:ascii="Times New Roman" w:hAnsi="Times New Roman" w:cs="Times New Roman"/>
          <w:sz w:val="16"/>
          <w:szCs w:val="16"/>
        </w:rPr>
        <w:t>ării</w:t>
      </w:r>
      <w:r w:rsidRPr="00CC0B60">
        <w:rPr>
          <w:rFonts w:ascii="Times New Roman" w:hAnsi="Times New Roman" w:cs="Times New Roman"/>
          <w:sz w:val="16"/>
          <w:szCs w:val="16"/>
        </w:rPr>
        <w:t xml:space="preserve"> în RBI și urmează a fi radiate.</w:t>
      </w:r>
    </w:p>
  </w:footnote>
  <w:footnote w:id="162">
    <w:p w14:paraId="4C21246B" w14:textId="11F297D9" w:rsidR="00753EA2" w:rsidRPr="00CC0B60" w:rsidRDefault="00753EA2" w:rsidP="003019F5">
      <w:pPr>
        <w:pStyle w:val="a3"/>
        <w:jc w:val="both"/>
        <w:rPr>
          <w:rFonts w:ascii="Times New Roman" w:hAnsi="Times New Roman" w:cs="Times New Roman"/>
          <w:sz w:val="16"/>
          <w:szCs w:val="16"/>
        </w:rPr>
      </w:pPr>
      <w:r w:rsidRPr="00CC0B60">
        <w:rPr>
          <w:rStyle w:val="a5"/>
          <w:rFonts w:ascii="Times New Roman" w:hAnsi="Times New Roman" w:cs="Times New Roman"/>
          <w:sz w:val="16"/>
          <w:szCs w:val="16"/>
        </w:rPr>
        <w:footnoteRef/>
      </w:r>
      <w:r w:rsidRPr="00CC0B60">
        <w:rPr>
          <w:rFonts w:ascii="Times New Roman" w:hAnsi="Times New Roman" w:cs="Times New Roman"/>
          <w:sz w:val="16"/>
          <w:szCs w:val="16"/>
        </w:rPr>
        <w:t xml:space="preserve"> </w:t>
      </w:r>
      <w:r>
        <w:rPr>
          <w:rFonts w:ascii="Times New Roman" w:hAnsi="Times New Roman" w:cs="Times New Roman"/>
          <w:sz w:val="16"/>
          <w:szCs w:val="16"/>
        </w:rPr>
        <w:t>C</w:t>
      </w:r>
      <w:r w:rsidRPr="00CC0B60">
        <w:rPr>
          <w:rFonts w:ascii="Times New Roman" w:hAnsi="Times New Roman" w:cs="Times New Roman"/>
          <w:sz w:val="16"/>
          <w:szCs w:val="16"/>
        </w:rPr>
        <w:t>ontractul de locațiune nr. 3 din 30.12.2022</w:t>
      </w:r>
      <w:r>
        <w:rPr>
          <w:rFonts w:ascii="Times New Roman" w:hAnsi="Times New Roman" w:cs="Times New Roman"/>
          <w:sz w:val="16"/>
          <w:szCs w:val="16"/>
        </w:rPr>
        <w:t>.</w:t>
      </w:r>
    </w:p>
  </w:footnote>
  <w:footnote w:id="163">
    <w:p w14:paraId="2E7EF391" w14:textId="09B16AD0" w:rsidR="00753EA2" w:rsidRPr="00CC0B60" w:rsidRDefault="00753EA2" w:rsidP="003019F5">
      <w:pPr>
        <w:pStyle w:val="a3"/>
        <w:jc w:val="both"/>
        <w:rPr>
          <w:rFonts w:ascii="Times New Roman" w:hAnsi="Times New Roman" w:cs="Times New Roman"/>
          <w:sz w:val="16"/>
          <w:szCs w:val="16"/>
        </w:rPr>
      </w:pPr>
      <w:r w:rsidRPr="00CC0B60">
        <w:rPr>
          <w:rStyle w:val="a5"/>
          <w:rFonts w:ascii="Times New Roman" w:hAnsi="Times New Roman" w:cs="Times New Roman"/>
          <w:sz w:val="16"/>
          <w:szCs w:val="16"/>
        </w:rPr>
        <w:footnoteRef/>
      </w:r>
      <w:r>
        <w:rPr>
          <w:rFonts w:ascii="Times New Roman" w:hAnsi="Times New Roman" w:cs="Times New Roman"/>
          <w:sz w:val="16"/>
          <w:szCs w:val="16"/>
        </w:rPr>
        <w:t xml:space="preserve"> N</w:t>
      </w:r>
      <w:r w:rsidRPr="00CC0B60">
        <w:rPr>
          <w:rFonts w:ascii="Times New Roman" w:hAnsi="Times New Roman" w:cs="Times New Roman"/>
          <w:sz w:val="16"/>
          <w:szCs w:val="16"/>
        </w:rPr>
        <w:t>r. cadastral 0100519.05.04</w:t>
      </w:r>
      <w:r>
        <w:rPr>
          <w:rFonts w:ascii="Times New Roman" w:hAnsi="Times New Roman" w:cs="Times New Roman"/>
          <w:sz w:val="16"/>
          <w:szCs w:val="16"/>
        </w:rPr>
        <w:t>.</w:t>
      </w:r>
    </w:p>
  </w:footnote>
  <w:footnote w:id="164">
    <w:p w14:paraId="5752BB38" w14:textId="6C6B941F" w:rsidR="00753EA2" w:rsidRPr="00CC0B60" w:rsidRDefault="00753EA2" w:rsidP="003019F5">
      <w:pPr>
        <w:pStyle w:val="a3"/>
        <w:jc w:val="both"/>
        <w:rPr>
          <w:rFonts w:ascii="Times New Roman" w:hAnsi="Times New Roman" w:cs="Times New Roman"/>
          <w:sz w:val="16"/>
          <w:szCs w:val="16"/>
        </w:rPr>
      </w:pPr>
      <w:r w:rsidRPr="00CC0B60">
        <w:rPr>
          <w:rStyle w:val="a5"/>
          <w:rFonts w:ascii="Times New Roman" w:hAnsi="Times New Roman" w:cs="Times New Roman"/>
          <w:sz w:val="16"/>
          <w:szCs w:val="16"/>
        </w:rPr>
        <w:footnoteRef/>
      </w:r>
      <w:r w:rsidRPr="00CC0B60">
        <w:rPr>
          <w:rFonts w:ascii="Times New Roman" w:hAnsi="Times New Roman" w:cs="Times New Roman"/>
          <w:sz w:val="16"/>
          <w:szCs w:val="16"/>
        </w:rPr>
        <w:t xml:space="preserve"> </w:t>
      </w:r>
      <w:r>
        <w:rPr>
          <w:rFonts w:ascii="Times New Roman" w:hAnsi="Times New Roman" w:cs="Times New Roman"/>
          <w:sz w:val="16"/>
          <w:szCs w:val="16"/>
        </w:rPr>
        <w:t>N</w:t>
      </w:r>
      <w:r w:rsidRPr="00CC0B60">
        <w:rPr>
          <w:rFonts w:ascii="Times New Roman" w:hAnsi="Times New Roman" w:cs="Times New Roman"/>
          <w:sz w:val="16"/>
          <w:szCs w:val="16"/>
        </w:rPr>
        <w:t>r. cadastral 0100519197.01</w:t>
      </w:r>
      <w:r>
        <w:rPr>
          <w:rFonts w:ascii="Times New Roman" w:hAnsi="Times New Roman" w:cs="Times New Roman"/>
          <w:sz w:val="16"/>
          <w:szCs w:val="16"/>
        </w:rPr>
        <w:t>.</w:t>
      </w:r>
    </w:p>
  </w:footnote>
  <w:footnote w:id="165">
    <w:p w14:paraId="1BE5405E" w14:textId="3C8F017C" w:rsidR="00753EA2" w:rsidRPr="003019F5" w:rsidRDefault="00753EA2" w:rsidP="003019F5">
      <w:pPr>
        <w:pStyle w:val="a3"/>
        <w:jc w:val="both"/>
        <w:rPr>
          <w:rFonts w:ascii="Times New Roman" w:hAnsi="Times New Roman" w:cs="Times New Roman"/>
          <w:sz w:val="16"/>
          <w:szCs w:val="16"/>
        </w:rPr>
      </w:pPr>
      <w:r w:rsidRPr="003019F5">
        <w:rPr>
          <w:rStyle w:val="a5"/>
          <w:rFonts w:ascii="Times New Roman" w:hAnsi="Times New Roman" w:cs="Times New Roman"/>
          <w:sz w:val="16"/>
          <w:szCs w:val="16"/>
        </w:rPr>
        <w:footnoteRef/>
      </w:r>
      <w:r w:rsidRPr="003019F5">
        <w:rPr>
          <w:rFonts w:ascii="Times New Roman" w:hAnsi="Times New Roman" w:cs="Times New Roman"/>
          <w:sz w:val="16"/>
          <w:szCs w:val="16"/>
        </w:rPr>
        <w:t xml:space="preserve"> Încăperea cu suprafața de 640,0 m.p. fiind înregistrată atât după </w:t>
      </w:r>
      <w:r w:rsidRPr="003019F5">
        <w:rPr>
          <w:rStyle w:val="a9"/>
          <w:rFonts w:ascii="Times New Roman" w:hAnsi="Times New Roman" w:cs="Times New Roman"/>
          <w:b w:val="0"/>
          <w:sz w:val="16"/>
          <w:szCs w:val="16"/>
          <w:shd w:val="clear" w:color="auto" w:fill="FFFFFF"/>
        </w:rPr>
        <w:t xml:space="preserve">DGACG din 30.09.2003, cât și la </w:t>
      </w:r>
      <w:r w:rsidRPr="003019F5">
        <w:rPr>
          <w:rStyle w:val="a9"/>
          <w:rFonts w:ascii="Times New Roman" w:hAnsi="Times New Roman" w:cs="Times New Roman"/>
          <w:sz w:val="16"/>
          <w:szCs w:val="16"/>
          <w:shd w:val="clear" w:color="auto" w:fill="FFFFFF"/>
        </w:rPr>
        <w:t>„</w:t>
      </w:r>
      <w:r w:rsidRPr="003019F5">
        <w:rPr>
          <w:rFonts w:ascii="Times New Roman" w:hAnsi="Times New Roman" w:cs="Times New Roman"/>
          <w:bCs/>
          <w:sz w:val="16"/>
          <w:szCs w:val="16"/>
          <w:shd w:val="clear" w:color="auto" w:fill="FFFFFF"/>
        </w:rPr>
        <w:t xml:space="preserve">Industrial-proiect” Î.S din 15.05.2003, cu nr. cadastral 0100212002.01.008, cu suprafața de 642,1 m.p. sunt înregistrate după Institutul național de ecologie al Republicii Moldova din 23.07.2003 și după </w:t>
      </w:r>
      <w:r>
        <w:rPr>
          <w:rFonts w:ascii="Times New Roman" w:hAnsi="Times New Roman" w:cs="Times New Roman"/>
          <w:bCs/>
          <w:sz w:val="16"/>
          <w:szCs w:val="16"/>
          <w:shd w:val="clear" w:color="auto" w:fill="FFFFFF"/>
        </w:rPr>
        <w:t>DGACG</w:t>
      </w:r>
      <w:r w:rsidRPr="003019F5">
        <w:rPr>
          <w:rFonts w:ascii="Times New Roman" w:hAnsi="Times New Roman" w:cs="Times New Roman"/>
          <w:bCs/>
          <w:sz w:val="16"/>
          <w:szCs w:val="16"/>
          <w:shd w:val="clear" w:color="auto" w:fill="FFFFFF"/>
        </w:rPr>
        <w:t xml:space="preserve"> din 30.09.2005..</w:t>
      </w:r>
    </w:p>
  </w:footnote>
  <w:footnote w:id="166">
    <w:p w14:paraId="349C1EB5" w14:textId="4D55F6F6" w:rsidR="00753EA2" w:rsidRPr="003019F5" w:rsidRDefault="00753EA2" w:rsidP="003019F5">
      <w:pPr>
        <w:pStyle w:val="a3"/>
        <w:jc w:val="both"/>
        <w:rPr>
          <w:rFonts w:ascii="Times New Roman" w:hAnsi="Times New Roman" w:cs="Times New Roman"/>
          <w:sz w:val="16"/>
          <w:szCs w:val="16"/>
        </w:rPr>
      </w:pPr>
      <w:r w:rsidRPr="003019F5">
        <w:rPr>
          <w:rStyle w:val="a5"/>
          <w:rFonts w:ascii="Times New Roman" w:hAnsi="Times New Roman" w:cs="Times New Roman"/>
          <w:sz w:val="16"/>
          <w:szCs w:val="16"/>
        </w:rPr>
        <w:footnoteRef/>
      </w:r>
      <w:r>
        <w:rPr>
          <w:rFonts w:ascii="Times New Roman" w:hAnsi="Times New Roman" w:cs="Times New Roman"/>
          <w:sz w:val="16"/>
          <w:szCs w:val="16"/>
        </w:rPr>
        <w:t xml:space="preserve"> </w:t>
      </w:r>
      <w:r w:rsidRPr="003019F5">
        <w:rPr>
          <w:rFonts w:ascii="Times New Roman" w:hAnsi="Times New Roman" w:cs="Times New Roman"/>
          <w:sz w:val="16"/>
          <w:szCs w:val="16"/>
        </w:rPr>
        <w:t>Construcție (Garaj (clădirea autocoloanei</w:t>
      </w:r>
      <w:r>
        <w:rPr>
          <w:rFonts w:ascii="Times New Roman" w:hAnsi="Times New Roman" w:cs="Times New Roman"/>
          <w:sz w:val="16"/>
          <w:szCs w:val="16"/>
        </w:rPr>
        <w:t>)</w:t>
      </w:r>
      <w:r w:rsidRPr="003019F5">
        <w:rPr>
          <w:rFonts w:ascii="Times New Roman" w:hAnsi="Times New Roman" w:cs="Times New Roman"/>
          <w:sz w:val="16"/>
          <w:szCs w:val="16"/>
        </w:rPr>
        <w:t>), nr. cadastral 0100202.429.07 cu suprafața de 1.001,7 m.p.; construcție (zona de reparație (PDT Autocolo</w:t>
      </w:r>
      <w:r>
        <w:rPr>
          <w:rFonts w:ascii="Times New Roman" w:hAnsi="Times New Roman" w:cs="Times New Roman"/>
          <w:sz w:val="16"/>
          <w:szCs w:val="16"/>
        </w:rPr>
        <w:t>a</w:t>
      </w:r>
      <w:r w:rsidRPr="003019F5">
        <w:rPr>
          <w:rFonts w:ascii="Times New Roman" w:hAnsi="Times New Roman" w:cs="Times New Roman"/>
          <w:sz w:val="16"/>
          <w:szCs w:val="16"/>
        </w:rPr>
        <w:t>n</w:t>
      </w:r>
      <w:r>
        <w:rPr>
          <w:rFonts w:ascii="Times New Roman" w:hAnsi="Times New Roman" w:cs="Times New Roman"/>
          <w:sz w:val="16"/>
          <w:szCs w:val="16"/>
        </w:rPr>
        <w:t>a</w:t>
      </w:r>
      <w:r w:rsidRPr="003019F5">
        <w:rPr>
          <w:rFonts w:ascii="Times New Roman" w:hAnsi="Times New Roman" w:cs="Times New Roman"/>
          <w:sz w:val="16"/>
          <w:szCs w:val="16"/>
        </w:rPr>
        <w:t>), nr. cadastral 0100202.429.02, cu suprafața de 318,2 m.p.; construcție (Punct de trecere), număr cadastral 0100202.429.05, cu suprafața de 14,8 m.</w:t>
      </w:r>
      <w:r>
        <w:rPr>
          <w:rFonts w:ascii="Times New Roman" w:hAnsi="Times New Roman" w:cs="Times New Roman"/>
          <w:sz w:val="16"/>
          <w:szCs w:val="16"/>
        </w:rPr>
        <w:t>p. și boxe. Valoarea inițială a imobilelor nominalizate constituind 3.186.7 mii lei.</w:t>
      </w:r>
    </w:p>
  </w:footnote>
  <w:footnote w:id="167">
    <w:p w14:paraId="6452C464" w14:textId="6C9328E9" w:rsidR="00753EA2" w:rsidRPr="003019F5" w:rsidRDefault="00753EA2" w:rsidP="003019F5">
      <w:pPr>
        <w:pStyle w:val="a3"/>
        <w:jc w:val="both"/>
        <w:rPr>
          <w:rFonts w:ascii="Times New Roman" w:hAnsi="Times New Roman" w:cs="Times New Roman"/>
          <w:sz w:val="16"/>
          <w:szCs w:val="16"/>
        </w:rPr>
      </w:pPr>
      <w:r w:rsidRPr="003019F5">
        <w:rPr>
          <w:rStyle w:val="a5"/>
          <w:rFonts w:ascii="Times New Roman" w:hAnsi="Times New Roman" w:cs="Times New Roman"/>
          <w:sz w:val="16"/>
          <w:szCs w:val="16"/>
        </w:rPr>
        <w:footnoteRef/>
      </w:r>
      <w:r w:rsidRPr="003019F5">
        <w:rPr>
          <w:rFonts w:ascii="Times New Roman" w:hAnsi="Times New Roman" w:cs="Times New Roman"/>
          <w:sz w:val="16"/>
          <w:szCs w:val="16"/>
        </w:rPr>
        <w:t xml:space="preserve"> HG nr. 520 din 15.07.2010 „Cu privire la organizarea și funcționarea Instituției Publice „Pensiunea din Holercani”.</w:t>
      </w:r>
    </w:p>
  </w:footnote>
  <w:footnote w:id="168">
    <w:p w14:paraId="56452AD6" w14:textId="5492FB86" w:rsidR="00753EA2" w:rsidRPr="003019F5" w:rsidRDefault="00753EA2" w:rsidP="003019F5">
      <w:pPr>
        <w:pStyle w:val="a3"/>
        <w:jc w:val="both"/>
        <w:rPr>
          <w:rFonts w:ascii="Times New Roman" w:hAnsi="Times New Roman" w:cs="Times New Roman"/>
          <w:sz w:val="16"/>
          <w:szCs w:val="16"/>
        </w:rPr>
      </w:pPr>
      <w:r w:rsidRPr="003019F5">
        <w:rPr>
          <w:rStyle w:val="a5"/>
          <w:rFonts w:ascii="Times New Roman" w:hAnsi="Times New Roman" w:cs="Times New Roman"/>
          <w:sz w:val="16"/>
          <w:szCs w:val="16"/>
        </w:rPr>
        <w:footnoteRef/>
      </w:r>
      <w:r w:rsidRPr="003019F5">
        <w:rPr>
          <w:rFonts w:ascii="Times New Roman" w:hAnsi="Times New Roman" w:cs="Times New Roman"/>
          <w:sz w:val="16"/>
          <w:szCs w:val="16"/>
        </w:rPr>
        <w:t xml:space="preserve"> Art. 14 alin. (3) și art. 24 alin. (3) lit.</w:t>
      </w:r>
      <w:r>
        <w:rPr>
          <w:rFonts w:ascii="Times New Roman" w:hAnsi="Times New Roman" w:cs="Times New Roman"/>
          <w:sz w:val="16"/>
          <w:szCs w:val="16"/>
        </w:rPr>
        <w:t xml:space="preserve"> </w:t>
      </w:r>
      <w:r w:rsidRPr="003019F5">
        <w:rPr>
          <w:rFonts w:ascii="Times New Roman" w:hAnsi="Times New Roman" w:cs="Times New Roman"/>
          <w:sz w:val="16"/>
          <w:szCs w:val="16"/>
        </w:rPr>
        <w:t>a) din Legea cadastrului bunurilor imobile nr.1543 din 25.02.1998.</w:t>
      </w:r>
    </w:p>
  </w:footnote>
  <w:footnote w:id="169">
    <w:p w14:paraId="36892CE8" w14:textId="77777777" w:rsidR="00753EA2" w:rsidRPr="003019F5" w:rsidRDefault="00753EA2" w:rsidP="003019F5">
      <w:pPr>
        <w:pStyle w:val="a3"/>
        <w:jc w:val="both"/>
        <w:rPr>
          <w:rFonts w:ascii="Times New Roman" w:hAnsi="Times New Roman" w:cs="Times New Roman"/>
          <w:sz w:val="16"/>
          <w:szCs w:val="16"/>
        </w:rPr>
      </w:pPr>
      <w:r w:rsidRPr="003019F5">
        <w:rPr>
          <w:rStyle w:val="a5"/>
          <w:rFonts w:ascii="Times New Roman" w:hAnsi="Times New Roman" w:cs="Times New Roman"/>
          <w:sz w:val="16"/>
          <w:szCs w:val="16"/>
        </w:rPr>
        <w:footnoteRef/>
      </w:r>
      <w:r w:rsidRPr="003019F5">
        <w:rPr>
          <w:rFonts w:ascii="Times New Roman" w:hAnsi="Times New Roman" w:cs="Times New Roman"/>
          <w:sz w:val="16"/>
          <w:szCs w:val="16"/>
        </w:rPr>
        <w:t xml:space="preserve"> Doar înscrierile privind dreptul asupra bunului imobil cu nr. cadastral 3844102.034.02 au fost asigurate conform.</w:t>
      </w:r>
    </w:p>
  </w:footnote>
  <w:footnote w:id="170">
    <w:p w14:paraId="718C8FA1" w14:textId="705CADC2" w:rsidR="00753EA2" w:rsidRPr="00CC0B60" w:rsidRDefault="00753EA2" w:rsidP="003019F5">
      <w:pPr>
        <w:pStyle w:val="a3"/>
        <w:jc w:val="both"/>
        <w:rPr>
          <w:rFonts w:ascii="Times New Roman" w:hAnsi="Times New Roman" w:cs="Times New Roman"/>
          <w:sz w:val="16"/>
          <w:szCs w:val="16"/>
        </w:rPr>
      </w:pPr>
      <w:r w:rsidRPr="00CC0B60">
        <w:rPr>
          <w:rStyle w:val="a5"/>
          <w:rFonts w:ascii="Times New Roman" w:hAnsi="Times New Roman" w:cs="Times New Roman"/>
          <w:sz w:val="16"/>
          <w:szCs w:val="16"/>
        </w:rPr>
        <w:footnoteRef/>
      </w:r>
      <w:r w:rsidRPr="00CC0B60">
        <w:rPr>
          <w:rFonts w:ascii="Times New Roman" w:hAnsi="Times New Roman" w:cs="Times New Roman"/>
          <w:sz w:val="16"/>
          <w:szCs w:val="16"/>
        </w:rPr>
        <w:t xml:space="preserve"> HG nr. 100 din 30.01 2006 </w:t>
      </w:r>
      <w:r>
        <w:rPr>
          <w:rFonts w:ascii="Times New Roman" w:hAnsi="Times New Roman" w:cs="Times New Roman"/>
          <w:sz w:val="16"/>
          <w:szCs w:val="16"/>
        </w:rPr>
        <w:t>„C</w:t>
      </w:r>
      <w:r w:rsidRPr="00CC0B60">
        <w:rPr>
          <w:rFonts w:ascii="Times New Roman" w:hAnsi="Times New Roman" w:cs="Times New Roman"/>
          <w:sz w:val="16"/>
          <w:szCs w:val="16"/>
        </w:rPr>
        <w:t>u privire la transmiterea unei clădiri</w:t>
      </w:r>
      <w:r>
        <w:rPr>
          <w:rFonts w:ascii="Times New Roman" w:hAnsi="Times New Roman" w:cs="Times New Roman"/>
          <w:sz w:val="16"/>
          <w:szCs w:val="16"/>
        </w:rPr>
        <w:t>”</w:t>
      </w:r>
      <w:r w:rsidRPr="00CC0B60">
        <w:rPr>
          <w:rFonts w:ascii="Times New Roman" w:hAnsi="Times New Roman" w:cs="Times New Roman"/>
          <w:sz w:val="16"/>
          <w:szCs w:val="16"/>
        </w:rPr>
        <w:t>.</w:t>
      </w:r>
    </w:p>
  </w:footnote>
  <w:footnote w:id="171">
    <w:p w14:paraId="386F03F5" w14:textId="6CC3E48C" w:rsidR="00753EA2" w:rsidRPr="00CC0B60" w:rsidRDefault="00753EA2" w:rsidP="003019F5">
      <w:pPr>
        <w:pStyle w:val="a3"/>
        <w:jc w:val="both"/>
        <w:rPr>
          <w:rFonts w:ascii="Times New Roman" w:hAnsi="Times New Roman" w:cs="Times New Roman"/>
          <w:sz w:val="16"/>
          <w:szCs w:val="16"/>
        </w:rPr>
      </w:pPr>
      <w:r w:rsidRPr="00CC0B60">
        <w:rPr>
          <w:rStyle w:val="a5"/>
          <w:rFonts w:ascii="Times New Roman" w:hAnsi="Times New Roman" w:cs="Times New Roman"/>
          <w:sz w:val="16"/>
          <w:szCs w:val="16"/>
        </w:rPr>
        <w:footnoteRef/>
      </w:r>
      <w:r w:rsidRPr="00CC0B60">
        <w:rPr>
          <w:rFonts w:ascii="Times New Roman" w:hAnsi="Times New Roman" w:cs="Times New Roman"/>
          <w:sz w:val="16"/>
          <w:szCs w:val="16"/>
        </w:rPr>
        <w:t xml:space="preserve"> Pct</w:t>
      </w:r>
      <w:r>
        <w:rPr>
          <w:rFonts w:ascii="Times New Roman" w:hAnsi="Times New Roman" w:cs="Times New Roman"/>
          <w:sz w:val="16"/>
          <w:szCs w:val="16"/>
        </w:rPr>
        <w:t>.</w:t>
      </w:r>
      <w:r w:rsidRPr="00CC0B60">
        <w:rPr>
          <w:rFonts w:ascii="Times New Roman" w:hAnsi="Times New Roman" w:cs="Times New Roman"/>
          <w:sz w:val="16"/>
          <w:szCs w:val="16"/>
        </w:rPr>
        <w:t xml:space="preserve"> 29 din </w:t>
      </w:r>
      <w:r w:rsidRPr="00CC0B60">
        <w:rPr>
          <w:rFonts w:ascii="Times New Roman" w:hAnsi="Times New Roman" w:cs="Times New Roman"/>
          <w:sz w:val="16"/>
          <w:szCs w:val="16"/>
          <w:lang w:val="ro-RO"/>
        </w:rPr>
        <w:t>Regulamentul cu privire la modul de transmitere a bunurilor proprietate publică</w:t>
      </w:r>
      <w:r>
        <w:rPr>
          <w:rFonts w:ascii="Times New Roman" w:hAnsi="Times New Roman" w:cs="Times New Roman"/>
          <w:sz w:val="16"/>
          <w:szCs w:val="16"/>
          <w:lang w:val="ro-RO"/>
        </w:rPr>
        <w:t>,</w:t>
      </w:r>
      <w:r w:rsidRPr="00CC0B60">
        <w:rPr>
          <w:rFonts w:ascii="Times New Roman" w:hAnsi="Times New Roman" w:cs="Times New Roman"/>
          <w:sz w:val="16"/>
          <w:szCs w:val="16"/>
          <w:lang w:val="ro-RO"/>
        </w:rPr>
        <w:t xml:space="preserve"> aprobat prin H</w:t>
      </w:r>
      <w:r>
        <w:rPr>
          <w:rFonts w:ascii="Times New Roman" w:hAnsi="Times New Roman" w:cs="Times New Roman"/>
          <w:sz w:val="16"/>
          <w:szCs w:val="16"/>
          <w:lang w:val="ro-RO"/>
        </w:rPr>
        <w:t>G</w:t>
      </w:r>
      <w:r w:rsidRPr="00CC0B60">
        <w:rPr>
          <w:rFonts w:ascii="Times New Roman" w:hAnsi="Times New Roman" w:cs="Times New Roman"/>
          <w:sz w:val="16"/>
          <w:szCs w:val="16"/>
          <w:lang w:val="ro-RO"/>
        </w:rPr>
        <w:t xml:space="preserve"> nr</w:t>
      </w:r>
      <w:r>
        <w:rPr>
          <w:rFonts w:ascii="Times New Roman" w:hAnsi="Times New Roman" w:cs="Times New Roman"/>
          <w:sz w:val="16"/>
          <w:szCs w:val="16"/>
          <w:lang w:val="ro-RO"/>
        </w:rPr>
        <w:t>.</w:t>
      </w:r>
      <w:r w:rsidRPr="00CC0B60">
        <w:rPr>
          <w:rFonts w:ascii="Times New Roman" w:hAnsi="Times New Roman" w:cs="Times New Roman"/>
          <w:sz w:val="16"/>
          <w:szCs w:val="16"/>
          <w:lang w:val="ro-RO"/>
        </w:rPr>
        <w:t xml:space="preserve"> 901 din 31.12.2015</w:t>
      </w:r>
      <w:r>
        <w:rPr>
          <w:rFonts w:ascii="Times New Roman" w:hAnsi="Times New Roman" w:cs="Times New Roman"/>
          <w:sz w:val="16"/>
          <w:szCs w:val="16"/>
          <w:lang w:val="ro-RO"/>
        </w:rPr>
        <w:t>.</w:t>
      </w:r>
    </w:p>
  </w:footnote>
  <w:footnote w:id="172">
    <w:p w14:paraId="15F79A35" w14:textId="6C1658BC" w:rsidR="00753EA2" w:rsidRPr="00333ED6" w:rsidRDefault="00753EA2" w:rsidP="003019F5">
      <w:pPr>
        <w:pStyle w:val="a3"/>
        <w:jc w:val="both"/>
        <w:rPr>
          <w:rFonts w:cstheme="minorHAnsi"/>
          <w:sz w:val="16"/>
          <w:szCs w:val="16"/>
        </w:rPr>
      </w:pPr>
      <w:r w:rsidRPr="00CC0B60">
        <w:rPr>
          <w:rStyle w:val="a5"/>
          <w:rFonts w:ascii="Times New Roman" w:hAnsi="Times New Roman" w:cs="Times New Roman"/>
          <w:sz w:val="16"/>
          <w:szCs w:val="16"/>
        </w:rPr>
        <w:footnoteRef/>
      </w:r>
      <w:r w:rsidRPr="00CC0B60">
        <w:rPr>
          <w:rFonts w:ascii="Times New Roman" w:hAnsi="Times New Roman" w:cs="Times New Roman"/>
          <w:sz w:val="16"/>
          <w:szCs w:val="16"/>
        </w:rPr>
        <w:t xml:space="preserve"> H</w:t>
      </w:r>
      <w:r>
        <w:rPr>
          <w:rFonts w:ascii="Times New Roman" w:hAnsi="Times New Roman" w:cs="Times New Roman"/>
          <w:sz w:val="16"/>
          <w:szCs w:val="16"/>
        </w:rPr>
        <w:t>G</w:t>
      </w:r>
      <w:r w:rsidRPr="00CC0B60">
        <w:rPr>
          <w:rFonts w:ascii="Times New Roman" w:hAnsi="Times New Roman" w:cs="Times New Roman"/>
          <w:sz w:val="16"/>
          <w:szCs w:val="16"/>
        </w:rPr>
        <w:t xml:space="preserve"> nr.161 din 07.03.2019 </w:t>
      </w:r>
      <w:r>
        <w:rPr>
          <w:rFonts w:ascii="Times New Roman" w:hAnsi="Times New Roman" w:cs="Times New Roman"/>
          <w:sz w:val="16"/>
          <w:szCs w:val="16"/>
        </w:rPr>
        <w:t>„C</w:t>
      </w:r>
      <w:r w:rsidRPr="00CC0B60">
        <w:rPr>
          <w:rFonts w:ascii="Times New Roman" w:hAnsi="Times New Roman" w:cs="Times New Roman"/>
          <w:sz w:val="16"/>
          <w:szCs w:val="16"/>
        </w:rPr>
        <w:t>u privire la aprobarea listei terenurilor proprietate publică a statului din administrarea Agenției Proprietății Publice</w:t>
      </w:r>
      <w:r>
        <w:rPr>
          <w:rFonts w:ascii="Times New Roman" w:hAnsi="Times New Roman" w:cs="Times New Roman"/>
          <w:sz w:val="16"/>
          <w:szCs w:val="16"/>
        </w:rPr>
        <w:t>”;</w:t>
      </w:r>
      <w:r w:rsidRPr="00CC0B60">
        <w:rPr>
          <w:rFonts w:ascii="Times New Roman" w:hAnsi="Times New Roman" w:cs="Times New Roman"/>
          <w:sz w:val="16"/>
          <w:szCs w:val="16"/>
        </w:rPr>
        <w:t xml:space="preserve"> Regulamentul cu privire la modul de transmitere a bunurilor proprietate publică, aprobat prin H</w:t>
      </w:r>
      <w:r>
        <w:rPr>
          <w:rFonts w:ascii="Times New Roman" w:hAnsi="Times New Roman" w:cs="Times New Roman"/>
          <w:sz w:val="16"/>
          <w:szCs w:val="16"/>
        </w:rPr>
        <w:t>G</w:t>
      </w:r>
      <w:r w:rsidRPr="00CC0B60">
        <w:rPr>
          <w:rFonts w:ascii="Times New Roman" w:hAnsi="Times New Roman" w:cs="Times New Roman"/>
          <w:sz w:val="16"/>
          <w:szCs w:val="16"/>
        </w:rPr>
        <w:t xml:space="preserve"> nr.901 din 31.12.2015.</w:t>
      </w:r>
    </w:p>
  </w:footnote>
  <w:footnote w:id="173">
    <w:p w14:paraId="56E3B2AD" w14:textId="30571D62" w:rsidR="00753EA2" w:rsidRPr="00CC0B60" w:rsidRDefault="00753EA2" w:rsidP="003019F5">
      <w:pPr>
        <w:pStyle w:val="a3"/>
        <w:jc w:val="both"/>
        <w:rPr>
          <w:rFonts w:ascii="Times New Roman" w:hAnsi="Times New Roman" w:cs="Times New Roman"/>
          <w:sz w:val="16"/>
          <w:szCs w:val="16"/>
        </w:rPr>
      </w:pPr>
      <w:r w:rsidRPr="00CC0B60">
        <w:rPr>
          <w:rStyle w:val="a5"/>
          <w:rFonts w:ascii="Times New Roman" w:hAnsi="Times New Roman" w:cs="Times New Roman"/>
          <w:sz w:val="16"/>
          <w:szCs w:val="16"/>
        </w:rPr>
        <w:footnoteRef/>
      </w:r>
      <w:r w:rsidRPr="00CC0B60">
        <w:rPr>
          <w:rFonts w:ascii="Times New Roman" w:hAnsi="Times New Roman" w:cs="Times New Roman"/>
          <w:sz w:val="16"/>
          <w:szCs w:val="16"/>
        </w:rPr>
        <w:t xml:space="preserve"> </w:t>
      </w:r>
      <w:r>
        <w:rPr>
          <w:rFonts w:ascii="Times New Roman" w:hAnsi="Times New Roman" w:cs="Times New Roman"/>
          <w:sz w:val="16"/>
          <w:szCs w:val="16"/>
        </w:rPr>
        <w:t>N</w:t>
      </w:r>
      <w:r w:rsidRPr="00CC0B60">
        <w:rPr>
          <w:rFonts w:ascii="Times New Roman" w:hAnsi="Times New Roman" w:cs="Times New Roman"/>
          <w:sz w:val="16"/>
          <w:szCs w:val="16"/>
        </w:rPr>
        <w:t>r</w:t>
      </w:r>
      <w:r>
        <w:rPr>
          <w:rFonts w:ascii="Times New Roman" w:hAnsi="Times New Roman" w:cs="Times New Roman"/>
          <w:sz w:val="16"/>
          <w:szCs w:val="16"/>
        </w:rPr>
        <w:t>.</w:t>
      </w:r>
      <w:r w:rsidRPr="00CC0B60">
        <w:rPr>
          <w:rFonts w:ascii="Times New Roman" w:hAnsi="Times New Roman" w:cs="Times New Roman"/>
          <w:sz w:val="16"/>
          <w:szCs w:val="16"/>
        </w:rPr>
        <w:t xml:space="preserve"> cadast</w:t>
      </w:r>
      <w:r>
        <w:rPr>
          <w:rFonts w:ascii="Times New Roman" w:hAnsi="Times New Roman" w:cs="Times New Roman"/>
          <w:sz w:val="16"/>
          <w:szCs w:val="16"/>
        </w:rPr>
        <w:t>r</w:t>
      </w:r>
      <w:r w:rsidRPr="00CC0B60">
        <w:rPr>
          <w:rFonts w:ascii="Times New Roman" w:hAnsi="Times New Roman" w:cs="Times New Roman"/>
          <w:sz w:val="16"/>
          <w:szCs w:val="16"/>
        </w:rPr>
        <w:t>al 0100521.005</w:t>
      </w:r>
      <w:r>
        <w:rPr>
          <w:rFonts w:ascii="Times New Roman" w:hAnsi="Times New Roman" w:cs="Times New Roman"/>
          <w:sz w:val="16"/>
          <w:szCs w:val="16"/>
        </w:rPr>
        <w:t>.</w:t>
      </w:r>
    </w:p>
  </w:footnote>
  <w:footnote w:id="174">
    <w:p w14:paraId="784A855D" w14:textId="17F621E7" w:rsidR="00753EA2" w:rsidRPr="00CC0B60" w:rsidRDefault="00753EA2" w:rsidP="003019F5">
      <w:pPr>
        <w:pStyle w:val="a3"/>
        <w:jc w:val="both"/>
        <w:rPr>
          <w:rFonts w:ascii="Times New Roman" w:hAnsi="Times New Roman" w:cs="Times New Roman"/>
          <w:sz w:val="16"/>
          <w:szCs w:val="16"/>
        </w:rPr>
      </w:pPr>
      <w:r w:rsidRPr="00CC0B60">
        <w:rPr>
          <w:rStyle w:val="a5"/>
          <w:rFonts w:ascii="Times New Roman" w:hAnsi="Times New Roman" w:cs="Times New Roman"/>
          <w:sz w:val="16"/>
          <w:szCs w:val="16"/>
        </w:rPr>
        <w:footnoteRef/>
      </w:r>
      <w:r>
        <w:rPr>
          <w:rFonts w:ascii="Times New Roman" w:hAnsi="Times New Roman" w:cs="Times New Roman"/>
          <w:sz w:val="16"/>
          <w:szCs w:val="16"/>
        </w:rPr>
        <w:t xml:space="preserve"> </w:t>
      </w:r>
      <w:r w:rsidRPr="00CC0B60">
        <w:rPr>
          <w:rFonts w:ascii="Times New Roman" w:hAnsi="Times New Roman" w:cs="Times New Roman"/>
          <w:sz w:val="16"/>
          <w:szCs w:val="16"/>
        </w:rPr>
        <w:t>Titlul de autentificare a dreptului deținătorului de teren din 06.05.1999</w:t>
      </w:r>
      <w:r>
        <w:rPr>
          <w:rFonts w:ascii="Times New Roman" w:hAnsi="Times New Roman" w:cs="Times New Roman"/>
          <w:sz w:val="16"/>
          <w:szCs w:val="16"/>
        </w:rPr>
        <w:t xml:space="preserve"> </w:t>
      </w:r>
      <w:r w:rsidRPr="00CC0B60">
        <w:rPr>
          <w:rFonts w:ascii="Times New Roman" w:hAnsi="Times New Roman" w:cs="Times New Roman"/>
          <w:sz w:val="16"/>
          <w:szCs w:val="16"/>
        </w:rPr>
        <w:t>(50550/99</w:t>
      </w:r>
      <w:r>
        <w:rPr>
          <w:rFonts w:ascii="Times New Roman" w:hAnsi="Times New Roman" w:cs="Times New Roman"/>
          <w:sz w:val="16"/>
          <w:szCs w:val="16"/>
        </w:rPr>
        <w:t>).</w:t>
      </w:r>
    </w:p>
  </w:footnote>
  <w:footnote w:id="175">
    <w:p w14:paraId="5DEB3DEA" w14:textId="50F6AAFA" w:rsidR="00753EA2" w:rsidRPr="00CC0B60" w:rsidRDefault="00753EA2" w:rsidP="003019F5">
      <w:pPr>
        <w:pStyle w:val="a3"/>
        <w:jc w:val="both"/>
        <w:rPr>
          <w:rFonts w:ascii="Times New Roman" w:hAnsi="Times New Roman" w:cs="Times New Roman"/>
          <w:sz w:val="16"/>
          <w:szCs w:val="16"/>
        </w:rPr>
      </w:pPr>
      <w:r w:rsidRPr="00CC0B60">
        <w:rPr>
          <w:rStyle w:val="a5"/>
          <w:rFonts w:ascii="Times New Roman" w:hAnsi="Times New Roman" w:cs="Times New Roman"/>
          <w:sz w:val="16"/>
          <w:szCs w:val="16"/>
        </w:rPr>
        <w:footnoteRef/>
      </w:r>
      <w:r w:rsidRPr="00CC0B60">
        <w:rPr>
          <w:rFonts w:ascii="Times New Roman" w:hAnsi="Times New Roman" w:cs="Times New Roman"/>
          <w:sz w:val="16"/>
          <w:szCs w:val="16"/>
        </w:rPr>
        <w:t xml:space="preserve"> Pct</w:t>
      </w:r>
      <w:r>
        <w:rPr>
          <w:rFonts w:ascii="Times New Roman" w:hAnsi="Times New Roman" w:cs="Times New Roman"/>
          <w:sz w:val="16"/>
          <w:szCs w:val="16"/>
        </w:rPr>
        <w:t>.</w:t>
      </w:r>
      <w:r w:rsidRPr="00CC0B60">
        <w:rPr>
          <w:rFonts w:ascii="Times New Roman" w:hAnsi="Times New Roman" w:cs="Times New Roman"/>
          <w:sz w:val="16"/>
          <w:szCs w:val="16"/>
        </w:rPr>
        <w:t xml:space="preserve"> </w:t>
      </w:r>
      <w:r w:rsidRPr="00CC0B60">
        <w:rPr>
          <w:rFonts w:ascii="Times New Roman" w:hAnsi="Times New Roman" w:cs="Times New Roman"/>
          <w:bCs/>
          <w:sz w:val="16"/>
          <w:szCs w:val="16"/>
          <w:lang w:val="it-IT"/>
        </w:rPr>
        <w:t>3.3.7. și pct</w:t>
      </w:r>
      <w:r>
        <w:rPr>
          <w:rFonts w:ascii="Times New Roman" w:hAnsi="Times New Roman" w:cs="Times New Roman"/>
          <w:bCs/>
          <w:sz w:val="16"/>
          <w:szCs w:val="16"/>
          <w:lang w:val="it-IT"/>
        </w:rPr>
        <w:t>.</w:t>
      </w:r>
      <w:r w:rsidRPr="00CC0B60">
        <w:rPr>
          <w:rFonts w:ascii="Times New Roman" w:hAnsi="Times New Roman" w:cs="Times New Roman"/>
          <w:bCs/>
          <w:sz w:val="16"/>
          <w:szCs w:val="16"/>
          <w:lang w:val="it-IT"/>
        </w:rPr>
        <w:t xml:space="preserve"> </w:t>
      </w:r>
      <w:r w:rsidRPr="00CC0B60">
        <w:rPr>
          <w:rFonts w:ascii="Times New Roman" w:hAnsi="Times New Roman" w:cs="Times New Roman"/>
          <w:bCs/>
          <w:sz w:val="16"/>
          <w:szCs w:val="16"/>
          <w:lang w:val="pt-BR"/>
        </w:rPr>
        <w:t xml:space="preserve">3.3.56 </w:t>
      </w:r>
      <w:r w:rsidRPr="00CC0B60">
        <w:rPr>
          <w:rFonts w:ascii="Times New Roman" w:hAnsi="Times New Roman" w:cs="Times New Roman"/>
          <w:bCs/>
          <w:sz w:val="16"/>
          <w:szCs w:val="16"/>
          <w:lang w:val="it-IT"/>
        </w:rPr>
        <w:t>din Ordinul MF nr.216/2015.</w:t>
      </w:r>
      <w:r>
        <w:rPr>
          <w:rFonts w:ascii="Times New Roman" w:hAnsi="Times New Roman" w:cs="Times New Roman"/>
          <w:b/>
          <w:bCs/>
          <w:sz w:val="16"/>
          <w:szCs w:val="16"/>
          <w:lang w:val="it-IT"/>
        </w:rPr>
        <w:t xml:space="preserve"> </w:t>
      </w:r>
    </w:p>
  </w:footnote>
  <w:footnote w:id="176">
    <w:p w14:paraId="24B32109" w14:textId="38932ED7" w:rsidR="00753EA2" w:rsidRPr="00AE3498" w:rsidRDefault="00753EA2" w:rsidP="003019F5">
      <w:pPr>
        <w:pStyle w:val="a3"/>
        <w:jc w:val="both"/>
        <w:rPr>
          <w:sz w:val="16"/>
          <w:szCs w:val="16"/>
        </w:rPr>
      </w:pPr>
      <w:r w:rsidRPr="00CC0B60">
        <w:rPr>
          <w:rStyle w:val="a5"/>
          <w:rFonts w:ascii="Times New Roman" w:hAnsi="Times New Roman" w:cs="Times New Roman"/>
          <w:sz w:val="16"/>
          <w:szCs w:val="16"/>
        </w:rPr>
        <w:footnoteRef/>
      </w:r>
      <w:r w:rsidRPr="00CC0B60">
        <w:rPr>
          <w:rFonts w:ascii="Times New Roman" w:hAnsi="Times New Roman" w:cs="Times New Roman"/>
          <w:sz w:val="16"/>
          <w:szCs w:val="16"/>
        </w:rPr>
        <w:t xml:space="preserve"> </w:t>
      </w:r>
      <w:r>
        <w:rPr>
          <w:rFonts w:ascii="Times New Roman" w:hAnsi="Times New Roman" w:cs="Times New Roman"/>
          <w:sz w:val="16"/>
          <w:szCs w:val="16"/>
        </w:rPr>
        <w:t>A</w:t>
      </w:r>
      <w:r w:rsidRPr="00CC0B60">
        <w:rPr>
          <w:rFonts w:ascii="Times New Roman" w:hAnsi="Times New Roman" w:cs="Times New Roman"/>
          <w:sz w:val="16"/>
          <w:szCs w:val="16"/>
        </w:rPr>
        <w:t xml:space="preserve">probat prin HG nr. 941 din 22.12.2020 </w:t>
      </w:r>
      <w:r>
        <w:rPr>
          <w:rFonts w:ascii="Times New Roman" w:hAnsi="Times New Roman" w:cs="Times New Roman"/>
          <w:sz w:val="16"/>
          <w:szCs w:val="16"/>
        </w:rPr>
        <w:t>„C</w:t>
      </w:r>
      <w:r w:rsidRPr="00CC0B60">
        <w:rPr>
          <w:rFonts w:ascii="Times New Roman" w:hAnsi="Times New Roman" w:cs="Times New Roman"/>
          <w:sz w:val="16"/>
          <w:szCs w:val="16"/>
        </w:rPr>
        <w:t>u privire la aprobarea Catalogului mijloacelor fixe</w:t>
      </w:r>
      <w:r>
        <w:rPr>
          <w:rFonts w:ascii="Times New Roman" w:hAnsi="Times New Roman" w:cs="Times New Roman"/>
          <w:sz w:val="16"/>
          <w:szCs w:val="16"/>
        </w:rPr>
        <w:t>”.</w:t>
      </w:r>
    </w:p>
  </w:footnote>
  <w:footnote w:id="177">
    <w:p w14:paraId="76A21959" w14:textId="1DB0173B" w:rsidR="00753EA2" w:rsidRPr="00CC0B60" w:rsidRDefault="00753EA2" w:rsidP="00DD43BD">
      <w:pPr>
        <w:pStyle w:val="a3"/>
        <w:jc w:val="both"/>
        <w:rPr>
          <w:rFonts w:ascii="Times New Roman" w:hAnsi="Times New Roman" w:cs="Times New Roman"/>
          <w:sz w:val="16"/>
          <w:szCs w:val="16"/>
        </w:rPr>
      </w:pPr>
      <w:r w:rsidRPr="00CC0B60">
        <w:rPr>
          <w:rStyle w:val="a5"/>
          <w:rFonts w:ascii="Times New Roman" w:hAnsi="Times New Roman" w:cs="Times New Roman"/>
          <w:sz w:val="16"/>
          <w:szCs w:val="16"/>
        </w:rPr>
        <w:footnoteRef/>
      </w:r>
      <w:r w:rsidRPr="00CC0B60">
        <w:rPr>
          <w:rFonts w:ascii="Times New Roman" w:hAnsi="Times New Roman" w:cs="Times New Roman"/>
          <w:sz w:val="16"/>
          <w:szCs w:val="16"/>
        </w:rPr>
        <w:t xml:space="preserve"> </w:t>
      </w:r>
      <w:r>
        <w:rPr>
          <w:rFonts w:ascii="Times New Roman" w:hAnsi="Times New Roman" w:cs="Times New Roman"/>
          <w:sz w:val="16"/>
          <w:szCs w:val="16"/>
        </w:rPr>
        <w:t>C</w:t>
      </w:r>
      <w:r w:rsidRPr="00CC0B60">
        <w:rPr>
          <w:rFonts w:ascii="Times New Roman" w:hAnsi="Times New Roman" w:cs="Times New Roman"/>
          <w:sz w:val="16"/>
          <w:szCs w:val="16"/>
        </w:rPr>
        <w:t>onform titlurilor de autentificare au</w:t>
      </w:r>
      <w:r>
        <w:rPr>
          <w:rFonts w:ascii="Times New Roman" w:hAnsi="Times New Roman" w:cs="Times New Roman"/>
          <w:sz w:val="16"/>
          <w:szCs w:val="16"/>
        </w:rPr>
        <w:t xml:space="preserve"> fost</w:t>
      </w:r>
      <w:r w:rsidRPr="00CC0B60">
        <w:rPr>
          <w:rFonts w:ascii="Times New Roman" w:hAnsi="Times New Roman" w:cs="Times New Roman"/>
          <w:sz w:val="16"/>
          <w:szCs w:val="16"/>
        </w:rPr>
        <w:t xml:space="preserve"> transmise în folosință I</w:t>
      </w:r>
      <w:r>
        <w:rPr>
          <w:rFonts w:ascii="Times New Roman" w:hAnsi="Times New Roman" w:cs="Times New Roman"/>
          <w:sz w:val="16"/>
          <w:szCs w:val="16"/>
        </w:rPr>
        <w:t>.</w:t>
      </w:r>
      <w:r w:rsidRPr="00CC0B60">
        <w:rPr>
          <w:rFonts w:ascii="Times New Roman" w:hAnsi="Times New Roman" w:cs="Times New Roman"/>
          <w:sz w:val="16"/>
          <w:szCs w:val="16"/>
        </w:rPr>
        <w:t>P</w:t>
      </w:r>
      <w:r>
        <w:rPr>
          <w:rFonts w:ascii="Times New Roman" w:hAnsi="Times New Roman" w:cs="Times New Roman"/>
          <w:sz w:val="16"/>
          <w:szCs w:val="16"/>
        </w:rPr>
        <w:t>.</w:t>
      </w:r>
      <w:r w:rsidRPr="00CC0B60">
        <w:rPr>
          <w:rFonts w:ascii="Times New Roman" w:hAnsi="Times New Roman" w:cs="Times New Roman"/>
          <w:sz w:val="16"/>
          <w:szCs w:val="16"/>
        </w:rPr>
        <w:t xml:space="preserve"> </w:t>
      </w:r>
      <w:r>
        <w:rPr>
          <w:rFonts w:ascii="Times New Roman" w:hAnsi="Times New Roman" w:cs="Times New Roman"/>
          <w:sz w:val="16"/>
          <w:szCs w:val="16"/>
        </w:rPr>
        <w:t>„</w:t>
      </w:r>
      <w:r w:rsidRPr="00CC0B60">
        <w:rPr>
          <w:rFonts w:ascii="Times New Roman" w:hAnsi="Times New Roman" w:cs="Times New Roman"/>
          <w:sz w:val="16"/>
          <w:szCs w:val="16"/>
        </w:rPr>
        <w:t>Pensiun</w:t>
      </w:r>
      <w:r>
        <w:rPr>
          <w:rFonts w:ascii="Times New Roman" w:hAnsi="Times New Roman" w:cs="Times New Roman"/>
          <w:sz w:val="16"/>
          <w:szCs w:val="16"/>
        </w:rPr>
        <w:t>ea</w:t>
      </w:r>
      <w:r w:rsidRPr="00CC0B60">
        <w:rPr>
          <w:rFonts w:ascii="Times New Roman" w:hAnsi="Times New Roman" w:cs="Times New Roman"/>
          <w:sz w:val="16"/>
          <w:szCs w:val="16"/>
        </w:rPr>
        <w:t xml:space="preserve"> din Holercani</w:t>
      </w:r>
      <w:r>
        <w:rPr>
          <w:rFonts w:ascii="Times New Roman" w:hAnsi="Times New Roman" w:cs="Times New Roman"/>
          <w:sz w:val="16"/>
          <w:szCs w:val="16"/>
        </w:rPr>
        <w:t>”</w:t>
      </w:r>
      <w:r w:rsidRPr="00CC0B60">
        <w:rPr>
          <w:rFonts w:ascii="Times New Roman" w:hAnsi="Times New Roman" w:cs="Times New Roman"/>
          <w:sz w:val="16"/>
          <w:szCs w:val="16"/>
        </w:rPr>
        <w:t>.</w:t>
      </w:r>
    </w:p>
  </w:footnote>
  <w:footnote w:id="178">
    <w:p w14:paraId="43B36B76" w14:textId="77777777" w:rsidR="00753EA2" w:rsidRPr="00873586" w:rsidRDefault="00753EA2" w:rsidP="00DD43BD">
      <w:pPr>
        <w:pStyle w:val="a3"/>
        <w:jc w:val="both"/>
        <w:rPr>
          <w:sz w:val="16"/>
          <w:szCs w:val="16"/>
        </w:rPr>
      </w:pPr>
      <w:r w:rsidRPr="00CC0B60">
        <w:rPr>
          <w:rStyle w:val="a5"/>
          <w:rFonts w:ascii="Times New Roman" w:hAnsi="Times New Roman" w:cs="Times New Roman"/>
          <w:sz w:val="16"/>
          <w:szCs w:val="16"/>
        </w:rPr>
        <w:footnoteRef/>
      </w:r>
      <w:r w:rsidRPr="00CC0B60">
        <w:rPr>
          <w:rFonts w:ascii="Times New Roman" w:hAnsi="Times New Roman" w:cs="Times New Roman"/>
          <w:sz w:val="16"/>
          <w:szCs w:val="16"/>
        </w:rPr>
        <w:t xml:space="preserve"> Legea nr. 29 din 05</w:t>
      </w:r>
      <w:r>
        <w:rPr>
          <w:rFonts w:ascii="Times New Roman" w:hAnsi="Times New Roman" w:cs="Times New Roman"/>
          <w:sz w:val="16"/>
          <w:szCs w:val="16"/>
        </w:rPr>
        <w:t>.</w:t>
      </w:r>
      <w:r w:rsidRPr="00CC0B60">
        <w:rPr>
          <w:rFonts w:ascii="Times New Roman" w:hAnsi="Times New Roman" w:cs="Times New Roman"/>
          <w:sz w:val="16"/>
          <w:szCs w:val="16"/>
        </w:rPr>
        <w:t>04</w:t>
      </w:r>
      <w:r>
        <w:rPr>
          <w:rFonts w:ascii="Times New Roman" w:hAnsi="Times New Roman" w:cs="Times New Roman"/>
          <w:sz w:val="16"/>
          <w:szCs w:val="16"/>
        </w:rPr>
        <w:t>.</w:t>
      </w:r>
      <w:r w:rsidRPr="00CC0B60">
        <w:rPr>
          <w:rFonts w:ascii="Times New Roman" w:hAnsi="Times New Roman" w:cs="Times New Roman"/>
          <w:sz w:val="16"/>
          <w:szCs w:val="16"/>
        </w:rPr>
        <w:t>2018 privind delimitarea proprietății publice.</w:t>
      </w:r>
    </w:p>
  </w:footnote>
  <w:footnote w:id="179">
    <w:p w14:paraId="6B838FFF" w14:textId="77777777" w:rsidR="00753EA2" w:rsidRPr="00CC0B60" w:rsidRDefault="00753EA2" w:rsidP="003019F5">
      <w:pPr>
        <w:pStyle w:val="a3"/>
        <w:jc w:val="both"/>
        <w:rPr>
          <w:rFonts w:ascii="Times New Roman" w:hAnsi="Times New Roman" w:cs="Times New Roman"/>
          <w:sz w:val="16"/>
          <w:szCs w:val="16"/>
        </w:rPr>
      </w:pPr>
      <w:r w:rsidRPr="00CC0B60">
        <w:rPr>
          <w:rStyle w:val="a5"/>
          <w:rFonts w:ascii="Times New Roman" w:hAnsi="Times New Roman" w:cs="Times New Roman"/>
          <w:sz w:val="16"/>
          <w:szCs w:val="16"/>
        </w:rPr>
        <w:footnoteRef/>
      </w:r>
      <w:r>
        <w:rPr>
          <w:rFonts w:ascii="Times New Roman" w:hAnsi="Times New Roman" w:cs="Times New Roman"/>
          <w:sz w:val="16"/>
          <w:szCs w:val="16"/>
        </w:rPr>
        <w:t xml:space="preserve"> </w:t>
      </w:r>
      <w:r w:rsidRPr="00CC0B60">
        <w:rPr>
          <w:rFonts w:ascii="Times New Roman" w:hAnsi="Times New Roman" w:cs="Times New Roman"/>
          <w:sz w:val="16"/>
          <w:szCs w:val="16"/>
        </w:rPr>
        <w:t>Pct</w:t>
      </w:r>
      <w:r>
        <w:rPr>
          <w:rFonts w:ascii="Times New Roman" w:hAnsi="Times New Roman" w:cs="Times New Roman"/>
          <w:sz w:val="16"/>
          <w:szCs w:val="16"/>
        </w:rPr>
        <w:t>.</w:t>
      </w:r>
      <w:r w:rsidRPr="00CC0B60">
        <w:rPr>
          <w:rFonts w:ascii="Times New Roman" w:hAnsi="Times New Roman" w:cs="Times New Roman"/>
          <w:sz w:val="16"/>
          <w:szCs w:val="16"/>
        </w:rPr>
        <w:t xml:space="preserve"> 23 din </w:t>
      </w:r>
      <w:r w:rsidRPr="00CC0B60">
        <w:rPr>
          <w:rFonts w:ascii="Times New Roman" w:hAnsi="Times New Roman" w:cs="Times New Roman"/>
          <w:sz w:val="16"/>
          <w:szCs w:val="16"/>
          <w:shd w:val="clear" w:color="auto" w:fill="FFFFFF"/>
        </w:rPr>
        <w:t>Regulamentul cu privire la modul de dare în locaţiune a activelor neutilizate</w:t>
      </w:r>
      <w:r>
        <w:rPr>
          <w:rFonts w:ascii="Times New Roman" w:hAnsi="Times New Roman" w:cs="Times New Roman"/>
          <w:sz w:val="16"/>
          <w:szCs w:val="16"/>
          <w:shd w:val="clear" w:color="auto" w:fill="FFFFFF"/>
        </w:rPr>
        <w:t>,</w:t>
      </w:r>
      <w:r w:rsidRPr="00CC0B60">
        <w:rPr>
          <w:rFonts w:ascii="Times New Roman" w:hAnsi="Times New Roman" w:cs="Times New Roman"/>
          <w:sz w:val="16"/>
          <w:szCs w:val="16"/>
          <w:shd w:val="clear" w:color="auto" w:fill="FFFFFF"/>
        </w:rPr>
        <w:t xml:space="preserve"> aprobat prin HG nr</w:t>
      </w:r>
      <w:r>
        <w:rPr>
          <w:rFonts w:ascii="Times New Roman" w:hAnsi="Times New Roman" w:cs="Times New Roman"/>
          <w:sz w:val="16"/>
          <w:szCs w:val="16"/>
          <w:shd w:val="clear" w:color="auto" w:fill="FFFFFF"/>
        </w:rPr>
        <w:t>.</w:t>
      </w:r>
      <w:r w:rsidRPr="00CC0B60">
        <w:rPr>
          <w:rFonts w:ascii="Times New Roman" w:hAnsi="Times New Roman" w:cs="Times New Roman"/>
          <w:sz w:val="16"/>
          <w:szCs w:val="16"/>
          <w:shd w:val="clear" w:color="auto" w:fill="FFFFFF"/>
        </w:rPr>
        <w:t xml:space="preserve"> 483 din 29.03.2008</w:t>
      </w:r>
      <w:r>
        <w:rPr>
          <w:rFonts w:ascii="Times New Roman" w:hAnsi="Times New Roman" w:cs="Times New Roman"/>
          <w:sz w:val="16"/>
          <w:szCs w:val="16"/>
          <w:shd w:val="clear" w:color="auto" w:fill="FFFFFF"/>
        </w:rPr>
        <w:t>.</w:t>
      </w:r>
    </w:p>
  </w:footnote>
  <w:footnote w:id="180">
    <w:p w14:paraId="31382665" w14:textId="6FBCB2FE" w:rsidR="00753EA2" w:rsidRPr="00CC0B60" w:rsidRDefault="00753EA2" w:rsidP="003019F5">
      <w:pPr>
        <w:pStyle w:val="a3"/>
        <w:jc w:val="both"/>
        <w:rPr>
          <w:rFonts w:ascii="Times New Roman" w:hAnsi="Times New Roman" w:cs="Times New Roman"/>
          <w:sz w:val="16"/>
          <w:szCs w:val="16"/>
        </w:rPr>
      </w:pPr>
      <w:r w:rsidRPr="00CC0B60">
        <w:rPr>
          <w:rStyle w:val="a5"/>
          <w:rFonts w:ascii="Times New Roman" w:hAnsi="Times New Roman" w:cs="Times New Roman"/>
          <w:sz w:val="16"/>
          <w:szCs w:val="16"/>
        </w:rPr>
        <w:footnoteRef/>
      </w:r>
      <w:r w:rsidRPr="00CC0B60">
        <w:rPr>
          <w:rFonts w:ascii="Times New Roman" w:hAnsi="Times New Roman" w:cs="Times New Roman"/>
          <w:sz w:val="16"/>
          <w:szCs w:val="16"/>
        </w:rPr>
        <w:t xml:space="preserve"> Pct</w:t>
      </w:r>
      <w:r>
        <w:rPr>
          <w:rFonts w:ascii="Times New Roman" w:hAnsi="Times New Roman" w:cs="Times New Roman"/>
          <w:sz w:val="16"/>
          <w:szCs w:val="16"/>
        </w:rPr>
        <w:t>.</w:t>
      </w:r>
      <w:r w:rsidRPr="00CC0B60">
        <w:rPr>
          <w:rFonts w:ascii="Times New Roman" w:hAnsi="Times New Roman" w:cs="Times New Roman"/>
          <w:sz w:val="16"/>
          <w:szCs w:val="16"/>
        </w:rPr>
        <w:t xml:space="preserve">3 și pct. 25 din </w:t>
      </w:r>
      <w:r w:rsidRPr="00CC0B60">
        <w:rPr>
          <w:rFonts w:ascii="Times New Roman" w:hAnsi="Times New Roman" w:cs="Times New Roman"/>
          <w:sz w:val="16"/>
          <w:szCs w:val="16"/>
          <w:shd w:val="clear" w:color="auto" w:fill="FFFFFF"/>
        </w:rPr>
        <w:t>Regulamentul cu privire la modul de dare în locaţiune a activelor neutilizate</w:t>
      </w:r>
      <w:r>
        <w:rPr>
          <w:rFonts w:ascii="Times New Roman" w:hAnsi="Times New Roman" w:cs="Times New Roman"/>
          <w:sz w:val="16"/>
          <w:szCs w:val="16"/>
          <w:shd w:val="clear" w:color="auto" w:fill="FFFFFF"/>
        </w:rPr>
        <w:t>,</w:t>
      </w:r>
      <w:r w:rsidRPr="00CC0B60">
        <w:rPr>
          <w:rFonts w:ascii="Times New Roman" w:hAnsi="Times New Roman" w:cs="Times New Roman"/>
          <w:sz w:val="16"/>
          <w:szCs w:val="16"/>
          <w:shd w:val="clear" w:color="auto" w:fill="FFFFFF"/>
        </w:rPr>
        <w:t xml:space="preserve"> aprobat prin HG nr</w:t>
      </w:r>
      <w:r>
        <w:rPr>
          <w:rFonts w:ascii="Times New Roman" w:hAnsi="Times New Roman" w:cs="Times New Roman"/>
          <w:sz w:val="16"/>
          <w:szCs w:val="16"/>
          <w:shd w:val="clear" w:color="auto" w:fill="FFFFFF"/>
        </w:rPr>
        <w:t>.</w:t>
      </w:r>
      <w:r w:rsidRPr="00CC0B60">
        <w:rPr>
          <w:rFonts w:ascii="Times New Roman" w:hAnsi="Times New Roman" w:cs="Times New Roman"/>
          <w:sz w:val="16"/>
          <w:szCs w:val="16"/>
          <w:shd w:val="clear" w:color="auto" w:fill="FFFFFF"/>
        </w:rPr>
        <w:t xml:space="preserve"> 483 din 29.03.2008</w:t>
      </w:r>
      <w:r>
        <w:rPr>
          <w:rFonts w:ascii="Times New Roman" w:hAnsi="Times New Roman" w:cs="Times New Roman"/>
          <w:sz w:val="16"/>
          <w:szCs w:val="16"/>
          <w:shd w:val="clear" w:color="auto" w:fill="FFFFFF"/>
        </w:rPr>
        <w:t>.</w:t>
      </w:r>
    </w:p>
  </w:footnote>
  <w:footnote w:id="181">
    <w:p w14:paraId="5225B4CD" w14:textId="352BB156" w:rsidR="00753EA2" w:rsidRPr="00CC0B60" w:rsidRDefault="00753EA2" w:rsidP="003019F5">
      <w:pPr>
        <w:pStyle w:val="a3"/>
        <w:jc w:val="both"/>
        <w:rPr>
          <w:rFonts w:ascii="Times New Roman" w:hAnsi="Times New Roman" w:cs="Times New Roman"/>
          <w:sz w:val="16"/>
          <w:szCs w:val="16"/>
        </w:rPr>
      </w:pPr>
      <w:r w:rsidRPr="00CC0B60">
        <w:rPr>
          <w:rStyle w:val="a5"/>
          <w:rFonts w:ascii="Times New Roman" w:hAnsi="Times New Roman" w:cs="Times New Roman"/>
          <w:sz w:val="16"/>
          <w:szCs w:val="16"/>
        </w:rPr>
        <w:footnoteRef/>
      </w:r>
      <w:r w:rsidRPr="00CC0B60">
        <w:rPr>
          <w:rFonts w:ascii="Times New Roman" w:hAnsi="Times New Roman" w:cs="Times New Roman"/>
          <w:sz w:val="16"/>
          <w:szCs w:val="16"/>
        </w:rPr>
        <w:t xml:space="preserve"> Art</w:t>
      </w:r>
      <w:r>
        <w:rPr>
          <w:rFonts w:ascii="Times New Roman" w:hAnsi="Times New Roman" w:cs="Times New Roman"/>
          <w:sz w:val="16"/>
          <w:szCs w:val="16"/>
        </w:rPr>
        <w:t>.</w:t>
      </w:r>
      <w:r w:rsidRPr="00CC0B60">
        <w:rPr>
          <w:rFonts w:ascii="Times New Roman" w:hAnsi="Times New Roman" w:cs="Times New Roman"/>
          <w:sz w:val="16"/>
          <w:szCs w:val="16"/>
        </w:rPr>
        <w:t xml:space="preserve"> 16 din Regulamentul cu privire la modul de dare în locaţiune a activelor neutilizate</w:t>
      </w:r>
      <w:r>
        <w:rPr>
          <w:rFonts w:ascii="Times New Roman" w:hAnsi="Times New Roman" w:cs="Times New Roman"/>
          <w:sz w:val="16"/>
          <w:szCs w:val="16"/>
        </w:rPr>
        <w:t>,</w:t>
      </w:r>
      <w:r w:rsidRPr="00CC0B60">
        <w:rPr>
          <w:rFonts w:ascii="Times New Roman" w:hAnsi="Times New Roman" w:cs="Times New Roman"/>
          <w:sz w:val="16"/>
          <w:szCs w:val="16"/>
        </w:rPr>
        <w:t xml:space="preserve"> aprobat prin H</w:t>
      </w:r>
      <w:r>
        <w:rPr>
          <w:rFonts w:ascii="Times New Roman" w:hAnsi="Times New Roman" w:cs="Times New Roman"/>
          <w:sz w:val="16"/>
          <w:szCs w:val="16"/>
        </w:rPr>
        <w:t>G</w:t>
      </w:r>
      <w:r w:rsidRPr="00CC0B60">
        <w:rPr>
          <w:rFonts w:ascii="Times New Roman" w:hAnsi="Times New Roman" w:cs="Times New Roman"/>
          <w:sz w:val="16"/>
          <w:szCs w:val="16"/>
        </w:rPr>
        <w:t xml:space="preserve"> nr</w:t>
      </w:r>
      <w:r>
        <w:rPr>
          <w:rFonts w:ascii="Times New Roman" w:hAnsi="Times New Roman" w:cs="Times New Roman"/>
          <w:sz w:val="16"/>
          <w:szCs w:val="16"/>
        </w:rPr>
        <w:t>.</w:t>
      </w:r>
      <w:r w:rsidRPr="00CC0B60">
        <w:rPr>
          <w:rFonts w:ascii="Times New Roman" w:hAnsi="Times New Roman" w:cs="Times New Roman"/>
          <w:sz w:val="16"/>
          <w:szCs w:val="16"/>
        </w:rPr>
        <w:t xml:space="preserve"> 483 din 29.03.2008</w:t>
      </w:r>
      <w:r>
        <w:rPr>
          <w:rFonts w:ascii="Times New Roman" w:hAnsi="Times New Roman" w:cs="Times New Roman"/>
          <w:sz w:val="16"/>
          <w:szCs w:val="16"/>
        </w:rPr>
        <w:t>.</w:t>
      </w:r>
    </w:p>
  </w:footnote>
  <w:footnote w:id="182">
    <w:p w14:paraId="0B95FA96" w14:textId="535071DF" w:rsidR="00753EA2" w:rsidRPr="00302AA3" w:rsidRDefault="00753EA2" w:rsidP="003019F5">
      <w:pPr>
        <w:pStyle w:val="a3"/>
        <w:jc w:val="both"/>
        <w:rPr>
          <w:rFonts w:ascii="Times New Roman" w:hAnsi="Times New Roman" w:cs="Times New Roman"/>
          <w:sz w:val="16"/>
          <w:szCs w:val="16"/>
        </w:rPr>
      </w:pPr>
      <w:r w:rsidRPr="00CC0B60">
        <w:rPr>
          <w:rStyle w:val="a5"/>
          <w:rFonts w:ascii="Times New Roman" w:hAnsi="Times New Roman" w:cs="Times New Roman"/>
          <w:sz w:val="16"/>
          <w:szCs w:val="16"/>
        </w:rPr>
        <w:footnoteRef/>
      </w:r>
      <w:r w:rsidRPr="00CC0B60">
        <w:rPr>
          <w:rFonts w:ascii="Times New Roman" w:hAnsi="Times New Roman" w:cs="Times New Roman"/>
          <w:sz w:val="16"/>
          <w:szCs w:val="16"/>
        </w:rPr>
        <w:t xml:space="preserve"> </w:t>
      </w:r>
      <w:r w:rsidRPr="00CC0B60">
        <w:rPr>
          <w:rFonts w:ascii="Times New Roman" w:hAnsi="Times New Roman" w:cs="Times New Roman"/>
          <w:sz w:val="16"/>
          <w:szCs w:val="16"/>
          <w:shd w:val="clear" w:color="auto" w:fill="FFFFFF"/>
        </w:rPr>
        <w:t>Bun imobil (construcție) cu numărul cadastral 0100205.209.02, amplasat în municipiul Chișinău, str. Vlaicu Pârcălab nr. 45, și încăperea izolată cu numărul cadastral 0100205.209.02.001 din incinta acestuia.</w:t>
      </w:r>
    </w:p>
  </w:footnote>
  <w:footnote w:id="183">
    <w:p w14:paraId="08C99575" w14:textId="20DD43B4" w:rsidR="00753EA2" w:rsidRPr="00EA2001" w:rsidRDefault="00753EA2" w:rsidP="00EA2001">
      <w:pPr>
        <w:pStyle w:val="4"/>
        <w:shd w:val="clear" w:color="auto" w:fill="FFFFFF"/>
        <w:tabs>
          <w:tab w:val="left" w:pos="2352"/>
          <w:tab w:val="center" w:pos="4844"/>
        </w:tabs>
        <w:spacing w:before="0"/>
        <w:jc w:val="both"/>
        <w:rPr>
          <w:rFonts w:ascii="Times New Roman" w:hAnsi="Times New Roman" w:cs="Times New Roman"/>
          <w:b/>
          <w:bCs/>
          <w:i w:val="0"/>
          <w:color w:val="auto"/>
          <w:sz w:val="16"/>
          <w:szCs w:val="16"/>
        </w:rPr>
      </w:pPr>
      <w:r w:rsidRPr="003019F5">
        <w:rPr>
          <w:rStyle w:val="a5"/>
          <w:rFonts w:ascii="Times New Roman" w:hAnsi="Times New Roman" w:cs="Times New Roman"/>
          <w:i w:val="0"/>
          <w:color w:val="auto"/>
          <w:sz w:val="16"/>
          <w:szCs w:val="16"/>
        </w:rPr>
        <w:footnoteRef/>
      </w:r>
      <w:r>
        <w:rPr>
          <w:rFonts w:ascii="Times New Roman" w:hAnsi="Times New Roman" w:cs="Times New Roman"/>
          <w:i w:val="0"/>
          <w:color w:val="auto"/>
          <w:sz w:val="16"/>
          <w:szCs w:val="16"/>
        </w:rPr>
        <w:t xml:space="preserve"> </w:t>
      </w:r>
      <w:r w:rsidRPr="003019F5">
        <w:rPr>
          <w:rFonts w:ascii="Times New Roman" w:hAnsi="Times New Roman" w:cs="Times New Roman"/>
          <w:i w:val="0"/>
          <w:color w:val="auto"/>
          <w:sz w:val="16"/>
          <w:szCs w:val="16"/>
        </w:rPr>
        <w:t>H</w:t>
      </w:r>
      <w:r>
        <w:rPr>
          <w:rFonts w:ascii="Times New Roman" w:hAnsi="Times New Roman" w:cs="Times New Roman"/>
          <w:i w:val="0"/>
          <w:color w:val="auto"/>
          <w:sz w:val="16"/>
          <w:szCs w:val="16"/>
        </w:rPr>
        <w:t>G nr.</w:t>
      </w:r>
      <w:r w:rsidRPr="00095EA9">
        <w:rPr>
          <w:rFonts w:ascii="Times New Roman" w:hAnsi="Times New Roman" w:cs="Times New Roman"/>
          <w:i w:val="0"/>
          <w:color w:val="auto"/>
          <w:sz w:val="16"/>
          <w:szCs w:val="16"/>
        </w:rPr>
        <w:t>331 din 18.05.2022</w:t>
      </w:r>
      <w:r w:rsidRPr="003019F5">
        <w:rPr>
          <w:rFonts w:ascii="Times New Roman" w:hAnsi="Times New Roman" w:cs="Times New Roman"/>
          <w:i w:val="0"/>
          <w:color w:val="auto"/>
          <w:sz w:val="16"/>
          <w:szCs w:val="16"/>
        </w:rPr>
        <w:t xml:space="preserve"> </w:t>
      </w:r>
      <w:r>
        <w:rPr>
          <w:rFonts w:ascii="Times New Roman" w:hAnsi="Times New Roman" w:cs="Times New Roman"/>
          <w:i w:val="0"/>
          <w:color w:val="auto"/>
          <w:sz w:val="16"/>
          <w:szCs w:val="16"/>
        </w:rPr>
        <w:t>„C</w:t>
      </w:r>
      <w:r w:rsidRPr="003019F5">
        <w:rPr>
          <w:rFonts w:ascii="Times New Roman" w:hAnsi="Times New Roman" w:cs="Times New Roman"/>
          <w:i w:val="0"/>
          <w:color w:val="auto"/>
          <w:sz w:val="16"/>
          <w:szCs w:val="16"/>
        </w:rPr>
        <w:t>u privire la transmiterea unor bunuri imobile și modificarea unor hotărâri</w:t>
      </w:r>
      <w:r>
        <w:rPr>
          <w:rFonts w:ascii="Times New Roman" w:hAnsi="Times New Roman" w:cs="Times New Roman"/>
          <w:i w:val="0"/>
          <w:color w:val="auto"/>
          <w:sz w:val="16"/>
          <w:szCs w:val="16"/>
        </w:rPr>
        <w:t xml:space="preserve"> </w:t>
      </w:r>
      <w:r w:rsidRPr="003019F5">
        <w:rPr>
          <w:rFonts w:ascii="Times New Roman" w:hAnsi="Times New Roman" w:cs="Times New Roman"/>
          <w:i w:val="0"/>
          <w:color w:val="auto"/>
          <w:sz w:val="16"/>
          <w:szCs w:val="16"/>
        </w:rPr>
        <w:t>ale Guvernului</w:t>
      </w:r>
      <w:r>
        <w:rPr>
          <w:rFonts w:ascii="Times New Roman" w:hAnsi="Times New Roman" w:cs="Times New Roman"/>
          <w:i w:val="0"/>
          <w:color w:val="auto"/>
          <w:sz w:val="16"/>
          <w:szCs w:val="16"/>
        </w:rPr>
        <w:t>”.</w:t>
      </w:r>
      <w:r w:rsidRPr="00302AA3" w:rsidDel="00302AA3">
        <w:rPr>
          <w:rFonts w:ascii="Times New Roman" w:hAnsi="Times New Roman" w:cs="Times New Roman"/>
          <w:i w:val="0"/>
          <w:color w:val="auto"/>
          <w:sz w:val="16"/>
          <w:szCs w:val="16"/>
        </w:rPr>
        <w:t xml:space="preserve"> </w:t>
      </w:r>
    </w:p>
  </w:footnote>
  <w:footnote w:id="184">
    <w:p w14:paraId="387766B9" w14:textId="7651BB96" w:rsidR="00753EA2" w:rsidRPr="00CC0B60" w:rsidRDefault="00753EA2" w:rsidP="003019F5">
      <w:pPr>
        <w:pStyle w:val="a3"/>
        <w:jc w:val="both"/>
        <w:rPr>
          <w:rFonts w:ascii="Times New Roman" w:hAnsi="Times New Roman" w:cs="Times New Roman"/>
          <w:sz w:val="16"/>
          <w:szCs w:val="16"/>
        </w:rPr>
      </w:pPr>
      <w:r w:rsidRPr="00CC0B60">
        <w:rPr>
          <w:rStyle w:val="a5"/>
          <w:rFonts w:ascii="Times New Roman" w:hAnsi="Times New Roman" w:cs="Times New Roman"/>
          <w:sz w:val="16"/>
          <w:szCs w:val="16"/>
        </w:rPr>
        <w:footnoteRef/>
      </w:r>
      <w:r w:rsidRPr="00CC0B60">
        <w:rPr>
          <w:rFonts w:ascii="Times New Roman" w:hAnsi="Times New Roman" w:cs="Times New Roman"/>
          <w:sz w:val="16"/>
          <w:szCs w:val="16"/>
        </w:rPr>
        <w:t xml:space="preserve"> </w:t>
      </w:r>
      <w:r w:rsidRPr="00CC0B60">
        <w:rPr>
          <w:rFonts w:ascii="Times New Roman" w:eastAsia="Times New Roman" w:hAnsi="Times New Roman" w:cs="Times New Roman"/>
          <w:sz w:val="16"/>
          <w:szCs w:val="16"/>
        </w:rPr>
        <w:t>Ca exemplu</w:t>
      </w:r>
      <w:r>
        <w:rPr>
          <w:rFonts w:ascii="Times New Roman" w:eastAsia="Times New Roman" w:hAnsi="Times New Roman" w:cs="Times New Roman"/>
          <w:sz w:val="16"/>
          <w:szCs w:val="16"/>
        </w:rPr>
        <w:t>,</w:t>
      </w:r>
      <w:r w:rsidRPr="00CC0B60">
        <w:rPr>
          <w:rFonts w:ascii="Times New Roman" w:eastAsia="Times New Roman" w:hAnsi="Times New Roman" w:cs="Times New Roman"/>
          <w:sz w:val="16"/>
          <w:szCs w:val="16"/>
        </w:rPr>
        <w:t xml:space="preserve"> la bd</w:t>
      </w:r>
      <w:r>
        <w:rPr>
          <w:rFonts w:ascii="Times New Roman" w:eastAsia="Times New Roman" w:hAnsi="Times New Roman" w:cs="Times New Roman"/>
          <w:sz w:val="16"/>
          <w:szCs w:val="16"/>
        </w:rPr>
        <w:t>.</w:t>
      </w:r>
      <w:r w:rsidRPr="00CC0B60">
        <w:rPr>
          <w:rFonts w:ascii="Times New Roman" w:eastAsia="Times New Roman" w:hAnsi="Times New Roman" w:cs="Times New Roman"/>
          <w:sz w:val="16"/>
          <w:szCs w:val="16"/>
        </w:rPr>
        <w:t xml:space="preserve"> Ștefan cel Mare</w:t>
      </w:r>
      <w:r>
        <w:rPr>
          <w:rFonts w:ascii="Times New Roman" w:eastAsia="Times New Roman" w:hAnsi="Times New Roman" w:cs="Times New Roman"/>
          <w:sz w:val="16"/>
          <w:szCs w:val="16"/>
        </w:rPr>
        <w:t xml:space="preserve"> și Sfânt nr.</w:t>
      </w:r>
      <w:r w:rsidRPr="00CC0B60">
        <w:rPr>
          <w:rFonts w:ascii="Times New Roman" w:eastAsia="Times New Roman" w:hAnsi="Times New Roman" w:cs="Times New Roman"/>
          <w:sz w:val="16"/>
          <w:szCs w:val="16"/>
        </w:rPr>
        <w:t xml:space="preserve"> 124</w:t>
      </w:r>
      <w:r>
        <w:rPr>
          <w:rFonts w:ascii="Times New Roman" w:eastAsia="Times New Roman" w:hAnsi="Times New Roman" w:cs="Times New Roman"/>
          <w:sz w:val="16"/>
          <w:szCs w:val="16"/>
        </w:rPr>
        <w:t>,</w:t>
      </w:r>
      <w:r w:rsidRPr="00CC0B60">
        <w:rPr>
          <w:rFonts w:ascii="Times New Roman" w:eastAsia="Times New Roman" w:hAnsi="Times New Roman" w:cs="Times New Roman"/>
          <w:sz w:val="16"/>
          <w:szCs w:val="16"/>
        </w:rPr>
        <w:t xml:space="preserve"> de la un locatar și 5 agenți economici privatizați debranșați se aplică cota de 10%. La clădirea din bd</w:t>
      </w:r>
      <w:r>
        <w:rPr>
          <w:rFonts w:ascii="Times New Roman" w:eastAsia="Times New Roman" w:hAnsi="Times New Roman" w:cs="Times New Roman"/>
          <w:sz w:val="16"/>
          <w:szCs w:val="16"/>
        </w:rPr>
        <w:t>.</w:t>
      </w:r>
      <w:r w:rsidRPr="00CC0B60">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Ș</w:t>
      </w:r>
      <w:r w:rsidRPr="00CC0B60">
        <w:rPr>
          <w:rFonts w:ascii="Times New Roman" w:eastAsia="Times New Roman" w:hAnsi="Times New Roman" w:cs="Times New Roman"/>
          <w:sz w:val="16"/>
          <w:szCs w:val="16"/>
        </w:rPr>
        <w:t xml:space="preserve">tefan cel Mare </w:t>
      </w:r>
      <w:r>
        <w:rPr>
          <w:rFonts w:ascii="Times New Roman" w:eastAsia="Times New Roman" w:hAnsi="Times New Roman" w:cs="Times New Roman"/>
          <w:sz w:val="16"/>
          <w:szCs w:val="16"/>
        </w:rPr>
        <w:t xml:space="preserve">și Sfânt nr. </w:t>
      </w:r>
      <w:r w:rsidRPr="00CC0B60">
        <w:rPr>
          <w:rFonts w:ascii="Times New Roman" w:eastAsia="Times New Roman" w:hAnsi="Times New Roman" w:cs="Times New Roman"/>
          <w:sz w:val="16"/>
          <w:szCs w:val="16"/>
        </w:rPr>
        <w:t>134 se încasează o taxă de 20%..</w:t>
      </w:r>
    </w:p>
  </w:footnote>
  <w:footnote w:id="185">
    <w:p w14:paraId="5EB80422" w14:textId="77777777" w:rsidR="00753EA2" w:rsidRPr="00CC0B60" w:rsidRDefault="00753EA2" w:rsidP="009547A2">
      <w:pPr>
        <w:pStyle w:val="a3"/>
        <w:jc w:val="both"/>
        <w:rPr>
          <w:rFonts w:ascii="Times New Roman" w:hAnsi="Times New Roman" w:cs="Times New Roman"/>
          <w:sz w:val="16"/>
          <w:szCs w:val="16"/>
        </w:rPr>
      </w:pPr>
      <w:r w:rsidRPr="00CC0B60">
        <w:rPr>
          <w:rStyle w:val="a5"/>
          <w:rFonts w:ascii="Times New Roman" w:hAnsi="Times New Roman" w:cs="Times New Roman"/>
          <w:sz w:val="16"/>
          <w:szCs w:val="16"/>
        </w:rPr>
        <w:footnoteRef/>
      </w:r>
      <w:r w:rsidRPr="00CC0B60">
        <w:rPr>
          <w:rFonts w:ascii="Times New Roman" w:hAnsi="Times New Roman" w:cs="Times New Roman"/>
          <w:sz w:val="16"/>
          <w:szCs w:val="16"/>
        </w:rPr>
        <w:t xml:space="preserve"> La momentul privatizării</w:t>
      </w:r>
      <w:r>
        <w:rPr>
          <w:rFonts w:ascii="Times New Roman" w:hAnsi="Times New Roman" w:cs="Times New Roman"/>
          <w:sz w:val="16"/>
          <w:szCs w:val="16"/>
        </w:rPr>
        <w:t>,</w:t>
      </w:r>
      <w:r w:rsidRPr="00CC0B60">
        <w:rPr>
          <w:rFonts w:ascii="Times New Roman" w:hAnsi="Times New Roman" w:cs="Times New Roman"/>
          <w:sz w:val="16"/>
          <w:szCs w:val="16"/>
        </w:rPr>
        <w:t xml:space="preserve"> construcția/hotelul era în stare avansată de deteriorare </w:t>
      </w:r>
      <w:r>
        <w:rPr>
          <w:rFonts w:ascii="Times New Roman" w:hAnsi="Times New Roman" w:cs="Times New Roman"/>
          <w:sz w:val="16"/>
          <w:szCs w:val="16"/>
        </w:rPr>
        <w:t xml:space="preserve">ca </w:t>
      </w:r>
      <w:r w:rsidRPr="00CC0B60">
        <w:rPr>
          <w:rFonts w:ascii="Times New Roman" w:hAnsi="Times New Roman" w:cs="Times New Roman"/>
          <w:sz w:val="16"/>
          <w:szCs w:val="16"/>
        </w:rPr>
        <w:t xml:space="preserve">urmare </w:t>
      </w:r>
      <w:r>
        <w:rPr>
          <w:rFonts w:ascii="Times New Roman" w:hAnsi="Times New Roman" w:cs="Times New Roman"/>
          <w:sz w:val="16"/>
          <w:szCs w:val="16"/>
        </w:rPr>
        <w:t xml:space="preserve">a </w:t>
      </w:r>
      <w:r w:rsidRPr="00CC0B60">
        <w:rPr>
          <w:rFonts w:ascii="Times New Roman" w:hAnsi="Times New Roman" w:cs="Times New Roman"/>
          <w:sz w:val="16"/>
          <w:szCs w:val="16"/>
        </w:rPr>
        <w:t>consecințelor războiului din Transnistria.</w:t>
      </w:r>
    </w:p>
  </w:footnote>
  <w:footnote w:id="186">
    <w:p w14:paraId="54838296" w14:textId="77777777" w:rsidR="00753EA2" w:rsidRPr="00CC0B60" w:rsidRDefault="00753EA2" w:rsidP="009547A2">
      <w:pPr>
        <w:pStyle w:val="a3"/>
        <w:jc w:val="both"/>
        <w:rPr>
          <w:rFonts w:ascii="Times New Roman" w:hAnsi="Times New Roman" w:cs="Times New Roman"/>
        </w:rPr>
      </w:pPr>
      <w:r w:rsidRPr="00CC0B60">
        <w:rPr>
          <w:rStyle w:val="a5"/>
          <w:rFonts w:ascii="Times New Roman" w:hAnsi="Times New Roman" w:cs="Times New Roman"/>
          <w:sz w:val="16"/>
          <w:szCs w:val="16"/>
        </w:rPr>
        <w:footnoteRef/>
      </w:r>
      <w:r w:rsidRPr="00CC0B60">
        <w:rPr>
          <w:rFonts w:ascii="Times New Roman" w:hAnsi="Times New Roman" w:cs="Times New Roman"/>
          <w:sz w:val="16"/>
          <w:szCs w:val="16"/>
        </w:rPr>
        <w:t xml:space="preserve"> Contract de v</w:t>
      </w:r>
      <w:r>
        <w:rPr>
          <w:rFonts w:ascii="Times New Roman" w:hAnsi="Times New Roman" w:cs="Times New Roman"/>
          <w:sz w:val="16"/>
          <w:szCs w:val="16"/>
        </w:rPr>
        <w:t>â</w:t>
      </w:r>
      <w:r w:rsidRPr="00CC0B60">
        <w:rPr>
          <w:rFonts w:ascii="Times New Roman" w:hAnsi="Times New Roman" w:cs="Times New Roman"/>
          <w:sz w:val="16"/>
          <w:szCs w:val="16"/>
        </w:rPr>
        <w:t>nzare</w:t>
      </w:r>
      <w:r>
        <w:rPr>
          <w:rFonts w:ascii="Times New Roman" w:hAnsi="Times New Roman" w:cs="Times New Roman"/>
          <w:sz w:val="16"/>
          <w:szCs w:val="16"/>
        </w:rPr>
        <w:t>-</w:t>
      </w:r>
      <w:r w:rsidRPr="00CC0B60">
        <w:rPr>
          <w:rFonts w:ascii="Times New Roman" w:hAnsi="Times New Roman" w:cs="Times New Roman"/>
          <w:sz w:val="16"/>
          <w:szCs w:val="16"/>
        </w:rPr>
        <w:t xml:space="preserve">cumpărare nr. 1-226 din 23.10.2020, Act de recepție finală </w:t>
      </w:r>
      <w:r>
        <w:rPr>
          <w:rFonts w:ascii="Times New Roman" w:hAnsi="Times New Roman" w:cs="Times New Roman"/>
          <w:sz w:val="16"/>
          <w:szCs w:val="16"/>
        </w:rPr>
        <w:t>nr.</w:t>
      </w:r>
      <w:r w:rsidRPr="00CC0B60">
        <w:rPr>
          <w:rFonts w:ascii="Times New Roman" w:hAnsi="Times New Roman" w:cs="Times New Roman"/>
          <w:sz w:val="16"/>
          <w:szCs w:val="16"/>
        </w:rPr>
        <w:t>1/21 din 19.07.2021.</w:t>
      </w:r>
    </w:p>
  </w:footnote>
  <w:footnote w:id="187">
    <w:p w14:paraId="44C7DEDD" w14:textId="440ABB0A" w:rsidR="00753EA2" w:rsidRPr="00065F03" w:rsidRDefault="00753EA2" w:rsidP="00015EAC">
      <w:pPr>
        <w:pStyle w:val="a3"/>
        <w:jc w:val="both"/>
        <w:rPr>
          <w:rFonts w:ascii="Times New Roman" w:hAnsi="Times New Roman" w:cs="Times New Roman"/>
          <w:sz w:val="16"/>
          <w:szCs w:val="16"/>
        </w:rPr>
      </w:pPr>
      <w:r w:rsidRPr="00015EAC">
        <w:rPr>
          <w:rStyle w:val="a5"/>
          <w:rFonts w:ascii="Times New Roman" w:hAnsi="Times New Roman" w:cs="Times New Roman"/>
          <w:sz w:val="16"/>
          <w:szCs w:val="16"/>
        </w:rPr>
        <w:footnoteRef/>
      </w:r>
      <w:r w:rsidRPr="00015EAC">
        <w:rPr>
          <w:rFonts w:ascii="Times New Roman" w:hAnsi="Times New Roman" w:cs="Times New Roman"/>
          <w:sz w:val="16"/>
          <w:szCs w:val="16"/>
        </w:rPr>
        <w:t xml:space="preserve"> Dispoziția Guvernului nr. 14-d din 27.01.1998.</w:t>
      </w:r>
    </w:p>
  </w:footnote>
  <w:footnote w:id="188">
    <w:p w14:paraId="3C920C20" w14:textId="77777777" w:rsidR="00753EA2" w:rsidRPr="00E92121" w:rsidRDefault="00753EA2" w:rsidP="009547A2">
      <w:pPr>
        <w:pStyle w:val="a3"/>
        <w:jc w:val="both"/>
        <w:rPr>
          <w:rFonts w:ascii="Times New Roman" w:hAnsi="Times New Roman" w:cs="Times New Roman"/>
          <w:sz w:val="16"/>
          <w:szCs w:val="16"/>
        </w:rPr>
      </w:pPr>
      <w:r w:rsidRPr="00E92121">
        <w:rPr>
          <w:rStyle w:val="a5"/>
          <w:rFonts w:ascii="Times New Roman" w:hAnsi="Times New Roman" w:cs="Times New Roman"/>
          <w:sz w:val="16"/>
          <w:szCs w:val="16"/>
        </w:rPr>
        <w:footnoteRef/>
      </w:r>
      <w:r w:rsidRPr="00E92121">
        <w:rPr>
          <w:rFonts w:ascii="Times New Roman" w:hAnsi="Times New Roman" w:cs="Times New Roman"/>
          <w:sz w:val="16"/>
          <w:szCs w:val="16"/>
        </w:rPr>
        <w:t xml:space="preserve"> Legea nr.229 din 23.09.2010 privind controlul financiar public intern.</w:t>
      </w:r>
    </w:p>
  </w:footnote>
  <w:footnote w:id="189">
    <w:p w14:paraId="49E7F16E" w14:textId="77777777" w:rsidR="00753EA2" w:rsidRDefault="00753EA2" w:rsidP="009547A2">
      <w:pPr>
        <w:pStyle w:val="a3"/>
        <w:jc w:val="both"/>
      </w:pPr>
      <w:r w:rsidRPr="00E92121">
        <w:rPr>
          <w:rStyle w:val="a5"/>
          <w:rFonts w:ascii="Times New Roman" w:hAnsi="Times New Roman" w:cs="Times New Roman"/>
          <w:sz w:val="16"/>
          <w:szCs w:val="16"/>
        </w:rPr>
        <w:footnoteRef/>
      </w:r>
      <w:r w:rsidRPr="00E92121">
        <w:rPr>
          <w:rFonts w:ascii="Times New Roman" w:hAnsi="Times New Roman" w:cs="Times New Roman"/>
          <w:sz w:val="16"/>
          <w:szCs w:val="16"/>
        </w:rPr>
        <w:t xml:space="preserve"> </w:t>
      </w:r>
      <w:r>
        <w:rPr>
          <w:rFonts w:ascii="Times New Roman" w:hAnsi="Times New Roman" w:cs="Times New Roman"/>
          <w:sz w:val="16"/>
          <w:szCs w:val="16"/>
        </w:rPr>
        <w:t>A</w:t>
      </w:r>
      <w:r w:rsidRPr="00E92121">
        <w:rPr>
          <w:rFonts w:ascii="Times New Roman" w:hAnsi="Times New Roman" w:cs="Times New Roman"/>
          <w:sz w:val="16"/>
          <w:szCs w:val="16"/>
        </w:rPr>
        <w:t>nii 2018-2020 – conform</w:t>
      </w:r>
      <w:r>
        <w:rPr>
          <w:rFonts w:ascii="Times New Roman" w:hAnsi="Times New Roman" w:cs="Times New Roman"/>
          <w:sz w:val="16"/>
          <w:szCs w:val="16"/>
        </w:rPr>
        <w:t>,</w:t>
      </w:r>
      <w:r w:rsidRPr="00E92121">
        <w:rPr>
          <w:rFonts w:ascii="Times New Roman" w:hAnsi="Times New Roman" w:cs="Times New Roman"/>
          <w:sz w:val="16"/>
          <w:szCs w:val="16"/>
        </w:rPr>
        <w:t xml:space="preserve"> și anii 2021-2022 </w:t>
      </w:r>
      <w:r>
        <w:rPr>
          <w:rFonts w:ascii="Times New Roman" w:hAnsi="Times New Roman" w:cs="Times New Roman"/>
          <w:sz w:val="16"/>
          <w:szCs w:val="16"/>
        </w:rPr>
        <w:t>–</w:t>
      </w:r>
      <w:r w:rsidRPr="00E92121">
        <w:rPr>
          <w:rFonts w:ascii="Times New Roman" w:hAnsi="Times New Roman" w:cs="Times New Roman"/>
          <w:sz w:val="16"/>
          <w:szCs w:val="16"/>
        </w:rPr>
        <w:t xml:space="preserve"> parțial conform.</w:t>
      </w:r>
    </w:p>
  </w:footnote>
  <w:footnote w:id="190">
    <w:p w14:paraId="6225F694" w14:textId="77777777" w:rsidR="00753EA2" w:rsidRPr="00E92121" w:rsidRDefault="00753EA2" w:rsidP="009547A2">
      <w:pPr>
        <w:pStyle w:val="a3"/>
        <w:jc w:val="both"/>
        <w:rPr>
          <w:rFonts w:ascii="Times New Roman" w:hAnsi="Times New Roman" w:cs="Times New Roman"/>
          <w:sz w:val="16"/>
          <w:szCs w:val="16"/>
        </w:rPr>
      </w:pPr>
      <w:r w:rsidRPr="00E92121">
        <w:rPr>
          <w:rStyle w:val="a5"/>
          <w:rFonts w:ascii="Times New Roman" w:hAnsi="Times New Roman" w:cs="Times New Roman"/>
          <w:sz w:val="16"/>
          <w:szCs w:val="16"/>
        </w:rPr>
        <w:footnoteRef/>
      </w:r>
      <w:r w:rsidRPr="00E92121">
        <w:rPr>
          <w:rFonts w:ascii="Times New Roman" w:hAnsi="Times New Roman" w:cs="Times New Roman"/>
          <w:sz w:val="16"/>
          <w:szCs w:val="16"/>
        </w:rPr>
        <w:t xml:space="preserve"> Pct. 10 alin. 12) din Anexa nr. 1 la H</w:t>
      </w:r>
      <w:r>
        <w:rPr>
          <w:rFonts w:ascii="Times New Roman" w:hAnsi="Times New Roman" w:cs="Times New Roman"/>
          <w:sz w:val="16"/>
          <w:szCs w:val="16"/>
        </w:rPr>
        <w:t>G nr.</w:t>
      </w:r>
      <w:r w:rsidRPr="00E92121">
        <w:rPr>
          <w:rFonts w:ascii="Times New Roman" w:hAnsi="Times New Roman" w:cs="Times New Roman"/>
          <w:sz w:val="16"/>
          <w:szCs w:val="16"/>
        </w:rPr>
        <w:t xml:space="preserve"> 520/2020 și </w:t>
      </w:r>
      <w:r>
        <w:rPr>
          <w:rFonts w:ascii="Times New Roman" w:hAnsi="Times New Roman" w:cs="Times New Roman"/>
          <w:sz w:val="16"/>
          <w:szCs w:val="16"/>
        </w:rPr>
        <w:t>p</w:t>
      </w:r>
      <w:r w:rsidRPr="00E92121">
        <w:rPr>
          <w:rFonts w:ascii="Times New Roman" w:hAnsi="Times New Roman" w:cs="Times New Roman"/>
          <w:sz w:val="16"/>
          <w:szCs w:val="16"/>
        </w:rPr>
        <w:t>ct. 10 alin</w:t>
      </w:r>
      <w:r>
        <w:rPr>
          <w:rFonts w:ascii="Times New Roman" w:hAnsi="Times New Roman" w:cs="Times New Roman"/>
          <w:sz w:val="16"/>
          <w:szCs w:val="16"/>
        </w:rPr>
        <w:t>.</w:t>
      </w:r>
      <w:r w:rsidRPr="00E92121">
        <w:rPr>
          <w:rFonts w:ascii="Times New Roman" w:hAnsi="Times New Roman" w:cs="Times New Roman"/>
          <w:sz w:val="16"/>
          <w:szCs w:val="16"/>
        </w:rPr>
        <w:t xml:space="preserve"> </w:t>
      </w:r>
      <w:r>
        <w:rPr>
          <w:rFonts w:ascii="Times New Roman" w:hAnsi="Times New Roman" w:cs="Times New Roman"/>
          <w:sz w:val="16"/>
          <w:szCs w:val="16"/>
        </w:rPr>
        <w:t>(</w:t>
      </w:r>
      <w:r w:rsidRPr="00E92121">
        <w:rPr>
          <w:rFonts w:ascii="Times New Roman" w:hAnsi="Times New Roman" w:cs="Times New Roman"/>
          <w:sz w:val="16"/>
          <w:szCs w:val="16"/>
        </w:rPr>
        <w:t>12</w:t>
      </w:r>
      <w:r>
        <w:rPr>
          <w:rFonts w:ascii="Times New Roman" w:hAnsi="Times New Roman" w:cs="Times New Roman"/>
          <w:sz w:val="16"/>
          <w:szCs w:val="16"/>
        </w:rPr>
        <w:t>)</w:t>
      </w:r>
      <w:r w:rsidRPr="00E92121">
        <w:rPr>
          <w:rFonts w:ascii="Times New Roman" w:hAnsi="Times New Roman" w:cs="Times New Roman"/>
          <w:sz w:val="16"/>
          <w:szCs w:val="16"/>
        </w:rPr>
        <w:t xml:space="preserve"> din Anexa nr</w:t>
      </w:r>
      <w:r>
        <w:rPr>
          <w:rFonts w:ascii="Times New Roman" w:hAnsi="Times New Roman" w:cs="Times New Roman"/>
          <w:sz w:val="16"/>
          <w:szCs w:val="16"/>
        </w:rPr>
        <w:t>.</w:t>
      </w:r>
      <w:r w:rsidRPr="00E92121">
        <w:rPr>
          <w:rFonts w:ascii="Times New Roman" w:hAnsi="Times New Roman" w:cs="Times New Roman"/>
          <w:sz w:val="16"/>
          <w:szCs w:val="16"/>
        </w:rPr>
        <w:t xml:space="preserve"> 1 la HG </w:t>
      </w:r>
      <w:r>
        <w:rPr>
          <w:rFonts w:ascii="Times New Roman" w:hAnsi="Times New Roman" w:cs="Times New Roman"/>
          <w:sz w:val="16"/>
          <w:szCs w:val="16"/>
        </w:rPr>
        <w:t>nr.</w:t>
      </w:r>
      <w:r w:rsidRPr="00E92121">
        <w:rPr>
          <w:rFonts w:ascii="Times New Roman" w:hAnsi="Times New Roman" w:cs="Times New Roman"/>
          <w:sz w:val="16"/>
          <w:szCs w:val="16"/>
        </w:rPr>
        <w:t>519/2020.</w:t>
      </w:r>
    </w:p>
  </w:footnote>
  <w:footnote w:id="191">
    <w:p w14:paraId="024DF221" w14:textId="77777777" w:rsidR="00753EA2" w:rsidRPr="00BE6A29" w:rsidRDefault="00753EA2" w:rsidP="00B73D05">
      <w:pPr>
        <w:pStyle w:val="a3"/>
        <w:jc w:val="both"/>
        <w:rPr>
          <w:rFonts w:ascii="Times New Roman" w:hAnsi="Times New Roman" w:cs="Times New Roman"/>
          <w:sz w:val="16"/>
          <w:szCs w:val="16"/>
        </w:rPr>
      </w:pPr>
      <w:r w:rsidRPr="00BE6A29">
        <w:rPr>
          <w:rStyle w:val="a5"/>
          <w:rFonts w:ascii="Times New Roman" w:hAnsi="Times New Roman" w:cs="Times New Roman"/>
          <w:sz w:val="16"/>
          <w:szCs w:val="16"/>
        </w:rPr>
        <w:footnoteRef/>
      </w:r>
      <w:r w:rsidRPr="00BE6A29">
        <w:rPr>
          <w:rFonts w:ascii="Times New Roman" w:hAnsi="Times New Roman" w:cs="Times New Roman"/>
          <w:sz w:val="16"/>
          <w:szCs w:val="16"/>
        </w:rPr>
        <w:t xml:space="preserve"> I.P. Palatul Republicii, I.P. Pensiunea </w:t>
      </w:r>
      <w:r>
        <w:rPr>
          <w:rFonts w:ascii="Times New Roman" w:hAnsi="Times New Roman" w:cs="Times New Roman"/>
          <w:sz w:val="16"/>
          <w:szCs w:val="16"/>
        </w:rPr>
        <w:t xml:space="preserve">din </w:t>
      </w:r>
      <w:r w:rsidRPr="00BE6A29">
        <w:rPr>
          <w:rFonts w:ascii="Times New Roman" w:hAnsi="Times New Roman" w:cs="Times New Roman"/>
          <w:sz w:val="16"/>
          <w:szCs w:val="16"/>
        </w:rPr>
        <w:t>Holercani, I.P. Baza auto a Asociați</w:t>
      </w:r>
      <w:r>
        <w:rPr>
          <w:rFonts w:ascii="Times New Roman" w:hAnsi="Times New Roman" w:cs="Times New Roman"/>
          <w:sz w:val="16"/>
          <w:szCs w:val="16"/>
        </w:rPr>
        <w:t>ei</w:t>
      </w:r>
      <w:r w:rsidRPr="00BE6A29">
        <w:rPr>
          <w:rFonts w:ascii="Times New Roman" w:hAnsi="Times New Roman" w:cs="Times New Roman"/>
          <w:sz w:val="16"/>
          <w:szCs w:val="16"/>
        </w:rPr>
        <w:t xml:space="preserve"> Curativ-Sanatorial</w:t>
      </w:r>
      <w:r>
        <w:rPr>
          <w:rFonts w:ascii="Times New Roman" w:hAnsi="Times New Roman" w:cs="Times New Roman"/>
          <w:sz w:val="16"/>
          <w:szCs w:val="16"/>
        </w:rPr>
        <w:t>e</w:t>
      </w:r>
      <w:r w:rsidRPr="00BE6A29">
        <w:rPr>
          <w:rFonts w:ascii="Times New Roman" w:hAnsi="Times New Roman" w:cs="Times New Roman"/>
          <w:sz w:val="16"/>
          <w:szCs w:val="16"/>
        </w:rPr>
        <w:t xml:space="preserve"> și de Recuperare a Cancelariei de Stat, Î.S. Casa Presei</w:t>
      </w:r>
      <w:r>
        <w:rPr>
          <w:rFonts w:ascii="Times New Roman" w:hAnsi="Times New Roman" w:cs="Times New Roman"/>
          <w:sz w:val="16"/>
          <w:szCs w:val="16"/>
        </w:rPr>
        <w:t>.</w:t>
      </w:r>
    </w:p>
  </w:footnote>
  <w:footnote w:id="192">
    <w:p w14:paraId="034E8C05" w14:textId="77777777" w:rsidR="00753EA2" w:rsidRPr="00BE6A29" w:rsidRDefault="00753EA2" w:rsidP="00B73D05">
      <w:pPr>
        <w:pStyle w:val="a3"/>
        <w:jc w:val="both"/>
        <w:rPr>
          <w:rFonts w:ascii="Times New Roman" w:hAnsi="Times New Roman" w:cs="Times New Roman"/>
          <w:sz w:val="16"/>
          <w:szCs w:val="16"/>
        </w:rPr>
      </w:pPr>
      <w:r w:rsidRPr="00BE6A29">
        <w:rPr>
          <w:rStyle w:val="a5"/>
          <w:rFonts w:ascii="Times New Roman" w:hAnsi="Times New Roman" w:cs="Times New Roman"/>
          <w:sz w:val="16"/>
          <w:szCs w:val="16"/>
        </w:rPr>
        <w:footnoteRef/>
      </w:r>
      <w:r w:rsidRPr="00BE6A29">
        <w:rPr>
          <w:rFonts w:ascii="Times New Roman" w:hAnsi="Times New Roman" w:cs="Times New Roman"/>
          <w:sz w:val="16"/>
          <w:szCs w:val="16"/>
        </w:rPr>
        <w:t xml:space="preserve"> I.P. Asociația Curativ-Sanatorială și de Recuperare a Cancelariei de Stat</w:t>
      </w:r>
      <w:r>
        <w:rPr>
          <w:rFonts w:ascii="Times New Roman" w:hAnsi="Times New Roman" w:cs="Times New Roman"/>
          <w:sz w:val="16"/>
          <w:szCs w:val="16"/>
        </w:rPr>
        <w:t>.</w:t>
      </w:r>
    </w:p>
  </w:footnote>
  <w:footnote w:id="193">
    <w:p w14:paraId="775E5FDA" w14:textId="77777777" w:rsidR="00753EA2" w:rsidRPr="003E7296" w:rsidRDefault="00753EA2" w:rsidP="00B73D05">
      <w:pPr>
        <w:pStyle w:val="a3"/>
        <w:jc w:val="both"/>
      </w:pPr>
      <w:r w:rsidRPr="00BE6A29">
        <w:rPr>
          <w:rStyle w:val="a5"/>
          <w:rFonts w:ascii="Times New Roman" w:hAnsi="Times New Roman" w:cs="Times New Roman"/>
          <w:sz w:val="16"/>
          <w:szCs w:val="16"/>
        </w:rPr>
        <w:footnoteRef/>
      </w:r>
      <w:r w:rsidRPr="00BE6A29">
        <w:rPr>
          <w:rFonts w:ascii="Times New Roman" w:hAnsi="Times New Roman" w:cs="Times New Roman"/>
          <w:sz w:val="16"/>
          <w:szCs w:val="16"/>
        </w:rPr>
        <w:t xml:space="preserve"> Î.S. </w:t>
      </w:r>
      <w:r>
        <w:rPr>
          <w:rFonts w:ascii="Times New Roman" w:hAnsi="Times New Roman" w:cs="Times New Roman"/>
          <w:sz w:val="16"/>
          <w:szCs w:val="16"/>
        </w:rPr>
        <w:t>„</w:t>
      </w:r>
      <w:r w:rsidRPr="00BE6A29">
        <w:rPr>
          <w:rFonts w:ascii="Times New Roman" w:hAnsi="Times New Roman" w:cs="Times New Roman"/>
          <w:sz w:val="16"/>
          <w:szCs w:val="16"/>
        </w:rPr>
        <w:t>Medisan</w:t>
      </w:r>
      <w:r>
        <w:rPr>
          <w:rFonts w:ascii="Times New Roman" w:hAnsi="Times New Roman" w:cs="Times New Roman"/>
          <w:sz w:val="16"/>
          <w:szCs w:val="16"/>
        </w:rPr>
        <w:t>”</w:t>
      </w:r>
      <w:r w:rsidRPr="00BE6A29">
        <w:rPr>
          <w:rFonts w:ascii="Times New Roman" w:hAnsi="Times New Roman" w:cs="Times New Roman"/>
          <w:sz w:val="16"/>
          <w:szCs w:val="16"/>
        </w:rPr>
        <w:t xml:space="preserve">, Î.S. </w:t>
      </w:r>
      <w:r>
        <w:rPr>
          <w:rFonts w:ascii="Times New Roman" w:hAnsi="Times New Roman" w:cs="Times New Roman"/>
          <w:sz w:val="16"/>
          <w:szCs w:val="16"/>
        </w:rPr>
        <w:t>„</w:t>
      </w:r>
      <w:r w:rsidRPr="00BE6A29">
        <w:rPr>
          <w:rFonts w:ascii="Times New Roman" w:hAnsi="Times New Roman" w:cs="Times New Roman"/>
          <w:sz w:val="16"/>
          <w:szCs w:val="16"/>
        </w:rPr>
        <w:t>Editura Universul</w:t>
      </w:r>
      <w:r>
        <w:rPr>
          <w:rFonts w:ascii="Times New Roman" w:hAnsi="Times New Roman" w:cs="Times New Roman"/>
          <w:sz w:val="16"/>
          <w:szCs w:val="16"/>
        </w:rPr>
        <w:t>”.</w:t>
      </w:r>
    </w:p>
  </w:footnote>
  <w:footnote w:id="194">
    <w:p w14:paraId="3016C5D9" w14:textId="51DF242B" w:rsidR="00753EA2" w:rsidRPr="00BE6A29" w:rsidRDefault="00753EA2">
      <w:pPr>
        <w:pStyle w:val="a3"/>
        <w:rPr>
          <w:rFonts w:ascii="Times New Roman" w:hAnsi="Times New Roman" w:cs="Times New Roman"/>
          <w:sz w:val="16"/>
          <w:szCs w:val="16"/>
        </w:rPr>
      </w:pPr>
      <w:r w:rsidRPr="00BE6A29">
        <w:rPr>
          <w:rStyle w:val="a5"/>
          <w:rFonts w:ascii="Times New Roman" w:hAnsi="Times New Roman" w:cs="Times New Roman"/>
          <w:sz w:val="16"/>
          <w:szCs w:val="16"/>
        </w:rPr>
        <w:footnoteRef/>
      </w:r>
      <w:r w:rsidRPr="00BE6A29">
        <w:rPr>
          <w:rFonts w:ascii="Times New Roman" w:hAnsi="Times New Roman" w:cs="Times New Roman"/>
          <w:sz w:val="16"/>
          <w:szCs w:val="16"/>
        </w:rPr>
        <w:t xml:space="preserve"> DGACG, BA a CS, Palatul Republicii și Pensiunea din Holercani.</w:t>
      </w:r>
    </w:p>
  </w:footnote>
  <w:footnote w:id="195">
    <w:p w14:paraId="0DE45CF3" w14:textId="77777777" w:rsidR="00753EA2" w:rsidRPr="001919BD" w:rsidRDefault="00753EA2" w:rsidP="00E52AC1">
      <w:pPr>
        <w:pStyle w:val="a3"/>
        <w:rPr>
          <w:sz w:val="16"/>
          <w:szCs w:val="16"/>
          <w:vertAlign w:val="superscript"/>
        </w:rPr>
      </w:pPr>
      <w:r w:rsidRPr="001919BD">
        <w:rPr>
          <w:rStyle w:val="a5"/>
          <w:sz w:val="16"/>
          <w:szCs w:val="16"/>
        </w:rPr>
        <w:footnoteRef/>
      </w:r>
      <w:r w:rsidRPr="001919BD">
        <w:rPr>
          <w:sz w:val="16"/>
          <w:szCs w:val="16"/>
          <w:vertAlign w:val="superscript"/>
        </w:rPr>
        <w:t xml:space="preserve"> </w:t>
      </w:r>
      <w:r w:rsidRPr="001919BD">
        <w:rPr>
          <w:sz w:val="16"/>
          <w:szCs w:val="16"/>
        </w:rPr>
        <w:t>Hotărârea Curții de Conturi nr.2 din 24.01.2020 „Cu privire la Cadrul Declarațiilor Profesionale ale INTOSAI”.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4813"/>
      </v:shape>
    </w:pict>
  </w:numPicBullet>
  <w:abstractNum w:abstractNumId="0" w15:restartNumberingAfterBreak="0">
    <w:nsid w:val="02343B10"/>
    <w:multiLevelType w:val="hybridMultilevel"/>
    <w:tmpl w:val="9BDA96B8"/>
    <w:lvl w:ilvl="0" w:tplc="95E2982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07908"/>
    <w:multiLevelType w:val="hybridMultilevel"/>
    <w:tmpl w:val="F260FD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46EE0"/>
    <w:multiLevelType w:val="hybridMultilevel"/>
    <w:tmpl w:val="846E0628"/>
    <w:lvl w:ilvl="0" w:tplc="9038519E">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C05383"/>
    <w:multiLevelType w:val="hybridMultilevel"/>
    <w:tmpl w:val="40D0CFDC"/>
    <w:lvl w:ilvl="0" w:tplc="BB5EBCF2">
      <w:start w:val="1"/>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1E391740"/>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F571508"/>
    <w:multiLevelType w:val="multilevel"/>
    <w:tmpl w:val="EDFC6FD4"/>
    <w:lvl w:ilvl="0">
      <w:start w:val="4"/>
      <w:numFmt w:val="decimal"/>
      <w:lvlText w:val="%1"/>
      <w:lvlJc w:val="left"/>
      <w:pPr>
        <w:ind w:left="480" w:hanging="480"/>
      </w:pPr>
      <w:rPr>
        <w:rFonts w:eastAsia="Times New Roman" w:hint="default"/>
        <w:color w:val="0070C0"/>
      </w:rPr>
    </w:lvl>
    <w:lvl w:ilvl="1">
      <w:start w:val="4"/>
      <w:numFmt w:val="decimal"/>
      <w:lvlText w:val="%1.%2"/>
      <w:lvlJc w:val="left"/>
      <w:pPr>
        <w:ind w:left="480" w:hanging="480"/>
      </w:pPr>
      <w:rPr>
        <w:rFonts w:eastAsia="Times New Roman" w:hint="default"/>
        <w:color w:val="0070C0"/>
      </w:rPr>
    </w:lvl>
    <w:lvl w:ilvl="2">
      <w:start w:val="1"/>
      <w:numFmt w:val="decimal"/>
      <w:lvlText w:val="%1.%2.%3"/>
      <w:lvlJc w:val="left"/>
      <w:pPr>
        <w:ind w:left="720" w:hanging="720"/>
      </w:pPr>
      <w:rPr>
        <w:rFonts w:eastAsia="Times New Roman" w:hint="default"/>
        <w:color w:val="0070C0"/>
      </w:rPr>
    </w:lvl>
    <w:lvl w:ilvl="3">
      <w:start w:val="1"/>
      <w:numFmt w:val="decimal"/>
      <w:lvlText w:val="%1.%2.%3.%4"/>
      <w:lvlJc w:val="left"/>
      <w:pPr>
        <w:ind w:left="720" w:hanging="720"/>
      </w:pPr>
      <w:rPr>
        <w:rFonts w:eastAsia="Times New Roman" w:hint="default"/>
        <w:color w:val="0070C0"/>
      </w:rPr>
    </w:lvl>
    <w:lvl w:ilvl="4">
      <w:start w:val="1"/>
      <w:numFmt w:val="decimal"/>
      <w:lvlText w:val="%1.%2.%3.%4.%5"/>
      <w:lvlJc w:val="left"/>
      <w:pPr>
        <w:ind w:left="1080" w:hanging="1080"/>
      </w:pPr>
      <w:rPr>
        <w:rFonts w:eastAsia="Times New Roman" w:hint="default"/>
        <w:color w:val="0070C0"/>
      </w:rPr>
    </w:lvl>
    <w:lvl w:ilvl="5">
      <w:start w:val="1"/>
      <w:numFmt w:val="decimal"/>
      <w:lvlText w:val="%1.%2.%3.%4.%5.%6"/>
      <w:lvlJc w:val="left"/>
      <w:pPr>
        <w:ind w:left="1080" w:hanging="1080"/>
      </w:pPr>
      <w:rPr>
        <w:rFonts w:eastAsia="Times New Roman" w:hint="default"/>
        <w:color w:val="0070C0"/>
      </w:rPr>
    </w:lvl>
    <w:lvl w:ilvl="6">
      <w:start w:val="1"/>
      <w:numFmt w:val="decimal"/>
      <w:lvlText w:val="%1.%2.%3.%4.%5.%6.%7"/>
      <w:lvlJc w:val="left"/>
      <w:pPr>
        <w:ind w:left="1440" w:hanging="1440"/>
      </w:pPr>
      <w:rPr>
        <w:rFonts w:eastAsia="Times New Roman" w:hint="default"/>
        <w:color w:val="0070C0"/>
      </w:rPr>
    </w:lvl>
    <w:lvl w:ilvl="7">
      <w:start w:val="1"/>
      <w:numFmt w:val="decimal"/>
      <w:lvlText w:val="%1.%2.%3.%4.%5.%6.%7.%8"/>
      <w:lvlJc w:val="left"/>
      <w:pPr>
        <w:ind w:left="1440" w:hanging="1440"/>
      </w:pPr>
      <w:rPr>
        <w:rFonts w:eastAsia="Times New Roman" w:hint="default"/>
        <w:color w:val="0070C0"/>
      </w:rPr>
    </w:lvl>
    <w:lvl w:ilvl="8">
      <w:start w:val="1"/>
      <w:numFmt w:val="decimal"/>
      <w:lvlText w:val="%1.%2.%3.%4.%5.%6.%7.%8.%9"/>
      <w:lvlJc w:val="left"/>
      <w:pPr>
        <w:ind w:left="1800" w:hanging="1800"/>
      </w:pPr>
      <w:rPr>
        <w:rFonts w:eastAsia="Times New Roman" w:hint="default"/>
        <w:color w:val="0070C0"/>
      </w:rPr>
    </w:lvl>
  </w:abstractNum>
  <w:abstractNum w:abstractNumId="6" w15:restartNumberingAfterBreak="0">
    <w:nsid w:val="22AE18F9"/>
    <w:multiLevelType w:val="multilevel"/>
    <w:tmpl w:val="7B96AC50"/>
    <w:styleLink w:val="Styl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4.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3FF2E2E"/>
    <w:multiLevelType w:val="multilevel"/>
    <w:tmpl w:val="7FAA0006"/>
    <w:lvl w:ilvl="0">
      <w:start w:val="1"/>
      <w:numFmt w:val="upperRoman"/>
      <w:lvlText w:val="%1."/>
      <w:lvlJc w:val="right"/>
      <w:pPr>
        <w:ind w:left="1584" w:hanging="360"/>
      </w:pPr>
      <w:rPr>
        <w:rFonts w:hint="default"/>
        <w:b/>
        <w:i w:val="0"/>
        <w:color w:val="2F5496" w:themeColor="accent5" w:themeShade="BF"/>
        <w:sz w:val="28"/>
        <w:szCs w:val="28"/>
      </w:rPr>
    </w:lvl>
    <w:lvl w:ilvl="1">
      <w:start w:val="1"/>
      <w:numFmt w:val="decimal"/>
      <w:isLgl/>
      <w:lvlText w:val="%1.%2."/>
      <w:lvlJc w:val="left"/>
      <w:pPr>
        <w:ind w:left="1620" w:hanging="396"/>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1944"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304" w:hanging="1080"/>
      </w:pPr>
      <w:rPr>
        <w:rFonts w:hint="default"/>
      </w:rPr>
    </w:lvl>
    <w:lvl w:ilvl="6">
      <w:start w:val="1"/>
      <w:numFmt w:val="decimal"/>
      <w:isLgl/>
      <w:lvlText w:val="%1.%2.%3.%4.%5.%6.%7."/>
      <w:lvlJc w:val="left"/>
      <w:pPr>
        <w:ind w:left="2664" w:hanging="1440"/>
      </w:pPr>
      <w:rPr>
        <w:rFonts w:hint="default"/>
      </w:rPr>
    </w:lvl>
    <w:lvl w:ilvl="7">
      <w:start w:val="1"/>
      <w:numFmt w:val="decimal"/>
      <w:isLgl/>
      <w:lvlText w:val="%1.%2.%3.%4.%5.%6.%7.%8."/>
      <w:lvlJc w:val="left"/>
      <w:pPr>
        <w:ind w:left="2664" w:hanging="1440"/>
      </w:pPr>
      <w:rPr>
        <w:rFonts w:hint="default"/>
      </w:rPr>
    </w:lvl>
    <w:lvl w:ilvl="8">
      <w:start w:val="1"/>
      <w:numFmt w:val="decimal"/>
      <w:isLgl/>
      <w:lvlText w:val="%1.%2.%3.%4.%5.%6.%7.%8.%9."/>
      <w:lvlJc w:val="left"/>
      <w:pPr>
        <w:ind w:left="3024" w:hanging="1800"/>
      </w:pPr>
      <w:rPr>
        <w:rFonts w:hint="default"/>
      </w:rPr>
    </w:lvl>
  </w:abstractNum>
  <w:abstractNum w:abstractNumId="8" w15:restartNumberingAfterBreak="0">
    <w:nsid w:val="2A496A27"/>
    <w:multiLevelType w:val="hybridMultilevel"/>
    <w:tmpl w:val="5E7C26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DB25D0"/>
    <w:multiLevelType w:val="hybridMultilevel"/>
    <w:tmpl w:val="F57062EC"/>
    <w:lvl w:ilvl="0" w:tplc="720CD018">
      <w:start w:val="1"/>
      <w:numFmt w:val="lowerRoman"/>
      <w:lvlText w:val="(%1)"/>
      <w:lvlJc w:val="left"/>
      <w:pPr>
        <w:ind w:left="1080" w:hanging="72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F802C9"/>
    <w:multiLevelType w:val="hybridMultilevel"/>
    <w:tmpl w:val="8ADE0D70"/>
    <w:lvl w:ilvl="0" w:tplc="E9D2A83A">
      <w:start w:val="1"/>
      <w:numFmt w:val="upperRoman"/>
      <w:lvlText w:val="%1."/>
      <w:lvlJc w:val="left"/>
      <w:pPr>
        <w:ind w:left="1080" w:hanging="72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DF4884"/>
    <w:multiLevelType w:val="hybridMultilevel"/>
    <w:tmpl w:val="1620145C"/>
    <w:lvl w:ilvl="0" w:tplc="53544FF2">
      <w:start w:val="1"/>
      <w:numFmt w:val="lowerRoman"/>
      <w:lvlText w:val="(%1)"/>
      <w:lvlJc w:val="left"/>
      <w:pPr>
        <w:ind w:left="3191" w:hanging="360"/>
      </w:pPr>
      <w:rPr>
        <w:rFonts w:hint="default"/>
        <w:b/>
      </w:rPr>
    </w:lvl>
    <w:lvl w:ilvl="1" w:tplc="04090019" w:tentative="1">
      <w:start w:val="1"/>
      <w:numFmt w:val="lowerLetter"/>
      <w:lvlText w:val="%2."/>
      <w:lvlJc w:val="left"/>
      <w:pPr>
        <w:ind w:left="3911" w:hanging="360"/>
      </w:pPr>
    </w:lvl>
    <w:lvl w:ilvl="2" w:tplc="0409001B" w:tentative="1">
      <w:start w:val="1"/>
      <w:numFmt w:val="lowerRoman"/>
      <w:lvlText w:val="%3."/>
      <w:lvlJc w:val="right"/>
      <w:pPr>
        <w:ind w:left="4631" w:hanging="180"/>
      </w:pPr>
    </w:lvl>
    <w:lvl w:ilvl="3" w:tplc="0409000F" w:tentative="1">
      <w:start w:val="1"/>
      <w:numFmt w:val="decimal"/>
      <w:lvlText w:val="%4."/>
      <w:lvlJc w:val="left"/>
      <w:pPr>
        <w:ind w:left="5351" w:hanging="360"/>
      </w:pPr>
    </w:lvl>
    <w:lvl w:ilvl="4" w:tplc="04090019" w:tentative="1">
      <w:start w:val="1"/>
      <w:numFmt w:val="lowerLetter"/>
      <w:lvlText w:val="%5."/>
      <w:lvlJc w:val="left"/>
      <w:pPr>
        <w:ind w:left="6071" w:hanging="360"/>
      </w:pPr>
    </w:lvl>
    <w:lvl w:ilvl="5" w:tplc="0409001B" w:tentative="1">
      <w:start w:val="1"/>
      <w:numFmt w:val="lowerRoman"/>
      <w:lvlText w:val="%6."/>
      <w:lvlJc w:val="right"/>
      <w:pPr>
        <w:ind w:left="6791" w:hanging="180"/>
      </w:pPr>
    </w:lvl>
    <w:lvl w:ilvl="6" w:tplc="0409000F" w:tentative="1">
      <w:start w:val="1"/>
      <w:numFmt w:val="decimal"/>
      <w:lvlText w:val="%7."/>
      <w:lvlJc w:val="left"/>
      <w:pPr>
        <w:ind w:left="7511" w:hanging="360"/>
      </w:pPr>
    </w:lvl>
    <w:lvl w:ilvl="7" w:tplc="04090019" w:tentative="1">
      <w:start w:val="1"/>
      <w:numFmt w:val="lowerLetter"/>
      <w:lvlText w:val="%8."/>
      <w:lvlJc w:val="left"/>
      <w:pPr>
        <w:ind w:left="8231" w:hanging="360"/>
      </w:pPr>
    </w:lvl>
    <w:lvl w:ilvl="8" w:tplc="0409001B" w:tentative="1">
      <w:start w:val="1"/>
      <w:numFmt w:val="lowerRoman"/>
      <w:lvlText w:val="%9."/>
      <w:lvlJc w:val="right"/>
      <w:pPr>
        <w:ind w:left="8951" w:hanging="180"/>
      </w:pPr>
    </w:lvl>
  </w:abstractNum>
  <w:abstractNum w:abstractNumId="12" w15:restartNumberingAfterBreak="0">
    <w:nsid w:val="33B7209B"/>
    <w:multiLevelType w:val="hybridMultilevel"/>
    <w:tmpl w:val="BE66E696"/>
    <w:lvl w:ilvl="0" w:tplc="B8622FA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282AE0"/>
    <w:multiLevelType w:val="hybridMultilevel"/>
    <w:tmpl w:val="981044C0"/>
    <w:lvl w:ilvl="0" w:tplc="E1448984">
      <w:start w:val="1"/>
      <w:numFmt w:val="lowerRoman"/>
      <w:lvlText w:val="(%1)"/>
      <w:lvlJc w:val="left"/>
      <w:pPr>
        <w:ind w:left="1080" w:hanging="720"/>
      </w:pPr>
      <w:rPr>
        <w:rFonts w:eastAsia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CA3554"/>
    <w:multiLevelType w:val="hybridMultilevel"/>
    <w:tmpl w:val="C4CEA1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C67ADD"/>
    <w:multiLevelType w:val="hybridMultilevel"/>
    <w:tmpl w:val="7A9656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3B1051"/>
    <w:multiLevelType w:val="hybridMultilevel"/>
    <w:tmpl w:val="E60E3040"/>
    <w:lvl w:ilvl="0" w:tplc="00000003">
      <w:start w:val="1"/>
      <w:numFmt w:val="bullet"/>
      <w:lvlText w:val=""/>
      <w:lvlJc w:val="left"/>
      <w:pPr>
        <w:ind w:left="720" w:hanging="360"/>
      </w:pPr>
      <w:rPr>
        <w:rFonts w:ascii="Wingdings" w:hAnsi="Wingdings" w:cs="Open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5C2FB9"/>
    <w:multiLevelType w:val="multilevel"/>
    <w:tmpl w:val="6F5479EC"/>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1004" w:hanging="720"/>
      </w:pPr>
      <w:rPr>
        <w:rFonts w:hint="default"/>
        <w:color w:val="0070C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AF45BDB"/>
    <w:multiLevelType w:val="hybridMultilevel"/>
    <w:tmpl w:val="2500BD90"/>
    <w:lvl w:ilvl="0" w:tplc="0409000D">
      <w:start w:val="1"/>
      <w:numFmt w:val="bullet"/>
      <w:lvlText w:val=""/>
      <w:lvlJc w:val="left"/>
      <w:pPr>
        <w:ind w:left="1070" w:hanging="360"/>
      </w:pPr>
      <w:rPr>
        <w:rFonts w:ascii="Wingdings" w:hAnsi="Wingdings" w:hint="default"/>
        <w:color w:val="auto"/>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9" w15:restartNumberingAfterBreak="0">
    <w:nsid w:val="417278D3"/>
    <w:multiLevelType w:val="hybridMultilevel"/>
    <w:tmpl w:val="69369664"/>
    <w:lvl w:ilvl="0" w:tplc="EB78FB54">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F45D97"/>
    <w:multiLevelType w:val="hybridMultilevel"/>
    <w:tmpl w:val="45BCB332"/>
    <w:lvl w:ilvl="0" w:tplc="08A279A4">
      <w:start w:val="1"/>
      <w:numFmt w:val="decimal"/>
      <w:lvlText w:val="(%1)"/>
      <w:lvlJc w:val="left"/>
      <w:pPr>
        <w:ind w:left="720" w:hanging="360"/>
      </w:pPr>
      <w:rPr>
        <w:rFonts w:asciiTheme="minorHAnsi" w:eastAsiaTheme="minorHAnsi" w:hAnsiTheme="minorHAnsi" w:cstheme="minorHAnsi"/>
        <w:b/>
        <w:i/>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057559"/>
    <w:multiLevelType w:val="hybridMultilevel"/>
    <w:tmpl w:val="04208A5C"/>
    <w:lvl w:ilvl="0" w:tplc="04090017">
      <w:start w:val="1"/>
      <w:numFmt w:val="low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4E77A5"/>
    <w:multiLevelType w:val="hybridMultilevel"/>
    <w:tmpl w:val="963E39AA"/>
    <w:lvl w:ilvl="0" w:tplc="215E6E5E">
      <w:start w:val="2"/>
      <w:numFmt w:val="bullet"/>
      <w:lvlText w:val="-"/>
      <w:lvlJc w:val="left"/>
      <w:pPr>
        <w:ind w:left="399" w:hanging="360"/>
      </w:pPr>
      <w:rPr>
        <w:rFonts w:ascii="Calibri Light" w:eastAsia="Calibri" w:hAnsi="Calibri Light" w:cs="Calibri Light" w:hint="default"/>
      </w:rPr>
    </w:lvl>
    <w:lvl w:ilvl="1" w:tplc="04090003" w:tentative="1">
      <w:start w:val="1"/>
      <w:numFmt w:val="bullet"/>
      <w:lvlText w:val="o"/>
      <w:lvlJc w:val="left"/>
      <w:pPr>
        <w:ind w:left="1119" w:hanging="360"/>
      </w:pPr>
      <w:rPr>
        <w:rFonts w:ascii="Courier New" w:hAnsi="Courier New" w:cs="Courier New" w:hint="default"/>
      </w:rPr>
    </w:lvl>
    <w:lvl w:ilvl="2" w:tplc="04090005" w:tentative="1">
      <w:start w:val="1"/>
      <w:numFmt w:val="bullet"/>
      <w:lvlText w:val=""/>
      <w:lvlJc w:val="left"/>
      <w:pPr>
        <w:ind w:left="1839" w:hanging="360"/>
      </w:pPr>
      <w:rPr>
        <w:rFonts w:ascii="Wingdings" w:hAnsi="Wingdings" w:hint="default"/>
      </w:rPr>
    </w:lvl>
    <w:lvl w:ilvl="3" w:tplc="04090001" w:tentative="1">
      <w:start w:val="1"/>
      <w:numFmt w:val="bullet"/>
      <w:lvlText w:val=""/>
      <w:lvlJc w:val="left"/>
      <w:pPr>
        <w:ind w:left="2559" w:hanging="360"/>
      </w:pPr>
      <w:rPr>
        <w:rFonts w:ascii="Symbol" w:hAnsi="Symbol" w:hint="default"/>
      </w:rPr>
    </w:lvl>
    <w:lvl w:ilvl="4" w:tplc="04090003" w:tentative="1">
      <w:start w:val="1"/>
      <w:numFmt w:val="bullet"/>
      <w:lvlText w:val="o"/>
      <w:lvlJc w:val="left"/>
      <w:pPr>
        <w:ind w:left="3279" w:hanging="360"/>
      </w:pPr>
      <w:rPr>
        <w:rFonts w:ascii="Courier New" w:hAnsi="Courier New" w:cs="Courier New" w:hint="default"/>
      </w:rPr>
    </w:lvl>
    <w:lvl w:ilvl="5" w:tplc="04090005" w:tentative="1">
      <w:start w:val="1"/>
      <w:numFmt w:val="bullet"/>
      <w:lvlText w:val=""/>
      <w:lvlJc w:val="left"/>
      <w:pPr>
        <w:ind w:left="3999" w:hanging="360"/>
      </w:pPr>
      <w:rPr>
        <w:rFonts w:ascii="Wingdings" w:hAnsi="Wingdings" w:hint="default"/>
      </w:rPr>
    </w:lvl>
    <w:lvl w:ilvl="6" w:tplc="04090001" w:tentative="1">
      <w:start w:val="1"/>
      <w:numFmt w:val="bullet"/>
      <w:lvlText w:val=""/>
      <w:lvlJc w:val="left"/>
      <w:pPr>
        <w:ind w:left="4719" w:hanging="360"/>
      </w:pPr>
      <w:rPr>
        <w:rFonts w:ascii="Symbol" w:hAnsi="Symbol" w:hint="default"/>
      </w:rPr>
    </w:lvl>
    <w:lvl w:ilvl="7" w:tplc="04090003" w:tentative="1">
      <w:start w:val="1"/>
      <w:numFmt w:val="bullet"/>
      <w:lvlText w:val="o"/>
      <w:lvlJc w:val="left"/>
      <w:pPr>
        <w:ind w:left="5439" w:hanging="360"/>
      </w:pPr>
      <w:rPr>
        <w:rFonts w:ascii="Courier New" w:hAnsi="Courier New" w:cs="Courier New" w:hint="default"/>
      </w:rPr>
    </w:lvl>
    <w:lvl w:ilvl="8" w:tplc="04090005" w:tentative="1">
      <w:start w:val="1"/>
      <w:numFmt w:val="bullet"/>
      <w:lvlText w:val=""/>
      <w:lvlJc w:val="left"/>
      <w:pPr>
        <w:ind w:left="6159" w:hanging="360"/>
      </w:pPr>
      <w:rPr>
        <w:rFonts w:ascii="Wingdings" w:hAnsi="Wingdings" w:hint="default"/>
      </w:rPr>
    </w:lvl>
  </w:abstractNum>
  <w:abstractNum w:abstractNumId="23" w15:restartNumberingAfterBreak="0">
    <w:nsid w:val="43DB6A2E"/>
    <w:multiLevelType w:val="multilevel"/>
    <w:tmpl w:val="62DE43F2"/>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7597756"/>
    <w:multiLevelType w:val="hybridMultilevel"/>
    <w:tmpl w:val="89BC9810"/>
    <w:lvl w:ilvl="0" w:tplc="49D4D6F0">
      <w:start w:val="1"/>
      <w:numFmt w:val="lowerRoman"/>
      <w:lvlText w:val="(%1)"/>
      <w:lvlJc w:val="left"/>
      <w:pPr>
        <w:ind w:left="1080" w:hanging="72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471988"/>
    <w:multiLevelType w:val="hybridMultilevel"/>
    <w:tmpl w:val="C5D2BA88"/>
    <w:lvl w:ilvl="0" w:tplc="A92A3D7A">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097BF6"/>
    <w:multiLevelType w:val="hybridMultilevel"/>
    <w:tmpl w:val="37F083C4"/>
    <w:lvl w:ilvl="0" w:tplc="04090017">
      <w:start w:val="1"/>
      <w:numFmt w:val="lowerLetter"/>
      <w:lvlText w:val="%1)"/>
      <w:lvlJc w:val="left"/>
      <w:pPr>
        <w:ind w:left="720" w:hanging="720"/>
      </w:pPr>
      <w:rPr>
        <w:rFonts w:hint="default"/>
        <w:b/>
        <w:color w:val="2F5496" w:themeColor="accent5" w:themeShade="BF"/>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27" w15:restartNumberingAfterBreak="0">
    <w:nsid w:val="4A9744E8"/>
    <w:multiLevelType w:val="hybridMultilevel"/>
    <w:tmpl w:val="33BAEB8C"/>
    <w:lvl w:ilvl="0" w:tplc="604CD6A6">
      <w:start w:val="1"/>
      <w:numFmt w:val="lowerLetter"/>
      <w:lvlText w:val="(%1)"/>
      <w:lvlJc w:val="left"/>
      <w:pPr>
        <w:ind w:left="177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32115D"/>
    <w:multiLevelType w:val="multilevel"/>
    <w:tmpl w:val="D0A6F0AE"/>
    <w:lvl w:ilvl="0">
      <w:start w:val="1"/>
      <w:numFmt w:val="decimal"/>
      <w:lvlText w:val="%1."/>
      <w:lvlJc w:val="left"/>
      <w:pPr>
        <w:ind w:left="720" w:hanging="360"/>
      </w:pPr>
      <w:rPr>
        <w:rFonts w:ascii="Times New Roman" w:hAnsi="Times New Roman" w:cs="Times New Roman" w:hint="default"/>
        <w:b/>
        <w:sz w:val="24"/>
        <w:szCs w:val="24"/>
      </w:rPr>
    </w:lvl>
    <w:lvl w:ilvl="1">
      <w:start w:val="1"/>
      <w:numFmt w:val="decimal"/>
      <w:isLgl/>
      <w:lvlText w:val="%1.%2."/>
      <w:lvlJc w:val="left"/>
      <w:pPr>
        <w:ind w:left="840" w:hanging="480"/>
      </w:pPr>
      <w:rPr>
        <w:rFonts w:hint="default"/>
        <w:b/>
        <w:sz w:val="24"/>
        <w:szCs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abstractNum w:abstractNumId="29" w15:restartNumberingAfterBreak="0">
    <w:nsid w:val="4E596AE1"/>
    <w:multiLevelType w:val="hybridMultilevel"/>
    <w:tmpl w:val="254C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2B7322"/>
    <w:multiLevelType w:val="hybridMultilevel"/>
    <w:tmpl w:val="2C18EBE2"/>
    <w:lvl w:ilvl="0" w:tplc="C7DCB61A">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0D4530"/>
    <w:multiLevelType w:val="hybridMultilevel"/>
    <w:tmpl w:val="04488A22"/>
    <w:lvl w:ilvl="0" w:tplc="31DC1F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0E24A7"/>
    <w:multiLevelType w:val="hybridMultilevel"/>
    <w:tmpl w:val="73F4F806"/>
    <w:lvl w:ilvl="0" w:tplc="A036D6C8">
      <w:start w:val="1"/>
      <w:numFmt w:val="upperRoman"/>
      <w:lvlText w:val="%1."/>
      <w:lvlJc w:val="left"/>
      <w:pPr>
        <w:ind w:left="862" w:hanging="720"/>
      </w:pPr>
      <w:rPr>
        <w:rFonts w:hint="default"/>
        <w:b/>
        <w:i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4021A3"/>
    <w:multiLevelType w:val="hybridMultilevel"/>
    <w:tmpl w:val="331625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AC13F9"/>
    <w:multiLevelType w:val="hybridMultilevel"/>
    <w:tmpl w:val="06BCA94C"/>
    <w:lvl w:ilvl="0" w:tplc="463825C4">
      <w:start w:val="1"/>
      <w:numFmt w:val="lowerRoman"/>
      <w:lvlText w:val="(%1)"/>
      <w:lvlJc w:val="left"/>
      <w:pPr>
        <w:ind w:left="1080" w:hanging="720"/>
      </w:pPr>
      <w:rPr>
        <w:rFonts w:hint="default"/>
        <w:b/>
        <w:color w:val="2F5496" w:themeColor="accent5"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B71D2A"/>
    <w:multiLevelType w:val="hybridMultilevel"/>
    <w:tmpl w:val="8E10954E"/>
    <w:lvl w:ilvl="0" w:tplc="D3B0874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1460E6"/>
    <w:multiLevelType w:val="multilevel"/>
    <w:tmpl w:val="747062BE"/>
    <w:lvl w:ilvl="0">
      <w:start w:val="4"/>
      <w:numFmt w:val="decimal"/>
      <w:lvlText w:val="%1."/>
      <w:lvlJc w:val="left"/>
      <w:pPr>
        <w:ind w:left="444" w:hanging="444"/>
      </w:pPr>
      <w:rPr>
        <w:rFonts w:hint="default"/>
      </w:rPr>
    </w:lvl>
    <w:lvl w:ilvl="1">
      <w:start w:val="1"/>
      <w:numFmt w:val="decimal"/>
      <w:lvlText w:val="%1.%2."/>
      <w:lvlJc w:val="left"/>
      <w:pPr>
        <w:ind w:left="720" w:hanging="720"/>
      </w:pPr>
      <w:rPr>
        <w:rFonts w:hint="default"/>
        <w:b/>
        <w:color w:val="1F3864" w:themeColor="accent5" w:themeShade="80"/>
      </w:rPr>
    </w:lvl>
    <w:lvl w:ilvl="2">
      <w:start w:val="1"/>
      <w:numFmt w:val="decimal"/>
      <w:lvlText w:val="%1.%2.%3."/>
      <w:lvlJc w:val="left"/>
      <w:pPr>
        <w:ind w:left="1288" w:hanging="720"/>
      </w:pPr>
      <w:rPr>
        <w:rFonts w:ascii="Times New Roman" w:hAnsi="Times New Roman" w:cs="Times New Roman" w:hint="default"/>
        <w:b/>
        <w:color w:val="0070C0"/>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0F6162B"/>
    <w:multiLevelType w:val="hybridMultilevel"/>
    <w:tmpl w:val="CB40E9DC"/>
    <w:lvl w:ilvl="0" w:tplc="8C8AEDAC">
      <w:start w:val="1"/>
      <w:numFmt w:val="lowerRoman"/>
      <w:lvlText w:val="(%1)"/>
      <w:lvlJc w:val="left"/>
      <w:pPr>
        <w:ind w:left="928" w:hanging="360"/>
      </w:pPr>
      <w:rPr>
        <w:rFonts w:hint="default"/>
        <w:b/>
        <w:i/>
        <w:color w:val="2E74B5" w:themeColor="accent1" w:themeShade="BF"/>
        <w:sz w:val="24"/>
      </w:rPr>
    </w:lvl>
    <w:lvl w:ilvl="1" w:tplc="569E61E8">
      <w:start w:val="1"/>
      <w:numFmt w:val="decimal"/>
      <w:lvlText w:val="%2)"/>
      <w:lvlJc w:val="left"/>
      <w:pPr>
        <w:ind w:left="1724" w:hanging="360"/>
      </w:pPr>
      <w:rPr>
        <w:rFonts w:cstheme="majorHAnsi" w:hint="default"/>
        <w:b/>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8" w15:restartNumberingAfterBreak="0">
    <w:nsid w:val="68705C8B"/>
    <w:multiLevelType w:val="hybridMultilevel"/>
    <w:tmpl w:val="95683D56"/>
    <w:lvl w:ilvl="0" w:tplc="FA926546">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EE6C56"/>
    <w:multiLevelType w:val="hybridMultilevel"/>
    <w:tmpl w:val="85BAC638"/>
    <w:lvl w:ilvl="0" w:tplc="B072A020">
      <w:start w:val="5"/>
      <w:numFmt w:val="bullet"/>
      <w:lvlText w:val="-"/>
      <w:lvlJc w:val="left"/>
      <w:pPr>
        <w:ind w:left="720" w:hanging="360"/>
      </w:pPr>
      <w:rPr>
        <w:rFonts w:ascii="Calibri Light" w:eastAsia="Calibr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7A1333"/>
    <w:multiLevelType w:val="hybridMultilevel"/>
    <w:tmpl w:val="F7306E4E"/>
    <w:lvl w:ilvl="0" w:tplc="FA424FC0">
      <w:start w:val="1"/>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1" w15:restartNumberingAfterBreak="0">
    <w:nsid w:val="74610F16"/>
    <w:multiLevelType w:val="hybridMultilevel"/>
    <w:tmpl w:val="EC6A4F78"/>
    <w:lvl w:ilvl="0" w:tplc="0409000B">
      <w:start w:val="1"/>
      <w:numFmt w:val="bullet"/>
      <w:lvlText w:val=""/>
      <w:lvlJc w:val="left"/>
      <w:pPr>
        <w:ind w:left="720" w:hanging="360"/>
      </w:pPr>
      <w:rPr>
        <w:rFonts w:ascii="Wingdings" w:hAnsi="Wingdings"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BE34C4"/>
    <w:multiLevelType w:val="hybridMultilevel"/>
    <w:tmpl w:val="513009A2"/>
    <w:lvl w:ilvl="0" w:tplc="F2D22A18">
      <w:start w:val="1"/>
      <w:numFmt w:val="decimal"/>
      <w:lvlText w:val="(%1)"/>
      <w:lvlJc w:val="left"/>
      <w:pPr>
        <w:ind w:left="1080" w:hanging="720"/>
      </w:pPr>
      <w:rPr>
        <w:rFonts w:asciiTheme="majorHAnsi" w:eastAsiaTheme="minorHAnsi" w:hAnsiTheme="majorHAnsi" w:cstheme="majorHAnsi"/>
        <w:b w:val="0"/>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696129"/>
    <w:multiLevelType w:val="hybridMultilevel"/>
    <w:tmpl w:val="987ECA22"/>
    <w:lvl w:ilvl="0" w:tplc="32509414">
      <w:start w:val="1"/>
      <w:numFmt w:val="lowerRoman"/>
      <w:lvlText w:val="(%1)"/>
      <w:lvlJc w:val="left"/>
      <w:pPr>
        <w:ind w:left="759" w:hanging="720"/>
      </w:pPr>
      <w:rPr>
        <w:rFonts w:hint="default"/>
        <w:b/>
      </w:rPr>
    </w:lvl>
    <w:lvl w:ilvl="1" w:tplc="04090019" w:tentative="1">
      <w:start w:val="1"/>
      <w:numFmt w:val="lowerLetter"/>
      <w:lvlText w:val="%2."/>
      <w:lvlJc w:val="left"/>
      <w:pPr>
        <w:ind w:left="1119" w:hanging="360"/>
      </w:pPr>
    </w:lvl>
    <w:lvl w:ilvl="2" w:tplc="0409001B" w:tentative="1">
      <w:start w:val="1"/>
      <w:numFmt w:val="lowerRoman"/>
      <w:lvlText w:val="%3."/>
      <w:lvlJc w:val="right"/>
      <w:pPr>
        <w:ind w:left="1839" w:hanging="180"/>
      </w:pPr>
    </w:lvl>
    <w:lvl w:ilvl="3" w:tplc="0409000F" w:tentative="1">
      <w:start w:val="1"/>
      <w:numFmt w:val="decimal"/>
      <w:lvlText w:val="%4."/>
      <w:lvlJc w:val="left"/>
      <w:pPr>
        <w:ind w:left="2559" w:hanging="360"/>
      </w:pPr>
    </w:lvl>
    <w:lvl w:ilvl="4" w:tplc="04090019" w:tentative="1">
      <w:start w:val="1"/>
      <w:numFmt w:val="lowerLetter"/>
      <w:lvlText w:val="%5."/>
      <w:lvlJc w:val="left"/>
      <w:pPr>
        <w:ind w:left="3279" w:hanging="360"/>
      </w:pPr>
    </w:lvl>
    <w:lvl w:ilvl="5" w:tplc="0409001B" w:tentative="1">
      <w:start w:val="1"/>
      <w:numFmt w:val="lowerRoman"/>
      <w:lvlText w:val="%6."/>
      <w:lvlJc w:val="right"/>
      <w:pPr>
        <w:ind w:left="3999" w:hanging="180"/>
      </w:pPr>
    </w:lvl>
    <w:lvl w:ilvl="6" w:tplc="0409000F" w:tentative="1">
      <w:start w:val="1"/>
      <w:numFmt w:val="decimal"/>
      <w:lvlText w:val="%7."/>
      <w:lvlJc w:val="left"/>
      <w:pPr>
        <w:ind w:left="4719" w:hanging="360"/>
      </w:pPr>
    </w:lvl>
    <w:lvl w:ilvl="7" w:tplc="04090019" w:tentative="1">
      <w:start w:val="1"/>
      <w:numFmt w:val="lowerLetter"/>
      <w:lvlText w:val="%8."/>
      <w:lvlJc w:val="left"/>
      <w:pPr>
        <w:ind w:left="5439" w:hanging="360"/>
      </w:pPr>
    </w:lvl>
    <w:lvl w:ilvl="8" w:tplc="0409001B" w:tentative="1">
      <w:start w:val="1"/>
      <w:numFmt w:val="lowerRoman"/>
      <w:lvlText w:val="%9."/>
      <w:lvlJc w:val="right"/>
      <w:pPr>
        <w:ind w:left="6159" w:hanging="180"/>
      </w:pPr>
    </w:lvl>
  </w:abstractNum>
  <w:abstractNum w:abstractNumId="44" w15:restartNumberingAfterBreak="0">
    <w:nsid w:val="7A9A27A5"/>
    <w:multiLevelType w:val="hybridMultilevel"/>
    <w:tmpl w:val="3C9EE948"/>
    <w:lvl w:ilvl="0" w:tplc="22465AD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724F1F"/>
    <w:multiLevelType w:val="hybridMultilevel"/>
    <w:tmpl w:val="33F238D0"/>
    <w:lvl w:ilvl="0" w:tplc="0B3C67DC">
      <w:start w:val="2"/>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C12E99"/>
    <w:multiLevelType w:val="hybridMultilevel"/>
    <w:tmpl w:val="C834FCEE"/>
    <w:lvl w:ilvl="0" w:tplc="040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7"/>
  </w:num>
  <w:num w:numId="2">
    <w:abstractNumId w:val="6"/>
  </w:num>
  <w:num w:numId="3">
    <w:abstractNumId w:val="4"/>
  </w:num>
  <w:num w:numId="4">
    <w:abstractNumId w:val="36"/>
  </w:num>
  <w:num w:numId="5">
    <w:abstractNumId w:val="15"/>
  </w:num>
  <w:num w:numId="6">
    <w:abstractNumId w:val="7"/>
  </w:num>
  <w:num w:numId="7">
    <w:abstractNumId w:val="18"/>
  </w:num>
  <w:num w:numId="8">
    <w:abstractNumId w:val="34"/>
  </w:num>
  <w:num w:numId="9">
    <w:abstractNumId w:val="0"/>
  </w:num>
  <w:num w:numId="10">
    <w:abstractNumId w:val="45"/>
  </w:num>
  <w:num w:numId="11">
    <w:abstractNumId w:val="20"/>
  </w:num>
  <w:num w:numId="12">
    <w:abstractNumId w:val="12"/>
  </w:num>
  <w:num w:numId="13">
    <w:abstractNumId w:val="8"/>
  </w:num>
  <w:num w:numId="14">
    <w:abstractNumId w:val="41"/>
  </w:num>
  <w:num w:numId="15">
    <w:abstractNumId w:val="21"/>
  </w:num>
  <w:num w:numId="16">
    <w:abstractNumId w:val="42"/>
  </w:num>
  <w:num w:numId="17">
    <w:abstractNumId w:val="39"/>
  </w:num>
  <w:num w:numId="18">
    <w:abstractNumId w:val="27"/>
  </w:num>
  <w:num w:numId="19">
    <w:abstractNumId w:val="9"/>
  </w:num>
  <w:num w:numId="20">
    <w:abstractNumId w:val="26"/>
  </w:num>
  <w:num w:numId="21">
    <w:abstractNumId w:val="46"/>
  </w:num>
  <w:num w:numId="22">
    <w:abstractNumId w:val="16"/>
  </w:num>
  <w:num w:numId="23">
    <w:abstractNumId w:val="28"/>
  </w:num>
  <w:num w:numId="24">
    <w:abstractNumId w:val="38"/>
  </w:num>
  <w:num w:numId="25">
    <w:abstractNumId w:val="14"/>
  </w:num>
  <w:num w:numId="26">
    <w:abstractNumId w:val="33"/>
  </w:num>
  <w:num w:numId="27">
    <w:abstractNumId w:val="31"/>
  </w:num>
  <w:num w:numId="28">
    <w:abstractNumId w:val="17"/>
  </w:num>
  <w:num w:numId="29">
    <w:abstractNumId w:val="24"/>
  </w:num>
  <w:num w:numId="30">
    <w:abstractNumId w:val="25"/>
  </w:num>
  <w:num w:numId="31">
    <w:abstractNumId w:val="32"/>
  </w:num>
  <w:num w:numId="32">
    <w:abstractNumId w:val="35"/>
  </w:num>
  <w:num w:numId="33">
    <w:abstractNumId w:val="11"/>
  </w:num>
  <w:num w:numId="34">
    <w:abstractNumId w:val="19"/>
  </w:num>
  <w:num w:numId="35">
    <w:abstractNumId w:val="30"/>
  </w:num>
  <w:num w:numId="36">
    <w:abstractNumId w:val="43"/>
  </w:num>
  <w:num w:numId="37">
    <w:abstractNumId w:val="13"/>
  </w:num>
  <w:num w:numId="38">
    <w:abstractNumId w:val="2"/>
  </w:num>
  <w:num w:numId="39">
    <w:abstractNumId w:val="10"/>
  </w:num>
  <w:num w:numId="40">
    <w:abstractNumId w:val="40"/>
  </w:num>
  <w:num w:numId="41">
    <w:abstractNumId w:val="3"/>
  </w:num>
  <w:num w:numId="42">
    <w:abstractNumId w:val="5"/>
  </w:num>
  <w:num w:numId="43">
    <w:abstractNumId w:val="44"/>
  </w:num>
  <w:num w:numId="44">
    <w:abstractNumId w:val="23"/>
  </w:num>
  <w:num w:numId="45">
    <w:abstractNumId w:val="22"/>
  </w:num>
  <w:num w:numId="46">
    <w:abstractNumId w:val="1"/>
  </w:num>
  <w:num w:numId="47">
    <w:abstractNumId w:val="2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2F8"/>
    <w:rsid w:val="00000AC6"/>
    <w:rsid w:val="000010CE"/>
    <w:rsid w:val="00003C34"/>
    <w:rsid w:val="00005A8D"/>
    <w:rsid w:val="0000644F"/>
    <w:rsid w:val="000077C8"/>
    <w:rsid w:val="00007B0C"/>
    <w:rsid w:val="00007F17"/>
    <w:rsid w:val="0001034F"/>
    <w:rsid w:val="000113C4"/>
    <w:rsid w:val="00013775"/>
    <w:rsid w:val="00015043"/>
    <w:rsid w:val="000156A9"/>
    <w:rsid w:val="00015BF3"/>
    <w:rsid w:val="00015EAC"/>
    <w:rsid w:val="00015F79"/>
    <w:rsid w:val="00017049"/>
    <w:rsid w:val="00017AFF"/>
    <w:rsid w:val="000212DA"/>
    <w:rsid w:val="000222A1"/>
    <w:rsid w:val="00024331"/>
    <w:rsid w:val="0002485E"/>
    <w:rsid w:val="00024BA2"/>
    <w:rsid w:val="0002627D"/>
    <w:rsid w:val="000263E6"/>
    <w:rsid w:val="000265C6"/>
    <w:rsid w:val="00026BCC"/>
    <w:rsid w:val="00027C56"/>
    <w:rsid w:val="0003258B"/>
    <w:rsid w:val="000340F4"/>
    <w:rsid w:val="000345F6"/>
    <w:rsid w:val="0003536F"/>
    <w:rsid w:val="000359D3"/>
    <w:rsid w:val="000372C8"/>
    <w:rsid w:val="0003793F"/>
    <w:rsid w:val="00040AD8"/>
    <w:rsid w:val="000411DA"/>
    <w:rsid w:val="000416B4"/>
    <w:rsid w:val="00041A31"/>
    <w:rsid w:val="00042137"/>
    <w:rsid w:val="000426C2"/>
    <w:rsid w:val="000428B3"/>
    <w:rsid w:val="000442EB"/>
    <w:rsid w:val="0004515E"/>
    <w:rsid w:val="00045402"/>
    <w:rsid w:val="00047F12"/>
    <w:rsid w:val="0005014E"/>
    <w:rsid w:val="000513BC"/>
    <w:rsid w:val="00051445"/>
    <w:rsid w:val="00052D62"/>
    <w:rsid w:val="00055A63"/>
    <w:rsid w:val="00056343"/>
    <w:rsid w:val="0005722C"/>
    <w:rsid w:val="00060556"/>
    <w:rsid w:val="000620A6"/>
    <w:rsid w:val="00062366"/>
    <w:rsid w:val="00062985"/>
    <w:rsid w:val="0006316C"/>
    <w:rsid w:val="00064A8C"/>
    <w:rsid w:val="00071056"/>
    <w:rsid w:val="000754ED"/>
    <w:rsid w:val="00076589"/>
    <w:rsid w:val="00080136"/>
    <w:rsid w:val="000808E0"/>
    <w:rsid w:val="00081A9C"/>
    <w:rsid w:val="00084322"/>
    <w:rsid w:val="0008569C"/>
    <w:rsid w:val="0008595C"/>
    <w:rsid w:val="00086804"/>
    <w:rsid w:val="000873E8"/>
    <w:rsid w:val="000911BF"/>
    <w:rsid w:val="00092F28"/>
    <w:rsid w:val="00093811"/>
    <w:rsid w:val="00094633"/>
    <w:rsid w:val="00096C79"/>
    <w:rsid w:val="000971CC"/>
    <w:rsid w:val="00097357"/>
    <w:rsid w:val="00097A4B"/>
    <w:rsid w:val="000A01CC"/>
    <w:rsid w:val="000A0F06"/>
    <w:rsid w:val="000A148C"/>
    <w:rsid w:val="000A255D"/>
    <w:rsid w:val="000A675A"/>
    <w:rsid w:val="000B097F"/>
    <w:rsid w:val="000B31E0"/>
    <w:rsid w:val="000B3EA9"/>
    <w:rsid w:val="000B4C5C"/>
    <w:rsid w:val="000B4F78"/>
    <w:rsid w:val="000B694F"/>
    <w:rsid w:val="000B6E27"/>
    <w:rsid w:val="000C031C"/>
    <w:rsid w:val="000C2711"/>
    <w:rsid w:val="000C3CF3"/>
    <w:rsid w:val="000C4EDC"/>
    <w:rsid w:val="000D029D"/>
    <w:rsid w:val="000D097D"/>
    <w:rsid w:val="000D15D6"/>
    <w:rsid w:val="000D2035"/>
    <w:rsid w:val="000D3EE4"/>
    <w:rsid w:val="000D43B2"/>
    <w:rsid w:val="000D451C"/>
    <w:rsid w:val="000D4888"/>
    <w:rsid w:val="000D5943"/>
    <w:rsid w:val="000D631B"/>
    <w:rsid w:val="000D6AD0"/>
    <w:rsid w:val="000D6B43"/>
    <w:rsid w:val="000E050C"/>
    <w:rsid w:val="000E07D1"/>
    <w:rsid w:val="000E11D3"/>
    <w:rsid w:val="000E2016"/>
    <w:rsid w:val="000E61ED"/>
    <w:rsid w:val="000E64DC"/>
    <w:rsid w:val="000E6534"/>
    <w:rsid w:val="000E7FC0"/>
    <w:rsid w:val="000F02B6"/>
    <w:rsid w:val="000F039F"/>
    <w:rsid w:val="000F096B"/>
    <w:rsid w:val="000F29B9"/>
    <w:rsid w:val="000F2E9D"/>
    <w:rsid w:val="000F332A"/>
    <w:rsid w:val="000F3421"/>
    <w:rsid w:val="000F4356"/>
    <w:rsid w:val="000F4443"/>
    <w:rsid w:val="000F5043"/>
    <w:rsid w:val="000F638E"/>
    <w:rsid w:val="000F6AA1"/>
    <w:rsid w:val="000F6CA4"/>
    <w:rsid w:val="000F711A"/>
    <w:rsid w:val="001021A4"/>
    <w:rsid w:val="00103BA5"/>
    <w:rsid w:val="0010441E"/>
    <w:rsid w:val="00105EF6"/>
    <w:rsid w:val="00106B0F"/>
    <w:rsid w:val="00107655"/>
    <w:rsid w:val="001078DB"/>
    <w:rsid w:val="001100FA"/>
    <w:rsid w:val="001105CF"/>
    <w:rsid w:val="001128AE"/>
    <w:rsid w:val="00113505"/>
    <w:rsid w:val="00113EFB"/>
    <w:rsid w:val="00114E67"/>
    <w:rsid w:val="00114EF7"/>
    <w:rsid w:val="00115642"/>
    <w:rsid w:val="001156F4"/>
    <w:rsid w:val="00117B3C"/>
    <w:rsid w:val="00117D9F"/>
    <w:rsid w:val="001208AD"/>
    <w:rsid w:val="001217DD"/>
    <w:rsid w:val="00121B98"/>
    <w:rsid w:val="00121C90"/>
    <w:rsid w:val="001245BD"/>
    <w:rsid w:val="00124A85"/>
    <w:rsid w:val="00124C80"/>
    <w:rsid w:val="00127432"/>
    <w:rsid w:val="001277BE"/>
    <w:rsid w:val="00130DFC"/>
    <w:rsid w:val="001317DF"/>
    <w:rsid w:val="00132E6C"/>
    <w:rsid w:val="00134BFD"/>
    <w:rsid w:val="00137837"/>
    <w:rsid w:val="001400DD"/>
    <w:rsid w:val="0014037F"/>
    <w:rsid w:val="00142A16"/>
    <w:rsid w:val="00142F6B"/>
    <w:rsid w:val="001431AE"/>
    <w:rsid w:val="001434E1"/>
    <w:rsid w:val="0014434B"/>
    <w:rsid w:val="00144409"/>
    <w:rsid w:val="00144B47"/>
    <w:rsid w:val="00147318"/>
    <w:rsid w:val="00147BCB"/>
    <w:rsid w:val="00151991"/>
    <w:rsid w:val="0015226A"/>
    <w:rsid w:val="0015372C"/>
    <w:rsid w:val="0015384F"/>
    <w:rsid w:val="0015432F"/>
    <w:rsid w:val="00154C0B"/>
    <w:rsid w:val="00156BDC"/>
    <w:rsid w:val="0015745A"/>
    <w:rsid w:val="001610E3"/>
    <w:rsid w:val="00161D23"/>
    <w:rsid w:val="001625B0"/>
    <w:rsid w:val="0016276F"/>
    <w:rsid w:val="00162ADB"/>
    <w:rsid w:val="00162ADE"/>
    <w:rsid w:val="00163753"/>
    <w:rsid w:val="00163CE6"/>
    <w:rsid w:val="00166ECF"/>
    <w:rsid w:val="00167DF5"/>
    <w:rsid w:val="001703C6"/>
    <w:rsid w:val="001715EF"/>
    <w:rsid w:val="001718BA"/>
    <w:rsid w:val="00171DFB"/>
    <w:rsid w:val="001744FA"/>
    <w:rsid w:val="00175192"/>
    <w:rsid w:val="00175FEB"/>
    <w:rsid w:val="0017622E"/>
    <w:rsid w:val="00177463"/>
    <w:rsid w:val="00177643"/>
    <w:rsid w:val="00177ADA"/>
    <w:rsid w:val="00177D57"/>
    <w:rsid w:val="00180345"/>
    <w:rsid w:val="00183975"/>
    <w:rsid w:val="00184208"/>
    <w:rsid w:val="001861CC"/>
    <w:rsid w:val="0018763D"/>
    <w:rsid w:val="00187DAB"/>
    <w:rsid w:val="0019113A"/>
    <w:rsid w:val="00192485"/>
    <w:rsid w:val="00192553"/>
    <w:rsid w:val="001943A1"/>
    <w:rsid w:val="001954EB"/>
    <w:rsid w:val="00196C70"/>
    <w:rsid w:val="001976E5"/>
    <w:rsid w:val="00197975"/>
    <w:rsid w:val="00197D01"/>
    <w:rsid w:val="001A0454"/>
    <w:rsid w:val="001A04A1"/>
    <w:rsid w:val="001A192E"/>
    <w:rsid w:val="001A3FD6"/>
    <w:rsid w:val="001A4E00"/>
    <w:rsid w:val="001A60BB"/>
    <w:rsid w:val="001A664E"/>
    <w:rsid w:val="001A7462"/>
    <w:rsid w:val="001A74D5"/>
    <w:rsid w:val="001A76A4"/>
    <w:rsid w:val="001B0470"/>
    <w:rsid w:val="001B1C80"/>
    <w:rsid w:val="001B1C8A"/>
    <w:rsid w:val="001B2B12"/>
    <w:rsid w:val="001B484F"/>
    <w:rsid w:val="001B5986"/>
    <w:rsid w:val="001B5A7E"/>
    <w:rsid w:val="001B62DA"/>
    <w:rsid w:val="001B6757"/>
    <w:rsid w:val="001C1193"/>
    <w:rsid w:val="001C3855"/>
    <w:rsid w:val="001C5CA5"/>
    <w:rsid w:val="001D0548"/>
    <w:rsid w:val="001D1762"/>
    <w:rsid w:val="001D1988"/>
    <w:rsid w:val="001D2DE1"/>
    <w:rsid w:val="001D40A8"/>
    <w:rsid w:val="001D50FA"/>
    <w:rsid w:val="001D5134"/>
    <w:rsid w:val="001E04C6"/>
    <w:rsid w:val="001E0EDA"/>
    <w:rsid w:val="001E219C"/>
    <w:rsid w:val="001E38FC"/>
    <w:rsid w:val="001E586D"/>
    <w:rsid w:val="001E5AFB"/>
    <w:rsid w:val="001F23A6"/>
    <w:rsid w:val="001F4953"/>
    <w:rsid w:val="001F4AB8"/>
    <w:rsid w:val="00202C38"/>
    <w:rsid w:val="00203E6C"/>
    <w:rsid w:val="002043C9"/>
    <w:rsid w:val="002052E2"/>
    <w:rsid w:val="0020571A"/>
    <w:rsid w:val="00205E72"/>
    <w:rsid w:val="00206B4C"/>
    <w:rsid w:val="00210C5E"/>
    <w:rsid w:val="00210CD1"/>
    <w:rsid w:val="00210FDF"/>
    <w:rsid w:val="00211B82"/>
    <w:rsid w:val="002126BB"/>
    <w:rsid w:val="002155DA"/>
    <w:rsid w:val="00216848"/>
    <w:rsid w:val="0021690D"/>
    <w:rsid w:val="00216952"/>
    <w:rsid w:val="002210E7"/>
    <w:rsid w:val="00221CAF"/>
    <w:rsid w:val="00224647"/>
    <w:rsid w:val="002267E9"/>
    <w:rsid w:val="002308A2"/>
    <w:rsid w:val="00231A57"/>
    <w:rsid w:val="00231FC0"/>
    <w:rsid w:val="00232EF9"/>
    <w:rsid w:val="00234A39"/>
    <w:rsid w:val="00235737"/>
    <w:rsid w:val="00237E71"/>
    <w:rsid w:val="00240EF1"/>
    <w:rsid w:val="0024104F"/>
    <w:rsid w:val="0024350A"/>
    <w:rsid w:val="002452B2"/>
    <w:rsid w:val="0024546F"/>
    <w:rsid w:val="00245A1A"/>
    <w:rsid w:val="002466A5"/>
    <w:rsid w:val="00246BC8"/>
    <w:rsid w:val="00250C63"/>
    <w:rsid w:val="00250E50"/>
    <w:rsid w:val="002518A8"/>
    <w:rsid w:val="00253FAD"/>
    <w:rsid w:val="002540F1"/>
    <w:rsid w:val="00256EE6"/>
    <w:rsid w:val="00257612"/>
    <w:rsid w:val="00257CDC"/>
    <w:rsid w:val="002607A7"/>
    <w:rsid w:val="00262286"/>
    <w:rsid w:val="00262595"/>
    <w:rsid w:val="002631CB"/>
    <w:rsid w:val="002635FA"/>
    <w:rsid w:val="00263759"/>
    <w:rsid w:val="00263768"/>
    <w:rsid w:val="002647CF"/>
    <w:rsid w:val="002658B7"/>
    <w:rsid w:val="00267B35"/>
    <w:rsid w:val="00272966"/>
    <w:rsid w:val="00275280"/>
    <w:rsid w:val="00276BF4"/>
    <w:rsid w:val="00276F73"/>
    <w:rsid w:val="00277549"/>
    <w:rsid w:val="002779D7"/>
    <w:rsid w:val="00277CE5"/>
    <w:rsid w:val="002814DC"/>
    <w:rsid w:val="002834D0"/>
    <w:rsid w:val="00283743"/>
    <w:rsid w:val="0028633B"/>
    <w:rsid w:val="002868BE"/>
    <w:rsid w:val="00286980"/>
    <w:rsid w:val="00287380"/>
    <w:rsid w:val="002908AF"/>
    <w:rsid w:val="00291452"/>
    <w:rsid w:val="00291C57"/>
    <w:rsid w:val="002921C1"/>
    <w:rsid w:val="00292B89"/>
    <w:rsid w:val="002935BF"/>
    <w:rsid w:val="002935C9"/>
    <w:rsid w:val="00294567"/>
    <w:rsid w:val="0029504F"/>
    <w:rsid w:val="002956C3"/>
    <w:rsid w:val="002968A6"/>
    <w:rsid w:val="00296C54"/>
    <w:rsid w:val="00296E7E"/>
    <w:rsid w:val="002A08BE"/>
    <w:rsid w:val="002A0926"/>
    <w:rsid w:val="002A78CC"/>
    <w:rsid w:val="002B0A85"/>
    <w:rsid w:val="002B1697"/>
    <w:rsid w:val="002B2158"/>
    <w:rsid w:val="002B268E"/>
    <w:rsid w:val="002B3033"/>
    <w:rsid w:val="002B3632"/>
    <w:rsid w:val="002B374D"/>
    <w:rsid w:val="002B5FE6"/>
    <w:rsid w:val="002B65A4"/>
    <w:rsid w:val="002B6B5B"/>
    <w:rsid w:val="002B6F3A"/>
    <w:rsid w:val="002B748B"/>
    <w:rsid w:val="002C2374"/>
    <w:rsid w:val="002C4B4F"/>
    <w:rsid w:val="002C53ED"/>
    <w:rsid w:val="002C5740"/>
    <w:rsid w:val="002D07A3"/>
    <w:rsid w:val="002D0E1E"/>
    <w:rsid w:val="002D1D37"/>
    <w:rsid w:val="002D4DF2"/>
    <w:rsid w:val="002E1C5A"/>
    <w:rsid w:val="002E20C1"/>
    <w:rsid w:val="002E43FB"/>
    <w:rsid w:val="002E528C"/>
    <w:rsid w:val="002E540A"/>
    <w:rsid w:val="002E5BAF"/>
    <w:rsid w:val="002E6616"/>
    <w:rsid w:val="002E73A1"/>
    <w:rsid w:val="002F18F5"/>
    <w:rsid w:val="002F2E8E"/>
    <w:rsid w:val="002F305F"/>
    <w:rsid w:val="002F36EF"/>
    <w:rsid w:val="002F4691"/>
    <w:rsid w:val="002F525B"/>
    <w:rsid w:val="002F5663"/>
    <w:rsid w:val="002F6965"/>
    <w:rsid w:val="00300394"/>
    <w:rsid w:val="003010E0"/>
    <w:rsid w:val="00301244"/>
    <w:rsid w:val="003019F5"/>
    <w:rsid w:val="003023A5"/>
    <w:rsid w:val="00304FB5"/>
    <w:rsid w:val="003063E0"/>
    <w:rsid w:val="003066C2"/>
    <w:rsid w:val="003069F1"/>
    <w:rsid w:val="00306C8A"/>
    <w:rsid w:val="003103EA"/>
    <w:rsid w:val="0031293D"/>
    <w:rsid w:val="003143D1"/>
    <w:rsid w:val="00315F1A"/>
    <w:rsid w:val="00315F3C"/>
    <w:rsid w:val="003169D2"/>
    <w:rsid w:val="00317F56"/>
    <w:rsid w:val="00320551"/>
    <w:rsid w:val="00320E94"/>
    <w:rsid w:val="00320F59"/>
    <w:rsid w:val="00322C05"/>
    <w:rsid w:val="00322C2F"/>
    <w:rsid w:val="00323592"/>
    <w:rsid w:val="00323B65"/>
    <w:rsid w:val="00324018"/>
    <w:rsid w:val="00324C44"/>
    <w:rsid w:val="0032539A"/>
    <w:rsid w:val="00325AE4"/>
    <w:rsid w:val="00325B8B"/>
    <w:rsid w:val="00325DA0"/>
    <w:rsid w:val="003264FB"/>
    <w:rsid w:val="003325E6"/>
    <w:rsid w:val="00333ED6"/>
    <w:rsid w:val="00334130"/>
    <w:rsid w:val="00334AA6"/>
    <w:rsid w:val="00335AE3"/>
    <w:rsid w:val="00336908"/>
    <w:rsid w:val="003376FB"/>
    <w:rsid w:val="00341EE8"/>
    <w:rsid w:val="003425D1"/>
    <w:rsid w:val="00344062"/>
    <w:rsid w:val="0034406A"/>
    <w:rsid w:val="00344869"/>
    <w:rsid w:val="00344D7C"/>
    <w:rsid w:val="00345DE3"/>
    <w:rsid w:val="00347047"/>
    <w:rsid w:val="00347636"/>
    <w:rsid w:val="0034781A"/>
    <w:rsid w:val="00352B47"/>
    <w:rsid w:val="00352BBF"/>
    <w:rsid w:val="00353117"/>
    <w:rsid w:val="003535F5"/>
    <w:rsid w:val="003543AB"/>
    <w:rsid w:val="003543E8"/>
    <w:rsid w:val="0035518C"/>
    <w:rsid w:val="00355579"/>
    <w:rsid w:val="003561FD"/>
    <w:rsid w:val="003567F7"/>
    <w:rsid w:val="00357B14"/>
    <w:rsid w:val="003602B9"/>
    <w:rsid w:val="00362240"/>
    <w:rsid w:val="003636C7"/>
    <w:rsid w:val="00363A95"/>
    <w:rsid w:val="00364CEA"/>
    <w:rsid w:val="003673A9"/>
    <w:rsid w:val="003700EF"/>
    <w:rsid w:val="0037034E"/>
    <w:rsid w:val="0037377E"/>
    <w:rsid w:val="00374459"/>
    <w:rsid w:val="00374E77"/>
    <w:rsid w:val="00374FF9"/>
    <w:rsid w:val="0037666F"/>
    <w:rsid w:val="0038050D"/>
    <w:rsid w:val="003806AB"/>
    <w:rsid w:val="0038109B"/>
    <w:rsid w:val="003828E4"/>
    <w:rsid w:val="0038589F"/>
    <w:rsid w:val="00385B89"/>
    <w:rsid w:val="00385F5E"/>
    <w:rsid w:val="00386CEF"/>
    <w:rsid w:val="003870D2"/>
    <w:rsid w:val="00387EB5"/>
    <w:rsid w:val="003904CB"/>
    <w:rsid w:val="003905ED"/>
    <w:rsid w:val="003908E4"/>
    <w:rsid w:val="00390ABC"/>
    <w:rsid w:val="00393654"/>
    <w:rsid w:val="003973A8"/>
    <w:rsid w:val="003A007E"/>
    <w:rsid w:val="003A1F29"/>
    <w:rsid w:val="003A5ACD"/>
    <w:rsid w:val="003B0F33"/>
    <w:rsid w:val="003B174D"/>
    <w:rsid w:val="003B1B1E"/>
    <w:rsid w:val="003B1D21"/>
    <w:rsid w:val="003B237C"/>
    <w:rsid w:val="003B329E"/>
    <w:rsid w:val="003B3604"/>
    <w:rsid w:val="003B4055"/>
    <w:rsid w:val="003B4EAD"/>
    <w:rsid w:val="003B502A"/>
    <w:rsid w:val="003B529A"/>
    <w:rsid w:val="003B5FA5"/>
    <w:rsid w:val="003B6446"/>
    <w:rsid w:val="003B6EE1"/>
    <w:rsid w:val="003B7FFA"/>
    <w:rsid w:val="003C0A4D"/>
    <w:rsid w:val="003C0F3C"/>
    <w:rsid w:val="003C1E58"/>
    <w:rsid w:val="003C2768"/>
    <w:rsid w:val="003C2BA0"/>
    <w:rsid w:val="003C4FD6"/>
    <w:rsid w:val="003C54FC"/>
    <w:rsid w:val="003C5DA2"/>
    <w:rsid w:val="003C5DF4"/>
    <w:rsid w:val="003C6034"/>
    <w:rsid w:val="003C6369"/>
    <w:rsid w:val="003C7E08"/>
    <w:rsid w:val="003C7EC0"/>
    <w:rsid w:val="003D1FA7"/>
    <w:rsid w:val="003D3410"/>
    <w:rsid w:val="003D3727"/>
    <w:rsid w:val="003D46DA"/>
    <w:rsid w:val="003D501F"/>
    <w:rsid w:val="003D53BC"/>
    <w:rsid w:val="003D5830"/>
    <w:rsid w:val="003D7634"/>
    <w:rsid w:val="003E103C"/>
    <w:rsid w:val="003E17E5"/>
    <w:rsid w:val="003E2245"/>
    <w:rsid w:val="003E2E30"/>
    <w:rsid w:val="003E2F47"/>
    <w:rsid w:val="003E3446"/>
    <w:rsid w:val="003E4630"/>
    <w:rsid w:val="003E4682"/>
    <w:rsid w:val="003E580F"/>
    <w:rsid w:val="003E58F8"/>
    <w:rsid w:val="003F0D52"/>
    <w:rsid w:val="003F1244"/>
    <w:rsid w:val="003F1373"/>
    <w:rsid w:val="003F222E"/>
    <w:rsid w:val="003F2CFD"/>
    <w:rsid w:val="003F5876"/>
    <w:rsid w:val="003F67BF"/>
    <w:rsid w:val="003F6E1A"/>
    <w:rsid w:val="00401691"/>
    <w:rsid w:val="004031D2"/>
    <w:rsid w:val="00403467"/>
    <w:rsid w:val="004040F0"/>
    <w:rsid w:val="004054B2"/>
    <w:rsid w:val="0041009D"/>
    <w:rsid w:val="00411949"/>
    <w:rsid w:val="00414687"/>
    <w:rsid w:val="00416558"/>
    <w:rsid w:val="004167B3"/>
    <w:rsid w:val="00416DBA"/>
    <w:rsid w:val="00417130"/>
    <w:rsid w:val="00420502"/>
    <w:rsid w:val="00421EBB"/>
    <w:rsid w:val="00421F36"/>
    <w:rsid w:val="00423D8F"/>
    <w:rsid w:val="00424BC0"/>
    <w:rsid w:val="004266BE"/>
    <w:rsid w:val="00427CBB"/>
    <w:rsid w:val="00430407"/>
    <w:rsid w:val="0043201C"/>
    <w:rsid w:val="00433123"/>
    <w:rsid w:val="0043323C"/>
    <w:rsid w:val="0043369C"/>
    <w:rsid w:val="00434DEF"/>
    <w:rsid w:val="00436800"/>
    <w:rsid w:val="00437034"/>
    <w:rsid w:val="004378A7"/>
    <w:rsid w:val="00437E8C"/>
    <w:rsid w:val="00440347"/>
    <w:rsid w:val="004416C3"/>
    <w:rsid w:val="004439A1"/>
    <w:rsid w:val="0044533B"/>
    <w:rsid w:val="0044583D"/>
    <w:rsid w:val="0044798B"/>
    <w:rsid w:val="00447CBE"/>
    <w:rsid w:val="00450503"/>
    <w:rsid w:val="0045092A"/>
    <w:rsid w:val="0045125C"/>
    <w:rsid w:val="004518DD"/>
    <w:rsid w:val="00451B75"/>
    <w:rsid w:val="00452296"/>
    <w:rsid w:val="0045625F"/>
    <w:rsid w:val="00462C3F"/>
    <w:rsid w:val="00464C16"/>
    <w:rsid w:val="00464DC4"/>
    <w:rsid w:val="00465C5C"/>
    <w:rsid w:val="00465F6D"/>
    <w:rsid w:val="00466287"/>
    <w:rsid w:val="0046646C"/>
    <w:rsid w:val="0046667A"/>
    <w:rsid w:val="00470ED8"/>
    <w:rsid w:val="00471560"/>
    <w:rsid w:val="004728C9"/>
    <w:rsid w:val="0047378D"/>
    <w:rsid w:val="00475593"/>
    <w:rsid w:val="004773CE"/>
    <w:rsid w:val="00477763"/>
    <w:rsid w:val="00480614"/>
    <w:rsid w:val="004831CA"/>
    <w:rsid w:val="00483A16"/>
    <w:rsid w:val="004841A7"/>
    <w:rsid w:val="00484422"/>
    <w:rsid w:val="00484811"/>
    <w:rsid w:val="0048492E"/>
    <w:rsid w:val="00485FC1"/>
    <w:rsid w:val="00486830"/>
    <w:rsid w:val="004871E1"/>
    <w:rsid w:val="004902DD"/>
    <w:rsid w:val="0049056B"/>
    <w:rsid w:val="0049062E"/>
    <w:rsid w:val="00490FD6"/>
    <w:rsid w:val="00491479"/>
    <w:rsid w:val="00492D09"/>
    <w:rsid w:val="00493678"/>
    <w:rsid w:val="00494871"/>
    <w:rsid w:val="00495978"/>
    <w:rsid w:val="00495A0A"/>
    <w:rsid w:val="004968D8"/>
    <w:rsid w:val="004A1FB3"/>
    <w:rsid w:val="004A1FE3"/>
    <w:rsid w:val="004A3AC4"/>
    <w:rsid w:val="004A42B7"/>
    <w:rsid w:val="004A53A9"/>
    <w:rsid w:val="004A5876"/>
    <w:rsid w:val="004A6710"/>
    <w:rsid w:val="004B22B6"/>
    <w:rsid w:val="004B2BF1"/>
    <w:rsid w:val="004B2F13"/>
    <w:rsid w:val="004B3A94"/>
    <w:rsid w:val="004B5485"/>
    <w:rsid w:val="004B5FA4"/>
    <w:rsid w:val="004B688B"/>
    <w:rsid w:val="004B6B1B"/>
    <w:rsid w:val="004B6CAB"/>
    <w:rsid w:val="004B7B99"/>
    <w:rsid w:val="004B7F29"/>
    <w:rsid w:val="004C15BB"/>
    <w:rsid w:val="004C1675"/>
    <w:rsid w:val="004C1878"/>
    <w:rsid w:val="004C2835"/>
    <w:rsid w:val="004C2B4E"/>
    <w:rsid w:val="004C3CBB"/>
    <w:rsid w:val="004C3E12"/>
    <w:rsid w:val="004C5A81"/>
    <w:rsid w:val="004C6DD5"/>
    <w:rsid w:val="004C7035"/>
    <w:rsid w:val="004C7466"/>
    <w:rsid w:val="004D0174"/>
    <w:rsid w:val="004D13D9"/>
    <w:rsid w:val="004D1754"/>
    <w:rsid w:val="004D1B14"/>
    <w:rsid w:val="004D46EC"/>
    <w:rsid w:val="004D52C3"/>
    <w:rsid w:val="004D6681"/>
    <w:rsid w:val="004E072F"/>
    <w:rsid w:val="004E29AF"/>
    <w:rsid w:val="004E5799"/>
    <w:rsid w:val="004E6241"/>
    <w:rsid w:val="004E74AC"/>
    <w:rsid w:val="004E7C03"/>
    <w:rsid w:val="004F0167"/>
    <w:rsid w:val="004F1476"/>
    <w:rsid w:val="004F1D10"/>
    <w:rsid w:val="004F2035"/>
    <w:rsid w:val="004F2192"/>
    <w:rsid w:val="004F50B2"/>
    <w:rsid w:val="004F5A41"/>
    <w:rsid w:val="004F6096"/>
    <w:rsid w:val="0050000E"/>
    <w:rsid w:val="0050081D"/>
    <w:rsid w:val="00501B3B"/>
    <w:rsid w:val="0050236D"/>
    <w:rsid w:val="00502474"/>
    <w:rsid w:val="005024B2"/>
    <w:rsid w:val="00503AA3"/>
    <w:rsid w:val="005059F1"/>
    <w:rsid w:val="00506941"/>
    <w:rsid w:val="00507088"/>
    <w:rsid w:val="0050758F"/>
    <w:rsid w:val="0050798B"/>
    <w:rsid w:val="00510D8E"/>
    <w:rsid w:val="00513F26"/>
    <w:rsid w:val="00514035"/>
    <w:rsid w:val="005148DF"/>
    <w:rsid w:val="00514BBC"/>
    <w:rsid w:val="00514E8E"/>
    <w:rsid w:val="0051528E"/>
    <w:rsid w:val="00515374"/>
    <w:rsid w:val="00516724"/>
    <w:rsid w:val="00516ADD"/>
    <w:rsid w:val="00517EFA"/>
    <w:rsid w:val="00522A46"/>
    <w:rsid w:val="00523E91"/>
    <w:rsid w:val="00524FEB"/>
    <w:rsid w:val="00525245"/>
    <w:rsid w:val="0052527A"/>
    <w:rsid w:val="00531368"/>
    <w:rsid w:val="00531982"/>
    <w:rsid w:val="005335A0"/>
    <w:rsid w:val="0053469D"/>
    <w:rsid w:val="0053536D"/>
    <w:rsid w:val="005408A2"/>
    <w:rsid w:val="00540F3E"/>
    <w:rsid w:val="0054125E"/>
    <w:rsid w:val="00542AF4"/>
    <w:rsid w:val="0054459C"/>
    <w:rsid w:val="005451A9"/>
    <w:rsid w:val="005506AF"/>
    <w:rsid w:val="005518FA"/>
    <w:rsid w:val="0055653E"/>
    <w:rsid w:val="00556E1E"/>
    <w:rsid w:val="00556EEC"/>
    <w:rsid w:val="00556F33"/>
    <w:rsid w:val="00557C06"/>
    <w:rsid w:val="0056387B"/>
    <w:rsid w:val="00564A5B"/>
    <w:rsid w:val="00564B70"/>
    <w:rsid w:val="00571735"/>
    <w:rsid w:val="00573F43"/>
    <w:rsid w:val="00575505"/>
    <w:rsid w:val="0057636D"/>
    <w:rsid w:val="00577CDC"/>
    <w:rsid w:val="005809BA"/>
    <w:rsid w:val="00580D11"/>
    <w:rsid w:val="00580FFD"/>
    <w:rsid w:val="005816F3"/>
    <w:rsid w:val="0058271F"/>
    <w:rsid w:val="00584CA7"/>
    <w:rsid w:val="00585351"/>
    <w:rsid w:val="005854E2"/>
    <w:rsid w:val="00587CDB"/>
    <w:rsid w:val="005915E1"/>
    <w:rsid w:val="00592281"/>
    <w:rsid w:val="00592D2A"/>
    <w:rsid w:val="00593DA6"/>
    <w:rsid w:val="00593FD4"/>
    <w:rsid w:val="005943FF"/>
    <w:rsid w:val="005969C5"/>
    <w:rsid w:val="00596D90"/>
    <w:rsid w:val="005973E7"/>
    <w:rsid w:val="005A1782"/>
    <w:rsid w:val="005A1848"/>
    <w:rsid w:val="005A273C"/>
    <w:rsid w:val="005A2F47"/>
    <w:rsid w:val="005A330B"/>
    <w:rsid w:val="005A4345"/>
    <w:rsid w:val="005A558F"/>
    <w:rsid w:val="005B2079"/>
    <w:rsid w:val="005B49F7"/>
    <w:rsid w:val="005B4C5E"/>
    <w:rsid w:val="005B5369"/>
    <w:rsid w:val="005B7DBB"/>
    <w:rsid w:val="005C0C4D"/>
    <w:rsid w:val="005C18D4"/>
    <w:rsid w:val="005C211D"/>
    <w:rsid w:val="005C2F6D"/>
    <w:rsid w:val="005C52E8"/>
    <w:rsid w:val="005C6721"/>
    <w:rsid w:val="005D062D"/>
    <w:rsid w:val="005D1984"/>
    <w:rsid w:val="005D1B54"/>
    <w:rsid w:val="005D1B85"/>
    <w:rsid w:val="005D1BC2"/>
    <w:rsid w:val="005D339E"/>
    <w:rsid w:val="005D34AA"/>
    <w:rsid w:val="005D3C7F"/>
    <w:rsid w:val="005D3F34"/>
    <w:rsid w:val="005D4007"/>
    <w:rsid w:val="005D6249"/>
    <w:rsid w:val="005D6542"/>
    <w:rsid w:val="005D6DCA"/>
    <w:rsid w:val="005D7F2C"/>
    <w:rsid w:val="005D7F48"/>
    <w:rsid w:val="005E02D0"/>
    <w:rsid w:val="005E1FF5"/>
    <w:rsid w:val="005E5AAA"/>
    <w:rsid w:val="005E5E8C"/>
    <w:rsid w:val="005E7D29"/>
    <w:rsid w:val="005F05C7"/>
    <w:rsid w:val="005F1AD1"/>
    <w:rsid w:val="005F27AD"/>
    <w:rsid w:val="005F2C85"/>
    <w:rsid w:val="005F42AA"/>
    <w:rsid w:val="005F47C9"/>
    <w:rsid w:val="006000F6"/>
    <w:rsid w:val="0060034A"/>
    <w:rsid w:val="0060049A"/>
    <w:rsid w:val="00601372"/>
    <w:rsid w:val="00601BC2"/>
    <w:rsid w:val="00602967"/>
    <w:rsid w:val="006049D5"/>
    <w:rsid w:val="00604E9D"/>
    <w:rsid w:val="006054EE"/>
    <w:rsid w:val="00605DB0"/>
    <w:rsid w:val="00605F34"/>
    <w:rsid w:val="00606D71"/>
    <w:rsid w:val="00612B40"/>
    <w:rsid w:val="00613024"/>
    <w:rsid w:val="00613328"/>
    <w:rsid w:val="006134B7"/>
    <w:rsid w:val="00613613"/>
    <w:rsid w:val="00613681"/>
    <w:rsid w:val="00613A9C"/>
    <w:rsid w:val="006140B3"/>
    <w:rsid w:val="00616428"/>
    <w:rsid w:val="00617D17"/>
    <w:rsid w:val="00617FE6"/>
    <w:rsid w:val="006226B6"/>
    <w:rsid w:val="0062279B"/>
    <w:rsid w:val="0062311D"/>
    <w:rsid w:val="00623F50"/>
    <w:rsid w:val="00624004"/>
    <w:rsid w:val="0062482C"/>
    <w:rsid w:val="00624A63"/>
    <w:rsid w:val="00624B19"/>
    <w:rsid w:val="00624F0F"/>
    <w:rsid w:val="00625708"/>
    <w:rsid w:val="006270E4"/>
    <w:rsid w:val="00627E16"/>
    <w:rsid w:val="00631944"/>
    <w:rsid w:val="006328E6"/>
    <w:rsid w:val="0063396C"/>
    <w:rsid w:val="0063492C"/>
    <w:rsid w:val="006359E7"/>
    <w:rsid w:val="006366CE"/>
    <w:rsid w:val="006366EF"/>
    <w:rsid w:val="00636D21"/>
    <w:rsid w:val="006374F7"/>
    <w:rsid w:val="00641F55"/>
    <w:rsid w:val="00642559"/>
    <w:rsid w:val="00647810"/>
    <w:rsid w:val="006503DB"/>
    <w:rsid w:val="00650A9E"/>
    <w:rsid w:val="00651920"/>
    <w:rsid w:val="006527C9"/>
    <w:rsid w:val="006545A6"/>
    <w:rsid w:val="00654C5E"/>
    <w:rsid w:val="0065510D"/>
    <w:rsid w:val="00655D76"/>
    <w:rsid w:val="00661217"/>
    <w:rsid w:val="00663299"/>
    <w:rsid w:val="00663628"/>
    <w:rsid w:val="00663CB1"/>
    <w:rsid w:val="00663E54"/>
    <w:rsid w:val="00666294"/>
    <w:rsid w:val="006667EC"/>
    <w:rsid w:val="0066705D"/>
    <w:rsid w:val="00667516"/>
    <w:rsid w:val="0067083C"/>
    <w:rsid w:val="00670D15"/>
    <w:rsid w:val="006712EF"/>
    <w:rsid w:val="00672AE4"/>
    <w:rsid w:val="00672E49"/>
    <w:rsid w:val="00673E00"/>
    <w:rsid w:val="00674123"/>
    <w:rsid w:val="00674AFB"/>
    <w:rsid w:val="006752DD"/>
    <w:rsid w:val="00676E95"/>
    <w:rsid w:val="0067755F"/>
    <w:rsid w:val="00677B1C"/>
    <w:rsid w:val="00680866"/>
    <w:rsid w:val="006819D3"/>
    <w:rsid w:val="00681DAF"/>
    <w:rsid w:val="00682BB4"/>
    <w:rsid w:val="006833A4"/>
    <w:rsid w:val="006833FD"/>
    <w:rsid w:val="00683D94"/>
    <w:rsid w:val="00685DC8"/>
    <w:rsid w:val="0068626A"/>
    <w:rsid w:val="00690AB9"/>
    <w:rsid w:val="006919C3"/>
    <w:rsid w:val="00691C49"/>
    <w:rsid w:val="006926B7"/>
    <w:rsid w:val="0069289B"/>
    <w:rsid w:val="00695D3A"/>
    <w:rsid w:val="00695F05"/>
    <w:rsid w:val="006965EB"/>
    <w:rsid w:val="006974BB"/>
    <w:rsid w:val="0069766E"/>
    <w:rsid w:val="00697BE0"/>
    <w:rsid w:val="006A1A92"/>
    <w:rsid w:val="006A26ED"/>
    <w:rsid w:val="006A3114"/>
    <w:rsid w:val="006A42B7"/>
    <w:rsid w:val="006A4868"/>
    <w:rsid w:val="006A5D8A"/>
    <w:rsid w:val="006A60FE"/>
    <w:rsid w:val="006B051D"/>
    <w:rsid w:val="006B0985"/>
    <w:rsid w:val="006B3DF5"/>
    <w:rsid w:val="006B43CB"/>
    <w:rsid w:val="006B4652"/>
    <w:rsid w:val="006B51B9"/>
    <w:rsid w:val="006B6F52"/>
    <w:rsid w:val="006C16AD"/>
    <w:rsid w:val="006C2DA6"/>
    <w:rsid w:val="006C3338"/>
    <w:rsid w:val="006C4CDA"/>
    <w:rsid w:val="006D466E"/>
    <w:rsid w:val="006D57EF"/>
    <w:rsid w:val="006D62A5"/>
    <w:rsid w:val="006D6BBF"/>
    <w:rsid w:val="006D769D"/>
    <w:rsid w:val="006E076A"/>
    <w:rsid w:val="006E0F9A"/>
    <w:rsid w:val="006E2189"/>
    <w:rsid w:val="006E2DF9"/>
    <w:rsid w:val="006E5461"/>
    <w:rsid w:val="006E5AB7"/>
    <w:rsid w:val="006E6991"/>
    <w:rsid w:val="006F08AD"/>
    <w:rsid w:val="006F21F6"/>
    <w:rsid w:val="006F2602"/>
    <w:rsid w:val="006F2FD7"/>
    <w:rsid w:val="006F4A07"/>
    <w:rsid w:val="006F73BD"/>
    <w:rsid w:val="00700880"/>
    <w:rsid w:val="00700988"/>
    <w:rsid w:val="0070294A"/>
    <w:rsid w:val="00703119"/>
    <w:rsid w:val="00703801"/>
    <w:rsid w:val="00703E40"/>
    <w:rsid w:val="00705DE5"/>
    <w:rsid w:val="00706F7C"/>
    <w:rsid w:val="007079DD"/>
    <w:rsid w:val="007101FD"/>
    <w:rsid w:val="00710614"/>
    <w:rsid w:val="007126F6"/>
    <w:rsid w:val="00713EE0"/>
    <w:rsid w:val="00716529"/>
    <w:rsid w:val="007175FD"/>
    <w:rsid w:val="00717C78"/>
    <w:rsid w:val="007207F4"/>
    <w:rsid w:val="00722FC1"/>
    <w:rsid w:val="0072325D"/>
    <w:rsid w:val="00724836"/>
    <w:rsid w:val="00725296"/>
    <w:rsid w:val="0072540E"/>
    <w:rsid w:val="007264F8"/>
    <w:rsid w:val="0072787C"/>
    <w:rsid w:val="0072799A"/>
    <w:rsid w:val="00730529"/>
    <w:rsid w:val="00730991"/>
    <w:rsid w:val="00731BE1"/>
    <w:rsid w:val="00734A33"/>
    <w:rsid w:val="00736573"/>
    <w:rsid w:val="00736629"/>
    <w:rsid w:val="00740EA1"/>
    <w:rsid w:val="00741A43"/>
    <w:rsid w:val="00741DB3"/>
    <w:rsid w:val="0074323D"/>
    <w:rsid w:val="007459F1"/>
    <w:rsid w:val="00747981"/>
    <w:rsid w:val="00752494"/>
    <w:rsid w:val="007525A8"/>
    <w:rsid w:val="007535D1"/>
    <w:rsid w:val="00753832"/>
    <w:rsid w:val="00753DCF"/>
    <w:rsid w:val="00753EA2"/>
    <w:rsid w:val="007544D4"/>
    <w:rsid w:val="00754698"/>
    <w:rsid w:val="00755E71"/>
    <w:rsid w:val="00757981"/>
    <w:rsid w:val="007602BC"/>
    <w:rsid w:val="00760900"/>
    <w:rsid w:val="00762666"/>
    <w:rsid w:val="00763667"/>
    <w:rsid w:val="007648EE"/>
    <w:rsid w:val="00765111"/>
    <w:rsid w:val="00766728"/>
    <w:rsid w:val="00766FB0"/>
    <w:rsid w:val="00767602"/>
    <w:rsid w:val="00770A92"/>
    <w:rsid w:val="00770AC9"/>
    <w:rsid w:val="00771B35"/>
    <w:rsid w:val="00772502"/>
    <w:rsid w:val="00772958"/>
    <w:rsid w:val="00774B03"/>
    <w:rsid w:val="00775540"/>
    <w:rsid w:val="007766B6"/>
    <w:rsid w:val="007770CF"/>
    <w:rsid w:val="00780213"/>
    <w:rsid w:val="0078026D"/>
    <w:rsid w:val="00780CEB"/>
    <w:rsid w:val="00782059"/>
    <w:rsid w:val="0078252C"/>
    <w:rsid w:val="00783754"/>
    <w:rsid w:val="0078382B"/>
    <w:rsid w:val="00784A5E"/>
    <w:rsid w:val="00785163"/>
    <w:rsid w:val="00785BB1"/>
    <w:rsid w:val="00785EB6"/>
    <w:rsid w:val="00786FBA"/>
    <w:rsid w:val="00790348"/>
    <w:rsid w:val="007912B3"/>
    <w:rsid w:val="00792E4D"/>
    <w:rsid w:val="007943AE"/>
    <w:rsid w:val="007949A8"/>
    <w:rsid w:val="007954CA"/>
    <w:rsid w:val="007966A2"/>
    <w:rsid w:val="007969B3"/>
    <w:rsid w:val="007973F6"/>
    <w:rsid w:val="007978CE"/>
    <w:rsid w:val="007A1A46"/>
    <w:rsid w:val="007A4DC8"/>
    <w:rsid w:val="007A6500"/>
    <w:rsid w:val="007A6E89"/>
    <w:rsid w:val="007B3F8F"/>
    <w:rsid w:val="007B58E5"/>
    <w:rsid w:val="007B6413"/>
    <w:rsid w:val="007B6938"/>
    <w:rsid w:val="007B6F94"/>
    <w:rsid w:val="007C0CA7"/>
    <w:rsid w:val="007C1455"/>
    <w:rsid w:val="007C3D72"/>
    <w:rsid w:val="007C5F58"/>
    <w:rsid w:val="007C62DA"/>
    <w:rsid w:val="007C6BAE"/>
    <w:rsid w:val="007C7D7F"/>
    <w:rsid w:val="007D09C8"/>
    <w:rsid w:val="007D1714"/>
    <w:rsid w:val="007D4682"/>
    <w:rsid w:val="007D506E"/>
    <w:rsid w:val="007D713B"/>
    <w:rsid w:val="007D7688"/>
    <w:rsid w:val="007E0678"/>
    <w:rsid w:val="007E0AC2"/>
    <w:rsid w:val="007E0DCD"/>
    <w:rsid w:val="007E2258"/>
    <w:rsid w:val="007E33D6"/>
    <w:rsid w:val="007E3757"/>
    <w:rsid w:val="007E38B0"/>
    <w:rsid w:val="007E3FF3"/>
    <w:rsid w:val="007E4D4F"/>
    <w:rsid w:val="007E56F8"/>
    <w:rsid w:val="007E6004"/>
    <w:rsid w:val="007E6971"/>
    <w:rsid w:val="007E7898"/>
    <w:rsid w:val="007E7FDD"/>
    <w:rsid w:val="007F1829"/>
    <w:rsid w:val="007F1E31"/>
    <w:rsid w:val="007F20DA"/>
    <w:rsid w:val="007F3C5C"/>
    <w:rsid w:val="007F6CD5"/>
    <w:rsid w:val="007F6ECF"/>
    <w:rsid w:val="007F7316"/>
    <w:rsid w:val="007F787A"/>
    <w:rsid w:val="0080137B"/>
    <w:rsid w:val="00802D69"/>
    <w:rsid w:val="00803D7F"/>
    <w:rsid w:val="00810280"/>
    <w:rsid w:val="008112C0"/>
    <w:rsid w:val="0081155B"/>
    <w:rsid w:val="00813917"/>
    <w:rsid w:val="00813B80"/>
    <w:rsid w:val="00813D39"/>
    <w:rsid w:val="008159E0"/>
    <w:rsid w:val="0081604E"/>
    <w:rsid w:val="00816773"/>
    <w:rsid w:val="00817F46"/>
    <w:rsid w:val="00820DC5"/>
    <w:rsid w:val="008216C4"/>
    <w:rsid w:val="008226D0"/>
    <w:rsid w:val="008233A0"/>
    <w:rsid w:val="00824D90"/>
    <w:rsid w:val="00825CD9"/>
    <w:rsid w:val="00825F87"/>
    <w:rsid w:val="008269BF"/>
    <w:rsid w:val="008300C2"/>
    <w:rsid w:val="00830553"/>
    <w:rsid w:val="00830DCB"/>
    <w:rsid w:val="00836671"/>
    <w:rsid w:val="008377AC"/>
    <w:rsid w:val="00837AA3"/>
    <w:rsid w:val="00837C3F"/>
    <w:rsid w:val="00841587"/>
    <w:rsid w:val="008432DB"/>
    <w:rsid w:val="00843A04"/>
    <w:rsid w:val="00845263"/>
    <w:rsid w:val="00845521"/>
    <w:rsid w:val="008466C7"/>
    <w:rsid w:val="00847BE0"/>
    <w:rsid w:val="00847C83"/>
    <w:rsid w:val="008500D6"/>
    <w:rsid w:val="00850790"/>
    <w:rsid w:val="00850F90"/>
    <w:rsid w:val="008511AF"/>
    <w:rsid w:val="00851565"/>
    <w:rsid w:val="00851D12"/>
    <w:rsid w:val="008544CB"/>
    <w:rsid w:val="00854636"/>
    <w:rsid w:val="0085590C"/>
    <w:rsid w:val="00856070"/>
    <w:rsid w:val="0085614E"/>
    <w:rsid w:val="00857A93"/>
    <w:rsid w:val="00857D70"/>
    <w:rsid w:val="00862117"/>
    <w:rsid w:val="008632D1"/>
    <w:rsid w:val="00865F6E"/>
    <w:rsid w:val="00867667"/>
    <w:rsid w:val="00870F13"/>
    <w:rsid w:val="00871B83"/>
    <w:rsid w:val="0087221A"/>
    <w:rsid w:val="008728F1"/>
    <w:rsid w:val="00872FFF"/>
    <w:rsid w:val="00875BA3"/>
    <w:rsid w:val="008769DB"/>
    <w:rsid w:val="008805EB"/>
    <w:rsid w:val="00883864"/>
    <w:rsid w:val="0088387D"/>
    <w:rsid w:val="00884207"/>
    <w:rsid w:val="00884959"/>
    <w:rsid w:val="00885B40"/>
    <w:rsid w:val="00890D83"/>
    <w:rsid w:val="00890E5F"/>
    <w:rsid w:val="008912A3"/>
    <w:rsid w:val="008915EC"/>
    <w:rsid w:val="0089248F"/>
    <w:rsid w:val="008925C6"/>
    <w:rsid w:val="00894EFF"/>
    <w:rsid w:val="0089650C"/>
    <w:rsid w:val="00897A28"/>
    <w:rsid w:val="00897E4B"/>
    <w:rsid w:val="008A0268"/>
    <w:rsid w:val="008A19B4"/>
    <w:rsid w:val="008A1AFE"/>
    <w:rsid w:val="008A370E"/>
    <w:rsid w:val="008A3DB5"/>
    <w:rsid w:val="008A498A"/>
    <w:rsid w:val="008B0891"/>
    <w:rsid w:val="008B13EA"/>
    <w:rsid w:val="008B19AF"/>
    <w:rsid w:val="008B4FCA"/>
    <w:rsid w:val="008B54FE"/>
    <w:rsid w:val="008B554C"/>
    <w:rsid w:val="008C0FA0"/>
    <w:rsid w:val="008C14B6"/>
    <w:rsid w:val="008C1571"/>
    <w:rsid w:val="008C1606"/>
    <w:rsid w:val="008C1884"/>
    <w:rsid w:val="008C1B8F"/>
    <w:rsid w:val="008C3226"/>
    <w:rsid w:val="008C3246"/>
    <w:rsid w:val="008C492B"/>
    <w:rsid w:val="008C56CC"/>
    <w:rsid w:val="008C57A7"/>
    <w:rsid w:val="008C5B71"/>
    <w:rsid w:val="008C5DBC"/>
    <w:rsid w:val="008C690D"/>
    <w:rsid w:val="008C6D7C"/>
    <w:rsid w:val="008C78A3"/>
    <w:rsid w:val="008C7F2F"/>
    <w:rsid w:val="008D071F"/>
    <w:rsid w:val="008D2FA1"/>
    <w:rsid w:val="008D3FF2"/>
    <w:rsid w:val="008D6F0C"/>
    <w:rsid w:val="008E09D1"/>
    <w:rsid w:val="008E0C37"/>
    <w:rsid w:val="008E30CA"/>
    <w:rsid w:val="008E3143"/>
    <w:rsid w:val="008E3D42"/>
    <w:rsid w:val="008E5349"/>
    <w:rsid w:val="008E551C"/>
    <w:rsid w:val="008F14DF"/>
    <w:rsid w:val="008F22FD"/>
    <w:rsid w:val="008F3AB1"/>
    <w:rsid w:val="008F3F65"/>
    <w:rsid w:val="008F43DE"/>
    <w:rsid w:val="008F4985"/>
    <w:rsid w:val="008F553D"/>
    <w:rsid w:val="008F699B"/>
    <w:rsid w:val="009001ED"/>
    <w:rsid w:val="00901119"/>
    <w:rsid w:val="00901339"/>
    <w:rsid w:val="00901D85"/>
    <w:rsid w:val="009033EA"/>
    <w:rsid w:val="00905775"/>
    <w:rsid w:val="00905C51"/>
    <w:rsid w:val="00905F50"/>
    <w:rsid w:val="00906578"/>
    <w:rsid w:val="009075C9"/>
    <w:rsid w:val="009103BE"/>
    <w:rsid w:val="0091139C"/>
    <w:rsid w:val="00911E0B"/>
    <w:rsid w:val="00912D1B"/>
    <w:rsid w:val="00912FFF"/>
    <w:rsid w:val="00913ADE"/>
    <w:rsid w:val="00913E23"/>
    <w:rsid w:val="009150C9"/>
    <w:rsid w:val="0091560E"/>
    <w:rsid w:val="00915D65"/>
    <w:rsid w:val="00916D36"/>
    <w:rsid w:val="009177FC"/>
    <w:rsid w:val="00917A58"/>
    <w:rsid w:val="00917A74"/>
    <w:rsid w:val="0092060A"/>
    <w:rsid w:val="00921854"/>
    <w:rsid w:val="0092222F"/>
    <w:rsid w:val="00923D9A"/>
    <w:rsid w:val="00925CB5"/>
    <w:rsid w:val="0092639A"/>
    <w:rsid w:val="0092678A"/>
    <w:rsid w:val="009308E7"/>
    <w:rsid w:val="00930E4A"/>
    <w:rsid w:val="00932A14"/>
    <w:rsid w:val="00933C61"/>
    <w:rsid w:val="00934B5E"/>
    <w:rsid w:val="00934E6F"/>
    <w:rsid w:val="009351B3"/>
    <w:rsid w:val="00935E7D"/>
    <w:rsid w:val="00942D1D"/>
    <w:rsid w:val="00945A8C"/>
    <w:rsid w:val="00950FD9"/>
    <w:rsid w:val="009547A2"/>
    <w:rsid w:val="00954F4F"/>
    <w:rsid w:val="00955D0D"/>
    <w:rsid w:val="00955E44"/>
    <w:rsid w:val="0096039E"/>
    <w:rsid w:val="009623EB"/>
    <w:rsid w:val="00962E63"/>
    <w:rsid w:val="00963662"/>
    <w:rsid w:val="00963847"/>
    <w:rsid w:val="00964B71"/>
    <w:rsid w:val="00967242"/>
    <w:rsid w:val="009678DC"/>
    <w:rsid w:val="00967C2A"/>
    <w:rsid w:val="00967C87"/>
    <w:rsid w:val="009701EA"/>
    <w:rsid w:val="00970F21"/>
    <w:rsid w:val="00971A21"/>
    <w:rsid w:val="00971A29"/>
    <w:rsid w:val="0097312D"/>
    <w:rsid w:val="00973F92"/>
    <w:rsid w:val="009743C0"/>
    <w:rsid w:val="00974667"/>
    <w:rsid w:val="00977A31"/>
    <w:rsid w:val="0098140B"/>
    <w:rsid w:val="00982140"/>
    <w:rsid w:val="00985032"/>
    <w:rsid w:val="0098544B"/>
    <w:rsid w:val="0098669E"/>
    <w:rsid w:val="009871EE"/>
    <w:rsid w:val="009906F2"/>
    <w:rsid w:val="00991051"/>
    <w:rsid w:val="00991C60"/>
    <w:rsid w:val="009953A5"/>
    <w:rsid w:val="0099716B"/>
    <w:rsid w:val="009972A6"/>
    <w:rsid w:val="00997D30"/>
    <w:rsid w:val="009A100B"/>
    <w:rsid w:val="009A11FB"/>
    <w:rsid w:val="009A2551"/>
    <w:rsid w:val="009A3844"/>
    <w:rsid w:val="009A5E8D"/>
    <w:rsid w:val="009A6056"/>
    <w:rsid w:val="009B0595"/>
    <w:rsid w:val="009B0680"/>
    <w:rsid w:val="009B0FFD"/>
    <w:rsid w:val="009B23A4"/>
    <w:rsid w:val="009B2672"/>
    <w:rsid w:val="009B2D03"/>
    <w:rsid w:val="009B4E78"/>
    <w:rsid w:val="009B5090"/>
    <w:rsid w:val="009B587B"/>
    <w:rsid w:val="009B5C03"/>
    <w:rsid w:val="009B5DD3"/>
    <w:rsid w:val="009B5E04"/>
    <w:rsid w:val="009B6A90"/>
    <w:rsid w:val="009B6EAC"/>
    <w:rsid w:val="009B6FF1"/>
    <w:rsid w:val="009C057B"/>
    <w:rsid w:val="009C09DF"/>
    <w:rsid w:val="009C3F10"/>
    <w:rsid w:val="009C4F31"/>
    <w:rsid w:val="009C55EB"/>
    <w:rsid w:val="009C5F65"/>
    <w:rsid w:val="009C6D60"/>
    <w:rsid w:val="009C738D"/>
    <w:rsid w:val="009C7E71"/>
    <w:rsid w:val="009D028C"/>
    <w:rsid w:val="009D0581"/>
    <w:rsid w:val="009D0C1C"/>
    <w:rsid w:val="009D4D90"/>
    <w:rsid w:val="009D576D"/>
    <w:rsid w:val="009D699F"/>
    <w:rsid w:val="009D6C87"/>
    <w:rsid w:val="009D7D99"/>
    <w:rsid w:val="009E1280"/>
    <w:rsid w:val="009E1C92"/>
    <w:rsid w:val="009E33A0"/>
    <w:rsid w:val="009E3AE5"/>
    <w:rsid w:val="009E432A"/>
    <w:rsid w:val="009E46C0"/>
    <w:rsid w:val="009E4CB0"/>
    <w:rsid w:val="009E52E8"/>
    <w:rsid w:val="009E5B96"/>
    <w:rsid w:val="009E5D7B"/>
    <w:rsid w:val="009E5E97"/>
    <w:rsid w:val="009E6E33"/>
    <w:rsid w:val="009E7DAA"/>
    <w:rsid w:val="009E7EFF"/>
    <w:rsid w:val="009F0E32"/>
    <w:rsid w:val="009F39C8"/>
    <w:rsid w:val="009F475C"/>
    <w:rsid w:val="009F5D93"/>
    <w:rsid w:val="00A00577"/>
    <w:rsid w:val="00A00D16"/>
    <w:rsid w:val="00A01D1B"/>
    <w:rsid w:val="00A0345F"/>
    <w:rsid w:val="00A035BF"/>
    <w:rsid w:val="00A0400D"/>
    <w:rsid w:val="00A04184"/>
    <w:rsid w:val="00A04DA6"/>
    <w:rsid w:val="00A052F8"/>
    <w:rsid w:val="00A05427"/>
    <w:rsid w:val="00A0698C"/>
    <w:rsid w:val="00A07E5F"/>
    <w:rsid w:val="00A11516"/>
    <w:rsid w:val="00A1293B"/>
    <w:rsid w:val="00A13CFD"/>
    <w:rsid w:val="00A13DF3"/>
    <w:rsid w:val="00A15148"/>
    <w:rsid w:val="00A16255"/>
    <w:rsid w:val="00A16E21"/>
    <w:rsid w:val="00A176C9"/>
    <w:rsid w:val="00A17BC9"/>
    <w:rsid w:val="00A20150"/>
    <w:rsid w:val="00A211DD"/>
    <w:rsid w:val="00A22258"/>
    <w:rsid w:val="00A224EB"/>
    <w:rsid w:val="00A25419"/>
    <w:rsid w:val="00A25A2C"/>
    <w:rsid w:val="00A26F73"/>
    <w:rsid w:val="00A30870"/>
    <w:rsid w:val="00A30C28"/>
    <w:rsid w:val="00A30D7C"/>
    <w:rsid w:val="00A31FAB"/>
    <w:rsid w:val="00A32DC5"/>
    <w:rsid w:val="00A3301F"/>
    <w:rsid w:val="00A33856"/>
    <w:rsid w:val="00A345C3"/>
    <w:rsid w:val="00A36096"/>
    <w:rsid w:val="00A37006"/>
    <w:rsid w:val="00A37ECE"/>
    <w:rsid w:val="00A4078B"/>
    <w:rsid w:val="00A420A0"/>
    <w:rsid w:val="00A42920"/>
    <w:rsid w:val="00A42DFF"/>
    <w:rsid w:val="00A43434"/>
    <w:rsid w:val="00A439D5"/>
    <w:rsid w:val="00A44192"/>
    <w:rsid w:val="00A44853"/>
    <w:rsid w:val="00A44E61"/>
    <w:rsid w:val="00A4581F"/>
    <w:rsid w:val="00A45B0F"/>
    <w:rsid w:val="00A46525"/>
    <w:rsid w:val="00A46636"/>
    <w:rsid w:val="00A46CEE"/>
    <w:rsid w:val="00A5373C"/>
    <w:rsid w:val="00A5388E"/>
    <w:rsid w:val="00A53C46"/>
    <w:rsid w:val="00A553D5"/>
    <w:rsid w:val="00A57892"/>
    <w:rsid w:val="00A57EC9"/>
    <w:rsid w:val="00A6022F"/>
    <w:rsid w:val="00A61C27"/>
    <w:rsid w:val="00A6419D"/>
    <w:rsid w:val="00A65182"/>
    <w:rsid w:val="00A671CB"/>
    <w:rsid w:val="00A67D0F"/>
    <w:rsid w:val="00A7085F"/>
    <w:rsid w:val="00A70FC9"/>
    <w:rsid w:val="00A7119A"/>
    <w:rsid w:val="00A729BE"/>
    <w:rsid w:val="00A733AF"/>
    <w:rsid w:val="00A749E6"/>
    <w:rsid w:val="00A7530E"/>
    <w:rsid w:val="00A80350"/>
    <w:rsid w:val="00A8110C"/>
    <w:rsid w:val="00A8450D"/>
    <w:rsid w:val="00A84A32"/>
    <w:rsid w:val="00A85022"/>
    <w:rsid w:val="00A86530"/>
    <w:rsid w:val="00A86C48"/>
    <w:rsid w:val="00A878CE"/>
    <w:rsid w:val="00A9351F"/>
    <w:rsid w:val="00A93737"/>
    <w:rsid w:val="00A97945"/>
    <w:rsid w:val="00A97C36"/>
    <w:rsid w:val="00AA0369"/>
    <w:rsid w:val="00AA106B"/>
    <w:rsid w:val="00AA2674"/>
    <w:rsid w:val="00AA5CB5"/>
    <w:rsid w:val="00AA5D61"/>
    <w:rsid w:val="00AB1F1C"/>
    <w:rsid w:val="00AB2332"/>
    <w:rsid w:val="00AB23A4"/>
    <w:rsid w:val="00AB3654"/>
    <w:rsid w:val="00AB37E9"/>
    <w:rsid w:val="00AB389E"/>
    <w:rsid w:val="00AB4496"/>
    <w:rsid w:val="00AB5986"/>
    <w:rsid w:val="00AB7741"/>
    <w:rsid w:val="00AB7F1F"/>
    <w:rsid w:val="00AB7FC7"/>
    <w:rsid w:val="00AC00BB"/>
    <w:rsid w:val="00AC0739"/>
    <w:rsid w:val="00AC1D6C"/>
    <w:rsid w:val="00AC38BE"/>
    <w:rsid w:val="00AC3956"/>
    <w:rsid w:val="00AC4AB5"/>
    <w:rsid w:val="00AC5103"/>
    <w:rsid w:val="00AC6088"/>
    <w:rsid w:val="00AC6671"/>
    <w:rsid w:val="00AC69E1"/>
    <w:rsid w:val="00AC6BE8"/>
    <w:rsid w:val="00AC7861"/>
    <w:rsid w:val="00AC7B67"/>
    <w:rsid w:val="00AD298B"/>
    <w:rsid w:val="00AD2E33"/>
    <w:rsid w:val="00AD31A4"/>
    <w:rsid w:val="00AD3402"/>
    <w:rsid w:val="00AD38BE"/>
    <w:rsid w:val="00AD3EFA"/>
    <w:rsid w:val="00AD4295"/>
    <w:rsid w:val="00AD5BD7"/>
    <w:rsid w:val="00AD5C98"/>
    <w:rsid w:val="00AD62EE"/>
    <w:rsid w:val="00AE13CF"/>
    <w:rsid w:val="00AE240E"/>
    <w:rsid w:val="00AE32AA"/>
    <w:rsid w:val="00AE392E"/>
    <w:rsid w:val="00AE3F2F"/>
    <w:rsid w:val="00AF2CD6"/>
    <w:rsid w:val="00AF4630"/>
    <w:rsid w:val="00AF5118"/>
    <w:rsid w:val="00AF5230"/>
    <w:rsid w:val="00AF6A29"/>
    <w:rsid w:val="00AF71AB"/>
    <w:rsid w:val="00B00347"/>
    <w:rsid w:val="00B01B24"/>
    <w:rsid w:val="00B04DC1"/>
    <w:rsid w:val="00B052A2"/>
    <w:rsid w:val="00B0532A"/>
    <w:rsid w:val="00B05F9B"/>
    <w:rsid w:val="00B071AC"/>
    <w:rsid w:val="00B07CEE"/>
    <w:rsid w:val="00B10187"/>
    <w:rsid w:val="00B10CF8"/>
    <w:rsid w:val="00B11B48"/>
    <w:rsid w:val="00B11CD9"/>
    <w:rsid w:val="00B12444"/>
    <w:rsid w:val="00B1411F"/>
    <w:rsid w:val="00B14FDA"/>
    <w:rsid w:val="00B16A3C"/>
    <w:rsid w:val="00B16E5C"/>
    <w:rsid w:val="00B204EC"/>
    <w:rsid w:val="00B20641"/>
    <w:rsid w:val="00B21B8A"/>
    <w:rsid w:val="00B21F87"/>
    <w:rsid w:val="00B221E8"/>
    <w:rsid w:val="00B228E7"/>
    <w:rsid w:val="00B22C30"/>
    <w:rsid w:val="00B24271"/>
    <w:rsid w:val="00B26964"/>
    <w:rsid w:val="00B279B2"/>
    <w:rsid w:val="00B3175F"/>
    <w:rsid w:val="00B32A8E"/>
    <w:rsid w:val="00B33BAB"/>
    <w:rsid w:val="00B34FB3"/>
    <w:rsid w:val="00B35194"/>
    <w:rsid w:val="00B35784"/>
    <w:rsid w:val="00B35FDD"/>
    <w:rsid w:val="00B37697"/>
    <w:rsid w:val="00B40FD9"/>
    <w:rsid w:val="00B422A0"/>
    <w:rsid w:val="00B42405"/>
    <w:rsid w:val="00B42489"/>
    <w:rsid w:val="00B429FD"/>
    <w:rsid w:val="00B43DA9"/>
    <w:rsid w:val="00B44018"/>
    <w:rsid w:val="00B467EE"/>
    <w:rsid w:val="00B47873"/>
    <w:rsid w:val="00B50379"/>
    <w:rsid w:val="00B50AA4"/>
    <w:rsid w:val="00B51B16"/>
    <w:rsid w:val="00B5471B"/>
    <w:rsid w:val="00B55E95"/>
    <w:rsid w:val="00B56510"/>
    <w:rsid w:val="00B56683"/>
    <w:rsid w:val="00B571FB"/>
    <w:rsid w:val="00B60A08"/>
    <w:rsid w:val="00B611C6"/>
    <w:rsid w:val="00B61893"/>
    <w:rsid w:val="00B62249"/>
    <w:rsid w:val="00B6450F"/>
    <w:rsid w:val="00B66B2C"/>
    <w:rsid w:val="00B672BC"/>
    <w:rsid w:val="00B67BD5"/>
    <w:rsid w:val="00B71921"/>
    <w:rsid w:val="00B73D05"/>
    <w:rsid w:val="00B73F79"/>
    <w:rsid w:val="00B75EDF"/>
    <w:rsid w:val="00B76376"/>
    <w:rsid w:val="00B7677C"/>
    <w:rsid w:val="00B76E03"/>
    <w:rsid w:val="00B80474"/>
    <w:rsid w:val="00B83691"/>
    <w:rsid w:val="00B83B98"/>
    <w:rsid w:val="00B90E5F"/>
    <w:rsid w:val="00B90F54"/>
    <w:rsid w:val="00B91858"/>
    <w:rsid w:val="00B921CC"/>
    <w:rsid w:val="00B927CA"/>
    <w:rsid w:val="00B94129"/>
    <w:rsid w:val="00B94290"/>
    <w:rsid w:val="00B94415"/>
    <w:rsid w:val="00B94BFB"/>
    <w:rsid w:val="00B94FE5"/>
    <w:rsid w:val="00B96FA0"/>
    <w:rsid w:val="00BA0C41"/>
    <w:rsid w:val="00BA0CAE"/>
    <w:rsid w:val="00BA0D1D"/>
    <w:rsid w:val="00BA0F33"/>
    <w:rsid w:val="00BA2C89"/>
    <w:rsid w:val="00BA2E52"/>
    <w:rsid w:val="00BA5060"/>
    <w:rsid w:val="00BA5DED"/>
    <w:rsid w:val="00BA60D4"/>
    <w:rsid w:val="00BA69A9"/>
    <w:rsid w:val="00BB1D45"/>
    <w:rsid w:val="00BB304C"/>
    <w:rsid w:val="00BB4C28"/>
    <w:rsid w:val="00BB5912"/>
    <w:rsid w:val="00BB5EC0"/>
    <w:rsid w:val="00BB6BBB"/>
    <w:rsid w:val="00BC39E4"/>
    <w:rsid w:val="00BC50E3"/>
    <w:rsid w:val="00BC66B0"/>
    <w:rsid w:val="00BC67A6"/>
    <w:rsid w:val="00BC6E90"/>
    <w:rsid w:val="00BC7515"/>
    <w:rsid w:val="00BD07DD"/>
    <w:rsid w:val="00BD2237"/>
    <w:rsid w:val="00BD2789"/>
    <w:rsid w:val="00BD2C46"/>
    <w:rsid w:val="00BD37DA"/>
    <w:rsid w:val="00BD3BD4"/>
    <w:rsid w:val="00BD4189"/>
    <w:rsid w:val="00BD44E8"/>
    <w:rsid w:val="00BD5C31"/>
    <w:rsid w:val="00BD5D21"/>
    <w:rsid w:val="00BD6B0F"/>
    <w:rsid w:val="00BD7993"/>
    <w:rsid w:val="00BD7C66"/>
    <w:rsid w:val="00BE1AA0"/>
    <w:rsid w:val="00BE2CA6"/>
    <w:rsid w:val="00BE315A"/>
    <w:rsid w:val="00BE4EBE"/>
    <w:rsid w:val="00BE6A29"/>
    <w:rsid w:val="00BF4118"/>
    <w:rsid w:val="00BF4C8B"/>
    <w:rsid w:val="00BF5745"/>
    <w:rsid w:val="00BF6A61"/>
    <w:rsid w:val="00BF710E"/>
    <w:rsid w:val="00BF76D3"/>
    <w:rsid w:val="00C013B0"/>
    <w:rsid w:val="00C01644"/>
    <w:rsid w:val="00C029C9"/>
    <w:rsid w:val="00C0360E"/>
    <w:rsid w:val="00C039FE"/>
    <w:rsid w:val="00C03F43"/>
    <w:rsid w:val="00C0762D"/>
    <w:rsid w:val="00C079ED"/>
    <w:rsid w:val="00C07AC5"/>
    <w:rsid w:val="00C10F5A"/>
    <w:rsid w:val="00C11F7C"/>
    <w:rsid w:val="00C12734"/>
    <w:rsid w:val="00C1371D"/>
    <w:rsid w:val="00C139A6"/>
    <w:rsid w:val="00C13CB1"/>
    <w:rsid w:val="00C1479D"/>
    <w:rsid w:val="00C16203"/>
    <w:rsid w:val="00C206BF"/>
    <w:rsid w:val="00C20FF3"/>
    <w:rsid w:val="00C23BC9"/>
    <w:rsid w:val="00C24A8A"/>
    <w:rsid w:val="00C25376"/>
    <w:rsid w:val="00C253A5"/>
    <w:rsid w:val="00C25B66"/>
    <w:rsid w:val="00C2770C"/>
    <w:rsid w:val="00C300D7"/>
    <w:rsid w:val="00C340E2"/>
    <w:rsid w:val="00C35926"/>
    <w:rsid w:val="00C3689F"/>
    <w:rsid w:val="00C37875"/>
    <w:rsid w:val="00C40D7A"/>
    <w:rsid w:val="00C41529"/>
    <w:rsid w:val="00C42E4D"/>
    <w:rsid w:val="00C44D69"/>
    <w:rsid w:val="00C44EA3"/>
    <w:rsid w:val="00C44F5D"/>
    <w:rsid w:val="00C45967"/>
    <w:rsid w:val="00C475D8"/>
    <w:rsid w:val="00C514ED"/>
    <w:rsid w:val="00C5167E"/>
    <w:rsid w:val="00C54641"/>
    <w:rsid w:val="00C54D39"/>
    <w:rsid w:val="00C554CC"/>
    <w:rsid w:val="00C560E3"/>
    <w:rsid w:val="00C60B51"/>
    <w:rsid w:val="00C61E61"/>
    <w:rsid w:val="00C62E11"/>
    <w:rsid w:val="00C661E5"/>
    <w:rsid w:val="00C6634F"/>
    <w:rsid w:val="00C679D6"/>
    <w:rsid w:val="00C712EE"/>
    <w:rsid w:val="00C71C4C"/>
    <w:rsid w:val="00C72511"/>
    <w:rsid w:val="00C729C2"/>
    <w:rsid w:val="00C72B65"/>
    <w:rsid w:val="00C73180"/>
    <w:rsid w:val="00C73931"/>
    <w:rsid w:val="00C74345"/>
    <w:rsid w:val="00C75107"/>
    <w:rsid w:val="00C7779D"/>
    <w:rsid w:val="00C80A8F"/>
    <w:rsid w:val="00C8223A"/>
    <w:rsid w:val="00C8254B"/>
    <w:rsid w:val="00C85C42"/>
    <w:rsid w:val="00C85DFA"/>
    <w:rsid w:val="00C87E87"/>
    <w:rsid w:val="00C87FF3"/>
    <w:rsid w:val="00C92B80"/>
    <w:rsid w:val="00C92D3C"/>
    <w:rsid w:val="00C931E2"/>
    <w:rsid w:val="00C93665"/>
    <w:rsid w:val="00C939AF"/>
    <w:rsid w:val="00C944A3"/>
    <w:rsid w:val="00C96DB7"/>
    <w:rsid w:val="00C96DCA"/>
    <w:rsid w:val="00C97EE8"/>
    <w:rsid w:val="00C97F5C"/>
    <w:rsid w:val="00CA0B81"/>
    <w:rsid w:val="00CA2583"/>
    <w:rsid w:val="00CA4225"/>
    <w:rsid w:val="00CA42EB"/>
    <w:rsid w:val="00CA4440"/>
    <w:rsid w:val="00CA4EDB"/>
    <w:rsid w:val="00CA5D35"/>
    <w:rsid w:val="00CA7321"/>
    <w:rsid w:val="00CA7FD2"/>
    <w:rsid w:val="00CB0325"/>
    <w:rsid w:val="00CB0EA6"/>
    <w:rsid w:val="00CB233C"/>
    <w:rsid w:val="00CB40A0"/>
    <w:rsid w:val="00CB60DF"/>
    <w:rsid w:val="00CB7E69"/>
    <w:rsid w:val="00CC0B60"/>
    <w:rsid w:val="00CC1230"/>
    <w:rsid w:val="00CC4604"/>
    <w:rsid w:val="00CC7B7D"/>
    <w:rsid w:val="00CD130F"/>
    <w:rsid w:val="00CD1DA8"/>
    <w:rsid w:val="00CD2AEA"/>
    <w:rsid w:val="00CE18A6"/>
    <w:rsid w:val="00CE1928"/>
    <w:rsid w:val="00CE23E3"/>
    <w:rsid w:val="00CE364F"/>
    <w:rsid w:val="00CE390C"/>
    <w:rsid w:val="00CE3DB1"/>
    <w:rsid w:val="00CE6366"/>
    <w:rsid w:val="00CE7174"/>
    <w:rsid w:val="00CF13D3"/>
    <w:rsid w:val="00CF40B6"/>
    <w:rsid w:val="00CF44AC"/>
    <w:rsid w:val="00CF4D2D"/>
    <w:rsid w:val="00CF54DB"/>
    <w:rsid w:val="00CF6EC2"/>
    <w:rsid w:val="00D00279"/>
    <w:rsid w:val="00D00A56"/>
    <w:rsid w:val="00D0147B"/>
    <w:rsid w:val="00D01F30"/>
    <w:rsid w:val="00D02C3C"/>
    <w:rsid w:val="00D02FF5"/>
    <w:rsid w:val="00D03E8C"/>
    <w:rsid w:val="00D03EB2"/>
    <w:rsid w:val="00D0494C"/>
    <w:rsid w:val="00D05634"/>
    <w:rsid w:val="00D06A05"/>
    <w:rsid w:val="00D07EB7"/>
    <w:rsid w:val="00D10754"/>
    <w:rsid w:val="00D111C1"/>
    <w:rsid w:val="00D12004"/>
    <w:rsid w:val="00D141A4"/>
    <w:rsid w:val="00D1651D"/>
    <w:rsid w:val="00D17504"/>
    <w:rsid w:val="00D17847"/>
    <w:rsid w:val="00D17DE5"/>
    <w:rsid w:val="00D215F6"/>
    <w:rsid w:val="00D21915"/>
    <w:rsid w:val="00D2257A"/>
    <w:rsid w:val="00D24037"/>
    <w:rsid w:val="00D26007"/>
    <w:rsid w:val="00D260F3"/>
    <w:rsid w:val="00D269B6"/>
    <w:rsid w:val="00D271C3"/>
    <w:rsid w:val="00D27AE3"/>
    <w:rsid w:val="00D27D5B"/>
    <w:rsid w:val="00D303A7"/>
    <w:rsid w:val="00D3166D"/>
    <w:rsid w:val="00D33461"/>
    <w:rsid w:val="00D33F0A"/>
    <w:rsid w:val="00D34307"/>
    <w:rsid w:val="00D347E2"/>
    <w:rsid w:val="00D357D7"/>
    <w:rsid w:val="00D422D3"/>
    <w:rsid w:val="00D44396"/>
    <w:rsid w:val="00D44802"/>
    <w:rsid w:val="00D44C9B"/>
    <w:rsid w:val="00D459DA"/>
    <w:rsid w:val="00D459EC"/>
    <w:rsid w:val="00D4649D"/>
    <w:rsid w:val="00D47FB8"/>
    <w:rsid w:val="00D51BF2"/>
    <w:rsid w:val="00D52288"/>
    <w:rsid w:val="00D536DB"/>
    <w:rsid w:val="00D547D9"/>
    <w:rsid w:val="00D54B23"/>
    <w:rsid w:val="00D54DFD"/>
    <w:rsid w:val="00D55F57"/>
    <w:rsid w:val="00D56865"/>
    <w:rsid w:val="00D60027"/>
    <w:rsid w:val="00D60531"/>
    <w:rsid w:val="00D63C83"/>
    <w:rsid w:val="00D64214"/>
    <w:rsid w:val="00D64B68"/>
    <w:rsid w:val="00D64DBD"/>
    <w:rsid w:val="00D652C7"/>
    <w:rsid w:val="00D65DAB"/>
    <w:rsid w:val="00D66D31"/>
    <w:rsid w:val="00D66F27"/>
    <w:rsid w:val="00D6714D"/>
    <w:rsid w:val="00D67688"/>
    <w:rsid w:val="00D676F1"/>
    <w:rsid w:val="00D70233"/>
    <w:rsid w:val="00D7216E"/>
    <w:rsid w:val="00D722DC"/>
    <w:rsid w:val="00D72A44"/>
    <w:rsid w:val="00D73FF7"/>
    <w:rsid w:val="00D74555"/>
    <w:rsid w:val="00D7716A"/>
    <w:rsid w:val="00D774CA"/>
    <w:rsid w:val="00D77D11"/>
    <w:rsid w:val="00D8084B"/>
    <w:rsid w:val="00D81151"/>
    <w:rsid w:val="00D81729"/>
    <w:rsid w:val="00D81CB6"/>
    <w:rsid w:val="00D82566"/>
    <w:rsid w:val="00D84E6D"/>
    <w:rsid w:val="00D85FAB"/>
    <w:rsid w:val="00D8704D"/>
    <w:rsid w:val="00D876BC"/>
    <w:rsid w:val="00D915D7"/>
    <w:rsid w:val="00D9230B"/>
    <w:rsid w:val="00D92CCE"/>
    <w:rsid w:val="00D93C64"/>
    <w:rsid w:val="00D9482D"/>
    <w:rsid w:val="00D94A5F"/>
    <w:rsid w:val="00D957AB"/>
    <w:rsid w:val="00D965E8"/>
    <w:rsid w:val="00DA04B4"/>
    <w:rsid w:val="00DA26B2"/>
    <w:rsid w:val="00DA3566"/>
    <w:rsid w:val="00DA3BCC"/>
    <w:rsid w:val="00DA6F4E"/>
    <w:rsid w:val="00DA72B2"/>
    <w:rsid w:val="00DA7801"/>
    <w:rsid w:val="00DB46CC"/>
    <w:rsid w:val="00DB4F31"/>
    <w:rsid w:val="00DB4FF9"/>
    <w:rsid w:val="00DB565B"/>
    <w:rsid w:val="00DB6926"/>
    <w:rsid w:val="00DC1286"/>
    <w:rsid w:val="00DC3502"/>
    <w:rsid w:val="00DC3914"/>
    <w:rsid w:val="00DC398C"/>
    <w:rsid w:val="00DC449C"/>
    <w:rsid w:val="00DC58E0"/>
    <w:rsid w:val="00DC5F48"/>
    <w:rsid w:val="00DC6653"/>
    <w:rsid w:val="00DD0A25"/>
    <w:rsid w:val="00DD0D06"/>
    <w:rsid w:val="00DD11D7"/>
    <w:rsid w:val="00DD1BE3"/>
    <w:rsid w:val="00DD273B"/>
    <w:rsid w:val="00DD39DB"/>
    <w:rsid w:val="00DD4090"/>
    <w:rsid w:val="00DD43BD"/>
    <w:rsid w:val="00DD472F"/>
    <w:rsid w:val="00DD541F"/>
    <w:rsid w:val="00DD57BB"/>
    <w:rsid w:val="00DD5C1A"/>
    <w:rsid w:val="00DD6273"/>
    <w:rsid w:val="00DD6B4D"/>
    <w:rsid w:val="00DE0AA1"/>
    <w:rsid w:val="00DE0B96"/>
    <w:rsid w:val="00DE1A3F"/>
    <w:rsid w:val="00DE1EEA"/>
    <w:rsid w:val="00DE4CE7"/>
    <w:rsid w:val="00DE4FCD"/>
    <w:rsid w:val="00DE6808"/>
    <w:rsid w:val="00DF0B7E"/>
    <w:rsid w:val="00DF12F8"/>
    <w:rsid w:val="00DF26C3"/>
    <w:rsid w:val="00DF436A"/>
    <w:rsid w:val="00DF5544"/>
    <w:rsid w:val="00DF5953"/>
    <w:rsid w:val="00DF5B80"/>
    <w:rsid w:val="00DF5D9E"/>
    <w:rsid w:val="00DF67E0"/>
    <w:rsid w:val="00DF7451"/>
    <w:rsid w:val="00E04ACA"/>
    <w:rsid w:val="00E04EE6"/>
    <w:rsid w:val="00E05279"/>
    <w:rsid w:val="00E05C88"/>
    <w:rsid w:val="00E06816"/>
    <w:rsid w:val="00E100AD"/>
    <w:rsid w:val="00E10C35"/>
    <w:rsid w:val="00E11439"/>
    <w:rsid w:val="00E11BAE"/>
    <w:rsid w:val="00E121AC"/>
    <w:rsid w:val="00E12BCC"/>
    <w:rsid w:val="00E14070"/>
    <w:rsid w:val="00E15B28"/>
    <w:rsid w:val="00E15EE6"/>
    <w:rsid w:val="00E15FC5"/>
    <w:rsid w:val="00E1638D"/>
    <w:rsid w:val="00E179A8"/>
    <w:rsid w:val="00E21617"/>
    <w:rsid w:val="00E21CF5"/>
    <w:rsid w:val="00E234E0"/>
    <w:rsid w:val="00E2364B"/>
    <w:rsid w:val="00E258E9"/>
    <w:rsid w:val="00E25B6F"/>
    <w:rsid w:val="00E262B5"/>
    <w:rsid w:val="00E270AA"/>
    <w:rsid w:val="00E30730"/>
    <w:rsid w:val="00E30CB7"/>
    <w:rsid w:val="00E30CCE"/>
    <w:rsid w:val="00E30E54"/>
    <w:rsid w:val="00E31AF9"/>
    <w:rsid w:val="00E32514"/>
    <w:rsid w:val="00E33E48"/>
    <w:rsid w:val="00E34459"/>
    <w:rsid w:val="00E43339"/>
    <w:rsid w:val="00E43613"/>
    <w:rsid w:val="00E46C2F"/>
    <w:rsid w:val="00E46D8A"/>
    <w:rsid w:val="00E47A2D"/>
    <w:rsid w:val="00E5040A"/>
    <w:rsid w:val="00E512A5"/>
    <w:rsid w:val="00E517E1"/>
    <w:rsid w:val="00E52AC1"/>
    <w:rsid w:val="00E5437B"/>
    <w:rsid w:val="00E545FE"/>
    <w:rsid w:val="00E54FE3"/>
    <w:rsid w:val="00E55D86"/>
    <w:rsid w:val="00E56251"/>
    <w:rsid w:val="00E56A71"/>
    <w:rsid w:val="00E56E79"/>
    <w:rsid w:val="00E5705F"/>
    <w:rsid w:val="00E576CC"/>
    <w:rsid w:val="00E60147"/>
    <w:rsid w:val="00E61551"/>
    <w:rsid w:val="00E6361E"/>
    <w:rsid w:val="00E63CC0"/>
    <w:rsid w:val="00E64C97"/>
    <w:rsid w:val="00E65026"/>
    <w:rsid w:val="00E66BC2"/>
    <w:rsid w:val="00E72B47"/>
    <w:rsid w:val="00E742FD"/>
    <w:rsid w:val="00E750EA"/>
    <w:rsid w:val="00E7601E"/>
    <w:rsid w:val="00E764CF"/>
    <w:rsid w:val="00E7677A"/>
    <w:rsid w:val="00E768E8"/>
    <w:rsid w:val="00E7773F"/>
    <w:rsid w:val="00E77980"/>
    <w:rsid w:val="00E77B07"/>
    <w:rsid w:val="00E80718"/>
    <w:rsid w:val="00E80F95"/>
    <w:rsid w:val="00E81472"/>
    <w:rsid w:val="00E8188C"/>
    <w:rsid w:val="00E81BA9"/>
    <w:rsid w:val="00E81E25"/>
    <w:rsid w:val="00E85034"/>
    <w:rsid w:val="00E8508F"/>
    <w:rsid w:val="00E8757F"/>
    <w:rsid w:val="00E9089E"/>
    <w:rsid w:val="00E9119B"/>
    <w:rsid w:val="00E913E3"/>
    <w:rsid w:val="00E921B8"/>
    <w:rsid w:val="00E92672"/>
    <w:rsid w:val="00E927E8"/>
    <w:rsid w:val="00E93355"/>
    <w:rsid w:val="00E93970"/>
    <w:rsid w:val="00E9548E"/>
    <w:rsid w:val="00E964E5"/>
    <w:rsid w:val="00E96B1B"/>
    <w:rsid w:val="00EA10CB"/>
    <w:rsid w:val="00EA2001"/>
    <w:rsid w:val="00EA40A4"/>
    <w:rsid w:val="00EA4BCB"/>
    <w:rsid w:val="00EA5EA7"/>
    <w:rsid w:val="00EA6C94"/>
    <w:rsid w:val="00EA727A"/>
    <w:rsid w:val="00EB1031"/>
    <w:rsid w:val="00EB3783"/>
    <w:rsid w:val="00EB5507"/>
    <w:rsid w:val="00EB6B73"/>
    <w:rsid w:val="00EC050D"/>
    <w:rsid w:val="00EC0D78"/>
    <w:rsid w:val="00EC1734"/>
    <w:rsid w:val="00EC200D"/>
    <w:rsid w:val="00EC26B0"/>
    <w:rsid w:val="00EC3307"/>
    <w:rsid w:val="00EC3CAA"/>
    <w:rsid w:val="00EC5FFF"/>
    <w:rsid w:val="00EC64E4"/>
    <w:rsid w:val="00ED1318"/>
    <w:rsid w:val="00ED24B9"/>
    <w:rsid w:val="00ED3311"/>
    <w:rsid w:val="00ED41C7"/>
    <w:rsid w:val="00ED593D"/>
    <w:rsid w:val="00ED6640"/>
    <w:rsid w:val="00ED7030"/>
    <w:rsid w:val="00EE1702"/>
    <w:rsid w:val="00EE36BB"/>
    <w:rsid w:val="00EE5265"/>
    <w:rsid w:val="00EE58BE"/>
    <w:rsid w:val="00EE60EA"/>
    <w:rsid w:val="00EE69E6"/>
    <w:rsid w:val="00EF02D3"/>
    <w:rsid w:val="00EF145F"/>
    <w:rsid w:val="00EF6152"/>
    <w:rsid w:val="00EF64D6"/>
    <w:rsid w:val="00EF665B"/>
    <w:rsid w:val="00F0001E"/>
    <w:rsid w:val="00F0056E"/>
    <w:rsid w:val="00F00A95"/>
    <w:rsid w:val="00F00F56"/>
    <w:rsid w:val="00F02A7F"/>
    <w:rsid w:val="00F03A15"/>
    <w:rsid w:val="00F0636E"/>
    <w:rsid w:val="00F06EDE"/>
    <w:rsid w:val="00F11CE0"/>
    <w:rsid w:val="00F125D4"/>
    <w:rsid w:val="00F12680"/>
    <w:rsid w:val="00F14BA4"/>
    <w:rsid w:val="00F14FE2"/>
    <w:rsid w:val="00F1636A"/>
    <w:rsid w:val="00F17FF0"/>
    <w:rsid w:val="00F233AC"/>
    <w:rsid w:val="00F23675"/>
    <w:rsid w:val="00F268F7"/>
    <w:rsid w:val="00F26B30"/>
    <w:rsid w:val="00F303EA"/>
    <w:rsid w:val="00F32F50"/>
    <w:rsid w:val="00F33F3E"/>
    <w:rsid w:val="00F35C77"/>
    <w:rsid w:val="00F363BE"/>
    <w:rsid w:val="00F368D2"/>
    <w:rsid w:val="00F36F21"/>
    <w:rsid w:val="00F37DD3"/>
    <w:rsid w:val="00F4131A"/>
    <w:rsid w:val="00F41E55"/>
    <w:rsid w:val="00F44F8F"/>
    <w:rsid w:val="00F455F7"/>
    <w:rsid w:val="00F45A00"/>
    <w:rsid w:val="00F45FC2"/>
    <w:rsid w:val="00F50AC9"/>
    <w:rsid w:val="00F5103C"/>
    <w:rsid w:val="00F524C0"/>
    <w:rsid w:val="00F53B2B"/>
    <w:rsid w:val="00F53D64"/>
    <w:rsid w:val="00F542AC"/>
    <w:rsid w:val="00F545A9"/>
    <w:rsid w:val="00F5462D"/>
    <w:rsid w:val="00F54F8A"/>
    <w:rsid w:val="00F5532F"/>
    <w:rsid w:val="00F556C6"/>
    <w:rsid w:val="00F55996"/>
    <w:rsid w:val="00F612B3"/>
    <w:rsid w:val="00F6134A"/>
    <w:rsid w:val="00F634FD"/>
    <w:rsid w:val="00F65A5D"/>
    <w:rsid w:val="00F70307"/>
    <w:rsid w:val="00F74488"/>
    <w:rsid w:val="00F7484C"/>
    <w:rsid w:val="00F74B80"/>
    <w:rsid w:val="00F7518D"/>
    <w:rsid w:val="00F76757"/>
    <w:rsid w:val="00F76DDE"/>
    <w:rsid w:val="00F771FA"/>
    <w:rsid w:val="00F77992"/>
    <w:rsid w:val="00F81806"/>
    <w:rsid w:val="00F85036"/>
    <w:rsid w:val="00F85498"/>
    <w:rsid w:val="00F85702"/>
    <w:rsid w:val="00F85796"/>
    <w:rsid w:val="00F8775E"/>
    <w:rsid w:val="00F90CE5"/>
    <w:rsid w:val="00F92F85"/>
    <w:rsid w:val="00F936B6"/>
    <w:rsid w:val="00F938DF"/>
    <w:rsid w:val="00F93B9B"/>
    <w:rsid w:val="00F94284"/>
    <w:rsid w:val="00F955B0"/>
    <w:rsid w:val="00F955E8"/>
    <w:rsid w:val="00F9563B"/>
    <w:rsid w:val="00F96E2E"/>
    <w:rsid w:val="00F96FDD"/>
    <w:rsid w:val="00F97F66"/>
    <w:rsid w:val="00FA1848"/>
    <w:rsid w:val="00FA1CE9"/>
    <w:rsid w:val="00FA27CA"/>
    <w:rsid w:val="00FA5423"/>
    <w:rsid w:val="00FA5CEF"/>
    <w:rsid w:val="00FA5F31"/>
    <w:rsid w:val="00FA6422"/>
    <w:rsid w:val="00FA6463"/>
    <w:rsid w:val="00FA7611"/>
    <w:rsid w:val="00FB0017"/>
    <w:rsid w:val="00FB1342"/>
    <w:rsid w:val="00FB3FC9"/>
    <w:rsid w:val="00FB7918"/>
    <w:rsid w:val="00FB7D8B"/>
    <w:rsid w:val="00FC374A"/>
    <w:rsid w:val="00FC3E2D"/>
    <w:rsid w:val="00FC4608"/>
    <w:rsid w:val="00FC54D2"/>
    <w:rsid w:val="00FC7848"/>
    <w:rsid w:val="00FD03A1"/>
    <w:rsid w:val="00FD0D1D"/>
    <w:rsid w:val="00FD26D3"/>
    <w:rsid w:val="00FD3C82"/>
    <w:rsid w:val="00FD3F21"/>
    <w:rsid w:val="00FD5761"/>
    <w:rsid w:val="00FD73F6"/>
    <w:rsid w:val="00FE207F"/>
    <w:rsid w:val="00FE2716"/>
    <w:rsid w:val="00FE2859"/>
    <w:rsid w:val="00FE4A87"/>
    <w:rsid w:val="00FE522B"/>
    <w:rsid w:val="00FE55F3"/>
    <w:rsid w:val="00FE72DE"/>
    <w:rsid w:val="00FF0526"/>
    <w:rsid w:val="00FF069D"/>
    <w:rsid w:val="00FF0FB3"/>
    <w:rsid w:val="00FF12B4"/>
    <w:rsid w:val="00FF37B9"/>
    <w:rsid w:val="00FF3A98"/>
    <w:rsid w:val="00FF3F1E"/>
    <w:rsid w:val="00FF462C"/>
    <w:rsid w:val="00FF4654"/>
    <w:rsid w:val="00FF5119"/>
    <w:rsid w:val="00FF5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77DD9"/>
  <w15:chartTrackingRefBased/>
  <w15:docId w15:val="{E3993F0E-310C-4803-81FD-694A5BBA3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ro-MD"/>
    </w:rPr>
  </w:style>
  <w:style w:type="paragraph" w:styleId="1">
    <w:name w:val="heading 1"/>
    <w:basedOn w:val="a"/>
    <w:next w:val="a"/>
    <w:link w:val="10"/>
    <w:qFormat/>
    <w:rsid w:val="006049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049D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6049D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6049D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049D5"/>
    <w:rPr>
      <w:rFonts w:asciiTheme="majorHAnsi" w:eastAsiaTheme="majorEastAsia" w:hAnsiTheme="majorHAnsi" w:cstheme="majorBidi"/>
      <w:color w:val="2E74B5" w:themeColor="accent1" w:themeShade="BF"/>
      <w:sz w:val="32"/>
      <w:szCs w:val="32"/>
      <w:lang w:val="ro-MD"/>
    </w:rPr>
  </w:style>
  <w:style w:type="character" w:customStyle="1" w:styleId="20">
    <w:name w:val="Заголовок 2 Знак"/>
    <w:basedOn w:val="a0"/>
    <w:link w:val="2"/>
    <w:uiPriority w:val="9"/>
    <w:rsid w:val="006049D5"/>
    <w:rPr>
      <w:rFonts w:asciiTheme="majorHAnsi" w:eastAsiaTheme="majorEastAsia" w:hAnsiTheme="majorHAnsi" w:cstheme="majorBidi"/>
      <w:color w:val="2E74B5" w:themeColor="accent1" w:themeShade="BF"/>
      <w:sz w:val="26"/>
      <w:szCs w:val="26"/>
      <w:lang w:val="ro-MD"/>
    </w:rPr>
  </w:style>
  <w:style w:type="character" w:customStyle="1" w:styleId="30">
    <w:name w:val="Заголовок 3 Знак"/>
    <w:basedOn w:val="a0"/>
    <w:link w:val="3"/>
    <w:uiPriority w:val="9"/>
    <w:rsid w:val="006049D5"/>
    <w:rPr>
      <w:rFonts w:asciiTheme="majorHAnsi" w:eastAsiaTheme="majorEastAsia" w:hAnsiTheme="majorHAnsi" w:cstheme="majorBidi"/>
      <w:color w:val="1F4D78" w:themeColor="accent1" w:themeShade="7F"/>
      <w:sz w:val="24"/>
      <w:szCs w:val="24"/>
      <w:lang w:val="ro-MD"/>
    </w:rPr>
  </w:style>
  <w:style w:type="character" w:customStyle="1" w:styleId="40">
    <w:name w:val="Заголовок 4 Знак"/>
    <w:basedOn w:val="a0"/>
    <w:link w:val="4"/>
    <w:uiPriority w:val="9"/>
    <w:rsid w:val="006049D5"/>
    <w:rPr>
      <w:rFonts w:asciiTheme="majorHAnsi" w:eastAsiaTheme="majorEastAsia" w:hAnsiTheme="majorHAnsi" w:cstheme="majorBidi"/>
      <w:i/>
      <w:iCs/>
      <w:color w:val="2E74B5" w:themeColor="accent1" w:themeShade="BF"/>
      <w:lang w:val="ro-MD"/>
    </w:rPr>
  </w:style>
  <w:style w:type="paragraph" w:styleId="a3">
    <w:name w:val="footnote text"/>
    <w:aliases w:val="Char,Знак1,Fußnote Char Char,Fußnote Char,Fußnote Char Car Char Char,Fußnote Char Car Char Char Char Char Char Char Char Char Char Char,Fußnote Char Car Char Char Char Char Char Char Char Char Char Char Char Char Char Char,fn,single space"/>
    <w:basedOn w:val="a"/>
    <w:link w:val="a4"/>
    <w:uiPriority w:val="99"/>
    <w:unhideWhenUsed/>
    <w:qFormat/>
    <w:rsid w:val="006049D5"/>
    <w:pPr>
      <w:spacing w:after="0" w:line="240" w:lineRule="auto"/>
    </w:pPr>
    <w:rPr>
      <w:sz w:val="20"/>
      <w:szCs w:val="20"/>
    </w:rPr>
  </w:style>
  <w:style w:type="character" w:customStyle="1" w:styleId="a4">
    <w:name w:val="Текст сноски Знак"/>
    <w:aliases w:val="Char Знак,Знак1 Знак,Fußnote Char Char Знак,Fußnote Char Знак,Fußnote Char Car Char Char Знак,Fußnote Char Car Char Char Char Char Char Char Char Char Char Char Знак,fn Знак,single space Знак"/>
    <w:basedOn w:val="a0"/>
    <w:link w:val="a3"/>
    <w:uiPriority w:val="99"/>
    <w:qFormat/>
    <w:rsid w:val="006049D5"/>
    <w:rPr>
      <w:sz w:val="20"/>
      <w:szCs w:val="20"/>
      <w:lang w:val="ro-MD"/>
    </w:rPr>
  </w:style>
  <w:style w:type="character" w:styleId="a5">
    <w:name w:val="footnote reference"/>
    <w:aliases w:val="ftref,Times 10 Point,Exposant 3 Point,Footnote symbol,Footnote reference number,EN Footnote Reference,note TESI,16 Point,Superscript 6 Point,BVI fnr,Char Char1,FOOTNOTES Char1,fn Char1,single space Char1,ft Char1,Ref,fr,FR,Знак1 Char1"/>
    <w:basedOn w:val="a0"/>
    <w:link w:val="FNRefeCharChar"/>
    <w:uiPriority w:val="99"/>
    <w:unhideWhenUsed/>
    <w:qFormat/>
    <w:rsid w:val="006049D5"/>
    <w:rPr>
      <w:vertAlign w:val="superscript"/>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a"/>
    <w:link w:val="a5"/>
    <w:uiPriority w:val="99"/>
    <w:qFormat/>
    <w:rsid w:val="006049D5"/>
    <w:pPr>
      <w:spacing w:line="240" w:lineRule="exact"/>
    </w:pPr>
    <w:rPr>
      <w:vertAlign w:val="superscript"/>
      <w:lang w:val="en-US"/>
    </w:rPr>
  </w:style>
  <w:style w:type="character" w:customStyle="1" w:styleId="LegturInternet">
    <w:name w:val="Legătură Internet"/>
    <w:basedOn w:val="a0"/>
    <w:rsid w:val="006049D5"/>
    <w:rPr>
      <w:color w:val="0563C1"/>
      <w:u w:val="single"/>
    </w:rPr>
  </w:style>
  <w:style w:type="table" w:customStyle="1" w:styleId="TableGrid6">
    <w:name w:val="Table Grid6"/>
    <w:basedOn w:val="a1"/>
    <w:next w:val="a6"/>
    <w:uiPriority w:val="39"/>
    <w:rsid w:val="006049D5"/>
    <w:pPr>
      <w:spacing w:after="0" w:line="240" w:lineRule="auto"/>
    </w:pPr>
    <w:rPr>
      <w:lang w:val="ro-M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39"/>
    <w:rsid w:val="006049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List Paragraph 1,Scriptoria bullet points,Абзац списка1,strikethrough,standaard met opsomming,Bullets,References,Liste 1,List Paragraph nowy,Numbered List Paragraph,List Paragraph (numbered (a)),Medium Grid 1 - Accent 21,Dot pt,Stil3,3"/>
    <w:basedOn w:val="a"/>
    <w:link w:val="a8"/>
    <w:uiPriority w:val="34"/>
    <w:qFormat/>
    <w:rsid w:val="006049D5"/>
    <w:pPr>
      <w:ind w:left="720"/>
      <w:contextualSpacing/>
    </w:pPr>
  </w:style>
  <w:style w:type="character" w:customStyle="1" w:styleId="a8">
    <w:name w:val="Абзац списка Знак"/>
    <w:aliases w:val="List Paragraph 1 Знак,Scriptoria bullet points Знак,Абзац списка1 Знак,strikethrough Знак,standaard met opsomming Знак,Bullets Знак,References Знак,Liste 1 Знак,List Paragraph nowy Знак,Numbered List Paragraph Знак,Dot pt Знак,3 Знак"/>
    <w:link w:val="a7"/>
    <w:uiPriority w:val="34"/>
    <w:qFormat/>
    <w:rsid w:val="006049D5"/>
    <w:rPr>
      <w:lang w:val="ro-MD"/>
    </w:rPr>
  </w:style>
  <w:style w:type="table" w:styleId="-45">
    <w:name w:val="Grid Table 4 Accent 5"/>
    <w:basedOn w:val="a1"/>
    <w:uiPriority w:val="49"/>
    <w:rsid w:val="006049D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cb">
    <w:name w:val="cb"/>
    <w:basedOn w:val="a"/>
    <w:rsid w:val="006049D5"/>
    <w:pPr>
      <w:spacing w:after="0" w:line="240" w:lineRule="auto"/>
      <w:jc w:val="center"/>
    </w:pPr>
    <w:rPr>
      <w:rFonts w:ascii="Times New Roman" w:eastAsia="Times New Roman" w:hAnsi="Times New Roman" w:cs="Times New Roman"/>
      <w:b/>
      <w:bCs/>
      <w:sz w:val="24"/>
      <w:szCs w:val="24"/>
      <w:lang w:val="en-US"/>
    </w:rPr>
  </w:style>
  <w:style w:type="character" w:styleId="a9">
    <w:name w:val="Strong"/>
    <w:basedOn w:val="a0"/>
    <w:uiPriority w:val="22"/>
    <w:qFormat/>
    <w:rsid w:val="006049D5"/>
    <w:rPr>
      <w:b/>
      <w:bCs/>
    </w:rPr>
  </w:style>
  <w:style w:type="table" w:styleId="-15">
    <w:name w:val="List Table 1 Light Accent 5"/>
    <w:basedOn w:val="a1"/>
    <w:uiPriority w:val="46"/>
    <w:rsid w:val="006049D5"/>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43">
    <w:name w:val="Grid Table 4 Accent 3"/>
    <w:basedOn w:val="a1"/>
    <w:uiPriority w:val="49"/>
    <w:rsid w:val="006049D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t">
    <w:name w:val="tt"/>
    <w:basedOn w:val="a"/>
    <w:qFormat/>
    <w:rsid w:val="006049D5"/>
    <w:pPr>
      <w:spacing w:after="0" w:line="240" w:lineRule="auto"/>
      <w:jc w:val="center"/>
    </w:pPr>
    <w:rPr>
      <w:rFonts w:ascii="Times New Roman" w:eastAsia="Times New Roman" w:hAnsi="Times New Roman" w:cs="Times New Roman"/>
      <w:b/>
      <w:bCs/>
      <w:sz w:val="24"/>
      <w:szCs w:val="24"/>
      <w:lang w:val="en-US"/>
    </w:rPr>
  </w:style>
  <w:style w:type="paragraph" w:customStyle="1" w:styleId="cp">
    <w:name w:val="cp"/>
    <w:basedOn w:val="a"/>
    <w:rsid w:val="006049D5"/>
    <w:pPr>
      <w:spacing w:after="0" w:line="240" w:lineRule="auto"/>
      <w:jc w:val="center"/>
    </w:pPr>
    <w:rPr>
      <w:rFonts w:ascii="Times New Roman" w:eastAsia="Times New Roman" w:hAnsi="Times New Roman" w:cs="Times New Roman"/>
      <w:b/>
      <w:bCs/>
      <w:sz w:val="24"/>
      <w:szCs w:val="24"/>
      <w:lang w:val="en-US"/>
    </w:rPr>
  </w:style>
  <w:style w:type="paragraph" w:styleId="aa">
    <w:name w:val="header"/>
    <w:basedOn w:val="a"/>
    <w:link w:val="ab"/>
    <w:uiPriority w:val="99"/>
    <w:unhideWhenUsed/>
    <w:rsid w:val="006049D5"/>
    <w:pPr>
      <w:tabs>
        <w:tab w:val="center" w:pos="4680"/>
        <w:tab w:val="right" w:pos="9360"/>
      </w:tabs>
      <w:spacing w:after="0" w:line="240" w:lineRule="auto"/>
    </w:pPr>
  </w:style>
  <w:style w:type="character" w:customStyle="1" w:styleId="ab">
    <w:name w:val="Верхний колонтитул Знак"/>
    <w:basedOn w:val="a0"/>
    <w:link w:val="aa"/>
    <w:uiPriority w:val="99"/>
    <w:rsid w:val="006049D5"/>
    <w:rPr>
      <w:lang w:val="ro-MD"/>
    </w:rPr>
  </w:style>
  <w:style w:type="paragraph" w:styleId="ac">
    <w:name w:val="footer"/>
    <w:basedOn w:val="a"/>
    <w:link w:val="ad"/>
    <w:uiPriority w:val="99"/>
    <w:unhideWhenUsed/>
    <w:rsid w:val="006049D5"/>
    <w:pPr>
      <w:tabs>
        <w:tab w:val="center" w:pos="4680"/>
        <w:tab w:val="right" w:pos="9360"/>
      </w:tabs>
      <w:spacing w:after="0" w:line="240" w:lineRule="auto"/>
    </w:pPr>
  </w:style>
  <w:style w:type="character" w:customStyle="1" w:styleId="ad">
    <w:name w:val="Нижний колонтитул Знак"/>
    <w:basedOn w:val="a0"/>
    <w:link w:val="ac"/>
    <w:uiPriority w:val="99"/>
    <w:rsid w:val="006049D5"/>
    <w:rPr>
      <w:lang w:val="ro-MD"/>
    </w:rPr>
  </w:style>
  <w:style w:type="paragraph" w:styleId="ae">
    <w:name w:val="Balloon Text"/>
    <w:basedOn w:val="a"/>
    <w:link w:val="af"/>
    <w:uiPriority w:val="99"/>
    <w:semiHidden/>
    <w:unhideWhenUsed/>
    <w:rsid w:val="006049D5"/>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6049D5"/>
    <w:rPr>
      <w:rFonts w:ascii="Segoe UI" w:hAnsi="Segoe UI" w:cs="Segoe UI"/>
      <w:sz w:val="18"/>
      <w:szCs w:val="18"/>
      <w:lang w:val="ro-MD"/>
    </w:rPr>
  </w:style>
  <w:style w:type="character" w:customStyle="1" w:styleId="Heading2">
    <w:name w:val="Heading #2_"/>
    <w:basedOn w:val="a0"/>
    <w:link w:val="Heading20"/>
    <w:rsid w:val="006049D5"/>
    <w:rPr>
      <w:rFonts w:ascii="Times New Roman" w:eastAsia="Times New Roman" w:hAnsi="Times New Roman" w:cs="Times New Roman"/>
      <w:b/>
      <w:bCs/>
      <w:sz w:val="28"/>
      <w:szCs w:val="28"/>
      <w:shd w:val="clear" w:color="auto" w:fill="FFFFFF"/>
    </w:rPr>
  </w:style>
  <w:style w:type="paragraph" w:customStyle="1" w:styleId="Heading20">
    <w:name w:val="Heading #2"/>
    <w:basedOn w:val="a"/>
    <w:link w:val="Heading2"/>
    <w:rsid w:val="006049D5"/>
    <w:pPr>
      <w:widowControl w:val="0"/>
      <w:shd w:val="clear" w:color="auto" w:fill="FFFFFF"/>
      <w:spacing w:before="300" w:after="640" w:line="310" w:lineRule="exact"/>
      <w:jc w:val="both"/>
      <w:outlineLvl w:val="1"/>
    </w:pPr>
    <w:rPr>
      <w:rFonts w:ascii="Times New Roman" w:eastAsia="Times New Roman" w:hAnsi="Times New Roman" w:cs="Times New Roman"/>
      <w:b/>
      <w:bCs/>
      <w:sz w:val="28"/>
      <w:szCs w:val="28"/>
      <w:lang w:val="en-US"/>
    </w:rPr>
  </w:style>
  <w:style w:type="character" w:customStyle="1" w:styleId="Bodytext2">
    <w:name w:val="Body text (2)_"/>
    <w:basedOn w:val="a0"/>
    <w:link w:val="Bodytext20"/>
    <w:rsid w:val="006049D5"/>
    <w:rPr>
      <w:rFonts w:ascii="Times New Roman" w:eastAsia="Times New Roman" w:hAnsi="Times New Roman" w:cs="Times New Roman"/>
      <w:sz w:val="28"/>
      <w:szCs w:val="28"/>
      <w:shd w:val="clear" w:color="auto" w:fill="FFFFFF"/>
    </w:rPr>
  </w:style>
  <w:style w:type="paragraph" w:customStyle="1" w:styleId="Bodytext20">
    <w:name w:val="Body text (2)"/>
    <w:basedOn w:val="a"/>
    <w:link w:val="Bodytext2"/>
    <w:rsid w:val="006049D5"/>
    <w:pPr>
      <w:widowControl w:val="0"/>
      <w:shd w:val="clear" w:color="auto" w:fill="FFFFFF"/>
      <w:spacing w:before="320" w:after="320" w:line="322" w:lineRule="exact"/>
      <w:jc w:val="both"/>
    </w:pPr>
    <w:rPr>
      <w:rFonts w:ascii="Times New Roman" w:eastAsia="Times New Roman" w:hAnsi="Times New Roman" w:cs="Times New Roman"/>
      <w:sz w:val="28"/>
      <w:szCs w:val="28"/>
      <w:lang w:val="en-US"/>
    </w:rPr>
  </w:style>
  <w:style w:type="paragraph" w:styleId="af0">
    <w:name w:val="Normal (Web)"/>
    <w:aliases w:val="Знак, Знак,Обычный (веб) Знак2,Обычный (веб) Знак1 Знак,Обычный (веб) Знак Знак Знак,Знак Знак Знак Знак,Знак Знак1 Знак,Обычный (веб) Знак Знак1,Знак Знак2,Текст сноски1,Текст сноски11,Обычный (веб)1,Знак2,Char1,A Знак Знак,Текст сноски2"/>
    <w:basedOn w:val="a"/>
    <w:link w:val="af1"/>
    <w:uiPriority w:val="99"/>
    <w:unhideWhenUsed/>
    <w:qFormat/>
    <w:rsid w:val="006049D5"/>
    <w:rPr>
      <w:rFonts w:ascii="Times New Roman" w:hAnsi="Times New Roman" w:cs="Times New Roman"/>
      <w:sz w:val="24"/>
      <w:szCs w:val="24"/>
    </w:rPr>
  </w:style>
  <w:style w:type="paragraph" w:styleId="af2">
    <w:name w:val="Subtitle"/>
    <w:basedOn w:val="a"/>
    <w:next w:val="a"/>
    <w:link w:val="af3"/>
    <w:uiPriority w:val="11"/>
    <w:qFormat/>
    <w:rsid w:val="006049D5"/>
    <w:pPr>
      <w:numPr>
        <w:ilvl w:val="1"/>
      </w:numPr>
    </w:pPr>
    <w:rPr>
      <w:rFonts w:eastAsiaTheme="minorEastAsia"/>
      <w:color w:val="5A5A5A" w:themeColor="text1" w:themeTint="A5"/>
      <w:spacing w:val="15"/>
    </w:rPr>
  </w:style>
  <w:style w:type="character" w:customStyle="1" w:styleId="af3">
    <w:name w:val="Подзаголовок Знак"/>
    <w:basedOn w:val="a0"/>
    <w:link w:val="af2"/>
    <w:uiPriority w:val="11"/>
    <w:rsid w:val="006049D5"/>
    <w:rPr>
      <w:rFonts w:eastAsiaTheme="minorEastAsia"/>
      <w:color w:val="5A5A5A" w:themeColor="text1" w:themeTint="A5"/>
      <w:spacing w:val="15"/>
      <w:lang w:val="ro-MD"/>
    </w:rPr>
  </w:style>
  <w:style w:type="table" w:styleId="-33">
    <w:name w:val="Grid Table 3 Accent 3"/>
    <w:basedOn w:val="a1"/>
    <w:uiPriority w:val="48"/>
    <w:rsid w:val="006049D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3">
    <w:name w:val="Grid Table 3"/>
    <w:basedOn w:val="a1"/>
    <w:uiPriority w:val="48"/>
    <w:rsid w:val="006049D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af4">
    <w:name w:val="Hyperlink"/>
    <w:basedOn w:val="a0"/>
    <w:uiPriority w:val="99"/>
    <w:unhideWhenUsed/>
    <w:rsid w:val="006049D5"/>
    <w:rPr>
      <w:color w:val="0000FF"/>
      <w:u w:val="single"/>
    </w:rPr>
  </w:style>
  <w:style w:type="numbering" w:customStyle="1" w:styleId="Style1">
    <w:name w:val="Style1"/>
    <w:uiPriority w:val="99"/>
    <w:rsid w:val="006049D5"/>
    <w:pPr>
      <w:numPr>
        <w:numId w:val="2"/>
      </w:numPr>
    </w:pPr>
  </w:style>
  <w:style w:type="numbering" w:customStyle="1" w:styleId="Style2">
    <w:name w:val="Style2"/>
    <w:uiPriority w:val="99"/>
    <w:rsid w:val="006049D5"/>
    <w:pPr>
      <w:numPr>
        <w:numId w:val="3"/>
      </w:numPr>
    </w:pPr>
  </w:style>
  <w:style w:type="character" w:styleId="af5">
    <w:name w:val="Emphasis"/>
    <w:basedOn w:val="a0"/>
    <w:uiPriority w:val="20"/>
    <w:qFormat/>
    <w:rsid w:val="006049D5"/>
    <w:rPr>
      <w:i/>
      <w:iCs/>
    </w:rPr>
  </w:style>
  <w:style w:type="paragraph" w:styleId="af6">
    <w:name w:val="TOC Heading"/>
    <w:basedOn w:val="1"/>
    <w:next w:val="a"/>
    <w:uiPriority w:val="39"/>
    <w:unhideWhenUsed/>
    <w:qFormat/>
    <w:rsid w:val="006049D5"/>
    <w:pPr>
      <w:outlineLvl w:val="9"/>
    </w:pPr>
    <w:rPr>
      <w:lang w:val="en-US"/>
    </w:rPr>
  </w:style>
  <w:style w:type="paragraph" w:styleId="11">
    <w:name w:val="toc 1"/>
    <w:basedOn w:val="a"/>
    <w:next w:val="a"/>
    <w:autoRedefine/>
    <w:uiPriority w:val="39"/>
    <w:unhideWhenUsed/>
    <w:rsid w:val="009F475C"/>
    <w:pPr>
      <w:tabs>
        <w:tab w:val="left" w:pos="440"/>
        <w:tab w:val="right" w:leader="dot" w:pos="9345"/>
      </w:tabs>
      <w:spacing w:after="240"/>
    </w:pPr>
    <w:rPr>
      <w:rFonts w:asciiTheme="majorHAnsi" w:eastAsiaTheme="majorEastAsia" w:hAnsiTheme="majorHAnsi" w:cstheme="majorHAnsi"/>
      <w:b/>
      <w:noProof/>
    </w:rPr>
  </w:style>
  <w:style w:type="paragraph" w:styleId="31">
    <w:name w:val="toc 3"/>
    <w:basedOn w:val="a"/>
    <w:next w:val="a"/>
    <w:autoRedefine/>
    <w:uiPriority w:val="39"/>
    <w:unhideWhenUsed/>
    <w:rsid w:val="0046667A"/>
    <w:pPr>
      <w:tabs>
        <w:tab w:val="left" w:pos="709"/>
        <w:tab w:val="left" w:pos="851"/>
        <w:tab w:val="right" w:leader="dot" w:pos="9345"/>
      </w:tabs>
      <w:spacing w:after="100"/>
      <w:ind w:left="426" w:right="180" w:hanging="142"/>
      <w:jc w:val="both"/>
    </w:pPr>
    <w:rPr>
      <w:rFonts w:eastAsia="Times New Roman" w:cstheme="majorHAnsi"/>
      <w:bCs/>
      <w:i/>
      <w:noProof/>
      <w:color w:val="1F4E79" w:themeColor="accent1" w:themeShade="80"/>
    </w:rPr>
  </w:style>
  <w:style w:type="paragraph" w:styleId="21">
    <w:name w:val="toc 2"/>
    <w:basedOn w:val="a"/>
    <w:next w:val="a"/>
    <w:autoRedefine/>
    <w:uiPriority w:val="39"/>
    <w:unhideWhenUsed/>
    <w:rsid w:val="009F475C"/>
    <w:pPr>
      <w:tabs>
        <w:tab w:val="left" w:pos="567"/>
        <w:tab w:val="right" w:leader="dot" w:pos="9345"/>
      </w:tabs>
      <w:spacing w:after="120"/>
      <w:ind w:left="221" w:right="181" w:hanging="79"/>
      <w:jc w:val="both"/>
    </w:pPr>
    <w:rPr>
      <w:rFonts w:ascii="Times New Roman" w:eastAsia="Times New Roman" w:hAnsi="Times New Roman" w:cs="Times New Roman"/>
      <w:b/>
      <w:noProof/>
      <w:shd w:val="clear" w:color="auto" w:fill="FFFFFF"/>
      <w:lang w:val="ro-RO" w:eastAsia="ro-RO" w:bidi="ro-RO"/>
    </w:rPr>
  </w:style>
  <w:style w:type="table" w:customStyle="1" w:styleId="12">
    <w:name w:val="Сетка таблицы1"/>
    <w:basedOn w:val="a1"/>
    <w:next w:val="a6"/>
    <w:uiPriority w:val="39"/>
    <w:rsid w:val="006049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1">
    <w:name w:val="Grid Table 3 Accent 1"/>
    <w:basedOn w:val="a1"/>
    <w:uiPriority w:val="48"/>
    <w:rsid w:val="006049D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32">
    <w:name w:val="Grid Table 3 Accent 2"/>
    <w:basedOn w:val="a1"/>
    <w:uiPriority w:val="48"/>
    <w:rsid w:val="006049D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72">
    <w:name w:val="List Table 7 Colorful Accent 2"/>
    <w:basedOn w:val="a1"/>
    <w:uiPriority w:val="52"/>
    <w:rsid w:val="006049D5"/>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25">
    <w:name w:val="Grid Table 2 Accent 5"/>
    <w:basedOn w:val="a1"/>
    <w:uiPriority w:val="47"/>
    <w:rsid w:val="006049D5"/>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52">
    <w:name w:val="Grid Table 5 Dark Accent 2"/>
    <w:basedOn w:val="a1"/>
    <w:uiPriority w:val="50"/>
    <w:rsid w:val="006049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22">
    <w:name w:val="List Table 2 Accent 2"/>
    <w:basedOn w:val="a1"/>
    <w:uiPriority w:val="47"/>
    <w:rsid w:val="006049D5"/>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13">
    <w:name w:val="Стиль1"/>
    <w:basedOn w:val="af0"/>
    <w:link w:val="14"/>
    <w:autoRedefine/>
    <w:qFormat/>
    <w:rsid w:val="006049D5"/>
    <w:pPr>
      <w:spacing w:after="0" w:line="240" w:lineRule="auto"/>
      <w:ind w:right="-1"/>
      <w:jc w:val="both"/>
    </w:pPr>
    <w:rPr>
      <w:rFonts w:asciiTheme="majorHAnsi" w:eastAsiaTheme="majorEastAsia" w:hAnsiTheme="majorHAnsi" w:cstheme="majorHAnsi"/>
      <w:sz w:val="16"/>
      <w:szCs w:val="16"/>
    </w:rPr>
  </w:style>
  <w:style w:type="character" w:customStyle="1" w:styleId="14">
    <w:name w:val="Стиль1 Знак"/>
    <w:basedOn w:val="a0"/>
    <w:link w:val="13"/>
    <w:rsid w:val="006049D5"/>
    <w:rPr>
      <w:rFonts w:asciiTheme="majorHAnsi" w:eastAsiaTheme="majorEastAsia" w:hAnsiTheme="majorHAnsi" w:cstheme="majorHAnsi"/>
      <w:sz w:val="16"/>
      <w:szCs w:val="16"/>
      <w:lang w:val="ro-MD"/>
    </w:rPr>
  </w:style>
  <w:style w:type="character" w:customStyle="1" w:styleId="Footnote">
    <w:name w:val="Footnote_"/>
    <w:basedOn w:val="a0"/>
    <w:link w:val="Footnote0"/>
    <w:rsid w:val="006049D5"/>
    <w:rPr>
      <w:rFonts w:ascii="Calibri" w:eastAsia="Calibri" w:hAnsi="Calibri" w:cs="Calibri"/>
      <w:sz w:val="20"/>
      <w:szCs w:val="20"/>
      <w:shd w:val="clear" w:color="auto" w:fill="FFFFFF"/>
    </w:rPr>
  </w:style>
  <w:style w:type="paragraph" w:customStyle="1" w:styleId="Footnote0">
    <w:name w:val="Footnote"/>
    <w:basedOn w:val="a"/>
    <w:link w:val="Footnote"/>
    <w:rsid w:val="006049D5"/>
    <w:pPr>
      <w:widowControl w:val="0"/>
      <w:shd w:val="clear" w:color="auto" w:fill="FFFFFF"/>
      <w:spacing w:after="0" w:line="192" w:lineRule="exact"/>
      <w:jc w:val="both"/>
    </w:pPr>
    <w:rPr>
      <w:rFonts w:ascii="Calibri" w:eastAsia="Calibri" w:hAnsi="Calibri" w:cs="Calibri"/>
      <w:sz w:val="20"/>
      <w:szCs w:val="20"/>
      <w:lang w:val="en-US"/>
    </w:rPr>
  </w:style>
  <w:style w:type="table" w:customStyle="1" w:styleId="TableGrid12">
    <w:name w:val="Table Grid12"/>
    <w:basedOn w:val="a1"/>
    <w:next w:val="a6"/>
    <w:uiPriority w:val="39"/>
    <w:rsid w:val="00A7119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annotation reference"/>
    <w:basedOn w:val="a0"/>
    <w:uiPriority w:val="99"/>
    <w:semiHidden/>
    <w:unhideWhenUsed/>
    <w:rsid w:val="005C52E8"/>
    <w:rPr>
      <w:sz w:val="16"/>
      <w:szCs w:val="16"/>
    </w:rPr>
  </w:style>
  <w:style w:type="paragraph" w:styleId="af8">
    <w:name w:val="annotation text"/>
    <w:basedOn w:val="a"/>
    <w:link w:val="af9"/>
    <w:uiPriority w:val="99"/>
    <w:semiHidden/>
    <w:unhideWhenUsed/>
    <w:rsid w:val="005C52E8"/>
    <w:pPr>
      <w:spacing w:line="240" w:lineRule="auto"/>
    </w:pPr>
    <w:rPr>
      <w:sz w:val="20"/>
      <w:szCs w:val="20"/>
    </w:rPr>
  </w:style>
  <w:style w:type="character" w:customStyle="1" w:styleId="af9">
    <w:name w:val="Текст примечания Знак"/>
    <w:basedOn w:val="a0"/>
    <w:link w:val="af8"/>
    <w:uiPriority w:val="99"/>
    <w:semiHidden/>
    <w:rsid w:val="005C52E8"/>
    <w:rPr>
      <w:sz w:val="20"/>
      <w:szCs w:val="20"/>
      <w:lang w:val="ro-MD"/>
    </w:rPr>
  </w:style>
  <w:style w:type="paragraph" w:styleId="afa">
    <w:name w:val="annotation subject"/>
    <w:basedOn w:val="af8"/>
    <w:next w:val="af8"/>
    <w:link w:val="afb"/>
    <w:uiPriority w:val="99"/>
    <w:semiHidden/>
    <w:unhideWhenUsed/>
    <w:rsid w:val="005C52E8"/>
    <w:rPr>
      <w:b/>
      <w:bCs/>
    </w:rPr>
  </w:style>
  <w:style w:type="character" w:customStyle="1" w:styleId="afb">
    <w:name w:val="Тема примечания Знак"/>
    <w:basedOn w:val="af9"/>
    <w:link w:val="afa"/>
    <w:uiPriority w:val="99"/>
    <w:semiHidden/>
    <w:rsid w:val="005C52E8"/>
    <w:rPr>
      <w:b/>
      <w:bCs/>
      <w:sz w:val="20"/>
      <w:szCs w:val="20"/>
      <w:lang w:val="ro-MD"/>
    </w:rPr>
  </w:style>
  <w:style w:type="character" w:customStyle="1" w:styleId="af1">
    <w:name w:val="Обычный (веб) Знак"/>
    <w:aliases w:val="Знак Знак, Знак Знак,Обычный (веб) Знак2 Знак,Обычный (веб) Знак1 Знак Знак,Обычный (веб) Знак Знак Знак Знак,Знак Знак Знак Знак Знак,Знак Знак1 Знак Знак,Обычный (веб) Знак Знак1 Знак,Знак Знак2 Знак,Текст сноски1 Знак,Знак2 Знак"/>
    <w:link w:val="af0"/>
    <w:uiPriority w:val="99"/>
    <w:locked/>
    <w:rsid w:val="00192485"/>
    <w:rPr>
      <w:rFonts w:ascii="Times New Roman" w:hAnsi="Times New Roman" w:cs="Times New Roman"/>
      <w:sz w:val="24"/>
      <w:szCs w:val="24"/>
      <w:lang w:val="ro-MD"/>
    </w:rPr>
  </w:style>
  <w:style w:type="paragraph" w:styleId="afc">
    <w:name w:val="No Spacing"/>
    <w:uiPriority w:val="99"/>
    <w:qFormat/>
    <w:rsid w:val="00E93970"/>
    <w:pPr>
      <w:spacing w:after="0" w:line="240" w:lineRule="auto"/>
    </w:pPr>
    <w:rPr>
      <w:rFonts w:ascii="Times New Roman" w:eastAsia="Times New Roman" w:hAnsi="Times New Roman" w:cs="Times New Roman"/>
      <w:sz w:val="24"/>
      <w:szCs w:val="24"/>
      <w:lang w:val="ru-RU" w:eastAsia="ru-RU"/>
    </w:rPr>
  </w:style>
  <w:style w:type="paragraph" w:customStyle="1" w:styleId="rg">
    <w:name w:val="rg"/>
    <w:basedOn w:val="a"/>
    <w:rsid w:val="00130DFC"/>
    <w:pPr>
      <w:spacing w:after="0" w:line="240" w:lineRule="auto"/>
      <w:jc w:val="right"/>
    </w:pPr>
    <w:rPr>
      <w:rFonts w:ascii="Times New Roman" w:eastAsia="Times New Roman" w:hAnsi="Times New Roman" w:cs="Times New Roman"/>
      <w:sz w:val="24"/>
      <w:szCs w:val="24"/>
      <w:lang w:val="en-US"/>
    </w:rPr>
  </w:style>
  <w:style w:type="table" w:styleId="-35">
    <w:name w:val="Grid Table 3 Accent 5"/>
    <w:basedOn w:val="a1"/>
    <w:uiPriority w:val="48"/>
    <w:rsid w:val="009B587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55">
    <w:name w:val="Grid Table 5 Dark Accent 5"/>
    <w:basedOn w:val="a1"/>
    <w:uiPriority w:val="50"/>
    <w:rsid w:val="009B587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22">
    <w:name w:val="Plain Table 2"/>
    <w:basedOn w:val="a1"/>
    <w:uiPriority w:val="42"/>
    <w:rsid w:val="00E52AC1"/>
    <w:pPr>
      <w:spacing w:after="0" w:line="240" w:lineRule="auto"/>
    </w:pPr>
    <w:rPr>
      <w:lang w:val="ro-M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959381">
      <w:bodyDiv w:val="1"/>
      <w:marLeft w:val="0"/>
      <w:marRight w:val="0"/>
      <w:marTop w:val="0"/>
      <w:marBottom w:val="0"/>
      <w:divBdr>
        <w:top w:val="none" w:sz="0" w:space="0" w:color="auto"/>
        <w:left w:val="none" w:sz="0" w:space="0" w:color="auto"/>
        <w:bottom w:val="none" w:sz="0" w:space="0" w:color="auto"/>
        <w:right w:val="none" w:sz="0" w:space="0" w:color="auto"/>
      </w:divBdr>
    </w:div>
    <w:div w:id="98139291">
      <w:bodyDiv w:val="1"/>
      <w:marLeft w:val="0"/>
      <w:marRight w:val="0"/>
      <w:marTop w:val="0"/>
      <w:marBottom w:val="0"/>
      <w:divBdr>
        <w:top w:val="none" w:sz="0" w:space="0" w:color="auto"/>
        <w:left w:val="none" w:sz="0" w:space="0" w:color="auto"/>
        <w:bottom w:val="none" w:sz="0" w:space="0" w:color="auto"/>
        <w:right w:val="none" w:sz="0" w:space="0" w:color="auto"/>
      </w:divBdr>
    </w:div>
    <w:div w:id="177429746">
      <w:bodyDiv w:val="1"/>
      <w:marLeft w:val="0"/>
      <w:marRight w:val="0"/>
      <w:marTop w:val="0"/>
      <w:marBottom w:val="0"/>
      <w:divBdr>
        <w:top w:val="none" w:sz="0" w:space="0" w:color="auto"/>
        <w:left w:val="none" w:sz="0" w:space="0" w:color="auto"/>
        <w:bottom w:val="none" w:sz="0" w:space="0" w:color="auto"/>
        <w:right w:val="none" w:sz="0" w:space="0" w:color="auto"/>
      </w:divBdr>
    </w:div>
    <w:div w:id="201331580">
      <w:bodyDiv w:val="1"/>
      <w:marLeft w:val="0"/>
      <w:marRight w:val="0"/>
      <w:marTop w:val="0"/>
      <w:marBottom w:val="0"/>
      <w:divBdr>
        <w:top w:val="none" w:sz="0" w:space="0" w:color="auto"/>
        <w:left w:val="none" w:sz="0" w:space="0" w:color="auto"/>
        <w:bottom w:val="none" w:sz="0" w:space="0" w:color="auto"/>
        <w:right w:val="none" w:sz="0" w:space="0" w:color="auto"/>
      </w:divBdr>
    </w:div>
    <w:div w:id="285162785">
      <w:bodyDiv w:val="1"/>
      <w:marLeft w:val="0"/>
      <w:marRight w:val="0"/>
      <w:marTop w:val="0"/>
      <w:marBottom w:val="0"/>
      <w:divBdr>
        <w:top w:val="none" w:sz="0" w:space="0" w:color="auto"/>
        <w:left w:val="none" w:sz="0" w:space="0" w:color="auto"/>
        <w:bottom w:val="none" w:sz="0" w:space="0" w:color="auto"/>
        <w:right w:val="none" w:sz="0" w:space="0" w:color="auto"/>
      </w:divBdr>
    </w:div>
    <w:div w:id="877855736">
      <w:bodyDiv w:val="1"/>
      <w:marLeft w:val="0"/>
      <w:marRight w:val="0"/>
      <w:marTop w:val="0"/>
      <w:marBottom w:val="0"/>
      <w:divBdr>
        <w:top w:val="none" w:sz="0" w:space="0" w:color="auto"/>
        <w:left w:val="none" w:sz="0" w:space="0" w:color="auto"/>
        <w:bottom w:val="none" w:sz="0" w:space="0" w:color="auto"/>
        <w:right w:val="none" w:sz="0" w:space="0" w:color="auto"/>
      </w:divBdr>
    </w:div>
    <w:div w:id="908688011">
      <w:bodyDiv w:val="1"/>
      <w:marLeft w:val="0"/>
      <w:marRight w:val="0"/>
      <w:marTop w:val="0"/>
      <w:marBottom w:val="0"/>
      <w:divBdr>
        <w:top w:val="none" w:sz="0" w:space="0" w:color="auto"/>
        <w:left w:val="none" w:sz="0" w:space="0" w:color="auto"/>
        <w:bottom w:val="none" w:sz="0" w:space="0" w:color="auto"/>
        <w:right w:val="none" w:sz="0" w:space="0" w:color="auto"/>
      </w:divBdr>
    </w:div>
    <w:div w:id="1138299234">
      <w:bodyDiv w:val="1"/>
      <w:marLeft w:val="0"/>
      <w:marRight w:val="0"/>
      <w:marTop w:val="0"/>
      <w:marBottom w:val="0"/>
      <w:divBdr>
        <w:top w:val="none" w:sz="0" w:space="0" w:color="auto"/>
        <w:left w:val="none" w:sz="0" w:space="0" w:color="auto"/>
        <w:bottom w:val="none" w:sz="0" w:space="0" w:color="auto"/>
        <w:right w:val="none" w:sz="0" w:space="0" w:color="auto"/>
      </w:divBdr>
    </w:div>
    <w:div w:id="1149205023">
      <w:bodyDiv w:val="1"/>
      <w:marLeft w:val="0"/>
      <w:marRight w:val="0"/>
      <w:marTop w:val="0"/>
      <w:marBottom w:val="0"/>
      <w:divBdr>
        <w:top w:val="none" w:sz="0" w:space="0" w:color="auto"/>
        <w:left w:val="none" w:sz="0" w:space="0" w:color="auto"/>
        <w:bottom w:val="none" w:sz="0" w:space="0" w:color="auto"/>
        <w:right w:val="none" w:sz="0" w:space="0" w:color="auto"/>
      </w:divBdr>
      <w:divsChild>
        <w:div w:id="258802493">
          <w:marLeft w:val="0"/>
          <w:marRight w:val="0"/>
          <w:marTop w:val="0"/>
          <w:marBottom w:val="0"/>
          <w:divBdr>
            <w:top w:val="none" w:sz="0" w:space="0" w:color="auto"/>
            <w:left w:val="none" w:sz="0" w:space="0" w:color="auto"/>
            <w:bottom w:val="none" w:sz="0" w:space="0" w:color="auto"/>
            <w:right w:val="none" w:sz="0" w:space="0" w:color="auto"/>
          </w:divBdr>
        </w:div>
        <w:div w:id="1959028587">
          <w:marLeft w:val="0"/>
          <w:marRight w:val="0"/>
          <w:marTop w:val="0"/>
          <w:marBottom w:val="0"/>
          <w:divBdr>
            <w:top w:val="none" w:sz="0" w:space="0" w:color="auto"/>
            <w:left w:val="none" w:sz="0" w:space="0" w:color="auto"/>
            <w:bottom w:val="none" w:sz="0" w:space="0" w:color="auto"/>
            <w:right w:val="none" w:sz="0" w:space="0" w:color="auto"/>
          </w:divBdr>
        </w:div>
      </w:divsChild>
    </w:div>
    <w:div w:id="1250850902">
      <w:bodyDiv w:val="1"/>
      <w:marLeft w:val="0"/>
      <w:marRight w:val="0"/>
      <w:marTop w:val="0"/>
      <w:marBottom w:val="0"/>
      <w:divBdr>
        <w:top w:val="none" w:sz="0" w:space="0" w:color="auto"/>
        <w:left w:val="none" w:sz="0" w:space="0" w:color="auto"/>
        <w:bottom w:val="none" w:sz="0" w:space="0" w:color="auto"/>
        <w:right w:val="none" w:sz="0" w:space="0" w:color="auto"/>
      </w:divBdr>
    </w:div>
    <w:div w:id="1264874992">
      <w:bodyDiv w:val="1"/>
      <w:marLeft w:val="0"/>
      <w:marRight w:val="0"/>
      <w:marTop w:val="0"/>
      <w:marBottom w:val="0"/>
      <w:divBdr>
        <w:top w:val="none" w:sz="0" w:space="0" w:color="auto"/>
        <w:left w:val="none" w:sz="0" w:space="0" w:color="auto"/>
        <w:bottom w:val="none" w:sz="0" w:space="0" w:color="auto"/>
        <w:right w:val="none" w:sz="0" w:space="0" w:color="auto"/>
      </w:divBdr>
    </w:div>
    <w:div w:id="1273854740">
      <w:bodyDiv w:val="1"/>
      <w:marLeft w:val="0"/>
      <w:marRight w:val="0"/>
      <w:marTop w:val="0"/>
      <w:marBottom w:val="0"/>
      <w:divBdr>
        <w:top w:val="none" w:sz="0" w:space="0" w:color="auto"/>
        <w:left w:val="none" w:sz="0" w:space="0" w:color="auto"/>
        <w:bottom w:val="none" w:sz="0" w:space="0" w:color="auto"/>
        <w:right w:val="none" w:sz="0" w:space="0" w:color="auto"/>
      </w:divBdr>
    </w:div>
    <w:div w:id="1457601053">
      <w:bodyDiv w:val="1"/>
      <w:marLeft w:val="0"/>
      <w:marRight w:val="0"/>
      <w:marTop w:val="0"/>
      <w:marBottom w:val="0"/>
      <w:divBdr>
        <w:top w:val="none" w:sz="0" w:space="0" w:color="auto"/>
        <w:left w:val="none" w:sz="0" w:space="0" w:color="auto"/>
        <w:bottom w:val="none" w:sz="0" w:space="0" w:color="auto"/>
        <w:right w:val="none" w:sz="0" w:space="0" w:color="auto"/>
      </w:divBdr>
    </w:div>
    <w:div w:id="1638023128">
      <w:bodyDiv w:val="1"/>
      <w:marLeft w:val="0"/>
      <w:marRight w:val="0"/>
      <w:marTop w:val="0"/>
      <w:marBottom w:val="0"/>
      <w:divBdr>
        <w:top w:val="none" w:sz="0" w:space="0" w:color="auto"/>
        <w:left w:val="none" w:sz="0" w:space="0" w:color="auto"/>
        <w:bottom w:val="none" w:sz="0" w:space="0" w:color="auto"/>
        <w:right w:val="none" w:sz="0" w:space="0" w:color="auto"/>
      </w:divBdr>
    </w:div>
    <w:div w:id="1662269317">
      <w:bodyDiv w:val="1"/>
      <w:marLeft w:val="0"/>
      <w:marRight w:val="0"/>
      <w:marTop w:val="0"/>
      <w:marBottom w:val="0"/>
      <w:divBdr>
        <w:top w:val="none" w:sz="0" w:space="0" w:color="auto"/>
        <w:left w:val="none" w:sz="0" w:space="0" w:color="auto"/>
        <w:bottom w:val="none" w:sz="0" w:space="0" w:color="auto"/>
        <w:right w:val="none" w:sz="0" w:space="0" w:color="auto"/>
      </w:divBdr>
    </w:div>
    <w:div w:id="1728798289">
      <w:bodyDiv w:val="1"/>
      <w:marLeft w:val="0"/>
      <w:marRight w:val="0"/>
      <w:marTop w:val="0"/>
      <w:marBottom w:val="0"/>
      <w:divBdr>
        <w:top w:val="none" w:sz="0" w:space="0" w:color="auto"/>
        <w:left w:val="none" w:sz="0" w:space="0" w:color="auto"/>
        <w:bottom w:val="none" w:sz="0" w:space="0" w:color="auto"/>
        <w:right w:val="none" w:sz="0" w:space="0" w:color="auto"/>
      </w:divBdr>
    </w:div>
    <w:div w:id="1963924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ccrm@ccrm.md"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yperlink" Target="http://www.ccrm.md" TargetMode="External"/><Relationship Id="rId14" Type="http://schemas.openxmlformats.org/officeDocument/2006/relationships/image" Target="media/image4.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d:\a_certan\Desktop\CANCELARIA%20DE%20STAT\EXECUTARE\subventii_granturi_imprumuturi\Granturi%20&#537;i%20subven&#539;ii.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967908914028305"/>
          <c:y val="0.1490066225165563"/>
          <c:w val="0.3160057531056184"/>
          <c:h val="0.75234482279119086"/>
        </c:manualLayout>
      </c:layout>
      <c:doughnutChart>
        <c:varyColors val="1"/>
        <c:ser>
          <c:idx val="0"/>
          <c:order val="0"/>
          <c:tx>
            <c:strRef>
              <c:f>Sheet1!$B$1</c:f>
              <c:strCache>
                <c:ptCount val="1"/>
                <c:pt idx="0">
                  <c:v>Sales</c:v>
                </c:pt>
              </c:strCache>
            </c:strRef>
          </c:tx>
          <c:dPt>
            <c:idx val="0"/>
            <c:bubble3D val="0"/>
            <c:spPr>
              <a:solidFill>
                <a:schemeClr val="accent1">
                  <a:lumMod val="5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F6D9-463A-9E47-384977DC2FB3}"/>
              </c:ext>
            </c:extLst>
          </c:dPt>
          <c:dPt>
            <c:idx val="1"/>
            <c:bubble3D val="0"/>
            <c:spPr>
              <a:solidFill>
                <a:srgbClr val="FFFF00"/>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F6D9-463A-9E47-384977DC2FB3}"/>
              </c:ext>
            </c:extLst>
          </c:dPt>
          <c:dPt>
            <c:idx val="2"/>
            <c:bubble3D val="0"/>
            <c:spPr>
              <a:solidFill>
                <a:schemeClr val="accent5">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F6D9-463A-9E47-384977DC2FB3}"/>
              </c:ext>
            </c:extLst>
          </c:dPt>
          <c:dPt>
            <c:idx val="3"/>
            <c:bubble3D val="0"/>
            <c:spPr>
              <a:solidFill>
                <a:schemeClr val="accent3">
                  <a:lumMod val="40000"/>
                  <a:lumOff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F6D9-463A-9E47-384977DC2FB3}"/>
              </c:ext>
            </c:extLst>
          </c:dPt>
          <c:dLbls>
            <c:dLbl>
              <c:idx val="0"/>
              <c:layout>
                <c:manualLayout>
                  <c:x val="0.21952425317064375"/>
                  <c:y val="-4.4957329435616955E-3"/>
                </c:manualLayout>
              </c:layout>
              <c:tx>
                <c:rich>
                  <a:bodyPr rot="0" spcFirstLastPara="1" vertOverflow="ellipsis" vert="horz" wrap="square" lIns="38100" tIns="19050" rIns="38100" bIns="19050" anchor="ctr" anchorCtr="1">
                    <a:spAutoFit/>
                  </a:bodyPr>
                  <a:lstStyle/>
                  <a:p>
                    <a:pPr>
                      <a:defRPr sz="1600" b="1" i="0" u="none" strike="noStrike" kern="1200" baseline="0">
                        <a:solidFill>
                          <a:schemeClr val="accent1">
                            <a:lumMod val="50000"/>
                          </a:schemeClr>
                        </a:solidFill>
                        <a:latin typeface="+mn-lt"/>
                        <a:ea typeface="+mn-ea"/>
                        <a:cs typeface="+mn-cs"/>
                      </a:defRPr>
                    </a:pPr>
                    <a:r>
                      <a:rPr lang="en-US" sz="1600">
                        <a:solidFill>
                          <a:schemeClr val="accent1">
                            <a:lumMod val="50000"/>
                          </a:schemeClr>
                        </a:solidFill>
                      </a:rPr>
                      <a:t>67%</a:t>
                    </a:r>
                  </a:p>
                </c:rich>
              </c:tx>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accent1">
                          <a:lumMod val="50000"/>
                        </a:schemeClr>
                      </a:solidFill>
                      <a:latin typeface="+mn-lt"/>
                      <a:ea typeface="+mn-ea"/>
                      <a:cs typeface="+mn-cs"/>
                    </a:defRPr>
                  </a:pPr>
                  <a:endParaRPr lang="ru-R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6D9-463A-9E47-384977DC2FB3}"/>
                </c:ext>
                <c:ext xmlns:c15="http://schemas.microsoft.com/office/drawing/2012/chart" uri="{CE6537A1-D6FC-4f65-9D91-7224C49458BB}"/>
              </c:extLst>
            </c:dLbl>
            <c:dLbl>
              <c:idx val="1"/>
              <c:layout>
                <c:manualLayout>
                  <c:x val="-0.21528671034441305"/>
                  <c:y val="2.0884215820327848E-2"/>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accent4">
                          <a:lumMod val="50000"/>
                        </a:schemeClr>
                      </a:solidFill>
                      <a:latin typeface="+mn-lt"/>
                      <a:ea typeface="+mn-ea"/>
                      <a:cs typeface="+mn-cs"/>
                    </a:defRPr>
                  </a:pPr>
                  <a:endParaRPr lang="ru-R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F6D9-463A-9E47-384977DC2FB3}"/>
                </c:ext>
                <c:ext xmlns:c15="http://schemas.microsoft.com/office/drawing/2012/chart" uri="{CE6537A1-D6FC-4f65-9D91-7224C49458BB}"/>
              </c:extLst>
            </c:dLbl>
            <c:dLbl>
              <c:idx val="2"/>
              <c:layout>
                <c:manualLayout>
                  <c:x val="-0.21649419299686776"/>
                  <c:y val="-0.2196803243905889"/>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accent5">
                          <a:lumMod val="75000"/>
                        </a:schemeClr>
                      </a:solidFill>
                      <a:latin typeface="+mn-lt"/>
                      <a:ea typeface="+mn-ea"/>
                      <a:cs typeface="+mn-cs"/>
                    </a:defRPr>
                  </a:pPr>
                  <a:endParaRPr lang="ru-R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F6D9-463A-9E47-384977DC2FB3}"/>
                </c:ext>
                <c:ext xmlns:c15="http://schemas.microsoft.com/office/drawing/2012/chart" uri="{CE6537A1-D6FC-4f65-9D91-7224C49458BB}"/>
              </c:extLst>
            </c:dLbl>
            <c:dLbl>
              <c:idx val="3"/>
              <c:layout>
                <c:manualLayout>
                  <c:x val="0.35418611795662946"/>
                  <c:y val="-0.1814571644113348"/>
                </c:manualLayout>
              </c:layout>
              <c:tx>
                <c:rich>
                  <a:bodyPr rot="0" spcFirstLastPara="1" vertOverflow="ellipsis" vert="horz" wrap="square" lIns="38100" tIns="19050" rIns="38100" bIns="19050" anchor="ctr" anchorCtr="1">
                    <a:spAutoFit/>
                  </a:bodyPr>
                  <a:lstStyle/>
                  <a:p>
                    <a:pPr>
                      <a:defRPr sz="1600" b="1" i="0" u="none" strike="noStrike" kern="1200" baseline="0">
                        <a:solidFill>
                          <a:schemeClr val="bg2">
                            <a:lumMod val="50000"/>
                          </a:schemeClr>
                        </a:solidFill>
                        <a:latin typeface="+mn-lt"/>
                        <a:ea typeface="+mn-ea"/>
                        <a:cs typeface="+mn-cs"/>
                      </a:defRPr>
                    </a:pPr>
                    <a:r>
                      <a:rPr lang="en-US" sz="1600">
                        <a:solidFill>
                          <a:schemeClr val="bg2">
                            <a:lumMod val="50000"/>
                          </a:schemeClr>
                        </a:solidFill>
                      </a:rPr>
                      <a:t>13%</a:t>
                    </a:r>
                  </a:p>
                </c:rich>
              </c:tx>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2">
                          <a:lumMod val="50000"/>
                        </a:schemeClr>
                      </a:solidFill>
                      <a:latin typeface="+mn-lt"/>
                      <a:ea typeface="+mn-ea"/>
                      <a:cs typeface="+mn-cs"/>
                    </a:defRPr>
                  </a:pPr>
                  <a:endParaRPr lang="ru-R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F6D9-463A-9E47-384977DC2FB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Sheet1!$A$2:$A$5</c:f>
              <c:strCache>
                <c:ptCount val="4"/>
                <c:pt idx="0">
                  <c:v>Licitații </c:v>
                </c:pt>
                <c:pt idx="1">
                  <c:v>COP</c:v>
                </c:pt>
                <c:pt idx="2">
                  <c:v>NFP</c:v>
                </c:pt>
                <c:pt idx="3">
                  <c:v>MV</c:v>
                </c:pt>
              </c:strCache>
            </c:strRef>
          </c:cat>
          <c:val>
            <c:numRef>
              <c:f>Sheet1!$B$2:$B$5</c:f>
              <c:numCache>
                <c:formatCode>General</c:formatCode>
                <c:ptCount val="4"/>
                <c:pt idx="0">
                  <c:v>66</c:v>
                </c:pt>
                <c:pt idx="1">
                  <c:v>6</c:v>
                </c:pt>
                <c:pt idx="2">
                  <c:v>14</c:v>
                </c:pt>
                <c:pt idx="3">
                  <c:v>14</c:v>
                </c:pt>
              </c:numCache>
            </c:numRef>
          </c:val>
          <c:extLst xmlns:c16r2="http://schemas.microsoft.com/office/drawing/2015/06/chart">
            <c:ext xmlns:c16="http://schemas.microsoft.com/office/drawing/2014/chart" uri="{C3380CC4-5D6E-409C-BE32-E72D297353CC}">
              <c16:uniqueId val="{00000008-F6D9-463A-9E47-384977DC2FB3}"/>
            </c:ext>
          </c:extLst>
        </c:ser>
        <c:dLbls>
          <c:showLegendKey val="0"/>
          <c:showVal val="0"/>
          <c:showCatName val="0"/>
          <c:showSerName val="0"/>
          <c:showPercent val="1"/>
          <c:showBubbleSize val="0"/>
          <c:showLeaderLines val="0"/>
        </c:dLbls>
        <c:firstSliceAng val="0"/>
        <c:holeSize val="50"/>
      </c:doughnutChart>
      <c:spPr>
        <a:noFill/>
        <a:ln>
          <a:noFill/>
        </a:ln>
        <a:effectLst/>
      </c:spPr>
    </c:plotArea>
    <c:legend>
      <c:legendPos val="r"/>
      <c:layout>
        <c:manualLayout>
          <c:xMode val="edge"/>
          <c:yMode val="edge"/>
          <c:x val="0.90645348720722874"/>
          <c:y val="0.32761052697754095"/>
          <c:w val="9.3546512792771139E-2"/>
          <c:h val="0.336828704795134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diagrama!$B$5</c:f>
              <c:strCache>
                <c:ptCount val="1"/>
                <c:pt idx="0">
                  <c:v>Precizat</c:v>
                </c:pt>
              </c:strCache>
            </c:strRef>
          </c:tx>
          <c:spPr>
            <a:solidFill>
              <a:schemeClr val="accent6">
                <a:lumMod val="75000"/>
              </a:schemeClr>
            </a:solidFill>
            <a:ln>
              <a:solidFill>
                <a:srgbClr val="7030A0"/>
              </a:solidFill>
            </a:ln>
            <a:effectLst/>
          </c:spPr>
          <c:invertIfNegative val="0"/>
          <c:dLbls>
            <c:dLbl>
              <c:idx val="1"/>
              <c:layout>
                <c:manualLayout>
                  <c:x val="-9.8183603338242512E-3"/>
                  <c:y val="-4.803073967339097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F7D-4019-BD70-5BB16F73DE7E}"/>
                </c:ext>
                <c:ext xmlns:c15="http://schemas.microsoft.com/office/drawing/2012/chart" uri="{CE6537A1-D6FC-4f65-9D91-7224C49458BB}"/>
              </c:extLst>
            </c:dLbl>
            <c:dLbl>
              <c:idx val="2"/>
              <c:layout>
                <c:manualLayout>
                  <c:x val="-1.4727540500736377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F7D-4019-BD70-5BB16F73DE7E}"/>
                </c:ext>
                <c:ext xmlns:c15="http://schemas.microsoft.com/office/drawing/2012/chart" uri="{CE6537A1-D6FC-4f65-9D91-7224C49458BB}"/>
              </c:extLst>
            </c:dLbl>
            <c:dLbl>
              <c:idx val="4"/>
              <c:layout>
                <c:manualLayout>
                  <c:x val="-1.6810758885686929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F7D-4019-BD70-5BB16F73DE7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diagrama!$B$6:$B$10</c:f>
              <c:numCache>
                <c:formatCode>#,##0.0</c:formatCode>
                <c:ptCount val="5"/>
                <c:pt idx="0">
                  <c:v>71.599999999999994</c:v>
                </c:pt>
                <c:pt idx="1">
                  <c:v>148.69999999999999</c:v>
                </c:pt>
                <c:pt idx="2">
                  <c:v>102.2</c:v>
                </c:pt>
                <c:pt idx="3">
                  <c:v>135</c:v>
                </c:pt>
                <c:pt idx="4">
                  <c:v>109.7</c:v>
                </c:pt>
              </c:numCache>
            </c:numRef>
          </c:val>
          <c:extLst xmlns:c16r2="http://schemas.microsoft.com/office/drawing/2015/06/chart">
            <c:ext xmlns:c16="http://schemas.microsoft.com/office/drawing/2014/chart" uri="{C3380CC4-5D6E-409C-BE32-E72D297353CC}">
              <c16:uniqueId val="{00000003-3F7D-4019-BD70-5BB16F73DE7E}"/>
            </c:ext>
          </c:extLst>
        </c:ser>
        <c:ser>
          <c:idx val="1"/>
          <c:order val="1"/>
          <c:tx>
            <c:strRef>
              <c:f>diagrama!$C$5</c:f>
              <c:strCache>
                <c:ptCount val="1"/>
                <c:pt idx="0">
                  <c:v>Transferate beneficiarilor  de CS </c:v>
                </c:pt>
              </c:strCache>
            </c:strRef>
          </c:tx>
          <c:spPr>
            <a:solidFill>
              <a:schemeClr val="accent4">
                <a:lumMod val="40000"/>
                <a:lumOff val="60000"/>
              </a:schemeClr>
            </a:solidFill>
            <a:ln>
              <a:solidFill>
                <a:srgbClr val="7030A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diagrama!$C$6:$C$10</c:f>
              <c:numCache>
                <c:formatCode>#,##0.0</c:formatCode>
                <c:ptCount val="5"/>
                <c:pt idx="0">
                  <c:v>65.3</c:v>
                </c:pt>
                <c:pt idx="1">
                  <c:v>142</c:v>
                </c:pt>
                <c:pt idx="2">
                  <c:v>98.8</c:v>
                </c:pt>
                <c:pt idx="3">
                  <c:v>128.9</c:v>
                </c:pt>
                <c:pt idx="4">
                  <c:v>109.4</c:v>
                </c:pt>
              </c:numCache>
            </c:numRef>
          </c:val>
          <c:extLst xmlns:c16r2="http://schemas.microsoft.com/office/drawing/2015/06/chart">
            <c:ext xmlns:c16="http://schemas.microsoft.com/office/drawing/2014/chart" uri="{C3380CC4-5D6E-409C-BE32-E72D297353CC}">
              <c16:uniqueId val="{00000004-3F7D-4019-BD70-5BB16F73DE7E}"/>
            </c:ext>
          </c:extLst>
        </c:ser>
        <c:ser>
          <c:idx val="2"/>
          <c:order val="2"/>
          <c:tx>
            <c:strRef>
              <c:f>diagrama!$D$5</c:f>
              <c:strCache>
                <c:ptCount val="1"/>
                <c:pt idx="0">
                  <c:v>Executat de IP</c:v>
                </c:pt>
              </c:strCache>
            </c:strRef>
          </c:tx>
          <c:spPr>
            <a:solidFill>
              <a:schemeClr val="accent5">
                <a:lumMod val="75000"/>
              </a:schemeClr>
            </a:solidFill>
            <a:ln>
              <a:solidFill>
                <a:srgbClr val="7030A0"/>
              </a:solidFill>
            </a:ln>
            <a:effectLst/>
          </c:spPr>
          <c:invertIfNegative val="0"/>
          <c:dLbls>
            <c:dLbl>
              <c:idx val="2"/>
              <c:layout>
                <c:manualLayout>
                  <c:x val="7.3637702503681884E-3"/>
                  <c:y val="4.803073967339097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F7D-4019-BD70-5BB16F73DE7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diagrama!$D$6:$D$10</c:f>
              <c:numCache>
                <c:formatCode>#,##0.0</c:formatCode>
                <c:ptCount val="5"/>
                <c:pt idx="0">
                  <c:v>64.8</c:v>
                </c:pt>
                <c:pt idx="1">
                  <c:v>115.9</c:v>
                </c:pt>
                <c:pt idx="2">
                  <c:v>99.7</c:v>
                </c:pt>
                <c:pt idx="3">
                  <c:v>122</c:v>
                </c:pt>
                <c:pt idx="4">
                  <c:v>137</c:v>
                </c:pt>
              </c:numCache>
            </c:numRef>
          </c:val>
          <c:extLst xmlns:c16r2="http://schemas.microsoft.com/office/drawing/2015/06/chart">
            <c:ext xmlns:c16="http://schemas.microsoft.com/office/drawing/2014/chart" uri="{C3380CC4-5D6E-409C-BE32-E72D297353CC}">
              <c16:uniqueId val="{00000006-3F7D-4019-BD70-5BB16F73DE7E}"/>
            </c:ext>
          </c:extLst>
        </c:ser>
        <c:dLbls>
          <c:dLblPos val="outEnd"/>
          <c:showLegendKey val="0"/>
          <c:showVal val="1"/>
          <c:showCatName val="0"/>
          <c:showSerName val="0"/>
          <c:showPercent val="0"/>
          <c:showBubbleSize val="0"/>
        </c:dLbls>
        <c:gapWidth val="219"/>
        <c:overlap val="-27"/>
        <c:axId val="453154064"/>
        <c:axId val="452448464"/>
      </c:barChart>
      <c:catAx>
        <c:axId val="453154064"/>
        <c:scaling>
          <c:orientation val="minMax"/>
        </c:scaling>
        <c:delete val="1"/>
        <c:axPos val="b"/>
        <c:numFmt formatCode="General" sourceLinked="1"/>
        <c:majorTickMark val="none"/>
        <c:minorTickMark val="none"/>
        <c:tickLblPos val="nextTo"/>
        <c:crossAx val="452448464"/>
        <c:crosses val="autoZero"/>
        <c:auto val="1"/>
        <c:lblAlgn val="ctr"/>
        <c:lblOffset val="100"/>
        <c:noMultiLvlLbl val="0"/>
      </c:catAx>
      <c:valAx>
        <c:axId val="45244846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53154064"/>
        <c:crosses val="autoZero"/>
        <c:crossBetween val="between"/>
      </c:valAx>
      <c:spPr>
        <a:noFill/>
        <a:ln>
          <a:noFill/>
        </a:ln>
        <a:effectLst/>
      </c:spPr>
    </c:plotArea>
    <c:legend>
      <c:legendPos val="b"/>
      <c:layout>
        <c:manualLayout>
          <c:xMode val="edge"/>
          <c:yMode val="edge"/>
          <c:x val="0.10743946992216749"/>
          <c:y val="0.91062917561441181"/>
          <c:w val="0.81964911086402381"/>
          <c:h val="7.70553338366950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o-RO"/>
              <a:t>Total cheltuieli pentru achiziții publice </a:t>
            </a: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9413950993352111E-2"/>
          <c:y val="0.12268270944741536"/>
          <c:w val="0.90382205873900801"/>
          <c:h val="0.61685158673347662"/>
        </c:manualLayout>
      </c:layout>
      <c:barChart>
        <c:barDir val="col"/>
        <c:grouping val="clustered"/>
        <c:varyColors val="0"/>
        <c:ser>
          <c:idx val="0"/>
          <c:order val="0"/>
          <c:tx>
            <c:strRef>
              <c:f>Лист1!$B$1</c:f>
              <c:strCache>
                <c:ptCount val="1"/>
                <c:pt idx="0">
                  <c:v>Cancelaria de Stat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50.7</c:v>
                </c:pt>
                <c:pt idx="1">
                  <c:v>25.1</c:v>
                </c:pt>
                <c:pt idx="2">
                  <c:v>18.600000000000001</c:v>
                </c:pt>
                <c:pt idx="3">
                  <c:v>25.4</c:v>
                </c:pt>
                <c:pt idx="4">
                  <c:v>23.9</c:v>
                </c:pt>
              </c:numCache>
            </c:numRef>
          </c:val>
          <c:extLst xmlns:c16r2="http://schemas.microsoft.com/office/drawing/2015/06/chart">
            <c:ext xmlns:c16="http://schemas.microsoft.com/office/drawing/2014/chart" uri="{C3380CC4-5D6E-409C-BE32-E72D297353CC}">
              <c16:uniqueId val="{00000000-06E8-4A8F-ABB6-9711825EAC63}"/>
            </c:ext>
          </c:extLst>
        </c:ser>
        <c:ser>
          <c:idx val="1"/>
          <c:order val="1"/>
          <c:tx>
            <c:strRef>
              <c:f>Лист1!$C$1</c:f>
              <c:strCache>
                <c:ptCount val="1"/>
                <c:pt idx="0">
                  <c:v>IP AGE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6.1</c:v>
                </c:pt>
                <c:pt idx="1">
                  <c:v>2.9</c:v>
                </c:pt>
                <c:pt idx="2">
                  <c:v>3.7</c:v>
                </c:pt>
                <c:pt idx="3">
                  <c:v>8.3000000000000007</c:v>
                </c:pt>
                <c:pt idx="4">
                  <c:v>4.5999999999999996</c:v>
                </c:pt>
              </c:numCache>
            </c:numRef>
          </c:val>
          <c:extLst xmlns:c16r2="http://schemas.microsoft.com/office/drawing/2015/06/chart">
            <c:ext xmlns:c16="http://schemas.microsoft.com/office/drawing/2014/chart" uri="{C3380CC4-5D6E-409C-BE32-E72D297353CC}">
              <c16:uniqueId val="{00000001-06E8-4A8F-ABB6-9711825EAC63}"/>
            </c:ext>
          </c:extLst>
        </c:ser>
        <c:ser>
          <c:idx val="2"/>
          <c:order val="2"/>
          <c:tx>
            <c:strRef>
              <c:f>Лист1!$D$1</c:f>
              <c:strCache>
                <c:ptCount val="1"/>
                <c:pt idx="0">
                  <c:v>IP ASP</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numRef>
              <c:f>Лист1!$A$2:$A$6</c:f>
              <c:numCache>
                <c:formatCode>General</c:formatCode>
                <c:ptCount val="5"/>
                <c:pt idx="0">
                  <c:v>2018</c:v>
                </c:pt>
                <c:pt idx="1">
                  <c:v>2019</c:v>
                </c:pt>
                <c:pt idx="2">
                  <c:v>2020</c:v>
                </c:pt>
                <c:pt idx="3">
                  <c:v>2021</c:v>
                </c:pt>
                <c:pt idx="4">
                  <c:v>2022</c:v>
                </c:pt>
              </c:numCache>
            </c:numRef>
          </c:cat>
          <c:val>
            <c:numRef>
              <c:f>Лист1!$D$2:$D$6</c:f>
              <c:numCache>
                <c:formatCode>General</c:formatCode>
                <c:ptCount val="5"/>
                <c:pt idx="0">
                  <c:v>22.1</c:v>
                </c:pt>
                <c:pt idx="1">
                  <c:v>135.36000000000001</c:v>
                </c:pt>
                <c:pt idx="2">
                  <c:v>55.62</c:v>
                </c:pt>
                <c:pt idx="3">
                  <c:v>98.81</c:v>
                </c:pt>
                <c:pt idx="4">
                  <c:v>281.2</c:v>
                </c:pt>
              </c:numCache>
            </c:numRef>
          </c:val>
          <c:extLst xmlns:c16r2="http://schemas.microsoft.com/office/drawing/2015/06/chart">
            <c:ext xmlns:c16="http://schemas.microsoft.com/office/drawing/2014/chart" uri="{C3380CC4-5D6E-409C-BE32-E72D297353CC}">
              <c16:uniqueId val="{00000002-06E8-4A8F-ABB6-9711825EAC63}"/>
            </c:ext>
          </c:extLst>
        </c:ser>
        <c:ser>
          <c:idx val="3"/>
          <c:order val="3"/>
          <c:tx>
            <c:strRef>
              <c:f>Лист1!$E$1</c:f>
              <c:strCache>
                <c:ptCount val="1"/>
                <c:pt idx="0">
                  <c:v>IP DGACG</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numRef>
              <c:f>Лист1!$A$2:$A$6</c:f>
              <c:numCache>
                <c:formatCode>General</c:formatCode>
                <c:ptCount val="5"/>
                <c:pt idx="0">
                  <c:v>2018</c:v>
                </c:pt>
                <c:pt idx="1">
                  <c:v>2019</c:v>
                </c:pt>
                <c:pt idx="2">
                  <c:v>2020</c:v>
                </c:pt>
                <c:pt idx="3">
                  <c:v>2021</c:v>
                </c:pt>
                <c:pt idx="4">
                  <c:v>2022</c:v>
                </c:pt>
              </c:numCache>
            </c:numRef>
          </c:cat>
          <c:val>
            <c:numRef>
              <c:f>Лист1!$E$2:$E$6</c:f>
              <c:numCache>
                <c:formatCode>General</c:formatCode>
                <c:ptCount val="5"/>
                <c:pt idx="0">
                  <c:v>47.1</c:v>
                </c:pt>
                <c:pt idx="1">
                  <c:v>10.3</c:v>
                </c:pt>
                <c:pt idx="2">
                  <c:v>25.6</c:v>
                </c:pt>
                <c:pt idx="3">
                  <c:v>10.1</c:v>
                </c:pt>
                <c:pt idx="4">
                  <c:v>11.7</c:v>
                </c:pt>
              </c:numCache>
            </c:numRef>
          </c:val>
          <c:extLst xmlns:c16r2="http://schemas.microsoft.com/office/drawing/2015/06/chart">
            <c:ext xmlns:c16="http://schemas.microsoft.com/office/drawing/2014/chart" uri="{C3380CC4-5D6E-409C-BE32-E72D297353CC}">
              <c16:uniqueId val="{00000003-06E8-4A8F-ABB6-9711825EAC63}"/>
            </c:ext>
          </c:extLst>
        </c:ser>
        <c:ser>
          <c:idx val="4"/>
          <c:order val="4"/>
          <c:tx>
            <c:strRef>
              <c:f>Лист1!$F$1</c:f>
              <c:strCache>
                <c:ptCount val="1"/>
                <c:pt idx="0">
                  <c:v>IP Pensiunea de la Holercani</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numRef>
              <c:f>Лист1!$A$2:$A$6</c:f>
              <c:numCache>
                <c:formatCode>General</c:formatCode>
                <c:ptCount val="5"/>
                <c:pt idx="0">
                  <c:v>2018</c:v>
                </c:pt>
                <c:pt idx="1">
                  <c:v>2019</c:v>
                </c:pt>
                <c:pt idx="2">
                  <c:v>2020</c:v>
                </c:pt>
                <c:pt idx="3">
                  <c:v>2021</c:v>
                </c:pt>
                <c:pt idx="4">
                  <c:v>2022</c:v>
                </c:pt>
              </c:numCache>
            </c:numRef>
          </c:cat>
          <c:val>
            <c:numRef>
              <c:f>Лист1!$F$2:$F$6</c:f>
              <c:numCache>
                <c:formatCode>General</c:formatCode>
                <c:ptCount val="5"/>
                <c:pt idx="0">
                  <c:v>14.7</c:v>
                </c:pt>
                <c:pt idx="1">
                  <c:v>2.2999999999999998</c:v>
                </c:pt>
                <c:pt idx="2">
                  <c:v>0.4</c:v>
                </c:pt>
                <c:pt idx="3">
                  <c:v>1</c:v>
                </c:pt>
                <c:pt idx="4">
                  <c:v>0.8</c:v>
                </c:pt>
              </c:numCache>
            </c:numRef>
          </c:val>
          <c:extLst xmlns:c16r2="http://schemas.microsoft.com/office/drawing/2015/06/chart">
            <c:ext xmlns:c16="http://schemas.microsoft.com/office/drawing/2014/chart" uri="{C3380CC4-5D6E-409C-BE32-E72D297353CC}">
              <c16:uniqueId val="{00000004-06E8-4A8F-ABB6-9711825EAC63}"/>
            </c:ext>
          </c:extLst>
        </c:ser>
        <c:ser>
          <c:idx val="5"/>
          <c:order val="5"/>
          <c:tx>
            <c:strRef>
              <c:f>Лист1!$G$1</c:f>
              <c:strCache>
                <c:ptCount val="1"/>
                <c:pt idx="0">
                  <c:v>IP STISC</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numRef>
              <c:f>Лист1!$A$2:$A$6</c:f>
              <c:numCache>
                <c:formatCode>General</c:formatCode>
                <c:ptCount val="5"/>
                <c:pt idx="0">
                  <c:v>2018</c:v>
                </c:pt>
                <c:pt idx="1">
                  <c:v>2019</c:v>
                </c:pt>
                <c:pt idx="2">
                  <c:v>2020</c:v>
                </c:pt>
                <c:pt idx="3">
                  <c:v>2021</c:v>
                </c:pt>
                <c:pt idx="4">
                  <c:v>2022</c:v>
                </c:pt>
              </c:numCache>
            </c:numRef>
          </c:cat>
          <c:val>
            <c:numRef>
              <c:f>Лист1!$G$2:$G$6</c:f>
              <c:numCache>
                <c:formatCode>General</c:formatCode>
                <c:ptCount val="5"/>
                <c:pt idx="0">
                  <c:v>13.12</c:v>
                </c:pt>
                <c:pt idx="1">
                  <c:v>44.06</c:v>
                </c:pt>
                <c:pt idx="2">
                  <c:v>49.79</c:v>
                </c:pt>
                <c:pt idx="3">
                  <c:v>36.42</c:v>
                </c:pt>
                <c:pt idx="4">
                  <c:v>56.28</c:v>
                </c:pt>
              </c:numCache>
            </c:numRef>
          </c:val>
          <c:extLst xmlns:c16r2="http://schemas.microsoft.com/office/drawing/2015/06/chart">
            <c:ext xmlns:c16="http://schemas.microsoft.com/office/drawing/2014/chart" uri="{C3380CC4-5D6E-409C-BE32-E72D297353CC}">
              <c16:uniqueId val="{00000005-06E8-4A8F-ABB6-9711825EAC63}"/>
            </c:ext>
          </c:extLst>
        </c:ser>
        <c:ser>
          <c:idx val="6"/>
          <c:order val="6"/>
          <c:tx>
            <c:strRef>
              <c:f>Лист1!$H$1</c:f>
              <c:strCache>
                <c:ptCount val="1"/>
                <c:pt idx="0">
                  <c:v>IP Baza auto a CS</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numRef>
              <c:f>Лист1!$A$2:$A$6</c:f>
              <c:numCache>
                <c:formatCode>General</c:formatCode>
                <c:ptCount val="5"/>
                <c:pt idx="0">
                  <c:v>2018</c:v>
                </c:pt>
                <c:pt idx="1">
                  <c:v>2019</c:v>
                </c:pt>
                <c:pt idx="2">
                  <c:v>2020</c:v>
                </c:pt>
                <c:pt idx="3">
                  <c:v>2021</c:v>
                </c:pt>
                <c:pt idx="4">
                  <c:v>2022</c:v>
                </c:pt>
              </c:numCache>
            </c:numRef>
          </c:cat>
          <c:val>
            <c:numRef>
              <c:f>Лист1!$H$2:$H$6</c:f>
              <c:numCache>
                <c:formatCode>General</c:formatCode>
                <c:ptCount val="5"/>
                <c:pt idx="0">
                  <c:v>11.1</c:v>
                </c:pt>
                <c:pt idx="1">
                  <c:v>11</c:v>
                </c:pt>
                <c:pt idx="2">
                  <c:v>14.1</c:v>
                </c:pt>
                <c:pt idx="3">
                  <c:v>10.6</c:v>
                </c:pt>
                <c:pt idx="4">
                  <c:v>13.1</c:v>
                </c:pt>
              </c:numCache>
            </c:numRef>
          </c:val>
          <c:extLst xmlns:c16r2="http://schemas.microsoft.com/office/drawing/2015/06/chart">
            <c:ext xmlns:c16="http://schemas.microsoft.com/office/drawing/2014/chart" uri="{C3380CC4-5D6E-409C-BE32-E72D297353CC}">
              <c16:uniqueId val="{00000006-06E8-4A8F-ABB6-9711825EAC63}"/>
            </c:ext>
          </c:extLst>
        </c:ser>
        <c:ser>
          <c:idx val="7"/>
          <c:order val="7"/>
          <c:tx>
            <c:strRef>
              <c:f>Лист1!$I$1</c:f>
              <c:strCache>
                <c:ptCount val="1"/>
                <c:pt idx="0">
                  <c:v>IP Palatul Republicii</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numRef>
              <c:f>Лист1!$A$2:$A$6</c:f>
              <c:numCache>
                <c:formatCode>General</c:formatCode>
                <c:ptCount val="5"/>
                <c:pt idx="0">
                  <c:v>2018</c:v>
                </c:pt>
                <c:pt idx="1">
                  <c:v>2019</c:v>
                </c:pt>
                <c:pt idx="2">
                  <c:v>2020</c:v>
                </c:pt>
                <c:pt idx="3">
                  <c:v>2021</c:v>
                </c:pt>
                <c:pt idx="4">
                  <c:v>2022</c:v>
                </c:pt>
              </c:numCache>
            </c:numRef>
          </c:cat>
          <c:val>
            <c:numRef>
              <c:f>Лист1!$I$2:$I$6</c:f>
              <c:numCache>
                <c:formatCode>General</c:formatCode>
                <c:ptCount val="5"/>
                <c:pt idx="0">
                  <c:v>4.7</c:v>
                </c:pt>
                <c:pt idx="1">
                  <c:v>10.8</c:v>
                </c:pt>
                <c:pt idx="2">
                  <c:v>13</c:v>
                </c:pt>
                <c:pt idx="3">
                  <c:v>4</c:v>
                </c:pt>
                <c:pt idx="4">
                  <c:v>5</c:v>
                </c:pt>
              </c:numCache>
            </c:numRef>
          </c:val>
          <c:extLst xmlns:c16r2="http://schemas.microsoft.com/office/drawing/2015/06/chart">
            <c:ext xmlns:c16="http://schemas.microsoft.com/office/drawing/2014/chart" uri="{C3380CC4-5D6E-409C-BE32-E72D297353CC}">
              <c16:uniqueId val="{00000007-06E8-4A8F-ABB6-9711825EAC63}"/>
            </c:ext>
          </c:extLst>
        </c:ser>
        <c:dLbls>
          <c:showLegendKey val="0"/>
          <c:showVal val="1"/>
          <c:showCatName val="0"/>
          <c:showSerName val="0"/>
          <c:showPercent val="0"/>
          <c:showBubbleSize val="0"/>
        </c:dLbls>
        <c:gapWidth val="219"/>
        <c:axId val="452450032"/>
        <c:axId val="452448856"/>
      </c:barChart>
      <c:catAx>
        <c:axId val="4524500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2448856"/>
        <c:crosses val="autoZero"/>
        <c:auto val="1"/>
        <c:lblAlgn val="ctr"/>
        <c:lblOffset val="100"/>
        <c:noMultiLvlLbl val="0"/>
      </c:catAx>
      <c:valAx>
        <c:axId val="452448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2450032"/>
        <c:crosses val="autoZero"/>
        <c:crossBetween val="between"/>
      </c:valAx>
      <c:spPr>
        <a:noFill/>
        <a:ln>
          <a:noFill/>
        </a:ln>
        <a:effectLst/>
      </c:spPr>
    </c:plotArea>
    <c:legend>
      <c:legendPos val="b"/>
      <c:layout>
        <c:manualLayout>
          <c:xMode val="edge"/>
          <c:yMode val="edge"/>
          <c:x val="1.8513383127880218E-2"/>
          <c:y val="0.8094760175703426"/>
          <c:w val="0.94583527316154892"/>
          <c:h val="0.164617246678362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0.63104</cdr:x>
      <cdr:y>0.71856</cdr:y>
    </cdr:from>
    <cdr:to>
      <cdr:x>0.89059</cdr:x>
      <cdr:y>0.72323</cdr:y>
    </cdr:to>
    <cdr:cxnSp macro="">
      <cdr:nvCxnSpPr>
        <cdr:cNvPr id="3" name="Straight Connector 2"/>
        <cdr:cNvCxnSpPr/>
      </cdr:nvCxnSpPr>
      <cdr:spPr>
        <a:xfrm xmlns:a="http://schemas.openxmlformats.org/drawingml/2006/main" flipV="1">
          <a:off x="3779520" y="1828800"/>
          <a:ext cx="1554480" cy="11877"/>
        </a:xfrm>
        <a:prstGeom xmlns:a="http://schemas.openxmlformats.org/drawingml/2006/main" prst="line">
          <a:avLst/>
        </a:prstGeom>
        <a:ln xmlns:a="http://schemas.openxmlformats.org/drawingml/2006/main">
          <a:solidFill>
            <a:schemeClr val="accent5">
              <a:lumMod val="50000"/>
            </a:schemeClr>
          </a:solidFill>
        </a:ln>
      </cdr:spPr>
      <cdr:style>
        <a:lnRef xmlns:a="http://schemas.openxmlformats.org/drawingml/2006/main" idx="2">
          <a:schemeClr val="accent5"/>
        </a:lnRef>
        <a:fillRef xmlns:a="http://schemas.openxmlformats.org/drawingml/2006/main" idx="0">
          <a:schemeClr val="accent5"/>
        </a:fillRef>
        <a:effectRef xmlns:a="http://schemas.openxmlformats.org/drawingml/2006/main" idx="1">
          <a:schemeClr val="accent5"/>
        </a:effectRef>
        <a:fontRef xmlns:a="http://schemas.openxmlformats.org/drawingml/2006/main" idx="minor">
          <a:schemeClr val="tx1"/>
        </a:fontRef>
      </cdr:style>
    </cdr:cxnSp>
  </cdr:relSizeAnchor>
  <cdr:relSizeAnchor xmlns:cdr="http://schemas.openxmlformats.org/drawingml/2006/chartDrawing">
    <cdr:from>
      <cdr:x>0.68957</cdr:x>
      <cdr:y>0.70917</cdr:y>
    </cdr:from>
    <cdr:to>
      <cdr:x>1</cdr:x>
      <cdr:y>0.9521</cdr:y>
    </cdr:to>
    <cdr:sp macro="" textlink="">
      <cdr:nvSpPr>
        <cdr:cNvPr id="4" name="Rectangle 3"/>
        <cdr:cNvSpPr/>
      </cdr:nvSpPr>
      <cdr:spPr>
        <a:xfrm xmlns:a="http://schemas.openxmlformats.org/drawingml/2006/main">
          <a:off x="4130040" y="1804888"/>
          <a:ext cx="1859280" cy="61827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accent1"/>
        </a:fontRef>
      </cdr:style>
      <cdr:txBody>
        <a:bodyPr xmlns:a="http://schemas.openxmlformats.org/drawingml/2006/main" vertOverflow="clip"/>
        <a:lstStyle xmlns:a="http://schemas.openxmlformats.org/drawingml/2006/main"/>
        <a:p xmlns:a="http://schemas.openxmlformats.org/drawingml/2006/main">
          <a:r>
            <a:rPr lang="ro-MD" sz="1200" b="1" i="1">
              <a:solidFill>
                <a:schemeClr val="tx1"/>
              </a:solidFill>
              <a:latin typeface="Bahnschrift Light SemiCondensed" panose="020B0502040204020203" pitchFamily="34" charset="0"/>
            </a:rPr>
            <a:t>784,8</a:t>
          </a:r>
          <a:r>
            <a:rPr lang="ro-MD" sz="1200" b="1" i="1" baseline="0">
              <a:solidFill>
                <a:schemeClr val="tx1"/>
              </a:solidFill>
              <a:latin typeface="Bahnschrift Light SemiCondensed" panose="020B0502040204020203" pitchFamily="34" charset="0"/>
            </a:rPr>
            <a:t> mil. lei </a:t>
          </a:r>
        </a:p>
        <a:p xmlns:a="http://schemas.openxmlformats.org/drawingml/2006/main">
          <a:r>
            <a:rPr lang="ro-MD" sz="1200" b="1" i="1" baseline="0">
              <a:solidFill>
                <a:schemeClr val="tx1"/>
              </a:solidFill>
              <a:latin typeface="Bahnschrift Light SemiCondensed" panose="020B0502040204020203" pitchFamily="34" charset="0"/>
            </a:rPr>
            <a:t>nr. 488 _Licitații</a:t>
          </a:r>
          <a:endParaRPr lang="en-US" sz="1200" b="1" i="1">
            <a:solidFill>
              <a:schemeClr val="tx1"/>
            </a:solidFill>
            <a:latin typeface="Bahnschrift Light SemiCondensed" panose="020B0502040204020203" pitchFamily="34" charset="0"/>
          </a:endParaRPr>
        </a:p>
      </cdr:txBody>
    </cdr:sp>
  </cdr:relSizeAnchor>
  <cdr:relSizeAnchor xmlns:cdr="http://schemas.openxmlformats.org/drawingml/2006/chartDrawing">
    <cdr:from>
      <cdr:x>0.11705</cdr:x>
      <cdr:y>0.70427</cdr:y>
    </cdr:from>
    <cdr:to>
      <cdr:x>0.35581</cdr:x>
      <cdr:y>0.70958</cdr:y>
    </cdr:to>
    <cdr:cxnSp macro="">
      <cdr:nvCxnSpPr>
        <cdr:cNvPr id="6" name="Straight Connector 5"/>
        <cdr:cNvCxnSpPr/>
      </cdr:nvCxnSpPr>
      <cdr:spPr>
        <a:xfrm xmlns:a="http://schemas.openxmlformats.org/drawingml/2006/main" flipV="1">
          <a:off x="701040" y="1792417"/>
          <a:ext cx="1430020" cy="13523"/>
        </a:xfrm>
        <a:prstGeom xmlns:a="http://schemas.openxmlformats.org/drawingml/2006/main" prst="line">
          <a:avLst/>
        </a:prstGeom>
        <a:ln xmlns:a="http://schemas.openxmlformats.org/drawingml/2006/main">
          <a:solidFill>
            <a:schemeClr val="accent4">
              <a:lumMod val="50000"/>
            </a:schemeClr>
          </a:solidFill>
        </a:l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dr:relSizeAnchor xmlns:cdr="http://schemas.openxmlformats.org/drawingml/2006/chartDrawing">
    <cdr:from>
      <cdr:x>0.12553</cdr:x>
      <cdr:y>0.6932</cdr:y>
    </cdr:from>
    <cdr:to>
      <cdr:x>0.46565</cdr:x>
      <cdr:y>0.93613</cdr:y>
    </cdr:to>
    <cdr:sp macro="" textlink="">
      <cdr:nvSpPr>
        <cdr:cNvPr id="8" name="Rectangle 7"/>
        <cdr:cNvSpPr/>
      </cdr:nvSpPr>
      <cdr:spPr>
        <a:xfrm xmlns:a="http://schemas.openxmlformats.org/drawingml/2006/main">
          <a:off x="751840" y="1764248"/>
          <a:ext cx="2037080" cy="61827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accent1"/>
        </a:fontRef>
      </cdr:style>
      <cdr:txBody>
        <a:bodyPr xmlns:a="http://schemas.openxmlformats.org/drawingml/2006/main"/>
        <a:lstStyle xmlns:a="http://schemas.openxmlformats.org/drawingml/2006/main">
          <a:lvl1pPr marL="0" indent="0">
            <a:defRPr sz="1100">
              <a:solidFill>
                <a:schemeClr val="accent1"/>
              </a:solidFill>
              <a:latin typeface="+mn-lt"/>
              <a:ea typeface="+mn-ea"/>
              <a:cs typeface="+mn-cs"/>
            </a:defRPr>
          </a:lvl1pPr>
          <a:lvl2pPr marL="457200" indent="0">
            <a:defRPr sz="1100">
              <a:solidFill>
                <a:schemeClr val="accent1"/>
              </a:solidFill>
              <a:latin typeface="+mn-lt"/>
              <a:ea typeface="+mn-ea"/>
              <a:cs typeface="+mn-cs"/>
            </a:defRPr>
          </a:lvl2pPr>
          <a:lvl3pPr marL="914400" indent="0">
            <a:defRPr sz="1100">
              <a:solidFill>
                <a:schemeClr val="accent1"/>
              </a:solidFill>
              <a:latin typeface="+mn-lt"/>
              <a:ea typeface="+mn-ea"/>
              <a:cs typeface="+mn-cs"/>
            </a:defRPr>
          </a:lvl3pPr>
          <a:lvl4pPr marL="1371600" indent="0">
            <a:defRPr sz="1100">
              <a:solidFill>
                <a:schemeClr val="accent1"/>
              </a:solidFill>
              <a:latin typeface="+mn-lt"/>
              <a:ea typeface="+mn-ea"/>
              <a:cs typeface="+mn-cs"/>
            </a:defRPr>
          </a:lvl4pPr>
          <a:lvl5pPr marL="1828800" indent="0">
            <a:defRPr sz="1100">
              <a:solidFill>
                <a:schemeClr val="accent1"/>
              </a:solidFill>
              <a:latin typeface="+mn-lt"/>
              <a:ea typeface="+mn-ea"/>
              <a:cs typeface="+mn-cs"/>
            </a:defRPr>
          </a:lvl5pPr>
          <a:lvl6pPr marL="2286000" indent="0">
            <a:defRPr sz="1100">
              <a:solidFill>
                <a:schemeClr val="accent1"/>
              </a:solidFill>
              <a:latin typeface="+mn-lt"/>
              <a:ea typeface="+mn-ea"/>
              <a:cs typeface="+mn-cs"/>
            </a:defRPr>
          </a:lvl6pPr>
          <a:lvl7pPr marL="2743200" indent="0">
            <a:defRPr sz="1100">
              <a:solidFill>
                <a:schemeClr val="accent1"/>
              </a:solidFill>
              <a:latin typeface="+mn-lt"/>
              <a:ea typeface="+mn-ea"/>
              <a:cs typeface="+mn-cs"/>
            </a:defRPr>
          </a:lvl7pPr>
          <a:lvl8pPr marL="3200400" indent="0">
            <a:defRPr sz="1100">
              <a:solidFill>
                <a:schemeClr val="accent1"/>
              </a:solidFill>
              <a:latin typeface="+mn-lt"/>
              <a:ea typeface="+mn-ea"/>
              <a:cs typeface="+mn-cs"/>
            </a:defRPr>
          </a:lvl8pPr>
          <a:lvl9pPr marL="3657600" indent="0">
            <a:defRPr sz="1100">
              <a:solidFill>
                <a:schemeClr val="accent1"/>
              </a:solidFill>
              <a:latin typeface="+mn-lt"/>
              <a:ea typeface="+mn-ea"/>
              <a:cs typeface="+mn-cs"/>
            </a:defRPr>
          </a:lvl9pPr>
        </a:lstStyle>
        <a:p xmlns:a="http://schemas.openxmlformats.org/drawingml/2006/main">
          <a:r>
            <a:rPr lang="ro-MD" sz="1200" b="1" i="1">
              <a:solidFill>
                <a:schemeClr val="tx1"/>
              </a:solidFill>
              <a:latin typeface="Bahnschrift Light SemiCondensed" panose="020B0502040204020203" pitchFamily="34" charset="0"/>
            </a:rPr>
            <a:t>74,0</a:t>
          </a:r>
          <a:r>
            <a:rPr lang="ro-MD" sz="1200" b="1" i="1" baseline="0">
              <a:solidFill>
                <a:schemeClr val="tx1"/>
              </a:solidFill>
              <a:latin typeface="Bahnschrift Light SemiCondensed" panose="020B0502040204020203" pitchFamily="34" charset="0"/>
            </a:rPr>
            <a:t> mil. lei </a:t>
          </a:r>
        </a:p>
        <a:p xmlns:a="http://schemas.openxmlformats.org/drawingml/2006/main">
          <a:r>
            <a:rPr lang="ro-MD" sz="1200" b="1" i="1" baseline="0">
              <a:solidFill>
                <a:schemeClr val="tx1"/>
              </a:solidFill>
              <a:latin typeface="Bahnschrift Light SemiCondensed" panose="020B0502040204020203" pitchFamily="34" charset="0"/>
            </a:rPr>
            <a:t>nr. 296 _COP </a:t>
          </a:r>
          <a:r>
            <a:rPr lang="ro-MD" sz="1200" b="1" i="1" baseline="0">
              <a:solidFill>
                <a:schemeClr val="accent4">
                  <a:lumMod val="50000"/>
                </a:schemeClr>
              </a:solidFill>
              <a:latin typeface="Bahnschrift Light SemiCondensed" panose="020B0502040204020203" pitchFamily="34" charset="0"/>
            </a:rPr>
            <a:t> </a:t>
          </a:r>
          <a:endParaRPr lang="en-US" sz="1200" b="1" i="1">
            <a:solidFill>
              <a:schemeClr val="accent4">
                <a:lumMod val="50000"/>
              </a:schemeClr>
            </a:solidFill>
            <a:latin typeface="Bahnschrift Light SemiCondensed" panose="020B0502040204020203" pitchFamily="34" charset="0"/>
          </a:endParaRPr>
        </a:p>
      </cdr:txBody>
    </cdr:sp>
  </cdr:relSizeAnchor>
  <cdr:relSizeAnchor xmlns:cdr="http://schemas.openxmlformats.org/drawingml/2006/chartDrawing">
    <cdr:from>
      <cdr:x>0.11959</cdr:x>
      <cdr:y>0.31138</cdr:y>
    </cdr:from>
    <cdr:to>
      <cdr:x>0.36472</cdr:x>
      <cdr:y>0.31505</cdr:y>
    </cdr:to>
    <cdr:cxnSp macro="">
      <cdr:nvCxnSpPr>
        <cdr:cNvPr id="9" name="Straight Connector 8"/>
        <cdr:cNvCxnSpPr/>
      </cdr:nvCxnSpPr>
      <cdr:spPr>
        <a:xfrm xmlns:a="http://schemas.openxmlformats.org/drawingml/2006/main">
          <a:off x="716280" y="792480"/>
          <a:ext cx="1468120" cy="9338"/>
        </a:xfrm>
        <a:prstGeom xmlns:a="http://schemas.openxmlformats.org/drawingml/2006/main" prst="line">
          <a:avLst/>
        </a:prstGeom>
      </cdr:spPr>
      <cdr:style>
        <a:lnRef xmlns:a="http://schemas.openxmlformats.org/drawingml/2006/main" idx="2">
          <a:schemeClr val="accent5"/>
        </a:lnRef>
        <a:fillRef xmlns:a="http://schemas.openxmlformats.org/drawingml/2006/main" idx="0">
          <a:schemeClr val="accent5"/>
        </a:fillRef>
        <a:effectRef xmlns:a="http://schemas.openxmlformats.org/drawingml/2006/main" idx="1">
          <a:schemeClr val="accent5"/>
        </a:effectRef>
        <a:fontRef xmlns:a="http://schemas.openxmlformats.org/drawingml/2006/main" idx="minor">
          <a:schemeClr val="tx1"/>
        </a:fontRef>
      </cdr:style>
    </cdr:cxnSp>
  </cdr:relSizeAnchor>
  <cdr:relSizeAnchor xmlns:cdr="http://schemas.openxmlformats.org/drawingml/2006/chartDrawing">
    <cdr:from>
      <cdr:x>0.09966</cdr:x>
      <cdr:y>0.30897</cdr:y>
    </cdr:from>
    <cdr:to>
      <cdr:x>0.41009</cdr:x>
      <cdr:y>0.5519</cdr:y>
    </cdr:to>
    <cdr:sp macro="" textlink="">
      <cdr:nvSpPr>
        <cdr:cNvPr id="12" name="Rectangle 11"/>
        <cdr:cNvSpPr/>
      </cdr:nvSpPr>
      <cdr:spPr>
        <a:xfrm xmlns:a="http://schemas.openxmlformats.org/drawingml/2006/main">
          <a:off x="596900" y="786348"/>
          <a:ext cx="1859280" cy="61827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accent1"/>
        </a:fontRef>
      </cdr:style>
      <cdr:txBody>
        <a:bodyPr xmlns:a="http://schemas.openxmlformats.org/drawingml/2006/main"/>
        <a:lstStyle xmlns:a="http://schemas.openxmlformats.org/drawingml/2006/main">
          <a:lvl1pPr marL="0" indent="0">
            <a:defRPr sz="1100">
              <a:solidFill>
                <a:schemeClr val="accent1"/>
              </a:solidFill>
              <a:latin typeface="+mn-lt"/>
              <a:ea typeface="+mn-ea"/>
              <a:cs typeface="+mn-cs"/>
            </a:defRPr>
          </a:lvl1pPr>
          <a:lvl2pPr marL="457200" indent="0">
            <a:defRPr sz="1100">
              <a:solidFill>
                <a:schemeClr val="accent1"/>
              </a:solidFill>
              <a:latin typeface="+mn-lt"/>
              <a:ea typeface="+mn-ea"/>
              <a:cs typeface="+mn-cs"/>
            </a:defRPr>
          </a:lvl2pPr>
          <a:lvl3pPr marL="914400" indent="0">
            <a:defRPr sz="1100">
              <a:solidFill>
                <a:schemeClr val="accent1"/>
              </a:solidFill>
              <a:latin typeface="+mn-lt"/>
              <a:ea typeface="+mn-ea"/>
              <a:cs typeface="+mn-cs"/>
            </a:defRPr>
          </a:lvl3pPr>
          <a:lvl4pPr marL="1371600" indent="0">
            <a:defRPr sz="1100">
              <a:solidFill>
                <a:schemeClr val="accent1"/>
              </a:solidFill>
              <a:latin typeface="+mn-lt"/>
              <a:ea typeface="+mn-ea"/>
              <a:cs typeface="+mn-cs"/>
            </a:defRPr>
          </a:lvl4pPr>
          <a:lvl5pPr marL="1828800" indent="0">
            <a:defRPr sz="1100">
              <a:solidFill>
                <a:schemeClr val="accent1"/>
              </a:solidFill>
              <a:latin typeface="+mn-lt"/>
              <a:ea typeface="+mn-ea"/>
              <a:cs typeface="+mn-cs"/>
            </a:defRPr>
          </a:lvl5pPr>
          <a:lvl6pPr marL="2286000" indent="0">
            <a:defRPr sz="1100">
              <a:solidFill>
                <a:schemeClr val="accent1"/>
              </a:solidFill>
              <a:latin typeface="+mn-lt"/>
              <a:ea typeface="+mn-ea"/>
              <a:cs typeface="+mn-cs"/>
            </a:defRPr>
          </a:lvl6pPr>
          <a:lvl7pPr marL="2743200" indent="0">
            <a:defRPr sz="1100">
              <a:solidFill>
                <a:schemeClr val="accent1"/>
              </a:solidFill>
              <a:latin typeface="+mn-lt"/>
              <a:ea typeface="+mn-ea"/>
              <a:cs typeface="+mn-cs"/>
            </a:defRPr>
          </a:lvl7pPr>
          <a:lvl8pPr marL="3200400" indent="0">
            <a:defRPr sz="1100">
              <a:solidFill>
                <a:schemeClr val="accent1"/>
              </a:solidFill>
              <a:latin typeface="+mn-lt"/>
              <a:ea typeface="+mn-ea"/>
              <a:cs typeface="+mn-cs"/>
            </a:defRPr>
          </a:lvl8pPr>
          <a:lvl9pPr marL="3657600" indent="0">
            <a:defRPr sz="1100">
              <a:solidFill>
                <a:schemeClr val="accent1"/>
              </a:solidFill>
              <a:latin typeface="+mn-lt"/>
              <a:ea typeface="+mn-ea"/>
              <a:cs typeface="+mn-cs"/>
            </a:defRPr>
          </a:lvl9pPr>
        </a:lstStyle>
        <a:p xmlns:a="http://schemas.openxmlformats.org/drawingml/2006/main">
          <a:r>
            <a:rPr lang="ro-MD" sz="1200" b="1" i="1">
              <a:solidFill>
                <a:schemeClr val="tx1"/>
              </a:solidFill>
              <a:latin typeface="Bahnschrift Light SemiCondensed" panose="020B0502040204020203" pitchFamily="34" charset="0"/>
            </a:rPr>
            <a:t>165,2</a:t>
          </a:r>
          <a:r>
            <a:rPr lang="ro-MD" sz="1200" b="1" i="1" baseline="0">
              <a:solidFill>
                <a:schemeClr val="tx1"/>
              </a:solidFill>
              <a:latin typeface="Bahnschrift Light SemiCondensed" panose="020B0502040204020203" pitchFamily="34" charset="0"/>
            </a:rPr>
            <a:t> mil. lei </a:t>
          </a:r>
        </a:p>
        <a:p xmlns:a="http://schemas.openxmlformats.org/drawingml/2006/main">
          <a:r>
            <a:rPr lang="ro-MD" sz="1200" b="1" i="1" baseline="0">
              <a:solidFill>
                <a:schemeClr val="tx1"/>
              </a:solidFill>
              <a:latin typeface="Bahnschrift Light SemiCondensed" panose="020B0502040204020203" pitchFamily="34" charset="0"/>
            </a:rPr>
            <a:t>nr. 148 _NFP</a:t>
          </a:r>
          <a:endParaRPr lang="en-US" sz="1200" b="1" i="1">
            <a:solidFill>
              <a:schemeClr val="accent1">
                <a:lumMod val="75000"/>
              </a:schemeClr>
            </a:solidFill>
            <a:latin typeface="Bahnschrift Light SemiCondensed" panose="020B0502040204020203" pitchFamily="34" charset="0"/>
          </a:endParaRPr>
        </a:p>
      </cdr:txBody>
    </cdr:sp>
  </cdr:relSizeAnchor>
  <cdr:relSizeAnchor xmlns:cdr="http://schemas.openxmlformats.org/drawingml/2006/chartDrawing">
    <cdr:from>
      <cdr:x>0.47583</cdr:x>
      <cdr:y>0.15269</cdr:y>
    </cdr:from>
    <cdr:to>
      <cdr:x>0.88804</cdr:x>
      <cdr:y>0.15269</cdr:y>
    </cdr:to>
    <cdr:cxnSp macro="">
      <cdr:nvCxnSpPr>
        <cdr:cNvPr id="13" name="Straight Connector 12"/>
        <cdr:cNvCxnSpPr/>
      </cdr:nvCxnSpPr>
      <cdr:spPr>
        <a:xfrm xmlns:a="http://schemas.openxmlformats.org/drawingml/2006/main">
          <a:off x="2849898" y="388608"/>
          <a:ext cx="2468862" cy="12"/>
        </a:xfrm>
        <a:prstGeom xmlns:a="http://schemas.openxmlformats.org/drawingml/2006/main" prst="line">
          <a:avLst/>
        </a:prstGeom>
        <a:ln xmlns:a="http://schemas.openxmlformats.org/drawingml/2006/main">
          <a:solidFill>
            <a:schemeClr val="accent3">
              <a:lumMod val="75000"/>
            </a:schemeClr>
          </a:solidFill>
        </a:ln>
      </cdr:spPr>
      <cdr:style>
        <a:lnRef xmlns:a="http://schemas.openxmlformats.org/drawingml/2006/main" idx="2">
          <a:schemeClr val="accent5"/>
        </a:lnRef>
        <a:fillRef xmlns:a="http://schemas.openxmlformats.org/drawingml/2006/main" idx="0">
          <a:schemeClr val="accent5"/>
        </a:fillRef>
        <a:effectRef xmlns:a="http://schemas.openxmlformats.org/drawingml/2006/main" idx="1">
          <a:schemeClr val="accent5"/>
        </a:effectRef>
        <a:fontRef xmlns:a="http://schemas.openxmlformats.org/drawingml/2006/main" idx="minor">
          <a:schemeClr val="tx1"/>
        </a:fontRef>
      </cdr:style>
    </cdr:cxnSp>
  </cdr:relSizeAnchor>
  <cdr:relSizeAnchor xmlns:cdr="http://schemas.openxmlformats.org/drawingml/2006/chartDrawing">
    <cdr:from>
      <cdr:x>0.68957</cdr:x>
      <cdr:y>0.15428</cdr:y>
    </cdr:from>
    <cdr:to>
      <cdr:x>1</cdr:x>
      <cdr:y>0.39721</cdr:y>
    </cdr:to>
    <cdr:sp macro="" textlink="">
      <cdr:nvSpPr>
        <cdr:cNvPr id="18" name="Rectangle 17"/>
        <cdr:cNvSpPr/>
      </cdr:nvSpPr>
      <cdr:spPr>
        <a:xfrm xmlns:a="http://schemas.openxmlformats.org/drawingml/2006/main">
          <a:off x="4130040" y="392648"/>
          <a:ext cx="1859280" cy="61827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accent1"/>
        </a:fontRef>
      </cdr:style>
      <cdr:txBody>
        <a:bodyPr xmlns:a="http://schemas.openxmlformats.org/drawingml/2006/main"/>
        <a:lstStyle xmlns:a="http://schemas.openxmlformats.org/drawingml/2006/main">
          <a:lvl1pPr marL="0" indent="0">
            <a:defRPr sz="1100">
              <a:solidFill>
                <a:schemeClr val="accent1"/>
              </a:solidFill>
              <a:latin typeface="+mn-lt"/>
              <a:ea typeface="+mn-ea"/>
              <a:cs typeface="+mn-cs"/>
            </a:defRPr>
          </a:lvl1pPr>
          <a:lvl2pPr marL="457200" indent="0">
            <a:defRPr sz="1100">
              <a:solidFill>
                <a:schemeClr val="accent1"/>
              </a:solidFill>
              <a:latin typeface="+mn-lt"/>
              <a:ea typeface="+mn-ea"/>
              <a:cs typeface="+mn-cs"/>
            </a:defRPr>
          </a:lvl2pPr>
          <a:lvl3pPr marL="914400" indent="0">
            <a:defRPr sz="1100">
              <a:solidFill>
                <a:schemeClr val="accent1"/>
              </a:solidFill>
              <a:latin typeface="+mn-lt"/>
              <a:ea typeface="+mn-ea"/>
              <a:cs typeface="+mn-cs"/>
            </a:defRPr>
          </a:lvl3pPr>
          <a:lvl4pPr marL="1371600" indent="0">
            <a:defRPr sz="1100">
              <a:solidFill>
                <a:schemeClr val="accent1"/>
              </a:solidFill>
              <a:latin typeface="+mn-lt"/>
              <a:ea typeface="+mn-ea"/>
              <a:cs typeface="+mn-cs"/>
            </a:defRPr>
          </a:lvl4pPr>
          <a:lvl5pPr marL="1828800" indent="0">
            <a:defRPr sz="1100">
              <a:solidFill>
                <a:schemeClr val="accent1"/>
              </a:solidFill>
              <a:latin typeface="+mn-lt"/>
              <a:ea typeface="+mn-ea"/>
              <a:cs typeface="+mn-cs"/>
            </a:defRPr>
          </a:lvl5pPr>
          <a:lvl6pPr marL="2286000" indent="0">
            <a:defRPr sz="1100">
              <a:solidFill>
                <a:schemeClr val="accent1"/>
              </a:solidFill>
              <a:latin typeface="+mn-lt"/>
              <a:ea typeface="+mn-ea"/>
              <a:cs typeface="+mn-cs"/>
            </a:defRPr>
          </a:lvl6pPr>
          <a:lvl7pPr marL="2743200" indent="0">
            <a:defRPr sz="1100">
              <a:solidFill>
                <a:schemeClr val="accent1"/>
              </a:solidFill>
              <a:latin typeface="+mn-lt"/>
              <a:ea typeface="+mn-ea"/>
              <a:cs typeface="+mn-cs"/>
            </a:defRPr>
          </a:lvl7pPr>
          <a:lvl8pPr marL="3200400" indent="0">
            <a:defRPr sz="1100">
              <a:solidFill>
                <a:schemeClr val="accent1"/>
              </a:solidFill>
              <a:latin typeface="+mn-lt"/>
              <a:ea typeface="+mn-ea"/>
              <a:cs typeface="+mn-cs"/>
            </a:defRPr>
          </a:lvl8pPr>
          <a:lvl9pPr marL="3657600" indent="0">
            <a:defRPr sz="1100">
              <a:solidFill>
                <a:schemeClr val="accent1"/>
              </a:solidFill>
              <a:latin typeface="+mn-lt"/>
              <a:ea typeface="+mn-ea"/>
              <a:cs typeface="+mn-cs"/>
            </a:defRPr>
          </a:lvl9pPr>
        </a:lstStyle>
        <a:p xmlns:a="http://schemas.openxmlformats.org/drawingml/2006/main">
          <a:r>
            <a:rPr lang="ro-MD" sz="1200" b="1" i="1" baseline="0">
              <a:solidFill>
                <a:schemeClr val="tx1"/>
              </a:solidFill>
              <a:latin typeface="Bahnschrift Light SemiCondensed" panose="020B0502040204020203" pitchFamily="34" charset="0"/>
            </a:rPr>
            <a:t>145,2 mil. lei </a:t>
          </a:r>
        </a:p>
        <a:p xmlns:a="http://schemas.openxmlformats.org/drawingml/2006/main">
          <a:r>
            <a:rPr lang="ro-MD" sz="1200" b="1" i="1" baseline="0">
              <a:solidFill>
                <a:schemeClr val="tx1"/>
              </a:solidFill>
              <a:latin typeface="Bahnschrift Light SemiCondensed" panose="020B0502040204020203" pitchFamily="34" charset="0"/>
            </a:rPr>
            <a:t>nr. 3862 _MV </a:t>
          </a:r>
          <a:r>
            <a:rPr lang="ro-MD" sz="1200" b="1" i="1" baseline="0">
              <a:solidFill>
                <a:schemeClr val="accent3">
                  <a:lumMod val="75000"/>
                </a:schemeClr>
              </a:solidFill>
              <a:latin typeface="Bahnschrift Light SemiCondensed" panose="020B0502040204020203" pitchFamily="34" charset="0"/>
            </a:rPr>
            <a:t>(81%)</a:t>
          </a:r>
          <a:endParaRPr lang="en-US" sz="1200" b="1" i="1">
            <a:solidFill>
              <a:schemeClr val="accent3">
                <a:lumMod val="75000"/>
              </a:schemeClr>
            </a:solidFill>
            <a:latin typeface="Bahnschrift Light SemiCondensed" panose="020B0502040204020203"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0.06894</cdr:x>
      <cdr:y>0.84627</cdr:y>
    </cdr:from>
    <cdr:to>
      <cdr:x>0.93962</cdr:x>
      <cdr:y>0.94524</cdr:y>
    </cdr:to>
    <cdr:sp macro="" textlink="">
      <cdr:nvSpPr>
        <cdr:cNvPr id="2" name="TextBox 1"/>
        <cdr:cNvSpPr txBox="1"/>
      </cdr:nvSpPr>
      <cdr:spPr>
        <a:xfrm xmlns:a="http://schemas.openxmlformats.org/drawingml/2006/main">
          <a:off x="356692" y="2237664"/>
          <a:ext cx="4504868" cy="26169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o-MD" sz="1100" b="1" i="1">
              <a:solidFill>
                <a:sysClr val="windowText" lastClr="000000"/>
              </a:solidFill>
            </a:rPr>
            <a:t>2018                     2019                      2020                       2021</a:t>
          </a:r>
          <a:r>
            <a:rPr lang="ro-MD" sz="1100" b="1" i="1" baseline="0">
              <a:solidFill>
                <a:sysClr val="windowText" lastClr="000000"/>
              </a:solidFill>
            </a:rPr>
            <a:t>                     2022</a:t>
          </a:r>
          <a:endParaRPr lang="en-US" sz="1100" b="1" i="1">
            <a:solidFill>
              <a:sysClr val="windowText" lastClr="00000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009E08-83E0-47A0-BA84-836EBA4C3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43818</Words>
  <Characters>249769</Characters>
  <Application>Microsoft Office Word</Application>
  <DocSecurity>0</DocSecurity>
  <Lines>2081</Lines>
  <Paragraphs>586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293001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Frunze</dc:creator>
  <cp:keywords/>
  <dc:description/>
  <cp:lastModifiedBy>Paiu Eugenia</cp:lastModifiedBy>
  <cp:revision>3</cp:revision>
  <cp:lastPrinted>2024-02-09T14:41:00Z</cp:lastPrinted>
  <dcterms:created xsi:type="dcterms:W3CDTF">2024-02-12T06:51:00Z</dcterms:created>
  <dcterms:modified xsi:type="dcterms:W3CDTF">2024-02-12T06:51:00Z</dcterms:modified>
</cp:coreProperties>
</file>