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C78C4" w14:textId="77777777" w:rsidR="00C61F48" w:rsidRPr="00CC2548" w:rsidRDefault="00C61F48" w:rsidP="00C61F48">
      <w:pPr>
        <w:pStyle w:val="cn"/>
        <w:spacing w:line="276" w:lineRule="auto"/>
        <w:rPr>
          <w:rFonts w:asciiTheme="majorBidi" w:hAnsiTheme="majorBidi" w:cstheme="majorBidi"/>
          <w:lang w:val="ro-MD"/>
        </w:rPr>
      </w:pPr>
      <w:r w:rsidRPr="00CC2548">
        <w:rPr>
          <w:rFonts w:asciiTheme="majorBidi" w:hAnsiTheme="majorBidi" w:cstheme="majorBidi"/>
          <w:noProof/>
          <w:lang w:val="ru-RU" w:eastAsia="ru-RU"/>
        </w:rPr>
        <w:drawing>
          <wp:inline distT="0" distB="0" distL="0" distR="0" wp14:anchorId="5580E98B" wp14:editId="4D8C6B16">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14:paraId="3141AAFB" w14:textId="77777777" w:rsidR="00C61F48" w:rsidRPr="00CC2548" w:rsidRDefault="00C61F48" w:rsidP="00C61F48">
      <w:pPr>
        <w:spacing w:after="0" w:line="276" w:lineRule="auto"/>
        <w:jc w:val="center"/>
        <w:rPr>
          <w:rFonts w:asciiTheme="majorBidi" w:eastAsia="Times New Roman" w:hAnsiTheme="majorBidi" w:cstheme="majorBidi"/>
          <w:bCs/>
          <w:sz w:val="24"/>
          <w:szCs w:val="24"/>
          <w:lang w:val="ro-MD"/>
        </w:rPr>
      </w:pPr>
      <w:r w:rsidRPr="00CC2548">
        <w:rPr>
          <w:rFonts w:asciiTheme="majorBidi" w:eastAsia="Times New Roman" w:hAnsiTheme="majorBidi" w:cstheme="majorBidi"/>
          <w:bCs/>
          <w:sz w:val="24"/>
          <w:szCs w:val="24"/>
          <w:lang w:val="ro-MD"/>
        </w:rPr>
        <w:t>CURTEA DE CONTURI A REPUBLICII MOLDOVA</w:t>
      </w:r>
    </w:p>
    <w:p w14:paraId="3F49265E" w14:textId="77777777" w:rsidR="00C61F48" w:rsidRPr="00CC2548" w:rsidRDefault="00C61F48" w:rsidP="00C61F48">
      <w:pPr>
        <w:spacing w:after="0" w:line="276" w:lineRule="auto"/>
        <w:jc w:val="center"/>
        <w:rPr>
          <w:rFonts w:asciiTheme="majorBidi" w:eastAsia="Times New Roman" w:hAnsiTheme="majorBidi" w:cstheme="majorBidi"/>
          <w:bCs/>
          <w:sz w:val="24"/>
          <w:szCs w:val="24"/>
          <w:lang w:val="ro-MD"/>
        </w:rPr>
      </w:pPr>
    </w:p>
    <w:p w14:paraId="7451AD0D" w14:textId="3E3FB24B" w:rsidR="00C61F48" w:rsidRPr="00CC2548" w:rsidRDefault="00C61F48" w:rsidP="00F85093">
      <w:pPr>
        <w:spacing w:after="0" w:line="276" w:lineRule="auto"/>
        <w:jc w:val="center"/>
        <w:rPr>
          <w:rFonts w:asciiTheme="majorBidi" w:eastAsia="Times New Roman" w:hAnsiTheme="majorBidi" w:cstheme="majorBidi"/>
          <w:b/>
          <w:bCs/>
          <w:sz w:val="24"/>
          <w:szCs w:val="24"/>
          <w:lang w:val="ro-MD"/>
        </w:rPr>
      </w:pPr>
      <w:bookmarkStart w:id="0" w:name="_Toc450123757"/>
      <w:r w:rsidRPr="00CC2548">
        <w:rPr>
          <w:rFonts w:asciiTheme="majorBidi" w:eastAsia="Times New Roman" w:hAnsiTheme="majorBidi" w:cstheme="majorBidi"/>
          <w:b/>
          <w:bCs/>
          <w:sz w:val="24"/>
          <w:szCs w:val="24"/>
          <w:lang w:val="ro-MD"/>
        </w:rPr>
        <w:t>H O T Ă R Â R E A nr.</w:t>
      </w:r>
      <w:bookmarkEnd w:id="0"/>
      <w:r w:rsidR="00F85093">
        <w:rPr>
          <w:rFonts w:asciiTheme="majorBidi" w:eastAsia="Times New Roman" w:hAnsiTheme="majorBidi" w:cstheme="majorBidi"/>
          <w:b/>
          <w:bCs/>
          <w:sz w:val="24"/>
          <w:szCs w:val="24"/>
          <w:lang w:val="ro-MD"/>
        </w:rPr>
        <w:t>15</w:t>
      </w:r>
      <w:r w:rsidR="00A57420" w:rsidRPr="00CC2548">
        <w:rPr>
          <w:rFonts w:asciiTheme="majorBidi" w:eastAsia="Times New Roman" w:hAnsiTheme="majorBidi" w:cstheme="majorBidi"/>
          <w:b/>
          <w:bCs/>
          <w:sz w:val="24"/>
          <w:szCs w:val="24"/>
          <w:lang w:val="ro-MD"/>
        </w:rPr>
        <w:t xml:space="preserve"> </w:t>
      </w:r>
    </w:p>
    <w:p w14:paraId="7C68C1CE" w14:textId="6F02AB74" w:rsidR="00C61F48" w:rsidRPr="00CC2548" w:rsidRDefault="00C61F48" w:rsidP="005D7342">
      <w:pPr>
        <w:spacing w:after="0" w:line="276" w:lineRule="auto"/>
        <w:jc w:val="center"/>
        <w:rPr>
          <w:rFonts w:asciiTheme="majorBidi" w:eastAsia="Times New Roman" w:hAnsiTheme="majorBidi" w:cstheme="majorBidi"/>
          <w:bCs/>
          <w:sz w:val="24"/>
          <w:szCs w:val="24"/>
          <w:lang w:val="ro-MD"/>
        </w:rPr>
      </w:pPr>
      <w:r w:rsidRPr="00CC2548">
        <w:rPr>
          <w:rFonts w:asciiTheme="majorBidi" w:eastAsia="Times New Roman" w:hAnsiTheme="majorBidi" w:cstheme="majorBidi"/>
          <w:bCs/>
          <w:sz w:val="24"/>
          <w:szCs w:val="24"/>
          <w:lang w:val="ro-MD"/>
        </w:rPr>
        <w:t xml:space="preserve">din </w:t>
      </w:r>
      <w:r w:rsidR="00A0649A" w:rsidRPr="00CC2548">
        <w:rPr>
          <w:rFonts w:asciiTheme="majorBidi" w:eastAsia="Times New Roman" w:hAnsiTheme="majorBidi" w:cstheme="majorBidi"/>
          <w:bCs/>
          <w:sz w:val="24"/>
          <w:szCs w:val="24"/>
          <w:lang w:val="ro-MD"/>
        </w:rPr>
        <w:t>2</w:t>
      </w:r>
      <w:r w:rsidR="005D7342" w:rsidRPr="00CC2548">
        <w:rPr>
          <w:rFonts w:asciiTheme="majorBidi" w:eastAsia="Times New Roman" w:hAnsiTheme="majorBidi" w:cstheme="majorBidi"/>
          <w:bCs/>
          <w:sz w:val="24"/>
          <w:szCs w:val="24"/>
          <w:lang w:val="ro-MD"/>
        </w:rPr>
        <w:t>2</w:t>
      </w:r>
      <w:r w:rsidRPr="00CC2548">
        <w:rPr>
          <w:rFonts w:asciiTheme="majorBidi" w:eastAsia="Times New Roman" w:hAnsiTheme="majorBidi" w:cstheme="majorBidi"/>
          <w:bCs/>
          <w:sz w:val="24"/>
          <w:szCs w:val="24"/>
          <w:lang w:val="ro-MD"/>
        </w:rPr>
        <w:t xml:space="preserve"> </w:t>
      </w:r>
      <w:r w:rsidR="00A23DA5" w:rsidRPr="00CC2548">
        <w:rPr>
          <w:rFonts w:asciiTheme="majorBidi" w:eastAsia="Times New Roman" w:hAnsiTheme="majorBidi" w:cstheme="majorBidi"/>
          <w:bCs/>
          <w:sz w:val="24"/>
          <w:szCs w:val="24"/>
          <w:lang w:val="ro-MD"/>
        </w:rPr>
        <w:t>a</w:t>
      </w:r>
      <w:r w:rsidR="005D7342" w:rsidRPr="00CC2548">
        <w:rPr>
          <w:rFonts w:asciiTheme="majorBidi" w:eastAsia="Times New Roman" w:hAnsiTheme="majorBidi" w:cstheme="majorBidi"/>
          <w:bCs/>
          <w:sz w:val="24"/>
          <w:szCs w:val="24"/>
          <w:lang w:val="ro-MD"/>
        </w:rPr>
        <w:t>p</w:t>
      </w:r>
      <w:r w:rsidR="00A23DA5" w:rsidRPr="00CC2548">
        <w:rPr>
          <w:rFonts w:asciiTheme="majorBidi" w:eastAsia="Times New Roman" w:hAnsiTheme="majorBidi" w:cstheme="majorBidi"/>
          <w:bCs/>
          <w:sz w:val="24"/>
          <w:szCs w:val="24"/>
          <w:lang w:val="ro-MD"/>
        </w:rPr>
        <w:t>ri</w:t>
      </w:r>
      <w:r w:rsidR="005D7342" w:rsidRPr="00CC2548">
        <w:rPr>
          <w:rFonts w:asciiTheme="majorBidi" w:eastAsia="Times New Roman" w:hAnsiTheme="majorBidi" w:cstheme="majorBidi"/>
          <w:bCs/>
          <w:sz w:val="24"/>
          <w:szCs w:val="24"/>
          <w:lang w:val="ro-MD"/>
        </w:rPr>
        <w:t>li</w:t>
      </w:r>
      <w:r w:rsidR="00A23DA5" w:rsidRPr="00CC2548">
        <w:rPr>
          <w:rFonts w:asciiTheme="majorBidi" w:eastAsia="Times New Roman" w:hAnsiTheme="majorBidi" w:cstheme="majorBidi"/>
          <w:bCs/>
          <w:sz w:val="24"/>
          <w:szCs w:val="24"/>
          <w:lang w:val="ro-MD"/>
        </w:rPr>
        <w:t>e</w:t>
      </w:r>
      <w:r w:rsidRPr="00CC2548">
        <w:rPr>
          <w:rFonts w:asciiTheme="majorBidi" w:eastAsia="Times New Roman" w:hAnsiTheme="majorBidi" w:cstheme="majorBidi"/>
          <w:bCs/>
          <w:sz w:val="24"/>
          <w:szCs w:val="24"/>
          <w:lang w:val="ro-MD"/>
        </w:rPr>
        <w:t xml:space="preserve"> 202</w:t>
      </w:r>
      <w:r w:rsidR="00A57420" w:rsidRPr="00CC2548">
        <w:rPr>
          <w:rFonts w:asciiTheme="majorBidi" w:eastAsia="Times New Roman" w:hAnsiTheme="majorBidi" w:cstheme="majorBidi"/>
          <w:bCs/>
          <w:sz w:val="24"/>
          <w:szCs w:val="24"/>
          <w:lang w:val="ro-MD"/>
        </w:rPr>
        <w:t>4</w:t>
      </w:r>
    </w:p>
    <w:p w14:paraId="59E0063A" w14:textId="77777777" w:rsidR="00C61F48" w:rsidRPr="00CC2548" w:rsidRDefault="00C61F48" w:rsidP="00C61F48">
      <w:pPr>
        <w:spacing w:after="0" w:line="276" w:lineRule="auto"/>
        <w:jc w:val="center"/>
        <w:rPr>
          <w:rFonts w:asciiTheme="majorBidi" w:eastAsia="Times New Roman" w:hAnsiTheme="majorBidi" w:cstheme="majorBidi"/>
          <w:bCs/>
          <w:sz w:val="24"/>
          <w:szCs w:val="24"/>
          <w:lang w:val="ro-MD"/>
        </w:rPr>
      </w:pPr>
    </w:p>
    <w:p w14:paraId="025BCBCC" w14:textId="3EDB7003" w:rsidR="00C61F48" w:rsidRPr="00CC2548" w:rsidRDefault="00C61F48" w:rsidP="006B4EE4">
      <w:pPr>
        <w:spacing w:after="0" w:line="276" w:lineRule="auto"/>
        <w:jc w:val="center"/>
        <w:rPr>
          <w:rFonts w:asciiTheme="majorBidi" w:hAnsiTheme="majorBidi" w:cstheme="majorBidi"/>
          <w:b/>
          <w:sz w:val="24"/>
          <w:szCs w:val="24"/>
          <w:lang w:val="ro-MD"/>
        </w:rPr>
      </w:pPr>
      <w:r w:rsidRPr="00CC2548">
        <w:rPr>
          <w:rFonts w:asciiTheme="majorBidi" w:hAnsiTheme="majorBidi" w:cstheme="majorBidi"/>
          <w:b/>
          <w:sz w:val="24"/>
          <w:szCs w:val="24"/>
          <w:lang w:val="ro-MD"/>
        </w:rPr>
        <w:t xml:space="preserve">cu privire la </w:t>
      </w:r>
      <w:r w:rsidR="00525FAF" w:rsidRPr="00CC2548">
        <w:rPr>
          <w:rFonts w:asciiTheme="majorBidi" w:hAnsiTheme="majorBidi" w:cstheme="majorBidi"/>
          <w:b/>
          <w:sz w:val="24"/>
          <w:szCs w:val="24"/>
          <w:lang w:val="ro-MD"/>
        </w:rPr>
        <w:t xml:space="preserve">Raportul </w:t>
      </w:r>
      <w:r w:rsidR="006B4EE4" w:rsidRPr="00CC2548">
        <w:rPr>
          <w:rFonts w:asciiTheme="majorBidi" w:hAnsiTheme="majorBidi" w:cstheme="majorBidi"/>
          <w:b/>
          <w:sz w:val="24"/>
          <w:szCs w:val="24"/>
          <w:lang w:val="ro-MD"/>
        </w:rPr>
        <w:t xml:space="preserve">de </w:t>
      </w:r>
      <w:r w:rsidR="00416098" w:rsidRPr="00CC2548">
        <w:rPr>
          <w:rFonts w:asciiTheme="majorBidi" w:hAnsiTheme="majorBidi" w:cstheme="majorBidi"/>
          <w:b/>
          <w:sz w:val="24"/>
          <w:szCs w:val="24"/>
          <w:lang w:val="ro-MD"/>
        </w:rPr>
        <w:t>audit</w:t>
      </w:r>
      <w:r w:rsidR="006B4EE4" w:rsidRPr="00CC2548">
        <w:rPr>
          <w:rFonts w:asciiTheme="majorBidi" w:hAnsiTheme="majorBidi" w:cstheme="majorBidi"/>
          <w:b/>
          <w:sz w:val="24"/>
          <w:szCs w:val="24"/>
          <w:lang w:val="ro-MD"/>
        </w:rPr>
        <w:t xml:space="preserve"> al</w:t>
      </w:r>
      <w:r w:rsidR="00525FAF" w:rsidRPr="00CC2548">
        <w:rPr>
          <w:rFonts w:asciiTheme="majorBidi" w:hAnsiTheme="majorBidi" w:cstheme="majorBidi"/>
          <w:b/>
          <w:sz w:val="24"/>
          <w:szCs w:val="24"/>
          <w:lang w:val="ro-MD"/>
        </w:rPr>
        <w:t xml:space="preserve"> conformității asupra gestionării patrimoniului public și a resurselor financiare de către </w:t>
      </w:r>
      <w:r w:rsidR="00416098" w:rsidRPr="00CC2548">
        <w:rPr>
          <w:rFonts w:asciiTheme="majorBidi" w:hAnsiTheme="majorBidi" w:cstheme="majorBidi"/>
          <w:b/>
          <w:sz w:val="24"/>
          <w:szCs w:val="24"/>
          <w:lang w:val="ro-MD"/>
        </w:rPr>
        <w:t>S.A. „</w:t>
      </w:r>
      <w:r w:rsidR="00105C6D" w:rsidRPr="00CC2548">
        <w:rPr>
          <w:rFonts w:asciiTheme="majorBidi" w:hAnsiTheme="majorBidi" w:cstheme="majorBidi"/>
          <w:b/>
          <w:sz w:val="24"/>
          <w:szCs w:val="24"/>
          <w:lang w:val="ro-MD"/>
        </w:rPr>
        <w:t>Furnizarea Energiei Electrice</w:t>
      </w:r>
      <w:r w:rsidR="00416098" w:rsidRPr="00CC2548">
        <w:rPr>
          <w:rFonts w:asciiTheme="majorBidi" w:hAnsiTheme="majorBidi" w:cstheme="majorBidi"/>
          <w:b/>
          <w:sz w:val="24"/>
          <w:szCs w:val="24"/>
          <w:lang w:val="ro-MD"/>
        </w:rPr>
        <w:t xml:space="preserve"> Nord” în anii 2021-2022</w:t>
      </w:r>
    </w:p>
    <w:p w14:paraId="16A5F3BB" w14:textId="77777777" w:rsidR="00C61F48" w:rsidRPr="00CC2548" w:rsidRDefault="00C61F48" w:rsidP="00C61F48">
      <w:pPr>
        <w:spacing w:after="0" w:line="276" w:lineRule="auto"/>
        <w:jc w:val="center"/>
        <w:rPr>
          <w:rFonts w:asciiTheme="majorBidi" w:eastAsia="Times New Roman" w:hAnsiTheme="majorBidi" w:cstheme="majorBidi"/>
          <w:sz w:val="24"/>
          <w:szCs w:val="24"/>
          <w:lang w:val="ro-MD"/>
        </w:rPr>
      </w:pPr>
    </w:p>
    <w:p w14:paraId="7783FD43" w14:textId="76B4D02E" w:rsidR="00C61F48" w:rsidRPr="00CC2548" w:rsidRDefault="00C61F48" w:rsidP="00302215">
      <w:pPr>
        <w:spacing w:after="0" w:line="276" w:lineRule="auto"/>
        <w:ind w:firstLine="708"/>
        <w:jc w:val="both"/>
        <w:rPr>
          <w:rFonts w:asciiTheme="majorBidi" w:hAnsiTheme="majorBidi" w:cstheme="majorBidi"/>
          <w:b/>
          <w:bCs/>
          <w:sz w:val="24"/>
          <w:szCs w:val="24"/>
          <w:lang w:val="ro-MD"/>
        </w:rPr>
      </w:pPr>
      <w:r w:rsidRPr="00CC2548">
        <w:rPr>
          <w:rFonts w:asciiTheme="majorBidi" w:hAnsiTheme="majorBidi" w:cstheme="majorBidi"/>
          <w:sz w:val="24"/>
          <w:szCs w:val="24"/>
          <w:shd w:val="clear" w:color="auto" w:fill="FFFFFF" w:themeFill="background1"/>
          <w:lang w:val="ro-MD"/>
        </w:rPr>
        <w:t xml:space="preserve">Curtea de Conturi, </w:t>
      </w:r>
      <w:r w:rsidR="00C37F99" w:rsidRPr="00CC2548">
        <w:rPr>
          <w:rFonts w:asciiTheme="majorBidi" w:hAnsiTheme="majorBidi" w:cstheme="majorBidi"/>
          <w:sz w:val="24"/>
          <w:szCs w:val="24"/>
          <w:shd w:val="clear" w:color="auto" w:fill="FFFFFF" w:themeFill="background1"/>
          <w:lang w:val="ro-MD"/>
        </w:rPr>
        <w:t>cu participarea</w:t>
      </w:r>
      <w:r w:rsidR="005C0FD4" w:rsidRPr="00CC2548">
        <w:rPr>
          <w:rFonts w:asciiTheme="majorBidi" w:hAnsiTheme="majorBidi" w:cstheme="majorBidi"/>
          <w:sz w:val="24"/>
          <w:szCs w:val="24"/>
          <w:shd w:val="clear" w:color="auto" w:fill="FFFFFF" w:themeFill="background1"/>
          <w:lang w:val="ro-MD"/>
        </w:rPr>
        <w:t xml:space="preserve"> </w:t>
      </w:r>
      <w:r w:rsidR="004F10AD" w:rsidRPr="00CC2548">
        <w:rPr>
          <w:rFonts w:asciiTheme="majorBidi" w:hAnsiTheme="majorBidi" w:cstheme="majorBidi"/>
          <w:sz w:val="24"/>
          <w:szCs w:val="24"/>
          <w:shd w:val="clear" w:color="auto" w:fill="FFFFFF" w:themeFill="background1"/>
          <w:lang w:val="ro-MD"/>
        </w:rPr>
        <w:t>dl</w:t>
      </w:r>
      <w:r w:rsidR="00B576A6" w:rsidRPr="00CC2548">
        <w:rPr>
          <w:rFonts w:asciiTheme="majorBidi" w:hAnsiTheme="majorBidi" w:cstheme="majorBidi"/>
          <w:sz w:val="24"/>
          <w:szCs w:val="24"/>
          <w:shd w:val="clear" w:color="auto" w:fill="FFFFFF" w:themeFill="background1"/>
          <w:lang w:val="ro-MD"/>
        </w:rPr>
        <w:t>ui</w:t>
      </w:r>
      <w:r w:rsidR="004F10AD" w:rsidRPr="00CC2548">
        <w:rPr>
          <w:rFonts w:asciiTheme="majorBidi" w:hAnsiTheme="majorBidi" w:cstheme="majorBidi"/>
          <w:sz w:val="24"/>
          <w:szCs w:val="24"/>
          <w:shd w:val="clear" w:color="auto" w:fill="FFFFFF" w:themeFill="background1"/>
          <w:lang w:val="ro-MD"/>
        </w:rPr>
        <w:t xml:space="preserve"> Roman </w:t>
      </w:r>
      <w:proofErr w:type="spellStart"/>
      <w:r w:rsidR="004F10AD" w:rsidRPr="00CC2548">
        <w:rPr>
          <w:rFonts w:asciiTheme="majorBidi" w:hAnsiTheme="majorBidi" w:cstheme="majorBidi"/>
          <w:sz w:val="24"/>
          <w:szCs w:val="24"/>
          <w:shd w:val="clear" w:color="auto" w:fill="FFFFFF" w:themeFill="background1"/>
          <w:lang w:val="ro-MD"/>
        </w:rPr>
        <w:t>Cojuhari</w:t>
      </w:r>
      <w:proofErr w:type="spellEnd"/>
      <w:r w:rsidR="004F10AD" w:rsidRPr="00CC2548">
        <w:rPr>
          <w:rFonts w:asciiTheme="majorBidi" w:hAnsiTheme="majorBidi" w:cstheme="majorBidi"/>
          <w:sz w:val="24"/>
          <w:szCs w:val="24"/>
          <w:shd w:val="clear" w:color="auto" w:fill="FFFFFF" w:themeFill="background1"/>
          <w:lang w:val="ro-MD"/>
        </w:rPr>
        <w:t xml:space="preserve">, director general al Agenției Proprietății Publice; </w:t>
      </w:r>
      <w:r w:rsidR="0007582F" w:rsidRPr="00CC2548">
        <w:rPr>
          <w:rFonts w:asciiTheme="majorBidi" w:hAnsiTheme="majorBidi" w:cstheme="majorBidi"/>
          <w:sz w:val="24"/>
          <w:szCs w:val="24"/>
          <w:shd w:val="clear" w:color="auto" w:fill="FFFFFF" w:themeFill="background1"/>
          <w:lang w:val="ro-MD"/>
        </w:rPr>
        <w:t>d</w:t>
      </w:r>
      <w:r w:rsidR="00FF1D09" w:rsidRPr="00CC2548">
        <w:rPr>
          <w:rFonts w:asciiTheme="majorBidi" w:hAnsiTheme="majorBidi" w:cstheme="majorBidi"/>
          <w:sz w:val="24"/>
          <w:szCs w:val="24"/>
          <w:shd w:val="clear" w:color="auto" w:fill="FFFFFF" w:themeFill="background1"/>
          <w:lang w:val="ro-MD"/>
        </w:rPr>
        <w:t>nei</w:t>
      </w:r>
      <w:r w:rsidR="0007582F" w:rsidRPr="00CC2548">
        <w:rPr>
          <w:rFonts w:asciiTheme="majorBidi" w:hAnsiTheme="majorBidi" w:cstheme="majorBidi"/>
          <w:sz w:val="24"/>
          <w:szCs w:val="24"/>
          <w:shd w:val="clear" w:color="auto" w:fill="FFFFFF" w:themeFill="background1"/>
          <w:lang w:val="ro-MD"/>
        </w:rPr>
        <w:t xml:space="preserve"> </w:t>
      </w:r>
      <w:r w:rsidR="00FF1D09" w:rsidRPr="00CC2548">
        <w:rPr>
          <w:rFonts w:asciiTheme="majorBidi" w:hAnsiTheme="majorBidi" w:cstheme="majorBidi"/>
          <w:sz w:val="24"/>
          <w:szCs w:val="24"/>
          <w:shd w:val="clear" w:color="auto" w:fill="FFFFFF" w:themeFill="background1"/>
          <w:lang w:val="ro-MD"/>
        </w:rPr>
        <w:t xml:space="preserve">Tatiana </w:t>
      </w:r>
      <w:proofErr w:type="spellStart"/>
      <w:r w:rsidR="00FF1D09" w:rsidRPr="00CC2548">
        <w:rPr>
          <w:rFonts w:asciiTheme="majorBidi" w:hAnsiTheme="majorBidi" w:cstheme="majorBidi"/>
          <w:sz w:val="24"/>
          <w:szCs w:val="24"/>
          <w:shd w:val="clear" w:color="auto" w:fill="FFFFFF" w:themeFill="background1"/>
          <w:lang w:val="ro-MD"/>
        </w:rPr>
        <w:t>Fondos</w:t>
      </w:r>
      <w:proofErr w:type="spellEnd"/>
      <w:r w:rsidR="00FF1D09" w:rsidRPr="00CC2548">
        <w:rPr>
          <w:rFonts w:asciiTheme="majorBidi" w:hAnsiTheme="majorBidi" w:cstheme="majorBidi"/>
          <w:sz w:val="24"/>
          <w:szCs w:val="24"/>
          <w:shd w:val="clear" w:color="auto" w:fill="FFFFFF" w:themeFill="background1"/>
          <w:lang w:val="ro-MD"/>
        </w:rPr>
        <w:t xml:space="preserve">, șefa Direcției monitorizare și control, Cancelaria de Stat; </w:t>
      </w:r>
      <w:r w:rsidR="00B85D2C" w:rsidRPr="00CC2548">
        <w:rPr>
          <w:rFonts w:asciiTheme="majorBidi" w:hAnsiTheme="majorBidi" w:cstheme="majorBidi"/>
          <w:sz w:val="24"/>
          <w:szCs w:val="24"/>
          <w:shd w:val="clear" w:color="auto" w:fill="FFFFFF" w:themeFill="background1"/>
          <w:lang w:val="ro-MD"/>
        </w:rPr>
        <w:t>dnei Alina Boțoc, șef</w:t>
      </w:r>
      <w:r w:rsidR="00B576A6" w:rsidRPr="00CC2548">
        <w:rPr>
          <w:rFonts w:asciiTheme="majorBidi" w:hAnsiTheme="majorBidi" w:cstheme="majorBidi"/>
          <w:sz w:val="24"/>
          <w:szCs w:val="24"/>
          <w:shd w:val="clear" w:color="auto" w:fill="FFFFFF" w:themeFill="background1"/>
          <w:lang w:val="ro-MD"/>
        </w:rPr>
        <w:t>a</w:t>
      </w:r>
      <w:r w:rsidR="00B85D2C" w:rsidRPr="00CC2548">
        <w:rPr>
          <w:rFonts w:asciiTheme="majorBidi" w:hAnsiTheme="majorBidi" w:cstheme="majorBidi"/>
          <w:sz w:val="24"/>
          <w:szCs w:val="24"/>
          <w:shd w:val="clear" w:color="auto" w:fill="FFFFFF" w:themeFill="background1"/>
          <w:lang w:val="ro-MD"/>
        </w:rPr>
        <w:t xml:space="preserve"> Direcției privatizare și postprivatizare a Agenției Proprietății Publice, Reprezentanta statului în</w:t>
      </w:r>
      <w:r w:rsidR="007D1FBC" w:rsidRPr="00CC2548">
        <w:rPr>
          <w:rFonts w:asciiTheme="majorBidi" w:hAnsiTheme="majorBidi" w:cstheme="majorBidi"/>
          <w:sz w:val="24"/>
          <w:szCs w:val="24"/>
          <w:shd w:val="clear" w:color="auto" w:fill="FFFFFF" w:themeFill="background1"/>
          <w:lang w:val="ro-MD"/>
        </w:rPr>
        <w:t xml:space="preserve"> </w:t>
      </w:r>
      <w:r w:rsidR="00B85D2C" w:rsidRPr="00CC2548">
        <w:rPr>
          <w:rFonts w:asciiTheme="majorBidi" w:hAnsiTheme="majorBidi" w:cstheme="majorBidi"/>
          <w:sz w:val="24"/>
          <w:szCs w:val="24"/>
          <w:shd w:val="clear" w:color="auto" w:fill="FFFFFF" w:themeFill="background1"/>
          <w:lang w:val="ro-MD"/>
        </w:rPr>
        <w:t>S</w:t>
      </w:r>
      <w:r w:rsidR="00B576A6" w:rsidRPr="00CC2548">
        <w:rPr>
          <w:rFonts w:asciiTheme="majorBidi" w:hAnsiTheme="majorBidi" w:cstheme="majorBidi"/>
          <w:sz w:val="24"/>
          <w:szCs w:val="24"/>
          <w:shd w:val="clear" w:color="auto" w:fill="FFFFFF" w:themeFill="background1"/>
          <w:lang w:val="ro-MD"/>
        </w:rPr>
        <w:t>.</w:t>
      </w:r>
      <w:r w:rsidR="00B85D2C" w:rsidRPr="00CC2548">
        <w:rPr>
          <w:rFonts w:asciiTheme="majorBidi" w:hAnsiTheme="majorBidi" w:cstheme="majorBidi"/>
          <w:sz w:val="24"/>
          <w:szCs w:val="24"/>
          <w:shd w:val="clear" w:color="auto" w:fill="FFFFFF" w:themeFill="background1"/>
          <w:lang w:val="ro-MD"/>
        </w:rPr>
        <w:t>A</w:t>
      </w:r>
      <w:r w:rsidR="00B576A6" w:rsidRPr="00CC2548">
        <w:rPr>
          <w:rFonts w:asciiTheme="majorBidi" w:hAnsiTheme="majorBidi" w:cstheme="majorBidi"/>
          <w:sz w:val="24"/>
          <w:szCs w:val="24"/>
          <w:shd w:val="clear" w:color="auto" w:fill="FFFFFF" w:themeFill="background1"/>
          <w:lang w:val="ro-MD"/>
        </w:rPr>
        <w:t>.</w:t>
      </w:r>
      <w:r w:rsidR="00B85D2C" w:rsidRPr="00CC2548">
        <w:rPr>
          <w:rFonts w:asciiTheme="majorBidi" w:hAnsiTheme="majorBidi" w:cstheme="majorBidi"/>
          <w:sz w:val="24"/>
          <w:szCs w:val="24"/>
          <w:shd w:val="clear" w:color="auto" w:fill="FFFFFF" w:themeFill="background1"/>
          <w:lang w:val="ro-MD"/>
        </w:rPr>
        <w:t xml:space="preserve"> „Furnizare</w:t>
      </w:r>
      <w:r w:rsidR="007D1FBC" w:rsidRPr="00CC2548">
        <w:rPr>
          <w:rFonts w:asciiTheme="majorBidi" w:hAnsiTheme="majorBidi" w:cstheme="majorBidi"/>
          <w:sz w:val="24"/>
          <w:szCs w:val="24"/>
          <w:shd w:val="clear" w:color="auto" w:fill="FFFFFF" w:themeFill="background1"/>
          <w:lang w:val="ro-MD"/>
        </w:rPr>
        <w:t>a</w:t>
      </w:r>
      <w:r w:rsidR="00B85D2C" w:rsidRPr="00CC2548">
        <w:rPr>
          <w:rFonts w:asciiTheme="majorBidi" w:hAnsiTheme="majorBidi" w:cstheme="majorBidi"/>
          <w:sz w:val="24"/>
          <w:szCs w:val="24"/>
          <w:shd w:val="clear" w:color="auto" w:fill="FFFFFF" w:themeFill="background1"/>
          <w:lang w:val="ro-MD"/>
        </w:rPr>
        <w:t xml:space="preserve"> </w:t>
      </w:r>
      <w:r w:rsidR="007D1FBC" w:rsidRPr="00CC2548">
        <w:rPr>
          <w:rFonts w:asciiTheme="majorBidi" w:hAnsiTheme="majorBidi" w:cstheme="majorBidi"/>
          <w:sz w:val="24"/>
          <w:szCs w:val="24"/>
          <w:shd w:val="clear" w:color="auto" w:fill="FFFFFF" w:themeFill="background1"/>
          <w:lang w:val="ro-MD"/>
        </w:rPr>
        <w:t>E</w:t>
      </w:r>
      <w:r w:rsidR="00B85D2C" w:rsidRPr="00CC2548">
        <w:rPr>
          <w:rFonts w:asciiTheme="majorBidi" w:hAnsiTheme="majorBidi" w:cstheme="majorBidi"/>
          <w:sz w:val="24"/>
          <w:szCs w:val="24"/>
          <w:shd w:val="clear" w:color="auto" w:fill="FFFFFF" w:themeFill="background1"/>
          <w:lang w:val="ro-MD"/>
        </w:rPr>
        <w:t>nergie</w:t>
      </w:r>
      <w:r w:rsidR="007D1FBC" w:rsidRPr="00CC2548">
        <w:rPr>
          <w:rFonts w:asciiTheme="majorBidi" w:hAnsiTheme="majorBidi" w:cstheme="majorBidi"/>
          <w:sz w:val="24"/>
          <w:szCs w:val="24"/>
          <w:shd w:val="clear" w:color="auto" w:fill="FFFFFF" w:themeFill="background1"/>
          <w:lang w:val="ro-MD"/>
        </w:rPr>
        <w:t>i</w:t>
      </w:r>
      <w:r w:rsidR="00B85D2C" w:rsidRPr="00CC2548">
        <w:rPr>
          <w:rFonts w:asciiTheme="majorBidi" w:hAnsiTheme="majorBidi" w:cstheme="majorBidi"/>
          <w:sz w:val="24"/>
          <w:szCs w:val="24"/>
          <w:shd w:val="clear" w:color="auto" w:fill="FFFFFF" w:themeFill="background1"/>
          <w:lang w:val="ro-MD"/>
        </w:rPr>
        <w:t xml:space="preserve"> </w:t>
      </w:r>
      <w:r w:rsidR="007D1FBC" w:rsidRPr="00CC2548">
        <w:rPr>
          <w:rFonts w:asciiTheme="majorBidi" w:hAnsiTheme="majorBidi" w:cstheme="majorBidi"/>
          <w:sz w:val="24"/>
          <w:szCs w:val="24"/>
          <w:shd w:val="clear" w:color="auto" w:fill="FFFFFF" w:themeFill="background1"/>
          <w:lang w:val="ro-MD"/>
        </w:rPr>
        <w:t>E</w:t>
      </w:r>
      <w:r w:rsidR="00B85D2C" w:rsidRPr="00CC2548">
        <w:rPr>
          <w:rFonts w:asciiTheme="majorBidi" w:hAnsiTheme="majorBidi" w:cstheme="majorBidi"/>
          <w:sz w:val="24"/>
          <w:szCs w:val="24"/>
          <w:shd w:val="clear" w:color="auto" w:fill="FFFFFF" w:themeFill="background1"/>
          <w:lang w:val="ro-MD"/>
        </w:rPr>
        <w:t>lectric</w:t>
      </w:r>
      <w:r w:rsidR="007D1FBC" w:rsidRPr="00CC2548">
        <w:rPr>
          <w:rFonts w:asciiTheme="majorBidi" w:hAnsiTheme="majorBidi" w:cstheme="majorBidi"/>
          <w:sz w:val="24"/>
          <w:szCs w:val="24"/>
          <w:shd w:val="clear" w:color="auto" w:fill="FFFFFF" w:themeFill="background1"/>
          <w:lang w:val="ro-MD"/>
        </w:rPr>
        <w:t>e</w:t>
      </w:r>
      <w:r w:rsidR="00B85D2C" w:rsidRPr="00CC2548">
        <w:rPr>
          <w:rFonts w:asciiTheme="majorBidi" w:hAnsiTheme="majorBidi" w:cstheme="majorBidi"/>
          <w:sz w:val="24"/>
          <w:szCs w:val="24"/>
          <w:shd w:val="clear" w:color="auto" w:fill="FFFFFF" w:themeFill="background1"/>
          <w:lang w:val="ro-MD"/>
        </w:rPr>
        <w:t xml:space="preserve"> Nord”; </w:t>
      </w:r>
      <w:r w:rsidR="009A4812" w:rsidRPr="00CC2548">
        <w:rPr>
          <w:rFonts w:asciiTheme="majorBidi" w:hAnsiTheme="majorBidi" w:cstheme="majorBidi"/>
          <w:sz w:val="24"/>
          <w:szCs w:val="24"/>
          <w:shd w:val="clear" w:color="auto" w:fill="FFFFFF" w:themeFill="background1"/>
          <w:lang w:val="ro-MD"/>
        </w:rPr>
        <w:t xml:space="preserve">dlui Sergiu </w:t>
      </w:r>
      <w:proofErr w:type="spellStart"/>
      <w:r w:rsidR="009A4812" w:rsidRPr="00CC2548">
        <w:rPr>
          <w:rFonts w:asciiTheme="majorBidi" w:hAnsiTheme="majorBidi" w:cstheme="majorBidi"/>
          <w:sz w:val="24"/>
          <w:szCs w:val="24"/>
          <w:shd w:val="clear" w:color="auto" w:fill="FFFFFF" w:themeFill="background1"/>
          <w:lang w:val="ro-MD"/>
        </w:rPr>
        <w:t>Căinăreanu</w:t>
      </w:r>
      <w:proofErr w:type="spellEnd"/>
      <w:r w:rsidR="009A4812" w:rsidRPr="00CC2548">
        <w:rPr>
          <w:rFonts w:asciiTheme="majorBidi" w:hAnsiTheme="majorBidi" w:cstheme="majorBidi"/>
          <w:sz w:val="24"/>
          <w:szCs w:val="24"/>
          <w:shd w:val="clear" w:color="auto" w:fill="FFFFFF" w:themeFill="background1"/>
          <w:lang w:val="ro-MD"/>
        </w:rPr>
        <w:t xml:space="preserve">, șef al Direcției achiziții publice, Ministerul Finanțelor; dnei Stela Paduca, șefa Direcției monitorizarea activelor statului, Ministerul Finanțelor; </w:t>
      </w:r>
      <w:r w:rsidR="00E82564" w:rsidRPr="00CC2548">
        <w:rPr>
          <w:rFonts w:asciiTheme="majorBidi" w:hAnsiTheme="majorBidi" w:cstheme="majorBidi"/>
          <w:sz w:val="24"/>
          <w:szCs w:val="24"/>
          <w:shd w:val="clear" w:color="auto" w:fill="FFFFFF" w:themeFill="background1"/>
          <w:lang w:val="ro-MD"/>
        </w:rPr>
        <w:t xml:space="preserve">dnei Dorina </w:t>
      </w:r>
      <w:proofErr w:type="spellStart"/>
      <w:r w:rsidR="00E82564" w:rsidRPr="00CC2548">
        <w:rPr>
          <w:rFonts w:asciiTheme="majorBidi" w:hAnsiTheme="majorBidi" w:cstheme="majorBidi"/>
          <w:sz w:val="24"/>
          <w:szCs w:val="24"/>
          <w:shd w:val="clear" w:color="auto" w:fill="FFFFFF" w:themeFill="background1"/>
          <w:lang w:val="ro-MD"/>
        </w:rPr>
        <w:t>Postu</w:t>
      </w:r>
      <w:proofErr w:type="spellEnd"/>
      <w:r w:rsidR="00E82564" w:rsidRPr="00CC2548">
        <w:rPr>
          <w:rFonts w:asciiTheme="majorBidi" w:hAnsiTheme="majorBidi" w:cstheme="majorBidi"/>
          <w:sz w:val="24"/>
          <w:szCs w:val="24"/>
          <w:shd w:val="clear" w:color="auto" w:fill="FFFFFF" w:themeFill="background1"/>
          <w:lang w:val="ro-MD"/>
        </w:rPr>
        <w:t>, consultantă principală în Direcți</w:t>
      </w:r>
      <w:r w:rsidR="007D1FBC" w:rsidRPr="00CC2548">
        <w:rPr>
          <w:rFonts w:asciiTheme="majorBidi" w:hAnsiTheme="majorBidi" w:cstheme="majorBidi"/>
          <w:sz w:val="24"/>
          <w:szCs w:val="24"/>
          <w:shd w:val="clear" w:color="auto" w:fill="FFFFFF" w:themeFill="background1"/>
          <w:lang w:val="ro-MD"/>
        </w:rPr>
        <w:t xml:space="preserve">a </w:t>
      </w:r>
      <w:r w:rsidR="00E82564" w:rsidRPr="00CC2548">
        <w:rPr>
          <w:rFonts w:asciiTheme="majorBidi" w:hAnsiTheme="majorBidi" w:cstheme="majorBidi"/>
          <w:sz w:val="24"/>
          <w:szCs w:val="24"/>
          <w:shd w:val="clear" w:color="auto" w:fill="FFFFFF" w:themeFill="background1"/>
          <w:lang w:val="ro-MD"/>
        </w:rPr>
        <w:t xml:space="preserve"> politici contabile și audit în sectorul corporativ, Ministerul Finanțelor; </w:t>
      </w:r>
      <w:r w:rsidR="00FF1D09" w:rsidRPr="00CC2548">
        <w:rPr>
          <w:rFonts w:asciiTheme="majorBidi" w:hAnsiTheme="majorBidi" w:cstheme="majorBidi"/>
          <w:sz w:val="24"/>
          <w:szCs w:val="24"/>
          <w:shd w:val="clear" w:color="auto" w:fill="FFFFFF" w:themeFill="background1"/>
          <w:lang w:val="ro-MD"/>
        </w:rPr>
        <w:t xml:space="preserve">dlui </w:t>
      </w:r>
      <w:r w:rsidR="009D1322">
        <w:rPr>
          <w:rFonts w:asciiTheme="majorBidi" w:hAnsiTheme="majorBidi" w:cstheme="majorBidi"/>
          <w:sz w:val="24"/>
          <w:szCs w:val="24"/>
          <w:shd w:val="clear" w:color="auto" w:fill="FFFFFF" w:themeFill="background1"/>
          <w:lang w:val="ro-MD"/>
        </w:rPr>
        <w:t xml:space="preserve">Oleg </w:t>
      </w:r>
      <w:proofErr w:type="spellStart"/>
      <w:r w:rsidR="009D1322">
        <w:rPr>
          <w:rFonts w:asciiTheme="majorBidi" w:hAnsiTheme="majorBidi" w:cstheme="majorBidi"/>
          <w:sz w:val="24"/>
          <w:szCs w:val="24"/>
          <w:shd w:val="clear" w:color="auto" w:fill="FFFFFF" w:themeFill="background1"/>
          <w:lang w:val="ro-MD"/>
        </w:rPr>
        <w:t>Petel</w:t>
      </w:r>
      <w:proofErr w:type="spellEnd"/>
      <w:r w:rsidR="009D1322">
        <w:rPr>
          <w:rFonts w:asciiTheme="majorBidi" w:hAnsiTheme="majorBidi" w:cstheme="majorBidi"/>
          <w:sz w:val="24"/>
          <w:szCs w:val="24"/>
          <w:shd w:val="clear" w:color="auto" w:fill="FFFFFF" w:themeFill="background1"/>
          <w:lang w:val="ru-RU"/>
        </w:rPr>
        <w:t>с</w:t>
      </w:r>
      <w:r w:rsidR="00933410" w:rsidRPr="00CC2548">
        <w:rPr>
          <w:rFonts w:asciiTheme="majorBidi" w:hAnsiTheme="majorBidi" w:cstheme="majorBidi"/>
          <w:sz w:val="24"/>
          <w:szCs w:val="24"/>
          <w:shd w:val="clear" w:color="auto" w:fill="FFFFFF" w:themeFill="background1"/>
          <w:lang w:val="ro-MD"/>
        </w:rPr>
        <w:t>a</w:t>
      </w:r>
      <w:r w:rsidR="00FF1D09" w:rsidRPr="00CC2548">
        <w:rPr>
          <w:rFonts w:asciiTheme="majorBidi" w:hAnsiTheme="majorBidi" w:cstheme="majorBidi"/>
          <w:sz w:val="24"/>
          <w:szCs w:val="24"/>
          <w:shd w:val="clear" w:color="auto" w:fill="FFFFFF" w:themeFill="background1"/>
          <w:lang w:val="ro-MD"/>
        </w:rPr>
        <w:t>, director general interimar al S.A.</w:t>
      </w:r>
      <w:r w:rsidR="00201B71" w:rsidRPr="00CC2548">
        <w:rPr>
          <w:rFonts w:asciiTheme="majorBidi" w:hAnsiTheme="majorBidi" w:cstheme="majorBidi"/>
          <w:sz w:val="24"/>
          <w:szCs w:val="24"/>
          <w:shd w:val="clear" w:color="auto" w:fill="FFFFFF" w:themeFill="background1"/>
          <w:lang w:val="ro-MD"/>
        </w:rPr>
        <w:t xml:space="preserve"> </w:t>
      </w:r>
      <w:r w:rsidR="00FF1D09" w:rsidRPr="00CC2548">
        <w:rPr>
          <w:rFonts w:asciiTheme="majorBidi" w:hAnsiTheme="majorBidi" w:cstheme="majorBidi"/>
          <w:sz w:val="24"/>
          <w:szCs w:val="24"/>
          <w:shd w:val="clear" w:color="auto" w:fill="FFFFFF" w:themeFill="background1"/>
          <w:lang w:val="ro-MD"/>
        </w:rPr>
        <w:t>„</w:t>
      </w:r>
      <w:r w:rsidR="00933410" w:rsidRPr="00CC2548">
        <w:rPr>
          <w:rFonts w:asciiTheme="majorBidi" w:hAnsiTheme="majorBidi" w:cstheme="majorBidi"/>
          <w:sz w:val="24"/>
          <w:szCs w:val="24"/>
          <w:shd w:val="clear" w:color="auto" w:fill="FFFFFF" w:themeFill="background1"/>
          <w:lang w:val="ro-MD"/>
        </w:rPr>
        <w:t>Furnizarea Energiei Electrice</w:t>
      </w:r>
      <w:r w:rsidR="00201B71" w:rsidRPr="00CC2548">
        <w:rPr>
          <w:rFonts w:asciiTheme="majorBidi" w:hAnsiTheme="majorBidi" w:cstheme="majorBidi"/>
          <w:sz w:val="24"/>
          <w:szCs w:val="24"/>
          <w:shd w:val="clear" w:color="auto" w:fill="FFFFFF" w:themeFill="background1"/>
          <w:lang w:val="ro-MD"/>
        </w:rPr>
        <w:t xml:space="preserve"> </w:t>
      </w:r>
      <w:r w:rsidR="00FF1D09" w:rsidRPr="00CC2548">
        <w:rPr>
          <w:rFonts w:asciiTheme="majorBidi" w:hAnsiTheme="majorBidi" w:cstheme="majorBidi"/>
          <w:sz w:val="24"/>
          <w:szCs w:val="24"/>
          <w:shd w:val="clear" w:color="auto" w:fill="FFFFFF" w:themeFill="background1"/>
          <w:lang w:val="ro-MD"/>
        </w:rPr>
        <w:t>Nord”</w:t>
      </w:r>
      <w:r w:rsidR="0035042A" w:rsidRPr="00CC2548">
        <w:rPr>
          <w:rFonts w:asciiTheme="majorBidi" w:hAnsiTheme="majorBidi" w:cstheme="majorBidi"/>
          <w:bCs/>
          <w:sz w:val="24"/>
          <w:szCs w:val="24"/>
          <w:lang w:val="ro-MD"/>
        </w:rPr>
        <w:t>,</w:t>
      </w:r>
      <w:r w:rsidR="00677181" w:rsidRPr="00CC2548">
        <w:rPr>
          <w:rFonts w:asciiTheme="majorBidi" w:hAnsiTheme="majorBidi" w:cstheme="majorBidi"/>
          <w:sz w:val="24"/>
          <w:szCs w:val="24"/>
          <w:lang w:val="ro-MD"/>
        </w:rPr>
        <w:t xml:space="preserve"> </w:t>
      </w:r>
      <w:r w:rsidRPr="00CC2548">
        <w:rPr>
          <w:rFonts w:asciiTheme="majorBidi" w:hAnsiTheme="majorBidi" w:cstheme="majorBidi"/>
          <w:sz w:val="24"/>
          <w:szCs w:val="24"/>
          <w:lang w:val="ro-MD"/>
        </w:rPr>
        <w:t>precum și a altor persoane cu funcții de răspundere,</w:t>
      </w:r>
      <w:r w:rsidRPr="00CC2548">
        <w:rPr>
          <w:rFonts w:asciiTheme="majorBidi" w:hAnsiTheme="majorBidi" w:cstheme="majorBidi"/>
          <w:sz w:val="24"/>
          <w:szCs w:val="24"/>
          <w:shd w:val="clear" w:color="auto" w:fill="FFFFFF" w:themeFill="background1"/>
          <w:lang w:val="ro-MD"/>
        </w:rPr>
        <w:t xml:space="preserve"> în cadrul ședinței video, </w:t>
      </w:r>
      <w:r w:rsidRPr="00CC2548">
        <w:rPr>
          <w:rFonts w:asciiTheme="majorBidi" w:hAnsiTheme="majorBidi" w:cstheme="majorBidi"/>
          <w:color w:val="000000"/>
          <w:sz w:val="24"/>
          <w:szCs w:val="24"/>
          <w:lang w:val="ro-MD"/>
        </w:rPr>
        <w:t xml:space="preserve">călăuzindu-se de art.3 alin.(1), art.5 alin.(1) </w:t>
      </w:r>
      <w:proofErr w:type="spellStart"/>
      <w:r w:rsidRPr="00CC2548">
        <w:rPr>
          <w:rFonts w:asciiTheme="majorBidi" w:hAnsiTheme="majorBidi" w:cstheme="majorBidi"/>
          <w:color w:val="000000"/>
          <w:sz w:val="24"/>
          <w:szCs w:val="24"/>
          <w:lang w:val="ro-MD"/>
        </w:rPr>
        <w:t>lit.a</w:t>
      </w:r>
      <w:proofErr w:type="spellEnd"/>
      <w:r w:rsidRPr="00CC2548">
        <w:rPr>
          <w:rFonts w:asciiTheme="majorBidi" w:hAnsiTheme="majorBidi" w:cstheme="majorBidi"/>
          <w:color w:val="000000"/>
          <w:sz w:val="24"/>
          <w:szCs w:val="24"/>
          <w:lang w:val="ro-MD"/>
        </w:rPr>
        <w:t xml:space="preserve">) </w:t>
      </w:r>
      <w:r w:rsidR="0046508A" w:rsidRPr="00CC2548">
        <w:rPr>
          <w:rFonts w:asciiTheme="majorBidi" w:hAnsiTheme="majorBidi" w:cstheme="majorBidi"/>
          <w:color w:val="000000"/>
          <w:sz w:val="24"/>
          <w:szCs w:val="24"/>
          <w:lang w:val="ro-MD"/>
        </w:rPr>
        <w:t>și</w:t>
      </w:r>
      <w:r w:rsidRPr="00CC2548">
        <w:rPr>
          <w:rFonts w:asciiTheme="majorBidi" w:hAnsiTheme="majorBidi" w:cstheme="majorBidi"/>
          <w:color w:val="000000"/>
          <w:sz w:val="24"/>
          <w:szCs w:val="24"/>
          <w:lang w:val="ro-MD"/>
        </w:rPr>
        <w:t xml:space="preserve"> art.31 alin.(1) </w:t>
      </w:r>
      <w:proofErr w:type="spellStart"/>
      <w:r w:rsidRPr="00CC2548">
        <w:rPr>
          <w:rFonts w:asciiTheme="majorBidi" w:hAnsiTheme="majorBidi" w:cstheme="majorBidi"/>
          <w:color w:val="000000"/>
          <w:sz w:val="24"/>
          <w:szCs w:val="24"/>
          <w:lang w:val="ro-MD"/>
        </w:rPr>
        <w:t>lit.</w:t>
      </w:r>
      <w:r w:rsidR="006364E7" w:rsidRPr="00CC2548">
        <w:rPr>
          <w:rFonts w:asciiTheme="majorBidi" w:hAnsiTheme="majorBidi" w:cstheme="majorBidi"/>
          <w:color w:val="000000"/>
          <w:sz w:val="24"/>
          <w:szCs w:val="24"/>
          <w:lang w:val="ro-MD"/>
        </w:rPr>
        <w:t>b</w:t>
      </w:r>
      <w:proofErr w:type="spellEnd"/>
      <w:r w:rsidRPr="00CC2548">
        <w:rPr>
          <w:rFonts w:asciiTheme="majorBidi" w:hAnsiTheme="majorBidi" w:cstheme="majorBidi"/>
          <w:color w:val="000000"/>
          <w:sz w:val="24"/>
          <w:szCs w:val="24"/>
          <w:lang w:val="ro-MD"/>
        </w:rPr>
        <w:t xml:space="preserve">) din Legea privind organizarea </w:t>
      </w:r>
      <w:r w:rsidR="003069E6" w:rsidRPr="00CC2548">
        <w:rPr>
          <w:rFonts w:asciiTheme="majorBidi" w:hAnsiTheme="majorBidi" w:cstheme="majorBidi"/>
          <w:color w:val="000000"/>
          <w:sz w:val="24"/>
          <w:szCs w:val="24"/>
          <w:lang w:val="ro-MD"/>
        </w:rPr>
        <w:t>și</w:t>
      </w:r>
      <w:r w:rsidRPr="00CC2548">
        <w:rPr>
          <w:rFonts w:asciiTheme="majorBidi" w:hAnsiTheme="majorBidi" w:cstheme="majorBidi"/>
          <w:color w:val="000000"/>
          <w:sz w:val="24"/>
          <w:szCs w:val="24"/>
          <w:lang w:val="ro-MD"/>
        </w:rPr>
        <w:t xml:space="preserve"> funcționarea Curții de Conturi a Republicii Moldova</w:t>
      </w:r>
      <w:r w:rsidRPr="00CC2548">
        <w:rPr>
          <w:rStyle w:val="ab"/>
          <w:rFonts w:asciiTheme="majorBidi" w:hAnsiTheme="majorBidi" w:cstheme="majorBidi"/>
          <w:color w:val="000000"/>
          <w:sz w:val="24"/>
          <w:szCs w:val="24"/>
          <w:lang w:val="ro-MD"/>
        </w:rPr>
        <w:footnoteReference w:id="1"/>
      </w:r>
      <w:r w:rsidRPr="00CC2548">
        <w:rPr>
          <w:rFonts w:asciiTheme="majorBidi" w:hAnsiTheme="majorBidi" w:cstheme="majorBidi"/>
          <w:color w:val="000000"/>
          <w:sz w:val="24"/>
          <w:szCs w:val="24"/>
          <w:lang w:val="ro-MD"/>
        </w:rPr>
        <w:t xml:space="preserve">, </w:t>
      </w:r>
      <w:r w:rsidRPr="00CC2548">
        <w:rPr>
          <w:rFonts w:asciiTheme="majorBidi" w:hAnsiTheme="majorBidi" w:cstheme="majorBidi"/>
          <w:sz w:val="24"/>
          <w:szCs w:val="24"/>
          <w:shd w:val="clear" w:color="auto" w:fill="FFFFFF" w:themeFill="background1"/>
          <w:lang w:val="ro-MD"/>
        </w:rPr>
        <w:t>a examinat</w:t>
      </w:r>
      <w:r w:rsidR="00C02A36" w:rsidRPr="00CC2548">
        <w:rPr>
          <w:rFonts w:asciiTheme="majorBidi" w:hAnsiTheme="majorBidi" w:cstheme="majorBidi"/>
          <w:lang w:val="ro-MD"/>
        </w:rPr>
        <w:t xml:space="preserve"> </w:t>
      </w:r>
      <w:r w:rsidR="0046508A" w:rsidRPr="00CC2548">
        <w:rPr>
          <w:rFonts w:asciiTheme="majorBidi" w:hAnsiTheme="majorBidi" w:cstheme="majorBidi"/>
          <w:bCs/>
          <w:sz w:val="24"/>
          <w:szCs w:val="24"/>
          <w:lang w:val="ro-MD"/>
        </w:rPr>
        <w:t xml:space="preserve">Raportul </w:t>
      </w:r>
      <w:r w:rsidR="00302215" w:rsidRPr="00CC2548">
        <w:rPr>
          <w:rFonts w:asciiTheme="majorBidi" w:hAnsiTheme="majorBidi" w:cstheme="majorBidi"/>
          <w:bCs/>
          <w:sz w:val="24"/>
          <w:szCs w:val="24"/>
          <w:lang w:val="ro-MD"/>
        </w:rPr>
        <w:t xml:space="preserve">de </w:t>
      </w:r>
      <w:r w:rsidR="0046508A" w:rsidRPr="00CC2548">
        <w:rPr>
          <w:rFonts w:asciiTheme="majorBidi" w:hAnsiTheme="majorBidi" w:cstheme="majorBidi"/>
          <w:bCs/>
          <w:sz w:val="24"/>
          <w:szCs w:val="24"/>
          <w:lang w:val="ro-MD"/>
        </w:rPr>
        <w:t>audit</w:t>
      </w:r>
      <w:r w:rsidR="00302215" w:rsidRPr="00CC2548">
        <w:rPr>
          <w:rFonts w:asciiTheme="majorBidi" w:hAnsiTheme="majorBidi" w:cstheme="majorBidi"/>
          <w:bCs/>
          <w:sz w:val="24"/>
          <w:szCs w:val="24"/>
          <w:lang w:val="ro-MD"/>
        </w:rPr>
        <w:t xml:space="preserve"> al</w:t>
      </w:r>
      <w:r w:rsidR="0046508A" w:rsidRPr="00CC2548">
        <w:rPr>
          <w:rFonts w:asciiTheme="majorBidi" w:hAnsiTheme="majorBidi" w:cstheme="majorBidi"/>
          <w:bCs/>
          <w:sz w:val="24"/>
          <w:szCs w:val="24"/>
          <w:lang w:val="ro-MD"/>
        </w:rPr>
        <w:t xml:space="preserve"> conformității asupra gestionării patrimoniului public și a resurselor financiare de către S.A. „</w:t>
      </w:r>
      <w:r w:rsidR="00933410" w:rsidRPr="00CC2548">
        <w:rPr>
          <w:rFonts w:asciiTheme="majorBidi" w:hAnsiTheme="majorBidi" w:cstheme="majorBidi"/>
          <w:sz w:val="24"/>
          <w:szCs w:val="24"/>
          <w:shd w:val="clear" w:color="auto" w:fill="FFFFFF" w:themeFill="background1"/>
          <w:lang w:val="ro-MD"/>
        </w:rPr>
        <w:t>Furnizarea Energiei Electrice</w:t>
      </w:r>
      <w:r w:rsidR="0046508A" w:rsidRPr="00CC2548">
        <w:rPr>
          <w:rFonts w:asciiTheme="majorBidi" w:hAnsiTheme="majorBidi" w:cstheme="majorBidi"/>
          <w:bCs/>
          <w:sz w:val="24"/>
          <w:szCs w:val="24"/>
          <w:lang w:val="ro-MD"/>
        </w:rPr>
        <w:t xml:space="preserve"> Nord” în anii 2021-2022</w:t>
      </w:r>
      <w:r w:rsidR="00C02A36" w:rsidRPr="00CC2548">
        <w:rPr>
          <w:rFonts w:asciiTheme="majorBidi" w:hAnsiTheme="majorBidi" w:cstheme="majorBidi"/>
          <w:sz w:val="24"/>
          <w:szCs w:val="24"/>
          <w:lang w:val="ro-MD"/>
        </w:rPr>
        <w:t>.</w:t>
      </w:r>
    </w:p>
    <w:p w14:paraId="1D97EA41" w14:textId="7A575AFB" w:rsidR="009F2C27" w:rsidRPr="00CC2548" w:rsidRDefault="00C61F48" w:rsidP="00933410">
      <w:pPr>
        <w:spacing w:after="0" w:line="276" w:lineRule="auto"/>
        <w:ind w:firstLine="709"/>
        <w:jc w:val="both"/>
        <w:rPr>
          <w:rFonts w:asciiTheme="majorBidi" w:eastAsia="Times New Roman" w:hAnsiTheme="majorBidi" w:cstheme="majorBidi"/>
          <w:sz w:val="24"/>
          <w:szCs w:val="24"/>
          <w:lang w:val="ro-MD"/>
        </w:rPr>
      </w:pPr>
      <w:r w:rsidRPr="00CC2548">
        <w:rPr>
          <w:rFonts w:asciiTheme="majorBidi" w:eastAsia="Times New Roman" w:hAnsiTheme="majorBidi" w:cstheme="majorBidi"/>
          <w:sz w:val="24"/>
          <w:szCs w:val="24"/>
          <w:lang w:val="ro-MD"/>
        </w:rPr>
        <w:t xml:space="preserve">Misiunea de audit public extern a fost realizată </w:t>
      </w:r>
      <w:r w:rsidR="009D0682" w:rsidRPr="00CC2548">
        <w:rPr>
          <w:rFonts w:asciiTheme="majorBidi" w:eastAsia="Times New Roman" w:hAnsiTheme="majorBidi" w:cstheme="majorBidi"/>
          <w:sz w:val="24"/>
          <w:szCs w:val="24"/>
          <w:lang w:val="ro-MD"/>
        </w:rPr>
        <w:t xml:space="preserve">în </w:t>
      </w:r>
      <w:r w:rsidRPr="00CC2548">
        <w:rPr>
          <w:rFonts w:asciiTheme="majorBidi" w:eastAsia="Times New Roman" w:hAnsiTheme="majorBidi" w:cstheme="majorBidi"/>
          <w:sz w:val="24"/>
          <w:szCs w:val="24"/>
          <w:lang w:val="ro-MD"/>
        </w:rPr>
        <w:t>conform</w:t>
      </w:r>
      <w:r w:rsidR="009D0682" w:rsidRPr="00CC2548">
        <w:rPr>
          <w:rFonts w:asciiTheme="majorBidi" w:eastAsia="Times New Roman" w:hAnsiTheme="majorBidi" w:cstheme="majorBidi"/>
          <w:sz w:val="24"/>
          <w:szCs w:val="24"/>
          <w:lang w:val="ro-MD"/>
        </w:rPr>
        <w:t>itate cu</w:t>
      </w:r>
      <w:r w:rsidRPr="00CC2548">
        <w:rPr>
          <w:rFonts w:asciiTheme="majorBidi" w:eastAsia="Times New Roman" w:hAnsiTheme="majorBidi" w:cstheme="majorBidi"/>
          <w:sz w:val="24"/>
          <w:szCs w:val="24"/>
          <w:lang w:val="ro-MD"/>
        </w:rPr>
        <w:t xml:space="preserve"> </w:t>
      </w:r>
      <w:r w:rsidRPr="00CC2548">
        <w:rPr>
          <w:rFonts w:asciiTheme="majorBidi" w:hAnsiTheme="majorBidi" w:cstheme="majorBidi"/>
          <w:sz w:val="24"/>
          <w:szCs w:val="24"/>
          <w:lang w:val="ro-MD"/>
        </w:rPr>
        <w:t>Program</w:t>
      </w:r>
      <w:r w:rsidR="0097019F" w:rsidRPr="00CC2548">
        <w:rPr>
          <w:rFonts w:asciiTheme="majorBidi" w:hAnsiTheme="majorBidi" w:cstheme="majorBidi"/>
          <w:sz w:val="24"/>
          <w:szCs w:val="24"/>
          <w:lang w:val="ro-MD"/>
        </w:rPr>
        <w:t>ele</w:t>
      </w:r>
      <w:r w:rsidRPr="00CC2548">
        <w:rPr>
          <w:rFonts w:asciiTheme="majorBidi" w:hAnsiTheme="majorBidi" w:cstheme="majorBidi"/>
          <w:sz w:val="24"/>
          <w:szCs w:val="24"/>
          <w:lang w:val="ro-MD"/>
        </w:rPr>
        <w:t xml:space="preserve"> activității de audit a Curții de Conturi pe an</w:t>
      </w:r>
      <w:r w:rsidR="005E4AA3" w:rsidRPr="00CC2548">
        <w:rPr>
          <w:rFonts w:asciiTheme="majorBidi" w:hAnsiTheme="majorBidi" w:cstheme="majorBidi"/>
          <w:sz w:val="24"/>
          <w:szCs w:val="24"/>
          <w:lang w:val="ro-MD"/>
        </w:rPr>
        <w:t>ii</w:t>
      </w:r>
      <w:r w:rsidR="00C37F99" w:rsidRPr="00CC2548">
        <w:rPr>
          <w:rFonts w:asciiTheme="majorBidi" w:hAnsiTheme="majorBidi" w:cstheme="majorBidi"/>
          <w:sz w:val="24"/>
          <w:szCs w:val="24"/>
          <w:lang w:val="ro-MD"/>
        </w:rPr>
        <w:t xml:space="preserve"> 2023</w:t>
      </w:r>
      <w:r w:rsidR="005E4AA3" w:rsidRPr="00CC2548">
        <w:rPr>
          <w:rStyle w:val="FootnoteReference1"/>
          <w:rFonts w:asciiTheme="majorBidi" w:hAnsiTheme="majorBidi" w:cstheme="majorBidi"/>
          <w:sz w:val="24"/>
          <w:szCs w:val="24"/>
          <w:lang w:val="ro-MD"/>
        </w:rPr>
        <w:footnoteReference w:id="2"/>
      </w:r>
      <w:r w:rsidR="005E4AA3" w:rsidRPr="00CC2548">
        <w:rPr>
          <w:rFonts w:asciiTheme="majorBidi" w:hAnsiTheme="majorBidi" w:cstheme="majorBidi"/>
          <w:sz w:val="24"/>
          <w:szCs w:val="24"/>
          <w:lang w:val="ro-MD"/>
        </w:rPr>
        <w:t xml:space="preserve"> și 2024</w:t>
      </w:r>
      <w:r w:rsidR="005E4AA3" w:rsidRPr="00CC2548">
        <w:rPr>
          <w:rStyle w:val="ab"/>
          <w:rFonts w:asciiTheme="majorBidi" w:hAnsiTheme="majorBidi" w:cstheme="majorBidi"/>
          <w:sz w:val="24"/>
          <w:szCs w:val="24"/>
          <w:lang w:val="ro-MD"/>
        </w:rPr>
        <w:footnoteReference w:id="3"/>
      </w:r>
      <w:r w:rsidRPr="00CC2548">
        <w:rPr>
          <w:rFonts w:asciiTheme="majorBidi" w:hAnsiTheme="majorBidi" w:cstheme="majorBidi"/>
          <w:sz w:val="24"/>
          <w:szCs w:val="24"/>
          <w:lang w:val="ro-MD"/>
        </w:rPr>
        <w:t xml:space="preserve">, </w:t>
      </w:r>
      <w:r w:rsidR="009D0682" w:rsidRPr="00CC2548">
        <w:rPr>
          <w:rFonts w:asciiTheme="majorBidi" w:hAnsiTheme="majorBidi" w:cstheme="majorBidi"/>
          <w:sz w:val="24"/>
          <w:szCs w:val="24"/>
          <w:lang w:val="ro-MD"/>
        </w:rPr>
        <w:t xml:space="preserve">având drept </w:t>
      </w:r>
      <w:r w:rsidR="009F2C27" w:rsidRPr="00CC2548">
        <w:rPr>
          <w:rFonts w:asciiTheme="majorBidi" w:eastAsia="Times New Roman" w:hAnsiTheme="majorBidi" w:cstheme="majorBidi"/>
          <w:sz w:val="24"/>
          <w:szCs w:val="24"/>
          <w:lang w:val="ro-MD"/>
        </w:rPr>
        <w:t>scop evalu</w:t>
      </w:r>
      <w:r w:rsidR="009D0682" w:rsidRPr="00CC2548">
        <w:rPr>
          <w:rFonts w:asciiTheme="majorBidi" w:eastAsia="Times New Roman" w:hAnsiTheme="majorBidi" w:cstheme="majorBidi"/>
          <w:sz w:val="24"/>
          <w:szCs w:val="24"/>
          <w:lang w:val="ro-MD"/>
        </w:rPr>
        <w:t>a</w:t>
      </w:r>
      <w:r w:rsidR="009F2C27" w:rsidRPr="00CC2548">
        <w:rPr>
          <w:rFonts w:asciiTheme="majorBidi" w:eastAsia="Times New Roman" w:hAnsiTheme="majorBidi" w:cstheme="majorBidi"/>
          <w:sz w:val="24"/>
          <w:szCs w:val="24"/>
          <w:lang w:val="ro-MD"/>
        </w:rPr>
        <w:t>r</w:t>
      </w:r>
      <w:r w:rsidR="009D0682" w:rsidRPr="00CC2548">
        <w:rPr>
          <w:rFonts w:asciiTheme="majorBidi" w:eastAsia="Times New Roman" w:hAnsiTheme="majorBidi" w:cstheme="majorBidi"/>
          <w:sz w:val="24"/>
          <w:szCs w:val="24"/>
          <w:lang w:val="ro-MD"/>
        </w:rPr>
        <w:t>ea</w:t>
      </w:r>
      <w:r w:rsidR="009F2C27" w:rsidRPr="00CC2548">
        <w:rPr>
          <w:rFonts w:asciiTheme="majorBidi" w:eastAsia="Times New Roman" w:hAnsiTheme="majorBidi" w:cstheme="majorBidi"/>
          <w:sz w:val="24"/>
          <w:szCs w:val="24"/>
          <w:lang w:val="ro-MD"/>
        </w:rPr>
        <w:t xml:space="preserve"> conformității gestionării patrimoniului public și a resurselor financiare de către </w:t>
      </w:r>
      <w:r w:rsidR="006F3F7F" w:rsidRPr="00CC2548">
        <w:rPr>
          <w:rFonts w:asciiTheme="majorBidi" w:hAnsiTheme="majorBidi" w:cstheme="majorBidi"/>
          <w:bCs/>
          <w:sz w:val="24"/>
          <w:szCs w:val="24"/>
          <w:lang w:val="ro-MD"/>
        </w:rPr>
        <w:t>S.A. „</w:t>
      </w:r>
      <w:r w:rsidR="00933410" w:rsidRPr="00CC2548">
        <w:rPr>
          <w:rFonts w:asciiTheme="majorBidi" w:hAnsiTheme="majorBidi" w:cstheme="majorBidi"/>
          <w:sz w:val="24"/>
          <w:szCs w:val="24"/>
          <w:shd w:val="clear" w:color="auto" w:fill="FFFFFF" w:themeFill="background1"/>
          <w:lang w:val="ro-MD"/>
        </w:rPr>
        <w:t>Furnizarea Energiei Electrice</w:t>
      </w:r>
      <w:r w:rsidR="00933410" w:rsidRPr="00CC2548">
        <w:rPr>
          <w:rFonts w:asciiTheme="majorBidi" w:hAnsiTheme="majorBidi" w:cstheme="majorBidi"/>
          <w:bCs/>
          <w:sz w:val="24"/>
          <w:szCs w:val="24"/>
          <w:lang w:val="ro-MD"/>
        </w:rPr>
        <w:t xml:space="preserve"> </w:t>
      </w:r>
      <w:r w:rsidR="0046508A" w:rsidRPr="00CC2548">
        <w:rPr>
          <w:rFonts w:asciiTheme="majorBidi" w:hAnsiTheme="majorBidi" w:cstheme="majorBidi"/>
          <w:bCs/>
          <w:sz w:val="24"/>
          <w:szCs w:val="24"/>
          <w:lang w:val="ro-MD"/>
        </w:rPr>
        <w:t xml:space="preserve">Nord” </w:t>
      </w:r>
      <w:r w:rsidR="009F2C27" w:rsidRPr="00CC2548">
        <w:rPr>
          <w:rFonts w:asciiTheme="majorBidi" w:eastAsia="Times New Roman" w:hAnsiTheme="majorBidi" w:cstheme="majorBidi"/>
          <w:sz w:val="24"/>
          <w:szCs w:val="24"/>
          <w:lang w:val="ro-MD"/>
        </w:rPr>
        <w:t>în anii 2021-2022</w:t>
      </w:r>
      <w:r w:rsidR="009D0682" w:rsidRPr="00CC2548">
        <w:rPr>
          <w:rFonts w:asciiTheme="majorBidi" w:eastAsia="Times New Roman" w:hAnsiTheme="majorBidi" w:cstheme="majorBidi"/>
          <w:sz w:val="24"/>
          <w:szCs w:val="24"/>
          <w:lang w:val="ro-MD"/>
        </w:rPr>
        <w:t>, în raport cu criteriile regulamentare de ordin legal</w:t>
      </w:r>
      <w:r w:rsidR="009F2C27" w:rsidRPr="00CC2548">
        <w:rPr>
          <w:rFonts w:asciiTheme="majorBidi" w:eastAsia="Times New Roman" w:hAnsiTheme="majorBidi" w:cstheme="majorBidi"/>
          <w:sz w:val="24"/>
          <w:szCs w:val="24"/>
          <w:lang w:val="ro-MD"/>
        </w:rPr>
        <w:t>.</w:t>
      </w:r>
      <w:r w:rsidR="0046508A" w:rsidRPr="00CC2548">
        <w:rPr>
          <w:rFonts w:asciiTheme="majorBidi" w:eastAsia="Times New Roman" w:hAnsiTheme="majorBidi" w:cstheme="majorBidi"/>
          <w:sz w:val="24"/>
          <w:szCs w:val="24"/>
          <w:lang w:val="ro-MD"/>
        </w:rPr>
        <w:t xml:space="preserve"> </w:t>
      </w:r>
    </w:p>
    <w:p w14:paraId="68027D47" w14:textId="29B895E4" w:rsidR="00C61F48" w:rsidRPr="00CC2548" w:rsidRDefault="00C61F48" w:rsidP="00A0649A">
      <w:pPr>
        <w:spacing w:after="0" w:line="276" w:lineRule="auto"/>
        <w:ind w:firstLine="709"/>
        <w:jc w:val="both"/>
        <w:rPr>
          <w:rFonts w:asciiTheme="majorBidi" w:eastAsia="Times New Roman" w:hAnsiTheme="majorBidi" w:cstheme="majorBidi"/>
          <w:sz w:val="24"/>
          <w:szCs w:val="24"/>
          <w:lang w:val="ro-MD"/>
        </w:rPr>
      </w:pPr>
      <w:r w:rsidRPr="00CC2548">
        <w:rPr>
          <w:rFonts w:asciiTheme="majorBidi" w:hAnsiTheme="majorBidi" w:cstheme="majorBidi"/>
          <w:sz w:val="24"/>
          <w:szCs w:val="24"/>
          <w:lang w:val="ro-MD"/>
        </w:rPr>
        <w:t xml:space="preserve">Auditul </w:t>
      </w:r>
      <w:r w:rsidR="00FB0A53" w:rsidRPr="00CC2548">
        <w:rPr>
          <w:rFonts w:asciiTheme="majorBidi" w:hAnsiTheme="majorBidi" w:cstheme="majorBidi"/>
          <w:sz w:val="24"/>
          <w:szCs w:val="24"/>
          <w:lang w:val="ro-MD"/>
        </w:rPr>
        <w:t xml:space="preserve">public extern </w:t>
      </w:r>
      <w:r w:rsidRPr="00CC2548">
        <w:rPr>
          <w:rFonts w:asciiTheme="majorBidi" w:hAnsiTheme="majorBidi" w:cstheme="majorBidi"/>
          <w:sz w:val="24"/>
          <w:szCs w:val="24"/>
          <w:lang w:val="ro-MD"/>
        </w:rPr>
        <w:t>a fost planificat și s-a desfășurat în conformitate cu Standardele Internaționale ale Instituțiilor Supreme de Audit aplicate de Curtea de Conturi</w:t>
      </w:r>
      <w:r w:rsidR="009D0682" w:rsidRPr="00CC2548">
        <w:rPr>
          <w:rFonts w:asciiTheme="majorBidi" w:hAnsiTheme="majorBidi" w:cstheme="majorBidi"/>
          <w:sz w:val="24"/>
          <w:szCs w:val="24"/>
          <w:lang w:val="ro-MD"/>
        </w:rPr>
        <w:t>, în special,</w:t>
      </w:r>
      <w:r w:rsidRPr="00CC2548">
        <w:rPr>
          <w:rFonts w:asciiTheme="majorBidi" w:hAnsiTheme="majorBidi" w:cstheme="majorBidi"/>
          <w:sz w:val="24"/>
          <w:szCs w:val="24"/>
          <w:lang w:val="ro-MD"/>
        </w:rPr>
        <w:t xml:space="preserve"> ISSAI 100, ISSAI 400 și ISSAI 4000</w:t>
      </w:r>
      <w:r w:rsidRPr="00CC2548">
        <w:rPr>
          <w:rFonts w:asciiTheme="majorBidi" w:eastAsia="Times New Roman" w:hAnsiTheme="majorBidi" w:cstheme="majorBidi"/>
          <w:sz w:val="24"/>
          <w:szCs w:val="24"/>
          <w:vertAlign w:val="superscript"/>
          <w:lang w:val="ro-MD"/>
        </w:rPr>
        <w:footnoteReference w:id="4"/>
      </w:r>
      <w:r w:rsidRPr="00CC2548">
        <w:rPr>
          <w:rFonts w:asciiTheme="majorBidi" w:eastAsia="Times New Roman" w:hAnsiTheme="majorBidi" w:cstheme="majorBidi"/>
          <w:sz w:val="24"/>
          <w:szCs w:val="24"/>
          <w:lang w:val="ro-MD"/>
        </w:rPr>
        <w:t>.</w:t>
      </w:r>
    </w:p>
    <w:p w14:paraId="428CF970" w14:textId="77777777" w:rsidR="00C61F48" w:rsidRPr="00CC2548" w:rsidRDefault="00C61F48" w:rsidP="00B11DE4">
      <w:pPr>
        <w:spacing w:after="0" w:line="276" w:lineRule="auto"/>
        <w:ind w:firstLine="709"/>
        <w:jc w:val="both"/>
        <w:rPr>
          <w:rFonts w:asciiTheme="majorBidi" w:eastAsia="Times New Roman" w:hAnsiTheme="majorBidi" w:cstheme="majorBidi"/>
          <w:sz w:val="24"/>
          <w:szCs w:val="24"/>
          <w:lang w:val="ro-MD"/>
        </w:rPr>
      </w:pPr>
      <w:r w:rsidRPr="00CC2548">
        <w:rPr>
          <w:rFonts w:asciiTheme="majorBidi" w:eastAsia="Times New Roman" w:hAnsiTheme="majorBidi" w:cstheme="majorBidi"/>
          <w:sz w:val="24"/>
          <w:szCs w:val="24"/>
          <w:lang w:val="ro-MD"/>
        </w:rPr>
        <w:t xml:space="preserve"> Examinând Raportul de audit, Curtea de Conturi</w:t>
      </w:r>
    </w:p>
    <w:p w14:paraId="354A2610" w14:textId="77777777" w:rsidR="00C61F48" w:rsidRPr="00CC2548" w:rsidRDefault="00C61F48" w:rsidP="00C61F48">
      <w:pPr>
        <w:spacing w:after="0" w:line="276" w:lineRule="auto"/>
        <w:ind w:firstLine="708"/>
        <w:jc w:val="both"/>
        <w:rPr>
          <w:rFonts w:asciiTheme="majorBidi" w:eastAsia="Times New Roman" w:hAnsiTheme="majorBidi" w:cstheme="majorBidi"/>
          <w:sz w:val="24"/>
          <w:szCs w:val="24"/>
          <w:lang w:val="ro-MD"/>
        </w:rPr>
      </w:pPr>
    </w:p>
    <w:p w14:paraId="78A30E9F" w14:textId="77777777" w:rsidR="00C61F48" w:rsidRPr="00CC2548" w:rsidRDefault="00C61F48" w:rsidP="00C61F48">
      <w:pPr>
        <w:spacing w:after="0" w:line="276" w:lineRule="auto"/>
        <w:jc w:val="center"/>
        <w:rPr>
          <w:rFonts w:asciiTheme="majorBidi" w:eastAsia="Times New Roman" w:hAnsiTheme="majorBidi" w:cstheme="majorBidi"/>
          <w:b/>
          <w:bCs/>
          <w:sz w:val="24"/>
          <w:szCs w:val="24"/>
          <w:lang w:val="ro-MD"/>
        </w:rPr>
      </w:pPr>
      <w:r w:rsidRPr="00CC2548">
        <w:rPr>
          <w:rFonts w:asciiTheme="majorBidi" w:eastAsia="Times New Roman" w:hAnsiTheme="majorBidi" w:cstheme="majorBidi"/>
          <w:b/>
          <w:bCs/>
          <w:sz w:val="24"/>
          <w:szCs w:val="24"/>
          <w:lang w:val="ro-MD"/>
        </w:rPr>
        <w:t>A CONSTATAT:</w:t>
      </w:r>
    </w:p>
    <w:p w14:paraId="736A0AEC" w14:textId="619BD5A9" w:rsidR="0037350C" w:rsidRPr="00CC2548" w:rsidRDefault="00F10C7F" w:rsidP="00490506">
      <w:pPr>
        <w:pStyle w:val="af3"/>
        <w:spacing w:after="0" w:line="276" w:lineRule="auto"/>
        <w:ind w:left="0" w:firstLine="709"/>
        <w:jc w:val="both"/>
        <w:rPr>
          <w:rFonts w:ascii="Times New Roman" w:hAnsi="Times New Roman" w:cs="Times New Roman"/>
          <w:bCs/>
          <w:sz w:val="24"/>
          <w:szCs w:val="24"/>
          <w:lang w:val="ro-MD"/>
        </w:rPr>
      </w:pPr>
      <w:r w:rsidRPr="00CC2548">
        <w:rPr>
          <w:rFonts w:ascii="Times New Roman" w:hAnsi="Times New Roman" w:cs="Times New Roman"/>
          <w:bCs/>
          <w:sz w:val="24"/>
          <w:szCs w:val="24"/>
          <w:lang w:val="ro-MD"/>
        </w:rPr>
        <w:t>S.A. „</w:t>
      </w:r>
      <w:r w:rsidRPr="00CC2548">
        <w:rPr>
          <w:rFonts w:asciiTheme="majorBidi" w:hAnsiTheme="majorBidi" w:cstheme="majorBidi"/>
          <w:sz w:val="24"/>
          <w:szCs w:val="24"/>
          <w:shd w:val="clear" w:color="auto" w:fill="FFFFFF" w:themeFill="background1"/>
          <w:lang w:val="ro-MD"/>
        </w:rPr>
        <w:t>Furnizarea Energiei Electrice</w:t>
      </w:r>
      <w:r w:rsidRPr="00CC2548">
        <w:rPr>
          <w:rFonts w:ascii="Times New Roman" w:hAnsi="Times New Roman" w:cs="Times New Roman"/>
          <w:bCs/>
          <w:sz w:val="24"/>
          <w:szCs w:val="24"/>
          <w:lang w:val="ro-MD"/>
        </w:rPr>
        <w:t xml:space="preserve"> Nord” (în continuare - S.A. „FEE-Nord”, Societatea)</w:t>
      </w:r>
      <w:r w:rsidR="0037350C" w:rsidRPr="00CC2548">
        <w:rPr>
          <w:rFonts w:ascii="Times New Roman" w:hAnsi="Times New Roman"/>
          <w:color w:val="000000"/>
          <w:sz w:val="24"/>
          <w:szCs w:val="24"/>
          <w:lang w:val="ro-MD"/>
        </w:rPr>
        <w:t xml:space="preserve"> este unicul furnizor de ultimă opțiune de energi</w:t>
      </w:r>
      <w:r w:rsidR="007A1505" w:rsidRPr="00CC2548">
        <w:rPr>
          <w:rFonts w:ascii="Times New Roman" w:hAnsi="Times New Roman"/>
          <w:color w:val="000000"/>
          <w:sz w:val="24"/>
          <w:szCs w:val="24"/>
          <w:lang w:val="ro-MD"/>
        </w:rPr>
        <w:t>e</w:t>
      </w:r>
      <w:r w:rsidR="0037350C" w:rsidRPr="00CC2548">
        <w:rPr>
          <w:rFonts w:ascii="Times New Roman" w:hAnsi="Times New Roman"/>
          <w:color w:val="000000"/>
          <w:sz w:val="24"/>
          <w:szCs w:val="24"/>
          <w:lang w:val="ro-MD"/>
        </w:rPr>
        <w:t xml:space="preserve"> electrică pentru circa 477,6 mii </w:t>
      </w:r>
      <w:r w:rsidR="007A1505" w:rsidRPr="00CC2548">
        <w:rPr>
          <w:rFonts w:ascii="Times New Roman" w:hAnsi="Times New Roman"/>
          <w:color w:val="000000"/>
          <w:sz w:val="24"/>
          <w:szCs w:val="24"/>
          <w:lang w:val="ro-MD"/>
        </w:rPr>
        <w:t xml:space="preserve">de </w:t>
      </w:r>
      <w:r w:rsidR="0037350C" w:rsidRPr="00CC2548">
        <w:rPr>
          <w:rFonts w:ascii="Times New Roman" w:hAnsi="Times New Roman"/>
          <w:color w:val="000000"/>
          <w:sz w:val="24"/>
          <w:szCs w:val="24"/>
          <w:lang w:val="ro-MD"/>
        </w:rPr>
        <w:t xml:space="preserve">consumatori casnici și </w:t>
      </w:r>
      <w:proofErr w:type="spellStart"/>
      <w:r w:rsidR="0037350C" w:rsidRPr="00CC2548">
        <w:rPr>
          <w:rFonts w:ascii="Times New Roman" w:hAnsi="Times New Roman"/>
          <w:color w:val="000000"/>
          <w:sz w:val="24"/>
          <w:szCs w:val="24"/>
          <w:lang w:val="ro-MD"/>
        </w:rPr>
        <w:t>noncasnici</w:t>
      </w:r>
      <w:proofErr w:type="spellEnd"/>
      <w:r w:rsidR="0037350C" w:rsidRPr="00CC2548">
        <w:rPr>
          <w:rFonts w:ascii="Times New Roman" w:hAnsi="Times New Roman"/>
          <w:color w:val="000000"/>
          <w:sz w:val="24"/>
          <w:szCs w:val="24"/>
          <w:lang w:val="ro-MD"/>
        </w:rPr>
        <w:t xml:space="preserve"> din zona de nord a Republicii Moldova.</w:t>
      </w:r>
    </w:p>
    <w:p w14:paraId="6A304574" w14:textId="30F25C11" w:rsidR="00BC5BCE" w:rsidRPr="00CC2548" w:rsidRDefault="00BC5BCE" w:rsidP="00BC5BCE">
      <w:pPr>
        <w:shd w:val="clear" w:color="auto" w:fill="FFFFFF" w:themeFill="background1"/>
        <w:spacing w:after="0" w:line="276" w:lineRule="auto"/>
        <w:ind w:firstLine="709"/>
        <w:jc w:val="both"/>
        <w:rPr>
          <w:rFonts w:ascii="Times New Roman" w:hAnsi="Times New Roman"/>
          <w:color w:val="000000" w:themeColor="text1"/>
          <w:sz w:val="24"/>
          <w:szCs w:val="28"/>
          <w:lang w:val="ro-MD"/>
        </w:rPr>
      </w:pPr>
      <w:r w:rsidRPr="00CC2548">
        <w:rPr>
          <w:rFonts w:ascii="Times New Roman" w:hAnsi="Times New Roman"/>
          <w:color w:val="000000" w:themeColor="text1"/>
          <w:sz w:val="24"/>
          <w:szCs w:val="28"/>
          <w:lang w:val="ro-MD"/>
        </w:rPr>
        <w:t>Patrimoniul gestionat de către S</w:t>
      </w:r>
      <w:r w:rsidR="00F46772" w:rsidRPr="00CC2548">
        <w:rPr>
          <w:rFonts w:ascii="Times New Roman" w:hAnsi="Times New Roman"/>
          <w:color w:val="000000" w:themeColor="text1"/>
          <w:sz w:val="24"/>
          <w:szCs w:val="28"/>
          <w:lang w:val="ro-MD"/>
        </w:rPr>
        <w:t>.</w:t>
      </w:r>
      <w:r w:rsidRPr="00CC2548">
        <w:rPr>
          <w:rFonts w:ascii="Times New Roman" w:hAnsi="Times New Roman"/>
          <w:color w:val="000000" w:themeColor="text1"/>
          <w:sz w:val="24"/>
          <w:szCs w:val="28"/>
          <w:lang w:val="ro-MD"/>
        </w:rPr>
        <w:t>A</w:t>
      </w:r>
      <w:r w:rsidR="00F46772" w:rsidRPr="00CC2548">
        <w:rPr>
          <w:rFonts w:ascii="Times New Roman" w:hAnsi="Times New Roman"/>
          <w:color w:val="000000" w:themeColor="text1"/>
          <w:sz w:val="24"/>
          <w:szCs w:val="28"/>
          <w:lang w:val="ro-MD"/>
        </w:rPr>
        <w:t>.</w:t>
      </w:r>
      <w:r w:rsidRPr="00CC2548">
        <w:rPr>
          <w:rFonts w:ascii="Times New Roman" w:hAnsi="Times New Roman"/>
          <w:color w:val="000000" w:themeColor="text1"/>
          <w:sz w:val="24"/>
          <w:szCs w:val="28"/>
          <w:lang w:val="ro-MD"/>
        </w:rPr>
        <w:t xml:space="preserve"> </w:t>
      </w:r>
      <w:r w:rsidR="00F46772" w:rsidRPr="00CC2548">
        <w:rPr>
          <w:rFonts w:ascii="Times New Roman" w:hAnsi="Times New Roman"/>
          <w:color w:val="000000" w:themeColor="text1"/>
          <w:sz w:val="24"/>
          <w:szCs w:val="28"/>
          <w:lang w:val="ro-MD"/>
        </w:rPr>
        <w:t>„</w:t>
      </w:r>
      <w:r w:rsidRPr="00CC2548">
        <w:rPr>
          <w:rFonts w:ascii="Times New Roman" w:hAnsi="Times New Roman"/>
          <w:color w:val="000000" w:themeColor="text1"/>
          <w:sz w:val="24"/>
          <w:szCs w:val="28"/>
          <w:lang w:val="ro-MD"/>
        </w:rPr>
        <w:t>FEE-Nord</w:t>
      </w:r>
      <w:r w:rsidR="00F46772" w:rsidRPr="00CC2548">
        <w:rPr>
          <w:rFonts w:ascii="Times New Roman" w:hAnsi="Times New Roman"/>
          <w:color w:val="000000" w:themeColor="text1"/>
          <w:sz w:val="24"/>
          <w:szCs w:val="28"/>
          <w:lang w:val="ro-MD"/>
        </w:rPr>
        <w:t>”</w:t>
      </w:r>
      <w:r w:rsidRPr="00CC2548">
        <w:rPr>
          <w:rFonts w:ascii="Times New Roman" w:hAnsi="Times New Roman"/>
          <w:color w:val="000000" w:themeColor="text1"/>
          <w:sz w:val="24"/>
          <w:szCs w:val="28"/>
          <w:lang w:val="ro-MD"/>
        </w:rPr>
        <w:t xml:space="preserve"> la finele anului 2022 a constituit 554,5 mil. lei, majorându-se față de anul precedent cu 308,7 mil. lei, datorită creșterii în mare parte a creanțelor comerciale.</w:t>
      </w:r>
    </w:p>
    <w:p w14:paraId="63043528" w14:textId="66C2E10F" w:rsidR="00030C05" w:rsidRPr="00CC2548" w:rsidRDefault="00BC5BCE" w:rsidP="00BC5BCE">
      <w:pPr>
        <w:pStyle w:val="af3"/>
        <w:spacing w:after="0" w:line="276" w:lineRule="auto"/>
        <w:ind w:left="0" w:firstLine="709"/>
        <w:jc w:val="both"/>
        <w:rPr>
          <w:rFonts w:ascii="Times New Roman" w:hAnsi="Times New Roman" w:cs="Times New Roman"/>
          <w:sz w:val="24"/>
          <w:szCs w:val="24"/>
          <w:lang w:val="ro-MD"/>
        </w:rPr>
      </w:pPr>
      <w:r w:rsidRPr="00CC2548">
        <w:rPr>
          <w:rFonts w:ascii="Times New Roman" w:hAnsi="Times New Roman"/>
          <w:color w:val="000000" w:themeColor="text1"/>
          <w:sz w:val="24"/>
          <w:szCs w:val="28"/>
          <w:lang w:val="ro-MD"/>
        </w:rPr>
        <w:t xml:space="preserve">Veniturile și cheltuielile înregistrate de S.A „FEE-Nord” la finele anului 2022 au constituit 2.845,5 mil. lei și, respectiv, 2.811,2 mil. lei. </w:t>
      </w:r>
      <w:r w:rsidR="0000148E" w:rsidRPr="00CC2548">
        <w:rPr>
          <w:rFonts w:ascii="Times New Roman" w:eastAsia="Times New Roman" w:hAnsi="Times New Roman" w:cs="Times New Roman"/>
          <w:sz w:val="24"/>
          <w:szCs w:val="24"/>
          <w:lang w:val="ro-MD"/>
        </w:rPr>
        <w:t xml:space="preserve"> </w:t>
      </w:r>
    </w:p>
    <w:p w14:paraId="0BA67BDA" w14:textId="42681769" w:rsidR="004139F0" w:rsidRPr="00CC2548" w:rsidRDefault="00AE0F31" w:rsidP="00F46772">
      <w:pPr>
        <w:pStyle w:val="af3"/>
        <w:spacing w:after="0" w:line="276" w:lineRule="auto"/>
        <w:ind w:left="0" w:firstLine="709"/>
        <w:jc w:val="both"/>
        <w:rPr>
          <w:rFonts w:asciiTheme="majorBidi" w:hAnsiTheme="majorBidi" w:cstheme="majorBidi"/>
          <w:iCs/>
          <w:sz w:val="24"/>
          <w:szCs w:val="24"/>
          <w:lang w:val="ro-MD"/>
        </w:rPr>
      </w:pPr>
      <w:r w:rsidRPr="00CC2548">
        <w:rPr>
          <w:rFonts w:asciiTheme="majorBidi" w:hAnsiTheme="majorBidi" w:cstheme="majorBidi"/>
          <w:sz w:val="24"/>
          <w:szCs w:val="24"/>
          <w:lang w:val="ro-MD"/>
        </w:rPr>
        <w:t>Evalu</w:t>
      </w:r>
      <w:r w:rsidR="00A370A3" w:rsidRPr="00CC2548">
        <w:rPr>
          <w:rFonts w:asciiTheme="majorBidi" w:hAnsiTheme="majorBidi" w:cstheme="majorBidi"/>
          <w:sz w:val="24"/>
          <w:szCs w:val="24"/>
          <w:lang w:val="ro-MD"/>
        </w:rPr>
        <w:t>area</w:t>
      </w:r>
      <w:r w:rsidRPr="00CC2548">
        <w:rPr>
          <w:rFonts w:asciiTheme="majorBidi" w:hAnsiTheme="majorBidi" w:cstheme="majorBidi"/>
          <w:sz w:val="24"/>
          <w:szCs w:val="24"/>
          <w:lang w:val="ro-MD"/>
        </w:rPr>
        <w:t xml:space="preserve"> conformit</w:t>
      </w:r>
      <w:r w:rsidR="00A370A3" w:rsidRPr="00CC2548">
        <w:rPr>
          <w:rFonts w:asciiTheme="majorBidi" w:hAnsiTheme="majorBidi" w:cstheme="majorBidi"/>
          <w:sz w:val="24"/>
          <w:szCs w:val="24"/>
          <w:lang w:val="ro-MD"/>
        </w:rPr>
        <w:t xml:space="preserve">ății </w:t>
      </w:r>
      <w:r w:rsidRPr="00CC2548">
        <w:rPr>
          <w:rFonts w:asciiTheme="majorBidi" w:hAnsiTheme="majorBidi" w:cstheme="majorBidi"/>
          <w:sz w:val="24"/>
          <w:szCs w:val="24"/>
          <w:lang w:val="ro-MD"/>
        </w:rPr>
        <w:t xml:space="preserve">gestionării patrimoniului </w:t>
      </w:r>
      <w:r w:rsidR="007A1505" w:rsidRPr="00CC2548">
        <w:rPr>
          <w:rFonts w:asciiTheme="majorBidi" w:hAnsiTheme="majorBidi" w:cstheme="majorBidi"/>
          <w:sz w:val="24"/>
          <w:szCs w:val="24"/>
          <w:lang w:val="ro-MD"/>
        </w:rPr>
        <w:t xml:space="preserve">public </w:t>
      </w:r>
      <w:r w:rsidRPr="00CC2548">
        <w:rPr>
          <w:rFonts w:asciiTheme="majorBidi" w:hAnsiTheme="majorBidi" w:cstheme="majorBidi"/>
          <w:sz w:val="24"/>
          <w:szCs w:val="24"/>
          <w:lang w:val="ro-MD"/>
        </w:rPr>
        <w:t xml:space="preserve">și a resurselor financiare de către </w:t>
      </w:r>
      <w:r w:rsidR="001B191F" w:rsidRPr="00CC2548">
        <w:rPr>
          <w:rFonts w:asciiTheme="majorBidi" w:hAnsiTheme="majorBidi" w:cstheme="majorBidi"/>
          <w:sz w:val="24"/>
          <w:szCs w:val="24"/>
          <w:lang w:val="ro-MD"/>
        </w:rPr>
        <w:t>S.A. „</w:t>
      </w:r>
      <w:r w:rsidR="00F46772" w:rsidRPr="00CC2548">
        <w:rPr>
          <w:rFonts w:asciiTheme="majorBidi" w:hAnsiTheme="majorBidi" w:cstheme="majorBidi"/>
          <w:sz w:val="24"/>
          <w:szCs w:val="24"/>
          <w:lang w:val="ro-MD"/>
        </w:rPr>
        <w:t>FE</w:t>
      </w:r>
      <w:r w:rsidR="001B191F" w:rsidRPr="00CC2548">
        <w:rPr>
          <w:rFonts w:asciiTheme="majorBidi" w:hAnsiTheme="majorBidi" w:cstheme="majorBidi"/>
          <w:sz w:val="24"/>
          <w:szCs w:val="24"/>
          <w:lang w:val="ro-MD"/>
        </w:rPr>
        <w:t xml:space="preserve">E-Nord” </w:t>
      </w:r>
      <w:r w:rsidR="009B5040" w:rsidRPr="00CC2548">
        <w:rPr>
          <w:rFonts w:asciiTheme="majorBidi" w:hAnsiTheme="majorBidi" w:cstheme="majorBidi"/>
          <w:iCs/>
          <w:sz w:val="24"/>
          <w:szCs w:val="24"/>
          <w:lang w:val="ro-MD"/>
        </w:rPr>
        <w:t>relevă</w:t>
      </w:r>
      <w:r w:rsidR="00097BA2" w:rsidRPr="00CC2548">
        <w:rPr>
          <w:rFonts w:asciiTheme="majorBidi" w:hAnsiTheme="majorBidi" w:cstheme="majorBidi"/>
          <w:iCs/>
          <w:sz w:val="24"/>
          <w:szCs w:val="24"/>
          <w:lang w:val="ro-MD"/>
        </w:rPr>
        <w:t xml:space="preserve"> </w:t>
      </w:r>
      <w:r w:rsidR="004139F0" w:rsidRPr="00CC2548">
        <w:rPr>
          <w:rFonts w:asciiTheme="majorBidi" w:eastAsia="Times New Roman" w:hAnsiTheme="majorBidi" w:cstheme="majorBidi"/>
          <w:color w:val="000000"/>
          <w:sz w:val="24"/>
          <w:lang w:val="ro-MD"/>
        </w:rPr>
        <w:t xml:space="preserve">că activitățile, procesele și procedurile cuprinse în aria de audit, per </w:t>
      </w:r>
      <w:r w:rsidR="004139F0" w:rsidRPr="00CC2548">
        <w:rPr>
          <w:rFonts w:asciiTheme="majorBidi" w:eastAsia="Times New Roman" w:hAnsiTheme="majorBidi" w:cstheme="majorBidi"/>
          <w:color w:val="000000"/>
          <w:sz w:val="24"/>
          <w:lang w:val="ro-MD"/>
        </w:rPr>
        <w:lastRenderedPageBreak/>
        <w:t xml:space="preserve">ansamblu, corespund exigențelor cadrului normativ în vigoare, precum și reglementărilor interne existente, </w:t>
      </w:r>
      <w:r w:rsidR="00B421EB" w:rsidRPr="00CC2548">
        <w:rPr>
          <w:rFonts w:asciiTheme="majorBidi" w:eastAsia="Times New Roman" w:hAnsiTheme="majorBidi" w:cstheme="majorBidi"/>
          <w:color w:val="000000"/>
          <w:sz w:val="24"/>
          <w:lang w:val="ro-MD"/>
        </w:rPr>
        <w:t>dar s-au</w:t>
      </w:r>
      <w:r w:rsidR="004139F0" w:rsidRPr="00CC2548">
        <w:rPr>
          <w:rFonts w:asciiTheme="majorBidi" w:eastAsia="Times New Roman" w:hAnsiTheme="majorBidi" w:cstheme="majorBidi"/>
          <w:color w:val="000000"/>
          <w:sz w:val="24"/>
          <w:lang w:val="ro-MD"/>
        </w:rPr>
        <w:t xml:space="preserve"> constatat</w:t>
      </w:r>
      <w:r w:rsidR="00B421EB" w:rsidRPr="00CC2548">
        <w:rPr>
          <w:rFonts w:asciiTheme="majorBidi" w:eastAsia="Times New Roman" w:hAnsiTheme="majorBidi" w:cstheme="majorBidi"/>
          <w:color w:val="000000"/>
          <w:sz w:val="24"/>
          <w:lang w:val="ro-MD"/>
        </w:rPr>
        <w:t xml:space="preserve"> și</w:t>
      </w:r>
      <w:r w:rsidR="004139F0" w:rsidRPr="00CC2548">
        <w:rPr>
          <w:rFonts w:asciiTheme="majorBidi" w:eastAsia="Times New Roman" w:hAnsiTheme="majorBidi" w:cstheme="majorBidi"/>
          <w:color w:val="000000"/>
          <w:sz w:val="24"/>
          <w:lang w:val="ro-MD"/>
        </w:rPr>
        <w:t xml:space="preserve"> unele deficiențe/neconformități, care</w:t>
      </w:r>
      <w:r w:rsidR="00837B02" w:rsidRPr="00CC2548">
        <w:rPr>
          <w:rFonts w:asciiTheme="majorBidi" w:eastAsia="Times New Roman" w:hAnsiTheme="majorBidi" w:cstheme="majorBidi"/>
          <w:color w:val="000000"/>
          <w:sz w:val="24"/>
          <w:lang w:val="ro-MD"/>
        </w:rPr>
        <w:t xml:space="preserve"> </w:t>
      </w:r>
      <w:r w:rsidR="004139F0" w:rsidRPr="00CC2548">
        <w:rPr>
          <w:rFonts w:asciiTheme="majorBidi" w:eastAsia="Times New Roman" w:hAnsiTheme="majorBidi" w:cstheme="majorBidi"/>
          <w:color w:val="000000"/>
          <w:sz w:val="24"/>
          <w:lang w:val="ro-MD"/>
        </w:rPr>
        <w:t>nu au afectat semnificativ buna guvernare a p</w:t>
      </w:r>
      <w:r w:rsidR="00725C7D" w:rsidRPr="00CC2548">
        <w:rPr>
          <w:rFonts w:asciiTheme="majorBidi" w:eastAsia="Times New Roman" w:hAnsiTheme="majorBidi" w:cstheme="majorBidi"/>
          <w:color w:val="000000"/>
          <w:sz w:val="24"/>
          <w:lang w:val="ro-MD"/>
        </w:rPr>
        <w:t>atrimoniului public încredințat</w:t>
      </w:r>
      <w:r w:rsidR="00837B02" w:rsidRPr="00CC2548">
        <w:rPr>
          <w:rFonts w:asciiTheme="majorBidi" w:eastAsia="Times New Roman" w:hAnsiTheme="majorBidi" w:cstheme="majorBidi"/>
          <w:color w:val="000000"/>
          <w:sz w:val="24"/>
          <w:lang w:val="ro-MD"/>
        </w:rPr>
        <w:t xml:space="preserve">, </w:t>
      </w:r>
      <w:r w:rsidR="00E81C63" w:rsidRPr="00CC2548">
        <w:rPr>
          <w:rFonts w:asciiTheme="majorBidi" w:eastAsia="Times New Roman" w:hAnsiTheme="majorBidi" w:cstheme="majorBidi"/>
          <w:color w:val="000000"/>
          <w:sz w:val="24"/>
          <w:lang w:val="ro-MD"/>
        </w:rPr>
        <w:t xml:space="preserve">acestea </w:t>
      </w:r>
      <w:r w:rsidR="004139F0" w:rsidRPr="00CC2548">
        <w:rPr>
          <w:rFonts w:ascii="Times New Roman" w:hAnsi="Times New Roman"/>
          <w:sz w:val="24"/>
          <w:szCs w:val="24"/>
          <w:lang w:val="ro-MD"/>
        </w:rPr>
        <w:t>rezum</w:t>
      </w:r>
      <w:r w:rsidR="00837B02" w:rsidRPr="00CC2548">
        <w:rPr>
          <w:rFonts w:ascii="Times New Roman" w:hAnsi="Times New Roman"/>
          <w:sz w:val="24"/>
          <w:szCs w:val="24"/>
          <w:lang w:val="ro-MD"/>
        </w:rPr>
        <w:t>ându-se</w:t>
      </w:r>
      <w:r w:rsidR="004139F0" w:rsidRPr="00CC2548">
        <w:rPr>
          <w:rFonts w:ascii="Times New Roman" w:hAnsi="Times New Roman"/>
          <w:sz w:val="24"/>
          <w:szCs w:val="24"/>
          <w:lang w:val="ro-MD"/>
        </w:rPr>
        <w:t xml:space="preserve"> la următoarele</w:t>
      </w:r>
      <w:r w:rsidR="004139F0" w:rsidRPr="00CC2548">
        <w:rPr>
          <w:rFonts w:ascii="Times New Roman" w:eastAsia="Times New Roman" w:hAnsi="Times New Roman"/>
          <w:iCs/>
          <w:sz w:val="24"/>
          <w:szCs w:val="24"/>
          <w:lang w:val="ro-MD" w:eastAsia="ro-MD"/>
        </w:rPr>
        <w:t>:</w:t>
      </w:r>
    </w:p>
    <w:p w14:paraId="0C6CC893" w14:textId="2E57012B" w:rsidR="00A87E71" w:rsidRPr="00CC2548" w:rsidRDefault="002512FE" w:rsidP="00F10C7F">
      <w:pPr>
        <w:pStyle w:val="af3"/>
        <w:numPr>
          <w:ilvl w:val="0"/>
          <w:numId w:val="1"/>
        </w:numPr>
        <w:tabs>
          <w:tab w:val="left" w:pos="993"/>
        </w:tabs>
        <w:ind w:left="0" w:firstLine="709"/>
        <w:jc w:val="both"/>
        <w:rPr>
          <w:rFonts w:asciiTheme="majorBidi" w:hAnsiTheme="majorBidi" w:cstheme="majorBidi"/>
          <w:sz w:val="24"/>
          <w:szCs w:val="24"/>
          <w:lang w:val="ro-MD"/>
        </w:rPr>
      </w:pPr>
      <w:proofErr w:type="spellStart"/>
      <w:r w:rsidRPr="00CC2548">
        <w:rPr>
          <w:rFonts w:ascii="Times New Roman" w:hAnsi="Times New Roman"/>
          <w:iCs/>
          <w:sz w:val="24"/>
          <w:szCs w:val="20"/>
          <w:lang w:val="ro-MD"/>
        </w:rPr>
        <w:t>neîntreprinderea</w:t>
      </w:r>
      <w:proofErr w:type="spellEnd"/>
      <w:r w:rsidRPr="00CC2548">
        <w:rPr>
          <w:rFonts w:ascii="Times New Roman" w:hAnsi="Times New Roman"/>
          <w:iCs/>
          <w:sz w:val="24"/>
          <w:szCs w:val="20"/>
          <w:lang w:val="ro-MD"/>
        </w:rPr>
        <w:t xml:space="preserve"> măsuril</w:t>
      </w:r>
      <w:r w:rsidR="00E81C63" w:rsidRPr="00CC2548">
        <w:rPr>
          <w:rFonts w:ascii="Times New Roman" w:hAnsi="Times New Roman"/>
          <w:iCs/>
          <w:sz w:val="24"/>
          <w:szCs w:val="20"/>
          <w:lang w:val="ro-MD"/>
        </w:rPr>
        <w:t>or</w:t>
      </w:r>
      <w:r w:rsidRPr="00CC2548">
        <w:rPr>
          <w:rFonts w:ascii="Times New Roman" w:hAnsi="Times New Roman"/>
          <w:iCs/>
          <w:sz w:val="24"/>
          <w:szCs w:val="20"/>
          <w:lang w:val="ro-MD"/>
        </w:rPr>
        <w:t xml:space="preserve"> </w:t>
      </w:r>
      <w:r w:rsidR="00A87E71" w:rsidRPr="00CC2548">
        <w:rPr>
          <w:rFonts w:ascii="Times New Roman" w:hAnsi="Times New Roman"/>
          <w:sz w:val="24"/>
          <w:szCs w:val="28"/>
          <w:shd w:val="clear" w:color="auto" w:fill="FFFFFF" w:themeFill="background1"/>
          <w:lang w:val="ro-MD"/>
        </w:rPr>
        <w:t>suficiente</w:t>
      </w:r>
      <w:r w:rsidR="00A87E71" w:rsidRPr="00CC2548">
        <w:rPr>
          <w:rFonts w:asciiTheme="majorBidi" w:hAnsiTheme="majorBidi" w:cstheme="majorBidi"/>
          <w:sz w:val="24"/>
          <w:szCs w:val="24"/>
          <w:lang w:val="ro-MD"/>
        </w:rPr>
        <w:t xml:space="preserve"> în vederea asigurării bazei </w:t>
      </w:r>
      <w:r w:rsidR="00F10C7F" w:rsidRPr="00CC2548">
        <w:rPr>
          <w:rFonts w:asciiTheme="majorBidi" w:hAnsiTheme="majorBidi" w:cstheme="majorBidi"/>
          <w:sz w:val="24"/>
          <w:szCs w:val="24"/>
          <w:lang w:val="ro-MD"/>
        </w:rPr>
        <w:t>contractuale</w:t>
      </w:r>
      <w:r w:rsidR="00A87E71" w:rsidRPr="00CC2548">
        <w:rPr>
          <w:rFonts w:asciiTheme="majorBidi" w:hAnsiTheme="majorBidi" w:cstheme="majorBidi"/>
          <w:sz w:val="24"/>
          <w:szCs w:val="24"/>
          <w:lang w:val="ro-MD"/>
        </w:rPr>
        <w:t xml:space="preserve"> pentru livrarea energiei electrice consumatorilor</w:t>
      </w:r>
      <w:r w:rsidR="00E81C63" w:rsidRPr="00CC2548">
        <w:rPr>
          <w:rFonts w:asciiTheme="majorBidi" w:hAnsiTheme="majorBidi" w:cstheme="majorBidi"/>
          <w:sz w:val="24"/>
          <w:szCs w:val="24"/>
          <w:lang w:val="ro-MD"/>
        </w:rPr>
        <w:t>,</w:t>
      </w:r>
      <w:r w:rsidR="00A87E71" w:rsidRPr="00CC2548">
        <w:rPr>
          <w:rFonts w:asciiTheme="majorBidi" w:hAnsiTheme="majorBidi" w:cstheme="majorBidi"/>
          <w:sz w:val="24"/>
          <w:szCs w:val="24"/>
          <w:lang w:val="ro-MD"/>
        </w:rPr>
        <w:t xml:space="preserve"> </w:t>
      </w:r>
      <w:r w:rsidR="00F10C7F" w:rsidRPr="00CC2548">
        <w:rPr>
          <w:rFonts w:asciiTheme="majorBidi" w:hAnsiTheme="majorBidi" w:cstheme="majorBidi"/>
          <w:sz w:val="24"/>
          <w:szCs w:val="24"/>
          <w:lang w:val="ro-MD"/>
        </w:rPr>
        <w:t xml:space="preserve">având impact asupra </w:t>
      </w:r>
      <w:r w:rsidR="00A87E71" w:rsidRPr="00CC2548">
        <w:rPr>
          <w:rFonts w:asciiTheme="majorBidi" w:hAnsiTheme="majorBidi" w:cstheme="majorBidi"/>
          <w:sz w:val="24"/>
          <w:szCs w:val="24"/>
          <w:lang w:val="ro-MD"/>
        </w:rPr>
        <w:t>recunoașterii, înca</w:t>
      </w:r>
      <w:r w:rsidR="00F10C7F" w:rsidRPr="00CC2548">
        <w:rPr>
          <w:rFonts w:asciiTheme="majorBidi" w:hAnsiTheme="majorBidi" w:cstheme="majorBidi"/>
          <w:sz w:val="24"/>
          <w:szCs w:val="24"/>
          <w:lang w:val="ro-MD"/>
        </w:rPr>
        <w:t>sării și recuperării creanțelor</w:t>
      </w:r>
      <w:r w:rsidR="00A87E71" w:rsidRPr="00CC2548">
        <w:rPr>
          <w:rFonts w:asciiTheme="majorBidi" w:hAnsiTheme="majorBidi" w:cstheme="majorBidi"/>
          <w:sz w:val="24"/>
          <w:szCs w:val="24"/>
          <w:lang w:val="ro-MD"/>
        </w:rPr>
        <w:t>;</w:t>
      </w:r>
    </w:p>
    <w:p w14:paraId="2DF05735" w14:textId="457A2823" w:rsidR="00A87E71" w:rsidRPr="00CC2548" w:rsidRDefault="00A87E71" w:rsidP="00F10C7F">
      <w:pPr>
        <w:pStyle w:val="af3"/>
        <w:numPr>
          <w:ilvl w:val="0"/>
          <w:numId w:val="1"/>
        </w:numPr>
        <w:tabs>
          <w:tab w:val="left" w:pos="993"/>
        </w:tabs>
        <w:ind w:left="0" w:firstLine="709"/>
        <w:jc w:val="both"/>
        <w:rPr>
          <w:rFonts w:asciiTheme="majorBidi" w:hAnsiTheme="majorBidi" w:cstheme="majorBidi"/>
          <w:bCs/>
          <w:sz w:val="24"/>
          <w:szCs w:val="24"/>
          <w:lang w:val="ro-MD"/>
        </w:rPr>
      </w:pPr>
      <w:r w:rsidRPr="00CC2548">
        <w:rPr>
          <w:rFonts w:ascii="Times New Roman" w:eastAsiaTheme="majorEastAsia" w:hAnsi="Times New Roman"/>
          <w:bCs/>
          <w:iCs/>
          <w:sz w:val="24"/>
          <w:szCs w:val="24"/>
          <w:lang w:val="ro-MD"/>
        </w:rPr>
        <w:t>neconfirmarea de către S</w:t>
      </w:r>
      <w:r w:rsidR="00F46772" w:rsidRPr="00CC2548">
        <w:rPr>
          <w:rFonts w:ascii="Times New Roman" w:eastAsiaTheme="majorEastAsia" w:hAnsi="Times New Roman"/>
          <w:bCs/>
          <w:iCs/>
          <w:sz w:val="24"/>
          <w:szCs w:val="24"/>
          <w:lang w:val="ro-MD"/>
        </w:rPr>
        <w:t>.</w:t>
      </w:r>
      <w:r w:rsidRPr="00CC2548">
        <w:rPr>
          <w:rFonts w:ascii="Times New Roman" w:eastAsiaTheme="majorEastAsia" w:hAnsi="Times New Roman"/>
          <w:bCs/>
          <w:iCs/>
          <w:sz w:val="24"/>
          <w:szCs w:val="24"/>
          <w:lang w:val="ro-MD"/>
        </w:rPr>
        <w:t>A</w:t>
      </w:r>
      <w:r w:rsidR="00F46772" w:rsidRPr="00CC2548">
        <w:rPr>
          <w:rFonts w:ascii="Times New Roman" w:eastAsiaTheme="majorEastAsia" w:hAnsi="Times New Roman"/>
          <w:bCs/>
          <w:iCs/>
          <w:sz w:val="24"/>
          <w:szCs w:val="24"/>
          <w:lang w:val="ro-MD"/>
        </w:rPr>
        <w:t>.</w:t>
      </w:r>
      <w:r w:rsidRPr="00CC2548">
        <w:rPr>
          <w:rFonts w:ascii="Times New Roman" w:eastAsiaTheme="majorEastAsia" w:hAnsi="Times New Roman"/>
          <w:bCs/>
          <w:iCs/>
          <w:sz w:val="24"/>
          <w:szCs w:val="24"/>
          <w:lang w:val="ro-MD"/>
        </w:rPr>
        <w:t xml:space="preserve"> </w:t>
      </w:r>
      <w:r w:rsidR="00F46772" w:rsidRPr="00CC2548">
        <w:rPr>
          <w:rFonts w:ascii="Times New Roman" w:eastAsiaTheme="majorEastAsia" w:hAnsi="Times New Roman"/>
          <w:bCs/>
          <w:iCs/>
          <w:sz w:val="24"/>
          <w:szCs w:val="24"/>
          <w:lang w:val="ro-MD"/>
        </w:rPr>
        <w:t>„</w:t>
      </w:r>
      <w:r w:rsidRPr="00CC2548">
        <w:rPr>
          <w:rFonts w:ascii="Times New Roman" w:eastAsiaTheme="majorEastAsia" w:hAnsi="Times New Roman"/>
          <w:bCs/>
          <w:iCs/>
          <w:sz w:val="24"/>
          <w:szCs w:val="24"/>
          <w:lang w:val="ro-MD"/>
        </w:rPr>
        <w:t>FEE-Nord</w:t>
      </w:r>
      <w:r w:rsidR="00F46772" w:rsidRPr="00CC2548">
        <w:rPr>
          <w:rFonts w:ascii="Times New Roman" w:eastAsiaTheme="majorEastAsia" w:hAnsi="Times New Roman"/>
          <w:bCs/>
          <w:iCs/>
          <w:sz w:val="24"/>
          <w:szCs w:val="24"/>
          <w:lang w:val="ro-MD"/>
        </w:rPr>
        <w:t>”</w:t>
      </w:r>
      <w:r w:rsidRPr="00CC2548">
        <w:rPr>
          <w:rFonts w:ascii="Times New Roman" w:eastAsiaTheme="majorEastAsia" w:hAnsi="Times New Roman"/>
          <w:bCs/>
          <w:iCs/>
          <w:sz w:val="24"/>
          <w:szCs w:val="24"/>
          <w:lang w:val="ro-MD"/>
        </w:rPr>
        <w:t xml:space="preserve"> </w:t>
      </w:r>
      <w:r w:rsidR="00F10C7F" w:rsidRPr="00CC2548">
        <w:rPr>
          <w:rFonts w:ascii="Times New Roman" w:eastAsiaTheme="majorEastAsia" w:hAnsi="Times New Roman"/>
          <w:bCs/>
          <w:iCs/>
          <w:sz w:val="24"/>
          <w:szCs w:val="24"/>
          <w:lang w:val="ro-MD"/>
        </w:rPr>
        <w:t xml:space="preserve">și operatorul sistemului de transport </w:t>
      </w:r>
      <w:r w:rsidR="00E81C63" w:rsidRPr="00CC2548">
        <w:rPr>
          <w:rFonts w:ascii="Times New Roman" w:eastAsiaTheme="majorEastAsia" w:hAnsi="Times New Roman"/>
          <w:bCs/>
          <w:iCs/>
          <w:sz w:val="24"/>
          <w:szCs w:val="24"/>
          <w:lang w:val="ro-MD"/>
        </w:rPr>
        <w:t xml:space="preserve">a datoriilor existente </w:t>
      </w:r>
      <w:r w:rsidRPr="00CC2548">
        <w:rPr>
          <w:rFonts w:ascii="Times New Roman" w:eastAsiaTheme="majorEastAsia" w:hAnsi="Times New Roman"/>
          <w:bCs/>
          <w:iCs/>
          <w:sz w:val="24"/>
          <w:szCs w:val="24"/>
          <w:lang w:val="ro-MD"/>
        </w:rPr>
        <w:t xml:space="preserve">în </w:t>
      </w:r>
      <w:r w:rsidR="00E81C63" w:rsidRPr="00CC2548">
        <w:rPr>
          <w:rFonts w:ascii="Times New Roman" w:eastAsiaTheme="majorEastAsia" w:hAnsi="Times New Roman"/>
          <w:bCs/>
          <w:iCs/>
          <w:sz w:val="24"/>
          <w:szCs w:val="24"/>
          <w:lang w:val="ro-MD"/>
        </w:rPr>
        <w:t>sumă</w:t>
      </w:r>
      <w:r w:rsidRPr="00CC2548">
        <w:rPr>
          <w:rFonts w:ascii="Times New Roman" w:eastAsiaTheme="majorEastAsia" w:hAnsi="Times New Roman"/>
          <w:bCs/>
          <w:iCs/>
          <w:sz w:val="24"/>
          <w:szCs w:val="24"/>
          <w:lang w:val="ro-MD"/>
        </w:rPr>
        <w:t xml:space="preserve"> de 22,01 mil. lei</w:t>
      </w:r>
      <w:r w:rsidR="00E81C63" w:rsidRPr="00CC2548">
        <w:rPr>
          <w:rFonts w:ascii="Times New Roman" w:eastAsiaTheme="majorEastAsia" w:hAnsi="Times New Roman"/>
          <w:bCs/>
          <w:iCs/>
          <w:sz w:val="24"/>
          <w:szCs w:val="24"/>
          <w:lang w:val="ro-MD"/>
        </w:rPr>
        <w:t>,</w:t>
      </w:r>
      <w:r w:rsidRPr="00CC2548">
        <w:rPr>
          <w:rFonts w:ascii="Times New Roman" w:eastAsiaTheme="majorEastAsia" w:hAnsi="Times New Roman"/>
          <w:bCs/>
          <w:iCs/>
          <w:sz w:val="24"/>
          <w:szCs w:val="24"/>
          <w:lang w:val="ro-MD"/>
        </w:rPr>
        <w:t xml:space="preserve"> </w:t>
      </w:r>
      <w:r w:rsidR="00E81C63" w:rsidRPr="00CC2548">
        <w:rPr>
          <w:rFonts w:ascii="Times New Roman" w:eastAsiaTheme="majorEastAsia" w:hAnsi="Times New Roman"/>
          <w:bCs/>
          <w:iCs/>
          <w:sz w:val="24"/>
          <w:szCs w:val="24"/>
          <w:lang w:val="ro-MD"/>
        </w:rPr>
        <w:t>cauz</w:t>
      </w:r>
      <w:r w:rsidR="00F10C7F" w:rsidRPr="00CC2548">
        <w:rPr>
          <w:rFonts w:ascii="Times New Roman" w:eastAsiaTheme="majorEastAsia" w:hAnsi="Times New Roman"/>
          <w:bCs/>
          <w:iCs/>
          <w:sz w:val="24"/>
          <w:szCs w:val="24"/>
          <w:lang w:val="ro-MD"/>
        </w:rPr>
        <w:t>ate</w:t>
      </w:r>
      <w:r w:rsidR="00F10C7F" w:rsidRPr="00CC2548">
        <w:rPr>
          <w:rFonts w:ascii="Times New Roman" w:eastAsiaTheme="majorEastAsia" w:hAnsi="Times New Roman"/>
          <w:bCs/>
          <w:i/>
          <w:iCs/>
          <w:sz w:val="24"/>
          <w:szCs w:val="24"/>
          <w:lang w:val="ro-MD"/>
        </w:rPr>
        <w:t xml:space="preserve"> </w:t>
      </w:r>
      <w:r w:rsidR="00E81C63" w:rsidRPr="00CC2548">
        <w:rPr>
          <w:rFonts w:ascii="Times New Roman" w:eastAsiaTheme="majorEastAsia" w:hAnsi="Times New Roman"/>
          <w:bCs/>
          <w:iCs/>
          <w:sz w:val="24"/>
          <w:szCs w:val="24"/>
          <w:lang w:val="ro-MD"/>
        </w:rPr>
        <w:t>de</w:t>
      </w:r>
      <w:r w:rsidR="00E81C63" w:rsidRPr="00CC2548">
        <w:rPr>
          <w:rFonts w:ascii="Times New Roman" w:eastAsiaTheme="majorEastAsia" w:hAnsi="Times New Roman"/>
          <w:bCs/>
          <w:i/>
          <w:iCs/>
          <w:sz w:val="24"/>
          <w:szCs w:val="24"/>
          <w:lang w:val="ro-MD"/>
        </w:rPr>
        <w:t xml:space="preserve"> </w:t>
      </w:r>
      <w:r w:rsidR="00F10C7F" w:rsidRPr="00CC2548">
        <w:rPr>
          <w:rFonts w:ascii="Times New Roman" w:eastAsiaTheme="majorEastAsia" w:hAnsi="Times New Roman"/>
          <w:bCs/>
          <w:sz w:val="24"/>
          <w:szCs w:val="24"/>
          <w:lang w:val="ro-MD"/>
        </w:rPr>
        <w:t>imperfecțiun</w:t>
      </w:r>
      <w:r w:rsidR="00E81C63" w:rsidRPr="00CC2548">
        <w:rPr>
          <w:rFonts w:ascii="Times New Roman" w:eastAsiaTheme="majorEastAsia" w:hAnsi="Times New Roman"/>
          <w:bCs/>
          <w:sz w:val="24"/>
          <w:szCs w:val="24"/>
          <w:lang w:val="ro-MD"/>
        </w:rPr>
        <w:t>ea</w:t>
      </w:r>
      <w:r w:rsidR="00F10C7F" w:rsidRPr="00CC2548">
        <w:rPr>
          <w:rFonts w:ascii="Times New Roman" w:eastAsiaTheme="majorEastAsia" w:hAnsi="Times New Roman"/>
          <w:bCs/>
          <w:sz w:val="24"/>
          <w:szCs w:val="24"/>
          <w:lang w:val="ro-MD"/>
        </w:rPr>
        <w:t xml:space="preserve"> cadrului legal privind evaluare</w:t>
      </w:r>
      <w:r w:rsidR="00E81C63" w:rsidRPr="00CC2548">
        <w:rPr>
          <w:rFonts w:ascii="Times New Roman" w:eastAsiaTheme="majorEastAsia" w:hAnsi="Times New Roman"/>
          <w:bCs/>
          <w:sz w:val="24"/>
          <w:szCs w:val="24"/>
          <w:lang w:val="ro-MD"/>
        </w:rPr>
        <w:t xml:space="preserve">a </w:t>
      </w:r>
      <w:r w:rsidR="00F10C7F" w:rsidRPr="00CC2548">
        <w:rPr>
          <w:rFonts w:ascii="Times New Roman" w:eastAsiaTheme="majorEastAsia" w:hAnsi="Times New Roman"/>
          <w:bCs/>
          <w:sz w:val="24"/>
          <w:szCs w:val="24"/>
          <w:lang w:val="ro-MD"/>
        </w:rPr>
        <w:t xml:space="preserve"> dezechilibrelor de energie electrică</w:t>
      </w:r>
      <w:r w:rsidRPr="00CC2548">
        <w:rPr>
          <w:rFonts w:ascii="Times New Roman" w:eastAsia="Times New Roman" w:hAnsi="Times New Roman"/>
          <w:bCs/>
          <w:sz w:val="24"/>
          <w:szCs w:val="24"/>
          <w:lang w:val="ro-MD"/>
        </w:rPr>
        <w:t>;</w:t>
      </w:r>
    </w:p>
    <w:p w14:paraId="0E042AAA" w14:textId="480DB71C" w:rsidR="00881834" w:rsidRPr="00CC2548" w:rsidRDefault="00881834" w:rsidP="00881834">
      <w:pPr>
        <w:pStyle w:val="af3"/>
        <w:numPr>
          <w:ilvl w:val="0"/>
          <w:numId w:val="1"/>
        </w:numPr>
        <w:tabs>
          <w:tab w:val="left" w:pos="993"/>
        </w:tabs>
        <w:ind w:left="0" w:firstLine="709"/>
        <w:jc w:val="both"/>
        <w:rPr>
          <w:rFonts w:asciiTheme="majorBidi" w:hAnsiTheme="majorBidi" w:cstheme="majorBidi"/>
          <w:bCs/>
          <w:sz w:val="24"/>
          <w:szCs w:val="24"/>
          <w:lang w:val="ro-MD"/>
        </w:rPr>
      </w:pPr>
      <w:r w:rsidRPr="00CC2548">
        <w:rPr>
          <w:rFonts w:ascii="Times New Roman" w:hAnsi="Times New Roman"/>
          <w:sz w:val="24"/>
          <w:szCs w:val="24"/>
          <w:shd w:val="clear" w:color="auto" w:fill="FFFFFF"/>
          <w:lang w:val="ro-MD"/>
        </w:rPr>
        <w:t>neemiterea în termen de către Î.S. „</w:t>
      </w:r>
      <w:proofErr w:type="spellStart"/>
      <w:r w:rsidRPr="00CC2548">
        <w:rPr>
          <w:rFonts w:ascii="Times New Roman" w:hAnsi="Times New Roman"/>
          <w:sz w:val="24"/>
          <w:szCs w:val="24"/>
          <w:shd w:val="clear" w:color="auto" w:fill="FFFFFF"/>
          <w:lang w:val="ro-MD"/>
        </w:rPr>
        <w:t>Moldelectrica</w:t>
      </w:r>
      <w:proofErr w:type="spellEnd"/>
      <w:r w:rsidRPr="00CC2548">
        <w:rPr>
          <w:rFonts w:ascii="Times New Roman" w:hAnsi="Times New Roman"/>
          <w:sz w:val="24"/>
          <w:szCs w:val="24"/>
          <w:shd w:val="clear" w:color="auto" w:fill="FFFFFF"/>
          <w:lang w:val="ro-MD"/>
        </w:rPr>
        <w:t xml:space="preserve">” </w:t>
      </w:r>
      <w:r w:rsidR="005D2D34" w:rsidRPr="00CC2548">
        <w:rPr>
          <w:rFonts w:ascii="Times New Roman" w:hAnsi="Times New Roman"/>
          <w:sz w:val="24"/>
          <w:szCs w:val="24"/>
          <w:shd w:val="clear" w:color="auto" w:fill="FFFFFF"/>
          <w:lang w:val="ro-MD"/>
        </w:rPr>
        <w:t>a facturilor</w:t>
      </w:r>
      <w:r w:rsidR="005D2D34" w:rsidRPr="00CC2548">
        <w:rPr>
          <w:rFonts w:ascii="Times New Roman" w:eastAsia="Calibri" w:hAnsi="Times New Roman" w:cs="Times New Roman"/>
          <w:i/>
          <w:iCs/>
          <w:sz w:val="24"/>
          <w:szCs w:val="24"/>
          <w:shd w:val="clear" w:color="auto" w:fill="FFFFFF"/>
          <w:lang w:val="ro-MD"/>
        </w:rPr>
        <w:t xml:space="preserve"> </w:t>
      </w:r>
      <w:r w:rsidRPr="00CC2548">
        <w:rPr>
          <w:rFonts w:ascii="Times New Roman" w:hAnsi="Times New Roman"/>
          <w:sz w:val="24"/>
          <w:szCs w:val="24"/>
          <w:shd w:val="clear" w:color="auto" w:fill="FFFFFF"/>
          <w:lang w:val="ro-MD"/>
        </w:rPr>
        <w:t>pentru dezechilibrele negative și pozitive</w:t>
      </w:r>
      <w:r w:rsidR="005D2D34" w:rsidRPr="00CC2548">
        <w:rPr>
          <w:rFonts w:ascii="Times New Roman" w:hAnsi="Times New Roman"/>
          <w:sz w:val="24"/>
          <w:szCs w:val="24"/>
          <w:shd w:val="clear" w:color="auto" w:fill="FFFFFF"/>
          <w:lang w:val="ro-MD"/>
        </w:rPr>
        <w:t>, ceea ce</w:t>
      </w:r>
      <w:r w:rsidRPr="00CC2548">
        <w:rPr>
          <w:rFonts w:ascii="Times New Roman" w:hAnsi="Times New Roman"/>
          <w:sz w:val="24"/>
          <w:szCs w:val="24"/>
          <w:shd w:val="clear" w:color="auto" w:fill="FFFFFF"/>
          <w:lang w:val="ro-MD"/>
        </w:rPr>
        <w:t xml:space="preserve"> a d</w:t>
      </w:r>
      <w:r w:rsidR="004A22CC" w:rsidRPr="00CC2548">
        <w:rPr>
          <w:rFonts w:ascii="Times New Roman" w:hAnsi="Times New Roman"/>
          <w:sz w:val="24"/>
          <w:szCs w:val="24"/>
          <w:shd w:val="clear" w:color="auto" w:fill="FFFFFF"/>
          <w:lang w:val="ro-MD"/>
        </w:rPr>
        <w:t>eterminat</w:t>
      </w:r>
      <w:r w:rsidRPr="00CC2548">
        <w:rPr>
          <w:rFonts w:ascii="Times New Roman" w:hAnsi="Times New Roman"/>
          <w:sz w:val="24"/>
          <w:szCs w:val="24"/>
          <w:shd w:val="clear" w:color="auto" w:fill="FFFFFF"/>
          <w:lang w:val="ro-MD"/>
        </w:rPr>
        <w:t xml:space="preserve"> neincluderea acestora în tarif</w:t>
      </w:r>
      <w:r w:rsidR="004A22CC" w:rsidRPr="00CC2548">
        <w:rPr>
          <w:rFonts w:ascii="Times New Roman" w:hAnsi="Times New Roman"/>
          <w:sz w:val="24"/>
          <w:szCs w:val="24"/>
          <w:shd w:val="clear" w:color="auto" w:fill="FFFFFF"/>
          <w:lang w:val="ro-MD"/>
        </w:rPr>
        <w:t xml:space="preserve">, fiind </w:t>
      </w:r>
      <w:r w:rsidRPr="00CC2548">
        <w:rPr>
          <w:rFonts w:ascii="Times New Roman" w:hAnsi="Times New Roman"/>
          <w:sz w:val="24"/>
          <w:szCs w:val="24"/>
          <w:shd w:val="clear" w:color="auto" w:fill="FFFFFF"/>
          <w:lang w:val="ro-MD"/>
        </w:rPr>
        <w:t>denaturat</w:t>
      </w:r>
      <w:r w:rsidR="00237186" w:rsidRPr="00CC2548">
        <w:rPr>
          <w:rFonts w:ascii="Times New Roman" w:hAnsi="Times New Roman"/>
          <w:sz w:val="24"/>
          <w:szCs w:val="24"/>
          <w:shd w:val="clear" w:color="auto" w:fill="FFFFFF"/>
          <w:lang w:val="ro-MD"/>
        </w:rPr>
        <w:t xml:space="preserve"> rezultatul </w:t>
      </w:r>
      <w:r w:rsidR="00EE0AEE" w:rsidRPr="00CC2548">
        <w:rPr>
          <w:rFonts w:ascii="Times New Roman" w:hAnsi="Times New Roman"/>
          <w:sz w:val="24"/>
          <w:szCs w:val="24"/>
          <w:shd w:val="clear" w:color="auto" w:fill="FFFFFF"/>
          <w:lang w:val="ro-MD"/>
        </w:rPr>
        <w:t xml:space="preserve">financiar al </w:t>
      </w:r>
      <w:r w:rsidR="00237186" w:rsidRPr="00CC2548">
        <w:rPr>
          <w:rFonts w:ascii="Times New Roman" w:hAnsi="Times New Roman"/>
          <w:sz w:val="24"/>
          <w:szCs w:val="24"/>
          <w:shd w:val="clear" w:color="auto" w:fill="FFFFFF"/>
          <w:lang w:val="ro-MD"/>
        </w:rPr>
        <w:t>anului de gestiune;</w:t>
      </w:r>
    </w:p>
    <w:p w14:paraId="27C58481" w14:textId="308F8F2F" w:rsidR="001E1832" w:rsidRPr="00CC2548" w:rsidRDefault="001E1832" w:rsidP="00F10C7F">
      <w:pPr>
        <w:pStyle w:val="af3"/>
        <w:numPr>
          <w:ilvl w:val="0"/>
          <w:numId w:val="1"/>
        </w:numPr>
        <w:tabs>
          <w:tab w:val="left" w:pos="993"/>
        </w:tabs>
        <w:ind w:left="0" w:firstLine="709"/>
        <w:jc w:val="both"/>
        <w:rPr>
          <w:rFonts w:asciiTheme="majorBidi" w:hAnsiTheme="majorBidi" w:cstheme="majorBidi"/>
          <w:bCs/>
          <w:sz w:val="24"/>
          <w:szCs w:val="24"/>
          <w:lang w:val="ro-MD"/>
        </w:rPr>
      </w:pPr>
      <w:r w:rsidRPr="00CC2548">
        <w:rPr>
          <w:rFonts w:ascii="Times New Roman" w:eastAsia="Times New Roman" w:hAnsi="Times New Roman"/>
          <w:sz w:val="24"/>
          <w:szCs w:val="24"/>
          <w:lang w:val="ro-MD" w:eastAsia="ro-RO"/>
        </w:rPr>
        <w:t xml:space="preserve">lipsa reglementărilor interne cu privire la acordarea premiilor și sporurilor, precum și </w:t>
      </w:r>
      <w:r w:rsidR="00863820" w:rsidRPr="00CC2548">
        <w:rPr>
          <w:rFonts w:ascii="Times New Roman" w:eastAsia="Times New Roman" w:hAnsi="Times New Roman"/>
          <w:sz w:val="24"/>
          <w:szCs w:val="24"/>
          <w:lang w:val="ro-MD" w:eastAsia="ro-RO"/>
        </w:rPr>
        <w:t xml:space="preserve">acțiunile </w:t>
      </w:r>
      <w:r w:rsidRPr="00CC2548">
        <w:rPr>
          <w:rFonts w:ascii="Times New Roman" w:eastAsia="Times New Roman" w:hAnsi="Times New Roman"/>
          <w:sz w:val="24"/>
          <w:szCs w:val="24"/>
          <w:lang w:val="ro-MD" w:eastAsia="ro-RO"/>
        </w:rPr>
        <w:t>întreprin</w:t>
      </w:r>
      <w:r w:rsidR="00863820" w:rsidRPr="00CC2548">
        <w:rPr>
          <w:rFonts w:ascii="Times New Roman" w:eastAsia="Times New Roman" w:hAnsi="Times New Roman"/>
          <w:sz w:val="24"/>
          <w:szCs w:val="24"/>
          <w:lang w:val="ro-MD" w:eastAsia="ro-RO"/>
        </w:rPr>
        <w:t>se pentru</w:t>
      </w:r>
      <w:r w:rsidRPr="00CC2548">
        <w:rPr>
          <w:rFonts w:ascii="Times New Roman" w:eastAsia="Times New Roman" w:hAnsi="Times New Roman"/>
          <w:sz w:val="24"/>
          <w:szCs w:val="24"/>
          <w:lang w:val="ro-MD" w:eastAsia="ro-RO"/>
        </w:rPr>
        <w:t xml:space="preserve"> demiter</w:t>
      </w:r>
      <w:r w:rsidR="00863820" w:rsidRPr="00CC2548">
        <w:rPr>
          <w:rFonts w:ascii="Times New Roman" w:eastAsia="Times New Roman" w:hAnsi="Times New Roman"/>
          <w:sz w:val="24"/>
          <w:szCs w:val="24"/>
          <w:lang w:val="ro-MD" w:eastAsia="ro-RO"/>
        </w:rPr>
        <w:t>ea</w:t>
      </w:r>
      <w:r w:rsidRPr="00CC2548">
        <w:rPr>
          <w:rFonts w:ascii="Times New Roman" w:eastAsia="Times New Roman" w:hAnsi="Times New Roman"/>
          <w:sz w:val="24"/>
          <w:szCs w:val="24"/>
          <w:lang w:val="ro-MD" w:eastAsia="ro-RO"/>
        </w:rPr>
        <w:t xml:space="preserve"> </w:t>
      </w:r>
      <w:r w:rsidR="00863820" w:rsidRPr="00CC2548">
        <w:rPr>
          <w:rFonts w:ascii="Times New Roman" w:eastAsia="Times New Roman" w:hAnsi="Times New Roman"/>
          <w:sz w:val="24"/>
          <w:szCs w:val="24"/>
          <w:lang w:val="ro-MD" w:eastAsia="ro-RO"/>
        </w:rPr>
        <w:t xml:space="preserve">din funcție a </w:t>
      </w:r>
      <w:r w:rsidRPr="00CC2548">
        <w:rPr>
          <w:rFonts w:ascii="Times New Roman" w:eastAsia="Times New Roman" w:hAnsi="Times New Roman"/>
          <w:sz w:val="24"/>
          <w:szCs w:val="24"/>
          <w:lang w:val="ro-MD" w:eastAsia="ro-RO"/>
        </w:rPr>
        <w:t>unei persoane a</w:t>
      </w:r>
      <w:r w:rsidR="004A22CC" w:rsidRPr="00CC2548">
        <w:rPr>
          <w:rFonts w:ascii="Times New Roman" w:eastAsia="Times New Roman" w:hAnsi="Times New Roman"/>
          <w:sz w:val="24"/>
          <w:szCs w:val="24"/>
          <w:lang w:val="ro-MD" w:eastAsia="ro-RO"/>
        </w:rPr>
        <w:t>u</w:t>
      </w:r>
      <w:r w:rsidRPr="00CC2548">
        <w:rPr>
          <w:rFonts w:ascii="Times New Roman" w:eastAsia="Times New Roman" w:hAnsi="Times New Roman"/>
          <w:sz w:val="24"/>
          <w:szCs w:val="24"/>
          <w:lang w:val="ro-MD" w:eastAsia="ro-RO"/>
        </w:rPr>
        <w:t xml:space="preserve"> condiționat suportarea unor plăți nejustificate și </w:t>
      </w:r>
      <w:r w:rsidR="00F10C7F" w:rsidRPr="00CC2548">
        <w:rPr>
          <w:rFonts w:ascii="Times New Roman" w:eastAsia="Times New Roman" w:hAnsi="Times New Roman"/>
          <w:sz w:val="24"/>
          <w:szCs w:val="24"/>
          <w:lang w:val="ro-MD" w:eastAsia="ro-RO"/>
        </w:rPr>
        <w:t>suplimentare</w:t>
      </w:r>
      <w:r w:rsidRPr="00CC2548">
        <w:rPr>
          <w:rFonts w:ascii="Times New Roman" w:eastAsia="Times New Roman" w:hAnsi="Times New Roman"/>
          <w:sz w:val="24"/>
          <w:szCs w:val="24"/>
          <w:lang w:val="ro-MD" w:eastAsia="ro-RO"/>
        </w:rPr>
        <w:t xml:space="preserve"> pentru retribuire</w:t>
      </w:r>
      <w:r w:rsidR="00EE0AEE" w:rsidRPr="00CC2548">
        <w:rPr>
          <w:rFonts w:ascii="Times New Roman" w:eastAsia="Times New Roman" w:hAnsi="Times New Roman"/>
          <w:sz w:val="24"/>
          <w:szCs w:val="24"/>
          <w:lang w:val="ro-MD" w:eastAsia="ro-RO"/>
        </w:rPr>
        <w:t>a</w:t>
      </w:r>
      <w:r w:rsidRPr="00CC2548">
        <w:rPr>
          <w:rFonts w:ascii="Times New Roman" w:eastAsia="Times New Roman" w:hAnsi="Times New Roman"/>
          <w:sz w:val="24"/>
          <w:szCs w:val="24"/>
          <w:lang w:val="ro-MD" w:eastAsia="ro-RO"/>
        </w:rPr>
        <w:t xml:space="preserve"> muncii în sumă de 3,25 mil. lei;</w:t>
      </w:r>
    </w:p>
    <w:p w14:paraId="09D67AE9" w14:textId="2F2AF01E" w:rsidR="00CF76C3" w:rsidRPr="00CC2548" w:rsidRDefault="00CF76C3" w:rsidP="00FC5A38">
      <w:pPr>
        <w:pStyle w:val="af3"/>
        <w:numPr>
          <w:ilvl w:val="0"/>
          <w:numId w:val="1"/>
        </w:numPr>
        <w:tabs>
          <w:tab w:val="left" w:pos="993"/>
        </w:tabs>
        <w:ind w:left="0" w:firstLine="709"/>
        <w:jc w:val="both"/>
        <w:rPr>
          <w:rFonts w:asciiTheme="majorBidi" w:hAnsiTheme="majorBidi" w:cstheme="majorBidi"/>
          <w:bCs/>
          <w:sz w:val="24"/>
          <w:szCs w:val="24"/>
          <w:lang w:val="ro-MD"/>
        </w:rPr>
      </w:pPr>
      <w:proofErr w:type="spellStart"/>
      <w:r w:rsidRPr="00CC2548">
        <w:rPr>
          <w:rFonts w:ascii="Times New Roman" w:hAnsi="Times New Roman"/>
          <w:bCs/>
          <w:iCs/>
          <w:sz w:val="24"/>
          <w:szCs w:val="24"/>
          <w:lang w:val="ro-MD"/>
        </w:rPr>
        <w:t>neîntreprinderea</w:t>
      </w:r>
      <w:proofErr w:type="spellEnd"/>
      <w:r w:rsidRPr="00CC2548">
        <w:rPr>
          <w:rFonts w:ascii="Times New Roman" w:hAnsi="Times New Roman"/>
          <w:bCs/>
          <w:iCs/>
          <w:sz w:val="24"/>
          <w:szCs w:val="24"/>
          <w:lang w:val="ro-MD"/>
        </w:rPr>
        <w:t xml:space="preserve"> măsurilor suficiente</w:t>
      </w:r>
      <w:r w:rsidR="004A22CC" w:rsidRPr="00CC2548">
        <w:rPr>
          <w:rFonts w:ascii="Times New Roman" w:hAnsi="Times New Roman"/>
          <w:bCs/>
          <w:iCs/>
          <w:sz w:val="24"/>
          <w:szCs w:val="24"/>
          <w:lang w:val="ro-MD"/>
        </w:rPr>
        <w:t xml:space="preserve"> pentru</w:t>
      </w:r>
      <w:r w:rsidRPr="00CC2548">
        <w:rPr>
          <w:rFonts w:ascii="Times New Roman" w:hAnsi="Times New Roman"/>
          <w:bCs/>
          <w:iCs/>
          <w:sz w:val="24"/>
          <w:szCs w:val="24"/>
          <w:lang w:val="ro-MD"/>
        </w:rPr>
        <w:t xml:space="preserve"> valorific</w:t>
      </w:r>
      <w:r w:rsidR="004A22CC" w:rsidRPr="00CC2548">
        <w:rPr>
          <w:rFonts w:ascii="Times New Roman" w:hAnsi="Times New Roman"/>
          <w:bCs/>
          <w:iCs/>
          <w:sz w:val="24"/>
          <w:szCs w:val="24"/>
          <w:lang w:val="ro-MD"/>
        </w:rPr>
        <w:t>area</w:t>
      </w:r>
      <w:r w:rsidRPr="00CC2548">
        <w:rPr>
          <w:rFonts w:ascii="Times New Roman" w:hAnsi="Times New Roman"/>
          <w:bCs/>
          <w:iCs/>
          <w:sz w:val="24"/>
          <w:szCs w:val="24"/>
          <w:lang w:val="ro-MD"/>
        </w:rPr>
        <w:t xml:space="preserve"> bunurilor gestionate în scopul obținerii avantajelor economice suplimentare</w:t>
      </w:r>
      <w:r w:rsidR="00237186" w:rsidRPr="00CC2548">
        <w:rPr>
          <w:rFonts w:ascii="Times New Roman" w:hAnsi="Times New Roman"/>
          <w:bCs/>
          <w:iCs/>
          <w:sz w:val="24"/>
          <w:szCs w:val="24"/>
          <w:lang w:val="ro-MD"/>
        </w:rPr>
        <w:t>;</w:t>
      </w:r>
    </w:p>
    <w:p w14:paraId="372D7546" w14:textId="6ACAF64D" w:rsidR="00297DCB" w:rsidRPr="00CC2548" w:rsidRDefault="00297DCB" w:rsidP="00291E6D">
      <w:pPr>
        <w:pStyle w:val="af3"/>
        <w:numPr>
          <w:ilvl w:val="0"/>
          <w:numId w:val="1"/>
        </w:numPr>
        <w:tabs>
          <w:tab w:val="left" w:pos="993"/>
        </w:tabs>
        <w:spacing w:after="0"/>
        <w:ind w:left="0" w:firstLine="709"/>
        <w:jc w:val="both"/>
        <w:rPr>
          <w:rFonts w:asciiTheme="majorBidi" w:hAnsiTheme="majorBidi" w:cstheme="majorBidi"/>
          <w:bCs/>
          <w:sz w:val="24"/>
          <w:szCs w:val="24"/>
          <w:lang w:val="ro-MD"/>
        </w:rPr>
      </w:pPr>
      <w:r w:rsidRPr="00CC2548">
        <w:rPr>
          <w:rFonts w:asciiTheme="majorBidi" w:hAnsiTheme="majorBidi" w:cstheme="majorBidi"/>
          <w:bCs/>
          <w:sz w:val="24"/>
          <w:szCs w:val="24"/>
          <w:lang w:val="ro-MD"/>
        </w:rPr>
        <w:t xml:space="preserve">nerespectarea principiului eficienței maxime la cheltuieli minime la achiziționarea bunurilor și serviciilor, </w:t>
      </w:r>
      <w:r w:rsidR="004A22CC" w:rsidRPr="00CC2548">
        <w:rPr>
          <w:rFonts w:asciiTheme="majorBidi" w:hAnsiTheme="majorBidi" w:cstheme="majorBidi"/>
          <w:bCs/>
          <w:sz w:val="24"/>
          <w:szCs w:val="24"/>
          <w:lang w:val="ro-MD"/>
        </w:rPr>
        <w:t xml:space="preserve">ceea ce </w:t>
      </w:r>
      <w:r w:rsidRPr="00CC2548">
        <w:rPr>
          <w:rFonts w:asciiTheme="majorBidi" w:hAnsiTheme="majorBidi" w:cstheme="majorBidi"/>
          <w:bCs/>
          <w:sz w:val="24"/>
          <w:szCs w:val="24"/>
          <w:lang w:val="ro-MD"/>
        </w:rPr>
        <w:t>a dus la suportarea unor cheltuieli suplimentare în sumă de 195,7 mii lei</w:t>
      </w:r>
      <w:r w:rsidR="00881834" w:rsidRPr="00CC2548">
        <w:rPr>
          <w:rFonts w:asciiTheme="majorBidi" w:hAnsiTheme="majorBidi" w:cstheme="majorBidi"/>
          <w:bCs/>
          <w:sz w:val="24"/>
          <w:szCs w:val="24"/>
          <w:lang w:val="ro-MD"/>
        </w:rPr>
        <w:t>,</w:t>
      </w:r>
      <w:r w:rsidR="00881834" w:rsidRPr="00CC2548">
        <w:rPr>
          <w:rFonts w:ascii="Times New Roman" w:hAnsi="Times New Roman"/>
          <w:sz w:val="24"/>
          <w:szCs w:val="24"/>
          <w:shd w:val="clear" w:color="auto" w:fill="FFFFFF"/>
          <w:lang w:val="ro-MD"/>
        </w:rPr>
        <w:t xml:space="preserve"> etc</w:t>
      </w:r>
      <w:r w:rsidR="001A452B" w:rsidRPr="00CC2548">
        <w:rPr>
          <w:rFonts w:ascii="Times New Roman" w:hAnsi="Times New Roman"/>
          <w:sz w:val="24"/>
          <w:szCs w:val="24"/>
          <w:shd w:val="clear" w:color="auto" w:fill="FFFFFF"/>
          <w:lang w:val="ro-MD"/>
        </w:rPr>
        <w:t>.</w:t>
      </w:r>
    </w:p>
    <w:p w14:paraId="77D8BB79" w14:textId="0F12E15D" w:rsidR="00A3550D" w:rsidRPr="00CC2548" w:rsidRDefault="00864793" w:rsidP="001A452B">
      <w:pPr>
        <w:pStyle w:val="a4"/>
        <w:spacing w:line="276" w:lineRule="auto"/>
        <w:ind w:right="-2" w:firstLine="709"/>
        <w:rPr>
          <w:rFonts w:asciiTheme="majorBidi" w:hAnsiTheme="majorBidi" w:cstheme="majorBidi"/>
          <w:lang w:val="ro-MD"/>
        </w:rPr>
      </w:pPr>
      <w:r w:rsidRPr="00CC2548">
        <w:rPr>
          <w:lang w:val="ro-MD"/>
        </w:rPr>
        <w:t>Deficiențele și neconformitățile menționate</w:t>
      </w:r>
      <w:r w:rsidR="00A3550D" w:rsidRPr="00CC2548">
        <w:rPr>
          <w:lang w:val="ro-MD"/>
        </w:rPr>
        <w:t xml:space="preserve"> au fost condiționate de lipsa activităților de control eficiente aferente procesului de gestionare a resurselor financiare și a patrimoniului public</w:t>
      </w:r>
      <w:r w:rsidR="004A22CC" w:rsidRPr="00CC2548">
        <w:rPr>
          <w:lang w:val="ro-MD"/>
        </w:rPr>
        <w:t>, precum</w:t>
      </w:r>
      <w:r w:rsidR="001A452B" w:rsidRPr="00CC2548">
        <w:rPr>
          <w:lang w:val="ro-MD"/>
        </w:rPr>
        <w:t xml:space="preserve"> </w:t>
      </w:r>
      <w:r w:rsidRPr="00CC2548">
        <w:rPr>
          <w:lang w:val="ro-MD"/>
        </w:rPr>
        <w:t>și de neconformarea responsabililor din cadrul entității la prevederile cadrului normativ</w:t>
      </w:r>
      <w:r w:rsidR="00A3550D" w:rsidRPr="00CC2548">
        <w:rPr>
          <w:lang w:val="ro-MD"/>
        </w:rPr>
        <w:t>.</w:t>
      </w:r>
    </w:p>
    <w:p w14:paraId="666A25D4" w14:textId="51D541D5" w:rsidR="00805A8A" w:rsidRPr="00CC2548" w:rsidRDefault="00C61F48" w:rsidP="006770F9">
      <w:pPr>
        <w:pStyle w:val="a4"/>
        <w:spacing w:line="276" w:lineRule="auto"/>
        <w:ind w:right="-2" w:firstLine="709"/>
        <w:rPr>
          <w:rFonts w:asciiTheme="majorBidi" w:hAnsiTheme="majorBidi" w:cstheme="majorBidi"/>
          <w:lang w:val="ro-MD"/>
        </w:rPr>
      </w:pPr>
      <w:r w:rsidRPr="00CC2548">
        <w:rPr>
          <w:rFonts w:asciiTheme="majorBidi" w:hAnsiTheme="majorBidi" w:cstheme="majorBidi"/>
          <w:lang w:val="ro-MD"/>
        </w:rPr>
        <w:t xml:space="preserve"> Reieșind din cele expuse, în temeiul art.14 alin.(2), art.15 lit. d) și art.37 alin.(2) din Legea nr.260 din 07.12.2017, Curtea de Conturi</w:t>
      </w:r>
    </w:p>
    <w:p w14:paraId="295BB257" w14:textId="77777777" w:rsidR="00C61F48" w:rsidRPr="00CC2548" w:rsidRDefault="00C61F48" w:rsidP="00C61F48">
      <w:pPr>
        <w:pStyle w:val="cp"/>
        <w:spacing w:line="276" w:lineRule="auto"/>
        <w:rPr>
          <w:rFonts w:asciiTheme="majorBidi" w:hAnsiTheme="majorBidi" w:cstheme="majorBidi"/>
          <w:lang w:val="ro-MD"/>
        </w:rPr>
      </w:pPr>
    </w:p>
    <w:p w14:paraId="3DD57AB6" w14:textId="77777777" w:rsidR="00C61F48" w:rsidRPr="00CC2548" w:rsidRDefault="00C61F48" w:rsidP="00C61F48">
      <w:pPr>
        <w:pStyle w:val="cp"/>
        <w:spacing w:line="276" w:lineRule="auto"/>
        <w:rPr>
          <w:rFonts w:asciiTheme="majorBidi" w:hAnsiTheme="majorBidi" w:cstheme="majorBidi"/>
          <w:lang w:val="ro-MD"/>
        </w:rPr>
      </w:pPr>
      <w:r w:rsidRPr="00CC2548">
        <w:rPr>
          <w:rFonts w:asciiTheme="majorBidi" w:hAnsiTheme="majorBidi" w:cstheme="majorBidi"/>
          <w:lang w:val="ro-MD"/>
        </w:rPr>
        <w:t>HOTĂRĂŞTE:</w:t>
      </w:r>
    </w:p>
    <w:p w14:paraId="41D1806B" w14:textId="56AEB574" w:rsidR="00C61F48" w:rsidRPr="00CC2548" w:rsidRDefault="00C61F48" w:rsidP="006B4EE4">
      <w:pPr>
        <w:pStyle w:val="a4"/>
        <w:spacing w:line="276" w:lineRule="auto"/>
        <w:ind w:firstLine="0"/>
        <w:rPr>
          <w:rFonts w:asciiTheme="majorBidi" w:hAnsiTheme="majorBidi" w:cstheme="majorBidi"/>
          <w:lang w:val="ro-MD"/>
        </w:rPr>
      </w:pPr>
      <w:r w:rsidRPr="00CC2548">
        <w:rPr>
          <w:rFonts w:asciiTheme="majorBidi" w:hAnsiTheme="majorBidi" w:cstheme="majorBidi"/>
          <w:b/>
          <w:lang w:val="ro-MD"/>
        </w:rPr>
        <w:t>1</w:t>
      </w:r>
      <w:r w:rsidRPr="00CC2548">
        <w:rPr>
          <w:rFonts w:asciiTheme="majorBidi" w:hAnsiTheme="majorBidi" w:cstheme="majorBidi"/>
          <w:lang w:val="ro-MD"/>
        </w:rPr>
        <w:t xml:space="preserve">. Se aprobă </w:t>
      </w:r>
      <w:r w:rsidRPr="00CC2548">
        <w:rPr>
          <w:rFonts w:asciiTheme="majorBidi" w:hAnsiTheme="majorBidi" w:cstheme="majorBidi"/>
          <w:shd w:val="clear" w:color="auto" w:fill="FFFFFF" w:themeFill="background1"/>
          <w:lang w:val="ro-MD"/>
        </w:rPr>
        <w:t>Raportul</w:t>
      </w:r>
      <w:r w:rsidR="006B4EE4" w:rsidRPr="00CC2548">
        <w:rPr>
          <w:rFonts w:asciiTheme="majorBidi" w:hAnsiTheme="majorBidi" w:cstheme="majorBidi"/>
          <w:shd w:val="clear" w:color="auto" w:fill="FFFFFF" w:themeFill="background1"/>
          <w:lang w:val="ro-MD"/>
        </w:rPr>
        <w:t xml:space="preserve"> de</w:t>
      </w:r>
      <w:r w:rsidR="005F5A64" w:rsidRPr="00CC2548">
        <w:rPr>
          <w:rFonts w:asciiTheme="majorBidi" w:hAnsiTheme="majorBidi" w:cstheme="majorBidi"/>
          <w:lang w:val="ro-MD"/>
        </w:rPr>
        <w:t xml:space="preserve"> </w:t>
      </w:r>
      <w:r w:rsidR="00DA78D2" w:rsidRPr="00CC2548">
        <w:rPr>
          <w:rFonts w:asciiTheme="majorBidi" w:hAnsiTheme="majorBidi" w:cstheme="majorBidi"/>
          <w:bCs/>
          <w:shd w:val="clear" w:color="auto" w:fill="FFFFFF" w:themeFill="background1"/>
          <w:lang w:val="ro-MD"/>
        </w:rPr>
        <w:t>audit</w:t>
      </w:r>
      <w:r w:rsidR="006B4EE4" w:rsidRPr="00CC2548">
        <w:rPr>
          <w:rFonts w:asciiTheme="majorBidi" w:hAnsiTheme="majorBidi" w:cstheme="majorBidi"/>
          <w:bCs/>
          <w:shd w:val="clear" w:color="auto" w:fill="FFFFFF" w:themeFill="background1"/>
          <w:lang w:val="ro-MD"/>
        </w:rPr>
        <w:t xml:space="preserve"> al</w:t>
      </w:r>
      <w:r w:rsidR="00DA78D2" w:rsidRPr="00CC2548">
        <w:rPr>
          <w:rFonts w:asciiTheme="majorBidi" w:hAnsiTheme="majorBidi" w:cstheme="majorBidi"/>
          <w:bCs/>
          <w:shd w:val="clear" w:color="auto" w:fill="FFFFFF" w:themeFill="background1"/>
          <w:lang w:val="ro-MD"/>
        </w:rPr>
        <w:t xml:space="preserve"> conformității asupra gestionării patrimoniului public și a resurselor financiare de către S.A. „</w:t>
      </w:r>
      <w:r w:rsidR="009105CB" w:rsidRPr="00CC2548">
        <w:rPr>
          <w:rFonts w:asciiTheme="majorBidi" w:hAnsiTheme="majorBidi" w:cstheme="majorBidi"/>
          <w:shd w:val="clear" w:color="auto" w:fill="FFFFFF" w:themeFill="background1"/>
          <w:lang w:val="ro-MD"/>
        </w:rPr>
        <w:t xml:space="preserve">Furnizarea Energiei Electrice </w:t>
      </w:r>
      <w:r w:rsidR="00DA78D2" w:rsidRPr="00CC2548">
        <w:rPr>
          <w:rFonts w:asciiTheme="majorBidi" w:hAnsiTheme="majorBidi" w:cstheme="majorBidi"/>
          <w:bCs/>
          <w:shd w:val="clear" w:color="auto" w:fill="FFFFFF" w:themeFill="background1"/>
          <w:lang w:val="ro-MD"/>
        </w:rPr>
        <w:t>Nord” în anii 2021-2022</w:t>
      </w:r>
      <w:r w:rsidR="00CD4523" w:rsidRPr="00CC2548">
        <w:rPr>
          <w:rFonts w:asciiTheme="majorBidi" w:hAnsiTheme="majorBidi" w:cstheme="majorBidi"/>
          <w:bCs/>
          <w:shd w:val="clear" w:color="auto" w:fill="FFFFFF" w:themeFill="background1"/>
          <w:lang w:val="ro-MD"/>
        </w:rPr>
        <w:t>,</w:t>
      </w:r>
      <w:r w:rsidRPr="00CC2548">
        <w:rPr>
          <w:rFonts w:asciiTheme="majorBidi" w:hAnsiTheme="majorBidi" w:cstheme="majorBidi"/>
          <w:lang w:val="ro-MD"/>
        </w:rPr>
        <w:t xml:space="preserve"> anexat la prezenta Hotărâre.</w:t>
      </w:r>
    </w:p>
    <w:p w14:paraId="1D385CB8" w14:textId="77777777" w:rsidR="00C61F48" w:rsidRPr="00CC2548" w:rsidRDefault="00C61F48" w:rsidP="00C61F48">
      <w:pPr>
        <w:pStyle w:val="a4"/>
        <w:spacing w:line="276" w:lineRule="auto"/>
        <w:ind w:firstLine="0"/>
        <w:rPr>
          <w:rFonts w:asciiTheme="majorBidi" w:hAnsiTheme="majorBidi" w:cstheme="majorBidi"/>
          <w:lang w:val="ro-MD"/>
        </w:rPr>
      </w:pPr>
      <w:r w:rsidRPr="00CC2548">
        <w:rPr>
          <w:rFonts w:asciiTheme="majorBidi" w:hAnsiTheme="majorBidi" w:cstheme="majorBidi"/>
          <w:b/>
          <w:lang w:val="ro-MD"/>
        </w:rPr>
        <w:t>2.</w:t>
      </w:r>
      <w:r w:rsidRPr="00CC2548">
        <w:rPr>
          <w:rFonts w:asciiTheme="majorBidi" w:hAnsiTheme="majorBidi" w:cstheme="majorBidi"/>
          <w:lang w:val="ro-MD"/>
        </w:rPr>
        <w:t xml:space="preserve"> Prezenta Hotărâre și Raportul de audit se remit:</w:t>
      </w:r>
    </w:p>
    <w:p w14:paraId="1649BC23" w14:textId="77777777" w:rsidR="00C61F48" w:rsidRPr="00CC2548" w:rsidRDefault="00C61F48" w:rsidP="00FB0A53">
      <w:pPr>
        <w:pStyle w:val="a4"/>
        <w:spacing w:line="276" w:lineRule="auto"/>
        <w:ind w:firstLine="0"/>
        <w:rPr>
          <w:rFonts w:asciiTheme="majorBidi" w:hAnsiTheme="majorBidi" w:cstheme="majorBidi"/>
          <w:lang w:val="ro-MD"/>
        </w:rPr>
      </w:pPr>
      <w:r w:rsidRPr="00CC2548">
        <w:rPr>
          <w:rFonts w:asciiTheme="majorBidi" w:hAnsiTheme="majorBidi" w:cstheme="majorBidi"/>
          <w:lang w:val="ro-MD"/>
        </w:rPr>
        <w:t xml:space="preserve">2.1. </w:t>
      </w:r>
      <w:r w:rsidR="00FB0A53" w:rsidRPr="00CC2548">
        <w:rPr>
          <w:rFonts w:asciiTheme="majorBidi" w:hAnsiTheme="majorBidi" w:cstheme="majorBidi"/>
          <w:b/>
          <w:lang w:val="ro-MD"/>
        </w:rPr>
        <w:t>Parlamentului Republicii Moldova</w:t>
      </w:r>
      <w:r w:rsidR="00FB0A53" w:rsidRPr="00CC2548">
        <w:rPr>
          <w:rFonts w:asciiTheme="majorBidi" w:hAnsiTheme="majorBidi" w:cstheme="majorBidi"/>
          <w:lang w:val="ro-MD"/>
        </w:rPr>
        <w:t>, pentru informare și examinare, după caz, în cadrul Comisiei parlamentare de control al finanțelor publice</w:t>
      </w:r>
      <w:r w:rsidRPr="00CC2548">
        <w:rPr>
          <w:rFonts w:asciiTheme="majorBidi" w:hAnsiTheme="majorBidi" w:cstheme="majorBidi"/>
          <w:lang w:val="ro-MD"/>
        </w:rPr>
        <w:t>;</w:t>
      </w:r>
    </w:p>
    <w:p w14:paraId="25C35485" w14:textId="77777777" w:rsidR="00C61F48" w:rsidRPr="00CC2548" w:rsidRDefault="00C61F48" w:rsidP="00C61F48">
      <w:pPr>
        <w:pStyle w:val="a4"/>
        <w:spacing w:line="276" w:lineRule="auto"/>
        <w:ind w:firstLine="0"/>
        <w:rPr>
          <w:rFonts w:asciiTheme="majorBidi" w:hAnsiTheme="majorBidi" w:cstheme="majorBidi"/>
          <w:lang w:val="ro-MD"/>
        </w:rPr>
      </w:pPr>
      <w:r w:rsidRPr="00CC2548">
        <w:rPr>
          <w:rFonts w:asciiTheme="majorBidi" w:hAnsiTheme="majorBidi" w:cstheme="majorBidi"/>
          <w:lang w:val="ro-MD"/>
        </w:rPr>
        <w:t>2.2.</w:t>
      </w:r>
      <w:r w:rsidRPr="00CC2548">
        <w:rPr>
          <w:rFonts w:asciiTheme="majorBidi" w:hAnsiTheme="majorBidi" w:cstheme="majorBidi"/>
          <w:b/>
          <w:lang w:val="ro-MD"/>
        </w:rPr>
        <w:t xml:space="preserve"> Președintelui Republicii Moldova</w:t>
      </w:r>
      <w:r w:rsidRPr="00CC2548">
        <w:rPr>
          <w:rFonts w:asciiTheme="majorBidi" w:hAnsiTheme="majorBidi" w:cstheme="majorBidi"/>
          <w:lang w:val="ro-MD"/>
        </w:rPr>
        <w:t>, pentru informare;</w:t>
      </w:r>
    </w:p>
    <w:p w14:paraId="518E48EF" w14:textId="471976B0" w:rsidR="00C61F48" w:rsidRPr="00CC2548" w:rsidRDefault="00C61F48" w:rsidP="00FB0A53">
      <w:pPr>
        <w:pStyle w:val="a4"/>
        <w:spacing w:line="276" w:lineRule="auto"/>
        <w:ind w:firstLine="0"/>
        <w:rPr>
          <w:rFonts w:asciiTheme="majorBidi" w:hAnsiTheme="majorBidi" w:cstheme="majorBidi"/>
          <w:lang w:val="ro-MD"/>
        </w:rPr>
      </w:pPr>
      <w:r w:rsidRPr="00CC2548">
        <w:rPr>
          <w:rFonts w:asciiTheme="majorBidi" w:hAnsiTheme="majorBidi" w:cstheme="majorBidi"/>
          <w:lang w:val="ro-MD"/>
        </w:rPr>
        <w:t>2.3.</w:t>
      </w:r>
      <w:r w:rsidR="00AA38D0" w:rsidRPr="00CC2548">
        <w:rPr>
          <w:rFonts w:asciiTheme="majorBidi" w:hAnsiTheme="majorBidi" w:cstheme="majorBidi"/>
          <w:b/>
          <w:lang w:val="ro-MD"/>
        </w:rPr>
        <w:t xml:space="preserve"> </w:t>
      </w:r>
      <w:r w:rsidR="00FB0A53" w:rsidRPr="00CC2548">
        <w:rPr>
          <w:rFonts w:asciiTheme="majorBidi" w:hAnsiTheme="majorBidi" w:cstheme="majorBidi"/>
          <w:b/>
          <w:lang w:val="ro-MD"/>
        </w:rPr>
        <w:t>Guvernului Republicii Moldova</w:t>
      </w:r>
      <w:r w:rsidR="00FB0A53" w:rsidRPr="00CC2548">
        <w:rPr>
          <w:rFonts w:asciiTheme="majorBidi" w:hAnsiTheme="majorBidi" w:cstheme="majorBidi"/>
          <w:lang w:val="ro-MD"/>
        </w:rPr>
        <w:t>, pentru informare</w:t>
      </w:r>
      <w:r w:rsidRPr="00CC2548">
        <w:rPr>
          <w:rFonts w:asciiTheme="majorBidi" w:hAnsiTheme="majorBidi" w:cstheme="majorBidi"/>
          <w:lang w:val="ro-MD"/>
        </w:rPr>
        <w:t>;</w:t>
      </w:r>
    </w:p>
    <w:p w14:paraId="1D7A298F" w14:textId="0AFB9E58" w:rsidR="008D40AD" w:rsidRPr="00CC2548" w:rsidRDefault="00424381" w:rsidP="008D40AD">
      <w:pPr>
        <w:pStyle w:val="a4"/>
        <w:spacing w:line="276" w:lineRule="auto"/>
        <w:ind w:firstLine="0"/>
        <w:rPr>
          <w:rFonts w:asciiTheme="majorBidi" w:hAnsiTheme="majorBidi" w:cstheme="majorBidi"/>
          <w:lang w:val="ro-MD"/>
        </w:rPr>
      </w:pPr>
      <w:r w:rsidRPr="00CC2548">
        <w:rPr>
          <w:rFonts w:asciiTheme="majorBidi" w:hAnsiTheme="majorBidi" w:cstheme="majorBidi"/>
          <w:lang w:val="ro-MD"/>
        </w:rPr>
        <w:t xml:space="preserve">2.4. </w:t>
      </w:r>
      <w:r w:rsidR="008D40AD" w:rsidRPr="00CC2548">
        <w:rPr>
          <w:rFonts w:asciiTheme="majorBidi" w:hAnsiTheme="majorBidi" w:cstheme="majorBidi"/>
          <w:b/>
          <w:lang w:val="ro-MD"/>
        </w:rPr>
        <w:t>Ministerului Energiei</w:t>
      </w:r>
      <w:r w:rsidR="008D40AD" w:rsidRPr="00CC2548">
        <w:rPr>
          <w:rFonts w:asciiTheme="majorBidi" w:hAnsiTheme="majorBidi" w:cstheme="majorBidi"/>
          <w:lang w:val="ro-MD"/>
        </w:rPr>
        <w:t>, pentru informare;</w:t>
      </w:r>
    </w:p>
    <w:p w14:paraId="36EB25A4" w14:textId="21331D38" w:rsidR="00424381" w:rsidRPr="00CC2548" w:rsidRDefault="008D40AD" w:rsidP="00FB0A53">
      <w:pPr>
        <w:pStyle w:val="a4"/>
        <w:spacing w:line="276" w:lineRule="auto"/>
        <w:ind w:firstLine="0"/>
        <w:rPr>
          <w:rFonts w:asciiTheme="majorBidi" w:hAnsiTheme="majorBidi" w:cstheme="majorBidi"/>
          <w:lang w:val="ro-MD"/>
        </w:rPr>
      </w:pPr>
      <w:r w:rsidRPr="00CC2548">
        <w:rPr>
          <w:rFonts w:asciiTheme="majorBidi" w:hAnsiTheme="majorBidi" w:cstheme="majorBidi"/>
          <w:lang w:val="ro-MD"/>
        </w:rPr>
        <w:t xml:space="preserve">2.5. </w:t>
      </w:r>
      <w:r w:rsidR="00424381" w:rsidRPr="00CC2548">
        <w:rPr>
          <w:rFonts w:asciiTheme="majorBidi" w:hAnsiTheme="majorBidi" w:cstheme="majorBidi"/>
          <w:b/>
          <w:lang w:val="ro-MD"/>
        </w:rPr>
        <w:t>Agenției Naționale pentru Reglementare în Energetică</w:t>
      </w:r>
      <w:r w:rsidR="00424381" w:rsidRPr="00CC2548">
        <w:rPr>
          <w:rFonts w:asciiTheme="majorBidi" w:hAnsiTheme="majorBidi" w:cstheme="majorBidi"/>
          <w:lang w:val="ro-MD"/>
        </w:rPr>
        <w:t>, pentru informare;</w:t>
      </w:r>
    </w:p>
    <w:p w14:paraId="4F63DD2D" w14:textId="47B57655" w:rsidR="00DA78D2" w:rsidRPr="00CC2548" w:rsidRDefault="008D40AD" w:rsidP="0049597F">
      <w:pPr>
        <w:pStyle w:val="a4"/>
        <w:tabs>
          <w:tab w:val="left" w:pos="0"/>
        </w:tabs>
        <w:spacing w:line="276" w:lineRule="auto"/>
        <w:ind w:firstLine="0"/>
        <w:rPr>
          <w:rFonts w:asciiTheme="majorBidi" w:hAnsiTheme="majorBidi" w:cstheme="majorBidi"/>
          <w:lang w:val="ro-MD"/>
        </w:rPr>
      </w:pPr>
      <w:r w:rsidRPr="00CC2548">
        <w:rPr>
          <w:rFonts w:asciiTheme="majorBidi" w:hAnsiTheme="majorBidi" w:cstheme="majorBidi"/>
          <w:lang w:val="ro-MD"/>
        </w:rPr>
        <w:t>2.6</w:t>
      </w:r>
      <w:r w:rsidR="00424381" w:rsidRPr="00CC2548">
        <w:rPr>
          <w:rFonts w:asciiTheme="majorBidi" w:hAnsiTheme="majorBidi" w:cstheme="majorBidi"/>
          <w:lang w:val="ro-MD"/>
        </w:rPr>
        <w:t>.</w:t>
      </w:r>
      <w:r w:rsidR="00424381" w:rsidRPr="00CC2548">
        <w:rPr>
          <w:rFonts w:asciiTheme="majorBidi" w:hAnsiTheme="majorBidi" w:cstheme="majorBidi"/>
          <w:b/>
          <w:lang w:val="ro-MD"/>
        </w:rPr>
        <w:t xml:space="preserve"> </w:t>
      </w:r>
      <w:r w:rsidR="00DA78D2" w:rsidRPr="00CC2548">
        <w:rPr>
          <w:rFonts w:asciiTheme="majorBidi" w:hAnsiTheme="majorBidi" w:cstheme="majorBidi"/>
          <w:b/>
          <w:lang w:val="ro-MD"/>
        </w:rPr>
        <w:t>Agenției Proprietății Publice</w:t>
      </w:r>
      <w:r w:rsidR="00B66F3A" w:rsidRPr="00CC2548">
        <w:rPr>
          <w:rFonts w:asciiTheme="majorBidi" w:hAnsiTheme="majorBidi" w:cstheme="majorBidi"/>
          <w:lang w:val="ro-MD"/>
        </w:rPr>
        <w:t xml:space="preserve">, </w:t>
      </w:r>
      <w:r w:rsidR="00B558F8" w:rsidRPr="00CC2548">
        <w:rPr>
          <w:rFonts w:asciiTheme="majorBidi" w:hAnsiTheme="majorBidi" w:cstheme="majorBidi"/>
          <w:lang w:val="ro-MD"/>
        </w:rPr>
        <w:t xml:space="preserve">pentru informare </w:t>
      </w:r>
      <w:r w:rsidR="003C35F6" w:rsidRPr="00CC2548">
        <w:rPr>
          <w:rFonts w:asciiTheme="majorBidi" w:hAnsiTheme="majorBidi" w:cstheme="majorBidi"/>
          <w:lang w:val="ro-MD"/>
        </w:rPr>
        <w:t>și implementarea recomandărilor</w:t>
      </w:r>
      <w:r w:rsidR="0032177B" w:rsidRPr="00CC2548">
        <w:rPr>
          <w:rFonts w:asciiTheme="majorBidi" w:hAnsiTheme="majorBidi" w:cstheme="majorBidi"/>
          <w:lang w:val="ro-MD"/>
        </w:rPr>
        <w:t>:</w:t>
      </w:r>
    </w:p>
    <w:p w14:paraId="69FB890A" w14:textId="178986DA" w:rsidR="00934DB8" w:rsidRPr="00CC2548" w:rsidRDefault="00CA78E0" w:rsidP="000F5D02">
      <w:pPr>
        <w:pStyle w:val="a4"/>
        <w:spacing w:line="276" w:lineRule="auto"/>
        <w:ind w:firstLine="0"/>
        <w:rPr>
          <w:lang w:val="ro-MD"/>
        </w:rPr>
      </w:pPr>
      <w:r w:rsidRPr="00CC2548">
        <w:rPr>
          <w:rFonts w:asciiTheme="majorBidi" w:hAnsiTheme="majorBidi" w:cstheme="majorBidi"/>
          <w:lang w:val="ro-MD"/>
        </w:rPr>
        <w:t xml:space="preserve">       </w:t>
      </w:r>
      <w:r w:rsidR="0049597F" w:rsidRPr="00CC2548">
        <w:rPr>
          <w:rFonts w:asciiTheme="majorBidi" w:hAnsiTheme="majorBidi" w:cstheme="majorBidi"/>
          <w:lang w:val="ro-MD"/>
        </w:rPr>
        <w:t>2.6</w:t>
      </w:r>
      <w:r w:rsidR="00934DB8" w:rsidRPr="00CC2548">
        <w:rPr>
          <w:rFonts w:asciiTheme="majorBidi" w:hAnsiTheme="majorBidi" w:cstheme="majorBidi"/>
          <w:lang w:val="ro-MD"/>
        </w:rPr>
        <w:t xml:space="preserve">.1. </w:t>
      </w:r>
      <w:r w:rsidR="009F7006" w:rsidRPr="00CC2548">
        <w:rPr>
          <w:lang w:val="ro-MD"/>
        </w:rPr>
        <w:t>s</w:t>
      </w:r>
      <w:r w:rsidR="00934DB8" w:rsidRPr="00CC2548">
        <w:rPr>
          <w:lang w:val="ro-MD"/>
        </w:rPr>
        <w:t>ă examineze constatările din Raport</w:t>
      </w:r>
      <w:r w:rsidR="00237186" w:rsidRPr="00CC2548">
        <w:rPr>
          <w:lang w:val="ro-MD"/>
        </w:rPr>
        <w:t>ul</w:t>
      </w:r>
      <w:r w:rsidR="00934DB8" w:rsidRPr="00CC2548">
        <w:rPr>
          <w:lang w:val="ro-MD"/>
        </w:rPr>
        <w:t xml:space="preserve"> de audit, cu elaborarea și aprobarea de către Consiliul Societății a unui plan de acțiuni privind ameliorarea gestiuni</w:t>
      </w:r>
      <w:r w:rsidR="0049597F" w:rsidRPr="00CC2548">
        <w:rPr>
          <w:lang w:val="ro-MD"/>
        </w:rPr>
        <w:t xml:space="preserve">i </w:t>
      </w:r>
      <w:proofErr w:type="spellStart"/>
      <w:r w:rsidR="0049597F" w:rsidRPr="00CC2548">
        <w:rPr>
          <w:lang w:val="ro-MD"/>
        </w:rPr>
        <w:t>economico</w:t>
      </w:r>
      <w:proofErr w:type="spellEnd"/>
      <w:r w:rsidR="0049597F" w:rsidRPr="00CC2548">
        <w:rPr>
          <w:lang w:val="ro-MD"/>
        </w:rPr>
        <w:t>-financiare a S.A. „F</w:t>
      </w:r>
      <w:r w:rsidR="00934DB8" w:rsidRPr="00CC2548">
        <w:rPr>
          <w:lang w:val="ro-MD"/>
        </w:rPr>
        <w:t>E</w:t>
      </w:r>
      <w:r w:rsidR="0049597F" w:rsidRPr="00CC2548">
        <w:rPr>
          <w:lang w:val="ro-MD"/>
        </w:rPr>
        <w:t>E</w:t>
      </w:r>
      <w:r w:rsidR="00934DB8" w:rsidRPr="00CC2548">
        <w:rPr>
          <w:lang w:val="ro-MD"/>
        </w:rPr>
        <w:t>-Nord”;</w:t>
      </w:r>
    </w:p>
    <w:p w14:paraId="072B944F" w14:textId="4EC01417" w:rsidR="00934DB8" w:rsidRPr="00CC2548" w:rsidRDefault="00CA78E0" w:rsidP="00237186">
      <w:pPr>
        <w:pStyle w:val="a4"/>
        <w:spacing w:line="276" w:lineRule="auto"/>
        <w:ind w:firstLine="0"/>
        <w:rPr>
          <w:rFonts w:asciiTheme="majorBidi" w:hAnsiTheme="majorBidi" w:cstheme="majorBidi"/>
          <w:lang w:val="ro-MD"/>
        </w:rPr>
      </w:pPr>
      <w:r w:rsidRPr="00CC2548">
        <w:rPr>
          <w:lang w:val="ro-MD"/>
        </w:rPr>
        <w:t xml:space="preserve">       </w:t>
      </w:r>
      <w:r w:rsidR="0049597F" w:rsidRPr="00CC2548">
        <w:rPr>
          <w:lang w:val="ro-MD"/>
        </w:rPr>
        <w:t>2.6</w:t>
      </w:r>
      <w:r w:rsidR="00934DB8" w:rsidRPr="00CC2548">
        <w:rPr>
          <w:lang w:val="ro-MD"/>
        </w:rPr>
        <w:t xml:space="preserve">.2. </w:t>
      </w:r>
      <w:r w:rsidR="009F7006" w:rsidRPr="00CC2548">
        <w:rPr>
          <w:lang w:val="ro-MD"/>
        </w:rPr>
        <w:t>s</w:t>
      </w:r>
      <w:r w:rsidR="00934DB8" w:rsidRPr="00CC2548">
        <w:rPr>
          <w:lang w:val="ro-MD"/>
        </w:rPr>
        <w:t>ă promoveze, prin intermediul reprezentanților săi în o</w:t>
      </w:r>
      <w:r w:rsidR="0049597F" w:rsidRPr="00CC2548">
        <w:rPr>
          <w:lang w:val="ro-MD"/>
        </w:rPr>
        <w:t>rganele de conducere ale S.A. „FE</w:t>
      </w:r>
      <w:r w:rsidR="00934DB8" w:rsidRPr="00CC2548">
        <w:rPr>
          <w:lang w:val="ro-MD"/>
        </w:rPr>
        <w:t xml:space="preserve">E-Nord”, realizarea acțiunilor necesare pentru eliminarea deficiențelor </w:t>
      </w:r>
      <w:r w:rsidRPr="00CC2548">
        <w:rPr>
          <w:lang w:val="ro-MD"/>
        </w:rPr>
        <w:t>constatate</w:t>
      </w:r>
      <w:r w:rsidR="00934DB8" w:rsidRPr="00CC2548">
        <w:rPr>
          <w:lang w:val="ro-MD"/>
        </w:rPr>
        <w:t xml:space="preserve"> de audit</w:t>
      </w:r>
      <w:r w:rsidR="00A368AB" w:rsidRPr="00CC2548">
        <w:rPr>
          <w:lang w:val="ro-MD"/>
        </w:rPr>
        <w:t>;</w:t>
      </w:r>
    </w:p>
    <w:p w14:paraId="690A5A7A" w14:textId="3DADA45C" w:rsidR="006C671F" w:rsidRPr="00CC2548" w:rsidRDefault="006B2AFE" w:rsidP="0069783A">
      <w:pPr>
        <w:pStyle w:val="a4"/>
        <w:spacing w:line="276" w:lineRule="auto"/>
        <w:ind w:firstLine="0"/>
        <w:rPr>
          <w:rFonts w:asciiTheme="majorBidi" w:hAnsiTheme="majorBidi" w:cstheme="majorBidi"/>
          <w:bCs/>
          <w:lang w:val="ro-MD"/>
        </w:rPr>
      </w:pPr>
      <w:r w:rsidRPr="00CC2548">
        <w:rPr>
          <w:rFonts w:asciiTheme="majorBidi" w:hAnsiTheme="majorBidi" w:cstheme="majorBidi"/>
          <w:lang w:val="ro-MD"/>
        </w:rPr>
        <w:t>2.</w:t>
      </w:r>
      <w:r w:rsidR="0049597F" w:rsidRPr="00CC2548">
        <w:rPr>
          <w:rFonts w:asciiTheme="majorBidi" w:hAnsiTheme="majorBidi" w:cstheme="majorBidi"/>
          <w:lang w:val="ro-MD"/>
        </w:rPr>
        <w:t>7</w:t>
      </w:r>
      <w:r w:rsidR="005D1A9A" w:rsidRPr="00CC2548">
        <w:rPr>
          <w:rFonts w:asciiTheme="majorBidi" w:hAnsiTheme="majorBidi" w:cstheme="majorBidi"/>
          <w:lang w:val="ro-MD"/>
        </w:rPr>
        <w:t>.</w:t>
      </w:r>
      <w:r w:rsidR="00F34191" w:rsidRPr="00CC2548">
        <w:rPr>
          <w:rFonts w:asciiTheme="majorBidi" w:hAnsiTheme="majorBidi" w:cstheme="majorBidi"/>
          <w:b/>
          <w:lang w:val="ro-MD"/>
        </w:rPr>
        <w:t xml:space="preserve"> </w:t>
      </w:r>
      <w:r w:rsidR="0069783A" w:rsidRPr="00CC2548">
        <w:rPr>
          <w:rFonts w:asciiTheme="majorBidi" w:hAnsiTheme="majorBidi" w:cstheme="majorBidi"/>
          <w:b/>
          <w:lang w:val="ro-MD"/>
        </w:rPr>
        <w:t>Consiliului de supraveghere publică a auditului,</w:t>
      </w:r>
      <w:r w:rsidR="0069783A" w:rsidRPr="00CC2548">
        <w:rPr>
          <w:rFonts w:asciiTheme="majorBidi" w:hAnsiTheme="majorBidi" w:cstheme="majorBidi"/>
          <w:lang w:val="ro-MD"/>
        </w:rPr>
        <w:t xml:space="preserve"> pentru informare și examinare prin prisma prevederilor art.37 alin.(4) </w:t>
      </w:r>
      <w:proofErr w:type="spellStart"/>
      <w:r w:rsidR="0069783A" w:rsidRPr="00CC2548">
        <w:rPr>
          <w:rFonts w:asciiTheme="majorBidi" w:hAnsiTheme="majorBidi" w:cstheme="majorBidi"/>
          <w:lang w:val="ro-MD"/>
        </w:rPr>
        <w:t>lit.d</w:t>
      </w:r>
      <w:proofErr w:type="spellEnd"/>
      <w:r w:rsidR="0069783A" w:rsidRPr="00CC2548">
        <w:rPr>
          <w:rFonts w:asciiTheme="majorBidi" w:hAnsiTheme="majorBidi" w:cstheme="majorBidi"/>
          <w:lang w:val="ro-MD"/>
        </w:rPr>
        <w:t>) din Legea privind auditul situațiilor financiare nr.271 din 15.12.2017</w:t>
      </w:r>
      <w:r w:rsidR="003E73D1" w:rsidRPr="00CC2548">
        <w:rPr>
          <w:rFonts w:asciiTheme="majorBidi" w:hAnsiTheme="majorBidi" w:cstheme="majorBidi"/>
          <w:lang w:val="ro-MD"/>
        </w:rPr>
        <w:t>,</w:t>
      </w:r>
      <w:r w:rsidR="0069783A" w:rsidRPr="00CC2548">
        <w:rPr>
          <w:rFonts w:asciiTheme="majorBidi" w:hAnsiTheme="majorBidi" w:cstheme="majorBidi"/>
          <w:lang w:val="ro-MD"/>
        </w:rPr>
        <w:t xml:space="preserve"> referitor la calitatea Raportului de audit întocmit de către entitatea de audit asupra situațiilor financiare ale </w:t>
      </w:r>
      <w:r w:rsidR="0069783A" w:rsidRPr="00CC2548">
        <w:rPr>
          <w:rFonts w:asciiTheme="majorBidi" w:hAnsiTheme="majorBidi" w:cstheme="majorBidi"/>
          <w:bCs/>
          <w:shd w:val="clear" w:color="auto" w:fill="FFFFFF" w:themeFill="background1"/>
          <w:lang w:val="ro-MD"/>
        </w:rPr>
        <w:t>S.A. „</w:t>
      </w:r>
      <w:r w:rsidR="0069783A" w:rsidRPr="00CC2548">
        <w:rPr>
          <w:rFonts w:asciiTheme="majorBidi" w:hAnsiTheme="majorBidi" w:cstheme="majorBidi"/>
          <w:shd w:val="clear" w:color="auto" w:fill="FFFFFF" w:themeFill="background1"/>
          <w:lang w:val="ro-MD"/>
        </w:rPr>
        <w:t xml:space="preserve">Furnizarea Energiei Electrice </w:t>
      </w:r>
      <w:r w:rsidR="0069783A" w:rsidRPr="00CC2548">
        <w:rPr>
          <w:rFonts w:asciiTheme="majorBidi" w:hAnsiTheme="majorBidi" w:cstheme="majorBidi"/>
          <w:bCs/>
          <w:shd w:val="clear" w:color="auto" w:fill="FFFFFF" w:themeFill="background1"/>
          <w:lang w:val="ro-MD"/>
        </w:rPr>
        <w:t xml:space="preserve">Nord” </w:t>
      </w:r>
      <w:r w:rsidR="0069783A" w:rsidRPr="00CC2548">
        <w:rPr>
          <w:rFonts w:asciiTheme="majorBidi" w:hAnsiTheme="majorBidi" w:cstheme="majorBidi"/>
          <w:lang w:val="ro-MD"/>
        </w:rPr>
        <w:t>încheiate la 31.12.2022</w:t>
      </w:r>
      <w:r w:rsidR="003E73D1" w:rsidRPr="00CC2548">
        <w:rPr>
          <w:rFonts w:asciiTheme="majorBidi" w:hAnsiTheme="majorBidi" w:cstheme="majorBidi"/>
          <w:lang w:val="ro-MD"/>
        </w:rPr>
        <w:t>;</w:t>
      </w:r>
    </w:p>
    <w:p w14:paraId="00CC16FC" w14:textId="13C17A50" w:rsidR="00B66F3A" w:rsidRPr="00CC2548" w:rsidRDefault="006C671F" w:rsidP="00B05B81">
      <w:pPr>
        <w:pStyle w:val="a4"/>
        <w:spacing w:line="276" w:lineRule="auto"/>
        <w:ind w:firstLine="0"/>
        <w:rPr>
          <w:rFonts w:asciiTheme="majorBidi" w:hAnsiTheme="majorBidi" w:cstheme="majorBidi"/>
          <w:lang w:val="ro-MD"/>
        </w:rPr>
      </w:pPr>
      <w:r w:rsidRPr="00CC2548">
        <w:rPr>
          <w:rFonts w:asciiTheme="majorBidi" w:hAnsiTheme="majorBidi" w:cstheme="majorBidi"/>
          <w:bCs/>
          <w:lang w:val="ro-MD"/>
        </w:rPr>
        <w:t>2.8.</w:t>
      </w:r>
      <w:r w:rsidRPr="00CC2548">
        <w:rPr>
          <w:rFonts w:asciiTheme="majorBidi" w:hAnsiTheme="majorBidi" w:cstheme="majorBidi"/>
          <w:b/>
          <w:lang w:val="ro-MD"/>
        </w:rPr>
        <w:t xml:space="preserve"> </w:t>
      </w:r>
      <w:r w:rsidR="00424381" w:rsidRPr="00CC2548">
        <w:rPr>
          <w:rFonts w:asciiTheme="majorBidi" w:hAnsiTheme="majorBidi" w:cstheme="majorBidi"/>
          <w:b/>
          <w:bCs/>
          <w:lang w:val="ro-MD"/>
        </w:rPr>
        <w:t>S.A. „</w:t>
      </w:r>
      <w:r w:rsidR="00B05B81" w:rsidRPr="00CC2548">
        <w:rPr>
          <w:rFonts w:asciiTheme="majorBidi" w:hAnsiTheme="majorBidi" w:cstheme="majorBidi"/>
          <w:b/>
          <w:bCs/>
          <w:shd w:val="clear" w:color="auto" w:fill="FFFFFF" w:themeFill="background1"/>
          <w:lang w:val="ro-MD"/>
        </w:rPr>
        <w:t>Furnizarea Energiei Electrice</w:t>
      </w:r>
      <w:r w:rsidR="00424381" w:rsidRPr="00CC2548">
        <w:rPr>
          <w:rFonts w:asciiTheme="majorBidi" w:hAnsiTheme="majorBidi" w:cstheme="majorBidi"/>
          <w:b/>
          <w:bCs/>
          <w:lang w:val="ro-MD"/>
        </w:rPr>
        <w:t xml:space="preserve"> Nord”</w:t>
      </w:r>
      <w:r w:rsidR="00F34191" w:rsidRPr="00CC2548">
        <w:rPr>
          <w:rFonts w:asciiTheme="majorBidi" w:hAnsiTheme="majorBidi" w:cstheme="majorBidi"/>
          <w:lang w:val="ro-MD"/>
        </w:rPr>
        <w:t>, pentru informare și implementarea recomandărilor din Raportul de audit.</w:t>
      </w:r>
    </w:p>
    <w:p w14:paraId="5469056E" w14:textId="77777777" w:rsidR="00BC1DD5" w:rsidRPr="00CC2548" w:rsidRDefault="00CD4523" w:rsidP="00302215">
      <w:pPr>
        <w:spacing w:after="0" w:line="276" w:lineRule="auto"/>
        <w:jc w:val="both"/>
        <w:rPr>
          <w:rFonts w:ascii="Times New Roman" w:hAnsi="Times New Roman"/>
          <w:sz w:val="24"/>
          <w:lang w:val="ro-MD"/>
        </w:rPr>
      </w:pPr>
      <w:r w:rsidRPr="00CC2548">
        <w:rPr>
          <w:rFonts w:asciiTheme="majorBidi" w:hAnsiTheme="majorBidi" w:cstheme="majorBidi"/>
          <w:b/>
          <w:sz w:val="24"/>
          <w:szCs w:val="24"/>
          <w:lang w:val="ro-MD"/>
        </w:rPr>
        <w:t>3</w:t>
      </w:r>
      <w:r w:rsidR="00F04D2B" w:rsidRPr="00CC2548">
        <w:rPr>
          <w:rFonts w:asciiTheme="majorBidi" w:hAnsiTheme="majorBidi" w:cstheme="majorBidi"/>
          <w:b/>
          <w:sz w:val="24"/>
          <w:szCs w:val="24"/>
          <w:lang w:val="ro-MD"/>
        </w:rPr>
        <w:t>.</w:t>
      </w:r>
      <w:r w:rsidR="00F04D2B" w:rsidRPr="00CC2548">
        <w:rPr>
          <w:rFonts w:asciiTheme="majorBidi" w:hAnsiTheme="majorBidi" w:cstheme="majorBidi"/>
          <w:bCs/>
          <w:sz w:val="24"/>
          <w:szCs w:val="24"/>
          <w:lang w:val="ro-MD"/>
        </w:rPr>
        <w:t xml:space="preserve"> </w:t>
      </w:r>
      <w:r w:rsidR="002E273F" w:rsidRPr="00CC2548">
        <w:rPr>
          <w:rFonts w:asciiTheme="majorBidi" w:hAnsiTheme="majorBidi" w:cstheme="majorBidi"/>
          <w:b/>
          <w:sz w:val="24"/>
          <w:szCs w:val="24"/>
          <w:lang w:val="ro-MD"/>
        </w:rPr>
        <w:t>Se ia act că</w:t>
      </w:r>
      <w:r w:rsidR="002E273F" w:rsidRPr="00CC2548">
        <w:rPr>
          <w:rFonts w:asciiTheme="majorBidi" w:hAnsiTheme="majorBidi" w:cstheme="majorBidi"/>
          <w:bCs/>
          <w:sz w:val="24"/>
          <w:szCs w:val="24"/>
          <w:lang w:val="ro-MD"/>
        </w:rPr>
        <w:t xml:space="preserve">, </w:t>
      </w:r>
      <w:r w:rsidR="00D54E3B" w:rsidRPr="00CC2548">
        <w:rPr>
          <w:rFonts w:asciiTheme="majorBidi" w:hAnsiTheme="majorBidi" w:cstheme="majorBidi"/>
          <w:sz w:val="24"/>
          <w:szCs w:val="24"/>
          <w:lang w:val="ro-MD"/>
        </w:rPr>
        <w:t>pe parcursul misiunii de audit</w:t>
      </w:r>
      <w:r w:rsidR="00BC1DD5" w:rsidRPr="00CC2548">
        <w:rPr>
          <w:rFonts w:ascii="Times New Roman" w:hAnsi="Times New Roman"/>
          <w:sz w:val="24"/>
          <w:lang w:val="ro-MD"/>
        </w:rPr>
        <w:t>:</w:t>
      </w:r>
    </w:p>
    <w:p w14:paraId="36639630" w14:textId="403933B8" w:rsidR="00BF4DA0" w:rsidRPr="00CC2548" w:rsidRDefault="00BC1DD5" w:rsidP="00BC1DD5">
      <w:pPr>
        <w:spacing w:after="0" w:line="276" w:lineRule="auto"/>
        <w:jc w:val="both"/>
        <w:rPr>
          <w:rFonts w:ascii="Times New Roman" w:hAnsi="Times New Roman"/>
          <w:sz w:val="24"/>
          <w:lang w:val="ro-MD"/>
        </w:rPr>
      </w:pPr>
      <w:r w:rsidRPr="00CC2548">
        <w:rPr>
          <w:rFonts w:ascii="Times New Roman" w:hAnsi="Times New Roman"/>
          <w:sz w:val="24"/>
          <w:lang w:val="ro-MD"/>
        </w:rPr>
        <w:t xml:space="preserve">- </w:t>
      </w:r>
      <w:r w:rsidR="00D54E3B" w:rsidRPr="00CC2548">
        <w:rPr>
          <w:rFonts w:ascii="Times New Roman" w:hAnsi="Times New Roman"/>
          <w:sz w:val="24"/>
          <w:lang w:val="ro-MD"/>
        </w:rPr>
        <w:t xml:space="preserve">banca comercială a transferat pe ambele conturi ale S.A. „FEE-Nord” </w:t>
      </w:r>
      <w:r w:rsidR="00237186" w:rsidRPr="00CC2548">
        <w:rPr>
          <w:rFonts w:ascii="Times New Roman" w:hAnsi="Times New Roman"/>
          <w:sz w:val="24"/>
          <w:lang w:val="ro-MD"/>
        </w:rPr>
        <w:t xml:space="preserve">dobânda recalculată și capitalizarea diferenței de dobândă în sumă </w:t>
      </w:r>
      <w:r w:rsidR="00041E52" w:rsidRPr="00CC2548">
        <w:rPr>
          <w:rFonts w:ascii="Times New Roman" w:hAnsi="Times New Roman"/>
          <w:sz w:val="24"/>
          <w:lang w:val="ro-MD"/>
        </w:rPr>
        <w:t xml:space="preserve">totală </w:t>
      </w:r>
      <w:r w:rsidR="00237186" w:rsidRPr="00CC2548">
        <w:rPr>
          <w:rFonts w:ascii="Times New Roman" w:hAnsi="Times New Roman"/>
          <w:sz w:val="24"/>
          <w:lang w:val="ro-MD"/>
        </w:rPr>
        <w:t>de 874,58 mii lei</w:t>
      </w:r>
      <w:r w:rsidR="00237186" w:rsidRPr="00CC2548">
        <w:rPr>
          <w:vertAlign w:val="superscript"/>
          <w:lang w:val="ro-MD"/>
        </w:rPr>
        <w:footnoteReference w:id="5"/>
      </w:r>
      <w:r w:rsidRPr="00CC2548">
        <w:rPr>
          <w:rFonts w:ascii="Times New Roman" w:hAnsi="Times New Roman"/>
          <w:sz w:val="24"/>
          <w:lang w:val="ro-MD"/>
        </w:rPr>
        <w:t>;</w:t>
      </w:r>
    </w:p>
    <w:p w14:paraId="6D81FF08" w14:textId="5FFDC97A" w:rsidR="00BC1DD5" w:rsidRPr="00CC2548" w:rsidRDefault="00BC1DD5" w:rsidP="00BC1DD5">
      <w:pPr>
        <w:spacing w:after="0" w:line="276" w:lineRule="auto"/>
        <w:jc w:val="both"/>
        <w:rPr>
          <w:rFonts w:asciiTheme="majorBidi" w:hAnsiTheme="majorBidi" w:cstheme="majorBidi"/>
          <w:sz w:val="24"/>
          <w:szCs w:val="24"/>
          <w:lang w:val="ro-MD"/>
        </w:rPr>
      </w:pPr>
      <w:r w:rsidRPr="00CC2548">
        <w:rPr>
          <w:rFonts w:ascii="Times New Roman" w:hAnsi="Times New Roman"/>
          <w:sz w:val="24"/>
          <w:lang w:val="ro-MD"/>
        </w:rPr>
        <w:t xml:space="preserve">- </w:t>
      </w:r>
      <w:r w:rsidR="00FF3CED" w:rsidRPr="00CC2548">
        <w:rPr>
          <w:rFonts w:ascii="Times New Roman" w:hAnsi="Times New Roman"/>
          <w:sz w:val="24"/>
          <w:lang w:val="ro-MD"/>
        </w:rPr>
        <w:t xml:space="preserve">a fost prestat </w:t>
      </w:r>
      <w:r w:rsidR="003E73D1" w:rsidRPr="00CC2548">
        <w:rPr>
          <w:rFonts w:ascii="Times New Roman" w:hAnsi="Times New Roman"/>
          <w:sz w:val="24"/>
          <w:lang w:val="ro-MD"/>
        </w:rPr>
        <w:t xml:space="preserve">de către operatorul economic </w:t>
      </w:r>
      <w:r w:rsidR="00FF3CED" w:rsidRPr="00CC2548">
        <w:rPr>
          <w:rFonts w:ascii="Times New Roman" w:hAnsi="Times New Roman"/>
          <w:sz w:val="24"/>
          <w:lang w:val="ro-MD"/>
        </w:rPr>
        <w:t>serviciul pentru tranziția la Standardele Internaționale de Raportare Financiară</w:t>
      </w:r>
      <w:r w:rsidR="003E73D1" w:rsidRPr="00CC2548">
        <w:rPr>
          <w:rFonts w:ascii="Times New Roman" w:hAnsi="Times New Roman"/>
          <w:sz w:val="24"/>
          <w:lang w:val="ro-MD"/>
        </w:rPr>
        <w:t>,</w:t>
      </w:r>
      <w:r w:rsidR="00FF3CED" w:rsidRPr="00CC2548">
        <w:rPr>
          <w:rFonts w:ascii="Times New Roman" w:hAnsi="Times New Roman"/>
          <w:sz w:val="24"/>
          <w:lang w:val="ro-MD"/>
        </w:rPr>
        <w:t xml:space="preserve"> cu prezentarea rapoartelor aferente.</w:t>
      </w:r>
    </w:p>
    <w:p w14:paraId="2008A490" w14:textId="767778DE" w:rsidR="00E00483" w:rsidRPr="00CC2548" w:rsidRDefault="00CD4523" w:rsidP="0091445D">
      <w:pPr>
        <w:tabs>
          <w:tab w:val="left" w:pos="993"/>
        </w:tabs>
        <w:spacing w:after="0" w:line="276" w:lineRule="auto"/>
        <w:jc w:val="both"/>
        <w:rPr>
          <w:rFonts w:asciiTheme="majorBidi" w:hAnsiTheme="majorBidi" w:cstheme="majorBidi"/>
          <w:sz w:val="24"/>
          <w:szCs w:val="24"/>
          <w:lang w:val="ro-MD"/>
        </w:rPr>
      </w:pPr>
      <w:r w:rsidRPr="00CC2548">
        <w:rPr>
          <w:rFonts w:asciiTheme="majorBidi" w:hAnsiTheme="majorBidi" w:cstheme="majorBidi"/>
          <w:b/>
          <w:sz w:val="24"/>
          <w:szCs w:val="24"/>
          <w:lang w:val="ro-MD"/>
        </w:rPr>
        <w:t>4</w:t>
      </w:r>
      <w:r w:rsidR="00EF3E64" w:rsidRPr="00CC2548">
        <w:rPr>
          <w:rFonts w:asciiTheme="majorBidi" w:hAnsiTheme="majorBidi" w:cstheme="majorBidi"/>
          <w:b/>
          <w:sz w:val="24"/>
          <w:szCs w:val="24"/>
          <w:lang w:val="ro-MD"/>
        </w:rPr>
        <w:t>.</w:t>
      </w:r>
      <w:r w:rsidR="002E273F" w:rsidRPr="00CC2548">
        <w:rPr>
          <w:rFonts w:asciiTheme="majorBidi" w:hAnsiTheme="majorBidi" w:cstheme="majorBidi"/>
          <w:bCs/>
          <w:sz w:val="24"/>
          <w:szCs w:val="24"/>
          <w:lang w:val="ro-MD"/>
        </w:rPr>
        <w:t xml:space="preserve"> Prezenta Hotărâre intră în vigoare din data publicării </w:t>
      </w:r>
      <w:r w:rsidR="002E273F" w:rsidRPr="00CC2548">
        <w:rPr>
          <w:rFonts w:asciiTheme="majorBidi" w:hAnsiTheme="majorBidi" w:cstheme="majorBidi"/>
          <w:sz w:val="24"/>
          <w:szCs w:val="24"/>
          <w:lang w:val="ro-MD"/>
        </w:rPr>
        <w:t>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 Kiev nr. 3), în termen de 30 de zile din data comunicării răspunsului cu privire la cererea prealabilă sau din data expirării termenului prevăzut pentru soluționarea acesteia</w:t>
      </w:r>
      <w:r w:rsidR="00AB0454" w:rsidRPr="00CC2548">
        <w:rPr>
          <w:rFonts w:asciiTheme="majorBidi" w:hAnsiTheme="majorBidi" w:cstheme="majorBidi"/>
          <w:sz w:val="24"/>
          <w:szCs w:val="24"/>
          <w:lang w:val="ro-MD"/>
        </w:rPr>
        <w:t>.</w:t>
      </w:r>
    </w:p>
    <w:p w14:paraId="069DEDAA" w14:textId="2CCA97E8" w:rsidR="00C61F48" w:rsidRPr="00CC2548" w:rsidRDefault="00CD4523" w:rsidP="00FF1D09">
      <w:pPr>
        <w:spacing w:after="0" w:line="276" w:lineRule="auto"/>
        <w:jc w:val="both"/>
        <w:rPr>
          <w:rFonts w:asciiTheme="majorBidi" w:hAnsiTheme="majorBidi" w:cstheme="majorBidi"/>
          <w:sz w:val="24"/>
          <w:szCs w:val="24"/>
          <w:lang w:val="ro-MD"/>
        </w:rPr>
      </w:pPr>
      <w:r w:rsidRPr="00CC2548">
        <w:rPr>
          <w:rFonts w:asciiTheme="majorBidi" w:hAnsiTheme="majorBidi" w:cstheme="majorBidi"/>
          <w:b/>
          <w:bCs/>
          <w:sz w:val="24"/>
          <w:szCs w:val="24"/>
          <w:lang w:val="ro-MD"/>
        </w:rPr>
        <w:t>5</w:t>
      </w:r>
      <w:r w:rsidR="00C61F48" w:rsidRPr="00CC2548">
        <w:rPr>
          <w:rFonts w:asciiTheme="majorBidi" w:hAnsiTheme="majorBidi" w:cstheme="majorBidi"/>
          <w:b/>
          <w:bCs/>
          <w:sz w:val="24"/>
          <w:szCs w:val="24"/>
          <w:lang w:val="ro-MD"/>
        </w:rPr>
        <w:t>.</w:t>
      </w:r>
      <w:r w:rsidR="002E273F" w:rsidRPr="00CC2548">
        <w:rPr>
          <w:rFonts w:asciiTheme="majorBidi" w:hAnsiTheme="majorBidi" w:cstheme="majorBidi"/>
          <w:sz w:val="24"/>
          <w:szCs w:val="24"/>
          <w:lang w:val="ro-MD"/>
        </w:rPr>
        <w:t xml:space="preserve"> Curtea de Conturi va fi informată trimestrial, în termen de 12 luni din data intrării în vigoare a prezentei Hotărâri, despre acțiunile întreprinse pe</w:t>
      </w:r>
      <w:r w:rsidR="00424381" w:rsidRPr="00CC2548">
        <w:rPr>
          <w:rFonts w:asciiTheme="majorBidi" w:hAnsiTheme="majorBidi" w:cstheme="majorBidi"/>
          <w:sz w:val="24"/>
          <w:szCs w:val="24"/>
          <w:lang w:val="ro-MD"/>
        </w:rPr>
        <w:t>ntru executarea subpunctelor 2.</w:t>
      </w:r>
      <w:r w:rsidR="00FF1D09" w:rsidRPr="00CC2548">
        <w:rPr>
          <w:rFonts w:asciiTheme="majorBidi" w:hAnsiTheme="majorBidi" w:cstheme="majorBidi"/>
          <w:sz w:val="24"/>
          <w:szCs w:val="24"/>
          <w:lang w:val="ro-MD"/>
        </w:rPr>
        <w:t>6</w:t>
      </w:r>
      <w:r w:rsidR="002E273F" w:rsidRPr="00CC2548">
        <w:rPr>
          <w:rFonts w:asciiTheme="majorBidi" w:hAnsiTheme="majorBidi" w:cstheme="majorBidi"/>
          <w:sz w:val="24"/>
          <w:szCs w:val="24"/>
          <w:lang w:val="ro-MD"/>
        </w:rPr>
        <w:t>. – 2.</w:t>
      </w:r>
      <w:r w:rsidR="00C637F5" w:rsidRPr="00CC2548">
        <w:rPr>
          <w:rFonts w:asciiTheme="majorBidi" w:hAnsiTheme="majorBidi" w:cstheme="majorBidi"/>
          <w:sz w:val="24"/>
          <w:szCs w:val="24"/>
          <w:lang w:val="ro-MD"/>
        </w:rPr>
        <w:t>8</w:t>
      </w:r>
      <w:r w:rsidR="002E273F" w:rsidRPr="00CC2548">
        <w:rPr>
          <w:rFonts w:asciiTheme="majorBidi" w:hAnsiTheme="majorBidi" w:cstheme="majorBidi"/>
          <w:sz w:val="24"/>
          <w:szCs w:val="24"/>
          <w:lang w:val="ro-MD"/>
        </w:rPr>
        <w:t>. din prezenta Hotărâre</w:t>
      </w:r>
      <w:r w:rsidR="00C61F48" w:rsidRPr="00CC2548">
        <w:rPr>
          <w:rFonts w:asciiTheme="majorBidi" w:hAnsiTheme="majorBidi" w:cstheme="majorBidi"/>
          <w:sz w:val="24"/>
          <w:szCs w:val="24"/>
          <w:lang w:val="ro-MD"/>
        </w:rPr>
        <w:t>.</w:t>
      </w:r>
    </w:p>
    <w:p w14:paraId="3D59E766" w14:textId="4C1D8DE9" w:rsidR="00C61F48" w:rsidRPr="00CC2548" w:rsidRDefault="00CD4523" w:rsidP="0041291F">
      <w:pPr>
        <w:spacing w:after="0" w:line="276" w:lineRule="auto"/>
        <w:jc w:val="both"/>
        <w:rPr>
          <w:rFonts w:asciiTheme="majorBidi" w:hAnsiTheme="majorBidi" w:cstheme="majorBidi"/>
          <w:sz w:val="24"/>
          <w:szCs w:val="24"/>
          <w:lang w:val="ro-MD"/>
        </w:rPr>
      </w:pPr>
      <w:r w:rsidRPr="00CC2548">
        <w:rPr>
          <w:rFonts w:asciiTheme="majorBidi" w:hAnsiTheme="majorBidi" w:cstheme="majorBidi"/>
          <w:b/>
          <w:bCs/>
          <w:sz w:val="24"/>
          <w:szCs w:val="24"/>
          <w:lang w:val="ro-MD"/>
        </w:rPr>
        <w:t>6</w:t>
      </w:r>
      <w:r w:rsidR="00C61F48" w:rsidRPr="00CC2548">
        <w:rPr>
          <w:rFonts w:asciiTheme="majorBidi" w:hAnsiTheme="majorBidi" w:cstheme="majorBidi"/>
          <w:b/>
          <w:bCs/>
          <w:sz w:val="24"/>
          <w:szCs w:val="24"/>
          <w:lang w:val="ro-MD"/>
        </w:rPr>
        <w:t>.</w:t>
      </w:r>
      <w:r w:rsidR="002E273F" w:rsidRPr="00CC2548">
        <w:rPr>
          <w:rFonts w:asciiTheme="majorBidi" w:hAnsiTheme="majorBidi" w:cstheme="majorBidi"/>
          <w:sz w:val="24"/>
          <w:szCs w:val="24"/>
          <w:lang w:val="ro-MD"/>
        </w:rPr>
        <w:t xml:space="preserve"> Hotărârea și</w:t>
      </w:r>
      <w:r w:rsidR="002E273F" w:rsidRPr="00CC2548">
        <w:rPr>
          <w:rFonts w:asciiTheme="majorBidi" w:hAnsiTheme="majorBidi" w:cstheme="majorBidi"/>
          <w:lang w:val="ro-MD"/>
        </w:rPr>
        <w:t xml:space="preserve"> </w:t>
      </w:r>
      <w:r w:rsidR="002E273F" w:rsidRPr="00CC2548">
        <w:rPr>
          <w:rFonts w:asciiTheme="majorBidi" w:hAnsiTheme="majorBidi" w:cstheme="majorBidi"/>
          <w:sz w:val="24"/>
          <w:szCs w:val="24"/>
          <w:lang w:val="ro-MD"/>
        </w:rPr>
        <w:t xml:space="preserve">Raportul </w:t>
      </w:r>
      <w:r w:rsidR="0041291F" w:rsidRPr="00CC2548">
        <w:rPr>
          <w:rFonts w:asciiTheme="majorBidi" w:hAnsiTheme="majorBidi" w:cstheme="majorBidi"/>
          <w:sz w:val="24"/>
          <w:szCs w:val="24"/>
          <w:lang w:val="ro-MD"/>
        </w:rPr>
        <w:t xml:space="preserve">de </w:t>
      </w:r>
      <w:r w:rsidR="006E6958" w:rsidRPr="00CC2548">
        <w:rPr>
          <w:rFonts w:asciiTheme="majorBidi" w:hAnsiTheme="majorBidi" w:cstheme="majorBidi"/>
          <w:sz w:val="24"/>
          <w:szCs w:val="24"/>
          <w:lang w:val="ro-MD"/>
        </w:rPr>
        <w:t>audit</w:t>
      </w:r>
      <w:r w:rsidR="0041291F" w:rsidRPr="00CC2548">
        <w:rPr>
          <w:rFonts w:asciiTheme="majorBidi" w:hAnsiTheme="majorBidi" w:cstheme="majorBidi"/>
          <w:sz w:val="24"/>
          <w:szCs w:val="24"/>
          <w:lang w:val="ro-MD"/>
        </w:rPr>
        <w:t xml:space="preserve"> al</w:t>
      </w:r>
      <w:r w:rsidR="006E6958" w:rsidRPr="00CC2548">
        <w:rPr>
          <w:rFonts w:asciiTheme="majorBidi" w:hAnsiTheme="majorBidi" w:cstheme="majorBidi"/>
          <w:sz w:val="24"/>
          <w:szCs w:val="24"/>
          <w:lang w:val="ro-MD"/>
        </w:rPr>
        <w:t xml:space="preserve"> conformității asupra gestionării patrimoniului public și a resurselor financiare de către S.A. „</w:t>
      </w:r>
      <w:r w:rsidR="00E12F0C" w:rsidRPr="00CC2548">
        <w:rPr>
          <w:rFonts w:asciiTheme="majorBidi" w:hAnsiTheme="majorBidi" w:cstheme="majorBidi"/>
          <w:sz w:val="24"/>
          <w:szCs w:val="24"/>
          <w:shd w:val="clear" w:color="auto" w:fill="FFFFFF" w:themeFill="background1"/>
          <w:lang w:val="ro-MD"/>
        </w:rPr>
        <w:t>Furnizarea Energiei Electrice</w:t>
      </w:r>
      <w:r w:rsidR="00E12F0C" w:rsidRPr="00CC2548">
        <w:rPr>
          <w:rFonts w:asciiTheme="majorBidi" w:hAnsiTheme="majorBidi" w:cstheme="majorBidi"/>
          <w:b/>
          <w:bCs/>
          <w:lang w:val="ro-MD"/>
        </w:rPr>
        <w:t xml:space="preserve"> </w:t>
      </w:r>
      <w:r w:rsidR="006E6958" w:rsidRPr="00CC2548">
        <w:rPr>
          <w:rFonts w:asciiTheme="majorBidi" w:hAnsiTheme="majorBidi" w:cstheme="majorBidi"/>
          <w:sz w:val="24"/>
          <w:szCs w:val="24"/>
          <w:lang w:val="ro-MD"/>
        </w:rPr>
        <w:t xml:space="preserve">Nord” în anii 2021-2022 </w:t>
      </w:r>
      <w:r w:rsidR="002E273F" w:rsidRPr="00CC2548">
        <w:rPr>
          <w:rFonts w:asciiTheme="majorBidi" w:hAnsiTheme="majorBidi" w:cstheme="majorBidi"/>
          <w:sz w:val="24"/>
          <w:szCs w:val="24"/>
          <w:lang w:val="ro-MD"/>
        </w:rPr>
        <w:t>se plasează pe site-ul oficial al Curții de Conturi (</w:t>
      </w:r>
      <w:hyperlink r:id="rId9" w:history="1">
        <w:r w:rsidR="002E273F" w:rsidRPr="00CC2548">
          <w:rPr>
            <w:rStyle w:val="a3"/>
            <w:rFonts w:asciiTheme="majorBidi" w:hAnsiTheme="majorBidi" w:cstheme="majorBidi"/>
            <w:sz w:val="24"/>
            <w:szCs w:val="24"/>
            <w:lang w:val="ro-MD"/>
          </w:rPr>
          <w:t>https://www.ccrm.md/ro/decisions</w:t>
        </w:r>
      </w:hyperlink>
      <w:r w:rsidR="002E273F" w:rsidRPr="00CC2548">
        <w:rPr>
          <w:rFonts w:asciiTheme="majorBidi" w:hAnsiTheme="majorBidi" w:cstheme="majorBidi"/>
          <w:sz w:val="24"/>
          <w:szCs w:val="24"/>
          <w:lang w:val="ro-MD"/>
        </w:rPr>
        <w:t>)</w:t>
      </w:r>
      <w:r w:rsidR="00C61F48" w:rsidRPr="00CC2548">
        <w:rPr>
          <w:rFonts w:asciiTheme="majorBidi" w:hAnsiTheme="majorBidi" w:cstheme="majorBidi"/>
          <w:sz w:val="24"/>
          <w:szCs w:val="24"/>
          <w:lang w:val="ro-MD"/>
        </w:rPr>
        <w:t xml:space="preserve">. </w:t>
      </w:r>
    </w:p>
    <w:p w14:paraId="16D14010" w14:textId="77777777" w:rsidR="002E273F" w:rsidRPr="00CC2548" w:rsidRDefault="002E273F" w:rsidP="002E273F">
      <w:pPr>
        <w:spacing w:after="0" w:line="276" w:lineRule="auto"/>
        <w:jc w:val="both"/>
        <w:rPr>
          <w:rFonts w:asciiTheme="majorBidi" w:hAnsiTheme="majorBidi" w:cstheme="majorBidi"/>
          <w:sz w:val="24"/>
          <w:szCs w:val="24"/>
          <w:lang w:val="ro-MD"/>
        </w:rPr>
      </w:pPr>
    </w:p>
    <w:p w14:paraId="429D5125" w14:textId="77777777" w:rsidR="00C61F48" w:rsidRPr="00CC2548" w:rsidRDefault="00C61F48" w:rsidP="00C61F48">
      <w:pPr>
        <w:spacing w:after="0" w:line="276" w:lineRule="auto"/>
        <w:jc w:val="right"/>
        <w:rPr>
          <w:rFonts w:asciiTheme="majorBidi" w:eastAsia="Times New Roman" w:hAnsiTheme="majorBidi" w:cstheme="majorBidi"/>
          <w:b/>
          <w:sz w:val="24"/>
          <w:szCs w:val="24"/>
          <w:lang w:val="ro-MD"/>
        </w:rPr>
      </w:pPr>
    </w:p>
    <w:p w14:paraId="283ECBEA" w14:textId="63F64DF1" w:rsidR="00C61F48" w:rsidRPr="00CC2548" w:rsidRDefault="0015286C" w:rsidP="00C61F48">
      <w:pPr>
        <w:spacing w:after="0" w:line="276" w:lineRule="auto"/>
        <w:jc w:val="right"/>
        <w:rPr>
          <w:rFonts w:asciiTheme="majorBidi" w:eastAsia="Times New Roman" w:hAnsiTheme="majorBidi" w:cstheme="majorBidi"/>
          <w:b/>
          <w:sz w:val="24"/>
          <w:szCs w:val="24"/>
          <w:lang w:val="ro-MD"/>
        </w:rPr>
      </w:pPr>
      <w:r w:rsidRPr="00CC2548">
        <w:rPr>
          <w:rFonts w:asciiTheme="majorBidi" w:eastAsia="Times New Roman" w:hAnsiTheme="majorBidi" w:cstheme="majorBidi"/>
          <w:b/>
          <w:sz w:val="24"/>
          <w:szCs w:val="24"/>
          <w:lang w:val="ro-MD"/>
        </w:rPr>
        <w:t>Tatiana ȘEVCIUC</w:t>
      </w:r>
      <w:r w:rsidR="00C61F48" w:rsidRPr="00CC2548">
        <w:rPr>
          <w:rFonts w:asciiTheme="majorBidi" w:eastAsia="Times New Roman" w:hAnsiTheme="majorBidi" w:cstheme="majorBidi"/>
          <w:b/>
          <w:sz w:val="24"/>
          <w:szCs w:val="24"/>
          <w:lang w:val="ro-MD"/>
        </w:rPr>
        <w:t>,</w:t>
      </w:r>
    </w:p>
    <w:p w14:paraId="4999708E" w14:textId="301AC8C6" w:rsidR="00D348AC" w:rsidRPr="00CC2548" w:rsidRDefault="00D82AFA" w:rsidP="00C61F48">
      <w:pPr>
        <w:spacing w:after="0" w:line="276" w:lineRule="auto"/>
        <w:jc w:val="right"/>
        <w:rPr>
          <w:rFonts w:asciiTheme="majorBidi" w:eastAsia="Times New Roman" w:hAnsiTheme="majorBidi" w:cstheme="majorBidi"/>
          <w:b/>
          <w:sz w:val="24"/>
          <w:szCs w:val="24"/>
          <w:lang w:val="ro-MD"/>
        </w:rPr>
      </w:pPr>
      <w:r w:rsidRPr="00CC2548">
        <w:rPr>
          <w:rFonts w:asciiTheme="majorBidi" w:eastAsia="Times New Roman" w:hAnsiTheme="majorBidi" w:cstheme="majorBidi"/>
          <w:b/>
          <w:sz w:val="24"/>
          <w:szCs w:val="24"/>
          <w:lang w:val="ro-MD"/>
        </w:rPr>
        <w:t>Președintă</w:t>
      </w:r>
      <w:bookmarkStart w:id="1" w:name="_GoBack"/>
      <w:bookmarkEnd w:id="1"/>
    </w:p>
    <w:sectPr w:rsidR="00D348AC" w:rsidRPr="00CC2548" w:rsidSect="00D82DAC">
      <w:pgSz w:w="11906" w:h="16838" w:code="9"/>
      <w:pgMar w:top="851" w:right="851" w:bottom="851" w:left="1701" w:header="72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6CB41" w14:textId="77777777" w:rsidR="00E41708" w:rsidRDefault="00E41708" w:rsidP="00C61F48">
      <w:pPr>
        <w:spacing w:after="0" w:line="240" w:lineRule="auto"/>
      </w:pPr>
      <w:r>
        <w:separator/>
      </w:r>
    </w:p>
  </w:endnote>
  <w:endnote w:type="continuationSeparator" w:id="0">
    <w:p w14:paraId="595F6557" w14:textId="77777777" w:rsidR="00E41708" w:rsidRDefault="00E41708" w:rsidP="00C61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C4F3A" w14:textId="77777777" w:rsidR="00E41708" w:rsidRDefault="00E41708" w:rsidP="00C61F48">
      <w:pPr>
        <w:spacing w:after="0" w:line="240" w:lineRule="auto"/>
      </w:pPr>
      <w:r>
        <w:separator/>
      </w:r>
    </w:p>
  </w:footnote>
  <w:footnote w:type="continuationSeparator" w:id="0">
    <w:p w14:paraId="749F2CC2" w14:textId="77777777" w:rsidR="00E41708" w:rsidRDefault="00E41708" w:rsidP="00C61F48">
      <w:pPr>
        <w:spacing w:after="0" w:line="240" w:lineRule="auto"/>
      </w:pPr>
      <w:r>
        <w:continuationSeparator/>
      </w:r>
    </w:p>
  </w:footnote>
  <w:footnote w:id="1">
    <w:p w14:paraId="1E139D02" w14:textId="77777777" w:rsidR="00C61F48" w:rsidRPr="005E4AA3" w:rsidRDefault="00C61F48" w:rsidP="005E4AA3">
      <w:pPr>
        <w:pStyle w:val="a6"/>
        <w:jc w:val="both"/>
        <w:rPr>
          <w:rFonts w:asciiTheme="majorBidi" w:hAnsiTheme="majorBidi" w:cstheme="majorBidi"/>
          <w:sz w:val="16"/>
          <w:szCs w:val="16"/>
          <w:lang w:val="ro-RO"/>
        </w:rPr>
      </w:pPr>
      <w:r w:rsidRPr="005E4AA3">
        <w:rPr>
          <w:rStyle w:val="ab"/>
          <w:rFonts w:asciiTheme="majorBidi" w:hAnsiTheme="majorBidi" w:cstheme="majorBidi"/>
          <w:sz w:val="16"/>
          <w:szCs w:val="16"/>
          <w:lang w:val="ro-RO"/>
        </w:rPr>
        <w:footnoteRef/>
      </w:r>
      <w:r w:rsidRPr="005E4AA3">
        <w:rPr>
          <w:rFonts w:asciiTheme="majorBidi" w:hAnsiTheme="majorBidi" w:cstheme="majorBidi"/>
          <w:sz w:val="16"/>
          <w:szCs w:val="16"/>
          <w:lang w:val="ro-RO"/>
        </w:rPr>
        <w:t xml:space="preserve"> Legea privind organizarea și funcționarea Curții de Conturi a Republicii Moldova nr.260 din 07.12.2017 (în continuare – Legea nr.260 din 07.12.2017).</w:t>
      </w:r>
    </w:p>
  </w:footnote>
  <w:footnote w:id="2">
    <w:p w14:paraId="2AD5BAE7" w14:textId="77777777" w:rsidR="005E4AA3" w:rsidRPr="005E4AA3" w:rsidRDefault="005E4AA3" w:rsidP="005E4AA3">
      <w:pPr>
        <w:pStyle w:val="a6"/>
        <w:jc w:val="both"/>
        <w:rPr>
          <w:rFonts w:asciiTheme="majorBidi" w:eastAsia="Times New Roman" w:hAnsiTheme="majorBidi" w:cstheme="majorBidi"/>
          <w:sz w:val="16"/>
          <w:szCs w:val="16"/>
          <w:lang w:val="ro-RO"/>
        </w:rPr>
      </w:pPr>
      <w:r w:rsidRPr="005E4AA3">
        <w:rPr>
          <w:rStyle w:val="FootnoteReference1"/>
          <w:rFonts w:asciiTheme="majorBidi" w:hAnsiTheme="majorBidi" w:cstheme="majorBidi"/>
          <w:sz w:val="16"/>
          <w:szCs w:val="16"/>
          <w:lang w:val="ro-RO"/>
        </w:rPr>
        <w:footnoteRef/>
      </w:r>
      <w:r w:rsidRPr="005E4AA3">
        <w:rPr>
          <w:rFonts w:asciiTheme="majorBidi" w:hAnsiTheme="majorBidi" w:cstheme="majorBidi"/>
          <w:sz w:val="16"/>
          <w:szCs w:val="16"/>
          <w:lang w:val="ro-MD"/>
        </w:rPr>
        <w:t xml:space="preserve"> </w:t>
      </w:r>
      <w:r w:rsidRPr="005E4AA3">
        <w:rPr>
          <w:rFonts w:asciiTheme="majorBidi" w:eastAsia="Times New Roman" w:hAnsiTheme="majorBidi" w:cstheme="majorBidi"/>
          <w:sz w:val="16"/>
          <w:szCs w:val="16"/>
          <w:lang w:val="ro-RO"/>
        </w:rPr>
        <w:t>Programul activității de audit a Curții de Conturi pe anul 2023, aprobat prin Hotărârea Curții de Conturi nr.65 din 22.12.2022.</w:t>
      </w:r>
    </w:p>
  </w:footnote>
  <w:footnote w:id="3">
    <w:p w14:paraId="352297F7" w14:textId="6F96A3CD" w:rsidR="005E4AA3" w:rsidRPr="005E4AA3" w:rsidRDefault="005E4AA3" w:rsidP="00F34191">
      <w:pPr>
        <w:pStyle w:val="a6"/>
        <w:rPr>
          <w:rFonts w:asciiTheme="majorBidi" w:hAnsiTheme="majorBidi" w:cstheme="majorBidi"/>
          <w:sz w:val="16"/>
          <w:szCs w:val="16"/>
          <w:lang w:val="ro-RO"/>
        </w:rPr>
      </w:pPr>
      <w:r w:rsidRPr="005E4AA3">
        <w:rPr>
          <w:rStyle w:val="ab"/>
          <w:rFonts w:asciiTheme="majorBidi" w:hAnsiTheme="majorBidi" w:cstheme="majorBidi"/>
          <w:sz w:val="16"/>
          <w:szCs w:val="16"/>
        </w:rPr>
        <w:footnoteRef/>
      </w:r>
      <w:r w:rsidRPr="005E4AA3">
        <w:rPr>
          <w:rFonts w:asciiTheme="majorBidi" w:hAnsiTheme="majorBidi" w:cstheme="majorBidi"/>
          <w:sz w:val="16"/>
          <w:szCs w:val="16"/>
        </w:rPr>
        <w:t xml:space="preserve"> </w:t>
      </w:r>
      <w:r w:rsidRPr="005E4AA3">
        <w:rPr>
          <w:rFonts w:asciiTheme="majorBidi" w:eastAsia="Times New Roman" w:hAnsiTheme="majorBidi" w:cstheme="majorBidi"/>
          <w:sz w:val="16"/>
          <w:szCs w:val="16"/>
          <w:lang w:val="ro-RO"/>
        </w:rPr>
        <w:t>Programul activității de audit a Curții de Conturi pe anul 202</w:t>
      </w:r>
      <w:r w:rsidR="00F34191">
        <w:rPr>
          <w:rFonts w:asciiTheme="majorBidi" w:eastAsia="Times New Roman" w:hAnsiTheme="majorBidi" w:cstheme="majorBidi"/>
          <w:sz w:val="16"/>
          <w:szCs w:val="16"/>
          <w:lang w:val="ro-RO"/>
        </w:rPr>
        <w:t>4</w:t>
      </w:r>
      <w:r w:rsidRPr="005E4AA3">
        <w:rPr>
          <w:rFonts w:asciiTheme="majorBidi" w:eastAsia="Times New Roman" w:hAnsiTheme="majorBidi" w:cstheme="majorBidi"/>
          <w:sz w:val="16"/>
          <w:szCs w:val="16"/>
          <w:lang w:val="ro-RO"/>
        </w:rPr>
        <w:t xml:space="preserve">, aprobat prin Hotărârea Curții de Conturi </w:t>
      </w:r>
      <w:r w:rsidR="00F34191">
        <w:rPr>
          <w:rFonts w:asciiTheme="majorBidi" w:eastAsia="Times New Roman" w:hAnsiTheme="majorBidi" w:cstheme="majorBidi"/>
          <w:sz w:val="16"/>
          <w:szCs w:val="16"/>
          <w:lang w:val="ro-RO"/>
        </w:rPr>
        <w:t>nr.5</w:t>
      </w:r>
      <w:r w:rsidRPr="005E4AA3">
        <w:rPr>
          <w:rFonts w:asciiTheme="majorBidi" w:eastAsia="Times New Roman" w:hAnsiTheme="majorBidi" w:cstheme="majorBidi"/>
          <w:sz w:val="16"/>
          <w:szCs w:val="16"/>
          <w:lang w:val="ro-RO"/>
        </w:rPr>
        <w:t xml:space="preserve">5 din </w:t>
      </w:r>
      <w:r w:rsidR="00F34191">
        <w:rPr>
          <w:rFonts w:asciiTheme="majorBidi" w:eastAsia="Times New Roman" w:hAnsiTheme="majorBidi" w:cstheme="majorBidi"/>
          <w:sz w:val="16"/>
          <w:szCs w:val="16"/>
          <w:lang w:val="ro-RO"/>
        </w:rPr>
        <w:t>15</w:t>
      </w:r>
      <w:r w:rsidRPr="005E4AA3">
        <w:rPr>
          <w:rFonts w:asciiTheme="majorBidi" w:eastAsia="Times New Roman" w:hAnsiTheme="majorBidi" w:cstheme="majorBidi"/>
          <w:sz w:val="16"/>
          <w:szCs w:val="16"/>
          <w:lang w:val="ro-RO"/>
        </w:rPr>
        <w:t>.12.202</w:t>
      </w:r>
      <w:r w:rsidR="00F34191">
        <w:rPr>
          <w:rFonts w:asciiTheme="majorBidi" w:eastAsia="Times New Roman" w:hAnsiTheme="majorBidi" w:cstheme="majorBidi"/>
          <w:sz w:val="16"/>
          <w:szCs w:val="16"/>
          <w:lang w:val="ro-RO"/>
        </w:rPr>
        <w:t>3</w:t>
      </w:r>
      <w:r w:rsidRPr="005E4AA3">
        <w:rPr>
          <w:rFonts w:asciiTheme="majorBidi" w:eastAsia="Times New Roman" w:hAnsiTheme="majorBidi" w:cstheme="majorBidi"/>
          <w:sz w:val="16"/>
          <w:szCs w:val="16"/>
          <w:lang w:val="ro-RO"/>
        </w:rPr>
        <w:t>.</w:t>
      </w:r>
    </w:p>
  </w:footnote>
  <w:footnote w:id="4">
    <w:p w14:paraId="19563378" w14:textId="10702123" w:rsidR="00C61F48" w:rsidRPr="005E4AA3" w:rsidRDefault="00200244" w:rsidP="005E4AA3">
      <w:pPr>
        <w:spacing w:after="0" w:line="240" w:lineRule="auto"/>
        <w:jc w:val="both"/>
        <w:rPr>
          <w:rFonts w:asciiTheme="majorBidi" w:eastAsia="Times New Roman" w:hAnsiTheme="majorBidi" w:cstheme="majorBidi"/>
          <w:sz w:val="16"/>
          <w:szCs w:val="16"/>
          <w:lang w:val="ro-MD"/>
        </w:rPr>
      </w:pPr>
      <w:r w:rsidRPr="005E4AA3">
        <w:rPr>
          <w:rFonts w:asciiTheme="majorBidi" w:hAnsiTheme="majorBidi" w:cstheme="majorBidi"/>
          <w:sz w:val="16"/>
          <w:szCs w:val="16"/>
          <w:vertAlign w:val="superscript"/>
          <w:lang w:val="ro-MD"/>
        </w:rPr>
        <w:t>3</w:t>
      </w:r>
      <w:r w:rsidR="00C61F48" w:rsidRPr="005E4AA3">
        <w:rPr>
          <w:rFonts w:asciiTheme="majorBidi" w:hAnsiTheme="majorBidi" w:cstheme="majorBidi"/>
          <w:sz w:val="16"/>
          <w:szCs w:val="16"/>
          <w:vertAlign w:val="superscript"/>
          <w:lang w:val="ro-MD"/>
        </w:rPr>
        <w:t xml:space="preserve"> </w:t>
      </w:r>
      <w:r w:rsidR="0097019F">
        <w:rPr>
          <w:rFonts w:asciiTheme="majorBidi" w:hAnsiTheme="majorBidi" w:cstheme="majorBidi"/>
          <w:sz w:val="16"/>
          <w:szCs w:val="16"/>
          <w:vertAlign w:val="superscript"/>
          <w:lang w:val="ro-MD"/>
        </w:rPr>
        <w:t xml:space="preserve"> </w:t>
      </w:r>
      <w:r w:rsidR="00C61F48" w:rsidRPr="005E4AA3">
        <w:rPr>
          <w:rFonts w:asciiTheme="majorBidi" w:hAnsiTheme="majorBidi" w:cstheme="majorBidi"/>
          <w:sz w:val="16"/>
          <w:szCs w:val="16"/>
          <w:lang w:val="ro-MD"/>
        </w:rPr>
        <w:t>Hotărârea Curții de Conturi nr.2 din</w:t>
      </w:r>
      <w:r w:rsidR="00C61F48" w:rsidRPr="005E4AA3">
        <w:rPr>
          <w:rFonts w:asciiTheme="majorBidi" w:eastAsia="Times New Roman" w:hAnsiTheme="majorBidi" w:cstheme="majorBidi"/>
          <w:sz w:val="16"/>
          <w:szCs w:val="16"/>
          <w:lang w:val="ro-MD"/>
        </w:rPr>
        <w:t xml:space="preserve"> 24.01.2020 „Cu privire la Cadrul Declarațiilor Profesionale ale INTOSAI”. </w:t>
      </w:r>
    </w:p>
  </w:footnote>
  <w:footnote w:id="5">
    <w:p w14:paraId="6D6AAA84" w14:textId="77777777" w:rsidR="00237186" w:rsidRPr="00705928" w:rsidRDefault="00237186" w:rsidP="00237186">
      <w:pPr>
        <w:pStyle w:val="a6"/>
        <w:rPr>
          <w:rFonts w:asciiTheme="majorBidi" w:hAnsiTheme="majorBidi" w:cstheme="majorBidi"/>
          <w:sz w:val="16"/>
          <w:szCs w:val="16"/>
          <w:lang w:val="ro-MD"/>
        </w:rPr>
      </w:pPr>
      <w:r w:rsidRPr="00705928">
        <w:rPr>
          <w:rStyle w:val="ab"/>
          <w:rFonts w:asciiTheme="majorBidi" w:hAnsiTheme="majorBidi" w:cstheme="majorBidi"/>
          <w:sz w:val="16"/>
          <w:szCs w:val="16"/>
          <w:lang w:val="ro-MD"/>
        </w:rPr>
        <w:footnoteRef/>
      </w:r>
      <w:r w:rsidRPr="00705928">
        <w:rPr>
          <w:rFonts w:asciiTheme="majorBidi" w:hAnsiTheme="majorBidi" w:cstheme="majorBidi"/>
          <w:sz w:val="16"/>
          <w:szCs w:val="16"/>
          <w:lang w:val="ro-MD"/>
        </w:rPr>
        <w:t xml:space="preserve"> </w:t>
      </w:r>
      <w:proofErr w:type="spellStart"/>
      <w:r w:rsidRPr="00705928">
        <w:rPr>
          <w:rFonts w:asciiTheme="majorBidi" w:hAnsiTheme="majorBidi" w:cstheme="majorBidi"/>
          <w:sz w:val="16"/>
          <w:szCs w:val="16"/>
          <w:lang w:val="ro-MD"/>
        </w:rPr>
        <w:t>Recalculul</w:t>
      </w:r>
      <w:proofErr w:type="spellEnd"/>
      <w:r w:rsidRPr="00705928">
        <w:rPr>
          <w:rFonts w:asciiTheme="majorBidi" w:hAnsiTheme="majorBidi" w:cstheme="majorBidi"/>
          <w:sz w:val="16"/>
          <w:szCs w:val="16"/>
          <w:lang w:val="ro-MD"/>
        </w:rPr>
        <w:t xml:space="preserve"> dobânzii – 828,14 mii lei; capitalizarea diferenței dobânzii – 46,44 mii lei.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3069A"/>
    <w:multiLevelType w:val="hybridMultilevel"/>
    <w:tmpl w:val="9914170E"/>
    <w:lvl w:ilvl="0" w:tplc="0409000D">
      <w:start w:val="1"/>
      <w:numFmt w:val="bullet"/>
      <w:lvlText w:val=""/>
      <w:lvlJc w:val="left"/>
      <w:pPr>
        <w:ind w:left="177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9C7106"/>
    <w:multiLevelType w:val="hybridMultilevel"/>
    <w:tmpl w:val="D9145A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C83D25"/>
    <w:multiLevelType w:val="hybridMultilevel"/>
    <w:tmpl w:val="DA9EA06A"/>
    <w:lvl w:ilvl="0" w:tplc="7B7A753C">
      <w:start w:val="4"/>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15"/>
    <w:rsid w:val="00000566"/>
    <w:rsid w:val="0000148E"/>
    <w:rsid w:val="00001716"/>
    <w:rsid w:val="00005216"/>
    <w:rsid w:val="00011844"/>
    <w:rsid w:val="00030C05"/>
    <w:rsid w:val="00034AE3"/>
    <w:rsid w:val="00034D46"/>
    <w:rsid w:val="000363F7"/>
    <w:rsid w:val="00036709"/>
    <w:rsid w:val="00040F1C"/>
    <w:rsid w:val="000417B7"/>
    <w:rsid w:val="00041E52"/>
    <w:rsid w:val="0005280D"/>
    <w:rsid w:val="00054AE5"/>
    <w:rsid w:val="00060118"/>
    <w:rsid w:val="00063426"/>
    <w:rsid w:val="0006564F"/>
    <w:rsid w:val="00070DFD"/>
    <w:rsid w:val="000728B5"/>
    <w:rsid w:val="0007582F"/>
    <w:rsid w:val="00092E9B"/>
    <w:rsid w:val="00097BA2"/>
    <w:rsid w:val="000A21CF"/>
    <w:rsid w:val="000A77BE"/>
    <w:rsid w:val="000B4610"/>
    <w:rsid w:val="000C0436"/>
    <w:rsid w:val="000C067D"/>
    <w:rsid w:val="000C0FEB"/>
    <w:rsid w:val="000C3704"/>
    <w:rsid w:val="000D0E89"/>
    <w:rsid w:val="000E3C65"/>
    <w:rsid w:val="000F03DA"/>
    <w:rsid w:val="000F0BCE"/>
    <w:rsid w:val="000F5D02"/>
    <w:rsid w:val="000F7A43"/>
    <w:rsid w:val="000F7B70"/>
    <w:rsid w:val="00102C71"/>
    <w:rsid w:val="00105C6D"/>
    <w:rsid w:val="001061A6"/>
    <w:rsid w:val="0011650E"/>
    <w:rsid w:val="001218D7"/>
    <w:rsid w:val="001253FE"/>
    <w:rsid w:val="00131A5A"/>
    <w:rsid w:val="00134B52"/>
    <w:rsid w:val="00136760"/>
    <w:rsid w:val="00145D2B"/>
    <w:rsid w:val="0015286C"/>
    <w:rsid w:val="001548E5"/>
    <w:rsid w:val="0015542B"/>
    <w:rsid w:val="0016038E"/>
    <w:rsid w:val="0016387F"/>
    <w:rsid w:val="00163DCD"/>
    <w:rsid w:val="0016656B"/>
    <w:rsid w:val="001802A0"/>
    <w:rsid w:val="001818E2"/>
    <w:rsid w:val="001846C5"/>
    <w:rsid w:val="00185D99"/>
    <w:rsid w:val="0019073E"/>
    <w:rsid w:val="001927BF"/>
    <w:rsid w:val="00196DEC"/>
    <w:rsid w:val="0019711A"/>
    <w:rsid w:val="001A452B"/>
    <w:rsid w:val="001B191F"/>
    <w:rsid w:val="001B211F"/>
    <w:rsid w:val="001C2C84"/>
    <w:rsid w:val="001C76A3"/>
    <w:rsid w:val="001D6928"/>
    <w:rsid w:val="001E1832"/>
    <w:rsid w:val="001F2469"/>
    <w:rsid w:val="001F5C9D"/>
    <w:rsid w:val="00200244"/>
    <w:rsid w:val="00201B71"/>
    <w:rsid w:val="00202BED"/>
    <w:rsid w:val="00206549"/>
    <w:rsid w:val="002136D7"/>
    <w:rsid w:val="00225267"/>
    <w:rsid w:val="00232D9E"/>
    <w:rsid w:val="002362E7"/>
    <w:rsid w:val="00237186"/>
    <w:rsid w:val="00240480"/>
    <w:rsid w:val="002417A1"/>
    <w:rsid w:val="002424CE"/>
    <w:rsid w:val="002451A3"/>
    <w:rsid w:val="00245636"/>
    <w:rsid w:val="00250155"/>
    <w:rsid w:val="002512FE"/>
    <w:rsid w:val="00251D64"/>
    <w:rsid w:val="0025397F"/>
    <w:rsid w:val="00263F67"/>
    <w:rsid w:val="002757D9"/>
    <w:rsid w:val="00291E6D"/>
    <w:rsid w:val="00292F3F"/>
    <w:rsid w:val="002975C4"/>
    <w:rsid w:val="00297DCB"/>
    <w:rsid w:val="002A43CC"/>
    <w:rsid w:val="002B359A"/>
    <w:rsid w:val="002B4A8D"/>
    <w:rsid w:val="002B7566"/>
    <w:rsid w:val="002E0D25"/>
    <w:rsid w:val="002E273F"/>
    <w:rsid w:val="002E5A49"/>
    <w:rsid w:val="002E5DCB"/>
    <w:rsid w:val="002E7763"/>
    <w:rsid w:val="002F0335"/>
    <w:rsid w:val="002F42C9"/>
    <w:rsid w:val="00302215"/>
    <w:rsid w:val="003069E6"/>
    <w:rsid w:val="003072A7"/>
    <w:rsid w:val="003074C6"/>
    <w:rsid w:val="00311BBC"/>
    <w:rsid w:val="00312D4C"/>
    <w:rsid w:val="0031360A"/>
    <w:rsid w:val="0032177B"/>
    <w:rsid w:val="003303EA"/>
    <w:rsid w:val="00330472"/>
    <w:rsid w:val="00333E5D"/>
    <w:rsid w:val="003344B4"/>
    <w:rsid w:val="003370C7"/>
    <w:rsid w:val="00343723"/>
    <w:rsid w:val="0035042A"/>
    <w:rsid w:val="003555D2"/>
    <w:rsid w:val="003559FE"/>
    <w:rsid w:val="00355EF1"/>
    <w:rsid w:val="00356897"/>
    <w:rsid w:val="0036055F"/>
    <w:rsid w:val="0037350C"/>
    <w:rsid w:val="003749E6"/>
    <w:rsid w:val="00383AA2"/>
    <w:rsid w:val="003952D4"/>
    <w:rsid w:val="003957B9"/>
    <w:rsid w:val="003A2AB1"/>
    <w:rsid w:val="003C3367"/>
    <w:rsid w:val="003C35F6"/>
    <w:rsid w:val="003E73D1"/>
    <w:rsid w:val="003F3706"/>
    <w:rsid w:val="00405856"/>
    <w:rsid w:val="0041291F"/>
    <w:rsid w:val="004139F0"/>
    <w:rsid w:val="00416098"/>
    <w:rsid w:val="004238FD"/>
    <w:rsid w:val="00424158"/>
    <w:rsid w:val="00424381"/>
    <w:rsid w:val="00431368"/>
    <w:rsid w:val="00432EB0"/>
    <w:rsid w:val="00450A16"/>
    <w:rsid w:val="00454D99"/>
    <w:rsid w:val="00457E5E"/>
    <w:rsid w:val="00464E8B"/>
    <w:rsid w:val="0046508A"/>
    <w:rsid w:val="004750F5"/>
    <w:rsid w:val="004775AE"/>
    <w:rsid w:val="0048160B"/>
    <w:rsid w:val="00485CD2"/>
    <w:rsid w:val="00487BA3"/>
    <w:rsid w:val="00490506"/>
    <w:rsid w:val="00491D3F"/>
    <w:rsid w:val="0049480A"/>
    <w:rsid w:val="0049597F"/>
    <w:rsid w:val="004969DA"/>
    <w:rsid w:val="004A120C"/>
    <w:rsid w:val="004A22CC"/>
    <w:rsid w:val="004A407D"/>
    <w:rsid w:val="004A73FA"/>
    <w:rsid w:val="004B0D98"/>
    <w:rsid w:val="004B7695"/>
    <w:rsid w:val="004C1D42"/>
    <w:rsid w:val="004D592D"/>
    <w:rsid w:val="004D5C4F"/>
    <w:rsid w:val="004D698C"/>
    <w:rsid w:val="004D78C3"/>
    <w:rsid w:val="004F10AD"/>
    <w:rsid w:val="004F66F0"/>
    <w:rsid w:val="00500DB6"/>
    <w:rsid w:val="005035E3"/>
    <w:rsid w:val="00505D7E"/>
    <w:rsid w:val="005237D9"/>
    <w:rsid w:val="00525FAF"/>
    <w:rsid w:val="00527532"/>
    <w:rsid w:val="005278A6"/>
    <w:rsid w:val="0053018C"/>
    <w:rsid w:val="005307D0"/>
    <w:rsid w:val="00552D8A"/>
    <w:rsid w:val="00560D3F"/>
    <w:rsid w:val="00561828"/>
    <w:rsid w:val="0056269E"/>
    <w:rsid w:val="0057166E"/>
    <w:rsid w:val="00572730"/>
    <w:rsid w:val="00583158"/>
    <w:rsid w:val="005841BC"/>
    <w:rsid w:val="00586CEF"/>
    <w:rsid w:val="00593CF9"/>
    <w:rsid w:val="00594B50"/>
    <w:rsid w:val="005A61E7"/>
    <w:rsid w:val="005B043F"/>
    <w:rsid w:val="005B4676"/>
    <w:rsid w:val="005C0FD4"/>
    <w:rsid w:val="005C7BB3"/>
    <w:rsid w:val="005D1644"/>
    <w:rsid w:val="005D1933"/>
    <w:rsid w:val="005D1A9A"/>
    <w:rsid w:val="005D2BD4"/>
    <w:rsid w:val="005D2D34"/>
    <w:rsid w:val="005D53AE"/>
    <w:rsid w:val="005D7342"/>
    <w:rsid w:val="005D7DCB"/>
    <w:rsid w:val="005E4AA3"/>
    <w:rsid w:val="005F5A64"/>
    <w:rsid w:val="00603D76"/>
    <w:rsid w:val="00606893"/>
    <w:rsid w:val="00614045"/>
    <w:rsid w:val="006177D9"/>
    <w:rsid w:val="00620FE5"/>
    <w:rsid w:val="006364E7"/>
    <w:rsid w:val="00637D03"/>
    <w:rsid w:val="0064170F"/>
    <w:rsid w:val="006447B9"/>
    <w:rsid w:val="0064552F"/>
    <w:rsid w:val="00650EEF"/>
    <w:rsid w:val="00652355"/>
    <w:rsid w:val="00653CB3"/>
    <w:rsid w:val="00667934"/>
    <w:rsid w:val="006770F9"/>
    <w:rsid w:val="00677181"/>
    <w:rsid w:val="00684C46"/>
    <w:rsid w:val="00686C4B"/>
    <w:rsid w:val="00694DC4"/>
    <w:rsid w:val="00696646"/>
    <w:rsid w:val="0069783A"/>
    <w:rsid w:val="006A0A63"/>
    <w:rsid w:val="006A0C5E"/>
    <w:rsid w:val="006A5EBC"/>
    <w:rsid w:val="006A68E7"/>
    <w:rsid w:val="006B2AFE"/>
    <w:rsid w:val="006B4EE4"/>
    <w:rsid w:val="006C52A8"/>
    <w:rsid w:val="006C671F"/>
    <w:rsid w:val="006D1C55"/>
    <w:rsid w:val="006E0329"/>
    <w:rsid w:val="006E129F"/>
    <w:rsid w:val="006E1C5A"/>
    <w:rsid w:val="006E5545"/>
    <w:rsid w:val="006E6958"/>
    <w:rsid w:val="006F1D4E"/>
    <w:rsid w:val="006F3F7F"/>
    <w:rsid w:val="006F4571"/>
    <w:rsid w:val="006F53D3"/>
    <w:rsid w:val="006F6218"/>
    <w:rsid w:val="006F74DB"/>
    <w:rsid w:val="007024DC"/>
    <w:rsid w:val="007056B5"/>
    <w:rsid w:val="00705B5E"/>
    <w:rsid w:val="00713C98"/>
    <w:rsid w:val="00714C6F"/>
    <w:rsid w:val="00716296"/>
    <w:rsid w:val="00716D93"/>
    <w:rsid w:val="00717C41"/>
    <w:rsid w:val="0072031E"/>
    <w:rsid w:val="007211EB"/>
    <w:rsid w:val="00723A91"/>
    <w:rsid w:val="00725C7D"/>
    <w:rsid w:val="00734F6C"/>
    <w:rsid w:val="00740FE9"/>
    <w:rsid w:val="0074619E"/>
    <w:rsid w:val="0075211F"/>
    <w:rsid w:val="007722B9"/>
    <w:rsid w:val="00780D3B"/>
    <w:rsid w:val="00796B49"/>
    <w:rsid w:val="007A1505"/>
    <w:rsid w:val="007C0200"/>
    <w:rsid w:val="007C1665"/>
    <w:rsid w:val="007C3329"/>
    <w:rsid w:val="007C4BE6"/>
    <w:rsid w:val="007D1FBC"/>
    <w:rsid w:val="007D248B"/>
    <w:rsid w:val="007D56E0"/>
    <w:rsid w:val="007D73BB"/>
    <w:rsid w:val="007E2A59"/>
    <w:rsid w:val="00800055"/>
    <w:rsid w:val="00805A8A"/>
    <w:rsid w:val="0081407A"/>
    <w:rsid w:val="0081463F"/>
    <w:rsid w:val="0082058B"/>
    <w:rsid w:val="00822D0E"/>
    <w:rsid w:val="008269D0"/>
    <w:rsid w:val="00826B03"/>
    <w:rsid w:val="008357AF"/>
    <w:rsid w:val="008363A5"/>
    <w:rsid w:val="00837B02"/>
    <w:rsid w:val="008402D8"/>
    <w:rsid w:val="008407E6"/>
    <w:rsid w:val="00846A08"/>
    <w:rsid w:val="00852428"/>
    <w:rsid w:val="00857AA9"/>
    <w:rsid w:val="00860274"/>
    <w:rsid w:val="008624E1"/>
    <w:rsid w:val="008626CC"/>
    <w:rsid w:val="00863820"/>
    <w:rsid w:val="00864793"/>
    <w:rsid w:val="008724AE"/>
    <w:rsid w:val="00873347"/>
    <w:rsid w:val="008739CC"/>
    <w:rsid w:val="00874134"/>
    <w:rsid w:val="008776C4"/>
    <w:rsid w:val="0088099E"/>
    <w:rsid w:val="00881834"/>
    <w:rsid w:val="00887A9C"/>
    <w:rsid w:val="00893D70"/>
    <w:rsid w:val="00894B5D"/>
    <w:rsid w:val="008B7357"/>
    <w:rsid w:val="008C08B0"/>
    <w:rsid w:val="008C14B9"/>
    <w:rsid w:val="008C39B4"/>
    <w:rsid w:val="008D011D"/>
    <w:rsid w:val="008D0F4D"/>
    <w:rsid w:val="008D3056"/>
    <w:rsid w:val="008D40AD"/>
    <w:rsid w:val="008D5E0A"/>
    <w:rsid w:val="008E00EA"/>
    <w:rsid w:val="008F05FA"/>
    <w:rsid w:val="008F54F0"/>
    <w:rsid w:val="00902D84"/>
    <w:rsid w:val="009105CB"/>
    <w:rsid w:val="0091175B"/>
    <w:rsid w:val="0091445D"/>
    <w:rsid w:val="009153B0"/>
    <w:rsid w:val="00922603"/>
    <w:rsid w:val="00923A34"/>
    <w:rsid w:val="00927256"/>
    <w:rsid w:val="009308E6"/>
    <w:rsid w:val="009309B1"/>
    <w:rsid w:val="00932913"/>
    <w:rsid w:val="00933410"/>
    <w:rsid w:val="00933E17"/>
    <w:rsid w:val="00934DB8"/>
    <w:rsid w:val="00961EBA"/>
    <w:rsid w:val="00963101"/>
    <w:rsid w:val="009671B4"/>
    <w:rsid w:val="00970056"/>
    <w:rsid w:val="0097019F"/>
    <w:rsid w:val="0097286F"/>
    <w:rsid w:val="0098063B"/>
    <w:rsid w:val="009815D5"/>
    <w:rsid w:val="00982C0D"/>
    <w:rsid w:val="00995029"/>
    <w:rsid w:val="009A442E"/>
    <w:rsid w:val="009A4812"/>
    <w:rsid w:val="009A5871"/>
    <w:rsid w:val="009B3F71"/>
    <w:rsid w:val="009B5040"/>
    <w:rsid w:val="009C2794"/>
    <w:rsid w:val="009C620D"/>
    <w:rsid w:val="009C6766"/>
    <w:rsid w:val="009D0682"/>
    <w:rsid w:val="009D0D88"/>
    <w:rsid w:val="009D1322"/>
    <w:rsid w:val="009E02AC"/>
    <w:rsid w:val="009F0A9C"/>
    <w:rsid w:val="009F2C27"/>
    <w:rsid w:val="009F4C98"/>
    <w:rsid w:val="009F5475"/>
    <w:rsid w:val="009F5994"/>
    <w:rsid w:val="009F7006"/>
    <w:rsid w:val="00A0094E"/>
    <w:rsid w:val="00A0649A"/>
    <w:rsid w:val="00A075D2"/>
    <w:rsid w:val="00A2202D"/>
    <w:rsid w:val="00A23DA5"/>
    <w:rsid w:val="00A25997"/>
    <w:rsid w:val="00A26478"/>
    <w:rsid w:val="00A322DC"/>
    <w:rsid w:val="00A33F94"/>
    <w:rsid w:val="00A3550D"/>
    <w:rsid w:val="00A368AB"/>
    <w:rsid w:val="00A370A3"/>
    <w:rsid w:val="00A44460"/>
    <w:rsid w:val="00A44CDE"/>
    <w:rsid w:val="00A51DBA"/>
    <w:rsid w:val="00A57420"/>
    <w:rsid w:val="00A64A44"/>
    <w:rsid w:val="00A71E00"/>
    <w:rsid w:val="00A76B73"/>
    <w:rsid w:val="00A84771"/>
    <w:rsid w:val="00A87E71"/>
    <w:rsid w:val="00A933EC"/>
    <w:rsid w:val="00AA38D0"/>
    <w:rsid w:val="00AA7C7D"/>
    <w:rsid w:val="00AB0454"/>
    <w:rsid w:val="00AB087B"/>
    <w:rsid w:val="00AB0BE4"/>
    <w:rsid w:val="00AB1069"/>
    <w:rsid w:val="00AB40A2"/>
    <w:rsid w:val="00AB4BC5"/>
    <w:rsid w:val="00AB4FB1"/>
    <w:rsid w:val="00AB5A66"/>
    <w:rsid w:val="00AC1159"/>
    <w:rsid w:val="00AC4599"/>
    <w:rsid w:val="00AD0548"/>
    <w:rsid w:val="00AD583B"/>
    <w:rsid w:val="00AD7C7F"/>
    <w:rsid w:val="00AE0F31"/>
    <w:rsid w:val="00AF243B"/>
    <w:rsid w:val="00AF7749"/>
    <w:rsid w:val="00B01E59"/>
    <w:rsid w:val="00B035A2"/>
    <w:rsid w:val="00B05B81"/>
    <w:rsid w:val="00B05F84"/>
    <w:rsid w:val="00B11725"/>
    <w:rsid w:val="00B11DE4"/>
    <w:rsid w:val="00B3668E"/>
    <w:rsid w:val="00B421EB"/>
    <w:rsid w:val="00B442B1"/>
    <w:rsid w:val="00B44711"/>
    <w:rsid w:val="00B46B6D"/>
    <w:rsid w:val="00B558F8"/>
    <w:rsid w:val="00B576A6"/>
    <w:rsid w:val="00B65E23"/>
    <w:rsid w:val="00B66F3A"/>
    <w:rsid w:val="00B7111B"/>
    <w:rsid w:val="00B74715"/>
    <w:rsid w:val="00B85D2C"/>
    <w:rsid w:val="00B9442A"/>
    <w:rsid w:val="00B97342"/>
    <w:rsid w:val="00BA4E90"/>
    <w:rsid w:val="00BC1DD5"/>
    <w:rsid w:val="00BC5BCE"/>
    <w:rsid w:val="00BD5C46"/>
    <w:rsid w:val="00BE2091"/>
    <w:rsid w:val="00BE24E8"/>
    <w:rsid w:val="00BE5553"/>
    <w:rsid w:val="00BE68D5"/>
    <w:rsid w:val="00BE71C1"/>
    <w:rsid w:val="00BF11B8"/>
    <w:rsid w:val="00BF4DA0"/>
    <w:rsid w:val="00C02366"/>
    <w:rsid w:val="00C02A36"/>
    <w:rsid w:val="00C042AA"/>
    <w:rsid w:val="00C06CCE"/>
    <w:rsid w:val="00C15D7A"/>
    <w:rsid w:val="00C178FB"/>
    <w:rsid w:val="00C242F6"/>
    <w:rsid w:val="00C27553"/>
    <w:rsid w:val="00C27817"/>
    <w:rsid w:val="00C32C4F"/>
    <w:rsid w:val="00C37B58"/>
    <w:rsid w:val="00C37F99"/>
    <w:rsid w:val="00C42B08"/>
    <w:rsid w:val="00C47B52"/>
    <w:rsid w:val="00C61F48"/>
    <w:rsid w:val="00C622D0"/>
    <w:rsid w:val="00C637F5"/>
    <w:rsid w:val="00C6407C"/>
    <w:rsid w:val="00C82D08"/>
    <w:rsid w:val="00C86193"/>
    <w:rsid w:val="00C9044F"/>
    <w:rsid w:val="00C91984"/>
    <w:rsid w:val="00C96777"/>
    <w:rsid w:val="00CA27C4"/>
    <w:rsid w:val="00CA78E0"/>
    <w:rsid w:val="00CC0CDB"/>
    <w:rsid w:val="00CC2548"/>
    <w:rsid w:val="00CC366C"/>
    <w:rsid w:val="00CD4523"/>
    <w:rsid w:val="00CD4CA0"/>
    <w:rsid w:val="00CE39FF"/>
    <w:rsid w:val="00CE46C2"/>
    <w:rsid w:val="00CF2C89"/>
    <w:rsid w:val="00CF2C8D"/>
    <w:rsid w:val="00CF3BE1"/>
    <w:rsid w:val="00CF3CE8"/>
    <w:rsid w:val="00CF40A8"/>
    <w:rsid w:val="00CF6899"/>
    <w:rsid w:val="00CF6909"/>
    <w:rsid w:val="00CF76C3"/>
    <w:rsid w:val="00D02FE8"/>
    <w:rsid w:val="00D047C7"/>
    <w:rsid w:val="00D05CA6"/>
    <w:rsid w:val="00D113B2"/>
    <w:rsid w:val="00D25563"/>
    <w:rsid w:val="00D25949"/>
    <w:rsid w:val="00D31AC4"/>
    <w:rsid w:val="00D348AC"/>
    <w:rsid w:val="00D40F5D"/>
    <w:rsid w:val="00D420C1"/>
    <w:rsid w:val="00D42948"/>
    <w:rsid w:val="00D4443C"/>
    <w:rsid w:val="00D44593"/>
    <w:rsid w:val="00D50D62"/>
    <w:rsid w:val="00D50FBC"/>
    <w:rsid w:val="00D51A7A"/>
    <w:rsid w:val="00D52AA3"/>
    <w:rsid w:val="00D54E3B"/>
    <w:rsid w:val="00D5579A"/>
    <w:rsid w:val="00D600DA"/>
    <w:rsid w:val="00D64604"/>
    <w:rsid w:val="00D7760F"/>
    <w:rsid w:val="00D82AFA"/>
    <w:rsid w:val="00D82DAC"/>
    <w:rsid w:val="00D87C4E"/>
    <w:rsid w:val="00D96A36"/>
    <w:rsid w:val="00DA1AAF"/>
    <w:rsid w:val="00DA2E13"/>
    <w:rsid w:val="00DA5162"/>
    <w:rsid w:val="00DA6087"/>
    <w:rsid w:val="00DA7223"/>
    <w:rsid w:val="00DA779C"/>
    <w:rsid w:val="00DA78D2"/>
    <w:rsid w:val="00DB12C6"/>
    <w:rsid w:val="00DB7E85"/>
    <w:rsid w:val="00DD13C0"/>
    <w:rsid w:val="00DD35C4"/>
    <w:rsid w:val="00DD6E52"/>
    <w:rsid w:val="00DE3238"/>
    <w:rsid w:val="00DF3A75"/>
    <w:rsid w:val="00DF4429"/>
    <w:rsid w:val="00DF59F5"/>
    <w:rsid w:val="00DF795B"/>
    <w:rsid w:val="00E00483"/>
    <w:rsid w:val="00E004F4"/>
    <w:rsid w:val="00E0512F"/>
    <w:rsid w:val="00E05206"/>
    <w:rsid w:val="00E12F0C"/>
    <w:rsid w:val="00E13AF4"/>
    <w:rsid w:val="00E17515"/>
    <w:rsid w:val="00E21306"/>
    <w:rsid w:val="00E23B79"/>
    <w:rsid w:val="00E25B82"/>
    <w:rsid w:val="00E41708"/>
    <w:rsid w:val="00E52A69"/>
    <w:rsid w:val="00E53793"/>
    <w:rsid w:val="00E56296"/>
    <w:rsid w:val="00E618D6"/>
    <w:rsid w:val="00E72537"/>
    <w:rsid w:val="00E77545"/>
    <w:rsid w:val="00E81C63"/>
    <w:rsid w:val="00E82564"/>
    <w:rsid w:val="00E836DC"/>
    <w:rsid w:val="00E85918"/>
    <w:rsid w:val="00E909B0"/>
    <w:rsid w:val="00E91AA9"/>
    <w:rsid w:val="00E91B39"/>
    <w:rsid w:val="00E949B9"/>
    <w:rsid w:val="00E953F7"/>
    <w:rsid w:val="00EA34A2"/>
    <w:rsid w:val="00EA41EC"/>
    <w:rsid w:val="00EB7F5A"/>
    <w:rsid w:val="00EC0546"/>
    <w:rsid w:val="00ED384A"/>
    <w:rsid w:val="00ED7887"/>
    <w:rsid w:val="00EE0AEE"/>
    <w:rsid w:val="00EE6383"/>
    <w:rsid w:val="00EF3E64"/>
    <w:rsid w:val="00EF44CD"/>
    <w:rsid w:val="00EF7D7B"/>
    <w:rsid w:val="00F04D2B"/>
    <w:rsid w:val="00F10C7F"/>
    <w:rsid w:val="00F17B44"/>
    <w:rsid w:val="00F31DDD"/>
    <w:rsid w:val="00F34191"/>
    <w:rsid w:val="00F35123"/>
    <w:rsid w:val="00F35B99"/>
    <w:rsid w:val="00F366FE"/>
    <w:rsid w:val="00F369AD"/>
    <w:rsid w:val="00F42BEC"/>
    <w:rsid w:val="00F4603B"/>
    <w:rsid w:val="00F46772"/>
    <w:rsid w:val="00F5483B"/>
    <w:rsid w:val="00F60D10"/>
    <w:rsid w:val="00F61535"/>
    <w:rsid w:val="00F8027C"/>
    <w:rsid w:val="00F83057"/>
    <w:rsid w:val="00F830F5"/>
    <w:rsid w:val="00F85093"/>
    <w:rsid w:val="00F86B3C"/>
    <w:rsid w:val="00F87CE2"/>
    <w:rsid w:val="00F9702B"/>
    <w:rsid w:val="00F974AA"/>
    <w:rsid w:val="00FA04BB"/>
    <w:rsid w:val="00FA1514"/>
    <w:rsid w:val="00FA25E6"/>
    <w:rsid w:val="00FA3F7B"/>
    <w:rsid w:val="00FA52C1"/>
    <w:rsid w:val="00FA5885"/>
    <w:rsid w:val="00FA63E6"/>
    <w:rsid w:val="00FB0A53"/>
    <w:rsid w:val="00FB67F6"/>
    <w:rsid w:val="00FB7019"/>
    <w:rsid w:val="00FC5A38"/>
    <w:rsid w:val="00FD149C"/>
    <w:rsid w:val="00FD7D5B"/>
    <w:rsid w:val="00FE097D"/>
    <w:rsid w:val="00FE11CF"/>
    <w:rsid w:val="00FE23F4"/>
    <w:rsid w:val="00FE2812"/>
    <w:rsid w:val="00FF1D09"/>
    <w:rsid w:val="00FF3CED"/>
    <w:rsid w:val="00FF6E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804A1"/>
  <w15:chartTrackingRefBased/>
  <w15:docId w15:val="{177DDFD9-E2FA-424A-AEED-95730AC7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F48"/>
    <w:pPr>
      <w:spacing w:line="256" w:lineRule="auto"/>
    </w:pPr>
  </w:style>
  <w:style w:type="paragraph" w:styleId="2">
    <w:name w:val="heading 2"/>
    <w:basedOn w:val="a"/>
    <w:next w:val="a"/>
    <w:link w:val="20"/>
    <w:uiPriority w:val="9"/>
    <w:unhideWhenUsed/>
    <w:qFormat/>
    <w:rsid w:val="006177D9"/>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1F48"/>
    <w:rPr>
      <w:color w:val="0563C1" w:themeColor="hyperlink"/>
      <w:u w:val="single"/>
    </w:rPr>
  </w:style>
  <w:style w:type="paragraph" w:styleId="a4">
    <w:name w:val="Normal (Web)"/>
    <w:basedOn w:val="a"/>
    <w:uiPriority w:val="99"/>
    <w:unhideWhenUsed/>
    <w:rsid w:val="00C61F48"/>
    <w:pPr>
      <w:spacing w:after="0" w:line="240" w:lineRule="auto"/>
      <w:ind w:firstLine="567"/>
      <w:jc w:val="both"/>
    </w:pPr>
    <w:rPr>
      <w:rFonts w:ascii="Times New Roman" w:eastAsia="Times New Roman" w:hAnsi="Times New Roman" w:cs="Times New Roman"/>
      <w:sz w:val="24"/>
      <w:szCs w:val="24"/>
    </w:rPr>
  </w:style>
  <w:style w:type="character" w:customStyle="1" w:styleId="a5">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A Знак"/>
    <w:basedOn w:val="a0"/>
    <w:link w:val="a6"/>
    <w:uiPriority w:val="99"/>
    <w:qFormat/>
    <w:locked/>
    <w:rsid w:val="00C61F48"/>
    <w:rPr>
      <w:sz w:val="20"/>
      <w:szCs w:val="20"/>
    </w:rPr>
  </w:style>
  <w:style w:type="paragraph" w:styleId="a6">
    <w:name w:val="footnote text"/>
    <w:aliases w:val="Char,Знак1,Fußnote Char Char,Fußnote Char,Fußnote Char Car Char Char,Fußnote Char Car Char Char Char Char Char Char Char Char Char Char,Fußnote Char Car Char Char Char Char Char Char Char Char Char Char Char Char Char Char,fn,single space,A"/>
    <w:basedOn w:val="a"/>
    <w:link w:val="a5"/>
    <w:uiPriority w:val="99"/>
    <w:unhideWhenUsed/>
    <w:qFormat/>
    <w:rsid w:val="00C61F48"/>
    <w:pPr>
      <w:spacing w:after="0" w:line="240" w:lineRule="auto"/>
    </w:pPr>
    <w:rPr>
      <w:sz w:val="20"/>
      <w:szCs w:val="20"/>
    </w:rPr>
  </w:style>
  <w:style w:type="character" w:customStyle="1" w:styleId="FootnoteTextChar1">
    <w:name w:val="Footnote Text Char1"/>
    <w:basedOn w:val="a0"/>
    <w:uiPriority w:val="99"/>
    <w:semiHidden/>
    <w:rsid w:val="00C61F48"/>
    <w:rPr>
      <w:sz w:val="20"/>
      <w:szCs w:val="20"/>
    </w:rPr>
  </w:style>
  <w:style w:type="paragraph" w:customStyle="1" w:styleId="cn">
    <w:name w:val="cn"/>
    <w:basedOn w:val="a"/>
    <w:qFormat/>
    <w:rsid w:val="00C61F48"/>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uiPriority w:val="99"/>
    <w:qFormat/>
    <w:rsid w:val="00C61F48"/>
    <w:pPr>
      <w:spacing w:line="240" w:lineRule="exact"/>
    </w:pPr>
    <w:rPr>
      <w:vertAlign w:val="superscript"/>
    </w:rPr>
  </w:style>
  <w:style w:type="paragraph" w:customStyle="1" w:styleId="cp">
    <w:name w:val="cp"/>
    <w:basedOn w:val="a"/>
    <w:uiPriority w:val="99"/>
    <w:rsid w:val="00C61F48"/>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C61F48"/>
    <w:rPr>
      <w:vertAlign w:val="superscript"/>
    </w:rPr>
  </w:style>
  <w:style w:type="paragraph" w:styleId="a7">
    <w:name w:val="header"/>
    <w:basedOn w:val="a"/>
    <w:link w:val="a8"/>
    <w:uiPriority w:val="99"/>
    <w:unhideWhenUsed/>
    <w:rsid w:val="00C61F48"/>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C61F48"/>
  </w:style>
  <w:style w:type="paragraph" w:styleId="a9">
    <w:name w:val="footer"/>
    <w:basedOn w:val="a"/>
    <w:link w:val="aa"/>
    <w:uiPriority w:val="99"/>
    <w:unhideWhenUsed/>
    <w:rsid w:val="00C61F48"/>
    <w:pPr>
      <w:tabs>
        <w:tab w:val="center" w:pos="4844"/>
        <w:tab w:val="right" w:pos="9689"/>
      </w:tabs>
      <w:spacing w:after="0" w:line="240" w:lineRule="auto"/>
    </w:pPr>
  </w:style>
  <w:style w:type="character" w:customStyle="1" w:styleId="aa">
    <w:name w:val="Нижний колонтитул Знак"/>
    <w:basedOn w:val="a0"/>
    <w:link w:val="a9"/>
    <w:uiPriority w:val="99"/>
    <w:rsid w:val="00C61F48"/>
  </w:style>
  <w:style w:type="character" w:styleId="ab">
    <w:name w:val="footnote reference"/>
    <w:aliases w:val="Footnote Text Char2,fr,F,FR,Знак1 Char1,R"/>
    <w:basedOn w:val="a0"/>
    <w:uiPriority w:val="99"/>
    <w:unhideWhenUsed/>
    <w:qFormat/>
    <w:rsid w:val="00C61F48"/>
    <w:rPr>
      <w:vertAlign w:val="superscript"/>
    </w:rPr>
  </w:style>
  <w:style w:type="paragraph" w:styleId="ac">
    <w:name w:val="Balloon Text"/>
    <w:basedOn w:val="a"/>
    <w:link w:val="ad"/>
    <w:uiPriority w:val="99"/>
    <w:semiHidden/>
    <w:unhideWhenUsed/>
    <w:rsid w:val="00C37F9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37F99"/>
    <w:rPr>
      <w:rFonts w:ascii="Segoe UI" w:hAnsi="Segoe UI" w:cs="Segoe UI"/>
      <w:sz w:val="18"/>
      <w:szCs w:val="18"/>
    </w:rPr>
  </w:style>
  <w:style w:type="character" w:styleId="ae">
    <w:name w:val="annotation reference"/>
    <w:basedOn w:val="a0"/>
    <w:uiPriority w:val="99"/>
    <w:semiHidden/>
    <w:unhideWhenUsed/>
    <w:rsid w:val="006364E7"/>
    <w:rPr>
      <w:sz w:val="16"/>
      <w:szCs w:val="16"/>
    </w:rPr>
  </w:style>
  <w:style w:type="paragraph" w:styleId="af">
    <w:name w:val="annotation text"/>
    <w:basedOn w:val="a"/>
    <w:link w:val="af0"/>
    <w:uiPriority w:val="99"/>
    <w:semiHidden/>
    <w:unhideWhenUsed/>
    <w:rsid w:val="006364E7"/>
    <w:pPr>
      <w:spacing w:line="240" w:lineRule="auto"/>
    </w:pPr>
    <w:rPr>
      <w:sz w:val="20"/>
      <w:szCs w:val="20"/>
    </w:rPr>
  </w:style>
  <w:style w:type="character" w:customStyle="1" w:styleId="af0">
    <w:name w:val="Текст примечания Знак"/>
    <w:basedOn w:val="a0"/>
    <w:link w:val="af"/>
    <w:uiPriority w:val="99"/>
    <w:semiHidden/>
    <w:rsid w:val="006364E7"/>
    <w:rPr>
      <w:sz w:val="20"/>
      <w:szCs w:val="20"/>
    </w:rPr>
  </w:style>
  <w:style w:type="paragraph" w:styleId="af1">
    <w:name w:val="annotation subject"/>
    <w:basedOn w:val="af"/>
    <w:next w:val="af"/>
    <w:link w:val="af2"/>
    <w:uiPriority w:val="99"/>
    <w:semiHidden/>
    <w:unhideWhenUsed/>
    <w:rsid w:val="006364E7"/>
    <w:rPr>
      <w:b/>
      <w:bCs/>
    </w:rPr>
  </w:style>
  <w:style w:type="character" w:customStyle="1" w:styleId="af2">
    <w:name w:val="Тема примечания Знак"/>
    <w:basedOn w:val="af0"/>
    <w:link w:val="af1"/>
    <w:uiPriority w:val="99"/>
    <w:semiHidden/>
    <w:rsid w:val="006364E7"/>
    <w:rPr>
      <w:b/>
      <w:bCs/>
      <w:sz w:val="20"/>
      <w:szCs w:val="20"/>
    </w:rPr>
  </w:style>
  <w:style w:type="character" w:customStyle="1" w:styleId="20">
    <w:name w:val="Заголовок 2 Знак"/>
    <w:basedOn w:val="a0"/>
    <w:link w:val="2"/>
    <w:uiPriority w:val="9"/>
    <w:rsid w:val="006177D9"/>
    <w:rPr>
      <w:rFonts w:asciiTheme="majorHAnsi" w:eastAsiaTheme="majorEastAsia" w:hAnsiTheme="majorHAnsi" w:cstheme="majorBidi"/>
      <w:color w:val="2E74B5" w:themeColor="accent1" w:themeShade="BF"/>
      <w:sz w:val="26"/>
      <w:szCs w:val="26"/>
    </w:rPr>
  </w:style>
  <w:style w:type="paragraph" w:styleId="af3">
    <w:name w:val="List Paragraph"/>
    <w:aliases w:val="List Paragraph 1,Абзац списка1,strikethrough,standaard met opsomming,Scriptoria bullet points,Bullets,References,Liste 1,List Paragraph nowy,Numbered List Paragraph,List Paragraph (numbered (a)),Medium Grid 1 - Accent 21,Dot pt,Stil3,3"/>
    <w:basedOn w:val="a"/>
    <w:link w:val="af4"/>
    <w:uiPriority w:val="34"/>
    <w:qFormat/>
    <w:rsid w:val="006177D9"/>
    <w:pPr>
      <w:spacing w:line="259" w:lineRule="auto"/>
      <w:ind w:left="720"/>
      <w:contextualSpacing/>
    </w:pPr>
  </w:style>
  <w:style w:type="character" w:customStyle="1" w:styleId="af4">
    <w:name w:val="Абзац списка Знак"/>
    <w:aliases w:val="List Paragraph 1 Знак,Абзац списка1 Знак,strikethrough Знак,standaard met opsomming Знак,Scriptoria bullet points Знак,Bullets Знак,References Знак,Liste 1 Знак,List Paragraph nowy Знак,Numbered List Paragraph Знак,Dot pt Знак,3 Знак"/>
    <w:link w:val="af3"/>
    <w:uiPriority w:val="34"/>
    <w:qFormat/>
    <w:rsid w:val="006177D9"/>
  </w:style>
  <w:style w:type="paragraph" w:styleId="af5">
    <w:name w:val="Revision"/>
    <w:hidden/>
    <w:uiPriority w:val="99"/>
    <w:semiHidden/>
    <w:rsid w:val="00C178FB"/>
    <w:pPr>
      <w:spacing w:after="0" w:line="240" w:lineRule="auto"/>
    </w:pPr>
  </w:style>
  <w:style w:type="paragraph" w:styleId="1">
    <w:name w:val="toc 1"/>
    <w:basedOn w:val="a"/>
    <w:next w:val="a"/>
    <w:autoRedefine/>
    <w:uiPriority w:val="39"/>
    <w:unhideWhenUsed/>
    <w:rsid w:val="00BC5BCE"/>
    <w:pPr>
      <w:tabs>
        <w:tab w:val="left" w:pos="660"/>
        <w:tab w:val="right" w:leader="dot" w:pos="9344"/>
      </w:tabs>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4BD0B-CA92-4FEF-AC90-2A6A423B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1195</Words>
  <Characters>6815</Characters>
  <Application>Microsoft Office Word</Application>
  <DocSecurity>0</DocSecurity>
  <Lines>56</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Răileanu Alexandru</dc:creator>
  <cp:keywords/>
  <dc:description/>
  <cp:lastModifiedBy>Paiu Eugenia</cp:lastModifiedBy>
  <cp:revision>3</cp:revision>
  <cp:lastPrinted>2024-04-22T09:39:00Z</cp:lastPrinted>
  <dcterms:created xsi:type="dcterms:W3CDTF">2024-04-24T12:04:00Z</dcterms:created>
  <dcterms:modified xsi:type="dcterms:W3CDTF">2024-04-24T12:07:00Z</dcterms:modified>
</cp:coreProperties>
</file>