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6452" w14:textId="77777777" w:rsidR="005D360D" w:rsidRPr="0080251F" w:rsidRDefault="005D360D" w:rsidP="00874D4A">
      <w:pPr>
        <w:tabs>
          <w:tab w:val="left" w:pos="450"/>
          <w:tab w:val="left" w:pos="720"/>
        </w:tabs>
        <w:spacing w:after="0" w:line="276" w:lineRule="auto"/>
        <w:ind w:right="9"/>
        <w:jc w:val="right"/>
        <w:rPr>
          <w:rFonts w:ascii="Times New Roman" w:eastAsia="Times New Roman" w:hAnsi="Times New Roman" w:cs="Times New Roman"/>
          <w:bCs/>
          <w:sz w:val="24"/>
          <w:szCs w:val="24"/>
          <w:lang w:val="ro-MD"/>
        </w:rPr>
      </w:pPr>
      <w:bookmarkStart w:id="0" w:name="_Toc144136498"/>
      <w:bookmarkStart w:id="1" w:name="_GoBack"/>
      <w:bookmarkEnd w:id="1"/>
      <w:r w:rsidRPr="0080251F">
        <w:rPr>
          <w:rFonts w:ascii="Times New Roman" w:eastAsia="Times New Roman" w:hAnsi="Times New Roman" w:cs="Times New Roman"/>
          <w:bCs/>
          <w:sz w:val="24"/>
          <w:szCs w:val="24"/>
          <w:lang w:val="ro-MD"/>
        </w:rPr>
        <w:t>Anexă</w:t>
      </w:r>
    </w:p>
    <w:p w14:paraId="42919107" w14:textId="7EC91842" w:rsidR="005D360D" w:rsidRPr="0080251F" w:rsidRDefault="005D360D" w:rsidP="00874D4A">
      <w:pPr>
        <w:tabs>
          <w:tab w:val="left" w:pos="0"/>
          <w:tab w:val="left" w:pos="720"/>
        </w:tabs>
        <w:spacing w:after="0" w:line="276" w:lineRule="auto"/>
        <w:ind w:right="9"/>
        <w:jc w:val="right"/>
        <w:rPr>
          <w:rFonts w:ascii="Times New Roman" w:eastAsia="Times New Roman" w:hAnsi="Times New Roman" w:cs="Times New Roman"/>
          <w:bCs/>
          <w:sz w:val="24"/>
          <w:szCs w:val="24"/>
          <w:lang w:val="ro-MD"/>
        </w:rPr>
      </w:pPr>
      <w:r w:rsidRPr="0080251F">
        <w:rPr>
          <w:rFonts w:ascii="Times New Roman" w:eastAsia="Times New Roman" w:hAnsi="Times New Roman" w:cs="Times New Roman"/>
          <w:bCs/>
          <w:sz w:val="24"/>
          <w:szCs w:val="24"/>
          <w:lang w:val="ro-MD"/>
        </w:rPr>
        <w:t>la Hotărârea Cur</w:t>
      </w:r>
      <w:r w:rsidR="00D730A2" w:rsidRPr="0080251F">
        <w:rPr>
          <w:rFonts w:ascii="Times New Roman" w:eastAsia="Times New Roman" w:hAnsi="Times New Roman" w:cs="Times New Roman"/>
          <w:bCs/>
          <w:sz w:val="24"/>
          <w:szCs w:val="24"/>
          <w:lang w:val="ro-MD"/>
        </w:rPr>
        <w:t>ț</w:t>
      </w:r>
      <w:r w:rsidRPr="0080251F">
        <w:rPr>
          <w:rFonts w:ascii="Times New Roman" w:eastAsia="Times New Roman" w:hAnsi="Times New Roman" w:cs="Times New Roman"/>
          <w:bCs/>
          <w:sz w:val="24"/>
          <w:szCs w:val="24"/>
          <w:lang w:val="ro-MD"/>
        </w:rPr>
        <w:t>ii de Conturi</w:t>
      </w:r>
    </w:p>
    <w:p w14:paraId="6575A177" w14:textId="511EF1A3" w:rsidR="005D360D" w:rsidRPr="0080251F" w:rsidRDefault="005D360D" w:rsidP="00C03E19">
      <w:pPr>
        <w:tabs>
          <w:tab w:val="left" w:pos="450"/>
          <w:tab w:val="left" w:pos="720"/>
          <w:tab w:val="left" w:pos="7342"/>
          <w:tab w:val="left" w:pos="8222"/>
          <w:tab w:val="right" w:pos="10157"/>
        </w:tabs>
        <w:spacing w:after="0" w:line="276" w:lineRule="auto"/>
        <w:ind w:right="9"/>
        <w:jc w:val="right"/>
        <w:rPr>
          <w:rFonts w:ascii="Times New Roman" w:eastAsia="Times New Roman" w:hAnsi="Times New Roman" w:cs="Times New Roman"/>
          <w:bCs/>
          <w:color w:val="1F4E79" w:themeColor="accent1" w:themeShade="80"/>
          <w:sz w:val="24"/>
          <w:szCs w:val="24"/>
          <w:lang w:val="ro-MD"/>
        </w:rPr>
      </w:pPr>
      <w:r w:rsidRPr="0080251F">
        <w:rPr>
          <w:rFonts w:ascii="Times New Roman" w:eastAsia="Times New Roman" w:hAnsi="Times New Roman" w:cs="Times New Roman"/>
          <w:bCs/>
          <w:sz w:val="24"/>
          <w:szCs w:val="24"/>
          <w:lang w:val="ro-MD"/>
        </w:rPr>
        <w:t xml:space="preserve">nr. </w:t>
      </w:r>
      <w:r w:rsidR="00C03E19" w:rsidRPr="0080251F">
        <w:rPr>
          <w:rFonts w:ascii="Times New Roman" w:eastAsia="Times New Roman" w:hAnsi="Times New Roman" w:cs="Times New Roman"/>
          <w:bCs/>
          <w:sz w:val="24"/>
          <w:szCs w:val="24"/>
          <w:lang w:val="ro-MD"/>
        </w:rPr>
        <w:t xml:space="preserve">12 </w:t>
      </w:r>
      <w:r w:rsidRPr="0080251F">
        <w:rPr>
          <w:rFonts w:ascii="Times New Roman" w:eastAsia="Times New Roman" w:hAnsi="Times New Roman" w:cs="Times New Roman"/>
          <w:bCs/>
          <w:sz w:val="24"/>
          <w:szCs w:val="24"/>
          <w:lang w:val="ro-MD"/>
        </w:rPr>
        <w:t>din</w:t>
      </w:r>
      <w:r w:rsidR="00324A38" w:rsidRPr="0080251F">
        <w:rPr>
          <w:rFonts w:ascii="Times New Roman" w:eastAsia="Times New Roman" w:hAnsi="Times New Roman" w:cs="Times New Roman"/>
          <w:bCs/>
          <w:sz w:val="24"/>
          <w:szCs w:val="24"/>
          <w:lang w:val="ro-MD"/>
        </w:rPr>
        <w:t xml:space="preserve"> 2</w:t>
      </w:r>
      <w:r w:rsidR="00C03E19" w:rsidRPr="0080251F">
        <w:rPr>
          <w:rFonts w:ascii="Times New Roman" w:eastAsia="Times New Roman" w:hAnsi="Times New Roman" w:cs="Times New Roman"/>
          <w:bCs/>
          <w:sz w:val="24"/>
          <w:szCs w:val="24"/>
          <w:lang w:val="ro-MD"/>
        </w:rPr>
        <w:t>9</w:t>
      </w:r>
      <w:r w:rsidR="00162AFB" w:rsidRPr="0080251F">
        <w:rPr>
          <w:rFonts w:ascii="Times New Roman" w:eastAsia="Times New Roman" w:hAnsi="Times New Roman" w:cs="Times New Roman"/>
          <w:bCs/>
          <w:sz w:val="24"/>
          <w:szCs w:val="24"/>
          <w:lang w:val="ro-MD"/>
        </w:rPr>
        <w:t>.03.</w:t>
      </w:r>
      <w:r w:rsidRPr="0080251F">
        <w:rPr>
          <w:rFonts w:ascii="Times New Roman" w:eastAsia="Times New Roman" w:hAnsi="Times New Roman" w:cs="Times New Roman"/>
          <w:bCs/>
          <w:sz w:val="24"/>
          <w:szCs w:val="24"/>
          <w:lang w:val="ro-MD"/>
        </w:rPr>
        <w:t>2024</w:t>
      </w:r>
    </w:p>
    <w:p w14:paraId="6CC04FF5" w14:textId="77777777" w:rsidR="005D360D" w:rsidRPr="0080251F" w:rsidRDefault="005D360D" w:rsidP="00874D4A">
      <w:pPr>
        <w:spacing w:after="0" w:line="276" w:lineRule="auto"/>
        <w:jc w:val="right"/>
        <w:rPr>
          <w:rFonts w:ascii="Times New Roman" w:eastAsia="Times New Roman" w:hAnsi="Times New Roman" w:cs="Times New Roman"/>
          <w:bCs/>
          <w:i/>
          <w:sz w:val="24"/>
          <w:szCs w:val="24"/>
          <w:lang w:val="ro-MD"/>
        </w:rPr>
      </w:pPr>
      <w:r w:rsidRPr="0080251F">
        <w:rPr>
          <w:rFonts w:ascii="Times New Roman" w:hAnsi="Times New Roman" w:cs="Times New Roman"/>
          <w:noProof/>
          <w:lang w:val="ru-RU" w:eastAsia="ru-RU"/>
        </w:rPr>
        <w:drawing>
          <wp:anchor distT="0" distB="3810" distL="114300" distR="118110" simplePos="0" relativeHeight="251662336" behindDoc="0" locked="0" layoutInCell="1" allowOverlap="1" wp14:anchorId="071991FE" wp14:editId="7B027BC3">
            <wp:simplePos x="0" y="0"/>
            <wp:positionH relativeFrom="column">
              <wp:posOffset>2497666</wp:posOffset>
            </wp:positionH>
            <wp:positionV relativeFrom="paragraph">
              <wp:posOffset>70908</wp:posOffset>
            </wp:positionV>
            <wp:extent cx="967740" cy="967740"/>
            <wp:effectExtent l="0" t="0" r="3810" b="3810"/>
            <wp:wrapSquare wrapText="bothSides"/>
            <wp:docPr id="15"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14:paraId="28C86244" w14:textId="77777777" w:rsidR="005D360D" w:rsidRPr="0080251F" w:rsidRDefault="005D360D" w:rsidP="00212843">
      <w:pPr>
        <w:spacing w:after="0" w:line="276" w:lineRule="auto"/>
        <w:jc w:val="both"/>
        <w:rPr>
          <w:rFonts w:ascii="Times New Roman" w:hAnsi="Times New Roman" w:cs="Times New Roman"/>
          <w:i/>
          <w:sz w:val="24"/>
          <w:szCs w:val="24"/>
          <w:lang w:val="ro-MD"/>
        </w:rPr>
      </w:pPr>
    </w:p>
    <w:p w14:paraId="2A6E92B6" w14:textId="77777777" w:rsidR="005D360D" w:rsidRPr="0080251F" w:rsidRDefault="005D360D" w:rsidP="00212843">
      <w:pPr>
        <w:spacing w:after="0" w:line="276" w:lineRule="auto"/>
        <w:jc w:val="both"/>
        <w:rPr>
          <w:rFonts w:ascii="Times New Roman" w:hAnsi="Times New Roman" w:cs="Times New Roman"/>
          <w:i/>
          <w:sz w:val="24"/>
          <w:szCs w:val="24"/>
          <w:lang w:val="ro-MD"/>
        </w:rPr>
      </w:pPr>
    </w:p>
    <w:p w14:paraId="6EFF18F2" w14:textId="77777777" w:rsidR="005D360D" w:rsidRPr="0080251F" w:rsidRDefault="005D360D" w:rsidP="00212843">
      <w:pPr>
        <w:spacing w:after="0" w:line="276" w:lineRule="auto"/>
        <w:jc w:val="both"/>
        <w:rPr>
          <w:rFonts w:ascii="Times New Roman" w:hAnsi="Times New Roman" w:cs="Times New Roman"/>
          <w:i/>
          <w:sz w:val="24"/>
          <w:szCs w:val="24"/>
          <w:lang w:val="ro-MD"/>
        </w:rPr>
      </w:pPr>
    </w:p>
    <w:p w14:paraId="4B6CEB08" w14:textId="77777777" w:rsidR="005D360D" w:rsidRPr="0080251F" w:rsidRDefault="005D360D" w:rsidP="00212843">
      <w:pPr>
        <w:spacing w:after="0" w:line="276" w:lineRule="auto"/>
        <w:jc w:val="both"/>
        <w:rPr>
          <w:rFonts w:ascii="Times New Roman" w:hAnsi="Times New Roman" w:cs="Times New Roman"/>
          <w:i/>
          <w:sz w:val="24"/>
          <w:szCs w:val="24"/>
          <w:lang w:val="ro-MD"/>
        </w:rPr>
      </w:pPr>
    </w:p>
    <w:p w14:paraId="2C817A22" w14:textId="77777777" w:rsidR="005D360D" w:rsidRPr="0080251F" w:rsidRDefault="005D360D" w:rsidP="00212843">
      <w:pPr>
        <w:spacing w:after="0" w:line="276" w:lineRule="auto"/>
        <w:jc w:val="both"/>
        <w:rPr>
          <w:rFonts w:ascii="Times New Roman" w:hAnsi="Times New Roman" w:cs="Times New Roman"/>
          <w:b/>
          <w:sz w:val="24"/>
          <w:szCs w:val="24"/>
          <w:lang w:val="ro-MD"/>
        </w:rPr>
      </w:pPr>
    </w:p>
    <w:p w14:paraId="7E373739" w14:textId="77777777" w:rsidR="005D360D" w:rsidRPr="0080251F" w:rsidRDefault="005D360D" w:rsidP="00212843">
      <w:pPr>
        <w:spacing w:after="0" w:line="276" w:lineRule="auto"/>
        <w:jc w:val="both"/>
        <w:rPr>
          <w:rFonts w:ascii="Times New Roman" w:hAnsi="Times New Roman" w:cs="Times New Roman"/>
          <w:b/>
          <w:sz w:val="40"/>
          <w:szCs w:val="40"/>
          <w:lang w:val="ro-MD"/>
        </w:rPr>
      </w:pPr>
      <w:r w:rsidRPr="0080251F">
        <w:rPr>
          <w:rFonts w:ascii="Times New Roman" w:hAnsi="Times New Roman" w:cs="Times New Roman"/>
          <w:b/>
          <w:sz w:val="40"/>
          <w:szCs w:val="40"/>
          <w:lang w:val="ro-MD"/>
        </w:rPr>
        <w:t>CURTEA DE CONTURI A REPUBLICII MOLDOVA</w:t>
      </w:r>
    </w:p>
    <w:p w14:paraId="274E93D9" w14:textId="77777777" w:rsidR="005D360D" w:rsidRPr="0080251F" w:rsidRDefault="005D360D" w:rsidP="00212843">
      <w:pPr>
        <w:spacing w:after="0" w:line="276" w:lineRule="auto"/>
        <w:jc w:val="both"/>
        <w:rPr>
          <w:rFonts w:ascii="Times New Roman" w:hAnsi="Times New Roman" w:cs="Times New Roman"/>
          <w:sz w:val="24"/>
          <w:szCs w:val="24"/>
          <w:lang w:val="ro-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5D360D" w:rsidRPr="0080251F" w14:paraId="121790C2" w14:textId="77777777" w:rsidTr="008E6F33">
        <w:trPr>
          <w:trHeight w:val="396"/>
          <w:jc w:val="center"/>
        </w:trPr>
        <w:tc>
          <w:tcPr>
            <w:tcW w:w="9350" w:type="dxa"/>
            <w:tcBorders>
              <w:top w:val="thinThickSmallGap" w:sz="12" w:space="0" w:color="00000A"/>
              <w:bottom w:val="thickThinSmallGap" w:sz="12" w:space="0" w:color="00000A"/>
            </w:tcBorders>
            <w:shd w:val="clear" w:color="auto" w:fill="auto"/>
          </w:tcPr>
          <w:p w14:paraId="0C8AB557" w14:textId="58E4DB5C" w:rsidR="005D360D" w:rsidRPr="0080251F" w:rsidRDefault="005D360D" w:rsidP="002B5DD2">
            <w:pPr>
              <w:tabs>
                <w:tab w:val="left" w:pos="720"/>
              </w:tabs>
              <w:spacing w:after="0" w:line="276" w:lineRule="auto"/>
              <w:jc w:val="center"/>
              <w:rPr>
                <w:rFonts w:ascii="Times New Roman" w:hAnsi="Times New Roman" w:cs="Times New Roman"/>
                <w:sz w:val="18"/>
                <w:szCs w:val="18"/>
                <w:lang w:val="ro-MD"/>
              </w:rPr>
            </w:pPr>
            <w:r w:rsidRPr="0080251F">
              <w:rPr>
                <w:rFonts w:ascii="Times New Roman" w:hAnsi="Times New Roman" w:cs="Times New Roman"/>
                <w:sz w:val="18"/>
                <w:szCs w:val="18"/>
                <w:lang w:val="ro-MD"/>
              </w:rPr>
              <w:t>MD-2001, mun. Chi</w:t>
            </w:r>
            <w:r w:rsidR="00D730A2" w:rsidRPr="0080251F">
              <w:rPr>
                <w:rFonts w:ascii="Times New Roman" w:hAnsi="Times New Roman" w:cs="Times New Roman"/>
                <w:sz w:val="18"/>
                <w:szCs w:val="18"/>
                <w:lang w:val="ro-MD"/>
              </w:rPr>
              <w:t>ș</w:t>
            </w:r>
            <w:r w:rsidRPr="0080251F">
              <w:rPr>
                <w:rFonts w:ascii="Times New Roman" w:hAnsi="Times New Roman" w:cs="Times New Roman"/>
                <w:sz w:val="18"/>
                <w:szCs w:val="18"/>
                <w:lang w:val="ro-MD"/>
              </w:rPr>
              <w:t xml:space="preserve">inău, bd. </w:t>
            </w:r>
            <w:r w:rsidR="00D730A2" w:rsidRPr="0080251F">
              <w:rPr>
                <w:rFonts w:ascii="Times New Roman" w:hAnsi="Times New Roman" w:cs="Times New Roman"/>
                <w:sz w:val="18"/>
                <w:szCs w:val="18"/>
                <w:lang w:val="ro-MD"/>
              </w:rPr>
              <w:t>Ș</w:t>
            </w:r>
            <w:r w:rsidRPr="0080251F">
              <w:rPr>
                <w:rFonts w:ascii="Times New Roman" w:hAnsi="Times New Roman" w:cs="Times New Roman"/>
                <w:sz w:val="18"/>
                <w:szCs w:val="18"/>
                <w:lang w:val="ro-MD"/>
              </w:rPr>
              <w:t xml:space="preserve">tefan cel Mare </w:t>
            </w:r>
            <w:r w:rsidR="00D730A2" w:rsidRPr="0080251F">
              <w:rPr>
                <w:rFonts w:ascii="Times New Roman" w:hAnsi="Times New Roman" w:cs="Times New Roman"/>
                <w:sz w:val="18"/>
                <w:szCs w:val="18"/>
                <w:lang w:val="ro-MD"/>
              </w:rPr>
              <w:t>ș</w:t>
            </w:r>
            <w:r w:rsidRPr="0080251F">
              <w:rPr>
                <w:rFonts w:ascii="Times New Roman" w:hAnsi="Times New Roman" w:cs="Times New Roman"/>
                <w:sz w:val="18"/>
                <w:szCs w:val="18"/>
                <w:lang w:val="ro-MD"/>
              </w:rPr>
              <w:t>i Sfânt nr.69, tel. (+373 22) 26 60 02, fax: (+373 22) 26 61 00,</w:t>
            </w:r>
          </w:p>
          <w:p w14:paraId="405B8559" w14:textId="77777777" w:rsidR="005D360D" w:rsidRPr="0080251F" w:rsidRDefault="004B6393" w:rsidP="002B5DD2">
            <w:pPr>
              <w:spacing w:after="0" w:line="276" w:lineRule="auto"/>
              <w:ind w:right="-120"/>
              <w:jc w:val="center"/>
              <w:rPr>
                <w:rFonts w:ascii="Times New Roman" w:hAnsi="Times New Roman" w:cs="Times New Roman"/>
                <w:lang w:val="ro-MD"/>
              </w:rPr>
            </w:pPr>
            <w:hyperlink r:id="rId9" w:history="1">
              <w:r w:rsidR="005D360D" w:rsidRPr="0080251F">
                <w:rPr>
                  <w:rFonts w:ascii="Times New Roman" w:hAnsi="Times New Roman" w:cs="Times New Roman"/>
                  <w:b/>
                  <w:color w:val="0563C1" w:themeColor="hyperlink"/>
                  <w:sz w:val="18"/>
                  <w:szCs w:val="18"/>
                  <w:u w:val="single"/>
                  <w:lang w:val="ro-MD"/>
                </w:rPr>
                <w:t>www.ccrm.md</w:t>
              </w:r>
            </w:hyperlink>
            <w:r w:rsidR="005D360D" w:rsidRPr="0080251F">
              <w:rPr>
                <w:rFonts w:ascii="Times New Roman" w:hAnsi="Times New Roman" w:cs="Times New Roman"/>
                <w:b/>
                <w:color w:val="0563C1" w:themeColor="hyperlink"/>
                <w:sz w:val="18"/>
                <w:szCs w:val="18"/>
                <w:u w:val="single"/>
                <w:lang w:val="ro-MD"/>
              </w:rPr>
              <w:t xml:space="preserve">; </w:t>
            </w:r>
            <w:r w:rsidR="005D360D" w:rsidRPr="0080251F">
              <w:rPr>
                <w:rFonts w:ascii="Times New Roman" w:hAnsi="Times New Roman" w:cs="Times New Roman"/>
                <w:sz w:val="18"/>
                <w:szCs w:val="18"/>
                <w:lang w:val="ro-MD"/>
              </w:rPr>
              <w:t xml:space="preserve">e-mail: </w:t>
            </w:r>
            <w:hyperlink r:id="rId10" w:history="1">
              <w:r w:rsidR="005D360D" w:rsidRPr="0080251F">
                <w:rPr>
                  <w:rFonts w:ascii="Times New Roman" w:hAnsi="Times New Roman" w:cs="Times New Roman"/>
                  <w:b/>
                  <w:color w:val="0563C1" w:themeColor="hyperlink"/>
                  <w:sz w:val="18"/>
                  <w:szCs w:val="18"/>
                  <w:u w:val="single"/>
                  <w:lang w:val="ro-MD"/>
                </w:rPr>
                <w:t>ccrm@ccrm.md</w:t>
              </w:r>
            </w:hyperlink>
          </w:p>
        </w:tc>
      </w:tr>
    </w:tbl>
    <w:p w14:paraId="39B07DAE" w14:textId="64671820" w:rsidR="005D360D" w:rsidRPr="0080251F" w:rsidRDefault="005D360D" w:rsidP="00212843">
      <w:pPr>
        <w:spacing w:after="0" w:line="276" w:lineRule="auto"/>
        <w:jc w:val="both"/>
        <w:rPr>
          <w:rFonts w:ascii="Times New Roman" w:eastAsia="Times New Roman" w:hAnsi="Times New Roman" w:cs="Times New Roman"/>
          <w:b/>
          <w:bCs/>
          <w:color w:val="1F4E79" w:themeColor="accent1" w:themeShade="80"/>
          <w:sz w:val="24"/>
          <w:szCs w:val="24"/>
          <w:lang w:val="ro-MD"/>
        </w:rPr>
      </w:pPr>
    </w:p>
    <w:p w14:paraId="42D24BA3" w14:textId="77777777" w:rsidR="00B63784" w:rsidRPr="0080251F" w:rsidRDefault="00B63784" w:rsidP="00212843">
      <w:pPr>
        <w:spacing w:after="0" w:line="276" w:lineRule="auto"/>
        <w:jc w:val="both"/>
        <w:rPr>
          <w:rFonts w:ascii="Times New Roman" w:eastAsia="Times New Roman" w:hAnsi="Times New Roman" w:cs="Times New Roman"/>
          <w:b/>
          <w:bCs/>
          <w:color w:val="1F4E79" w:themeColor="accent1" w:themeShade="80"/>
          <w:sz w:val="24"/>
          <w:szCs w:val="24"/>
          <w:lang w:val="ro-MD"/>
        </w:rPr>
      </w:pPr>
    </w:p>
    <w:p w14:paraId="18AC7460" w14:textId="0E3665F6" w:rsidR="005D360D" w:rsidRPr="0080251F" w:rsidRDefault="005D360D" w:rsidP="00874D4A">
      <w:pPr>
        <w:tabs>
          <w:tab w:val="left" w:pos="450"/>
          <w:tab w:val="left" w:pos="720"/>
        </w:tabs>
        <w:spacing w:after="0" w:line="276" w:lineRule="auto"/>
        <w:ind w:right="9"/>
        <w:jc w:val="center"/>
        <w:rPr>
          <w:rFonts w:ascii="Times New Roman" w:eastAsia="Times New Roman" w:hAnsi="Times New Roman" w:cs="Times New Roman"/>
          <w:b/>
          <w:bCs/>
          <w:sz w:val="32"/>
          <w:szCs w:val="32"/>
          <w:lang w:val="ro-MD"/>
        </w:rPr>
      </w:pPr>
      <w:r w:rsidRPr="0080251F">
        <w:rPr>
          <w:rFonts w:ascii="Times New Roman" w:eastAsia="Times New Roman" w:hAnsi="Times New Roman" w:cs="Times New Roman"/>
          <w:b/>
          <w:bCs/>
          <w:sz w:val="32"/>
          <w:szCs w:val="32"/>
          <w:lang w:val="ro-MD"/>
        </w:rPr>
        <w:t>RAPORTUL</w:t>
      </w:r>
    </w:p>
    <w:p w14:paraId="2AF93748" w14:textId="258F57F5" w:rsidR="005D360D" w:rsidRPr="0080251F" w:rsidRDefault="005522C4" w:rsidP="00FA6CC7">
      <w:pPr>
        <w:tabs>
          <w:tab w:val="left" w:pos="450"/>
          <w:tab w:val="left" w:pos="720"/>
        </w:tabs>
        <w:spacing w:after="0" w:line="276" w:lineRule="auto"/>
        <w:ind w:right="9"/>
        <w:jc w:val="center"/>
        <w:rPr>
          <w:rFonts w:ascii="Times New Roman" w:eastAsia="Times New Roman" w:hAnsi="Times New Roman" w:cs="Times New Roman"/>
          <w:b/>
          <w:bCs/>
          <w:sz w:val="32"/>
          <w:szCs w:val="32"/>
          <w:lang w:val="ro-MD"/>
        </w:rPr>
      </w:pPr>
      <w:r w:rsidRPr="0080251F">
        <w:rPr>
          <w:rFonts w:ascii="Times New Roman" w:eastAsia="Times New Roman" w:hAnsi="Times New Roman" w:cs="Times New Roman"/>
          <w:b/>
          <w:bCs/>
          <w:sz w:val="32"/>
          <w:szCs w:val="32"/>
          <w:lang w:val="ro-MD"/>
        </w:rPr>
        <w:t>audit</w:t>
      </w:r>
      <w:r w:rsidR="00021AAB" w:rsidRPr="0080251F">
        <w:rPr>
          <w:rFonts w:ascii="Times New Roman" w:eastAsia="Times New Roman" w:hAnsi="Times New Roman" w:cs="Times New Roman"/>
          <w:b/>
          <w:bCs/>
          <w:sz w:val="32"/>
          <w:szCs w:val="32"/>
          <w:lang w:val="ro-MD"/>
        </w:rPr>
        <w:t>ului</w:t>
      </w:r>
      <w:r w:rsidR="006C2A50" w:rsidRPr="0080251F">
        <w:rPr>
          <w:rFonts w:ascii="Times New Roman" w:eastAsia="Times New Roman" w:hAnsi="Times New Roman" w:cs="Times New Roman"/>
          <w:b/>
          <w:bCs/>
          <w:sz w:val="32"/>
          <w:szCs w:val="32"/>
          <w:lang w:val="ro-MD"/>
        </w:rPr>
        <w:t xml:space="preserve"> conformității asupra gestionării patrimoniului public și a resurselor financiare de către S.A. „Rețelele electrice de distribuție </w:t>
      </w:r>
      <w:r w:rsidR="00404E09" w:rsidRPr="0080251F">
        <w:rPr>
          <w:rFonts w:ascii="Times New Roman" w:eastAsia="Times New Roman" w:hAnsi="Times New Roman" w:cs="Times New Roman"/>
          <w:b/>
          <w:bCs/>
          <w:sz w:val="32"/>
          <w:szCs w:val="32"/>
          <w:lang w:val="ro-MD"/>
        </w:rPr>
        <w:t>Nord” în anii 2021-2022</w:t>
      </w:r>
    </w:p>
    <w:p w14:paraId="49CBB684" w14:textId="0A5B1A25" w:rsidR="005D360D" w:rsidRDefault="00114FBA" w:rsidP="00114FBA">
      <w:pPr>
        <w:spacing w:before="100" w:beforeAutospacing="1" w:after="100" w:afterAutospacing="1" w:line="240" w:lineRule="auto"/>
        <w:ind w:firstLine="2694"/>
        <w:rPr>
          <w:rFonts w:ascii="Times New Roman" w:eastAsia="Times New Roman" w:hAnsi="Times New Roman" w:cs="Times New Roman"/>
          <w:sz w:val="24"/>
          <w:szCs w:val="24"/>
          <w:lang w:val="ro-MD"/>
        </w:rPr>
      </w:pPr>
      <w:r w:rsidRPr="0080251F">
        <w:rPr>
          <w:rFonts w:ascii="Times New Roman" w:eastAsia="Times New Roman" w:hAnsi="Times New Roman" w:cs="Times New Roman"/>
          <w:noProof/>
          <w:sz w:val="24"/>
          <w:szCs w:val="24"/>
          <w:lang w:val="ru-RU" w:eastAsia="ru-RU"/>
        </w:rPr>
        <w:drawing>
          <wp:inline distT="0" distB="0" distL="0" distR="0" wp14:anchorId="494C236C" wp14:editId="725A3F32">
            <wp:extent cx="2857500" cy="3790796"/>
            <wp:effectExtent l="0" t="0" r="0" b="635"/>
            <wp:docPr id="2" name="Рисунок 2" descr="d:\i_lungu\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_lungu\Deskto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790796"/>
                    </a:xfrm>
                    <a:prstGeom prst="rect">
                      <a:avLst/>
                    </a:prstGeom>
                    <a:noFill/>
                    <a:ln>
                      <a:noFill/>
                    </a:ln>
                  </pic:spPr>
                </pic:pic>
              </a:graphicData>
            </a:graphic>
          </wp:inline>
        </w:drawing>
      </w:r>
    </w:p>
    <w:p w14:paraId="6406B2B7" w14:textId="77777777" w:rsidR="001D1D7C" w:rsidRPr="0080251F" w:rsidRDefault="001D1D7C" w:rsidP="00114FBA">
      <w:pPr>
        <w:spacing w:before="100" w:beforeAutospacing="1" w:after="100" w:afterAutospacing="1" w:line="240" w:lineRule="auto"/>
        <w:ind w:firstLine="2694"/>
        <w:rPr>
          <w:rFonts w:ascii="Times New Roman" w:eastAsia="Times New Roman" w:hAnsi="Times New Roman" w:cs="Times New Roman"/>
          <w:sz w:val="24"/>
          <w:szCs w:val="24"/>
          <w:lang w:val="ro-MD"/>
        </w:rPr>
      </w:pPr>
    </w:p>
    <w:sdt>
      <w:sdtPr>
        <w:rPr>
          <w:rFonts w:ascii="Times New Roman" w:eastAsiaTheme="minorHAnsi" w:hAnsi="Times New Roman" w:cs="Times New Roman"/>
          <w:color w:val="auto"/>
          <w:sz w:val="24"/>
          <w:szCs w:val="24"/>
          <w:lang w:val="ro-MD"/>
        </w:rPr>
        <w:id w:val="1222635106"/>
        <w:docPartObj>
          <w:docPartGallery w:val="Table of Contents"/>
          <w:docPartUnique/>
        </w:docPartObj>
      </w:sdtPr>
      <w:sdtEndPr>
        <w:rPr>
          <w:rFonts w:asciiTheme="minorHAnsi" w:hAnsiTheme="minorHAnsi" w:cstheme="minorBidi"/>
          <w:sz w:val="22"/>
          <w:szCs w:val="22"/>
        </w:rPr>
      </w:sdtEndPr>
      <w:sdtContent>
        <w:p w14:paraId="6F81A09E" w14:textId="71D98CB1" w:rsidR="00794AC2" w:rsidRPr="0080251F" w:rsidRDefault="005522C4" w:rsidP="005522C4">
          <w:pPr>
            <w:pStyle w:val="a8"/>
            <w:spacing w:before="0"/>
            <w:jc w:val="center"/>
            <w:rPr>
              <w:rFonts w:ascii="Times New Roman" w:hAnsi="Times New Roman" w:cs="Times New Roman"/>
              <w:b/>
              <w:color w:val="auto"/>
              <w:sz w:val="24"/>
              <w:szCs w:val="24"/>
              <w:lang w:val="ro-MD"/>
            </w:rPr>
          </w:pPr>
          <w:r w:rsidRPr="0080251F">
            <w:rPr>
              <w:rFonts w:ascii="Times New Roman" w:hAnsi="Times New Roman" w:cs="Times New Roman"/>
              <w:b/>
              <w:color w:val="auto"/>
              <w:sz w:val="24"/>
              <w:szCs w:val="24"/>
              <w:lang w:val="ro-MD"/>
            </w:rPr>
            <w:t>CUPRINS</w:t>
          </w:r>
        </w:p>
        <w:p w14:paraId="143B8257" w14:textId="7D8FD646" w:rsidR="00025EBB" w:rsidRPr="0080251F" w:rsidRDefault="00794AC2" w:rsidP="00363024">
          <w:pPr>
            <w:pStyle w:val="11"/>
            <w:rPr>
              <w:rFonts w:eastAsiaTheme="minorEastAsia"/>
              <w:lang w:val="ro-MD"/>
            </w:rPr>
          </w:pPr>
          <w:r w:rsidRPr="0080251F">
            <w:rPr>
              <w:rFonts w:ascii="Times New Roman" w:hAnsi="Times New Roman" w:cs="Times New Roman"/>
              <w:sz w:val="24"/>
              <w:szCs w:val="24"/>
              <w:lang w:val="ro-MD"/>
            </w:rPr>
            <w:fldChar w:fldCharType="begin"/>
          </w:r>
          <w:r w:rsidRPr="0080251F">
            <w:rPr>
              <w:rFonts w:ascii="Times New Roman" w:hAnsi="Times New Roman" w:cs="Times New Roman"/>
              <w:sz w:val="24"/>
              <w:szCs w:val="24"/>
              <w:lang w:val="ro-MD"/>
            </w:rPr>
            <w:instrText xml:space="preserve"> TOC \o "1-3" \h \z \u </w:instrText>
          </w:r>
          <w:r w:rsidRPr="0080251F">
            <w:rPr>
              <w:rFonts w:ascii="Times New Roman" w:hAnsi="Times New Roman" w:cs="Times New Roman"/>
              <w:sz w:val="24"/>
              <w:szCs w:val="24"/>
              <w:lang w:val="ro-MD"/>
            </w:rPr>
            <w:fldChar w:fldCharType="separate"/>
          </w:r>
          <w:hyperlink w:anchor="_Toc161169682" w:history="1">
            <w:r w:rsidR="00025EBB" w:rsidRPr="0080251F">
              <w:rPr>
                <w:rStyle w:val="a9"/>
                <w:rFonts w:asciiTheme="majorBidi" w:eastAsia="Times New Roman" w:hAnsiTheme="majorBidi" w:cstheme="majorBidi"/>
                <w:b/>
                <w:bCs/>
                <w:lang w:val="ro-MD"/>
              </w:rPr>
              <w:t>GLOSAR</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_Toc161169682 \h </w:instrText>
            </w:r>
            <w:r w:rsidR="00025EBB" w:rsidRPr="0080251F">
              <w:rPr>
                <w:webHidden/>
                <w:lang w:val="ro-MD"/>
              </w:rPr>
            </w:r>
            <w:r w:rsidR="00025EBB" w:rsidRPr="0080251F">
              <w:rPr>
                <w:webHidden/>
                <w:lang w:val="ro-MD"/>
              </w:rPr>
              <w:fldChar w:fldCharType="separate"/>
            </w:r>
            <w:r w:rsidR="00A47C45">
              <w:rPr>
                <w:noProof/>
                <w:webHidden/>
                <w:lang w:val="ro-MD"/>
              </w:rPr>
              <w:t>3</w:t>
            </w:r>
            <w:r w:rsidR="00025EBB" w:rsidRPr="0080251F">
              <w:rPr>
                <w:webHidden/>
                <w:lang w:val="ro-MD"/>
              </w:rPr>
              <w:fldChar w:fldCharType="end"/>
            </w:r>
          </w:hyperlink>
        </w:p>
        <w:p w14:paraId="4A03F0C9" w14:textId="6C62D444" w:rsidR="00025EBB" w:rsidRPr="0080251F" w:rsidRDefault="004B6393" w:rsidP="00363024">
          <w:pPr>
            <w:pStyle w:val="11"/>
            <w:rPr>
              <w:rFonts w:eastAsiaTheme="minorEastAsia"/>
              <w:lang w:val="ro-MD"/>
            </w:rPr>
          </w:pPr>
          <w:hyperlink w:anchor="_Toc161169683" w:history="1">
            <w:r w:rsidR="00025EBB" w:rsidRPr="0080251F">
              <w:rPr>
                <w:rStyle w:val="a9"/>
                <w:rFonts w:asciiTheme="majorBidi" w:hAnsiTheme="majorBidi" w:cstheme="majorBidi"/>
                <w:b/>
                <w:lang w:val="ro-MD"/>
              </w:rPr>
              <w:t>I. SINTEZA</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_Toc161169683 \h </w:instrText>
            </w:r>
            <w:r w:rsidR="00025EBB" w:rsidRPr="0080251F">
              <w:rPr>
                <w:webHidden/>
                <w:lang w:val="ro-MD"/>
              </w:rPr>
            </w:r>
            <w:r w:rsidR="00025EBB" w:rsidRPr="0080251F">
              <w:rPr>
                <w:webHidden/>
                <w:lang w:val="ro-MD"/>
              </w:rPr>
              <w:fldChar w:fldCharType="separate"/>
            </w:r>
            <w:r w:rsidR="00A47C45">
              <w:rPr>
                <w:noProof/>
                <w:webHidden/>
                <w:lang w:val="ro-MD"/>
              </w:rPr>
              <w:t>4</w:t>
            </w:r>
            <w:r w:rsidR="00025EBB" w:rsidRPr="0080251F">
              <w:rPr>
                <w:webHidden/>
                <w:lang w:val="ro-MD"/>
              </w:rPr>
              <w:fldChar w:fldCharType="end"/>
            </w:r>
          </w:hyperlink>
        </w:p>
        <w:p w14:paraId="14393D2B" w14:textId="1C0FC5B0" w:rsidR="00025EBB" w:rsidRPr="0080251F" w:rsidRDefault="004B6393" w:rsidP="00363024">
          <w:pPr>
            <w:pStyle w:val="11"/>
            <w:rPr>
              <w:rFonts w:eastAsiaTheme="minorEastAsia"/>
              <w:lang w:val="ro-MD"/>
            </w:rPr>
          </w:pPr>
          <w:hyperlink w:anchor="_Toc161169684" w:history="1">
            <w:r w:rsidR="00025EBB" w:rsidRPr="0080251F">
              <w:rPr>
                <w:rStyle w:val="a9"/>
                <w:rFonts w:asciiTheme="majorBidi" w:hAnsiTheme="majorBidi" w:cstheme="majorBidi"/>
                <w:b/>
                <w:lang w:val="ro-MD"/>
              </w:rPr>
              <w:t>II. PREZENTAREA GENERALĂ</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_Toc161169684 \h </w:instrText>
            </w:r>
            <w:r w:rsidR="00025EBB" w:rsidRPr="0080251F">
              <w:rPr>
                <w:webHidden/>
                <w:lang w:val="ro-MD"/>
              </w:rPr>
            </w:r>
            <w:r w:rsidR="00025EBB" w:rsidRPr="0080251F">
              <w:rPr>
                <w:webHidden/>
                <w:lang w:val="ro-MD"/>
              </w:rPr>
              <w:fldChar w:fldCharType="separate"/>
            </w:r>
            <w:r w:rsidR="00A47C45">
              <w:rPr>
                <w:noProof/>
                <w:webHidden/>
                <w:lang w:val="ro-MD"/>
              </w:rPr>
              <w:t>6</w:t>
            </w:r>
            <w:r w:rsidR="00025EBB" w:rsidRPr="0080251F">
              <w:rPr>
                <w:webHidden/>
                <w:lang w:val="ro-MD"/>
              </w:rPr>
              <w:fldChar w:fldCharType="end"/>
            </w:r>
          </w:hyperlink>
        </w:p>
        <w:p w14:paraId="72EC4E8B" w14:textId="7020C394" w:rsidR="00025EBB" w:rsidRPr="0080251F" w:rsidRDefault="004B6393" w:rsidP="00363024">
          <w:pPr>
            <w:pStyle w:val="21"/>
            <w:rPr>
              <w:rFonts w:eastAsiaTheme="minorEastAsia"/>
              <w:lang w:val="ro-MD"/>
            </w:rPr>
          </w:pPr>
          <w:hyperlink w:anchor="_Toc161169685" w:history="1">
            <w:r w:rsidR="00025EBB" w:rsidRPr="0080251F">
              <w:rPr>
                <w:rStyle w:val="a9"/>
                <w:rFonts w:asciiTheme="majorBidi" w:hAnsiTheme="majorBidi" w:cstheme="majorBidi"/>
                <w:b/>
                <w:lang w:val="ro-MD"/>
              </w:rPr>
              <w:t>2.1. Informații generale privind domeniul de activitate</w:t>
            </w:r>
            <w:r w:rsidR="00025EBB" w:rsidRPr="0080251F">
              <w:rPr>
                <w:rStyle w:val="a9"/>
                <w:rFonts w:asciiTheme="majorBidi" w:hAnsiTheme="majorBidi" w:cstheme="majorBidi"/>
                <w:lang w:val="ro-MD"/>
              </w:rPr>
              <w:t xml:space="preserve"> </w:t>
            </w:r>
            <w:r w:rsidR="00025EBB" w:rsidRPr="0080251F">
              <w:rPr>
                <w:rStyle w:val="a9"/>
                <w:rFonts w:asciiTheme="majorBidi" w:hAnsiTheme="majorBidi" w:cstheme="majorBidi"/>
                <w:b/>
                <w:lang w:val="ro-MD"/>
              </w:rPr>
              <w:t>al S.A. „RED-Nord”</w:t>
            </w:r>
            <w:r w:rsidR="00FA1BEC" w:rsidRPr="0080251F">
              <w:rPr>
                <w:webHidden/>
                <w:lang w:val="ro-MD"/>
              </w:rPr>
              <w:t>…………………………………………</w:t>
            </w:r>
            <w:r w:rsidR="00025EBB" w:rsidRPr="0080251F">
              <w:rPr>
                <w:webHidden/>
                <w:lang w:val="ro-MD"/>
              </w:rPr>
              <w:fldChar w:fldCharType="begin"/>
            </w:r>
            <w:r w:rsidR="00025EBB" w:rsidRPr="0080251F">
              <w:rPr>
                <w:webHidden/>
                <w:lang w:val="ro-MD"/>
              </w:rPr>
              <w:instrText xml:space="preserve"> PAGEREF _Toc161169685 \h </w:instrText>
            </w:r>
            <w:r w:rsidR="00025EBB" w:rsidRPr="0080251F">
              <w:rPr>
                <w:webHidden/>
                <w:lang w:val="ro-MD"/>
              </w:rPr>
            </w:r>
            <w:r w:rsidR="00025EBB" w:rsidRPr="0080251F">
              <w:rPr>
                <w:webHidden/>
                <w:lang w:val="ro-MD"/>
              </w:rPr>
              <w:fldChar w:fldCharType="separate"/>
            </w:r>
            <w:r w:rsidR="00A47C45">
              <w:rPr>
                <w:noProof/>
                <w:webHidden/>
                <w:lang w:val="ro-MD"/>
              </w:rPr>
              <w:t>6</w:t>
            </w:r>
            <w:r w:rsidR="00025EBB" w:rsidRPr="0080251F">
              <w:rPr>
                <w:webHidden/>
                <w:lang w:val="ro-MD"/>
              </w:rPr>
              <w:fldChar w:fldCharType="end"/>
            </w:r>
          </w:hyperlink>
        </w:p>
        <w:p w14:paraId="6E8E25FA" w14:textId="63F8EB0D" w:rsidR="00025EBB" w:rsidRPr="0080251F" w:rsidRDefault="004B6393" w:rsidP="00363024">
          <w:pPr>
            <w:pStyle w:val="21"/>
            <w:rPr>
              <w:rFonts w:eastAsiaTheme="minorEastAsia"/>
              <w:lang w:val="ro-MD"/>
            </w:rPr>
          </w:pPr>
          <w:hyperlink w:anchor="_Toc161169686" w:history="1">
            <w:r w:rsidR="00025EBB" w:rsidRPr="0080251F">
              <w:rPr>
                <w:rStyle w:val="a9"/>
                <w:rFonts w:asciiTheme="majorBidi" w:eastAsia="Times New Roman" w:hAnsiTheme="majorBidi" w:cstheme="majorBidi"/>
                <w:b/>
                <w:lang w:val="ro-MD"/>
              </w:rPr>
              <w:t>2.2. Patrimoniul și resursele financiare gestionate</w:t>
            </w:r>
            <w:r w:rsidR="00025EBB" w:rsidRPr="0080251F">
              <w:rPr>
                <w:webHidden/>
                <w:lang w:val="ro-MD"/>
              </w:rPr>
              <w:tab/>
            </w:r>
            <w:r w:rsidR="00FA1BEC" w:rsidRPr="0080251F">
              <w:rPr>
                <w:webHidden/>
                <w:lang w:val="ro-MD"/>
              </w:rPr>
              <w:t>……………………………………………………………………………………</w:t>
            </w:r>
            <w:r w:rsidR="00025EBB" w:rsidRPr="0080251F">
              <w:rPr>
                <w:webHidden/>
                <w:lang w:val="ro-MD"/>
              </w:rPr>
              <w:fldChar w:fldCharType="begin"/>
            </w:r>
            <w:r w:rsidR="00025EBB" w:rsidRPr="0080251F">
              <w:rPr>
                <w:webHidden/>
                <w:lang w:val="ro-MD"/>
              </w:rPr>
              <w:instrText xml:space="preserve"> PAGEREF _Toc161169686 \h </w:instrText>
            </w:r>
            <w:r w:rsidR="00025EBB" w:rsidRPr="0080251F">
              <w:rPr>
                <w:webHidden/>
                <w:lang w:val="ro-MD"/>
              </w:rPr>
            </w:r>
            <w:r w:rsidR="00025EBB" w:rsidRPr="0080251F">
              <w:rPr>
                <w:webHidden/>
                <w:lang w:val="ro-MD"/>
              </w:rPr>
              <w:fldChar w:fldCharType="separate"/>
            </w:r>
            <w:r w:rsidR="00A47C45">
              <w:rPr>
                <w:noProof/>
                <w:webHidden/>
                <w:lang w:val="ro-MD"/>
              </w:rPr>
              <w:t>6</w:t>
            </w:r>
            <w:r w:rsidR="00025EBB" w:rsidRPr="0080251F">
              <w:rPr>
                <w:webHidden/>
                <w:lang w:val="ro-MD"/>
              </w:rPr>
              <w:fldChar w:fldCharType="end"/>
            </w:r>
          </w:hyperlink>
        </w:p>
        <w:p w14:paraId="5E53CED8" w14:textId="3E7CF9A9" w:rsidR="00025EBB" w:rsidRPr="0080251F" w:rsidRDefault="004B6393" w:rsidP="00363024">
          <w:pPr>
            <w:pStyle w:val="11"/>
            <w:rPr>
              <w:rFonts w:eastAsiaTheme="minorEastAsia"/>
              <w:lang w:val="ro-MD"/>
            </w:rPr>
          </w:pPr>
          <w:hyperlink w:anchor="_Toc161169687" w:history="1">
            <w:r w:rsidR="00025EBB" w:rsidRPr="0080251F">
              <w:rPr>
                <w:rStyle w:val="a9"/>
                <w:rFonts w:asciiTheme="majorBidi" w:hAnsiTheme="majorBidi" w:cstheme="majorBidi"/>
                <w:b/>
                <w:lang w:val="ro-MD"/>
              </w:rPr>
              <w:t>III. SFERA ȘI ABORDAREA AUDITULUI</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_Toc161169687 \h </w:instrText>
            </w:r>
            <w:r w:rsidR="00025EBB" w:rsidRPr="0080251F">
              <w:rPr>
                <w:webHidden/>
                <w:lang w:val="ro-MD"/>
              </w:rPr>
            </w:r>
            <w:r w:rsidR="00025EBB" w:rsidRPr="0080251F">
              <w:rPr>
                <w:webHidden/>
                <w:lang w:val="ro-MD"/>
              </w:rPr>
              <w:fldChar w:fldCharType="separate"/>
            </w:r>
            <w:r w:rsidR="00A47C45">
              <w:rPr>
                <w:noProof/>
                <w:webHidden/>
                <w:lang w:val="ro-MD"/>
              </w:rPr>
              <w:t>7</w:t>
            </w:r>
            <w:r w:rsidR="00025EBB" w:rsidRPr="0080251F">
              <w:rPr>
                <w:webHidden/>
                <w:lang w:val="ro-MD"/>
              </w:rPr>
              <w:fldChar w:fldCharType="end"/>
            </w:r>
          </w:hyperlink>
        </w:p>
        <w:p w14:paraId="50332B61" w14:textId="3D998957" w:rsidR="00025EBB" w:rsidRPr="0080251F" w:rsidRDefault="004B6393" w:rsidP="00363024">
          <w:pPr>
            <w:pStyle w:val="21"/>
            <w:rPr>
              <w:rFonts w:eastAsiaTheme="minorEastAsia"/>
              <w:lang w:val="ro-MD"/>
            </w:rPr>
          </w:pPr>
          <w:hyperlink w:anchor="_Toc161169688" w:history="1">
            <w:r w:rsidR="00025EBB" w:rsidRPr="0080251F">
              <w:rPr>
                <w:rStyle w:val="a9"/>
                <w:rFonts w:asciiTheme="majorBidi" w:hAnsiTheme="majorBidi" w:cstheme="majorBidi"/>
                <w:b/>
                <w:shd w:val="clear" w:color="auto" w:fill="FFFFFF"/>
                <w:lang w:val="ro-MD"/>
              </w:rPr>
              <w:t>3.1. Mandatul legal și scopul auditului</w:t>
            </w:r>
            <w:r w:rsidR="00025EBB" w:rsidRPr="0080251F">
              <w:rPr>
                <w:webHidden/>
                <w:lang w:val="ro-MD"/>
              </w:rPr>
              <w:tab/>
            </w:r>
            <w:r w:rsidR="00FA1BEC" w:rsidRPr="0080251F">
              <w:rPr>
                <w:webHidden/>
                <w:lang w:val="ro-MD"/>
              </w:rPr>
              <w:t>………………………………………………………………………………………………………</w:t>
            </w:r>
            <w:r w:rsidR="00025EBB" w:rsidRPr="0080251F">
              <w:rPr>
                <w:webHidden/>
                <w:lang w:val="ro-MD"/>
              </w:rPr>
              <w:fldChar w:fldCharType="begin"/>
            </w:r>
            <w:r w:rsidR="00025EBB" w:rsidRPr="0080251F">
              <w:rPr>
                <w:webHidden/>
                <w:lang w:val="ro-MD"/>
              </w:rPr>
              <w:instrText xml:space="preserve"> PAGEREF _Toc161169688 \h </w:instrText>
            </w:r>
            <w:r w:rsidR="00025EBB" w:rsidRPr="0080251F">
              <w:rPr>
                <w:webHidden/>
                <w:lang w:val="ro-MD"/>
              </w:rPr>
            </w:r>
            <w:r w:rsidR="00025EBB" w:rsidRPr="0080251F">
              <w:rPr>
                <w:webHidden/>
                <w:lang w:val="ro-MD"/>
              </w:rPr>
              <w:fldChar w:fldCharType="separate"/>
            </w:r>
            <w:r w:rsidR="00A47C45">
              <w:rPr>
                <w:noProof/>
                <w:webHidden/>
                <w:lang w:val="ro-MD"/>
              </w:rPr>
              <w:t>7</w:t>
            </w:r>
            <w:r w:rsidR="00025EBB" w:rsidRPr="0080251F">
              <w:rPr>
                <w:webHidden/>
                <w:lang w:val="ro-MD"/>
              </w:rPr>
              <w:fldChar w:fldCharType="end"/>
            </w:r>
          </w:hyperlink>
        </w:p>
        <w:p w14:paraId="56140C31" w14:textId="393996FA" w:rsidR="00025EBB" w:rsidRPr="0080251F" w:rsidRDefault="004B6393" w:rsidP="00363024">
          <w:pPr>
            <w:pStyle w:val="21"/>
            <w:rPr>
              <w:rFonts w:eastAsiaTheme="minorEastAsia"/>
              <w:lang w:val="ro-MD"/>
            </w:rPr>
          </w:pPr>
          <w:hyperlink w:anchor="_Toc161169689" w:history="1">
            <w:r w:rsidR="00025EBB" w:rsidRPr="0080251F">
              <w:rPr>
                <w:rStyle w:val="a9"/>
                <w:rFonts w:asciiTheme="majorBidi" w:eastAsia="Times New Roman" w:hAnsiTheme="majorBidi" w:cstheme="majorBidi"/>
                <w:b/>
                <w:lang w:val="ro-MD"/>
              </w:rPr>
              <w:t>3.2. Abordarea auditului</w:t>
            </w:r>
            <w:r w:rsidR="00025EBB" w:rsidRPr="0080251F">
              <w:rPr>
                <w:webHidden/>
                <w:lang w:val="ro-MD"/>
              </w:rPr>
              <w:tab/>
            </w:r>
            <w:r w:rsidR="00FA1BEC" w:rsidRPr="0080251F">
              <w:rPr>
                <w:webHidden/>
                <w:lang w:val="ro-MD"/>
              </w:rPr>
              <w:t>…………………………………………………………………………………………………………………………….</w:t>
            </w:r>
            <w:r w:rsidR="00025EBB" w:rsidRPr="0080251F">
              <w:rPr>
                <w:webHidden/>
                <w:lang w:val="ro-MD"/>
              </w:rPr>
              <w:fldChar w:fldCharType="begin"/>
            </w:r>
            <w:r w:rsidR="00025EBB" w:rsidRPr="0080251F">
              <w:rPr>
                <w:webHidden/>
                <w:lang w:val="ro-MD"/>
              </w:rPr>
              <w:instrText xml:space="preserve"> PAGEREF _Toc161169689 \h </w:instrText>
            </w:r>
            <w:r w:rsidR="00025EBB" w:rsidRPr="0080251F">
              <w:rPr>
                <w:webHidden/>
                <w:lang w:val="ro-MD"/>
              </w:rPr>
            </w:r>
            <w:r w:rsidR="00025EBB" w:rsidRPr="0080251F">
              <w:rPr>
                <w:webHidden/>
                <w:lang w:val="ro-MD"/>
              </w:rPr>
              <w:fldChar w:fldCharType="separate"/>
            </w:r>
            <w:r w:rsidR="00A47C45">
              <w:rPr>
                <w:noProof/>
                <w:webHidden/>
                <w:lang w:val="ro-MD"/>
              </w:rPr>
              <w:t>8</w:t>
            </w:r>
            <w:r w:rsidR="00025EBB" w:rsidRPr="0080251F">
              <w:rPr>
                <w:webHidden/>
                <w:lang w:val="ro-MD"/>
              </w:rPr>
              <w:fldChar w:fldCharType="end"/>
            </w:r>
          </w:hyperlink>
        </w:p>
        <w:p w14:paraId="5A24997A" w14:textId="4D9E7975" w:rsidR="00025EBB" w:rsidRPr="0080251F" w:rsidRDefault="004B6393" w:rsidP="00363024">
          <w:pPr>
            <w:pStyle w:val="21"/>
            <w:rPr>
              <w:rFonts w:eastAsiaTheme="minorEastAsia"/>
              <w:lang w:val="ro-MD"/>
            </w:rPr>
          </w:pPr>
          <w:hyperlink w:anchor="_Toc161169690" w:history="1">
            <w:r w:rsidR="00025EBB" w:rsidRPr="0080251F">
              <w:rPr>
                <w:rStyle w:val="a9"/>
                <w:rFonts w:asciiTheme="majorBidi" w:hAnsiTheme="majorBidi" w:cstheme="majorBidi"/>
                <w:b/>
                <w:lang w:val="ro-MD"/>
              </w:rPr>
              <w:t>3.3. Responsabilitatea auditorului într-un audit al conformității</w:t>
            </w:r>
            <w:r w:rsidR="00025EBB" w:rsidRPr="0080251F">
              <w:rPr>
                <w:webHidden/>
                <w:lang w:val="ro-MD"/>
              </w:rPr>
              <w:tab/>
            </w:r>
            <w:r w:rsidR="00FA1BEC" w:rsidRPr="0080251F">
              <w:rPr>
                <w:webHidden/>
                <w:lang w:val="ro-MD"/>
              </w:rPr>
              <w:t>…………………………………………………………….</w:t>
            </w:r>
            <w:r w:rsidR="00025EBB" w:rsidRPr="0080251F">
              <w:rPr>
                <w:webHidden/>
                <w:lang w:val="ro-MD"/>
              </w:rPr>
              <w:fldChar w:fldCharType="begin"/>
            </w:r>
            <w:r w:rsidR="00025EBB" w:rsidRPr="0080251F">
              <w:rPr>
                <w:webHidden/>
                <w:lang w:val="ro-MD"/>
              </w:rPr>
              <w:instrText xml:space="preserve"> PAGEREF _Toc161169690 \h </w:instrText>
            </w:r>
            <w:r w:rsidR="00025EBB" w:rsidRPr="0080251F">
              <w:rPr>
                <w:webHidden/>
                <w:lang w:val="ro-MD"/>
              </w:rPr>
            </w:r>
            <w:r w:rsidR="00025EBB" w:rsidRPr="0080251F">
              <w:rPr>
                <w:webHidden/>
                <w:lang w:val="ro-MD"/>
              </w:rPr>
              <w:fldChar w:fldCharType="separate"/>
            </w:r>
            <w:r w:rsidR="00A47C45">
              <w:rPr>
                <w:noProof/>
                <w:webHidden/>
                <w:lang w:val="ro-MD"/>
              </w:rPr>
              <w:t>8</w:t>
            </w:r>
            <w:r w:rsidR="00025EBB" w:rsidRPr="0080251F">
              <w:rPr>
                <w:webHidden/>
                <w:lang w:val="ro-MD"/>
              </w:rPr>
              <w:fldChar w:fldCharType="end"/>
            </w:r>
          </w:hyperlink>
        </w:p>
        <w:p w14:paraId="4920C9D1" w14:textId="30CA8D1F" w:rsidR="00025EBB" w:rsidRPr="0080251F" w:rsidRDefault="004B6393" w:rsidP="00363024">
          <w:pPr>
            <w:pStyle w:val="11"/>
            <w:rPr>
              <w:rFonts w:eastAsiaTheme="minorEastAsia"/>
              <w:lang w:val="ro-MD"/>
            </w:rPr>
          </w:pPr>
          <w:hyperlink w:anchor="_Toc161169691" w:history="1">
            <w:r w:rsidR="00025EBB" w:rsidRPr="0080251F">
              <w:rPr>
                <w:rStyle w:val="a9"/>
                <w:rFonts w:asciiTheme="majorBidi" w:hAnsiTheme="majorBidi" w:cstheme="majorBidi"/>
                <w:b/>
                <w:lang w:val="ro-MD"/>
              </w:rPr>
              <w:t>IV CONSTATĂRI</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_Toc161169691 \h </w:instrText>
            </w:r>
            <w:r w:rsidR="00025EBB" w:rsidRPr="0080251F">
              <w:rPr>
                <w:webHidden/>
                <w:lang w:val="ro-MD"/>
              </w:rPr>
            </w:r>
            <w:r w:rsidR="00025EBB" w:rsidRPr="0080251F">
              <w:rPr>
                <w:webHidden/>
                <w:lang w:val="ro-MD"/>
              </w:rPr>
              <w:fldChar w:fldCharType="separate"/>
            </w:r>
            <w:r w:rsidR="00A47C45">
              <w:rPr>
                <w:noProof/>
                <w:webHidden/>
                <w:lang w:val="ro-MD"/>
              </w:rPr>
              <w:t>8</w:t>
            </w:r>
            <w:r w:rsidR="00025EBB" w:rsidRPr="0080251F">
              <w:rPr>
                <w:webHidden/>
                <w:lang w:val="ro-MD"/>
              </w:rPr>
              <w:fldChar w:fldCharType="end"/>
            </w:r>
          </w:hyperlink>
        </w:p>
        <w:p w14:paraId="09EB315E" w14:textId="15F748A7" w:rsidR="00025EBB" w:rsidRPr="0080251F" w:rsidRDefault="004B6393" w:rsidP="00363024">
          <w:pPr>
            <w:pStyle w:val="11"/>
            <w:rPr>
              <w:rFonts w:eastAsiaTheme="minorEastAsia"/>
              <w:lang w:val="ro-MD"/>
            </w:rPr>
          </w:pPr>
          <w:hyperlink w:anchor="_Toc161169692" w:history="1">
            <w:r w:rsidR="00025EBB" w:rsidRPr="0080251F">
              <w:rPr>
                <w:rStyle w:val="a9"/>
                <w:rFonts w:asciiTheme="majorBidi" w:hAnsiTheme="majorBidi" w:cstheme="majorBidi"/>
                <w:b/>
                <w:lang w:val="ro-MD"/>
              </w:rPr>
              <w:t xml:space="preserve">4.1. </w:t>
            </w:r>
            <w:r w:rsidR="00025EBB" w:rsidRPr="0080251F">
              <w:rPr>
                <w:rStyle w:val="a9"/>
                <w:rFonts w:asciiTheme="majorBidi" w:hAnsiTheme="majorBidi" w:cstheme="majorBidi"/>
                <w:b/>
                <w:bCs/>
                <w:iCs/>
                <w:lang w:val="ro-MD"/>
              </w:rPr>
              <w:t>S.A. „RED-Nord” a asigurat gestionarea și raportarea conformă a imobilizărilor (ne)corporale</w:t>
            </w:r>
            <w:r w:rsidR="00025EBB" w:rsidRPr="0080251F">
              <w:rPr>
                <w:rStyle w:val="a9"/>
                <w:rFonts w:asciiTheme="majorBidi" w:hAnsiTheme="majorBidi" w:cstheme="majorBidi"/>
                <w:b/>
                <w:bCs/>
                <w:lang w:val="ro-MD"/>
              </w:rPr>
              <w:t>?</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_Toc161169692 \h </w:instrText>
            </w:r>
            <w:r w:rsidR="00025EBB" w:rsidRPr="0080251F">
              <w:rPr>
                <w:webHidden/>
                <w:lang w:val="ro-MD"/>
              </w:rPr>
            </w:r>
            <w:r w:rsidR="00025EBB" w:rsidRPr="0080251F">
              <w:rPr>
                <w:webHidden/>
                <w:lang w:val="ro-MD"/>
              </w:rPr>
              <w:fldChar w:fldCharType="separate"/>
            </w:r>
            <w:r w:rsidR="00A47C45">
              <w:rPr>
                <w:noProof/>
                <w:webHidden/>
                <w:lang w:val="ro-MD"/>
              </w:rPr>
              <w:t>8</w:t>
            </w:r>
            <w:r w:rsidR="00025EBB" w:rsidRPr="0080251F">
              <w:rPr>
                <w:webHidden/>
                <w:lang w:val="ro-MD"/>
              </w:rPr>
              <w:fldChar w:fldCharType="end"/>
            </w:r>
          </w:hyperlink>
        </w:p>
        <w:p w14:paraId="1ED19FD8" w14:textId="1C3ECE40" w:rsidR="00025EBB" w:rsidRPr="0080251F" w:rsidRDefault="004B6393" w:rsidP="00363024">
          <w:pPr>
            <w:pStyle w:val="11"/>
            <w:rPr>
              <w:rFonts w:eastAsiaTheme="minorEastAsia"/>
              <w:lang w:val="ro-MD"/>
            </w:rPr>
          </w:pPr>
          <w:hyperlink w:anchor="_Toc161169693" w:history="1">
            <w:r w:rsidR="00025EBB" w:rsidRPr="0080251F">
              <w:rPr>
                <w:rStyle w:val="a9"/>
                <w:rFonts w:asciiTheme="majorBidi" w:hAnsiTheme="majorBidi" w:cstheme="majorBidi"/>
                <w:b/>
                <w:lang w:val="ro-MD"/>
              </w:rPr>
              <w:t xml:space="preserve">4.2. </w:t>
            </w:r>
            <w:r w:rsidR="00025EBB" w:rsidRPr="0080251F">
              <w:rPr>
                <w:rStyle w:val="a9"/>
                <w:rFonts w:asciiTheme="majorBidi" w:hAnsiTheme="majorBidi" w:cstheme="majorBidi"/>
                <w:b/>
                <w:bCs/>
                <w:iCs/>
                <w:lang w:val="ro-MD"/>
              </w:rPr>
              <w:t>S.A. „RED-Nord” a asigurat gestionarea și raportarea conformă a stocurilor de materiale</w:t>
            </w:r>
            <w:r w:rsidR="00025EBB" w:rsidRPr="0080251F">
              <w:rPr>
                <w:rStyle w:val="a9"/>
                <w:rFonts w:asciiTheme="majorBidi" w:hAnsiTheme="majorBidi" w:cstheme="majorBidi"/>
                <w:b/>
                <w:bCs/>
                <w:lang w:val="ro-MD"/>
              </w:rPr>
              <w:t>?</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_Toc161169693 \h </w:instrText>
            </w:r>
            <w:r w:rsidR="00025EBB" w:rsidRPr="0080251F">
              <w:rPr>
                <w:webHidden/>
                <w:lang w:val="ro-MD"/>
              </w:rPr>
            </w:r>
            <w:r w:rsidR="00025EBB" w:rsidRPr="0080251F">
              <w:rPr>
                <w:webHidden/>
                <w:lang w:val="ro-MD"/>
              </w:rPr>
              <w:fldChar w:fldCharType="separate"/>
            </w:r>
            <w:r w:rsidR="00A47C45">
              <w:rPr>
                <w:noProof/>
                <w:webHidden/>
                <w:lang w:val="ro-MD"/>
              </w:rPr>
              <w:t>13</w:t>
            </w:r>
            <w:r w:rsidR="00025EBB" w:rsidRPr="0080251F">
              <w:rPr>
                <w:webHidden/>
                <w:lang w:val="ro-MD"/>
              </w:rPr>
              <w:fldChar w:fldCharType="end"/>
            </w:r>
          </w:hyperlink>
        </w:p>
        <w:p w14:paraId="6AEDD9E3" w14:textId="7EE28E65" w:rsidR="00025EBB" w:rsidRPr="0080251F" w:rsidRDefault="004B6393" w:rsidP="00363024">
          <w:pPr>
            <w:pStyle w:val="11"/>
            <w:rPr>
              <w:rFonts w:eastAsiaTheme="minorEastAsia"/>
              <w:lang w:val="ro-MD"/>
            </w:rPr>
          </w:pPr>
          <w:hyperlink w:anchor="_Toc161169694" w:history="1">
            <w:r w:rsidR="00025EBB" w:rsidRPr="0080251F">
              <w:rPr>
                <w:rStyle w:val="a9"/>
                <w:rFonts w:asciiTheme="majorBidi" w:hAnsiTheme="majorBidi" w:cstheme="majorBidi"/>
                <w:b/>
                <w:lang w:val="ro-MD"/>
              </w:rPr>
              <w:t xml:space="preserve">4.3. </w:t>
            </w:r>
            <w:r w:rsidR="00025EBB" w:rsidRPr="0080251F">
              <w:rPr>
                <w:rStyle w:val="a9"/>
                <w:rFonts w:asciiTheme="majorBidi" w:hAnsiTheme="majorBidi" w:cstheme="majorBidi"/>
                <w:b/>
                <w:bCs/>
                <w:iCs/>
                <w:lang w:val="ro-MD"/>
              </w:rPr>
              <w:t>S.A. „RED-Nord” a gestionat conform creanțele și datoriile existente?</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_Toc161169694 \h </w:instrText>
            </w:r>
            <w:r w:rsidR="00025EBB" w:rsidRPr="0080251F">
              <w:rPr>
                <w:webHidden/>
                <w:lang w:val="ro-MD"/>
              </w:rPr>
            </w:r>
            <w:r w:rsidR="00025EBB" w:rsidRPr="0080251F">
              <w:rPr>
                <w:webHidden/>
                <w:lang w:val="ro-MD"/>
              </w:rPr>
              <w:fldChar w:fldCharType="separate"/>
            </w:r>
            <w:r w:rsidR="00A47C45">
              <w:rPr>
                <w:noProof/>
                <w:webHidden/>
                <w:lang w:val="ro-MD"/>
              </w:rPr>
              <w:t>15</w:t>
            </w:r>
            <w:r w:rsidR="00025EBB" w:rsidRPr="0080251F">
              <w:rPr>
                <w:webHidden/>
                <w:lang w:val="ro-MD"/>
              </w:rPr>
              <w:fldChar w:fldCharType="end"/>
            </w:r>
          </w:hyperlink>
        </w:p>
        <w:p w14:paraId="41CCD10D" w14:textId="740313C4" w:rsidR="00025EBB" w:rsidRPr="0080251F" w:rsidRDefault="004B6393" w:rsidP="00363024">
          <w:pPr>
            <w:pStyle w:val="11"/>
            <w:rPr>
              <w:rFonts w:eastAsiaTheme="minorEastAsia"/>
              <w:lang w:val="ro-MD"/>
            </w:rPr>
          </w:pPr>
          <w:hyperlink w:anchor="_Toc161169695" w:history="1">
            <w:r w:rsidR="00025EBB" w:rsidRPr="0080251F">
              <w:rPr>
                <w:rStyle w:val="a9"/>
                <w:rFonts w:asciiTheme="majorBidi" w:hAnsiTheme="majorBidi" w:cstheme="majorBidi"/>
                <w:b/>
                <w:bCs/>
                <w:shd w:val="clear" w:color="auto" w:fill="FFFFFF"/>
                <w:lang w:val="ro-MD"/>
              </w:rPr>
              <w:t xml:space="preserve">4.4. </w:t>
            </w:r>
            <w:r w:rsidR="00025EBB" w:rsidRPr="0080251F">
              <w:rPr>
                <w:rStyle w:val="a9"/>
                <w:rFonts w:asciiTheme="majorBidi" w:hAnsiTheme="majorBidi" w:cstheme="majorBidi"/>
                <w:b/>
                <w:iCs/>
                <w:lang w:val="ro-MD"/>
              </w:rPr>
              <w:t>Plățile salariale la S.A. „RED-Nord” au fost determinate și achitate în conformitate cu cadrul normativ</w:t>
            </w:r>
            <w:r w:rsidR="00025EBB" w:rsidRPr="0080251F">
              <w:rPr>
                <w:rStyle w:val="a9"/>
                <w:rFonts w:asciiTheme="majorBidi" w:hAnsiTheme="majorBidi" w:cstheme="majorBidi"/>
                <w:b/>
                <w:bCs/>
                <w:iCs/>
                <w:shd w:val="clear" w:color="auto" w:fill="FFFFFF"/>
                <w:lang w:val="ro-MD"/>
              </w:rPr>
              <w:t>?</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_Toc161169695 \h </w:instrText>
            </w:r>
            <w:r w:rsidR="00025EBB" w:rsidRPr="0080251F">
              <w:rPr>
                <w:webHidden/>
                <w:lang w:val="ro-MD"/>
              </w:rPr>
            </w:r>
            <w:r w:rsidR="00025EBB" w:rsidRPr="0080251F">
              <w:rPr>
                <w:webHidden/>
                <w:lang w:val="ro-MD"/>
              </w:rPr>
              <w:fldChar w:fldCharType="separate"/>
            </w:r>
            <w:r w:rsidR="00A47C45">
              <w:rPr>
                <w:noProof/>
                <w:webHidden/>
                <w:lang w:val="ro-MD"/>
              </w:rPr>
              <w:t>18</w:t>
            </w:r>
            <w:r w:rsidR="00025EBB" w:rsidRPr="0080251F">
              <w:rPr>
                <w:webHidden/>
                <w:lang w:val="ro-MD"/>
              </w:rPr>
              <w:fldChar w:fldCharType="end"/>
            </w:r>
          </w:hyperlink>
        </w:p>
        <w:p w14:paraId="697CB5AA" w14:textId="4ADE032F" w:rsidR="00025EBB" w:rsidRPr="0080251F" w:rsidRDefault="004B6393" w:rsidP="00363024">
          <w:pPr>
            <w:pStyle w:val="11"/>
            <w:rPr>
              <w:rFonts w:eastAsiaTheme="minorEastAsia"/>
              <w:lang w:val="ro-MD"/>
            </w:rPr>
          </w:pPr>
          <w:hyperlink w:anchor="_Toc161169696" w:history="1">
            <w:r w:rsidR="00025EBB" w:rsidRPr="0080251F">
              <w:rPr>
                <w:rStyle w:val="a9"/>
                <w:rFonts w:asciiTheme="majorBidi" w:hAnsiTheme="majorBidi" w:cstheme="majorBidi"/>
                <w:b/>
                <w:bCs/>
                <w:shd w:val="clear" w:color="auto" w:fill="FFFFFF"/>
                <w:lang w:val="ro-MD"/>
              </w:rPr>
              <w:t xml:space="preserve">4.5. </w:t>
            </w:r>
            <w:r w:rsidR="00025EBB" w:rsidRPr="0080251F">
              <w:rPr>
                <w:rStyle w:val="a9"/>
                <w:rFonts w:asciiTheme="majorBidi" w:hAnsiTheme="majorBidi" w:cstheme="majorBidi"/>
                <w:b/>
                <w:iCs/>
                <w:lang w:val="ro-MD"/>
              </w:rPr>
              <w:t>S.A. „RED-Nord” a respectat prevederile cadrului normativ la executare procedurilor privind achiziționarea bunurilor, serviciilor și lucrărilor</w:t>
            </w:r>
            <w:r w:rsidR="00025EBB" w:rsidRPr="0080251F">
              <w:rPr>
                <w:rStyle w:val="a9"/>
                <w:rFonts w:asciiTheme="majorBidi" w:hAnsiTheme="majorBidi" w:cstheme="majorBidi"/>
                <w:b/>
                <w:bCs/>
                <w:iCs/>
                <w:lang w:val="ro-MD"/>
              </w:rPr>
              <w:t>?</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_Toc161169696 \h </w:instrText>
            </w:r>
            <w:r w:rsidR="00025EBB" w:rsidRPr="0080251F">
              <w:rPr>
                <w:webHidden/>
                <w:lang w:val="ro-MD"/>
              </w:rPr>
            </w:r>
            <w:r w:rsidR="00025EBB" w:rsidRPr="0080251F">
              <w:rPr>
                <w:webHidden/>
                <w:lang w:val="ro-MD"/>
              </w:rPr>
              <w:fldChar w:fldCharType="separate"/>
            </w:r>
            <w:r w:rsidR="00A47C45">
              <w:rPr>
                <w:noProof/>
                <w:webHidden/>
                <w:lang w:val="ro-MD"/>
              </w:rPr>
              <w:t>25</w:t>
            </w:r>
            <w:r w:rsidR="00025EBB" w:rsidRPr="0080251F">
              <w:rPr>
                <w:webHidden/>
                <w:lang w:val="ro-MD"/>
              </w:rPr>
              <w:fldChar w:fldCharType="end"/>
            </w:r>
          </w:hyperlink>
        </w:p>
        <w:p w14:paraId="705221B5" w14:textId="50A9CA1F" w:rsidR="00025EBB" w:rsidRPr="0080251F" w:rsidRDefault="004B6393" w:rsidP="00363024">
          <w:pPr>
            <w:pStyle w:val="11"/>
            <w:rPr>
              <w:rFonts w:eastAsiaTheme="minorEastAsia"/>
              <w:lang w:val="ro-MD"/>
            </w:rPr>
          </w:pPr>
          <w:hyperlink w:anchor="_Toc161169697" w:history="1">
            <w:r w:rsidR="00025EBB" w:rsidRPr="0080251F">
              <w:rPr>
                <w:rStyle w:val="a9"/>
                <w:rFonts w:asciiTheme="majorBidi" w:hAnsiTheme="majorBidi" w:cstheme="majorBidi"/>
                <w:b/>
                <w:bCs/>
                <w:shd w:val="clear" w:color="auto" w:fill="FFFFFF"/>
                <w:lang w:val="ro-MD"/>
              </w:rPr>
              <w:t xml:space="preserve">4.6. </w:t>
            </w:r>
            <w:r w:rsidR="00025EBB" w:rsidRPr="0080251F">
              <w:rPr>
                <w:rStyle w:val="a9"/>
                <w:rFonts w:asciiTheme="majorBidi" w:hAnsiTheme="majorBidi" w:cstheme="majorBidi"/>
                <w:b/>
                <w:bCs/>
                <w:iCs/>
                <w:lang w:val="ro-MD"/>
              </w:rPr>
              <w:t>S.A. „RED-Nord a asigurat planificarea și executarea conformă a investițiilor?</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_Toc161169697 \h </w:instrText>
            </w:r>
            <w:r w:rsidR="00025EBB" w:rsidRPr="0080251F">
              <w:rPr>
                <w:webHidden/>
                <w:lang w:val="ro-MD"/>
              </w:rPr>
            </w:r>
            <w:r w:rsidR="00025EBB" w:rsidRPr="0080251F">
              <w:rPr>
                <w:webHidden/>
                <w:lang w:val="ro-MD"/>
              </w:rPr>
              <w:fldChar w:fldCharType="separate"/>
            </w:r>
            <w:r w:rsidR="00A47C45">
              <w:rPr>
                <w:noProof/>
                <w:webHidden/>
                <w:lang w:val="ro-MD"/>
              </w:rPr>
              <w:t>28</w:t>
            </w:r>
            <w:r w:rsidR="00025EBB" w:rsidRPr="0080251F">
              <w:rPr>
                <w:webHidden/>
                <w:lang w:val="ro-MD"/>
              </w:rPr>
              <w:fldChar w:fldCharType="end"/>
            </w:r>
          </w:hyperlink>
        </w:p>
        <w:p w14:paraId="19E40CA0" w14:textId="7063C0D8" w:rsidR="00025EBB" w:rsidRPr="0080251F" w:rsidRDefault="004B6393" w:rsidP="00363024">
          <w:pPr>
            <w:pStyle w:val="11"/>
            <w:rPr>
              <w:rFonts w:eastAsiaTheme="minorEastAsia"/>
              <w:lang w:val="ro-MD"/>
            </w:rPr>
          </w:pPr>
          <w:hyperlink w:anchor="_Toc161169698" w:history="1">
            <w:r w:rsidR="00025EBB" w:rsidRPr="0080251F">
              <w:rPr>
                <w:rStyle w:val="a9"/>
                <w:rFonts w:asciiTheme="majorBidi" w:hAnsiTheme="majorBidi" w:cstheme="majorBidi"/>
                <w:b/>
                <w:lang w:val="ro-MD"/>
              </w:rPr>
              <w:t xml:space="preserve">4.7. </w:t>
            </w:r>
            <w:r w:rsidR="00025EBB" w:rsidRPr="0080251F">
              <w:rPr>
                <w:rStyle w:val="a9"/>
                <w:rFonts w:asciiTheme="majorBidi" w:hAnsiTheme="majorBidi" w:cstheme="majorBidi"/>
                <w:b/>
                <w:bCs/>
                <w:lang w:val="ro-MD"/>
              </w:rPr>
              <w:t>S.A. „RED-Nord” a asigurat gestionarea și raportarea conformă a costurilor reglementate prin tarif</w:t>
            </w:r>
            <w:r w:rsidR="00025EBB" w:rsidRPr="0080251F">
              <w:rPr>
                <w:rStyle w:val="a9"/>
                <w:rFonts w:asciiTheme="majorBidi" w:hAnsiTheme="majorBidi" w:cstheme="majorBidi"/>
                <w:b/>
                <w:lang w:val="ro-MD"/>
              </w:rPr>
              <w:t>?</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_Toc161169698 \h </w:instrText>
            </w:r>
            <w:r w:rsidR="00025EBB" w:rsidRPr="0080251F">
              <w:rPr>
                <w:webHidden/>
                <w:lang w:val="ro-MD"/>
              </w:rPr>
            </w:r>
            <w:r w:rsidR="00025EBB" w:rsidRPr="0080251F">
              <w:rPr>
                <w:webHidden/>
                <w:lang w:val="ro-MD"/>
              </w:rPr>
              <w:fldChar w:fldCharType="separate"/>
            </w:r>
            <w:r w:rsidR="00A47C45">
              <w:rPr>
                <w:noProof/>
                <w:webHidden/>
                <w:lang w:val="ro-MD"/>
              </w:rPr>
              <w:t>31</w:t>
            </w:r>
            <w:r w:rsidR="00025EBB" w:rsidRPr="0080251F">
              <w:rPr>
                <w:webHidden/>
                <w:lang w:val="ro-MD"/>
              </w:rPr>
              <w:fldChar w:fldCharType="end"/>
            </w:r>
          </w:hyperlink>
        </w:p>
        <w:p w14:paraId="5CC510F1" w14:textId="598D9F78" w:rsidR="00025EBB" w:rsidRPr="0080251F" w:rsidRDefault="004B6393" w:rsidP="00363024">
          <w:pPr>
            <w:pStyle w:val="11"/>
            <w:rPr>
              <w:rFonts w:eastAsiaTheme="minorEastAsia"/>
              <w:lang w:val="ro-MD"/>
            </w:rPr>
          </w:pPr>
          <w:hyperlink w:anchor="_Toc161169699" w:history="1">
            <w:r w:rsidR="00025EBB" w:rsidRPr="0080251F">
              <w:rPr>
                <w:rStyle w:val="a9"/>
                <w:rFonts w:asciiTheme="majorBidi" w:hAnsiTheme="majorBidi" w:cstheme="majorBidi"/>
                <w:b/>
                <w:lang w:val="ro-MD"/>
              </w:rPr>
              <w:t xml:space="preserve">4.8. </w:t>
            </w:r>
            <w:r w:rsidR="00025EBB" w:rsidRPr="0080251F">
              <w:rPr>
                <w:rStyle w:val="a9"/>
                <w:rFonts w:asciiTheme="majorBidi" w:hAnsiTheme="majorBidi" w:cstheme="majorBidi"/>
                <w:b/>
                <w:bCs/>
                <w:lang w:val="ro-MD"/>
              </w:rPr>
              <w:t>Cheltuielile din profitul net au fost conforme sau oportune în raport cu domeniile de activitate statutare</w:t>
            </w:r>
            <w:r w:rsidR="00025EBB" w:rsidRPr="0080251F">
              <w:rPr>
                <w:rStyle w:val="a9"/>
                <w:rFonts w:asciiTheme="majorBidi" w:hAnsiTheme="majorBidi" w:cstheme="majorBidi"/>
                <w:b/>
                <w:lang w:val="ro-MD"/>
              </w:rPr>
              <w:t>?</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_Toc161169699 \h </w:instrText>
            </w:r>
            <w:r w:rsidR="00025EBB" w:rsidRPr="0080251F">
              <w:rPr>
                <w:webHidden/>
                <w:lang w:val="ro-MD"/>
              </w:rPr>
            </w:r>
            <w:r w:rsidR="00025EBB" w:rsidRPr="0080251F">
              <w:rPr>
                <w:webHidden/>
                <w:lang w:val="ro-MD"/>
              </w:rPr>
              <w:fldChar w:fldCharType="separate"/>
            </w:r>
            <w:r w:rsidR="00A47C45">
              <w:rPr>
                <w:noProof/>
                <w:webHidden/>
                <w:lang w:val="ro-MD"/>
              </w:rPr>
              <w:t>35</w:t>
            </w:r>
            <w:r w:rsidR="00025EBB" w:rsidRPr="0080251F">
              <w:rPr>
                <w:webHidden/>
                <w:lang w:val="ro-MD"/>
              </w:rPr>
              <w:fldChar w:fldCharType="end"/>
            </w:r>
          </w:hyperlink>
        </w:p>
        <w:p w14:paraId="0F27DDF2" w14:textId="0A5836EB" w:rsidR="00025EBB" w:rsidRPr="0080251F" w:rsidRDefault="004B6393" w:rsidP="00363024">
          <w:pPr>
            <w:pStyle w:val="11"/>
            <w:rPr>
              <w:rFonts w:eastAsiaTheme="minorEastAsia"/>
              <w:lang w:val="ro-MD"/>
            </w:rPr>
          </w:pPr>
          <w:hyperlink w:anchor="_Toc161169700" w:history="1">
            <w:r w:rsidR="00025EBB" w:rsidRPr="0080251F">
              <w:rPr>
                <w:rStyle w:val="a9"/>
                <w:rFonts w:asciiTheme="majorBidi" w:hAnsiTheme="majorBidi" w:cstheme="majorBidi"/>
                <w:b/>
                <w:lang w:val="ro-MD"/>
              </w:rPr>
              <w:t>V.</w:t>
            </w:r>
            <w:r w:rsidR="00025EBB" w:rsidRPr="0080251F">
              <w:rPr>
                <w:rFonts w:eastAsiaTheme="minorEastAsia"/>
                <w:lang w:val="ro-MD"/>
              </w:rPr>
              <w:tab/>
            </w:r>
            <w:r w:rsidR="00025EBB" w:rsidRPr="0080251F">
              <w:rPr>
                <w:rStyle w:val="a9"/>
                <w:rFonts w:asciiTheme="majorBidi" w:hAnsiTheme="majorBidi" w:cstheme="majorBidi"/>
                <w:b/>
                <w:lang w:val="ro-MD"/>
              </w:rPr>
              <w:t>CONCLUZIA GENERALĂ</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_Toc161169700 \h </w:instrText>
            </w:r>
            <w:r w:rsidR="00025EBB" w:rsidRPr="0080251F">
              <w:rPr>
                <w:webHidden/>
                <w:lang w:val="ro-MD"/>
              </w:rPr>
            </w:r>
            <w:r w:rsidR="00025EBB" w:rsidRPr="0080251F">
              <w:rPr>
                <w:webHidden/>
                <w:lang w:val="ro-MD"/>
              </w:rPr>
              <w:fldChar w:fldCharType="separate"/>
            </w:r>
            <w:r w:rsidR="00A47C45">
              <w:rPr>
                <w:noProof/>
                <w:webHidden/>
                <w:lang w:val="ro-MD"/>
              </w:rPr>
              <w:t>37</w:t>
            </w:r>
            <w:r w:rsidR="00025EBB" w:rsidRPr="0080251F">
              <w:rPr>
                <w:webHidden/>
                <w:lang w:val="ro-MD"/>
              </w:rPr>
              <w:fldChar w:fldCharType="end"/>
            </w:r>
          </w:hyperlink>
        </w:p>
        <w:p w14:paraId="077A5214" w14:textId="2431FED2" w:rsidR="00025EBB" w:rsidRPr="0080251F" w:rsidRDefault="004B6393" w:rsidP="00363024">
          <w:pPr>
            <w:pStyle w:val="11"/>
            <w:rPr>
              <w:rFonts w:eastAsiaTheme="minorEastAsia"/>
              <w:lang w:val="ro-MD"/>
            </w:rPr>
          </w:pPr>
          <w:hyperlink w:anchor="_Toc161169701" w:history="1">
            <w:r w:rsidR="00025EBB" w:rsidRPr="0080251F">
              <w:rPr>
                <w:rStyle w:val="a9"/>
                <w:rFonts w:asciiTheme="majorBidi" w:hAnsiTheme="majorBidi" w:cstheme="majorBidi"/>
                <w:b/>
                <w:lang w:val="ro-MD"/>
              </w:rPr>
              <w:t>VI. RECOMANDĂRI</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_Toc161169701 \h </w:instrText>
            </w:r>
            <w:r w:rsidR="00025EBB" w:rsidRPr="0080251F">
              <w:rPr>
                <w:webHidden/>
                <w:lang w:val="ro-MD"/>
              </w:rPr>
            </w:r>
            <w:r w:rsidR="00025EBB" w:rsidRPr="0080251F">
              <w:rPr>
                <w:webHidden/>
                <w:lang w:val="ro-MD"/>
              </w:rPr>
              <w:fldChar w:fldCharType="separate"/>
            </w:r>
            <w:r w:rsidR="00A47C45">
              <w:rPr>
                <w:noProof/>
                <w:webHidden/>
                <w:lang w:val="ro-MD"/>
              </w:rPr>
              <w:t>37</w:t>
            </w:r>
            <w:r w:rsidR="00025EBB" w:rsidRPr="0080251F">
              <w:rPr>
                <w:webHidden/>
                <w:lang w:val="ro-MD"/>
              </w:rPr>
              <w:fldChar w:fldCharType="end"/>
            </w:r>
          </w:hyperlink>
        </w:p>
        <w:p w14:paraId="7AAB6F7A" w14:textId="623B1163" w:rsidR="00025EBB" w:rsidRPr="0080251F" w:rsidRDefault="004B6393" w:rsidP="00363024">
          <w:pPr>
            <w:pStyle w:val="11"/>
            <w:rPr>
              <w:rFonts w:eastAsiaTheme="minorEastAsia"/>
              <w:lang w:val="ro-MD"/>
            </w:rPr>
          </w:pPr>
          <w:hyperlink w:anchor="_Toc161169702" w:history="1">
            <w:r w:rsidR="00025EBB" w:rsidRPr="0080251F">
              <w:rPr>
                <w:rStyle w:val="a9"/>
                <w:rFonts w:asciiTheme="majorBidi" w:hAnsiTheme="majorBidi" w:cstheme="majorBidi"/>
                <w:b/>
                <w:lang w:val="ro-MD"/>
              </w:rPr>
              <w:t>Semnăturile echipei misiunii</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_Toc161169702 \h </w:instrText>
            </w:r>
            <w:r w:rsidR="00025EBB" w:rsidRPr="0080251F">
              <w:rPr>
                <w:webHidden/>
                <w:lang w:val="ro-MD"/>
              </w:rPr>
            </w:r>
            <w:r w:rsidR="00025EBB" w:rsidRPr="0080251F">
              <w:rPr>
                <w:webHidden/>
                <w:lang w:val="ro-MD"/>
              </w:rPr>
              <w:fldChar w:fldCharType="separate"/>
            </w:r>
            <w:r w:rsidR="00A47C45">
              <w:rPr>
                <w:noProof/>
                <w:webHidden/>
                <w:lang w:val="ro-MD"/>
              </w:rPr>
              <w:t>38</w:t>
            </w:r>
            <w:r w:rsidR="00025EBB" w:rsidRPr="0080251F">
              <w:rPr>
                <w:webHidden/>
                <w:lang w:val="ro-MD"/>
              </w:rPr>
              <w:fldChar w:fldCharType="end"/>
            </w:r>
          </w:hyperlink>
        </w:p>
        <w:p w14:paraId="1DE08D97" w14:textId="7B555A2D" w:rsidR="00025EBB" w:rsidRPr="0080251F" w:rsidRDefault="004B6393" w:rsidP="00363024">
          <w:pPr>
            <w:pStyle w:val="11"/>
            <w:rPr>
              <w:rFonts w:eastAsiaTheme="minorEastAsia"/>
              <w:lang w:val="ro-MD"/>
            </w:rPr>
          </w:pPr>
          <w:hyperlink w:anchor="_Toc161169703" w:history="1">
            <w:r w:rsidR="00025EBB" w:rsidRPr="0080251F">
              <w:rPr>
                <w:rStyle w:val="a9"/>
                <w:rFonts w:asciiTheme="majorBidi" w:hAnsiTheme="majorBidi" w:cstheme="majorBidi"/>
                <w:b/>
                <w:lang w:val="ro-MD"/>
              </w:rPr>
              <w:t>Anexa nr.1</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_Toc161169703 \h </w:instrText>
            </w:r>
            <w:r w:rsidR="00025EBB" w:rsidRPr="0080251F">
              <w:rPr>
                <w:webHidden/>
                <w:lang w:val="ro-MD"/>
              </w:rPr>
            </w:r>
            <w:r w:rsidR="00025EBB" w:rsidRPr="0080251F">
              <w:rPr>
                <w:webHidden/>
                <w:lang w:val="ro-MD"/>
              </w:rPr>
              <w:fldChar w:fldCharType="separate"/>
            </w:r>
            <w:r w:rsidR="00A47C45">
              <w:rPr>
                <w:noProof/>
                <w:webHidden/>
                <w:lang w:val="ro-MD"/>
              </w:rPr>
              <w:t>39</w:t>
            </w:r>
            <w:r w:rsidR="00025EBB" w:rsidRPr="0080251F">
              <w:rPr>
                <w:webHidden/>
                <w:lang w:val="ro-MD"/>
              </w:rPr>
              <w:fldChar w:fldCharType="end"/>
            </w:r>
          </w:hyperlink>
        </w:p>
        <w:p w14:paraId="4AA48D7B" w14:textId="5F481F59" w:rsidR="00025EBB" w:rsidRPr="0080251F" w:rsidRDefault="004B6393" w:rsidP="00363024">
          <w:pPr>
            <w:pStyle w:val="11"/>
            <w:rPr>
              <w:rFonts w:eastAsiaTheme="minorEastAsia"/>
              <w:lang w:val="ro-MD"/>
            </w:rPr>
          </w:pPr>
          <w:hyperlink w:anchor="_Toc161169704" w:history="1">
            <w:r w:rsidR="00025EBB" w:rsidRPr="0080251F">
              <w:rPr>
                <w:rStyle w:val="a9"/>
                <w:rFonts w:ascii="Times New Roman" w:hAnsi="Times New Roman" w:cs="Times New Roman"/>
                <w:b/>
                <w:lang w:val="ro-MD"/>
              </w:rPr>
              <w:t>Anexa nr.2</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_Toc161169704 \h </w:instrText>
            </w:r>
            <w:r w:rsidR="00025EBB" w:rsidRPr="0080251F">
              <w:rPr>
                <w:webHidden/>
                <w:lang w:val="ro-MD"/>
              </w:rPr>
            </w:r>
            <w:r w:rsidR="00025EBB" w:rsidRPr="0080251F">
              <w:rPr>
                <w:webHidden/>
                <w:lang w:val="ro-MD"/>
              </w:rPr>
              <w:fldChar w:fldCharType="separate"/>
            </w:r>
            <w:r w:rsidR="00A47C45">
              <w:rPr>
                <w:noProof/>
                <w:webHidden/>
                <w:lang w:val="ro-MD"/>
              </w:rPr>
              <w:t>41</w:t>
            </w:r>
            <w:r w:rsidR="00025EBB" w:rsidRPr="0080251F">
              <w:rPr>
                <w:webHidden/>
                <w:lang w:val="ro-MD"/>
              </w:rPr>
              <w:fldChar w:fldCharType="end"/>
            </w:r>
          </w:hyperlink>
        </w:p>
        <w:p w14:paraId="25D4874B" w14:textId="0728C5ED" w:rsidR="00025EBB" w:rsidRPr="0080251F" w:rsidRDefault="004B6393" w:rsidP="00363024">
          <w:pPr>
            <w:pStyle w:val="11"/>
            <w:rPr>
              <w:rFonts w:eastAsiaTheme="minorEastAsia"/>
              <w:lang w:val="ro-MD"/>
            </w:rPr>
          </w:pPr>
          <w:hyperlink w:anchor="_Toc161169705" w:history="1">
            <w:r w:rsidR="00025EBB" w:rsidRPr="0080251F">
              <w:rPr>
                <w:rStyle w:val="a9"/>
                <w:rFonts w:ascii="Times New Roman" w:hAnsi="Times New Roman" w:cs="Times New Roman"/>
                <w:b/>
                <w:lang w:val="ro-MD"/>
              </w:rPr>
              <w:t>Anexa nr.3</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_Toc161169705 \h </w:instrText>
            </w:r>
            <w:r w:rsidR="00025EBB" w:rsidRPr="0080251F">
              <w:rPr>
                <w:webHidden/>
                <w:lang w:val="ro-MD"/>
              </w:rPr>
            </w:r>
            <w:r w:rsidR="00025EBB" w:rsidRPr="0080251F">
              <w:rPr>
                <w:webHidden/>
                <w:lang w:val="ro-MD"/>
              </w:rPr>
              <w:fldChar w:fldCharType="separate"/>
            </w:r>
            <w:r w:rsidR="00A47C45">
              <w:rPr>
                <w:noProof/>
                <w:webHidden/>
                <w:lang w:val="ro-MD"/>
              </w:rPr>
              <w:t>42</w:t>
            </w:r>
            <w:r w:rsidR="00025EBB" w:rsidRPr="0080251F">
              <w:rPr>
                <w:webHidden/>
                <w:lang w:val="ro-MD"/>
              </w:rPr>
              <w:fldChar w:fldCharType="end"/>
            </w:r>
          </w:hyperlink>
        </w:p>
        <w:p w14:paraId="65571964" w14:textId="57B1BC29" w:rsidR="00025EBB" w:rsidRPr="0080251F" w:rsidRDefault="004B6393" w:rsidP="00363024">
          <w:pPr>
            <w:pStyle w:val="11"/>
            <w:rPr>
              <w:rFonts w:eastAsiaTheme="minorEastAsia"/>
              <w:lang w:val="ro-MD"/>
            </w:rPr>
          </w:pPr>
          <w:hyperlink w:anchor="_Toc161169706" w:history="1">
            <w:r w:rsidR="00025EBB" w:rsidRPr="0080251F">
              <w:rPr>
                <w:rStyle w:val="a9"/>
                <w:rFonts w:ascii="Times New Roman" w:hAnsi="Times New Roman" w:cs="Times New Roman"/>
                <w:b/>
                <w:lang w:val="ro-MD"/>
              </w:rPr>
              <w:t>Anexa nr.4</w:t>
            </w:r>
            <w:r w:rsidR="00025EBB" w:rsidRPr="0080251F">
              <w:rPr>
                <w:webHidden/>
                <w:lang w:val="ro-MD"/>
              </w:rPr>
              <w:tab/>
            </w:r>
            <w:r w:rsidR="00025EBB" w:rsidRPr="0080251F">
              <w:rPr>
                <w:webHidden/>
                <w:lang w:val="ro-MD"/>
              </w:rPr>
              <w:fldChar w:fldCharType="begin"/>
            </w:r>
            <w:r w:rsidR="00025EBB" w:rsidRPr="0080251F">
              <w:rPr>
                <w:webHidden/>
                <w:lang w:val="ro-MD"/>
              </w:rPr>
              <w:instrText xml:space="preserve"> PAGEREF _Toc161169706 \h </w:instrText>
            </w:r>
            <w:r w:rsidR="00025EBB" w:rsidRPr="0080251F">
              <w:rPr>
                <w:webHidden/>
                <w:lang w:val="ro-MD"/>
              </w:rPr>
            </w:r>
            <w:r w:rsidR="00025EBB" w:rsidRPr="0080251F">
              <w:rPr>
                <w:webHidden/>
                <w:lang w:val="ro-MD"/>
              </w:rPr>
              <w:fldChar w:fldCharType="separate"/>
            </w:r>
            <w:r w:rsidR="00A47C45">
              <w:rPr>
                <w:noProof/>
                <w:webHidden/>
                <w:lang w:val="ro-MD"/>
              </w:rPr>
              <w:t>43</w:t>
            </w:r>
            <w:r w:rsidR="00025EBB" w:rsidRPr="0080251F">
              <w:rPr>
                <w:webHidden/>
                <w:lang w:val="ro-MD"/>
              </w:rPr>
              <w:fldChar w:fldCharType="end"/>
            </w:r>
          </w:hyperlink>
        </w:p>
        <w:p w14:paraId="78F1F171" w14:textId="74D46BE1" w:rsidR="001A792E" w:rsidRPr="0080251F" w:rsidRDefault="00794AC2" w:rsidP="00363024">
          <w:pPr>
            <w:pStyle w:val="11"/>
            <w:rPr>
              <w:rFonts w:eastAsiaTheme="minorEastAsia"/>
              <w:lang w:val="ro-MD"/>
            </w:rPr>
          </w:pPr>
          <w:r w:rsidRPr="0080251F">
            <w:rPr>
              <w:sz w:val="24"/>
              <w:szCs w:val="24"/>
              <w:lang w:val="ro-MD"/>
            </w:rPr>
            <w:fldChar w:fldCharType="end"/>
          </w:r>
        </w:p>
      </w:sdtContent>
    </w:sdt>
    <w:bookmarkStart w:id="2" w:name="_Toc154562483" w:displacedByCustomXml="prev"/>
    <w:p w14:paraId="519C981C" w14:textId="17E2CE03" w:rsidR="001A792E" w:rsidRPr="0080251F" w:rsidRDefault="001A792E" w:rsidP="00212843">
      <w:pPr>
        <w:pStyle w:val="a6"/>
        <w:spacing w:after="0"/>
        <w:ind w:left="0"/>
        <w:jc w:val="both"/>
        <w:rPr>
          <w:rFonts w:ascii="Times New Roman" w:hAnsi="Times New Roman" w:cs="Times New Roman"/>
          <w:b/>
          <w:color w:val="FF0000"/>
          <w:sz w:val="24"/>
          <w:szCs w:val="24"/>
          <w:lang w:val="ro-MD"/>
        </w:rPr>
      </w:pPr>
    </w:p>
    <w:p w14:paraId="7306198F" w14:textId="0118739A" w:rsidR="001A792E" w:rsidRPr="0080251F" w:rsidRDefault="001A792E" w:rsidP="00212843">
      <w:pPr>
        <w:pStyle w:val="a6"/>
        <w:spacing w:after="0"/>
        <w:ind w:left="0"/>
        <w:jc w:val="both"/>
        <w:rPr>
          <w:rFonts w:ascii="Times New Roman" w:hAnsi="Times New Roman" w:cs="Times New Roman"/>
          <w:b/>
          <w:color w:val="FF0000"/>
          <w:sz w:val="24"/>
          <w:szCs w:val="24"/>
          <w:lang w:val="ro-MD"/>
        </w:rPr>
      </w:pPr>
    </w:p>
    <w:p w14:paraId="22178DD3" w14:textId="0D4F4EC7" w:rsidR="001A792E" w:rsidRPr="0080251F" w:rsidRDefault="001A792E" w:rsidP="00212843">
      <w:pPr>
        <w:pStyle w:val="a6"/>
        <w:spacing w:after="0"/>
        <w:ind w:left="0"/>
        <w:jc w:val="both"/>
        <w:rPr>
          <w:rFonts w:ascii="Times New Roman" w:hAnsi="Times New Roman" w:cs="Times New Roman"/>
          <w:b/>
          <w:color w:val="FF0000"/>
          <w:sz w:val="24"/>
          <w:szCs w:val="24"/>
          <w:lang w:val="ro-MD"/>
        </w:rPr>
      </w:pPr>
    </w:p>
    <w:p w14:paraId="368DDEEB" w14:textId="77777777" w:rsidR="001A792E" w:rsidRPr="0080251F" w:rsidRDefault="001A792E" w:rsidP="00212843">
      <w:pPr>
        <w:pStyle w:val="a6"/>
        <w:spacing w:after="0"/>
        <w:ind w:left="0"/>
        <w:jc w:val="both"/>
        <w:rPr>
          <w:rFonts w:ascii="Times New Roman" w:eastAsia="Times New Roman" w:hAnsi="Times New Roman" w:cs="Times New Roman"/>
          <w:b/>
          <w:bCs/>
          <w:color w:val="2E74B5" w:themeColor="accent1" w:themeShade="BF"/>
          <w:sz w:val="24"/>
          <w:szCs w:val="24"/>
          <w:lang w:val="ro-MD"/>
        </w:rPr>
      </w:pPr>
    </w:p>
    <w:p w14:paraId="5DE6682C" w14:textId="5649EFD0" w:rsidR="00EC05F4" w:rsidRPr="0080251F" w:rsidRDefault="005522C4" w:rsidP="001529BA">
      <w:pPr>
        <w:spacing w:before="200" w:after="0" w:line="276" w:lineRule="auto"/>
        <w:rPr>
          <w:rFonts w:ascii="Times New Roman" w:eastAsia="Times New Roman" w:hAnsi="Times New Roman" w:cs="Times New Roman"/>
          <w:b/>
          <w:bCs/>
          <w:sz w:val="24"/>
          <w:szCs w:val="24"/>
          <w:lang w:val="ro-MD"/>
        </w:rPr>
      </w:pPr>
      <w:r w:rsidRPr="0080251F">
        <w:rPr>
          <w:rFonts w:ascii="Times New Roman" w:eastAsia="Times New Roman" w:hAnsi="Times New Roman" w:cs="Times New Roman"/>
          <w:b/>
          <w:bCs/>
          <w:sz w:val="24"/>
          <w:szCs w:val="24"/>
          <w:lang w:val="ro-MD"/>
        </w:rPr>
        <w:br w:type="page"/>
      </w:r>
      <w:r w:rsidR="00EC05F4" w:rsidRPr="0080251F">
        <w:rPr>
          <w:rFonts w:ascii="Times New Roman" w:eastAsia="Times New Roman" w:hAnsi="Times New Roman" w:cs="Times New Roman"/>
          <w:b/>
          <w:bCs/>
          <w:color w:val="2E74B5" w:themeColor="accent1" w:themeShade="BF"/>
          <w:sz w:val="24"/>
          <w:szCs w:val="24"/>
          <w:lang w:val="ro-MD"/>
        </w:rPr>
        <w:t>LISTA ACRONIMELOR</w:t>
      </w:r>
    </w:p>
    <w:tbl>
      <w:tblPr>
        <w:tblW w:w="9810"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56"/>
        <w:gridCol w:w="7654"/>
      </w:tblGrid>
      <w:tr w:rsidR="00EC05F4" w:rsidRPr="0080251F" w14:paraId="21E69ED8"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920FEB2" w14:textId="606BF7F8" w:rsidR="00EC05F4" w:rsidRPr="0080251F" w:rsidRDefault="004C4954" w:rsidP="009D0DE5">
            <w:pPr>
              <w:spacing w:after="0" w:line="240" w:lineRule="auto"/>
              <w:rPr>
                <w:rFonts w:asciiTheme="majorBidi" w:hAnsiTheme="majorBidi" w:cstheme="majorBidi"/>
                <w:sz w:val="20"/>
                <w:szCs w:val="20"/>
                <w:lang w:val="ro-MD"/>
              </w:rPr>
            </w:pPr>
            <w:r w:rsidRPr="0080251F">
              <w:rPr>
                <w:rFonts w:asciiTheme="majorBidi" w:hAnsiTheme="majorBidi" w:cstheme="majorBidi"/>
                <w:bCs/>
                <w:sz w:val="20"/>
                <w:szCs w:val="20"/>
                <w:lang w:val="ro-MD"/>
              </w:rPr>
              <w:t>S.A. „RED-Nord”</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1D7E130" w14:textId="4657F5BD" w:rsidR="00EC05F4" w:rsidRPr="0080251F" w:rsidRDefault="003A6E7E" w:rsidP="009D0DE5">
            <w:pPr>
              <w:spacing w:after="0" w:line="240" w:lineRule="auto"/>
              <w:rPr>
                <w:rFonts w:asciiTheme="majorBidi" w:hAnsiTheme="majorBidi" w:cstheme="majorBidi"/>
                <w:sz w:val="20"/>
                <w:szCs w:val="20"/>
                <w:lang w:val="ro-MD"/>
              </w:rPr>
            </w:pPr>
            <w:r w:rsidRPr="0080251F">
              <w:rPr>
                <w:rFonts w:asciiTheme="majorBidi" w:hAnsiTheme="majorBidi" w:cstheme="majorBidi"/>
                <w:bCs/>
                <w:sz w:val="20"/>
                <w:szCs w:val="20"/>
                <w:lang w:val="ro-MD"/>
              </w:rPr>
              <w:t>Societatea pe Acțiuni „Rețelele Electrice de D</w:t>
            </w:r>
            <w:r w:rsidR="004C4954" w:rsidRPr="0080251F">
              <w:rPr>
                <w:rFonts w:asciiTheme="majorBidi" w:hAnsiTheme="majorBidi" w:cstheme="majorBidi"/>
                <w:bCs/>
                <w:sz w:val="20"/>
                <w:szCs w:val="20"/>
                <w:lang w:val="ro-MD"/>
              </w:rPr>
              <w:t>istribuție Nord”</w:t>
            </w:r>
          </w:p>
        </w:tc>
      </w:tr>
      <w:tr w:rsidR="0043556E" w:rsidRPr="0080251F" w14:paraId="0EAC3C81"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3996069" w14:textId="06046D30" w:rsidR="0043556E" w:rsidRPr="0080251F" w:rsidRDefault="0043556E" w:rsidP="009D0DE5">
            <w:pPr>
              <w:spacing w:after="0" w:line="240" w:lineRule="auto"/>
              <w:rPr>
                <w:rFonts w:asciiTheme="majorBidi" w:hAnsiTheme="majorBidi" w:cstheme="majorBidi"/>
                <w:bCs/>
                <w:sz w:val="20"/>
                <w:szCs w:val="20"/>
                <w:lang w:val="ro-MD"/>
              </w:rPr>
            </w:pPr>
            <w:r w:rsidRPr="0080251F">
              <w:rPr>
                <w:rFonts w:asciiTheme="majorBidi" w:hAnsiTheme="majorBidi" w:cstheme="majorBidi"/>
                <w:bCs/>
                <w:sz w:val="20"/>
                <w:szCs w:val="20"/>
                <w:lang w:val="ro-MD"/>
              </w:rPr>
              <w:t>S.A. „FEE-Nord”</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E145FCF" w14:textId="15A8102D" w:rsidR="0043556E" w:rsidRPr="0080251F" w:rsidRDefault="003A6E7E" w:rsidP="009D0DE5">
            <w:pPr>
              <w:spacing w:after="0" w:line="240" w:lineRule="auto"/>
              <w:rPr>
                <w:rFonts w:asciiTheme="majorBidi" w:hAnsiTheme="majorBidi" w:cstheme="majorBidi"/>
                <w:bCs/>
                <w:sz w:val="20"/>
                <w:szCs w:val="20"/>
                <w:lang w:val="ro-MD"/>
              </w:rPr>
            </w:pPr>
            <w:r w:rsidRPr="0080251F">
              <w:rPr>
                <w:rFonts w:asciiTheme="majorBidi" w:hAnsiTheme="majorBidi" w:cstheme="majorBidi"/>
                <w:bCs/>
                <w:sz w:val="20"/>
                <w:szCs w:val="20"/>
                <w:lang w:val="ro-MD"/>
              </w:rPr>
              <w:t>Societatea</w:t>
            </w:r>
            <w:r w:rsidR="0043556E" w:rsidRPr="0080251F">
              <w:rPr>
                <w:rFonts w:asciiTheme="majorBidi" w:hAnsiTheme="majorBidi" w:cstheme="majorBidi"/>
                <w:bCs/>
                <w:sz w:val="20"/>
                <w:szCs w:val="20"/>
                <w:lang w:val="ro-MD"/>
              </w:rPr>
              <w:t xml:space="preserve"> pe Acțiuni „F</w:t>
            </w:r>
            <w:r w:rsidRPr="0080251F">
              <w:rPr>
                <w:rFonts w:asciiTheme="majorBidi" w:hAnsiTheme="majorBidi" w:cstheme="majorBidi"/>
                <w:bCs/>
                <w:sz w:val="20"/>
                <w:szCs w:val="20"/>
                <w:lang w:val="ro-MD"/>
              </w:rPr>
              <w:t>urnizarea Energiei Electrice Nor</w:t>
            </w:r>
            <w:r w:rsidR="0043556E" w:rsidRPr="0080251F">
              <w:rPr>
                <w:rFonts w:asciiTheme="majorBidi" w:hAnsiTheme="majorBidi" w:cstheme="majorBidi"/>
                <w:bCs/>
                <w:sz w:val="20"/>
                <w:szCs w:val="20"/>
                <w:lang w:val="ro-MD"/>
              </w:rPr>
              <w:t>d”</w:t>
            </w:r>
          </w:p>
        </w:tc>
      </w:tr>
      <w:tr w:rsidR="00381B92" w:rsidRPr="0080251F" w14:paraId="3D4ED661"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80CA0E2" w14:textId="564F0D5A" w:rsidR="00381B92" w:rsidRPr="0080251F" w:rsidRDefault="00381B92" w:rsidP="009D0DE5">
            <w:pPr>
              <w:spacing w:after="0" w:line="240" w:lineRule="auto"/>
              <w:rPr>
                <w:rFonts w:asciiTheme="majorBidi" w:hAnsiTheme="majorBidi" w:cstheme="majorBidi"/>
                <w:bCs/>
                <w:sz w:val="20"/>
                <w:szCs w:val="20"/>
                <w:lang w:val="ro-MD"/>
              </w:rPr>
            </w:pPr>
            <w:r w:rsidRPr="0080251F">
              <w:rPr>
                <w:rFonts w:asciiTheme="majorBidi" w:hAnsiTheme="majorBidi" w:cstheme="majorBidi"/>
                <w:bCs/>
                <w:sz w:val="20"/>
                <w:szCs w:val="20"/>
                <w:lang w:val="ro-MD"/>
              </w:rPr>
              <w:t>S.A. „RED Nord-Vest”</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784D0E5" w14:textId="1E2A9A2E" w:rsidR="00381B92" w:rsidRPr="0080251F" w:rsidRDefault="00381B92" w:rsidP="009D0DE5">
            <w:pPr>
              <w:spacing w:after="0" w:line="240" w:lineRule="auto"/>
              <w:rPr>
                <w:rFonts w:asciiTheme="majorBidi" w:hAnsiTheme="majorBidi" w:cstheme="majorBidi"/>
                <w:bCs/>
                <w:sz w:val="20"/>
                <w:szCs w:val="20"/>
                <w:lang w:val="ro-MD"/>
              </w:rPr>
            </w:pPr>
            <w:r w:rsidRPr="0080251F">
              <w:rPr>
                <w:rFonts w:asciiTheme="majorBidi" w:hAnsiTheme="majorBidi" w:cstheme="majorBidi"/>
                <w:bCs/>
                <w:sz w:val="20"/>
                <w:szCs w:val="20"/>
                <w:lang w:val="ro-MD"/>
              </w:rPr>
              <w:t>Societatea pe Acțiuni „Rețelele Electrice de Distribuție Nord-Vest”</w:t>
            </w:r>
          </w:p>
        </w:tc>
      </w:tr>
      <w:tr w:rsidR="00B5181F" w:rsidRPr="0080251F" w14:paraId="52E1ECFB"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536E25F" w14:textId="61679927" w:rsidR="00B5181F" w:rsidRPr="0080251F" w:rsidRDefault="00B5181F" w:rsidP="009D0DE5">
            <w:pPr>
              <w:spacing w:after="0" w:line="240" w:lineRule="auto"/>
              <w:rPr>
                <w:rFonts w:asciiTheme="majorBidi" w:hAnsiTheme="majorBidi" w:cstheme="majorBidi"/>
                <w:bCs/>
                <w:sz w:val="20"/>
                <w:szCs w:val="20"/>
                <w:lang w:val="ro-MD"/>
              </w:rPr>
            </w:pPr>
            <w:r w:rsidRPr="0080251F">
              <w:rPr>
                <w:rFonts w:asciiTheme="majorBidi" w:hAnsiTheme="majorBidi" w:cstheme="majorBidi"/>
                <w:bCs/>
                <w:sz w:val="20"/>
                <w:szCs w:val="20"/>
                <w:lang w:val="ro-MD"/>
              </w:rPr>
              <w:t>APL</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59727E2" w14:textId="3884AED0" w:rsidR="00B5181F" w:rsidRPr="0080251F" w:rsidRDefault="00B5181F" w:rsidP="009D0DE5">
            <w:pPr>
              <w:spacing w:after="0" w:line="240" w:lineRule="auto"/>
              <w:rPr>
                <w:rFonts w:asciiTheme="majorBidi" w:hAnsiTheme="majorBidi" w:cstheme="majorBidi"/>
                <w:bCs/>
                <w:sz w:val="20"/>
                <w:szCs w:val="20"/>
                <w:lang w:val="ro-MD"/>
              </w:rPr>
            </w:pPr>
            <w:r w:rsidRPr="0080251F">
              <w:rPr>
                <w:rFonts w:asciiTheme="majorBidi" w:hAnsiTheme="majorBidi" w:cstheme="majorBidi"/>
                <w:bCs/>
                <w:sz w:val="20"/>
                <w:szCs w:val="20"/>
                <w:lang w:val="ro-MD"/>
              </w:rPr>
              <w:t>Autorități publice locale</w:t>
            </w:r>
          </w:p>
        </w:tc>
      </w:tr>
      <w:tr w:rsidR="00274CA1" w:rsidRPr="0080251F" w14:paraId="1FFCF8DC"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05C40FC" w14:textId="68A830AD" w:rsidR="00274CA1" w:rsidRPr="0080251F" w:rsidRDefault="00AF36D8" w:rsidP="00274CA1">
            <w:pPr>
              <w:spacing w:after="0" w:line="240" w:lineRule="auto"/>
              <w:rPr>
                <w:rFonts w:asciiTheme="majorBidi" w:hAnsiTheme="majorBidi" w:cstheme="majorBidi"/>
                <w:sz w:val="20"/>
                <w:szCs w:val="20"/>
                <w:lang w:val="ro-MD"/>
              </w:rPr>
            </w:pPr>
            <w:r w:rsidRPr="0080251F">
              <w:rPr>
                <w:rFonts w:asciiTheme="majorBidi" w:hAnsiTheme="majorBidi" w:cstheme="majorBidi"/>
                <w:sz w:val="20"/>
                <w:szCs w:val="20"/>
                <w:lang w:val="ro-MD"/>
              </w:rPr>
              <w:t>APP</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E35C615" w14:textId="6376EE21" w:rsidR="00274CA1" w:rsidRPr="0080251F" w:rsidRDefault="00AF36D8" w:rsidP="00274CA1">
            <w:pPr>
              <w:spacing w:after="0" w:line="240" w:lineRule="auto"/>
              <w:rPr>
                <w:rFonts w:asciiTheme="majorBidi" w:hAnsiTheme="majorBidi" w:cstheme="majorBidi"/>
                <w:sz w:val="20"/>
                <w:szCs w:val="20"/>
                <w:lang w:val="ro-MD"/>
              </w:rPr>
            </w:pPr>
            <w:r w:rsidRPr="0080251F">
              <w:rPr>
                <w:rFonts w:asciiTheme="majorBidi" w:hAnsiTheme="majorBidi" w:cstheme="majorBidi"/>
                <w:sz w:val="20"/>
                <w:szCs w:val="20"/>
                <w:lang w:val="ro-MD"/>
              </w:rPr>
              <w:t>Agenția Proprietății Publice</w:t>
            </w:r>
          </w:p>
        </w:tc>
      </w:tr>
      <w:tr w:rsidR="00274CA1" w:rsidRPr="0080251F" w14:paraId="36ABFD70"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1D5EF78" w14:textId="613D2C77" w:rsidR="00274CA1" w:rsidRPr="0080251F" w:rsidRDefault="00F86736" w:rsidP="00274CA1">
            <w:pPr>
              <w:spacing w:after="0" w:line="240" w:lineRule="auto"/>
              <w:rPr>
                <w:rFonts w:asciiTheme="majorBidi" w:hAnsiTheme="majorBidi" w:cstheme="majorBidi"/>
                <w:sz w:val="20"/>
                <w:szCs w:val="20"/>
                <w:lang w:val="ro-MD"/>
              </w:rPr>
            </w:pPr>
            <w:r w:rsidRPr="0080251F">
              <w:rPr>
                <w:rFonts w:asciiTheme="majorBidi" w:hAnsiTheme="majorBidi" w:cstheme="majorBidi"/>
                <w:sz w:val="20"/>
                <w:szCs w:val="20"/>
                <w:lang w:val="ro-MD"/>
              </w:rPr>
              <w:t>ANRE</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7508286" w14:textId="50091025" w:rsidR="00274CA1" w:rsidRPr="0080251F" w:rsidRDefault="00F86736" w:rsidP="00274CA1">
            <w:pPr>
              <w:spacing w:after="0" w:line="240" w:lineRule="auto"/>
              <w:rPr>
                <w:rFonts w:asciiTheme="majorBidi" w:hAnsiTheme="majorBidi" w:cstheme="majorBidi"/>
                <w:sz w:val="20"/>
                <w:szCs w:val="20"/>
                <w:lang w:val="ro-MD"/>
              </w:rPr>
            </w:pPr>
            <w:r w:rsidRPr="0080251F">
              <w:rPr>
                <w:rFonts w:asciiTheme="majorBidi" w:hAnsiTheme="majorBidi" w:cstheme="majorBidi"/>
                <w:bCs/>
                <w:sz w:val="20"/>
                <w:szCs w:val="20"/>
                <w:lang w:val="ro-MD"/>
              </w:rPr>
              <w:t>Agenția Națională pentru Reglementare în Energetică</w:t>
            </w:r>
          </w:p>
        </w:tc>
      </w:tr>
      <w:tr w:rsidR="00201B17" w:rsidRPr="0080251F" w14:paraId="1D9B9E99"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FD4880A" w14:textId="433C396A" w:rsidR="00201B17" w:rsidRPr="0080251F" w:rsidRDefault="00201B17" w:rsidP="00AD652A">
            <w:pPr>
              <w:spacing w:after="0" w:line="240" w:lineRule="auto"/>
              <w:rPr>
                <w:rFonts w:asciiTheme="majorBidi" w:hAnsiTheme="majorBidi" w:cstheme="majorBidi"/>
                <w:sz w:val="20"/>
                <w:szCs w:val="20"/>
                <w:lang w:val="ro-MD"/>
              </w:rPr>
            </w:pPr>
            <w:r w:rsidRPr="0080251F">
              <w:rPr>
                <w:rFonts w:asciiTheme="majorBidi" w:hAnsiTheme="majorBidi" w:cstheme="majorBidi"/>
                <w:sz w:val="20"/>
                <w:szCs w:val="20"/>
                <w:lang w:val="ro-MD"/>
              </w:rPr>
              <w:t>HG</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773B962" w14:textId="6959A1C7" w:rsidR="00201B17" w:rsidRPr="0080251F" w:rsidRDefault="00201B17" w:rsidP="00AD652A">
            <w:pPr>
              <w:spacing w:after="0" w:line="240" w:lineRule="auto"/>
              <w:rPr>
                <w:rFonts w:asciiTheme="majorBidi" w:hAnsiTheme="majorBidi" w:cstheme="majorBidi"/>
                <w:bCs/>
                <w:sz w:val="20"/>
                <w:szCs w:val="20"/>
                <w:lang w:val="ro-MD"/>
              </w:rPr>
            </w:pPr>
            <w:r w:rsidRPr="0080251F">
              <w:rPr>
                <w:rFonts w:asciiTheme="majorBidi" w:hAnsiTheme="majorBidi" w:cstheme="majorBidi"/>
                <w:bCs/>
                <w:sz w:val="20"/>
                <w:szCs w:val="20"/>
                <w:lang w:val="ro-MD"/>
              </w:rPr>
              <w:t>Hotărârea Guvernului</w:t>
            </w:r>
          </w:p>
        </w:tc>
      </w:tr>
      <w:tr w:rsidR="00AD652A" w:rsidRPr="0080251F" w14:paraId="4D155F9E"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C4469F2" w14:textId="07C1A611" w:rsidR="00AD652A" w:rsidRPr="0080251F" w:rsidRDefault="00AD652A" w:rsidP="00AD652A">
            <w:pPr>
              <w:spacing w:after="0" w:line="240" w:lineRule="auto"/>
              <w:rPr>
                <w:rFonts w:asciiTheme="majorBidi" w:hAnsiTheme="majorBidi" w:cstheme="majorBidi"/>
                <w:sz w:val="20"/>
                <w:szCs w:val="20"/>
                <w:lang w:val="ro-MD"/>
              </w:rPr>
            </w:pPr>
            <w:r w:rsidRPr="0080251F">
              <w:rPr>
                <w:rFonts w:asciiTheme="majorBidi" w:hAnsiTheme="majorBidi" w:cstheme="majorBidi"/>
                <w:sz w:val="20"/>
                <w:szCs w:val="20"/>
                <w:lang w:val="ro-MD"/>
              </w:rPr>
              <w:t>HANRE</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7A12BAE" w14:textId="2B0C9811" w:rsidR="00AD652A" w:rsidRPr="0080251F" w:rsidRDefault="00AD652A" w:rsidP="00AD652A">
            <w:pPr>
              <w:spacing w:after="0" w:line="240" w:lineRule="auto"/>
              <w:rPr>
                <w:rFonts w:asciiTheme="majorBidi" w:hAnsiTheme="majorBidi" w:cstheme="majorBidi"/>
                <w:bCs/>
                <w:sz w:val="20"/>
                <w:szCs w:val="20"/>
                <w:lang w:val="ro-MD"/>
              </w:rPr>
            </w:pPr>
            <w:r w:rsidRPr="0080251F">
              <w:rPr>
                <w:rFonts w:asciiTheme="majorBidi" w:hAnsiTheme="majorBidi" w:cstheme="majorBidi"/>
                <w:bCs/>
                <w:sz w:val="20"/>
                <w:szCs w:val="20"/>
                <w:lang w:val="ro-MD"/>
              </w:rPr>
              <w:t>Hotărârea Agenției Naționale pentru Reglementare în Energetică</w:t>
            </w:r>
          </w:p>
        </w:tc>
      </w:tr>
      <w:tr w:rsidR="00353249" w:rsidRPr="0080251F" w14:paraId="5BF5A874" w14:textId="77777777" w:rsidTr="00381B92">
        <w:tc>
          <w:tcPr>
            <w:tcW w:w="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427EDDF" w14:textId="044F964B" w:rsidR="00353249" w:rsidRPr="0080251F" w:rsidRDefault="0093370C" w:rsidP="00274CA1">
            <w:pPr>
              <w:spacing w:after="0" w:line="240" w:lineRule="auto"/>
              <w:rPr>
                <w:rFonts w:asciiTheme="majorBidi" w:hAnsiTheme="majorBidi" w:cstheme="majorBidi"/>
                <w:sz w:val="20"/>
                <w:szCs w:val="20"/>
                <w:lang w:val="ro-MD"/>
              </w:rPr>
            </w:pPr>
            <w:r w:rsidRPr="0080251F">
              <w:rPr>
                <w:rFonts w:asciiTheme="majorBidi" w:hAnsiTheme="majorBidi" w:cstheme="majorBidi"/>
                <w:sz w:val="20"/>
                <w:szCs w:val="20"/>
                <w:lang w:val="ro-MD"/>
              </w:rPr>
              <w:t>TVA</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ADD6EEF" w14:textId="425E0756" w:rsidR="00353249" w:rsidRPr="0080251F" w:rsidRDefault="0093370C" w:rsidP="00274CA1">
            <w:pPr>
              <w:spacing w:after="0" w:line="240" w:lineRule="auto"/>
              <w:rPr>
                <w:rFonts w:asciiTheme="majorBidi" w:hAnsiTheme="majorBidi" w:cstheme="majorBidi"/>
                <w:sz w:val="20"/>
                <w:szCs w:val="20"/>
                <w:lang w:val="ro-MD"/>
              </w:rPr>
            </w:pPr>
            <w:r w:rsidRPr="0080251F">
              <w:rPr>
                <w:rFonts w:asciiTheme="majorBidi" w:hAnsiTheme="majorBidi" w:cstheme="majorBidi"/>
                <w:sz w:val="20"/>
                <w:szCs w:val="20"/>
                <w:lang w:val="ro-MD"/>
              </w:rPr>
              <w:t>Taxa pe valoare</w:t>
            </w:r>
            <w:r w:rsidR="00907DD3" w:rsidRPr="0080251F">
              <w:rPr>
                <w:rFonts w:asciiTheme="majorBidi" w:hAnsiTheme="majorBidi" w:cstheme="majorBidi"/>
                <w:sz w:val="20"/>
                <w:szCs w:val="20"/>
                <w:lang w:val="ro-MD"/>
              </w:rPr>
              <w:t>a</w:t>
            </w:r>
            <w:r w:rsidRPr="0080251F">
              <w:rPr>
                <w:rFonts w:asciiTheme="majorBidi" w:hAnsiTheme="majorBidi" w:cstheme="majorBidi"/>
                <w:sz w:val="20"/>
                <w:szCs w:val="20"/>
                <w:lang w:val="ro-MD"/>
              </w:rPr>
              <w:t xml:space="preserve"> adăugată</w:t>
            </w:r>
          </w:p>
        </w:tc>
      </w:tr>
    </w:tbl>
    <w:p w14:paraId="42CD54F6" w14:textId="77777777" w:rsidR="007E2A98" w:rsidRPr="0080251F" w:rsidRDefault="007E2A98" w:rsidP="001529BA">
      <w:pPr>
        <w:pStyle w:val="1"/>
        <w:spacing w:before="200" w:line="276" w:lineRule="auto"/>
        <w:jc w:val="both"/>
        <w:rPr>
          <w:rFonts w:ascii="Times New Roman" w:eastAsia="Times New Roman" w:hAnsi="Times New Roman" w:cs="Times New Roman"/>
          <w:b/>
          <w:bCs/>
          <w:sz w:val="24"/>
          <w:szCs w:val="24"/>
          <w:lang w:val="ro-MD"/>
        </w:rPr>
      </w:pPr>
    </w:p>
    <w:p w14:paraId="5F334877" w14:textId="6083FEA8" w:rsidR="003D5F3B" w:rsidRPr="0080251F" w:rsidRDefault="003D5F3B" w:rsidP="001529BA">
      <w:pPr>
        <w:pStyle w:val="1"/>
        <w:spacing w:before="200" w:line="276" w:lineRule="auto"/>
        <w:jc w:val="both"/>
        <w:rPr>
          <w:rFonts w:ascii="Times New Roman" w:eastAsia="Times New Roman" w:hAnsi="Times New Roman" w:cs="Times New Roman"/>
          <w:b/>
          <w:bCs/>
          <w:sz w:val="24"/>
          <w:szCs w:val="24"/>
          <w:lang w:val="ro-MD"/>
        </w:rPr>
      </w:pPr>
      <w:bookmarkStart w:id="3" w:name="_Toc161169682"/>
      <w:r w:rsidRPr="0080251F">
        <w:rPr>
          <w:rFonts w:ascii="Times New Roman" w:eastAsia="Times New Roman" w:hAnsi="Times New Roman" w:cs="Times New Roman"/>
          <w:b/>
          <w:bCs/>
          <w:sz w:val="24"/>
          <w:szCs w:val="24"/>
          <w:lang w:val="ro-MD"/>
        </w:rPr>
        <w:t>GLOSAR</w:t>
      </w:r>
      <w:bookmarkEnd w:id="2"/>
      <w:bookmarkEnd w:id="3"/>
    </w:p>
    <w:tbl>
      <w:tblPr>
        <w:tblW w:w="9667" w:type="dxa"/>
        <w:tblBorders>
          <w:insideH w:val="single" w:sz="4" w:space="0" w:color="5B9BD5" w:themeColor="accent1"/>
        </w:tblBorders>
        <w:tblLook w:val="04A0" w:firstRow="1" w:lastRow="0" w:firstColumn="1" w:lastColumn="0" w:noHBand="0" w:noVBand="1"/>
      </w:tblPr>
      <w:tblGrid>
        <w:gridCol w:w="2343"/>
        <w:gridCol w:w="7324"/>
      </w:tblGrid>
      <w:tr w:rsidR="00207064" w:rsidRPr="0080251F" w14:paraId="02775B85" w14:textId="77777777" w:rsidTr="00E72CA8">
        <w:trPr>
          <w:trHeight w:val="532"/>
        </w:trPr>
        <w:tc>
          <w:tcPr>
            <w:tcW w:w="2343" w:type="dxa"/>
          </w:tcPr>
          <w:p w14:paraId="4D6FE7DA" w14:textId="544A170A" w:rsidR="00207064" w:rsidRPr="0080251F" w:rsidRDefault="00207064" w:rsidP="000200BC">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Patrimoniu public</w:t>
            </w:r>
          </w:p>
        </w:tc>
        <w:tc>
          <w:tcPr>
            <w:tcW w:w="7324" w:type="dxa"/>
          </w:tcPr>
          <w:p w14:paraId="591E823E" w14:textId="6D6E5EC6" w:rsidR="00207064" w:rsidRPr="0080251F" w:rsidRDefault="00207064" w:rsidP="000200BC">
            <w:pPr>
              <w:spacing w:after="0"/>
              <w:jc w:val="both"/>
              <w:rPr>
                <w:rFonts w:ascii="Times New Roman" w:hAnsi="Times New Roman" w:cs="Times New Roman"/>
                <w:i/>
                <w:sz w:val="21"/>
                <w:szCs w:val="21"/>
                <w:lang w:val="ro-MD"/>
              </w:rPr>
            </w:pPr>
            <w:r w:rsidRPr="0080251F">
              <w:rPr>
                <w:rFonts w:ascii="Times New Roman" w:hAnsi="Times New Roman" w:cs="Times New Roman"/>
                <w:i/>
                <w:sz w:val="21"/>
                <w:szCs w:val="21"/>
                <w:lang w:val="ro-MD"/>
              </w:rPr>
              <w:t>Totalitatea</w:t>
            </w:r>
            <w:r w:rsidRPr="0080251F">
              <w:rPr>
                <w:rFonts w:ascii="Times New Roman" w:hAnsi="Times New Roman" w:cs="Times New Roman"/>
                <w:i/>
                <w:sz w:val="21"/>
                <w:szCs w:val="21"/>
                <w:shd w:val="clear" w:color="auto" w:fill="FFFFFF"/>
                <w:lang w:val="ro-MD"/>
              </w:rPr>
              <w:t xml:space="preserve"> drepturilor și a obligațiilor cu valoare economică, precum și a bunurilor materiale la care se referă aceste drepturi, care aparțin unui subiect de drept public</w:t>
            </w:r>
          </w:p>
        </w:tc>
      </w:tr>
      <w:tr w:rsidR="00ED1BD0" w:rsidRPr="0080251F" w14:paraId="7FE9E3EA" w14:textId="77777777" w:rsidTr="00E72CA8">
        <w:trPr>
          <w:trHeight w:val="532"/>
        </w:trPr>
        <w:tc>
          <w:tcPr>
            <w:tcW w:w="2343" w:type="dxa"/>
          </w:tcPr>
          <w:p w14:paraId="260E689F" w14:textId="3798D91E"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IAS</w:t>
            </w:r>
          </w:p>
        </w:tc>
        <w:tc>
          <w:tcPr>
            <w:tcW w:w="7324" w:type="dxa"/>
          </w:tcPr>
          <w:p w14:paraId="11D05216" w14:textId="7DCE1CF3" w:rsidR="00ED1BD0" w:rsidRPr="0080251F" w:rsidRDefault="00ED1BD0" w:rsidP="00ED1BD0">
            <w:pPr>
              <w:spacing w:after="0"/>
              <w:jc w:val="both"/>
              <w:rPr>
                <w:rFonts w:ascii="Times New Roman" w:hAnsi="Times New Roman" w:cs="Times New Roman"/>
                <w:i/>
                <w:sz w:val="21"/>
                <w:szCs w:val="21"/>
                <w:lang w:val="ro-MD"/>
              </w:rPr>
            </w:pPr>
            <w:r w:rsidRPr="0080251F">
              <w:rPr>
                <w:rFonts w:ascii="Times New Roman" w:hAnsi="Times New Roman" w:cs="Times New Roman"/>
                <w:i/>
                <w:sz w:val="21"/>
                <w:szCs w:val="21"/>
                <w:lang w:val="ro-MD"/>
              </w:rPr>
              <w:t>Standardul Internațional de Contabilitate, acceptat spre aplicare în Republica Moldova</w:t>
            </w:r>
          </w:p>
        </w:tc>
      </w:tr>
      <w:tr w:rsidR="00ED1BD0" w:rsidRPr="0080251F" w14:paraId="56F4FD75" w14:textId="77777777" w:rsidTr="00E72CA8">
        <w:trPr>
          <w:trHeight w:val="532"/>
        </w:trPr>
        <w:tc>
          <w:tcPr>
            <w:tcW w:w="2343" w:type="dxa"/>
          </w:tcPr>
          <w:p w14:paraId="52DC37AA" w14:textId="35EF2250"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IFRS</w:t>
            </w:r>
          </w:p>
        </w:tc>
        <w:tc>
          <w:tcPr>
            <w:tcW w:w="7324" w:type="dxa"/>
          </w:tcPr>
          <w:p w14:paraId="65505C62" w14:textId="32041BA0" w:rsidR="00ED1BD0" w:rsidRPr="0080251F" w:rsidRDefault="00ED1BD0" w:rsidP="00ED1BD0">
            <w:pPr>
              <w:spacing w:after="0"/>
              <w:jc w:val="both"/>
              <w:rPr>
                <w:rFonts w:ascii="Times New Roman" w:hAnsi="Times New Roman" w:cs="Times New Roman"/>
                <w:i/>
                <w:sz w:val="21"/>
                <w:szCs w:val="21"/>
                <w:lang w:val="ro-MD"/>
              </w:rPr>
            </w:pPr>
            <w:r w:rsidRPr="0080251F">
              <w:rPr>
                <w:rFonts w:ascii="Times New Roman" w:hAnsi="Times New Roman" w:cs="Times New Roman"/>
                <w:i/>
                <w:sz w:val="21"/>
                <w:szCs w:val="21"/>
                <w:lang w:val="ro-MD"/>
              </w:rPr>
              <w:t xml:space="preserve">Standardul Internațional de Raportare Financiară, acceptat spre aplicare în Republica Moldova </w:t>
            </w:r>
          </w:p>
        </w:tc>
      </w:tr>
      <w:tr w:rsidR="00ED1BD0" w:rsidRPr="0080251F" w14:paraId="39338B0B" w14:textId="77777777" w:rsidTr="000200BC">
        <w:trPr>
          <w:trHeight w:val="201"/>
        </w:trPr>
        <w:tc>
          <w:tcPr>
            <w:tcW w:w="2343" w:type="dxa"/>
          </w:tcPr>
          <w:p w14:paraId="4384CA06" w14:textId="239AB8D4"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Valoarea justă</w:t>
            </w:r>
          </w:p>
        </w:tc>
        <w:tc>
          <w:tcPr>
            <w:tcW w:w="7324" w:type="dxa"/>
          </w:tcPr>
          <w:p w14:paraId="58470FBC" w14:textId="5833B394" w:rsidR="00ED1BD0" w:rsidRPr="0080251F" w:rsidRDefault="00AC79A4" w:rsidP="00ED1BD0">
            <w:pPr>
              <w:spacing w:after="0"/>
              <w:jc w:val="both"/>
              <w:rPr>
                <w:rFonts w:ascii="Times New Roman" w:hAnsi="Times New Roman" w:cs="Times New Roman"/>
                <w:i/>
                <w:sz w:val="21"/>
                <w:szCs w:val="21"/>
                <w:lang w:val="ro-MD"/>
              </w:rPr>
            </w:pPr>
            <w:r w:rsidRPr="0080251F">
              <w:rPr>
                <w:rFonts w:ascii="Times New Roman" w:hAnsi="Times New Roman" w:cs="Times New Roman"/>
                <w:i/>
                <w:sz w:val="21"/>
                <w:szCs w:val="21"/>
                <w:lang w:val="ro-MD"/>
              </w:rPr>
              <w:t>P</w:t>
            </w:r>
            <w:r w:rsidR="00ED1BD0" w:rsidRPr="0080251F">
              <w:rPr>
                <w:rFonts w:ascii="Times New Roman" w:hAnsi="Times New Roman" w:cs="Times New Roman"/>
                <w:i/>
                <w:sz w:val="21"/>
                <w:szCs w:val="21"/>
                <w:lang w:val="ro-MD"/>
              </w:rPr>
              <w:t xml:space="preserve">rețul care ar </w:t>
            </w:r>
            <w:r w:rsidR="00907DD3" w:rsidRPr="0080251F">
              <w:rPr>
                <w:rFonts w:ascii="Times New Roman" w:hAnsi="Times New Roman" w:cs="Times New Roman"/>
                <w:i/>
                <w:sz w:val="21"/>
                <w:szCs w:val="21"/>
                <w:lang w:val="ro-MD"/>
              </w:rPr>
              <w:t xml:space="preserve">putea </w:t>
            </w:r>
            <w:r w:rsidR="00ED1BD0" w:rsidRPr="0080251F">
              <w:rPr>
                <w:rFonts w:ascii="Times New Roman" w:hAnsi="Times New Roman" w:cs="Times New Roman"/>
                <w:i/>
                <w:sz w:val="21"/>
                <w:szCs w:val="21"/>
                <w:lang w:val="ro-MD"/>
              </w:rPr>
              <w:t>fi încasat pentru vânzarea unui activ sau plătit</w:t>
            </w:r>
            <w:r w:rsidR="00ED1BD0" w:rsidRPr="0080251F">
              <w:rPr>
                <w:rFonts w:ascii="Times New Roman" w:hAnsi="Times New Roman" w:cs="Times New Roman"/>
                <w:i/>
                <w:sz w:val="21"/>
                <w:szCs w:val="21"/>
                <w:shd w:val="clear" w:color="auto" w:fill="FFFFFF"/>
                <w:lang w:val="ro-MD"/>
              </w:rPr>
              <w:t xml:space="preserve"> </w:t>
            </w:r>
          </w:p>
        </w:tc>
      </w:tr>
      <w:tr w:rsidR="00ED1BD0" w:rsidRPr="0080251F" w14:paraId="6B59BE6D" w14:textId="77777777" w:rsidTr="000200BC">
        <w:trPr>
          <w:trHeight w:val="201"/>
        </w:trPr>
        <w:tc>
          <w:tcPr>
            <w:tcW w:w="2343" w:type="dxa"/>
          </w:tcPr>
          <w:p w14:paraId="058EFB28" w14:textId="664EB507"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Valoarea realizabilă netă</w:t>
            </w:r>
          </w:p>
        </w:tc>
        <w:tc>
          <w:tcPr>
            <w:tcW w:w="7324" w:type="dxa"/>
          </w:tcPr>
          <w:p w14:paraId="5945F1CA" w14:textId="26E790F8" w:rsidR="00ED1BD0" w:rsidRPr="0080251F" w:rsidRDefault="00ED1BD0" w:rsidP="00ED1BD0">
            <w:pPr>
              <w:spacing w:after="0"/>
              <w:jc w:val="both"/>
              <w:rPr>
                <w:rFonts w:ascii="Times New Roman" w:hAnsi="Times New Roman" w:cs="Times New Roman"/>
                <w:i/>
                <w:sz w:val="21"/>
                <w:szCs w:val="21"/>
                <w:lang w:val="ro-MD"/>
              </w:rPr>
            </w:pPr>
            <w:r w:rsidRPr="0080251F">
              <w:rPr>
                <w:rFonts w:ascii="Times New Roman" w:hAnsi="Times New Roman" w:cs="Times New Roman"/>
                <w:i/>
                <w:sz w:val="21"/>
                <w:szCs w:val="21"/>
                <w:lang w:val="ro-MD"/>
              </w:rPr>
              <w:t>Suma netă pe care o entitate preconizează că o va realiza din vânzarea stocului pe parcursul desfășurării normale a activității</w:t>
            </w:r>
          </w:p>
        </w:tc>
      </w:tr>
      <w:tr w:rsidR="00ED1BD0" w:rsidRPr="0080251F" w14:paraId="498DEAB7" w14:textId="77777777" w:rsidTr="008E6F33">
        <w:trPr>
          <w:trHeight w:val="324"/>
        </w:trPr>
        <w:tc>
          <w:tcPr>
            <w:tcW w:w="2343" w:type="dxa"/>
          </w:tcPr>
          <w:p w14:paraId="37FEAC5F" w14:textId="0E2C20D8"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Devieri tarifare</w:t>
            </w:r>
          </w:p>
        </w:tc>
        <w:tc>
          <w:tcPr>
            <w:tcW w:w="7324" w:type="dxa"/>
          </w:tcPr>
          <w:p w14:paraId="4027950D" w14:textId="1CB13823" w:rsidR="00ED1BD0" w:rsidRPr="0080251F" w:rsidRDefault="00ED1BD0" w:rsidP="00ED1BD0">
            <w:pPr>
              <w:spacing w:after="0"/>
              <w:jc w:val="both"/>
              <w:rPr>
                <w:rFonts w:ascii="Times New Roman" w:hAnsi="Times New Roman" w:cs="Times New Roman"/>
                <w:i/>
                <w:sz w:val="21"/>
                <w:szCs w:val="21"/>
                <w:lang w:val="ro-MD"/>
              </w:rPr>
            </w:pPr>
            <w:r w:rsidRPr="0080251F">
              <w:rPr>
                <w:rFonts w:ascii="Times New Roman" w:hAnsi="Times New Roman" w:cs="Times New Roman"/>
                <w:i/>
                <w:sz w:val="21"/>
                <w:szCs w:val="21"/>
                <w:lang w:val="ro-MD"/>
              </w:rPr>
              <w:t xml:space="preserve">Rezultat al diferențelor între parametrii estimați la determinarea tarifelor pentru anul de activitate și cei reali obținuți în anul </w:t>
            </w:r>
            <w:r w:rsidRPr="0080251F">
              <w:rPr>
                <w:rFonts w:ascii="Times New Roman" w:hAnsi="Times New Roman" w:cs="Times New Roman"/>
                <w:i/>
                <w:iCs/>
                <w:sz w:val="21"/>
                <w:szCs w:val="21"/>
                <w:lang w:val="ro-MD"/>
              </w:rPr>
              <w:t xml:space="preserve">respectiv </w:t>
            </w:r>
          </w:p>
        </w:tc>
      </w:tr>
      <w:tr w:rsidR="00ED1BD0" w:rsidRPr="0080251F" w14:paraId="37E777B5" w14:textId="77777777" w:rsidTr="008E6F33">
        <w:trPr>
          <w:trHeight w:val="324"/>
        </w:trPr>
        <w:tc>
          <w:tcPr>
            <w:tcW w:w="2343" w:type="dxa"/>
          </w:tcPr>
          <w:p w14:paraId="647243E6" w14:textId="41A5ACFB"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Devieri tarifare pozitive/negative</w:t>
            </w:r>
          </w:p>
        </w:tc>
        <w:tc>
          <w:tcPr>
            <w:tcW w:w="7324" w:type="dxa"/>
          </w:tcPr>
          <w:p w14:paraId="0EA3AB18" w14:textId="55C3597A" w:rsidR="00ED1BD0" w:rsidRPr="0080251F" w:rsidRDefault="00ED1BD0" w:rsidP="00ED1BD0">
            <w:pPr>
              <w:spacing w:after="0"/>
              <w:jc w:val="both"/>
              <w:rPr>
                <w:rFonts w:ascii="Times New Roman" w:hAnsi="Times New Roman" w:cs="Times New Roman"/>
                <w:i/>
                <w:sz w:val="21"/>
                <w:szCs w:val="21"/>
                <w:shd w:val="clear" w:color="auto" w:fill="FFFFFF"/>
                <w:lang w:val="ro-MD"/>
              </w:rPr>
            </w:pPr>
            <w:r w:rsidRPr="0080251F">
              <w:rPr>
                <w:rFonts w:ascii="Times New Roman" w:hAnsi="Times New Roman" w:cs="Times New Roman"/>
                <w:i/>
                <w:iCs/>
                <w:sz w:val="21"/>
                <w:szCs w:val="21"/>
                <w:lang w:val="ro-MD"/>
              </w:rPr>
              <w:t>Pozitive – situația când tariful aprobat este mai mare decât cel real obținut din activitate. Negative – situația când tariful aprobat este mai mic decât cel real obținut din activitate</w:t>
            </w:r>
          </w:p>
        </w:tc>
      </w:tr>
      <w:tr w:rsidR="00ED1BD0" w:rsidRPr="0080251F" w14:paraId="6EA3710E" w14:textId="77777777" w:rsidTr="008E6F33">
        <w:trPr>
          <w:trHeight w:val="324"/>
        </w:trPr>
        <w:tc>
          <w:tcPr>
            <w:tcW w:w="2343" w:type="dxa"/>
          </w:tcPr>
          <w:p w14:paraId="2ECF3003" w14:textId="310F59C5"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Consum tehnologic</w:t>
            </w:r>
          </w:p>
        </w:tc>
        <w:tc>
          <w:tcPr>
            <w:tcW w:w="7324" w:type="dxa"/>
          </w:tcPr>
          <w:p w14:paraId="5D71B7C2" w14:textId="424C7117" w:rsidR="00ED1BD0" w:rsidRPr="0080251F" w:rsidRDefault="00ED1BD0" w:rsidP="00ED1BD0">
            <w:pPr>
              <w:spacing w:after="0"/>
              <w:jc w:val="both"/>
              <w:rPr>
                <w:rFonts w:ascii="Times New Roman" w:hAnsi="Times New Roman" w:cs="Times New Roman"/>
                <w:i/>
                <w:iCs/>
                <w:sz w:val="21"/>
                <w:szCs w:val="21"/>
                <w:lang w:val="ro-MD"/>
              </w:rPr>
            </w:pPr>
            <w:r w:rsidRPr="0080251F">
              <w:rPr>
                <w:rFonts w:ascii="Times New Roman" w:hAnsi="Times New Roman" w:cs="Times New Roman"/>
                <w:i/>
                <w:iCs/>
                <w:sz w:val="21"/>
                <w:szCs w:val="21"/>
                <w:lang w:val="ro-MD"/>
              </w:rPr>
              <w:t>Cantitatea de energie electrică ce se consumă irecuperabil și inevitabil în rețeaua de distribuție, pentru transformarea și transportarea energiei electrice consumatorilor și exprimată în procente față de cantitatea totală de energie electrică intrată în rețeaua de distribuție pe parcursul unei perioade de timp</w:t>
            </w:r>
          </w:p>
        </w:tc>
      </w:tr>
      <w:tr w:rsidR="00ED1BD0" w:rsidRPr="0080251F" w14:paraId="2234E478" w14:textId="77777777" w:rsidTr="008E6F33">
        <w:trPr>
          <w:trHeight w:val="324"/>
        </w:trPr>
        <w:tc>
          <w:tcPr>
            <w:tcW w:w="2343" w:type="dxa"/>
          </w:tcPr>
          <w:p w14:paraId="7B9DE871" w14:textId="13713A2A"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Dezechilibru</w:t>
            </w:r>
          </w:p>
        </w:tc>
        <w:tc>
          <w:tcPr>
            <w:tcW w:w="7324" w:type="dxa"/>
          </w:tcPr>
          <w:p w14:paraId="73EB3A9F" w14:textId="2826DFEC" w:rsidR="00ED1BD0" w:rsidRPr="0080251F" w:rsidRDefault="00ED1BD0" w:rsidP="00ED1BD0">
            <w:pPr>
              <w:spacing w:after="0"/>
              <w:jc w:val="both"/>
              <w:rPr>
                <w:rFonts w:ascii="Times New Roman" w:hAnsi="Times New Roman" w:cs="Times New Roman"/>
                <w:i/>
                <w:iCs/>
                <w:sz w:val="21"/>
                <w:szCs w:val="21"/>
                <w:lang w:val="ro-MD"/>
              </w:rPr>
            </w:pPr>
            <w:r w:rsidRPr="0080251F">
              <w:rPr>
                <w:rFonts w:ascii="Times New Roman" w:hAnsi="Times New Roman" w:cs="Times New Roman"/>
                <w:i/>
                <w:iCs/>
                <w:sz w:val="21"/>
                <w:szCs w:val="21"/>
                <w:lang w:val="ro-MD"/>
              </w:rPr>
              <w:t>Diferența dintre valorile planificate și cele realizate pentru producția, consumul și schimburile de energie electrică aferente unei părți responsabile pentru echilibrare (PRE), unei unități de producție sau sistemului energetic în totalitate, după caz</w:t>
            </w:r>
          </w:p>
        </w:tc>
      </w:tr>
      <w:tr w:rsidR="00ED1BD0" w:rsidRPr="0080251F" w14:paraId="6A2BF442" w14:textId="77777777" w:rsidTr="008E6F33">
        <w:trPr>
          <w:trHeight w:val="324"/>
        </w:trPr>
        <w:tc>
          <w:tcPr>
            <w:tcW w:w="2343" w:type="dxa"/>
          </w:tcPr>
          <w:p w14:paraId="791F9DDE" w14:textId="2CFBA567"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Prețul pentru deficit de energie electrică</w:t>
            </w:r>
          </w:p>
        </w:tc>
        <w:tc>
          <w:tcPr>
            <w:tcW w:w="7324" w:type="dxa"/>
          </w:tcPr>
          <w:p w14:paraId="4CF83C3E" w14:textId="3D6EF148" w:rsidR="00ED1BD0" w:rsidRPr="0080251F" w:rsidRDefault="00ED1BD0" w:rsidP="00ED1BD0">
            <w:pPr>
              <w:spacing w:after="0"/>
              <w:jc w:val="both"/>
              <w:rPr>
                <w:rFonts w:ascii="Times New Roman" w:hAnsi="Times New Roman" w:cs="Times New Roman"/>
                <w:i/>
                <w:iCs/>
                <w:sz w:val="21"/>
                <w:szCs w:val="21"/>
                <w:lang w:val="ro-MD"/>
              </w:rPr>
            </w:pPr>
            <w:r w:rsidRPr="0080251F">
              <w:rPr>
                <w:rFonts w:ascii="Times New Roman" w:hAnsi="Times New Roman" w:cs="Times New Roman"/>
                <w:i/>
                <w:iCs/>
                <w:sz w:val="21"/>
                <w:szCs w:val="21"/>
                <w:lang w:val="ro-MD"/>
              </w:rPr>
              <w:t>Prețul unitar pe care o PRE trebuie să</w:t>
            </w:r>
            <w:r w:rsidR="009949B6" w:rsidRPr="0080251F">
              <w:rPr>
                <w:rFonts w:ascii="Times New Roman" w:hAnsi="Times New Roman" w:cs="Times New Roman"/>
                <w:i/>
                <w:iCs/>
                <w:sz w:val="21"/>
                <w:szCs w:val="21"/>
                <w:lang w:val="ro-MD"/>
              </w:rPr>
              <w:t>-</w:t>
            </w:r>
            <w:r w:rsidRPr="0080251F">
              <w:rPr>
                <w:rFonts w:ascii="Times New Roman" w:hAnsi="Times New Roman" w:cs="Times New Roman"/>
                <w:i/>
                <w:iCs/>
                <w:sz w:val="21"/>
                <w:szCs w:val="21"/>
                <w:lang w:val="ro-MD"/>
              </w:rPr>
              <w:t>l plătească operatorului sistemului de transport (OST) pentru dezechilibrele negative ale respectivei PRE, determinat conform Regulilor normative</w:t>
            </w:r>
          </w:p>
        </w:tc>
      </w:tr>
      <w:tr w:rsidR="00ED1BD0" w:rsidRPr="0080251F" w14:paraId="51D29159" w14:textId="77777777" w:rsidTr="008E6F33">
        <w:trPr>
          <w:trHeight w:val="324"/>
        </w:trPr>
        <w:tc>
          <w:tcPr>
            <w:tcW w:w="2343" w:type="dxa"/>
          </w:tcPr>
          <w:p w14:paraId="04CDB17D" w14:textId="49CBEEB9"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Prețul pentru excedent de energie electrică</w:t>
            </w:r>
          </w:p>
        </w:tc>
        <w:tc>
          <w:tcPr>
            <w:tcW w:w="7324" w:type="dxa"/>
          </w:tcPr>
          <w:p w14:paraId="621EC759" w14:textId="68DDEE7A" w:rsidR="00ED1BD0" w:rsidRPr="0080251F" w:rsidRDefault="00ED1BD0" w:rsidP="00ED1BD0">
            <w:pPr>
              <w:spacing w:after="0"/>
              <w:jc w:val="both"/>
              <w:rPr>
                <w:rFonts w:ascii="Times New Roman" w:hAnsi="Times New Roman" w:cs="Times New Roman"/>
                <w:i/>
                <w:iCs/>
                <w:sz w:val="21"/>
                <w:szCs w:val="21"/>
                <w:lang w:val="ro-MD"/>
              </w:rPr>
            </w:pPr>
            <w:r w:rsidRPr="0080251F">
              <w:rPr>
                <w:rFonts w:ascii="Times New Roman" w:hAnsi="Times New Roman" w:cs="Times New Roman"/>
                <w:i/>
                <w:iCs/>
                <w:sz w:val="21"/>
                <w:szCs w:val="21"/>
                <w:lang w:val="ro-MD"/>
              </w:rPr>
              <w:t>Prețul unitar pe care o PRE trebuie să</w:t>
            </w:r>
            <w:r w:rsidR="009949B6" w:rsidRPr="0080251F">
              <w:rPr>
                <w:rFonts w:ascii="Times New Roman" w:hAnsi="Times New Roman" w:cs="Times New Roman"/>
                <w:i/>
                <w:iCs/>
                <w:sz w:val="21"/>
                <w:szCs w:val="21"/>
                <w:lang w:val="ro-MD"/>
              </w:rPr>
              <w:t>-</w:t>
            </w:r>
            <w:r w:rsidRPr="0080251F">
              <w:rPr>
                <w:rFonts w:ascii="Times New Roman" w:hAnsi="Times New Roman" w:cs="Times New Roman"/>
                <w:i/>
                <w:iCs/>
                <w:sz w:val="21"/>
                <w:szCs w:val="21"/>
                <w:lang w:val="ro-MD"/>
              </w:rPr>
              <w:t xml:space="preserve">l primească de la OST pentru dezechilibrele pozitive ale respectivei PRE </w:t>
            </w:r>
          </w:p>
        </w:tc>
      </w:tr>
      <w:tr w:rsidR="00ED1BD0" w:rsidRPr="0080251F" w14:paraId="6A4EE3D0" w14:textId="77777777" w:rsidTr="008E6F33">
        <w:trPr>
          <w:trHeight w:val="324"/>
        </w:trPr>
        <w:tc>
          <w:tcPr>
            <w:tcW w:w="2343" w:type="dxa"/>
          </w:tcPr>
          <w:p w14:paraId="62906F37" w14:textId="52F4D74F" w:rsidR="00ED1BD0" w:rsidRPr="0080251F" w:rsidRDefault="00ED1BD0" w:rsidP="00ED1BD0">
            <w:pPr>
              <w:spacing w:after="0"/>
              <w:ind w:left="-109"/>
              <w:jc w:val="both"/>
              <w:rPr>
                <w:rFonts w:ascii="Times New Roman" w:hAnsi="Times New Roman" w:cs="Times New Roman"/>
                <w:b/>
                <w:sz w:val="21"/>
                <w:szCs w:val="21"/>
                <w:lang w:val="ro-MD"/>
              </w:rPr>
            </w:pPr>
            <w:r w:rsidRPr="0080251F">
              <w:rPr>
                <w:rFonts w:ascii="Times New Roman" w:hAnsi="Times New Roman" w:cs="Times New Roman"/>
                <w:b/>
                <w:sz w:val="21"/>
                <w:szCs w:val="21"/>
                <w:lang w:val="ro-MD"/>
              </w:rPr>
              <w:t>Contract de achiziții publice</w:t>
            </w:r>
          </w:p>
        </w:tc>
        <w:tc>
          <w:tcPr>
            <w:tcW w:w="7324" w:type="dxa"/>
          </w:tcPr>
          <w:p w14:paraId="5A076F8A" w14:textId="2512B7C8" w:rsidR="00ED1BD0" w:rsidRPr="0080251F" w:rsidRDefault="00ED1BD0" w:rsidP="00ED1BD0">
            <w:pPr>
              <w:spacing w:after="0"/>
              <w:jc w:val="both"/>
              <w:rPr>
                <w:rFonts w:ascii="Times New Roman" w:hAnsi="Times New Roman" w:cs="Times New Roman"/>
                <w:i/>
                <w:sz w:val="21"/>
                <w:szCs w:val="21"/>
                <w:lang w:val="ro-MD"/>
              </w:rPr>
            </w:pPr>
            <w:r w:rsidRPr="0080251F">
              <w:rPr>
                <w:rFonts w:ascii="Times New Roman" w:hAnsi="Times New Roman" w:cs="Times New Roman"/>
                <w:i/>
                <w:sz w:val="21"/>
                <w:szCs w:val="21"/>
                <w:lang w:val="ro-MD"/>
              </w:rPr>
              <w:t>Contract cu titlu oneros, încheiat în scris între unul sau mai mulți operatori economici și una sau mai multe autorități contractante, care are ca obiect achiziția de bunuri, executarea de lucrări sau prestarea de servicii</w:t>
            </w:r>
          </w:p>
        </w:tc>
      </w:tr>
    </w:tbl>
    <w:p w14:paraId="0C012231" w14:textId="38A6823C" w:rsidR="00B63784" w:rsidRPr="0080251F" w:rsidRDefault="00B63784" w:rsidP="0082529E">
      <w:pPr>
        <w:spacing w:after="0"/>
        <w:jc w:val="both"/>
        <w:rPr>
          <w:rFonts w:ascii="Times New Roman" w:hAnsi="Times New Roman" w:cs="Times New Roman"/>
          <w:b/>
          <w:sz w:val="24"/>
          <w:szCs w:val="24"/>
          <w:lang w:val="ro-MD"/>
        </w:rPr>
      </w:pPr>
    </w:p>
    <w:p w14:paraId="186AE1F1" w14:textId="77777777" w:rsidR="007E2A98" w:rsidRPr="0080251F" w:rsidRDefault="007E2A98" w:rsidP="0082529E">
      <w:pPr>
        <w:pStyle w:val="1"/>
        <w:spacing w:before="200" w:line="276" w:lineRule="auto"/>
        <w:rPr>
          <w:rFonts w:ascii="Times New Roman" w:hAnsi="Times New Roman" w:cs="Times New Roman"/>
          <w:b/>
          <w:sz w:val="28"/>
          <w:szCs w:val="28"/>
          <w:lang w:val="ro-MD"/>
        </w:rPr>
        <w:sectPr w:rsidR="007E2A98" w:rsidRPr="0080251F" w:rsidSect="00471F97">
          <w:footerReference w:type="default" r:id="rId12"/>
          <w:footnotePr>
            <w:numRestart w:val="eachSect"/>
          </w:footnotePr>
          <w:pgSz w:w="12240" w:h="15840"/>
          <w:pgMar w:top="851" w:right="851" w:bottom="851" w:left="1701" w:header="709" w:footer="709" w:gutter="0"/>
          <w:cols w:space="708"/>
          <w:titlePg/>
          <w:docGrid w:linePitch="360"/>
        </w:sectPr>
      </w:pPr>
      <w:bookmarkStart w:id="4" w:name="_Toc144136499"/>
      <w:bookmarkEnd w:id="0"/>
    </w:p>
    <w:p w14:paraId="7BC69E54" w14:textId="1D6DCD54" w:rsidR="00783E80" w:rsidRPr="0080251F" w:rsidRDefault="00783E80" w:rsidP="0082529E">
      <w:pPr>
        <w:pStyle w:val="1"/>
        <w:spacing w:before="200" w:line="276" w:lineRule="auto"/>
        <w:rPr>
          <w:rFonts w:ascii="Times New Roman" w:hAnsi="Times New Roman" w:cs="Times New Roman"/>
          <w:b/>
          <w:sz w:val="28"/>
          <w:szCs w:val="28"/>
          <w:lang w:val="ro-MD"/>
        </w:rPr>
      </w:pPr>
      <w:bookmarkStart w:id="5" w:name="_Toc161169683"/>
      <w:r w:rsidRPr="0080251F">
        <w:rPr>
          <w:rFonts w:ascii="Times New Roman" w:hAnsi="Times New Roman" w:cs="Times New Roman"/>
          <w:b/>
          <w:sz w:val="28"/>
          <w:szCs w:val="28"/>
          <w:lang w:val="ro-MD"/>
        </w:rPr>
        <w:t>I. SINTEZA</w:t>
      </w:r>
      <w:bookmarkEnd w:id="5"/>
    </w:p>
    <w:p w14:paraId="492219BC" w14:textId="3826DAFE" w:rsidR="004C4954" w:rsidRPr="0080251F" w:rsidRDefault="004C4954" w:rsidP="0082529E">
      <w:pPr>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S.A. „Rețelele electrice de distribuție Nord” a fost înființată la 3 noiembrie 1997, în temeiul H</w:t>
      </w:r>
      <w:r w:rsidR="00071386" w:rsidRPr="0080251F">
        <w:rPr>
          <w:rFonts w:ascii="Times New Roman" w:hAnsi="Times New Roman" w:cs="Times New Roman"/>
          <w:bCs/>
          <w:sz w:val="24"/>
          <w:szCs w:val="24"/>
          <w:lang w:val="ro-MD"/>
        </w:rPr>
        <w:t>G</w:t>
      </w:r>
      <w:r w:rsidRPr="0080251F">
        <w:rPr>
          <w:rFonts w:ascii="Times New Roman" w:hAnsi="Times New Roman" w:cs="Times New Roman"/>
          <w:bCs/>
          <w:sz w:val="24"/>
          <w:szCs w:val="24"/>
          <w:lang w:val="ro-MD"/>
        </w:rPr>
        <w:t xml:space="preserve"> nr.628 din 08.07.1997</w:t>
      </w:r>
      <w:r w:rsidRPr="0080251F">
        <w:rPr>
          <w:rFonts w:ascii="Times New Roman" w:hAnsi="Times New Roman" w:cs="Times New Roman"/>
          <w:bCs/>
          <w:sz w:val="24"/>
          <w:szCs w:val="24"/>
          <w:vertAlign w:val="superscript"/>
          <w:lang w:val="ro-MD"/>
        </w:rPr>
        <w:footnoteReference w:id="1"/>
      </w:r>
      <w:r w:rsidRPr="0080251F">
        <w:rPr>
          <w:rFonts w:ascii="Times New Roman" w:hAnsi="Times New Roman" w:cs="Times New Roman"/>
          <w:bCs/>
          <w:sz w:val="24"/>
          <w:szCs w:val="24"/>
          <w:lang w:val="ro-MD"/>
        </w:rPr>
        <w:t xml:space="preserve"> și </w:t>
      </w:r>
      <w:r w:rsidR="00474AD5" w:rsidRPr="0080251F">
        <w:rPr>
          <w:rFonts w:ascii="Times New Roman" w:hAnsi="Times New Roman" w:cs="Times New Roman"/>
          <w:bCs/>
          <w:sz w:val="24"/>
          <w:szCs w:val="24"/>
          <w:lang w:val="ro-MD"/>
        </w:rPr>
        <w:t>O</w:t>
      </w:r>
      <w:r w:rsidRPr="0080251F">
        <w:rPr>
          <w:rFonts w:ascii="Times New Roman" w:hAnsi="Times New Roman" w:cs="Times New Roman"/>
          <w:bCs/>
          <w:sz w:val="24"/>
          <w:szCs w:val="24"/>
          <w:lang w:val="ro-MD"/>
        </w:rPr>
        <w:t>rdinului Departamentului Energetică, Resurse Energetice și Combustibil nr.60 din iulie 1997, prin reorganizarea subdiviziunii „Rețelele Elect</w:t>
      </w:r>
      <w:r w:rsidR="00C310B3" w:rsidRPr="0080251F">
        <w:rPr>
          <w:rFonts w:ascii="Times New Roman" w:hAnsi="Times New Roman" w:cs="Times New Roman"/>
          <w:bCs/>
          <w:sz w:val="24"/>
          <w:szCs w:val="24"/>
          <w:lang w:val="ro-MD"/>
        </w:rPr>
        <w:t xml:space="preserve">rice Nord” a </w:t>
      </w:r>
      <w:r w:rsidR="00474AD5" w:rsidRPr="0080251F">
        <w:rPr>
          <w:rFonts w:ascii="Times New Roman" w:hAnsi="Times New Roman" w:cs="Times New Roman"/>
          <w:bCs/>
          <w:sz w:val="24"/>
          <w:szCs w:val="24"/>
          <w:lang w:val="ro-MD"/>
        </w:rPr>
        <w:t>C</w:t>
      </w:r>
      <w:r w:rsidR="00C310B3" w:rsidRPr="0080251F">
        <w:rPr>
          <w:rFonts w:ascii="Times New Roman" w:hAnsi="Times New Roman" w:cs="Times New Roman"/>
          <w:bCs/>
          <w:sz w:val="24"/>
          <w:szCs w:val="24"/>
          <w:lang w:val="ro-MD"/>
        </w:rPr>
        <w:t>ompaniei</w:t>
      </w:r>
      <w:r w:rsidRPr="0080251F">
        <w:rPr>
          <w:rFonts w:ascii="Times New Roman" w:hAnsi="Times New Roman" w:cs="Times New Roman"/>
          <w:bCs/>
          <w:sz w:val="24"/>
          <w:szCs w:val="24"/>
          <w:lang w:val="ro-MD"/>
        </w:rPr>
        <w:t xml:space="preserve"> de stat „Moldenergo”. În baza </w:t>
      </w:r>
      <w:r w:rsidR="00071386" w:rsidRPr="0080251F">
        <w:rPr>
          <w:rFonts w:ascii="Times New Roman" w:hAnsi="Times New Roman" w:cs="Times New Roman"/>
          <w:bCs/>
          <w:sz w:val="24"/>
          <w:szCs w:val="24"/>
          <w:lang w:val="ro-MD"/>
        </w:rPr>
        <w:t>HG</w:t>
      </w:r>
      <w:r w:rsidR="00777080"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nr.172 din 15.04.2015</w:t>
      </w:r>
      <w:r w:rsidRPr="0080251F">
        <w:rPr>
          <w:rFonts w:ascii="Times New Roman" w:hAnsi="Times New Roman" w:cs="Times New Roman"/>
          <w:bCs/>
          <w:sz w:val="24"/>
          <w:szCs w:val="24"/>
          <w:vertAlign w:val="superscript"/>
          <w:lang w:val="ro-MD"/>
        </w:rPr>
        <w:footnoteReference w:id="2"/>
      </w:r>
      <w:r w:rsidRPr="0080251F">
        <w:rPr>
          <w:rFonts w:ascii="Times New Roman" w:hAnsi="Times New Roman" w:cs="Times New Roman"/>
          <w:bCs/>
          <w:sz w:val="24"/>
          <w:szCs w:val="24"/>
          <w:lang w:val="ro-MD"/>
        </w:rPr>
        <w:t xml:space="preserve">, activitățile economice de distribuție și de furnizare a energiei electrice au fost separate, fiind înființată o întreprindere nouă </w:t>
      </w:r>
      <w:r w:rsidR="00474AD5" w:rsidRPr="0080251F">
        <w:rPr>
          <w:rFonts w:ascii="Times New Roman" w:hAnsi="Times New Roman" w:cs="Times New Roman"/>
          <w:bCs/>
          <w:sz w:val="24"/>
          <w:szCs w:val="24"/>
          <w:lang w:val="ro-MD"/>
        </w:rPr>
        <w:t xml:space="preserve">- </w:t>
      </w:r>
      <w:r w:rsidR="00A72AEE" w:rsidRPr="0080251F">
        <w:rPr>
          <w:rFonts w:ascii="Times New Roman" w:hAnsi="Times New Roman" w:cs="Times New Roman"/>
          <w:bCs/>
          <w:sz w:val="24"/>
          <w:szCs w:val="24"/>
          <w:lang w:val="ro-MD"/>
        </w:rPr>
        <w:t xml:space="preserve">S.A. „FEE-Nord”, din contul patrimoniului S.A. „RED-Nord”. </w:t>
      </w:r>
      <w:r w:rsidR="00777080" w:rsidRPr="0080251F">
        <w:rPr>
          <w:rFonts w:ascii="Times New Roman" w:hAnsi="Times New Roman" w:cs="Times New Roman"/>
          <w:bCs/>
          <w:sz w:val="24"/>
          <w:szCs w:val="24"/>
          <w:lang w:val="ro-MD"/>
        </w:rPr>
        <w:t>Ulterior, î</w:t>
      </w:r>
      <w:r w:rsidRPr="0080251F">
        <w:rPr>
          <w:rFonts w:ascii="Times New Roman" w:hAnsi="Times New Roman" w:cs="Times New Roman"/>
          <w:bCs/>
          <w:sz w:val="24"/>
          <w:szCs w:val="24"/>
          <w:lang w:val="ro-MD"/>
        </w:rPr>
        <w:t xml:space="preserve">n anul 2017, în baza </w:t>
      </w:r>
      <w:r w:rsidR="00071386" w:rsidRPr="0080251F">
        <w:rPr>
          <w:rFonts w:ascii="Times New Roman" w:hAnsi="Times New Roman" w:cs="Times New Roman"/>
          <w:bCs/>
          <w:sz w:val="24"/>
          <w:szCs w:val="24"/>
          <w:lang w:val="ro-MD"/>
        </w:rPr>
        <w:t>HG</w:t>
      </w:r>
      <w:r w:rsidR="00777080"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nr.605 din 26.07.2017</w:t>
      </w:r>
      <w:r w:rsidRPr="0080251F">
        <w:rPr>
          <w:rFonts w:ascii="Times New Roman" w:hAnsi="Times New Roman" w:cs="Times New Roman"/>
          <w:bCs/>
          <w:sz w:val="24"/>
          <w:szCs w:val="24"/>
          <w:vertAlign w:val="superscript"/>
          <w:lang w:val="ro-MD"/>
        </w:rPr>
        <w:footnoteReference w:id="3"/>
      </w:r>
      <w:r w:rsidRPr="0080251F">
        <w:rPr>
          <w:rFonts w:ascii="Times New Roman" w:hAnsi="Times New Roman" w:cs="Times New Roman"/>
          <w:bCs/>
          <w:sz w:val="24"/>
          <w:szCs w:val="24"/>
          <w:lang w:val="ro-MD"/>
        </w:rPr>
        <w:t>, S.A. „RED-Nord” s-a reorganizat prin fuziune</w:t>
      </w:r>
      <w:r w:rsidR="00573052" w:rsidRPr="0080251F">
        <w:rPr>
          <w:rFonts w:ascii="Times New Roman" w:hAnsi="Times New Roman" w:cs="Times New Roman"/>
          <w:bCs/>
          <w:sz w:val="24"/>
          <w:szCs w:val="24"/>
          <w:lang w:val="ro-MD"/>
        </w:rPr>
        <w:t xml:space="preserve"> (</w:t>
      </w:r>
      <w:r w:rsidR="00C310B3" w:rsidRPr="0080251F">
        <w:rPr>
          <w:rFonts w:ascii="Times New Roman" w:hAnsi="Times New Roman" w:cs="Times New Roman"/>
          <w:bCs/>
          <w:sz w:val="24"/>
          <w:szCs w:val="24"/>
          <w:lang w:val="ro-MD"/>
        </w:rPr>
        <w:t>absorbți</w:t>
      </w:r>
      <w:r w:rsidR="00573052" w:rsidRPr="0080251F">
        <w:rPr>
          <w:rFonts w:ascii="Times New Roman" w:hAnsi="Times New Roman" w:cs="Times New Roman"/>
          <w:bCs/>
          <w:sz w:val="24"/>
          <w:szCs w:val="24"/>
          <w:lang w:val="ro-MD"/>
        </w:rPr>
        <w:t>e)</w:t>
      </w:r>
      <w:r w:rsidRPr="0080251F">
        <w:rPr>
          <w:rFonts w:ascii="Times New Roman" w:hAnsi="Times New Roman" w:cs="Times New Roman"/>
          <w:bCs/>
          <w:sz w:val="24"/>
          <w:szCs w:val="24"/>
          <w:lang w:val="ro-MD"/>
        </w:rPr>
        <w:t xml:space="preserve"> </w:t>
      </w:r>
      <w:r w:rsidR="00573052" w:rsidRPr="0080251F">
        <w:rPr>
          <w:rFonts w:ascii="Times New Roman" w:hAnsi="Times New Roman" w:cs="Times New Roman"/>
          <w:bCs/>
          <w:sz w:val="24"/>
          <w:szCs w:val="24"/>
          <w:lang w:val="ro-MD"/>
        </w:rPr>
        <w:t xml:space="preserve">cu </w:t>
      </w:r>
      <w:r w:rsidRPr="0080251F">
        <w:rPr>
          <w:rFonts w:ascii="Times New Roman" w:hAnsi="Times New Roman" w:cs="Times New Roman"/>
          <w:bCs/>
          <w:sz w:val="24"/>
          <w:szCs w:val="24"/>
          <w:lang w:val="ro-MD"/>
        </w:rPr>
        <w:t>S.A. „</w:t>
      </w:r>
      <w:r w:rsidR="00B228C6" w:rsidRPr="0080251F">
        <w:rPr>
          <w:rFonts w:ascii="Times New Roman" w:hAnsi="Times New Roman" w:cs="Times New Roman"/>
          <w:bCs/>
          <w:sz w:val="24"/>
          <w:szCs w:val="24"/>
          <w:lang w:val="ro-MD"/>
        </w:rPr>
        <w:t>RED</w:t>
      </w:r>
      <w:r w:rsidRPr="0080251F">
        <w:rPr>
          <w:rFonts w:ascii="Times New Roman" w:hAnsi="Times New Roman" w:cs="Times New Roman"/>
          <w:bCs/>
          <w:sz w:val="24"/>
          <w:szCs w:val="24"/>
          <w:lang w:val="ro-MD"/>
        </w:rPr>
        <w:t xml:space="preserve"> Nord-Vest” (procesul</w:t>
      </w:r>
      <w:r w:rsidR="00474AD5"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verbal al Adunării </w:t>
      </w:r>
      <w:r w:rsidR="006817F4" w:rsidRPr="0080251F">
        <w:rPr>
          <w:rFonts w:ascii="Times New Roman" w:hAnsi="Times New Roman" w:cs="Times New Roman"/>
          <w:bCs/>
          <w:sz w:val="24"/>
          <w:szCs w:val="24"/>
          <w:lang w:val="ro-MD"/>
        </w:rPr>
        <w:t>G</w:t>
      </w:r>
      <w:r w:rsidRPr="0080251F">
        <w:rPr>
          <w:rFonts w:ascii="Times New Roman" w:hAnsi="Times New Roman" w:cs="Times New Roman"/>
          <w:bCs/>
          <w:sz w:val="24"/>
          <w:szCs w:val="24"/>
          <w:lang w:val="ro-MD"/>
        </w:rPr>
        <w:t xml:space="preserve">enerale a </w:t>
      </w:r>
      <w:r w:rsidR="006817F4" w:rsidRPr="0080251F">
        <w:rPr>
          <w:rFonts w:ascii="Times New Roman" w:hAnsi="Times New Roman" w:cs="Times New Roman"/>
          <w:bCs/>
          <w:sz w:val="24"/>
          <w:szCs w:val="24"/>
          <w:lang w:val="ro-MD"/>
        </w:rPr>
        <w:t>A</w:t>
      </w:r>
      <w:r w:rsidRPr="0080251F">
        <w:rPr>
          <w:rFonts w:ascii="Times New Roman" w:hAnsi="Times New Roman" w:cs="Times New Roman"/>
          <w:bCs/>
          <w:sz w:val="24"/>
          <w:szCs w:val="24"/>
          <w:lang w:val="ro-MD"/>
        </w:rPr>
        <w:t>cționarilor din 30.10.2017).</w:t>
      </w:r>
    </w:p>
    <w:p w14:paraId="3C421DE9" w14:textId="08D80EE0" w:rsidR="004C4954" w:rsidRPr="0080251F" w:rsidRDefault="004C4954" w:rsidP="00B72653">
      <w:pPr>
        <w:tabs>
          <w:tab w:val="left" w:pos="709"/>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S.A. „RED-Nord” este unul dintre cei 2 operatori de distribuție a energiei electrice din sectorul electroenergetic al Republicii Moldova. Aria de distribuție a energiei electrice cuprinde partea de nord a țării, fiind gestionată prin subdiviziunile teritoriale amplasate în 13 centre administrative raionale</w:t>
      </w:r>
      <w:r w:rsidRPr="0080251F">
        <w:rPr>
          <w:rFonts w:ascii="Times New Roman" w:hAnsi="Times New Roman" w:cs="Times New Roman"/>
          <w:sz w:val="24"/>
          <w:szCs w:val="24"/>
          <w:vertAlign w:val="superscript"/>
          <w:lang w:val="ro-MD"/>
        </w:rPr>
        <w:footnoteReference w:id="4"/>
      </w:r>
      <w:r w:rsidRPr="0080251F">
        <w:rPr>
          <w:rFonts w:ascii="Times New Roman" w:hAnsi="Times New Roman" w:cs="Times New Roman"/>
          <w:sz w:val="24"/>
          <w:szCs w:val="24"/>
          <w:lang w:val="ro-MD"/>
        </w:rPr>
        <w:t xml:space="preserve">, care realizează activitățile de producere de ordin tehnico-material ale întreprinderii. Practic, S.A. „RED-Nord” deține monopolul </w:t>
      </w:r>
      <w:r w:rsidR="005C038D" w:rsidRPr="0080251F">
        <w:rPr>
          <w:rFonts w:ascii="Times New Roman" w:hAnsi="Times New Roman" w:cs="Times New Roman"/>
          <w:sz w:val="24"/>
          <w:szCs w:val="24"/>
          <w:lang w:val="ro-MD"/>
        </w:rPr>
        <w:t xml:space="preserve">asupra </w:t>
      </w:r>
      <w:r w:rsidRPr="0080251F">
        <w:rPr>
          <w:rFonts w:ascii="Times New Roman" w:hAnsi="Times New Roman" w:cs="Times New Roman"/>
          <w:sz w:val="24"/>
          <w:szCs w:val="24"/>
          <w:lang w:val="ro-MD"/>
        </w:rPr>
        <w:t>serviciilor de distribuție a energiei electrice în partea de nord a Republicii Moldova, care, în anul 2022, au fost acordate pentru alimentarea cu energie electrică a 492</w:t>
      </w:r>
      <w:r w:rsidR="00777080"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586 de consumatori</w:t>
      </w:r>
      <w:r w:rsidRPr="0080251F">
        <w:rPr>
          <w:rFonts w:ascii="Times New Roman" w:hAnsi="Times New Roman" w:cs="Times New Roman"/>
          <w:sz w:val="24"/>
          <w:szCs w:val="24"/>
          <w:vertAlign w:val="superscript"/>
          <w:lang w:val="ro-MD"/>
        </w:rPr>
        <w:footnoteReference w:id="5"/>
      </w:r>
      <w:r w:rsidRPr="0080251F">
        <w:rPr>
          <w:rFonts w:ascii="Times New Roman" w:hAnsi="Times New Roman" w:cs="Times New Roman"/>
          <w:sz w:val="24"/>
          <w:szCs w:val="24"/>
          <w:lang w:val="ro-MD"/>
        </w:rPr>
        <w:t xml:space="preserve"> din 15 unități administrativ-teritoriale</w:t>
      </w:r>
      <w:r w:rsidRPr="0080251F">
        <w:rPr>
          <w:rFonts w:ascii="Times New Roman" w:hAnsi="Times New Roman" w:cs="Times New Roman"/>
          <w:sz w:val="24"/>
          <w:szCs w:val="24"/>
          <w:vertAlign w:val="superscript"/>
          <w:lang w:val="ro-MD"/>
        </w:rPr>
        <w:footnoteReference w:id="6"/>
      </w:r>
      <w:r w:rsidRPr="0080251F">
        <w:rPr>
          <w:rFonts w:ascii="Times New Roman" w:hAnsi="Times New Roman" w:cs="Times New Roman"/>
          <w:sz w:val="24"/>
          <w:szCs w:val="24"/>
          <w:lang w:val="ro-MD"/>
        </w:rPr>
        <w:t>.</w:t>
      </w:r>
    </w:p>
    <w:p w14:paraId="55128C0B" w14:textId="45AC24E1" w:rsidR="008115E8" w:rsidRPr="0080251F" w:rsidRDefault="008115E8" w:rsidP="008115E8">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În acest context, Curtea de Conturi, în temeiul Legii nr.260 din 07.12.2017</w:t>
      </w:r>
      <w:r w:rsidR="00C915BD" w:rsidRPr="0080251F">
        <w:rPr>
          <w:rStyle w:val="a5"/>
          <w:rFonts w:ascii="Times New Roman" w:hAnsi="Times New Roman" w:cs="Times New Roman"/>
          <w:sz w:val="24"/>
          <w:szCs w:val="24"/>
          <w:lang w:val="ro-MD"/>
        </w:rPr>
        <w:footnoteReference w:id="7"/>
      </w:r>
      <w:r w:rsidRPr="0080251F">
        <w:rPr>
          <w:rFonts w:ascii="Times New Roman" w:hAnsi="Times New Roman" w:cs="Times New Roman"/>
          <w:sz w:val="24"/>
          <w:szCs w:val="24"/>
          <w:lang w:val="ro-MD"/>
        </w:rPr>
        <w:t xml:space="preserve"> și în conformitate cu Programul activității de audit </w:t>
      </w:r>
      <w:r w:rsidR="002E29A7" w:rsidRPr="0080251F">
        <w:rPr>
          <w:rFonts w:ascii="Times New Roman" w:hAnsi="Times New Roman" w:cs="Times New Roman"/>
          <w:sz w:val="24"/>
          <w:szCs w:val="24"/>
          <w:lang w:val="ro-MD"/>
        </w:rPr>
        <w:t xml:space="preserve">a Curții de Conturi </w:t>
      </w:r>
      <w:r w:rsidRPr="0080251F">
        <w:rPr>
          <w:rFonts w:ascii="Times New Roman" w:hAnsi="Times New Roman" w:cs="Times New Roman"/>
          <w:sz w:val="24"/>
          <w:szCs w:val="24"/>
          <w:lang w:val="ro-MD"/>
        </w:rPr>
        <w:t>pe anul 2023</w:t>
      </w:r>
      <w:r w:rsidRPr="0080251F">
        <w:rPr>
          <w:rFonts w:ascii="Times New Roman" w:hAnsi="Times New Roman" w:cs="Times New Roman"/>
          <w:sz w:val="24"/>
          <w:szCs w:val="24"/>
          <w:vertAlign w:val="superscript"/>
          <w:lang w:val="ro-MD"/>
        </w:rPr>
        <w:footnoteReference w:id="8"/>
      </w:r>
      <w:r w:rsidRPr="0080251F">
        <w:rPr>
          <w:rFonts w:ascii="Times New Roman" w:hAnsi="Times New Roman" w:cs="Times New Roman"/>
          <w:sz w:val="24"/>
          <w:szCs w:val="24"/>
          <w:lang w:val="ro-MD"/>
        </w:rPr>
        <w:t>, a realizat prezenta misiune de audit</w:t>
      </w:r>
      <w:r w:rsidR="002E29A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în scopul evaluării conformității gestionării patrimoniului public și a resurselor financiare de către S.A. „RED-Nord” în anii 2021-2022.</w:t>
      </w:r>
    </w:p>
    <w:p w14:paraId="43936607" w14:textId="3FCBECC9" w:rsidR="008115E8" w:rsidRPr="0080251F" w:rsidRDefault="008115E8" w:rsidP="008115E8">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Patrimoniul gestionat de </w:t>
      </w:r>
      <w:r w:rsidR="0049500D" w:rsidRPr="0080251F">
        <w:rPr>
          <w:rFonts w:ascii="Times New Roman" w:hAnsi="Times New Roman" w:cs="Times New Roman"/>
          <w:sz w:val="24"/>
          <w:szCs w:val="24"/>
          <w:lang w:val="ro-MD"/>
        </w:rPr>
        <w:t xml:space="preserve">către </w:t>
      </w:r>
      <w:r w:rsidRPr="0080251F">
        <w:rPr>
          <w:rFonts w:ascii="Times New Roman" w:hAnsi="Times New Roman" w:cs="Times New Roman"/>
          <w:sz w:val="24"/>
          <w:szCs w:val="24"/>
          <w:lang w:val="ro-MD"/>
        </w:rPr>
        <w:t xml:space="preserve">S.A. „RED-Nord” la finele anului 2022 a constituit </w:t>
      </w:r>
      <w:r w:rsidR="00970E32" w:rsidRPr="0080251F">
        <w:rPr>
          <w:rFonts w:ascii="Times New Roman" w:hAnsi="Times New Roman" w:cs="Times New Roman"/>
          <w:bCs/>
          <w:sz w:val="24"/>
          <w:szCs w:val="24"/>
          <w:lang w:val="ro-MD"/>
        </w:rPr>
        <w:t>2.986,5</w:t>
      </w:r>
      <w:r w:rsidRPr="0080251F">
        <w:rPr>
          <w:rFonts w:ascii="Times New Roman" w:hAnsi="Times New Roman" w:cs="Times New Roman"/>
          <w:sz w:val="24"/>
          <w:szCs w:val="24"/>
          <w:lang w:val="ro-MD"/>
        </w:rPr>
        <w:t xml:space="preserve"> mil. lei, majorându-se față de anul precedent cu </w:t>
      </w:r>
      <w:r w:rsidR="00970E32" w:rsidRPr="0080251F">
        <w:rPr>
          <w:rFonts w:ascii="Times New Roman" w:hAnsi="Times New Roman" w:cs="Times New Roman"/>
          <w:bCs/>
          <w:sz w:val="24"/>
          <w:szCs w:val="24"/>
          <w:lang w:val="ro-MD"/>
        </w:rPr>
        <w:t>28,3</w:t>
      </w:r>
      <w:r w:rsidR="00437A58" w:rsidRPr="0080251F">
        <w:rPr>
          <w:rFonts w:ascii="Times New Roman" w:hAnsi="Times New Roman" w:cs="Times New Roman"/>
          <w:sz w:val="24"/>
          <w:szCs w:val="24"/>
          <w:lang w:val="ro-MD"/>
        </w:rPr>
        <w:t xml:space="preserve"> mil</w:t>
      </w:r>
      <w:r w:rsidR="0052030F"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lei, datorită </w:t>
      </w:r>
      <w:r w:rsidR="00970E32" w:rsidRPr="0080251F">
        <w:rPr>
          <w:rFonts w:ascii="Times New Roman" w:hAnsi="Times New Roman" w:cs="Times New Roman"/>
          <w:sz w:val="24"/>
          <w:szCs w:val="24"/>
          <w:lang w:val="ro-MD"/>
        </w:rPr>
        <w:t>creșterii</w:t>
      </w:r>
      <w:r w:rsidR="003E5CE3" w:rsidRPr="0080251F">
        <w:rPr>
          <w:rFonts w:ascii="Times New Roman" w:hAnsi="Times New Roman" w:cs="Times New Roman"/>
          <w:sz w:val="24"/>
          <w:szCs w:val="24"/>
          <w:lang w:val="ro-MD"/>
        </w:rPr>
        <w:t xml:space="preserve"> </w:t>
      </w:r>
      <w:r w:rsidR="00136D7D" w:rsidRPr="0080251F">
        <w:rPr>
          <w:rFonts w:ascii="Times New Roman" w:hAnsi="Times New Roman" w:cs="Times New Roman"/>
          <w:sz w:val="24"/>
          <w:szCs w:val="24"/>
          <w:lang w:val="ro-MD"/>
        </w:rPr>
        <w:t xml:space="preserve">valorii </w:t>
      </w:r>
      <w:r w:rsidR="00A05743" w:rsidRPr="0080251F">
        <w:rPr>
          <w:rFonts w:ascii="Times New Roman" w:hAnsi="Times New Roman" w:cs="Times New Roman"/>
          <w:sz w:val="24"/>
          <w:szCs w:val="24"/>
          <w:lang w:val="ro-MD"/>
        </w:rPr>
        <w:t>stocului de materiale</w:t>
      </w:r>
      <w:r w:rsidR="003E5CE3" w:rsidRPr="0080251F">
        <w:rPr>
          <w:rFonts w:ascii="Times New Roman" w:hAnsi="Times New Roman" w:cs="Times New Roman"/>
          <w:sz w:val="24"/>
          <w:szCs w:val="24"/>
          <w:lang w:val="ro-MD"/>
        </w:rPr>
        <w:t xml:space="preserve"> și a creanțelor pe termen scurt.</w:t>
      </w:r>
    </w:p>
    <w:p w14:paraId="39B1F0F0" w14:textId="09F41CA5" w:rsidR="008115E8" w:rsidRPr="0080251F" w:rsidRDefault="008115E8" w:rsidP="008115E8">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Veniturile și cheltuielile înregistrate de S.A. „RED-Nord” la finele anului 2022 au constituit </w:t>
      </w:r>
      <w:r w:rsidR="002940A0" w:rsidRPr="0080251F">
        <w:rPr>
          <w:rFonts w:ascii="Times New Roman" w:hAnsi="Times New Roman" w:cs="Times New Roman"/>
          <w:sz w:val="24"/>
          <w:szCs w:val="24"/>
          <w:lang w:val="ro-MD"/>
        </w:rPr>
        <w:t>753,8</w:t>
      </w:r>
      <w:r w:rsidRPr="0080251F">
        <w:rPr>
          <w:rFonts w:ascii="Times New Roman" w:hAnsi="Times New Roman" w:cs="Times New Roman"/>
          <w:sz w:val="24"/>
          <w:szCs w:val="24"/>
          <w:lang w:val="ro-MD"/>
        </w:rPr>
        <w:t xml:space="preserve"> mil. lei și, respectiv, </w:t>
      </w:r>
      <w:r w:rsidR="002940A0" w:rsidRPr="0080251F">
        <w:rPr>
          <w:rFonts w:ascii="Times New Roman" w:hAnsi="Times New Roman" w:cs="Times New Roman"/>
          <w:sz w:val="24"/>
          <w:szCs w:val="24"/>
          <w:lang w:val="ro-MD"/>
        </w:rPr>
        <w:t>706,5</w:t>
      </w:r>
      <w:r w:rsidRPr="0080251F">
        <w:rPr>
          <w:rFonts w:ascii="Times New Roman" w:hAnsi="Times New Roman" w:cs="Times New Roman"/>
          <w:sz w:val="24"/>
          <w:szCs w:val="24"/>
          <w:lang w:val="ro-MD"/>
        </w:rPr>
        <w:t xml:space="preserve"> mil. lei. Ponderea cea mai mare în componența veniturilor </w:t>
      </w:r>
      <w:r w:rsidR="001000F9" w:rsidRPr="0080251F">
        <w:rPr>
          <w:rFonts w:ascii="Times New Roman" w:hAnsi="Times New Roman" w:cs="Times New Roman"/>
          <w:sz w:val="24"/>
          <w:szCs w:val="24"/>
          <w:lang w:val="ro-MD"/>
        </w:rPr>
        <w:t>s-a înregistrat pentru</w:t>
      </w:r>
      <w:r w:rsidR="007860B8" w:rsidRPr="0080251F">
        <w:rPr>
          <w:rFonts w:ascii="Times New Roman" w:hAnsi="Times New Roman" w:cs="Times New Roman"/>
          <w:sz w:val="24"/>
          <w:szCs w:val="24"/>
          <w:lang w:val="ro-MD"/>
        </w:rPr>
        <w:t xml:space="preserve"> </w:t>
      </w:r>
      <w:r w:rsidR="00A3224D" w:rsidRPr="0080251F">
        <w:rPr>
          <w:rFonts w:ascii="Times New Roman" w:hAnsi="Times New Roman" w:cs="Times New Roman"/>
          <w:sz w:val="24"/>
          <w:szCs w:val="24"/>
          <w:lang w:val="ro-MD"/>
        </w:rPr>
        <w:t>veniturile din vânzări</w:t>
      </w:r>
      <w:r w:rsidR="007860B8" w:rsidRPr="0080251F">
        <w:rPr>
          <w:rFonts w:ascii="Times New Roman" w:hAnsi="Times New Roman" w:cs="Times New Roman"/>
          <w:sz w:val="24"/>
          <w:szCs w:val="24"/>
          <w:lang w:val="ro-MD"/>
        </w:rPr>
        <w:t xml:space="preserve"> în valoare de </w:t>
      </w:r>
      <w:r w:rsidR="00083686" w:rsidRPr="0080251F">
        <w:rPr>
          <w:rFonts w:ascii="Times New Roman" w:hAnsi="Times New Roman" w:cs="Times New Roman"/>
          <w:sz w:val="24"/>
          <w:szCs w:val="24"/>
          <w:lang w:val="ro-MD"/>
        </w:rPr>
        <w:t>741,6</w:t>
      </w:r>
      <w:r w:rsidR="00F002D4" w:rsidRPr="0080251F">
        <w:rPr>
          <w:rFonts w:ascii="Times New Roman" w:hAnsi="Times New Roman" w:cs="Times New Roman"/>
          <w:sz w:val="24"/>
          <w:szCs w:val="24"/>
          <w:lang w:val="ro-MD"/>
        </w:rPr>
        <w:t xml:space="preserve"> mil. lei </w:t>
      </w:r>
      <w:r w:rsidRPr="0080251F">
        <w:rPr>
          <w:rFonts w:ascii="Times New Roman" w:hAnsi="Times New Roman" w:cs="Times New Roman"/>
          <w:sz w:val="24"/>
          <w:szCs w:val="24"/>
          <w:lang w:val="ro-MD"/>
        </w:rPr>
        <w:t>(</w:t>
      </w:r>
      <w:r w:rsidR="001000F9" w:rsidRPr="0080251F">
        <w:rPr>
          <w:rFonts w:ascii="Times New Roman" w:hAnsi="Times New Roman" w:cs="Times New Roman"/>
          <w:sz w:val="24"/>
          <w:szCs w:val="24"/>
          <w:lang w:val="ro-MD"/>
        </w:rPr>
        <w:t xml:space="preserve">sau </w:t>
      </w:r>
      <w:r w:rsidR="00A3224D" w:rsidRPr="0080251F">
        <w:rPr>
          <w:rFonts w:ascii="Times New Roman" w:hAnsi="Times New Roman" w:cs="Times New Roman"/>
          <w:sz w:val="24"/>
          <w:szCs w:val="24"/>
          <w:lang w:val="ro-MD"/>
        </w:rPr>
        <w:t>98,4</w:t>
      </w:r>
      <w:r w:rsidRPr="0080251F">
        <w:rPr>
          <w:rFonts w:ascii="Times New Roman" w:hAnsi="Times New Roman" w:cs="Times New Roman"/>
          <w:sz w:val="24"/>
          <w:szCs w:val="24"/>
          <w:lang w:val="ro-MD"/>
        </w:rPr>
        <w:t>%), iar în componența cheltuielilor</w:t>
      </w:r>
      <w:r w:rsidR="001000F9" w:rsidRPr="0080251F">
        <w:rPr>
          <w:rFonts w:ascii="Times New Roman" w:hAnsi="Times New Roman" w:cs="Times New Roman"/>
          <w:sz w:val="24"/>
          <w:szCs w:val="24"/>
          <w:lang w:val="ro-MD"/>
        </w:rPr>
        <w:t xml:space="preserve"> </w:t>
      </w:r>
      <w:r w:rsidR="00A3224D"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w:t>
      </w:r>
      <w:r w:rsidR="00A3224D" w:rsidRPr="0080251F">
        <w:rPr>
          <w:rFonts w:ascii="Times New Roman" w:hAnsi="Times New Roman" w:cs="Times New Roman"/>
          <w:sz w:val="24"/>
          <w:szCs w:val="24"/>
          <w:lang w:val="ro-MD"/>
        </w:rPr>
        <w:t>costul vâ</w:t>
      </w:r>
      <w:r w:rsidR="00083686" w:rsidRPr="0080251F">
        <w:rPr>
          <w:rFonts w:ascii="Times New Roman" w:hAnsi="Times New Roman" w:cs="Times New Roman"/>
          <w:sz w:val="24"/>
          <w:szCs w:val="24"/>
          <w:lang w:val="ro-MD"/>
        </w:rPr>
        <w:t>nzărilor în valoare de 631,1</w:t>
      </w:r>
      <w:r w:rsidR="00A3224D" w:rsidRPr="0080251F">
        <w:rPr>
          <w:rFonts w:ascii="Times New Roman" w:hAnsi="Times New Roman" w:cs="Times New Roman"/>
          <w:sz w:val="24"/>
          <w:szCs w:val="24"/>
          <w:lang w:val="ro-MD"/>
        </w:rPr>
        <w:t xml:space="preserve"> mil. lei</w:t>
      </w:r>
      <w:r w:rsidRPr="0080251F">
        <w:rPr>
          <w:rFonts w:ascii="Times New Roman" w:hAnsi="Times New Roman" w:cs="Times New Roman"/>
          <w:sz w:val="24"/>
          <w:szCs w:val="24"/>
          <w:lang w:val="ro-MD"/>
        </w:rPr>
        <w:t xml:space="preserve"> (</w:t>
      </w:r>
      <w:r w:rsidR="001000F9" w:rsidRPr="0080251F">
        <w:rPr>
          <w:rFonts w:ascii="Times New Roman" w:hAnsi="Times New Roman" w:cs="Times New Roman"/>
          <w:sz w:val="24"/>
          <w:szCs w:val="24"/>
          <w:lang w:val="ro-MD"/>
        </w:rPr>
        <w:t xml:space="preserve">sau </w:t>
      </w:r>
      <w:r w:rsidR="00083686" w:rsidRPr="0080251F">
        <w:rPr>
          <w:rFonts w:ascii="Times New Roman" w:hAnsi="Times New Roman" w:cs="Times New Roman"/>
          <w:sz w:val="24"/>
          <w:szCs w:val="24"/>
          <w:lang w:val="ro-MD"/>
        </w:rPr>
        <w:t>89,3</w:t>
      </w:r>
      <w:r w:rsidRPr="0080251F">
        <w:rPr>
          <w:rFonts w:ascii="Times New Roman" w:hAnsi="Times New Roman" w:cs="Times New Roman"/>
          <w:sz w:val="24"/>
          <w:szCs w:val="24"/>
          <w:lang w:val="ro-MD"/>
        </w:rPr>
        <w:t>%).</w:t>
      </w:r>
    </w:p>
    <w:p w14:paraId="189C30D7" w14:textId="780FB576" w:rsidR="00783E80" w:rsidRPr="0080251F" w:rsidRDefault="0053557C" w:rsidP="003C6D53">
      <w:pPr>
        <w:tabs>
          <w:tab w:val="left" w:pos="567"/>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Potrivit prevederilor H</w:t>
      </w:r>
      <w:r w:rsidR="000A32B2" w:rsidRPr="0080251F">
        <w:rPr>
          <w:rFonts w:ascii="Times New Roman" w:hAnsi="Times New Roman" w:cs="Times New Roman"/>
          <w:bCs/>
          <w:sz w:val="24"/>
          <w:szCs w:val="24"/>
          <w:lang w:val="ro-MD"/>
        </w:rPr>
        <w:t>ANRE</w:t>
      </w:r>
      <w:r w:rsidR="004C4954"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nr.283/2020 din 07.08.2020 „Cu privire la aprobarea Regulilor pieței energiei electrice”</w:t>
      </w:r>
      <w:r w:rsidR="004C4954" w:rsidRPr="0080251F">
        <w:rPr>
          <w:rFonts w:ascii="Times New Roman" w:hAnsi="Times New Roman" w:cs="Times New Roman"/>
          <w:bCs/>
          <w:sz w:val="24"/>
          <w:szCs w:val="24"/>
          <w:lang w:val="ro-MD"/>
        </w:rPr>
        <w:t xml:space="preserve">, operatorul sistemelor de distribuție achiziționează pe piața energiei electrice doar energia electrică necesară </w:t>
      </w:r>
      <w:r w:rsidR="002E29A7" w:rsidRPr="0080251F">
        <w:rPr>
          <w:rFonts w:ascii="Times New Roman" w:hAnsi="Times New Roman" w:cs="Times New Roman"/>
          <w:bCs/>
          <w:sz w:val="24"/>
          <w:szCs w:val="24"/>
          <w:lang w:val="ro-MD"/>
        </w:rPr>
        <w:t xml:space="preserve">pentru </w:t>
      </w:r>
      <w:r w:rsidR="004C4954" w:rsidRPr="0080251F">
        <w:rPr>
          <w:rFonts w:ascii="Times New Roman" w:hAnsi="Times New Roman" w:cs="Times New Roman"/>
          <w:bCs/>
          <w:sz w:val="24"/>
          <w:szCs w:val="24"/>
          <w:lang w:val="ro-MD"/>
        </w:rPr>
        <w:t>acoperir</w:t>
      </w:r>
      <w:r w:rsidR="002E29A7" w:rsidRPr="0080251F">
        <w:rPr>
          <w:rFonts w:ascii="Times New Roman" w:hAnsi="Times New Roman" w:cs="Times New Roman"/>
          <w:bCs/>
          <w:sz w:val="24"/>
          <w:szCs w:val="24"/>
          <w:lang w:val="ro-MD"/>
        </w:rPr>
        <w:t>ea</w:t>
      </w:r>
      <w:r w:rsidR="004C4954" w:rsidRPr="0080251F">
        <w:rPr>
          <w:rFonts w:ascii="Times New Roman" w:hAnsi="Times New Roman" w:cs="Times New Roman"/>
          <w:bCs/>
          <w:sz w:val="24"/>
          <w:szCs w:val="24"/>
          <w:lang w:val="ro-MD"/>
        </w:rPr>
        <w:t xml:space="preserve"> consumului tehnologic și a pierderilor de energie electrică în rețelele pe care le operează.</w:t>
      </w:r>
    </w:p>
    <w:p w14:paraId="7C7EE3D7" w14:textId="5B6972F0" w:rsidR="00FF176F" w:rsidRPr="0080251F" w:rsidRDefault="00FF176F" w:rsidP="006D5B68">
      <w:pPr>
        <w:pStyle w:val="a3"/>
        <w:spacing w:line="276" w:lineRule="auto"/>
        <w:ind w:firstLine="709"/>
        <w:jc w:val="both"/>
        <w:rPr>
          <w:rFonts w:ascii="Times New Roman" w:eastAsia="Times New Roman" w:hAnsi="Times New Roman" w:cs="Times New Roman"/>
          <w:iCs/>
          <w:sz w:val="24"/>
          <w:szCs w:val="24"/>
          <w:lang w:eastAsia="ro-MD"/>
        </w:rPr>
      </w:pPr>
      <w:r w:rsidRPr="0080251F">
        <w:rPr>
          <w:rFonts w:ascii="Times New Roman" w:hAnsi="Times New Roman" w:cs="Times New Roman"/>
          <w:sz w:val="24"/>
          <w:szCs w:val="24"/>
        </w:rPr>
        <w:t>Misiunea de audit a fost efectuată în conformitate cu Standardele Internaționale ale Instituțiilor Supreme de Audit aplicate de Curtea de Conturi</w:t>
      </w:r>
      <w:r w:rsidR="008F1B3A" w:rsidRPr="0080251F">
        <w:rPr>
          <w:rStyle w:val="a5"/>
          <w:rFonts w:ascii="Times New Roman" w:hAnsi="Times New Roman" w:cs="Times New Roman"/>
          <w:sz w:val="24"/>
          <w:szCs w:val="24"/>
        </w:rPr>
        <w:footnoteReference w:id="9"/>
      </w:r>
      <w:r w:rsidRPr="0080251F">
        <w:rPr>
          <w:rFonts w:ascii="Times New Roman" w:hAnsi="Times New Roman" w:cs="Times New Roman"/>
          <w:sz w:val="24"/>
          <w:szCs w:val="24"/>
        </w:rPr>
        <w:t xml:space="preserve"> (ISSAI</w:t>
      </w:r>
      <w:r w:rsidR="008F1B3A" w:rsidRPr="0080251F">
        <w:rPr>
          <w:rFonts w:ascii="Times New Roman" w:hAnsi="Times New Roman" w:cs="Times New Roman"/>
          <w:sz w:val="24"/>
          <w:szCs w:val="24"/>
        </w:rPr>
        <w:t xml:space="preserve"> 100, ISSAI 400 și ISSAI 4000) și cu cadrul</w:t>
      </w:r>
      <w:r w:rsidRPr="0080251F">
        <w:rPr>
          <w:rFonts w:ascii="Times New Roman" w:hAnsi="Times New Roman" w:cs="Times New Roman"/>
          <w:sz w:val="24"/>
          <w:szCs w:val="24"/>
        </w:rPr>
        <w:t xml:space="preserve"> de reglementare intern.</w:t>
      </w:r>
      <w:r w:rsidRPr="0080251F">
        <w:t xml:space="preserve"> </w:t>
      </w:r>
      <w:r w:rsidR="00575F24" w:rsidRPr="0080251F">
        <w:rPr>
          <w:rFonts w:ascii="Times New Roman" w:hAnsi="Times New Roman" w:cs="Times New Roman"/>
          <w:sz w:val="24"/>
          <w:szCs w:val="24"/>
        </w:rPr>
        <w:t>Subiect</w:t>
      </w:r>
      <w:r w:rsidR="00D26894" w:rsidRPr="0080251F">
        <w:rPr>
          <w:rFonts w:ascii="Times New Roman" w:hAnsi="Times New Roman" w:cs="Times New Roman"/>
          <w:sz w:val="24"/>
          <w:szCs w:val="24"/>
        </w:rPr>
        <w:t>ele</w:t>
      </w:r>
      <w:r w:rsidR="00575F24" w:rsidRPr="0080251F">
        <w:rPr>
          <w:rFonts w:ascii="Times New Roman" w:hAnsi="Times New Roman" w:cs="Times New Roman"/>
          <w:sz w:val="24"/>
          <w:szCs w:val="24"/>
        </w:rPr>
        <w:t xml:space="preserve"> auditat</w:t>
      </w:r>
      <w:r w:rsidR="00D26894" w:rsidRPr="0080251F">
        <w:rPr>
          <w:rFonts w:ascii="Times New Roman" w:hAnsi="Times New Roman" w:cs="Times New Roman"/>
          <w:sz w:val="24"/>
          <w:szCs w:val="24"/>
        </w:rPr>
        <w:t>e</w:t>
      </w:r>
      <w:r w:rsidR="00575F24" w:rsidRPr="0080251F">
        <w:rPr>
          <w:rFonts w:ascii="Times New Roman" w:hAnsi="Times New Roman" w:cs="Times New Roman"/>
          <w:sz w:val="24"/>
          <w:szCs w:val="24"/>
        </w:rPr>
        <w:t xml:space="preserve"> a</w:t>
      </w:r>
      <w:r w:rsidR="00D26894" w:rsidRPr="0080251F">
        <w:rPr>
          <w:rFonts w:ascii="Times New Roman" w:hAnsi="Times New Roman" w:cs="Times New Roman"/>
          <w:sz w:val="24"/>
          <w:szCs w:val="24"/>
        </w:rPr>
        <w:t>u</w:t>
      </w:r>
      <w:r w:rsidRPr="0080251F">
        <w:rPr>
          <w:rFonts w:ascii="Times New Roman" w:hAnsi="Times New Roman" w:cs="Times New Roman"/>
          <w:sz w:val="24"/>
          <w:szCs w:val="24"/>
        </w:rPr>
        <w:t xml:space="preserve"> fost abordat</w:t>
      </w:r>
      <w:r w:rsidR="00D26894" w:rsidRPr="0080251F">
        <w:rPr>
          <w:rFonts w:ascii="Times New Roman" w:hAnsi="Times New Roman" w:cs="Times New Roman"/>
          <w:sz w:val="24"/>
          <w:szCs w:val="24"/>
        </w:rPr>
        <w:t>e</w:t>
      </w:r>
      <w:r w:rsidRPr="0080251F">
        <w:rPr>
          <w:rFonts w:ascii="Times New Roman" w:hAnsi="Times New Roman" w:cs="Times New Roman"/>
          <w:sz w:val="24"/>
          <w:szCs w:val="24"/>
        </w:rPr>
        <w:t xml:space="preserve"> prin evaluarea mai multor procese/ activități din cadrul </w:t>
      </w:r>
      <w:r w:rsidR="00577E96" w:rsidRPr="0080251F">
        <w:rPr>
          <w:rFonts w:ascii="Times New Roman" w:hAnsi="Times New Roman" w:cs="Times New Roman"/>
          <w:sz w:val="24"/>
          <w:szCs w:val="24"/>
        </w:rPr>
        <w:t>S.A. „RED-Nord”</w:t>
      </w:r>
      <w:r w:rsidR="00D26894" w:rsidRPr="0080251F">
        <w:rPr>
          <w:rFonts w:ascii="Times New Roman" w:hAnsi="Times New Roman" w:cs="Times New Roman"/>
          <w:sz w:val="24"/>
          <w:szCs w:val="24"/>
        </w:rPr>
        <w:t xml:space="preserve"> în corespundere cu criteriile de audit selectate</w:t>
      </w:r>
      <w:r w:rsidRPr="0080251F">
        <w:rPr>
          <w:rFonts w:ascii="Times New Roman" w:eastAsia="Times New Roman" w:hAnsi="Times New Roman" w:cs="Times New Roman"/>
          <w:iCs/>
          <w:sz w:val="24"/>
          <w:szCs w:val="24"/>
          <w:lang w:eastAsia="ro-MD"/>
        </w:rPr>
        <w:t xml:space="preserve">, </w:t>
      </w:r>
      <w:r w:rsidR="001C6A71" w:rsidRPr="0080251F">
        <w:rPr>
          <w:rFonts w:ascii="Times New Roman" w:eastAsia="Times New Roman" w:hAnsi="Times New Roman" w:cs="Times New Roman"/>
          <w:iCs/>
          <w:sz w:val="24"/>
          <w:szCs w:val="24"/>
          <w:lang w:eastAsia="ro-MD"/>
        </w:rPr>
        <w:t xml:space="preserve">cum ar fi: </w:t>
      </w:r>
      <w:r w:rsidR="001C6A71" w:rsidRPr="0080251F">
        <w:rPr>
          <w:rFonts w:ascii="Times New Roman" w:eastAsia="Times New Roman" w:hAnsi="Times New Roman" w:cs="Times New Roman"/>
          <w:bCs/>
          <w:iCs/>
          <w:sz w:val="24"/>
          <w:szCs w:val="24"/>
          <w:lang w:eastAsia="ro-MD"/>
        </w:rPr>
        <w:t xml:space="preserve">înregistrarea, evidența și utilizarea </w:t>
      </w:r>
      <w:r w:rsidR="00575F24" w:rsidRPr="0080251F">
        <w:rPr>
          <w:rFonts w:ascii="Times New Roman" w:eastAsia="Times New Roman" w:hAnsi="Times New Roman" w:cs="Times New Roman"/>
          <w:bCs/>
          <w:iCs/>
          <w:sz w:val="24"/>
          <w:szCs w:val="24"/>
          <w:lang w:eastAsia="ro-MD"/>
        </w:rPr>
        <w:t xml:space="preserve">imobilizărilor </w:t>
      </w:r>
      <w:r w:rsidR="006D5B68" w:rsidRPr="0080251F">
        <w:rPr>
          <w:rFonts w:ascii="Times New Roman" w:eastAsia="Times New Roman" w:hAnsi="Times New Roman" w:cs="Times New Roman"/>
          <w:bCs/>
          <w:iCs/>
          <w:sz w:val="24"/>
          <w:szCs w:val="24"/>
          <w:lang w:eastAsia="ro-MD"/>
        </w:rPr>
        <w:t>(</w:t>
      </w:r>
      <w:r w:rsidR="00575F24" w:rsidRPr="0080251F">
        <w:rPr>
          <w:rFonts w:ascii="Times New Roman" w:eastAsia="Times New Roman" w:hAnsi="Times New Roman" w:cs="Times New Roman"/>
          <w:bCs/>
          <w:iCs/>
          <w:sz w:val="24"/>
          <w:szCs w:val="24"/>
          <w:lang w:eastAsia="ro-MD"/>
        </w:rPr>
        <w:t>ne</w:t>
      </w:r>
      <w:r w:rsidR="006D5B68" w:rsidRPr="0080251F">
        <w:rPr>
          <w:rFonts w:ascii="Times New Roman" w:eastAsia="Times New Roman" w:hAnsi="Times New Roman" w:cs="Times New Roman"/>
          <w:bCs/>
          <w:iCs/>
          <w:sz w:val="24"/>
          <w:szCs w:val="24"/>
          <w:lang w:eastAsia="ro-MD"/>
        </w:rPr>
        <w:t>)</w:t>
      </w:r>
      <w:r w:rsidR="00575F24" w:rsidRPr="0080251F">
        <w:rPr>
          <w:rFonts w:ascii="Times New Roman" w:eastAsia="Times New Roman" w:hAnsi="Times New Roman" w:cs="Times New Roman"/>
          <w:bCs/>
          <w:iCs/>
          <w:sz w:val="24"/>
          <w:szCs w:val="24"/>
          <w:lang w:eastAsia="ro-MD"/>
        </w:rPr>
        <w:t>corporale</w:t>
      </w:r>
      <w:r w:rsidR="006D5B68" w:rsidRPr="0080251F">
        <w:rPr>
          <w:rFonts w:ascii="Times New Roman" w:eastAsia="Times New Roman" w:hAnsi="Times New Roman" w:cs="Times New Roman"/>
          <w:bCs/>
          <w:iCs/>
          <w:sz w:val="24"/>
          <w:szCs w:val="24"/>
          <w:lang w:eastAsia="ro-MD"/>
        </w:rPr>
        <w:t xml:space="preserve"> și a </w:t>
      </w:r>
      <w:r w:rsidR="00A05743" w:rsidRPr="0080251F">
        <w:rPr>
          <w:rFonts w:ascii="Times New Roman" w:eastAsia="Times New Roman" w:hAnsi="Times New Roman" w:cs="Times New Roman"/>
          <w:bCs/>
          <w:iCs/>
          <w:sz w:val="24"/>
          <w:szCs w:val="24"/>
          <w:lang w:eastAsia="ro-MD"/>
        </w:rPr>
        <w:t>material</w:t>
      </w:r>
      <w:r w:rsidR="00371992" w:rsidRPr="0080251F">
        <w:rPr>
          <w:rFonts w:ascii="Times New Roman" w:eastAsia="Times New Roman" w:hAnsi="Times New Roman" w:cs="Times New Roman"/>
          <w:bCs/>
          <w:iCs/>
          <w:sz w:val="24"/>
          <w:szCs w:val="24"/>
          <w:lang w:eastAsia="ro-MD"/>
        </w:rPr>
        <w:t>e</w:t>
      </w:r>
      <w:r w:rsidR="006D5B68" w:rsidRPr="0080251F">
        <w:rPr>
          <w:rFonts w:ascii="Times New Roman" w:eastAsia="Times New Roman" w:hAnsi="Times New Roman" w:cs="Times New Roman"/>
          <w:bCs/>
          <w:iCs/>
          <w:sz w:val="24"/>
          <w:szCs w:val="24"/>
          <w:lang w:eastAsia="ro-MD"/>
        </w:rPr>
        <w:t>lor</w:t>
      </w:r>
      <w:r w:rsidR="00575F24" w:rsidRPr="0080251F">
        <w:rPr>
          <w:rFonts w:ascii="Times New Roman" w:eastAsia="Times New Roman" w:hAnsi="Times New Roman" w:cs="Times New Roman"/>
          <w:bCs/>
          <w:iCs/>
          <w:sz w:val="24"/>
          <w:szCs w:val="24"/>
          <w:lang w:eastAsia="ro-MD"/>
        </w:rPr>
        <w:t xml:space="preserve">; </w:t>
      </w:r>
      <w:r w:rsidR="00371992" w:rsidRPr="0080251F">
        <w:rPr>
          <w:rFonts w:ascii="Times New Roman" w:eastAsia="Times New Roman" w:hAnsi="Times New Roman" w:cs="Times New Roman"/>
          <w:bCs/>
          <w:iCs/>
          <w:sz w:val="24"/>
          <w:szCs w:val="24"/>
          <w:lang w:eastAsia="ro-MD"/>
        </w:rPr>
        <w:t xml:space="preserve">evidența și raportarea creanțelor și datoriilor; cheltuielile aferente retribuirii muncii; </w:t>
      </w:r>
      <w:r w:rsidR="001C6A71" w:rsidRPr="0080251F">
        <w:rPr>
          <w:rFonts w:ascii="Times New Roman" w:eastAsia="Times New Roman" w:hAnsi="Times New Roman" w:cs="Times New Roman"/>
          <w:bCs/>
          <w:iCs/>
          <w:sz w:val="24"/>
          <w:szCs w:val="24"/>
          <w:lang w:eastAsia="ro-MD"/>
        </w:rPr>
        <w:t>achiziția de bunuri, servicii și lucrări</w:t>
      </w:r>
      <w:r w:rsidR="001C6A71" w:rsidRPr="0080251F">
        <w:rPr>
          <w:rFonts w:ascii="Times New Roman" w:eastAsia="Times New Roman" w:hAnsi="Times New Roman" w:cs="Times New Roman"/>
          <w:iCs/>
          <w:sz w:val="24"/>
          <w:szCs w:val="24"/>
          <w:lang w:eastAsia="ro-MD"/>
        </w:rPr>
        <w:t>;</w:t>
      </w:r>
      <w:r w:rsidR="001C6A71" w:rsidRPr="0080251F">
        <w:rPr>
          <w:rFonts w:ascii="Times New Roman" w:eastAsia="Times New Roman" w:hAnsi="Times New Roman" w:cs="Times New Roman"/>
          <w:bCs/>
          <w:iCs/>
          <w:sz w:val="24"/>
          <w:szCs w:val="24"/>
          <w:lang w:eastAsia="ro-MD"/>
        </w:rPr>
        <w:t xml:space="preserve"> cheltuielile aferente investi</w:t>
      </w:r>
      <w:r w:rsidR="00371992" w:rsidRPr="0080251F">
        <w:rPr>
          <w:rFonts w:ascii="Times New Roman" w:eastAsia="Times New Roman" w:hAnsi="Times New Roman" w:cs="Times New Roman"/>
          <w:bCs/>
          <w:iCs/>
          <w:sz w:val="24"/>
          <w:szCs w:val="24"/>
          <w:lang w:eastAsia="ro-MD"/>
        </w:rPr>
        <w:t>țiilor și reparațiilor capitale</w:t>
      </w:r>
      <w:r w:rsidR="001C6A71" w:rsidRPr="0080251F">
        <w:rPr>
          <w:rFonts w:ascii="Times New Roman" w:eastAsia="Times New Roman" w:hAnsi="Times New Roman" w:cs="Times New Roman"/>
          <w:bCs/>
          <w:iCs/>
          <w:sz w:val="24"/>
          <w:szCs w:val="24"/>
          <w:lang w:eastAsia="ro-MD"/>
        </w:rPr>
        <w:t>; activitatea reglementată prin tarif;</w:t>
      </w:r>
      <w:r w:rsidR="001C6A71" w:rsidRPr="0080251F">
        <w:rPr>
          <w:rFonts w:ascii="Times New Roman" w:eastAsia="Times New Roman" w:hAnsi="Times New Roman" w:cs="Times New Roman"/>
          <w:iCs/>
          <w:sz w:val="24"/>
          <w:szCs w:val="24"/>
          <w:lang w:eastAsia="ro-MD"/>
        </w:rPr>
        <w:t xml:space="preserve"> </w:t>
      </w:r>
      <w:r w:rsidR="00371992" w:rsidRPr="0080251F">
        <w:rPr>
          <w:rFonts w:ascii="Times New Roman" w:eastAsia="Times New Roman" w:hAnsi="Times New Roman" w:cs="Times New Roman"/>
          <w:bCs/>
          <w:iCs/>
          <w:sz w:val="24"/>
          <w:szCs w:val="24"/>
          <w:lang w:eastAsia="ro-MD"/>
        </w:rPr>
        <w:t xml:space="preserve">efectuarea cheltuielilor din profitul net; </w:t>
      </w:r>
      <w:r w:rsidR="001C6A71" w:rsidRPr="0080251F">
        <w:rPr>
          <w:rFonts w:ascii="Times New Roman" w:eastAsia="Times New Roman" w:hAnsi="Times New Roman" w:cs="Times New Roman"/>
          <w:iCs/>
          <w:sz w:val="24"/>
          <w:szCs w:val="24"/>
          <w:lang w:eastAsia="ro-MD"/>
        </w:rPr>
        <w:t>etc., oferind asigurare limitată.</w:t>
      </w:r>
    </w:p>
    <w:p w14:paraId="40BBB973" w14:textId="0DB15506" w:rsidR="00E658C1" w:rsidRPr="0080251F" w:rsidRDefault="00FF176F" w:rsidP="00F62E09">
      <w:pPr>
        <w:pStyle w:val="a3"/>
        <w:spacing w:line="276" w:lineRule="auto"/>
        <w:ind w:firstLine="709"/>
        <w:jc w:val="both"/>
        <w:rPr>
          <w:rFonts w:ascii="Times New Roman" w:eastAsia="Times New Roman" w:hAnsi="Times New Roman" w:cs="Times New Roman"/>
          <w:sz w:val="24"/>
          <w:szCs w:val="24"/>
          <w:lang w:eastAsia="ro-MD"/>
        </w:rPr>
      </w:pPr>
      <w:r w:rsidRPr="0080251F">
        <w:rPr>
          <w:rFonts w:ascii="Times New Roman" w:eastAsia="Times New Roman" w:hAnsi="Times New Roman" w:cs="Times New Roman"/>
          <w:iCs/>
          <w:sz w:val="24"/>
          <w:szCs w:val="24"/>
          <w:lang w:eastAsia="ro-MD"/>
        </w:rPr>
        <w:t xml:space="preserve">Curtea </w:t>
      </w:r>
      <w:r w:rsidR="001D4402" w:rsidRPr="0080251F">
        <w:rPr>
          <w:rFonts w:ascii="Times New Roman" w:eastAsia="Times New Roman" w:hAnsi="Times New Roman" w:cs="Times New Roman"/>
          <w:iCs/>
          <w:sz w:val="24"/>
          <w:szCs w:val="24"/>
          <w:lang w:eastAsia="ro-MD"/>
        </w:rPr>
        <w:t xml:space="preserve">de Conturi </w:t>
      </w:r>
      <w:r w:rsidRPr="0080251F">
        <w:rPr>
          <w:rFonts w:ascii="Times New Roman" w:eastAsia="Times New Roman" w:hAnsi="Times New Roman" w:cs="Times New Roman"/>
          <w:iCs/>
          <w:sz w:val="24"/>
          <w:szCs w:val="24"/>
          <w:lang w:eastAsia="ro-MD"/>
        </w:rPr>
        <w:t>concluzionează că</w:t>
      </w:r>
      <w:r w:rsidR="00053222" w:rsidRPr="0080251F">
        <w:rPr>
          <w:rFonts w:ascii="Times New Roman" w:eastAsia="Times New Roman" w:hAnsi="Times New Roman" w:cs="Times New Roman"/>
          <w:iCs/>
          <w:sz w:val="24"/>
          <w:szCs w:val="24"/>
          <w:lang w:eastAsia="ro-MD"/>
        </w:rPr>
        <w:t>,</w:t>
      </w:r>
      <w:r w:rsidRPr="0080251F">
        <w:rPr>
          <w:rFonts w:ascii="Times New Roman" w:eastAsia="Times New Roman" w:hAnsi="Times New Roman" w:cs="Times New Roman"/>
          <w:iCs/>
          <w:sz w:val="24"/>
          <w:szCs w:val="24"/>
          <w:lang w:eastAsia="ro-MD"/>
        </w:rPr>
        <w:t xml:space="preserve"> în perioada supusă auditului, </w:t>
      </w:r>
      <w:r w:rsidRPr="0080251F">
        <w:rPr>
          <w:rFonts w:ascii="Times New Roman" w:hAnsi="Times New Roman" w:cs="Times New Roman"/>
          <w:sz w:val="24"/>
          <w:szCs w:val="24"/>
        </w:rPr>
        <w:t xml:space="preserve">au fost identificate unele deficiențe </w:t>
      </w:r>
      <w:r w:rsidR="001D4402" w:rsidRPr="0080251F">
        <w:rPr>
          <w:rFonts w:ascii="Times New Roman" w:hAnsi="Times New Roman" w:cs="Times New Roman"/>
          <w:sz w:val="24"/>
          <w:szCs w:val="24"/>
        </w:rPr>
        <w:t xml:space="preserve">și neconformități </w:t>
      </w:r>
      <w:r w:rsidRPr="0080251F">
        <w:rPr>
          <w:rFonts w:ascii="Times New Roman" w:hAnsi="Times New Roman" w:cs="Times New Roman"/>
          <w:sz w:val="24"/>
          <w:szCs w:val="24"/>
        </w:rPr>
        <w:t>aferente gestionării patrimoniului public și a resurselor financiare, care au afectat buna guvernare a patrimoniului public încredințat</w:t>
      </w:r>
      <w:r w:rsidR="00E362D9" w:rsidRPr="0080251F">
        <w:rPr>
          <w:rFonts w:ascii="Times New Roman" w:hAnsi="Times New Roman" w:cs="Times New Roman"/>
          <w:sz w:val="24"/>
          <w:szCs w:val="24"/>
        </w:rPr>
        <w:t>. A</w:t>
      </w:r>
      <w:r w:rsidR="001D4402" w:rsidRPr="0080251F">
        <w:rPr>
          <w:rFonts w:ascii="Times New Roman" w:hAnsi="Times New Roman" w:cs="Times New Roman"/>
          <w:sz w:val="24"/>
          <w:szCs w:val="24"/>
        </w:rPr>
        <w:t>cestea</w:t>
      </w:r>
      <w:r w:rsidR="00F62E09" w:rsidRPr="0080251F">
        <w:rPr>
          <w:rFonts w:ascii="Times New Roman" w:hAnsi="Times New Roman" w:cs="Times New Roman"/>
          <w:sz w:val="24"/>
          <w:szCs w:val="24"/>
        </w:rPr>
        <w:t>,</w:t>
      </w:r>
      <w:r w:rsidR="001D4402" w:rsidRPr="0080251F">
        <w:rPr>
          <w:rFonts w:ascii="Times New Roman" w:hAnsi="Times New Roman" w:cs="Times New Roman"/>
          <w:sz w:val="24"/>
          <w:szCs w:val="24"/>
        </w:rPr>
        <w:t xml:space="preserve"> fiind </w:t>
      </w:r>
      <w:r w:rsidRPr="0080251F">
        <w:rPr>
          <w:rFonts w:ascii="Times New Roman" w:hAnsi="Times New Roman" w:cs="Times New Roman"/>
          <w:sz w:val="24"/>
          <w:szCs w:val="24"/>
        </w:rPr>
        <w:t>cauzate atât de unele lacune ale sistemului de control intern managerial, cât și de neconformarea respon</w:t>
      </w:r>
      <w:r w:rsidR="00B06627" w:rsidRPr="0080251F">
        <w:rPr>
          <w:rFonts w:ascii="Times New Roman" w:hAnsi="Times New Roman" w:cs="Times New Roman"/>
          <w:sz w:val="24"/>
          <w:szCs w:val="24"/>
        </w:rPr>
        <w:t>sabililor din cadrul entității</w:t>
      </w:r>
      <w:r w:rsidRPr="0080251F">
        <w:rPr>
          <w:rFonts w:ascii="Times New Roman" w:hAnsi="Times New Roman" w:cs="Times New Roman"/>
          <w:sz w:val="24"/>
          <w:szCs w:val="24"/>
        </w:rPr>
        <w:t xml:space="preserve"> la prevederile cadrului normativ</w:t>
      </w:r>
      <w:r w:rsidR="008C3BBC" w:rsidRPr="0080251F">
        <w:rPr>
          <w:rFonts w:ascii="Times New Roman" w:hAnsi="Times New Roman" w:cs="Times New Roman"/>
          <w:sz w:val="24"/>
          <w:szCs w:val="24"/>
        </w:rPr>
        <w:t>, se rezumă la următoarele</w:t>
      </w:r>
      <w:r w:rsidR="00F13B92" w:rsidRPr="0080251F">
        <w:rPr>
          <w:rFonts w:ascii="Times New Roman" w:hAnsi="Times New Roman" w:cs="Times New Roman"/>
          <w:sz w:val="24"/>
          <w:szCs w:val="24"/>
        </w:rPr>
        <w:t>:</w:t>
      </w:r>
      <w:r w:rsidR="00F62E09" w:rsidRPr="0080251F">
        <w:rPr>
          <w:rFonts w:ascii="Times New Roman" w:eastAsia="Times New Roman" w:hAnsi="Times New Roman" w:cs="Times New Roman"/>
          <w:sz w:val="24"/>
          <w:szCs w:val="24"/>
          <w:lang w:eastAsia="ro-MD"/>
        </w:rPr>
        <w:t xml:space="preserve"> </w:t>
      </w:r>
    </w:p>
    <w:p w14:paraId="6F4B761F" w14:textId="26F83689" w:rsidR="00F45737" w:rsidRPr="0080251F" w:rsidRDefault="00F45737" w:rsidP="00F45737">
      <w:pPr>
        <w:numPr>
          <w:ilvl w:val="0"/>
          <w:numId w:val="5"/>
        </w:numPr>
        <w:tabs>
          <w:tab w:val="left" w:pos="993"/>
        </w:tabs>
        <w:spacing w:after="0" w:line="276" w:lineRule="auto"/>
        <w:ind w:left="0" w:firstLine="709"/>
        <w:jc w:val="both"/>
        <w:rPr>
          <w:rFonts w:ascii="Times New Roman" w:hAnsi="Times New Roman" w:cs="Times New Roman"/>
          <w:i/>
          <w:iCs/>
          <w:sz w:val="24"/>
          <w:szCs w:val="24"/>
          <w:lang w:val="ro-MD"/>
        </w:rPr>
      </w:pPr>
      <w:r w:rsidRPr="0080251F">
        <w:rPr>
          <w:rFonts w:ascii="Times New Roman" w:hAnsi="Times New Roman" w:cs="Times New Roman"/>
          <w:i/>
          <w:sz w:val="24"/>
          <w:szCs w:val="24"/>
          <w:lang w:val="ro-MD"/>
        </w:rPr>
        <w:t xml:space="preserve">aplicarea neconformă a prevederilor cadrului normativ în vigoare și lipsa unui control riguros din partea Consiliului </w:t>
      </w:r>
      <w:r w:rsidR="00B46AD7" w:rsidRPr="0080251F">
        <w:rPr>
          <w:rFonts w:ascii="Times New Roman" w:hAnsi="Times New Roman" w:cs="Times New Roman"/>
          <w:i/>
          <w:sz w:val="24"/>
          <w:szCs w:val="24"/>
          <w:lang w:val="ro-MD"/>
        </w:rPr>
        <w:t>s</w:t>
      </w:r>
      <w:r w:rsidRPr="0080251F">
        <w:rPr>
          <w:rFonts w:ascii="Times New Roman" w:hAnsi="Times New Roman" w:cs="Times New Roman"/>
          <w:i/>
          <w:sz w:val="24"/>
          <w:szCs w:val="24"/>
          <w:lang w:val="ro-MD"/>
        </w:rPr>
        <w:t>ocietății au condiționat</w:t>
      </w:r>
      <w:r w:rsidRPr="0080251F">
        <w:rPr>
          <w:rFonts w:ascii="Times New Roman" w:hAnsi="Times New Roman" w:cs="Times New Roman"/>
          <w:i/>
          <w:iCs/>
          <w:sz w:val="24"/>
          <w:szCs w:val="24"/>
          <w:lang w:val="ro-MD"/>
        </w:rPr>
        <w:t xml:space="preserve"> majorarea neregulamentară a cheltuielilor de salarizare cu</w:t>
      </w:r>
      <w:r w:rsidRPr="0080251F">
        <w:rPr>
          <w:rFonts w:ascii="Times New Roman" w:hAnsi="Times New Roman" w:cs="Times New Roman"/>
          <w:i/>
          <w:sz w:val="24"/>
          <w:szCs w:val="24"/>
          <w:lang w:val="ro-MD"/>
        </w:rPr>
        <w:t xml:space="preserve"> 2,5 mil. lei</w:t>
      </w:r>
      <w:r w:rsidR="00EE041E" w:rsidRPr="0080251F">
        <w:rPr>
          <w:rFonts w:ascii="Times New Roman" w:hAnsi="Times New Roman" w:cs="Times New Roman"/>
          <w:i/>
          <w:iCs/>
          <w:sz w:val="24"/>
          <w:szCs w:val="24"/>
          <w:lang w:val="ro-MD"/>
        </w:rPr>
        <w:t>;</w:t>
      </w:r>
      <w:r w:rsidRPr="0080251F">
        <w:rPr>
          <w:rFonts w:ascii="Times New Roman" w:hAnsi="Times New Roman" w:cs="Times New Roman"/>
          <w:i/>
          <w:iCs/>
          <w:sz w:val="24"/>
          <w:szCs w:val="24"/>
          <w:lang w:val="ro-MD"/>
        </w:rPr>
        <w:t xml:space="preserve"> conducerea instituției nu a luat măsuri pentru elaborarea normativelor de muncă necesare la aprobarea statelor de personal, fapt ce duce la necunoașterea necesarului de personal (pct. 4.4.);</w:t>
      </w:r>
    </w:p>
    <w:p w14:paraId="181AC3A1" w14:textId="1B50F798" w:rsidR="00F45737" w:rsidRPr="0080251F" w:rsidRDefault="00F45737" w:rsidP="00F45737">
      <w:pPr>
        <w:numPr>
          <w:ilvl w:val="0"/>
          <w:numId w:val="5"/>
        </w:numPr>
        <w:tabs>
          <w:tab w:val="left" w:pos="0"/>
          <w:tab w:val="left" w:pos="993"/>
        </w:tabs>
        <w:spacing w:after="0" w:line="276" w:lineRule="auto"/>
        <w:ind w:left="0" w:firstLine="709"/>
        <w:contextualSpacing/>
        <w:jc w:val="both"/>
        <w:rPr>
          <w:rFonts w:ascii="Times New Roman" w:hAnsi="Times New Roman" w:cs="Times New Roman"/>
          <w:i/>
          <w:sz w:val="24"/>
          <w:szCs w:val="24"/>
          <w:lang w:val="ro-MD"/>
        </w:rPr>
      </w:pPr>
      <w:r w:rsidRPr="0080251F">
        <w:rPr>
          <w:rFonts w:ascii="Times New Roman" w:hAnsi="Times New Roman" w:cs="Times New Roman"/>
          <w:bCs/>
          <w:i/>
          <w:iCs/>
          <w:sz w:val="24"/>
          <w:szCs w:val="24"/>
          <w:lang w:val="ro-MD"/>
        </w:rPr>
        <w:t xml:space="preserve">nu </w:t>
      </w:r>
      <w:r w:rsidR="00CA7F13" w:rsidRPr="0080251F">
        <w:rPr>
          <w:rFonts w:ascii="Times New Roman" w:hAnsi="Times New Roman" w:cs="Times New Roman"/>
          <w:bCs/>
          <w:i/>
          <w:iCs/>
          <w:sz w:val="24"/>
          <w:szCs w:val="24"/>
          <w:lang w:val="ro-MD"/>
        </w:rPr>
        <w:t>s-</w:t>
      </w:r>
      <w:r w:rsidRPr="0080251F">
        <w:rPr>
          <w:rFonts w:ascii="Times New Roman" w:hAnsi="Times New Roman" w:cs="Times New Roman"/>
          <w:bCs/>
          <w:i/>
          <w:iCs/>
          <w:sz w:val="24"/>
          <w:szCs w:val="24"/>
          <w:lang w:val="ro-MD"/>
        </w:rPr>
        <w:t>a asigurat executare</w:t>
      </w:r>
      <w:r w:rsidR="005B30DF" w:rsidRPr="0080251F">
        <w:rPr>
          <w:rFonts w:ascii="Times New Roman" w:hAnsi="Times New Roman" w:cs="Times New Roman"/>
          <w:bCs/>
          <w:i/>
          <w:iCs/>
          <w:sz w:val="24"/>
          <w:szCs w:val="24"/>
          <w:lang w:val="ro-MD"/>
        </w:rPr>
        <w:t>a</w:t>
      </w:r>
      <w:r w:rsidRPr="0080251F">
        <w:rPr>
          <w:rFonts w:ascii="Times New Roman" w:hAnsi="Times New Roman" w:cs="Times New Roman"/>
          <w:bCs/>
          <w:i/>
          <w:iCs/>
          <w:sz w:val="24"/>
          <w:szCs w:val="24"/>
          <w:lang w:val="ro-MD"/>
        </w:rPr>
        <w:t xml:space="preserve"> conformă a planurilor anuale de investiții în obiectele de infrastructură, ceea ce a determinat neacceptarea de către ANRE</w:t>
      </w:r>
      <w:r w:rsidR="005B30DF" w:rsidRPr="0080251F">
        <w:rPr>
          <w:rFonts w:ascii="Times New Roman" w:hAnsi="Times New Roman" w:cs="Times New Roman"/>
          <w:bCs/>
          <w:i/>
          <w:iCs/>
          <w:sz w:val="24"/>
          <w:szCs w:val="24"/>
          <w:lang w:val="ro-MD"/>
        </w:rPr>
        <w:t>,</w:t>
      </w:r>
      <w:r w:rsidRPr="0080251F">
        <w:rPr>
          <w:rFonts w:ascii="Times New Roman" w:hAnsi="Times New Roman" w:cs="Times New Roman"/>
          <w:bCs/>
          <w:i/>
          <w:iCs/>
          <w:sz w:val="24"/>
          <w:szCs w:val="24"/>
          <w:lang w:val="ro-MD"/>
        </w:rPr>
        <w:t xml:space="preserve"> în scopul recuperării prin tarif</w:t>
      </w:r>
      <w:r w:rsidR="005B30DF" w:rsidRPr="0080251F">
        <w:rPr>
          <w:rFonts w:ascii="Times New Roman" w:hAnsi="Times New Roman" w:cs="Times New Roman"/>
          <w:bCs/>
          <w:i/>
          <w:iCs/>
          <w:sz w:val="24"/>
          <w:szCs w:val="24"/>
          <w:lang w:val="ro-MD"/>
        </w:rPr>
        <w:t>,</w:t>
      </w:r>
      <w:r w:rsidRPr="0080251F">
        <w:rPr>
          <w:rFonts w:ascii="Times New Roman" w:hAnsi="Times New Roman" w:cs="Times New Roman"/>
          <w:bCs/>
          <w:i/>
          <w:iCs/>
          <w:sz w:val="24"/>
          <w:szCs w:val="24"/>
          <w:lang w:val="ro-MD"/>
        </w:rPr>
        <w:t xml:space="preserve"> a cheltuielilor în sumă totală de 5,5 mil. lei (pct. 4.6.);</w:t>
      </w:r>
    </w:p>
    <w:p w14:paraId="251C39AF" w14:textId="0C37432F" w:rsidR="00F45737" w:rsidRPr="0080251F" w:rsidRDefault="00800387" w:rsidP="00F45737">
      <w:pPr>
        <w:numPr>
          <w:ilvl w:val="0"/>
          <w:numId w:val="5"/>
        </w:numPr>
        <w:tabs>
          <w:tab w:val="left" w:pos="0"/>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i/>
          <w:iCs/>
          <w:sz w:val="24"/>
          <w:szCs w:val="24"/>
          <w:lang w:val="ro-MD"/>
        </w:rPr>
        <w:t>entitatea</w:t>
      </w:r>
      <w:r w:rsidR="00F45737" w:rsidRPr="0080251F">
        <w:rPr>
          <w:rFonts w:ascii="Times New Roman" w:hAnsi="Times New Roman" w:cs="Times New Roman"/>
          <w:i/>
          <w:sz w:val="24"/>
          <w:szCs w:val="24"/>
          <w:lang w:val="ro-MD"/>
        </w:rPr>
        <w:t xml:space="preserve"> a efectuat cheltuieli cu destinație socială din contul profitului net în lipsa unor reglementări normative interne de domeniu, fie în detrimentul scopurilor de dezvoltare a întreprinderii în valoare de 1,3 mil. lei, </w:t>
      </w:r>
      <w:r w:rsidR="00F45737" w:rsidRPr="0080251F">
        <w:rPr>
          <w:rFonts w:ascii="Times New Roman" w:hAnsi="Times New Roman" w:cs="Times New Roman"/>
          <w:bCs/>
          <w:i/>
          <w:iCs/>
          <w:sz w:val="24"/>
          <w:szCs w:val="24"/>
          <w:lang w:val="ro-MD"/>
        </w:rPr>
        <w:t xml:space="preserve">iar </w:t>
      </w:r>
      <w:r w:rsidR="00F45737" w:rsidRPr="0080251F">
        <w:rPr>
          <w:rFonts w:ascii="Times New Roman" w:hAnsi="Times New Roman" w:cs="Times New Roman"/>
          <w:bCs/>
          <w:i/>
          <w:sz w:val="24"/>
          <w:szCs w:val="24"/>
          <w:lang w:val="ro-MD"/>
        </w:rPr>
        <w:t xml:space="preserve">remunerarea membrilor organelor de conducere ale </w:t>
      </w:r>
      <w:r w:rsidR="00B46AD7" w:rsidRPr="0080251F">
        <w:rPr>
          <w:rFonts w:ascii="Times New Roman" w:hAnsi="Times New Roman" w:cs="Times New Roman"/>
          <w:bCs/>
          <w:i/>
          <w:sz w:val="24"/>
          <w:szCs w:val="24"/>
          <w:lang w:val="ro-MD"/>
        </w:rPr>
        <w:t>s</w:t>
      </w:r>
      <w:r w:rsidR="00F45737" w:rsidRPr="0080251F">
        <w:rPr>
          <w:rFonts w:ascii="Times New Roman" w:hAnsi="Times New Roman" w:cs="Times New Roman"/>
          <w:bCs/>
          <w:i/>
          <w:sz w:val="24"/>
          <w:szCs w:val="24"/>
          <w:lang w:val="ro-MD"/>
        </w:rPr>
        <w:t xml:space="preserve">ocietății s-a efectuat cu </w:t>
      </w:r>
      <w:r w:rsidR="00557FCD" w:rsidRPr="0080251F">
        <w:rPr>
          <w:rFonts w:ascii="Times New Roman" w:hAnsi="Times New Roman" w:cs="Times New Roman"/>
          <w:bCs/>
          <w:i/>
          <w:sz w:val="24"/>
          <w:szCs w:val="24"/>
          <w:lang w:val="ro-MD"/>
        </w:rPr>
        <w:t>abatere</w:t>
      </w:r>
      <w:r w:rsidR="00F45737" w:rsidRPr="0080251F">
        <w:rPr>
          <w:rFonts w:ascii="Times New Roman" w:hAnsi="Times New Roman" w:cs="Times New Roman"/>
          <w:bCs/>
          <w:i/>
          <w:sz w:val="24"/>
          <w:szCs w:val="24"/>
          <w:lang w:val="ro-MD"/>
        </w:rPr>
        <w:t xml:space="preserve"> de la reglementările interne, fiind admise plăți suplimentare din profitul net în sumă de 104,0 mii lei </w:t>
      </w:r>
      <w:r w:rsidR="00F45737" w:rsidRPr="0080251F">
        <w:rPr>
          <w:rFonts w:ascii="Times New Roman" w:hAnsi="Times New Roman" w:cs="Times New Roman"/>
          <w:bCs/>
          <w:i/>
          <w:iCs/>
          <w:sz w:val="24"/>
          <w:szCs w:val="24"/>
          <w:lang w:val="ro-MD"/>
        </w:rPr>
        <w:t xml:space="preserve">(pct. 4.8.). </w:t>
      </w:r>
    </w:p>
    <w:p w14:paraId="7CC6388F" w14:textId="50CA6DF4" w:rsidR="00E658C1" w:rsidRPr="0080251F" w:rsidRDefault="00E658C1" w:rsidP="001C1AF4">
      <w:pPr>
        <w:numPr>
          <w:ilvl w:val="0"/>
          <w:numId w:val="5"/>
        </w:numPr>
        <w:tabs>
          <w:tab w:val="left" w:pos="567"/>
          <w:tab w:val="left" w:pos="993"/>
        </w:tabs>
        <w:spacing w:after="0" w:line="276" w:lineRule="auto"/>
        <w:ind w:left="0" w:firstLine="709"/>
        <w:jc w:val="both"/>
        <w:rPr>
          <w:rFonts w:ascii="Times New Roman" w:hAnsi="Times New Roman" w:cs="Times New Roman"/>
          <w:b/>
          <w:i/>
          <w:iCs/>
          <w:sz w:val="24"/>
          <w:szCs w:val="24"/>
          <w:lang w:val="ro-MD"/>
        </w:rPr>
      </w:pPr>
      <w:r w:rsidRPr="0080251F">
        <w:rPr>
          <w:rFonts w:ascii="Times New Roman" w:hAnsi="Times New Roman" w:cs="Times New Roman"/>
          <w:i/>
          <w:iCs/>
          <w:sz w:val="24"/>
          <w:szCs w:val="24"/>
          <w:lang w:val="ro-MD"/>
        </w:rPr>
        <w:t xml:space="preserve">nu </w:t>
      </w:r>
      <w:r w:rsidR="00B1494A" w:rsidRPr="0080251F">
        <w:rPr>
          <w:rFonts w:ascii="Times New Roman" w:hAnsi="Times New Roman" w:cs="Times New Roman"/>
          <w:i/>
          <w:iCs/>
          <w:sz w:val="24"/>
          <w:szCs w:val="24"/>
          <w:lang w:val="ro-MD"/>
        </w:rPr>
        <w:t>s-</w:t>
      </w:r>
      <w:r w:rsidRPr="0080251F">
        <w:rPr>
          <w:rFonts w:ascii="Times New Roman" w:hAnsi="Times New Roman" w:cs="Times New Roman"/>
          <w:i/>
          <w:iCs/>
          <w:sz w:val="24"/>
          <w:szCs w:val="24"/>
          <w:lang w:val="ro-MD"/>
        </w:rPr>
        <w:t>a asigurat gestionarea și raportarea conformă a imobilizărilor (ne)corporale, neaplic</w:t>
      </w:r>
      <w:r w:rsidR="005B30DF" w:rsidRPr="0080251F">
        <w:rPr>
          <w:rFonts w:ascii="Times New Roman" w:hAnsi="Times New Roman" w:cs="Times New Roman"/>
          <w:i/>
          <w:iCs/>
          <w:sz w:val="24"/>
          <w:szCs w:val="24"/>
          <w:lang w:val="ro-MD"/>
        </w:rPr>
        <w:t>ându-se</w:t>
      </w:r>
      <w:r w:rsidRPr="0080251F">
        <w:rPr>
          <w:rFonts w:ascii="Times New Roman" w:hAnsi="Times New Roman" w:cs="Times New Roman"/>
          <w:i/>
          <w:iCs/>
          <w:sz w:val="24"/>
          <w:szCs w:val="24"/>
          <w:lang w:val="ro-MD"/>
        </w:rPr>
        <w:t xml:space="preserve"> conform prevederil</w:t>
      </w:r>
      <w:r w:rsidR="005B30DF" w:rsidRPr="0080251F">
        <w:rPr>
          <w:rFonts w:ascii="Times New Roman" w:hAnsi="Times New Roman" w:cs="Times New Roman"/>
          <w:i/>
          <w:iCs/>
          <w:sz w:val="24"/>
          <w:szCs w:val="24"/>
          <w:lang w:val="ro-MD"/>
        </w:rPr>
        <w:t>e</w:t>
      </w:r>
      <w:r w:rsidRPr="0080251F">
        <w:rPr>
          <w:rFonts w:ascii="Times New Roman" w:hAnsi="Times New Roman" w:cs="Times New Roman"/>
          <w:i/>
          <w:iCs/>
          <w:sz w:val="24"/>
          <w:szCs w:val="24"/>
          <w:lang w:val="ro-MD"/>
        </w:rPr>
        <w:t xml:space="preserve"> cadrului normativ, ceea ce a influențat </w:t>
      </w:r>
      <w:r w:rsidRPr="0080251F">
        <w:rPr>
          <w:rFonts w:ascii="Times New Roman" w:eastAsia="Times New Roman" w:hAnsi="Times New Roman" w:cs="Times New Roman"/>
          <w:i/>
          <w:iCs/>
          <w:sz w:val="24"/>
          <w:szCs w:val="24"/>
          <w:lang w:val="ro-MD"/>
        </w:rPr>
        <w:t>caracteristicile calitative ale informațiilor din situațiile financiare, datorită:</w:t>
      </w:r>
      <w:r w:rsidRPr="0080251F">
        <w:rPr>
          <w:rFonts w:ascii="Times New Roman" w:hAnsi="Times New Roman" w:cs="Times New Roman"/>
          <w:i/>
          <w:iCs/>
          <w:sz w:val="24"/>
          <w:szCs w:val="24"/>
          <w:lang w:val="ro-MD"/>
        </w:rPr>
        <w:t xml:space="preserve"> necontabilizării patrimoniului deținut cu titlu de proprietate în valoare de 275,5 mii lei (2 terenuri); atribuirii incorecte la active imobilizate a terenurilor deținute cu dreptul de folosință (5,2 mil. lei) și la categoria de imobilizări corporale a 4.074 unități de bunuri materiale (2,5 mil. lei); înregistrării incorecte în evidența contabilă a </w:t>
      </w:r>
      <w:r w:rsidR="001C1AF4" w:rsidRPr="0080251F">
        <w:rPr>
          <w:rFonts w:ascii="Times New Roman" w:hAnsi="Times New Roman" w:cs="Times New Roman"/>
          <w:i/>
          <w:iCs/>
          <w:sz w:val="24"/>
          <w:szCs w:val="24"/>
          <w:lang w:val="ro-MD"/>
        </w:rPr>
        <w:t xml:space="preserve">rezultatelor reevaluării </w:t>
      </w:r>
      <w:r w:rsidRPr="0080251F">
        <w:rPr>
          <w:rFonts w:ascii="Times New Roman" w:hAnsi="Times New Roman" w:cs="Times New Roman"/>
          <w:i/>
          <w:iCs/>
          <w:sz w:val="24"/>
          <w:szCs w:val="24"/>
          <w:lang w:val="ro-MD"/>
        </w:rPr>
        <w:t xml:space="preserve">imobilizărilor </w:t>
      </w:r>
      <w:r w:rsidRPr="0080251F">
        <w:rPr>
          <w:rFonts w:ascii="Times New Roman" w:eastAsia="SimSun" w:hAnsi="Times New Roman" w:cs="Times New Roman"/>
          <w:i/>
          <w:sz w:val="24"/>
          <w:szCs w:val="24"/>
          <w:lang w:val="ro-MD"/>
        </w:rPr>
        <w:t>corporale</w:t>
      </w:r>
      <w:r w:rsidR="00BD7C19" w:rsidRPr="0080251F">
        <w:rPr>
          <w:rFonts w:ascii="Times New Roman" w:eastAsia="SimSun" w:hAnsi="Times New Roman" w:cs="Times New Roman"/>
          <w:i/>
          <w:sz w:val="24"/>
          <w:szCs w:val="24"/>
          <w:lang w:val="ro-MD"/>
        </w:rPr>
        <w:t>,</w:t>
      </w:r>
      <w:r w:rsidRPr="0080251F">
        <w:rPr>
          <w:rFonts w:ascii="Times New Roman" w:eastAsia="SimSun" w:hAnsi="Times New Roman" w:cs="Times New Roman"/>
          <w:i/>
          <w:sz w:val="24"/>
          <w:szCs w:val="24"/>
          <w:lang w:val="ro-MD"/>
        </w:rPr>
        <w:t xml:space="preserve"> diminuând valoarea</w:t>
      </w:r>
      <w:r w:rsidR="007B31FD" w:rsidRPr="0080251F">
        <w:rPr>
          <w:rFonts w:ascii="Times New Roman" w:eastAsia="SimSun" w:hAnsi="Times New Roman" w:cs="Times New Roman"/>
          <w:i/>
          <w:sz w:val="24"/>
          <w:szCs w:val="24"/>
          <w:lang w:val="ro-MD"/>
        </w:rPr>
        <w:t xml:space="preserve"> acestora cu 21,6 mil. lei</w:t>
      </w:r>
      <w:r w:rsidR="0099174C" w:rsidRPr="0080251F">
        <w:rPr>
          <w:rFonts w:ascii="Times New Roman" w:eastAsia="SimSun" w:hAnsi="Times New Roman" w:cs="Times New Roman"/>
          <w:i/>
          <w:sz w:val="24"/>
          <w:szCs w:val="24"/>
          <w:lang w:val="ro-MD"/>
        </w:rPr>
        <w:t>;</w:t>
      </w:r>
      <w:r w:rsidR="0099174C" w:rsidRPr="0080251F">
        <w:rPr>
          <w:rFonts w:ascii="Times New Roman" w:eastAsia="SimSun" w:hAnsi="Times New Roman" w:cs="Times New Roman"/>
          <w:b/>
          <w:bCs/>
          <w:i/>
          <w:iCs/>
          <w:sz w:val="24"/>
          <w:szCs w:val="24"/>
          <w:lang w:val="ro-MD"/>
        </w:rPr>
        <w:t xml:space="preserve"> </w:t>
      </w:r>
      <w:r w:rsidR="007E71CB" w:rsidRPr="0080251F">
        <w:rPr>
          <w:rFonts w:ascii="Times New Roman" w:eastAsia="SimSun" w:hAnsi="Times New Roman" w:cs="Times New Roman"/>
          <w:bCs/>
          <w:i/>
          <w:iCs/>
          <w:sz w:val="24"/>
          <w:szCs w:val="24"/>
          <w:lang w:val="ro-MD"/>
        </w:rPr>
        <w:t>neidentificării</w:t>
      </w:r>
      <w:r w:rsidR="005936FD" w:rsidRPr="0080251F">
        <w:rPr>
          <w:rFonts w:ascii="Times New Roman" w:eastAsia="SimSun" w:hAnsi="Times New Roman" w:cs="Times New Roman"/>
          <w:bCs/>
          <w:i/>
          <w:iCs/>
          <w:sz w:val="24"/>
          <w:szCs w:val="24"/>
          <w:lang w:val="ro-MD"/>
        </w:rPr>
        <w:t xml:space="preserve"> imobilizărilor corporale neutilizate în activitatea de producere</w:t>
      </w:r>
      <w:r w:rsidR="00BD7C19" w:rsidRPr="0080251F">
        <w:rPr>
          <w:rFonts w:ascii="Times New Roman" w:eastAsia="SimSun" w:hAnsi="Times New Roman" w:cs="Times New Roman"/>
          <w:bCs/>
          <w:i/>
          <w:iCs/>
          <w:sz w:val="24"/>
          <w:szCs w:val="24"/>
          <w:lang w:val="ro-MD"/>
        </w:rPr>
        <w:t>,</w:t>
      </w:r>
      <w:r w:rsidR="005936FD" w:rsidRPr="0080251F">
        <w:rPr>
          <w:rFonts w:ascii="Times New Roman" w:eastAsia="SimSun" w:hAnsi="Times New Roman" w:cs="Times New Roman"/>
          <w:bCs/>
          <w:i/>
          <w:iCs/>
          <w:sz w:val="24"/>
          <w:szCs w:val="24"/>
          <w:lang w:val="ro-MD"/>
        </w:rPr>
        <w:t xml:space="preserve"> care urmează a fi casate și/sau vândute și pentru care s-a acumulat amortizarea în sum</w:t>
      </w:r>
      <w:r w:rsidR="00BD7C19" w:rsidRPr="0080251F">
        <w:rPr>
          <w:rFonts w:ascii="Times New Roman" w:eastAsia="SimSun" w:hAnsi="Times New Roman" w:cs="Times New Roman"/>
          <w:bCs/>
          <w:i/>
          <w:iCs/>
          <w:sz w:val="24"/>
          <w:szCs w:val="24"/>
          <w:lang w:val="ro-MD"/>
        </w:rPr>
        <w:t>ă</w:t>
      </w:r>
      <w:r w:rsidR="005936FD" w:rsidRPr="0080251F">
        <w:rPr>
          <w:rFonts w:ascii="Times New Roman" w:eastAsia="SimSun" w:hAnsi="Times New Roman" w:cs="Times New Roman"/>
          <w:bCs/>
          <w:i/>
          <w:iCs/>
          <w:sz w:val="24"/>
          <w:szCs w:val="24"/>
          <w:lang w:val="ro-MD"/>
        </w:rPr>
        <w:t xml:space="preserve"> de 1,1 mil. lei</w:t>
      </w:r>
      <w:r w:rsidRPr="0080251F">
        <w:rPr>
          <w:rFonts w:ascii="Times New Roman" w:eastAsia="SimSun" w:hAnsi="Times New Roman" w:cs="Times New Roman"/>
          <w:i/>
          <w:iCs/>
          <w:sz w:val="24"/>
          <w:szCs w:val="24"/>
          <w:lang w:val="ro-MD"/>
        </w:rPr>
        <w:t xml:space="preserve"> (pct. 4.1.);</w:t>
      </w:r>
    </w:p>
    <w:p w14:paraId="5B74B73D" w14:textId="5F3B52F9" w:rsidR="00E658C1" w:rsidRPr="0080251F" w:rsidRDefault="00E658C1" w:rsidP="0080251F">
      <w:pPr>
        <w:numPr>
          <w:ilvl w:val="0"/>
          <w:numId w:val="5"/>
        </w:numPr>
        <w:tabs>
          <w:tab w:val="left" w:pos="567"/>
          <w:tab w:val="left" w:pos="993"/>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bCs/>
          <w:i/>
          <w:spacing w:val="-3"/>
          <w:sz w:val="24"/>
          <w:szCs w:val="24"/>
          <w:lang w:val="ro-MD"/>
        </w:rPr>
        <w:t xml:space="preserve">procesul de gestionare și raportare a stocurilor de materiale s-a efectuat cu unele </w:t>
      </w:r>
      <w:r w:rsidR="00557FCD" w:rsidRPr="0080251F">
        <w:rPr>
          <w:rFonts w:ascii="Times New Roman" w:hAnsi="Times New Roman" w:cs="Times New Roman"/>
          <w:bCs/>
          <w:i/>
          <w:spacing w:val="-3"/>
          <w:sz w:val="24"/>
          <w:szCs w:val="24"/>
          <w:lang w:val="ro-MD"/>
        </w:rPr>
        <w:t>abateri</w:t>
      </w:r>
      <w:r w:rsidRPr="0080251F">
        <w:rPr>
          <w:rFonts w:ascii="Times New Roman" w:hAnsi="Times New Roman" w:cs="Times New Roman"/>
          <w:bCs/>
          <w:i/>
          <w:spacing w:val="-3"/>
          <w:sz w:val="24"/>
          <w:szCs w:val="24"/>
          <w:lang w:val="ro-MD"/>
        </w:rPr>
        <w:t xml:space="preserve"> de la cadrul normativ, condițion</w:t>
      </w:r>
      <w:r w:rsidR="00201B17" w:rsidRPr="0080251F">
        <w:rPr>
          <w:rFonts w:ascii="Times New Roman" w:hAnsi="Times New Roman" w:cs="Times New Roman"/>
          <w:bCs/>
          <w:i/>
          <w:spacing w:val="-3"/>
          <w:sz w:val="24"/>
          <w:szCs w:val="24"/>
          <w:lang w:val="ro-MD"/>
        </w:rPr>
        <w:t>ând</w:t>
      </w:r>
      <w:r w:rsidRPr="0080251F">
        <w:rPr>
          <w:rFonts w:ascii="Times New Roman" w:hAnsi="Times New Roman" w:cs="Times New Roman"/>
          <w:bCs/>
          <w:i/>
          <w:spacing w:val="-3"/>
          <w:sz w:val="24"/>
          <w:szCs w:val="24"/>
          <w:lang w:val="ro-MD"/>
        </w:rPr>
        <w:t xml:space="preserve"> supraevaluarea stocurilor raportate cu 1,8 mil. lei, neîncasarea/ratarea veniturilor din realizarea acest</w:t>
      </w:r>
      <w:r w:rsidR="007E71CB" w:rsidRPr="0080251F">
        <w:rPr>
          <w:rFonts w:ascii="Times New Roman" w:hAnsi="Times New Roman" w:cs="Times New Roman"/>
          <w:bCs/>
          <w:i/>
          <w:spacing w:val="-3"/>
          <w:sz w:val="24"/>
          <w:szCs w:val="24"/>
          <w:lang w:val="ro-MD"/>
        </w:rPr>
        <w:t>ora în valoare de 38,8</w:t>
      </w:r>
      <w:r w:rsidRPr="0080251F">
        <w:rPr>
          <w:rFonts w:ascii="Times New Roman" w:hAnsi="Times New Roman" w:cs="Times New Roman"/>
          <w:bCs/>
          <w:i/>
          <w:spacing w:val="-3"/>
          <w:sz w:val="24"/>
          <w:szCs w:val="24"/>
          <w:lang w:val="ro-MD"/>
        </w:rPr>
        <w:t xml:space="preserve"> mii lei, precum și majorarea cheltuielilor </w:t>
      </w:r>
      <w:r w:rsidR="007E71CB" w:rsidRPr="0080251F">
        <w:rPr>
          <w:rFonts w:ascii="Times New Roman" w:hAnsi="Times New Roman" w:cs="Times New Roman"/>
          <w:bCs/>
          <w:i/>
          <w:spacing w:val="-3"/>
          <w:sz w:val="24"/>
          <w:szCs w:val="24"/>
          <w:lang w:val="ro-MD"/>
        </w:rPr>
        <w:t>aferente materialelor casate</w:t>
      </w:r>
      <w:r w:rsidR="00B82FD8" w:rsidRPr="0080251F">
        <w:rPr>
          <w:rFonts w:ascii="Times New Roman" w:hAnsi="Times New Roman" w:cs="Times New Roman"/>
          <w:bCs/>
          <w:i/>
          <w:spacing w:val="-3"/>
          <w:sz w:val="24"/>
          <w:szCs w:val="24"/>
          <w:lang w:val="ro-MD"/>
        </w:rPr>
        <w:t xml:space="preserve"> (6,6 mii lei)</w:t>
      </w:r>
      <w:r w:rsidR="007E71CB" w:rsidRPr="0080251F">
        <w:rPr>
          <w:rFonts w:ascii="Times New Roman" w:hAnsi="Times New Roman" w:cs="Times New Roman"/>
          <w:bCs/>
          <w:i/>
          <w:spacing w:val="-3"/>
          <w:sz w:val="24"/>
          <w:szCs w:val="24"/>
          <w:lang w:val="ro-MD"/>
        </w:rPr>
        <w:t xml:space="preserve"> ș</w:t>
      </w:r>
      <w:r w:rsidR="001C1AF4" w:rsidRPr="0080251F">
        <w:rPr>
          <w:rFonts w:ascii="Times New Roman" w:hAnsi="Times New Roman" w:cs="Times New Roman"/>
          <w:bCs/>
          <w:i/>
          <w:spacing w:val="-3"/>
          <w:sz w:val="24"/>
          <w:szCs w:val="24"/>
          <w:lang w:val="ro-MD"/>
        </w:rPr>
        <w:t xml:space="preserve">i depreciate </w:t>
      </w:r>
      <w:r w:rsidR="00B82FD8" w:rsidRPr="0080251F">
        <w:rPr>
          <w:rFonts w:ascii="Times New Roman" w:hAnsi="Times New Roman" w:cs="Times New Roman"/>
          <w:bCs/>
          <w:i/>
          <w:spacing w:val="-3"/>
          <w:sz w:val="24"/>
          <w:szCs w:val="24"/>
          <w:lang w:val="ro-MD"/>
        </w:rPr>
        <w:t>(3,2 mil. lei)</w:t>
      </w:r>
      <w:r w:rsidRPr="0080251F">
        <w:rPr>
          <w:rFonts w:ascii="Times New Roman" w:hAnsi="Times New Roman" w:cs="Times New Roman"/>
          <w:bCs/>
          <w:i/>
          <w:spacing w:val="-3"/>
          <w:sz w:val="24"/>
          <w:szCs w:val="24"/>
          <w:lang w:val="ro-MD"/>
        </w:rPr>
        <w:t xml:space="preserve">, ceea ce a dus la denaturarea informațiilor prezentate în situațiile financiare </w:t>
      </w:r>
      <w:r w:rsidRPr="0080251F">
        <w:rPr>
          <w:rFonts w:ascii="Times New Roman" w:hAnsi="Times New Roman" w:cs="Times New Roman"/>
          <w:i/>
          <w:iCs/>
          <w:sz w:val="24"/>
          <w:szCs w:val="24"/>
          <w:lang w:val="ro-MD"/>
        </w:rPr>
        <w:t>(pct. 4.2.);</w:t>
      </w:r>
    </w:p>
    <w:p w14:paraId="2109B802" w14:textId="55E98D55" w:rsidR="00F45737" w:rsidRPr="0080251F" w:rsidRDefault="00F45737" w:rsidP="00F45737">
      <w:pPr>
        <w:numPr>
          <w:ilvl w:val="0"/>
          <w:numId w:val="5"/>
        </w:numPr>
        <w:tabs>
          <w:tab w:val="left" w:pos="0"/>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i/>
          <w:sz w:val="24"/>
          <w:szCs w:val="24"/>
          <w:lang w:val="ro-MD"/>
        </w:rPr>
        <w:t xml:space="preserve">nu </w:t>
      </w:r>
      <w:r w:rsidR="001A0B8F" w:rsidRPr="0080251F">
        <w:rPr>
          <w:rFonts w:ascii="Times New Roman" w:hAnsi="Times New Roman" w:cs="Times New Roman"/>
          <w:i/>
          <w:sz w:val="24"/>
          <w:szCs w:val="24"/>
          <w:lang w:val="ro-MD"/>
        </w:rPr>
        <w:t>s-</w:t>
      </w:r>
      <w:r w:rsidRPr="0080251F">
        <w:rPr>
          <w:rFonts w:ascii="Times New Roman" w:hAnsi="Times New Roman" w:cs="Times New Roman"/>
          <w:i/>
          <w:sz w:val="24"/>
          <w:szCs w:val="24"/>
          <w:lang w:val="ro-MD"/>
        </w:rPr>
        <w:t>a asigurat ajustarea tarifelor auxiliare într-o perioadă oportună în raport cu creșterea cheltuielilor de formare a costurilor, care, la data revizuirii (27.03.2023), s-au majorat față de cele existente (anul 2021) cu circa 74,0%</w:t>
      </w:r>
      <w:r w:rsidRPr="0080251F">
        <w:rPr>
          <w:rFonts w:ascii="Times New Roman" w:hAnsi="Times New Roman" w:cs="Times New Roman"/>
          <w:sz w:val="24"/>
          <w:szCs w:val="24"/>
          <w:lang w:val="ro-MD"/>
        </w:rPr>
        <w:t xml:space="preserve"> </w:t>
      </w:r>
      <w:r w:rsidRPr="0080251F">
        <w:rPr>
          <w:rFonts w:ascii="Times New Roman" w:hAnsi="Times New Roman" w:cs="Times New Roman"/>
          <w:bCs/>
          <w:i/>
          <w:iCs/>
          <w:sz w:val="24"/>
          <w:szCs w:val="24"/>
          <w:lang w:val="ro-MD"/>
        </w:rPr>
        <w:t>(pct. 4.7.);</w:t>
      </w:r>
    </w:p>
    <w:p w14:paraId="70163A02" w14:textId="5B83B351" w:rsidR="00E658C1" w:rsidRPr="0080251F" w:rsidRDefault="00B1494A" w:rsidP="00E658C1">
      <w:pPr>
        <w:numPr>
          <w:ilvl w:val="0"/>
          <w:numId w:val="5"/>
        </w:numPr>
        <w:tabs>
          <w:tab w:val="left" w:pos="993"/>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i/>
          <w:iCs/>
          <w:sz w:val="24"/>
          <w:szCs w:val="24"/>
          <w:lang w:val="ro-MD"/>
        </w:rPr>
        <w:t>entitatea</w:t>
      </w:r>
      <w:r w:rsidR="00E658C1" w:rsidRPr="0080251F">
        <w:rPr>
          <w:rFonts w:ascii="Times New Roman" w:hAnsi="Times New Roman" w:cs="Times New Roman"/>
          <w:i/>
          <w:iCs/>
          <w:sz w:val="24"/>
          <w:szCs w:val="24"/>
          <w:lang w:val="ro-MD"/>
        </w:rPr>
        <w:t xml:space="preserve"> nu a respectat prevederile cadrului normativ la executarea procedurilor privind achiziționarea bunurilor, serviciilor și lucrărilor, și anume</w:t>
      </w:r>
      <w:r w:rsidR="00201B17" w:rsidRPr="0080251F">
        <w:rPr>
          <w:rFonts w:ascii="Times New Roman" w:hAnsi="Times New Roman" w:cs="Times New Roman"/>
          <w:i/>
          <w:iCs/>
          <w:sz w:val="24"/>
          <w:szCs w:val="24"/>
          <w:lang w:val="ro-MD"/>
        </w:rPr>
        <w:t>,</w:t>
      </w:r>
      <w:r w:rsidR="00E658C1" w:rsidRPr="0080251F">
        <w:rPr>
          <w:rFonts w:ascii="Times New Roman" w:hAnsi="Times New Roman" w:cs="Times New Roman"/>
          <w:i/>
          <w:iCs/>
          <w:sz w:val="24"/>
          <w:szCs w:val="24"/>
          <w:lang w:val="ro-MD"/>
        </w:rPr>
        <w:t xml:space="preserve"> la organizarea achizițiilor, adjudecarea ofertelor și </w:t>
      </w:r>
      <w:r w:rsidR="00201B17" w:rsidRPr="0080251F">
        <w:rPr>
          <w:rFonts w:ascii="Times New Roman" w:hAnsi="Times New Roman" w:cs="Times New Roman"/>
          <w:i/>
          <w:iCs/>
          <w:sz w:val="24"/>
          <w:szCs w:val="24"/>
          <w:lang w:val="ro-MD"/>
        </w:rPr>
        <w:t xml:space="preserve">la </w:t>
      </w:r>
      <w:r w:rsidR="00E658C1" w:rsidRPr="0080251F">
        <w:rPr>
          <w:rFonts w:ascii="Times New Roman" w:hAnsi="Times New Roman" w:cs="Times New Roman"/>
          <w:i/>
          <w:iCs/>
          <w:sz w:val="24"/>
          <w:szCs w:val="24"/>
          <w:lang w:val="ro-MD"/>
        </w:rPr>
        <w:t xml:space="preserve">aplicarea garanțiilor de bună execuție a contractelor </w:t>
      </w:r>
      <w:r w:rsidR="00E658C1" w:rsidRPr="0080251F">
        <w:rPr>
          <w:rFonts w:ascii="Times New Roman" w:hAnsi="Times New Roman" w:cs="Times New Roman"/>
          <w:bCs/>
          <w:i/>
          <w:iCs/>
          <w:sz w:val="24"/>
          <w:szCs w:val="24"/>
          <w:lang w:val="ro-MD" w:eastAsia="ro-MD"/>
        </w:rPr>
        <w:t>(pct. 4.5.)</w:t>
      </w:r>
      <w:r w:rsidR="00201B17" w:rsidRPr="0080251F">
        <w:rPr>
          <w:rFonts w:ascii="Times New Roman" w:hAnsi="Times New Roman" w:cs="Times New Roman"/>
          <w:bCs/>
          <w:i/>
          <w:iCs/>
          <w:sz w:val="24"/>
          <w:szCs w:val="24"/>
          <w:lang w:val="ro-MD" w:eastAsia="ro-MD"/>
        </w:rPr>
        <w:t>.</w:t>
      </w:r>
    </w:p>
    <w:p w14:paraId="2953DA2C" w14:textId="19BDD375" w:rsidR="00907F9E" w:rsidRPr="0080251F" w:rsidRDefault="00995798" w:rsidP="000A6859">
      <w:pPr>
        <w:tabs>
          <w:tab w:val="left" w:pos="0"/>
          <w:tab w:val="left" w:pos="567"/>
          <w:tab w:val="left" w:pos="709"/>
          <w:tab w:val="left" w:pos="993"/>
        </w:tabs>
        <w:spacing w:after="0" w:line="276" w:lineRule="auto"/>
        <w:ind w:firstLine="709"/>
        <w:contextualSpacing/>
        <w:jc w:val="both"/>
        <w:rPr>
          <w:rFonts w:ascii="Times New Roman" w:hAnsi="Times New Roman" w:cs="Times New Roman"/>
          <w:sz w:val="24"/>
          <w:szCs w:val="24"/>
          <w:lang w:val="ro-MD"/>
        </w:rPr>
      </w:pPr>
      <w:r w:rsidRPr="0080251F">
        <w:rPr>
          <w:rFonts w:ascii="Times New Roman" w:eastAsia="Times New Roman" w:hAnsi="Times New Roman" w:cs="Times New Roman"/>
          <w:iCs/>
          <w:sz w:val="24"/>
          <w:szCs w:val="24"/>
          <w:lang w:val="ro-MD" w:eastAsia="ro-MD"/>
        </w:rPr>
        <w:t>Cele relatate sunt susținute de constatările expuse detaliat în prezentul Raport de audit. Concomitent, în vederea remedierii carențelor și problemelor constatate</w:t>
      </w:r>
      <w:r w:rsidR="00260B7D" w:rsidRPr="0080251F">
        <w:rPr>
          <w:rFonts w:ascii="Times New Roman" w:eastAsia="Times New Roman" w:hAnsi="Times New Roman" w:cs="Times New Roman"/>
          <w:iCs/>
          <w:sz w:val="24"/>
          <w:szCs w:val="24"/>
          <w:lang w:val="ro-MD" w:eastAsia="ro-MD"/>
        </w:rPr>
        <w:t>,</w:t>
      </w:r>
      <w:r w:rsidRPr="0080251F">
        <w:rPr>
          <w:rFonts w:ascii="Times New Roman" w:eastAsia="Times New Roman" w:hAnsi="Times New Roman" w:cs="Times New Roman"/>
          <w:iCs/>
          <w:sz w:val="24"/>
          <w:szCs w:val="24"/>
          <w:lang w:val="ro-MD" w:eastAsia="ro-MD"/>
        </w:rPr>
        <w:t xml:space="preserve"> auditorii au înaintat recomandările de rigoare, care au fost comunicate și coordonate cu părțile vizate.</w:t>
      </w:r>
      <w:r w:rsidR="008D015B" w:rsidRPr="0080251F">
        <w:rPr>
          <w:rFonts w:ascii="Times New Roman" w:hAnsi="Times New Roman" w:cs="Times New Roman"/>
          <w:sz w:val="24"/>
          <w:szCs w:val="24"/>
          <w:lang w:val="ro-MD"/>
        </w:rPr>
        <w:t xml:space="preserve"> </w:t>
      </w:r>
    </w:p>
    <w:p w14:paraId="1E7DA205" w14:textId="6EDEFB77" w:rsidR="00850044" w:rsidRPr="0080251F" w:rsidRDefault="00CA4D40" w:rsidP="00521536">
      <w:pPr>
        <w:pStyle w:val="1"/>
        <w:spacing w:before="200" w:line="276" w:lineRule="auto"/>
        <w:rPr>
          <w:rFonts w:ascii="Times New Roman" w:hAnsi="Times New Roman" w:cs="Times New Roman"/>
          <w:b/>
          <w:sz w:val="28"/>
          <w:szCs w:val="28"/>
          <w:lang w:val="ro-MD"/>
        </w:rPr>
      </w:pPr>
      <w:bookmarkStart w:id="6" w:name="_Toc161169684"/>
      <w:r w:rsidRPr="0080251F">
        <w:rPr>
          <w:rFonts w:ascii="Times New Roman" w:hAnsi="Times New Roman" w:cs="Times New Roman"/>
          <w:b/>
          <w:sz w:val="28"/>
          <w:szCs w:val="28"/>
          <w:lang w:val="ro-MD"/>
        </w:rPr>
        <w:t>II. PREZENTAREA GENERALĂ</w:t>
      </w:r>
      <w:bookmarkEnd w:id="4"/>
      <w:bookmarkEnd w:id="6"/>
    </w:p>
    <w:p w14:paraId="7F066AAE" w14:textId="034F2FF5" w:rsidR="00CA4D40" w:rsidRPr="0080251F" w:rsidRDefault="00CA4D40" w:rsidP="001529BA">
      <w:pPr>
        <w:pStyle w:val="2"/>
        <w:spacing w:before="0" w:line="276" w:lineRule="auto"/>
        <w:rPr>
          <w:rFonts w:ascii="Times New Roman" w:hAnsi="Times New Roman" w:cs="Times New Roman"/>
          <w:sz w:val="24"/>
          <w:szCs w:val="24"/>
          <w:lang w:val="ro-MD"/>
        </w:rPr>
      </w:pPr>
      <w:bookmarkStart w:id="7" w:name="_Toc161169685"/>
      <w:r w:rsidRPr="0080251F">
        <w:rPr>
          <w:rFonts w:ascii="Times New Roman" w:hAnsi="Times New Roman" w:cs="Times New Roman"/>
          <w:b/>
          <w:sz w:val="24"/>
          <w:szCs w:val="24"/>
          <w:lang w:val="ro-MD"/>
        </w:rPr>
        <w:t>2.1. Informații generale privind domeniul de activitate</w:t>
      </w:r>
      <w:r w:rsidR="001C6A71" w:rsidRPr="0080251F">
        <w:rPr>
          <w:rFonts w:ascii="Times New Roman" w:eastAsiaTheme="minorHAnsi" w:hAnsi="Times New Roman" w:cs="Times New Roman"/>
          <w:color w:val="auto"/>
          <w:sz w:val="24"/>
          <w:szCs w:val="24"/>
          <w:lang w:val="ro-MD"/>
        </w:rPr>
        <w:t xml:space="preserve"> </w:t>
      </w:r>
      <w:r w:rsidR="001C6A71" w:rsidRPr="0080251F">
        <w:rPr>
          <w:rFonts w:ascii="Times New Roman" w:hAnsi="Times New Roman" w:cs="Times New Roman"/>
          <w:b/>
          <w:sz w:val="24"/>
          <w:szCs w:val="24"/>
          <w:lang w:val="ro-MD"/>
        </w:rPr>
        <w:t>al S.A. „RED-Nord”</w:t>
      </w:r>
      <w:bookmarkEnd w:id="7"/>
    </w:p>
    <w:p w14:paraId="3D9031A8" w14:textId="791AC284" w:rsidR="008F6AAF" w:rsidRPr="0080251F" w:rsidRDefault="008F6AAF" w:rsidP="00F41659">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bCs/>
          <w:sz w:val="24"/>
          <w:szCs w:val="24"/>
          <w:lang w:val="ro-MD"/>
        </w:rPr>
        <w:t>Activitatea S.A. „RED-Nord” este organizată în baza prevederilor Legii nr.1134 din 02.04.1997</w:t>
      </w:r>
      <w:r w:rsidR="00465E06" w:rsidRPr="0080251F">
        <w:rPr>
          <w:rStyle w:val="a5"/>
          <w:rFonts w:ascii="Times New Roman" w:hAnsi="Times New Roman" w:cs="Times New Roman"/>
          <w:bCs/>
          <w:sz w:val="24"/>
          <w:szCs w:val="24"/>
          <w:lang w:val="ro-MD"/>
        </w:rPr>
        <w:footnoteReference w:id="10"/>
      </w:r>
      <w:r w:rsidRPr="0080251F">
        <w:rPr>
          <w:rFonts w:ascii="Times New Roman" w:hAnsi="Times New Roman" w:cs="Times New Roman"/>
          <w:bCs/>
          <w:sz w:val="24"/>
          <w:szCs w:val="24"/>
          <w:lang w:val="ro-MD"/>
        </w:rPr>
        <w:t xml:space="preserve"> și Statutului, aprobat la Adunarea </w:t>
      </w:r>
      <w:r w:rsidR="00B46AD7" w:rsidRPr="0080251F">
        <w:rPr>
          <w:rFonts w:ascii="Times New Roman" w:hAnsi="Times New Roman" w:cs="Times New Roman"/>
          <w:bCs/>
          <w:sz w:val="24"/>
          <w:szCs w:val="24"/>
          <w:lang w:val="ro-MD"/>
        </w:rPr>
        <w:t>G</w:t>
      </w:r>
      <w:r w:rsidRPr="0080251F">
        <w:rPr>
          <w:rFonts w:ascii="Times New Roman" w:hAnsi="Times New Roman" w:cs="Times New Roman"/>
          <w:bCs/>
          <w:sz w:val="24"/>
          <w:szCs w:val="24"/>
          <w:lang w:val="ro-MD"/>
        </w:rPr>
        <w:t xml:space="preserve">enerală a </w:t>
      </w:r>
      <w:r w:rsidR="00B46AD7" w:rsidRPr="0080251F">
        <w:rPr>
          <w:rFonts w:ascii="Times New Roman" w:hAnsi="Times New Roman" w:cs="Times New Roman"/>
          <w:bCs/>
          <w:sz w:val="24"/>
          <w:szCs w:val="24"/>
          <w:lang w:val="ro-MD"/>
        </w:rPr>
        <w:t>A</w:t>
      </w:r>
      <w:r w:rsidRPr="0080251F">
        <w:rPr>
          <w:rFonts w:ascii="Times New Roman" w:hAnsi="Times New Roman" w:cs="Times New Roman"/>
          <w:bCs/>
          <w:sz w:val="24"/>
          <w:szCs w:val="24"/>
          <w:lang w:val="ro-MD"/>
        </w:rPr>
        <w:t>cționarilor din 15.01.2021.</w:t>
      </w:r>
    </w:p>
    <w:p w14:paraId="5FCDC7E1" w14:textId="12A544C8" w:rsidR="008F6AAF" w:rsidRPr="0080251F" w:rsidRDefault="008F6AAF" w:rsidP="00F41659">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Conform prevederilor Statutului S.A. „RED-Nord”, genurile principale de activitate </w:t>
      </w:r>
      <w:r w:rsidR="00EE041E" w:rsidRPr="0080251F">
        <w:rPr>
          <w:rFonts w:ascii="Times New Roman" w:hAnsi="Times New Roman" w:cs="Times New Roman"/>
          <w:sz w:val="24"/>
          <w:szCs w:val="24"/>
          <w:lang w:val="ro-MD"/>
        </w:rPr>
        <w:t>ale entității sunt</w:t>
      </w:r>
      <w:r w:rsidRPr="0080251F">
        <w:rPr>
          <w:rFonts w:ascii="Times New Roman" w:hAnsi="Times New Roman" w:cs="Times New Roman"/>
          <w:sz w:val="24"/>
          <w:szCs w:val="24"/>
          <w:lang w:val="ro-MD"/>
        </w:rPr>
        <w:t>: distribuția energiei electrice; acordarea serviciilor de reparație a utilajului și echipamentului electric (motoare, generatoare, transformatoare, aparate de distribuție și control, dispozitive de conexiune); executarea lucrărilor de construcție a proiectelor utilitare pentru electricitate; executarea lucrărilor de instalare a dispozitivelor de măsurare a consumului de energie electrică; executarea lucrărilor la instalațiile electrice.</w:t>
      </w:r>
    </w:p>
    <w:p w14:paraId="16AB6DF3" w14:textId="73215A8F" w:rsidR="00FE7F07" w:rsidRPr="0080251F" w:rsidRDefault="007E7520" w:rsidP="006E0D1F">
      <w:pPr>
        <w:tabs>
          <w:tab w:val="left" w:pos="567"/>
          <w:tab w:val="left" w:pos="709"/>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sz w:val="24"/>
          <w:szCs w:val="24"/>
          <w:lang w:val="ro-MD"/>
        </w:rPr>
        <w:t xml:space="preserve">Administrarea și conducerea </w:t>
      </w:r>
      <w:r w:rsidRPr="0080251F">
        <w:rPr>
          <w:rFonts w:ascii="Times New Roman" w:hAnsi="Times New Roman" w:cs="Times New Roman"/>
          <w:bCs/>
          <w:sz w:val="24"/>
          <w:szCs w:val="24"/>
          <w:lang w:val="ro-MD"/>
        </w:rPr>
        <w:t xml:space="preserve">S.A. „RED-Nord” se efectuează de către următoarele structuri: </w:t>
      </w:r>
    </w:p>
    <w:p w14:paraId="2FCDBDC9" w14:textId="0F5C6881" w:rsidR="00547BEE" w:rsidRPr="0080251F" w:rsidRDefault="00547BEE" w:rsidP="00590214">
      <w:pPr>
        <w:pStyle w:val="a6"/>
        <w:numPr>
          <w:ilvl w:val="0"/>
          <w:numId w:val="1"/>
        </w:numPr>
        <w:tabs>
          <w:tab w:val="left" w:pos="360"/>
          <w:tab w:val="left" w:pos="851"/>
          <w:tab w:val="left" w:pos="1134"/>
        </w:tabs>
        <w:spacing w:after="0" w:line="276" w:lineRule="auto"/>
        <w:ind w:left="0" w:firstLine="0"/>
        <w:jc w:val="both"/>
        <w:rPr>
          <w:rFonts w:ascii="Times New Roman" w:hAnsi="Times New Roman" w:cs="Times New Roman"/>
          <w:b/>
          <w:i/>
          <w:sz w:val="24"/>
          <w:szCs w:val="24"/>
          <w:lang w:val="ro-MD"/>
        </w:rPr>
      </w:pPr>
      <w:r w:rsidRPr="0080251F">
        <w:rPr>
          <w:rFonts w:ascii="Times New Roman" w:hAnsi="Times New Roman" w:cs="Times New Roman"/>
          <w:b/>
          <w:i/>
          <w:sz w:val="24"/>
          <w:szCs w:val="24"/>
          <w:lang w:val="ro-MD"/>
        </w:rPr>
        <w:t xml:space="preserve">Adunarea </w:t>
      </w:r>
      <w:r w:rsidR="00B46AD7" w:rsidRPr="0080251F">
        <w:rPr>
          <w:rFonts w:ascii="Times New Roman" w:hAnsi="Times New Roman" w:cs="Times New Roman"/>
          <w:b/>
          <w:i/>
          <w:sz w:val="24"/>
          <w:szCs w:val="24"/>
          <w:lang w:val="ro-MD"/>
        </w:rPr>
        <w:t>G</w:t>
      </w:r>
      <w:r w:rsidRPr="0080251F">
        <w:rPr>
          <w:rFonts w:ascii="Times New Roman" w:hAnsi="Times New Roman" w:cs="Times New Roman"/>
          <w:b/>
          <w:i/>
          <w:sz w:val="24"/>
          <w:szCs w:val="24"/>
          <w:lang w:val="ro-MD"/>
        </w:rPr>
        <w:t xml:space="preserve">enerală a </w:t>
      </w:r>
      <w:r w:rsidR="00B46AD7" w:rsidRPr="0080251F">
        <w:rPr>
          <w:rFonts w:ascii="Times New Roman" w:hAnsi="Times New Roman" w:cs="Times New Roman"/>
          <w:b/>
          <w:i/>
          <w:sz w:val="24"/>
          <w:szCs w:val="24"/>
          <w:lang w:val="ro-MD"/>
        </w:rPr>
        <w:t>A</w:t>
      </w:r>
      <w:r w:rsidRPr="0080251F">
        <w:rPr>
          <w:rFonts w:ascii="Times New Roman" w:hAnsi="Times New Roman" w:cs="Times New Roman"/>
          <w:b/>
          <w:i/>
          <w:sz w:val="24"/>
          <w:szCs w:val="24"/>
          <w:lang w:val="ro-MD"/>
        </w:rPr>
        <w:t xml:space="preserve">cționarilor </w:t>
      </w:r>
      <w:r w:rsidRPr="0080251F">
        <w:rPr>
          <w:rFonts w:ascii="Times New Roman" w:hAnsi="Times New Roman" w:cs="Times New Roman"/>
          <w:sz w:val="24"/>
          <w:szCs w:val="24"/>
          <w:lang w:val="ro-MD"/>
        </w:rPr>
        <w:t xml:space="preserve">- organul suprem de conducere al </w:t>
      </w:r>
      <w:r w:rsidR="00B46AD7" w:rsidRPr="0080251F">
        <w:rPr>
          <w:rFonts w:ascii="Times New Roman" w:hAnsi="Times New Roman" w:cs="Times New Roman"/>
          <w:sz w:val="24"/>
          <w:szCs w:val="24"/>
          <w:lang w:val="ro-MD"/>
        </w:rPr>
        <w:t>s</w:t>
      </w:r>
      <w:r w:rsidRPr="0080251F">
        <w:rPr>
          <w:rFonts w:ascii="Times New Roman" w:hAnsi="Times New Roman" w:cs="Times New Roman"/>
          <w:sz w:val="24"/>
          <w:szCs w:val="24"/>
          <w:lang w:val="ro-MD"/>
        </w:rPr>
        <w:t>ocietății cu proprie competență</w:t>
      </w:r>
      <w:r w:rsidR="00EE041E" w:rsidRPr="0080251F">
        <w:rPr>
          <w:rFonts w:ascii="Times New Roman" w:hAnsi="Times New Roman" w:cs="Times New Roman"/>
          <w:sz w:val="24"/>
          <w:szCs w:val="24"/>
          <w:lang w:val="ro-MD"/>
        </w:rPr>
        <w:t xml:space="preserve">, care </w:t>
      </w:r>
      <w:r w:rsidRPr="0080251F">
        <w:rPr>
          <w:rFonts w:ascii="Times New Roman" w:hAnsi="Times New Roman" w:cs="Times New Roman"/>
          <w:sz w:val="24"/>
          <w:szCs w:val="24"/>
          <w:lang w:val="ro-MD"/>
        </w:rPr>
        <w:t>se ține cel puțin o dată pe an.</w:t>
      </w:r>
    </w:p>
    <w:p w14:paraId="11875429" w14:textId="5A85E459" w:rsidR="00547BEE" w:rsidRPr="0080251F" w:rsidRDefault="00547BEE" w:rsidP="00465E06">
      <w:pPr>
        <w:pStyle w:val="a6"/>
        <w:numPr>
          <w:ilvl w:val="0"/>
          <w:numId w:val="1"/>
        </w:numPr>
        <w:tabs>
          <w:tab w:val="left" w:pos="360"/>
          <w:tab w:val="left" w:pos="851"/>
          <w:tab w:val="left" w:pos="1134"/>
        </w:tabs>
        <w:ind w:left="0" w:firstLine="0"/>
        <w:jc w:val="both"/>
        <w:rPr>
          <w:rFonts w:ascii="Times New Roman" w:hAnsi="Times New Roman" w:cs="Times New Roman"/>
          <w:bCs/>
          <w:sz w:val="24"/>
          <w:szCs w:val="24"/>
          <w:lang w:val="ro-MD"/>
        </w:rPr>
      </w:pPr>
      <w:r w:rsidRPr="0080251F">
        <w:rPr>
          <w:rFonts w:ascii="Times New Roman" w:hAnsi="Times New Roman" w:cs="Times New Roman"/>
          <w:b/>
          <w:bCs/>
          <w:i/>
          <w:sz w:val="24"/>
          <w:szCs w:val="24"/>
          <w:lang w:val="ro-MD"/>
        </w:rPr>
        <w:t xml:space="preserve">Consiliul </w:t>
      </w:r>
      <w:r w:rsidR="00B46AD7" w:rsidRPr="0080251F">
        <w:rPr>
          <w:rFonts w:ascii="Times New Roman" w:hAnsi="Times New Roman" w:cs="Times New Roman"/>
          <w:b/>
          <w:bCs/>
          <w:i/>
          <w:sz w:val="24"/>
          <w:szCs w:val="24"/>
          <w:lang w:val="ro-MD"/>
        </w:rPr>
        <w:t>s</w:t>
      </w:r>
      <w:r w:rsidRPr="0080251F">
        <w:rPr>
          <w:rFonts w:ascii="Times New Roman" w:hAnsi="Times New Roman" w:cs="Times New Roman"/>
          <w:b/>
          <w:bCs/>
          <w:i/>
          <w:sz w:val="24"/>
          <w:szCs w:val="24"/>
          <w:lang w:val="ro-MD"/>
        </w:rPr>
        <w:t xml:space="preserve">ocietății </w:t>
      </w:r>
      <w:r w:rsidRPr="0080251F">
        <w:rPr>
          <w:rFonts w:ascii="Times New Roman" w:hAnsi="Times New Roman" w:cs="Times New Roman"/>
          <w:bCs/>
          <w:sz w:val="24"/>
          <w:szCs w:val="24"/>
          <w:lang w:val="ro-MD"/>
        </w:rPr>
        <w:t xml:space="preserve">- reprezintă interesele acționarilor în perioada dintre adunările generale și, în limitele atribuțiilor sale, exercită conducerea generală și controlul asupra activității </w:t>
      </w:r>
      <w:r w:rsidR="00B46AD7" w:rsidRPr="0080251F">
        <w:rPr>
          <w:rFonts w:ascii="Times New Roman" w:hAnsi="Times New Roman" w:cs="Times New Roman"/>
          <w:bCs/>
          <w:sz w:val="24"/>
          <w:szCs w:val="24"/>
          <w:lang w:val="ro-MD"/>
        </w:rPr>
        <w:t>s</w:t>
      </w:r>
      <w:r w:rsidRPr="0080251F">
        <w:rPr>
          <w:rFonts w:ascii="Times New Roman" w:hAnsi="Times New Roman" w:cs="Times New Roman"/>
          <w:bCs/>
          <w:sz w:val="24"/>
          <w:szCs w:val="24"/>
          <w:lang w:val="ro-MD"/>
        </w:rPr>
        <w:t>ocietății.</w:t>
      </w:r>
      <w:r w:rsidR="006E0D1F" w:rsidRPr="0080251F">
        <w:rPr>
          <w:rFonts w:ascii="Times New Roman" w:hAnsi="Times New Roman" w:cs="Times New Roman"/>
          <w:sz w:val="24"/>
          <w:szCs w:val="24"/>
          <w:lang w:val="ro-MD"/>
        </w:rPr>
        <w:t xml:space="preserve"> </w:t>
      </w:r>
      <w:r w:rsidR="00465E06" w:rsidRPr="0080251F">
        <w:rPr>
          <w:rFonts w:ascii="Times New Roman" w:hAnsi="Times New Roman" w:cs="Times New Roman"/>
          <w:bCs/>
          <w:sz w:val="24"/>
          <w:szCs w:val="24"/>
          <w:lang w:val="ro-MD"/>
        </w:rPr>
        <w:t xml:space="preserve">În </w:t>
      </w:r>
      <w:r w:rsidR="006E0D1F" w:rsidRPr="0080251F">
        <w:rPr>
          <w:rFonts w:ascii="Times New Roman" w:hAnsi="Times New Roman" w:cs="Times New Roman"/>
          <w:bCs/>
          <w:sz w:val="24"/>
          <w:szCs w:val="24"/>
          <w:lang w:val="ro-MD"/>
        </w:rPr>
        <w:t>calitate de fondator și deținător majoritar de acțiuni</w:t>
      </w:r>
      <w:r w:rsidR="006E0D1F" w:rsidRPr="0080251F">
        <w:rPr>
          <w:rFonts w:ascii="Times New Roman" w:hAnsi="Times New Roman" w:cs="Times New Roman"/>
          <w:bCs/>
          <w:sz w:val="24"/>
          <w:szCs w:val="24"/>
          <w:vertAlign w:val="superscript"/>
          <w:lang w:val="ro-MD"/>
        </w:rPr>
        <w:footnoteReference w:id="11"/>
      </w:r>
      <w:r w:rsidR="006E0D1F" w:rsidRPr="0080251F">
        <w:rPr>
          <w:rFonts w:ascii="Times New Roman" w:hAnsi="Times New Roman" w:cs="Times New Roman"/>
          <w:bCs/>
          <w:sz w:val="24"/>
          <w:szCs w:val="24"/>
          <w:lang w:val="ro-MD"/>
        </w:rPr>
        <w:t xml:space="preserve"> (100,0%), APP exercită conducerea generală și controlul asupra activității S.A. „RED-Nord” prin intermediul Consiliului </w:t>
      </w:r>
      <w:r w:rsidR="00B46AD7" w:rsidRPr="0080251F">
        <w:rPr>
          <w:rFonts w:ascii="Times New Roman" w:hAnsi="Times New Roman" w:cs="Times New Roman"/>
          <w:bCs/>
          <w:sz w:val="24"/>
          <w:szCs w:val="24"/>
          <w:lang w:val="ro-MD"/>
        </w:rPr>
        <w:t>s</w:t>
      </w:r>
      <w:r w:rsidR="006E0D1F" w:rsidRPr="0080251F">
        <w:rPr>
          <w:rFonts w:ascii="Times New Roman" w:hAnsi="Times New Roman" w:cs="Times New Roman"/>
          <w:bCs/>
          <w:sz w:val="24"/>
          <w:szCs w:val="24"/>
          <w:lang w:val="ro-MD"/>
        </w:rPr>
        <w:t>ocietății.</w:t>
      </w:r>
    </w:p>
    <w:p w14:paraId="2E2B1F3B" w14:textId="12104261" w:rsidR="00547BEE" w:rsidRPr="0080251F" w:rsidRDefault="00547BEE" w:rsidP="00590214">
      <w:pPr>
        <w:pStyle w:val="a6"/>
        <w:numPr>
          <w:ilvl w:val="0"/>
          <w:numId w:val="1"/>
        </w:numPr>
        <w:tabs>
          <w:tab w:val="left" w:pos="360"/>
          <w:tab w:val="left" w:pos="851"/>
          <w:tab w:val="left" w:pos="1134"/>
        </w:tabs>
        <w:spacing w:after="0" w:line="276" w:lineRule="auto"/>
        <w:ind w:left="0" w:firstLine="0"/>
        <w:jc w:val="both"/>
        <w:rPr>
          <w:rFonts w:ascii="Times New Roman" w:hAnsi="Times New Roman" w:cs="Times New Roman"/>
          <w:b/>
          <w:i/>
          <w:sz w:val="24"/>
          <w:szCs w:val="24"/>
          <w:lang w:val="ro-MD"/>
        </w:rPr>
      </w:pPr>
      <w:r w:rsidRPr="0080251F">
        <w:rPr>
          <w:rFonts w:ascii="Times New Roman" w:hAnsi="Times New Roman" w:cs="Times New Roman"/>
          <w:b/>
          <w:i/>
          <w:sz w:val="24"/>
          <w:szCs w:val="24"/>
          <w:lang w:val="ro-MD"/>
        </w:rPr>
        <w:t xml:space="preserve">Comisia de cenzori  - </w:t>
      </w:r>
      <w:r w:rsidRPr="0080251F">
        <w:rPr>
          <w:rFonts w:ascii="Times New Roman" w:hAnsi="Times New Roman" w:cs="Times New Roman"/>
          <w:sz w:val="24"/>
          <w:szCs w:val="24"/>
          <w:lang w:val="ro-MD"/>
        </w:rPr>
        <w:t xml:space="preserve">exercită controlul </w:t>
      </w:r>
      <w:r w:rsidR="00EE041E" w:rsidRPr="0080251F">
        <w:rPr>
          <w:rFonts w:ascii="Times New Roman" w:hAnsi="Times New Roman" w:cs="Times New Roman"/>
          <w:sz w:val="24"/>
          <w:szCs w:val="24"/>
          <w:lang w:val="ro-MD"/>
        </w:rPr>
        <w:t xml:space="preserve">asupra </w:t>
      </w:r>
      <w:r w:rsidRPr="0080251F">
        <w:rPr>
          <w:rFonts w:ascii="Times New Roman" w:hAnsi="Times New Roman" w:cs="Times New Roman"/>
          <w:sz w:val="24"/>
          <w:szCs w:val="24"/>
          <w:lang w:val="ro-MD"/>
        </w:rPr>
        <w:t xml:space="preserve">activității economico-financiare a </w:t>
      </w:r>
      <w:r w:rsidR="00B46AD7" w:rsidRPr="0080251F">
        <w:rPr>
          <w:rFonts w:ascii="Times New Roman" w:hAnsi="Times New Roman" w:cs="Times New Roman"/>
          <w:sz w:val="24"/>
          <w:szCs w:val="24"/>
          <w:lang w:val="ro-MD"/>
        </w:rPr>
        <w:t>s</w:t>
      </w:r>
      <w:r w:rsidRPr="0080251F">
        <w:rPr>
          <w:rFonts w:ascii="Times New Roman" w:hAnsi="Times New Roman" w:cs="Times New Roman"/>
          <w:sz w:val="24"/>
          <w:szCs w:val="24"/>
          <w:lang w:val="ro-MD"/>
        </w:rPr>
        <w:t>ocietății și se constituie în mod obligatoriu de către societatea care nu este o entitate de interes public.</w:t>
      </w:r>
    </w:p>
    <w:p w14:paraId="7F38B2AB" w14:textId="2A786EF2" w:rsidR="00547BEE" w:rsidRPr="0080251F" w:rsidRDefault="00547BEE" w:rsidP="00590214">
      <w:pPr>
        <w:pStyle w:val="a6"/>
        <w:numPr>
          <w:ilvl w:val="0"/>
          <w:numId w:val="1"/>
        </w:numPr>
        <w:tabs>
          <w:tab w:val="left" w:pos="360"/>
          <w:tab w:val="left" w:pos="851"/>
          <w:tab w:val="left" w:pos="1134"/>
        </w:tabs>
        <w:spacing w:after="0" w:line="276" w:lineRule="auto"/>
        <w:ind w:left="0" w:firstLine="0"/>
        <w:jc w:val="both"/>
        <w:rPr>
          <w:rFonts w:ascii="Times New Roman" w:hAnsi="Times New Roman" w:cs="Times New Roman"/>
          <w:b/>
          <w:i/>
          <w:sz w:val="24"/>
          <w:szCs w:val="24"/>
          <w:lang w:val="ro-MD"/>
        </w:rPr>
      </w:pPr>
      <w:r w:rsidRPr="0080251F">
        <w:rPr>
          <w:rFonts w:ascii="Times New Roman" w:hAnsi="Times New Roman" w:cs="Times New Roman"/>
          <w:b/>
          <w:i/>
          <w:sz w:val="24"/>
          <w:szCs w:val="24"/>
          <w:lang w:val="ro-MD"/>
        </w:rPr>
        <w:t xml:space="preserve">Comitetul de audit </w:t>
      </w:r>
      <w:r w:rsidR="008666FC" w:rsidRPr="0080251F">
        <w:rPr>
          <w:rFonts w:ascii="Times New Roman" w:hAnsi="Times New Roman" w:cs="Times New Roman"/>
          <w:b/>
          <w:i/>
          <w:sz w:val="24"/>
          <w:szCs w:val="24"/>
          <w:lang w:val="ro-MD"/>
        </w:rPr>
        <w:t xml:space="preserve">– </w:t>
      </w:r>
      <w:r w:rsidR="008666FC" w:rsidRPr="0080251F">
        <w:rPr>
          <w:rFonts w:ascii="Times New Roman" w:hAnsi="Times New Roman" w:cs="Times New Roman"/>
          <w:sz w:val="24"/>
          <w:szCs w:val="24"/>
          <w:lang w:val="ro-MD"/>
        </w:rPr>
        <w:t>monitorizează procesul de raportare financiară, sistemel</w:t>
      </w:r>
      <w:r w:rsidR="00B46AD7" w:rsidRPr="0080251F">
        <w:rPr>
          <w:rFonts w:ascii="Times New Roman" w:hAnsi="Times New Roman" w:cs="Times New Roman"/>
          <w:sz w:val="24"/>
          <w:szCs w:val="24"/>
          <w:lang w:val="ro-MD"/>
        </w:rPr>
        <w:t>e</w:t>
      </w:r>
      <w:r w:rsidR="008666FC" w:rsidRPr="0080251F">
        <w:rPr>
          <w:rFonts w:ascii="Times New Roman" w:hAnsi="Times New Roman" w:cs="Times New Roman"/>
          <w:sz w:val="24"/>
          <w:szCs w:val="24"/>
          <w:lang w:val="ro-MD"/>
        </w:rPr>
        <w:t xml:space="preserve"> de control intern și de management al riscurilor din cadrul </w:t>
      </w:r>
      <w:r w:rsidR="00B46AD7" w:rsidRPr="0080251F">
        <w:rPr>
          <w:rFonts w:ascii="Times New Roman" w:hAnsi="Times New Roman" w:cs="Times New Roman"/>
          <w:sz w:val="24"/>
          <w:szCs w:val="24"/>
          <w:lang w:val="ro-MD"/>
        </w:rPr>
        <w:t>s</w:t>
      </w:r>
      <w:r w:rsidR="008666FC" w:rsidRPr="0080251F">
        <w:rPr>
          <w:rFonts w:ascii="Times New Roman" w:hAnsi="Times New Roman" w:cs="Times New Roman"/>
          <w:sz w:val="24"/>
          <w:szCs w:val="24"/>
          <w:lang w:val="ro-MD"/>
        </w:rPr>
        <w:t>ocietății.</w:t>
      </w:r>
    </w:p>
    <w:p w14:paraId="4354587E" w14:textId="4B181D41" w:rsidR="006E0D1F" w:rsidRPr="0080251F" w:rsidRDefault="00114A64" w:rsidP="00590214">
      <w:pPr>
        <w:pStyle w:val="a6"/>
        <w:numPr>
          <w:ilvl w:val="0"/>
          <w:numId w:val="1"/>
        </w:numPr>
        <w:tabs>
          <w:tab w:val="left" w:pos="360"/>
          <w:tab w:val="left" w:pos="851"/>
          <w:tab w:val="left" w:pos="1134"/>
        </w:tabs>
        <w:spacing w:after="0" w:line="276" w:lineRule="auto"/>
        <w:ind w:left="0" w:firstLine="0"/>
        <w:jc w:val="both"/>
        <w:rPr>
          <w:rFonts w:ascii="Times New Roman" w:hAnsi="Times New Roman" w:cs="Times New Roman"/>
          <w:b/>
          <w:i/>
          <w:sz w:val="24"/>
          <w:szCs w:val="24"/>
          <w:lang w:val="ro-MD"/>
        </w:rPr>
      </w:pPr>
      <w:r w:rsidRPr="0080251F">
        <w:rPr>
          <w:rFonts w:ascii="Times New Roman" w:hAnsi="Times New Roman" w:cs="Times New Roman"/>
          <w:b/>
          <w:i/>
          <w:sz w:val="24"/>
          <w:szCs w:val="24"/>
          <w:lang w:val="ro-MD"/>
        </w:rPr>
        <w:t>Directorul general –</w:t>
      </w:r>
      <w:r w:rsidR="00B46AD7"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 xml:space="preserve">organul executiv al </w:t>
      </w:r>
      <w:r w:rsidR="00B46AD7" w:rsidRPr="0080251F">
        <w:rPr>
          <w:rFonts w:ascii="Times New Roman" w:hAnsi="Times New Roman" w:cs="Times New Roman"/>
          <w:sz w:val="24"/>
          <w:szCs w:val="24"/>
          <w:lang w:val="ro-MD"/>
        </w:rPr>
        <w:t>s</w:t>
      </w:r>
      <w:r w:rsidRPr="0080251F">
        <w:rPr>
          <w:rFonts w:ascii="Times New Roman" w:hAnsi="Times New Roman" w:cs="Times New Roman"/>
          <w:sz w:val="24"/>
          <w:szCs w:val="24"/>
          <w:lang w:val="ro-MD"/>
        </w:rPr>
        <w:t xml:space="preserve">ocietății, </w:t>
      </w:r>
      <w:r w:rsidR="00B46AD7" w:rsidRPr="0080251F">
        <w:rPr>
          <w:rFonts w:ascii="Times New Roman" w:hAnsi="Times New Roman" w:cs="Times New Roman"/>
          <w:sz w:val="24"/>
          <w:szCs w:val="24"/>
          <w:lang w:val="ro-MD"/>
        </w:rPr>
        <w:t xml:space="preserve">care </w:t>
      </w:r>
      <w:r w:rsidRPr="0080251F">
        <w:rPr>
          <w:rFonts w:ascii="Times New Roman" w:hAnsi="Times New Roman" w:cs="Times New Roman"/>
          <w:sz w:val="24"/>
          <w:szCs w:val="24"/>
          <w:lang w:val="ro-MD"/>
        </w:rPr>
        <w:t xml:space="preserve">asigură executarea hotărârilor Adunării </w:t>
      </w:r>
      <w:r w:rsidR="006817F4" w:rsidRPr="0080251F">
        <w:rPr>
          <w:rFonts w:ascii="Times New Roman" w:hAnsi="Times New Roman" w:cs="Times New Roman"/>
          <w:sz w:val="24"/>
          <w:szCs w:val="24"/>
          <w:lang w:val="ro-MD"/>
        </w:rPr>
        <w:t>G</w:t>
      </w:r>
      <w:r w:rsidRPr="0080251F">
        <w:rPr>
          <w:rFonts w:ascii="Times New Roman" w:hAnsi="Times New Roman" w:cs="Times New Roman"/>
          <w:sz w:val="24"/>
          <w:szCs w:val="24"/>
          <w:lang w:val="ro-MD"/>
        </w:rPr>
        <w:t xml:space="preserve">enerale a </w:t>
      </w:r>
      <w:r w:rsidR="006817F4" w:rsidRPr="0080251F">
        <w:rPr>
          <w:rFonts w:ascii="Times New Roman" w:hAnsi="Times New Roman" w:cs="Times New Roman"/>
          <w:sz w:val="24"/>
          <w:szCs w:val="24"/>
          <w:lang w:val="ro-MD"/>
        </w:rPr>
        <w:t>Acționarilor</w:t>
      </w:r>
      <w:r w:rsidRPr="0080251F">
        <w:rPr>
          <w:rFonts w:ascii="Times New Roman" w:hAnsi="Times New Roman" w:cs="Times New Roman"/>
          <w:sz w:val="24"/>
          <w:szCs w:val="24"/>
          <w:lang w:val="ro-MD"/>
        </w:rPr>
        <w:t xml:space="preserve"> și deciziilor Consiliului societății, conduce activitatea curentă a societății în limita competențelor statutare.</w:t>
      </w:r>
    </w:p>
    <w:p w14:paraId="5D4A957B" w14:textId="4B8694C7" w:rsidR="006A6E06" w:rsidRPr="0080251F" w:rsidRDefault="006E0D1F" w:rsidP="00327F32">
      <w:pPr>
        <w:pStyle w:val="a6"/>
        <w:tabs>
          <w:tab w:val="left" w:pos="0"/>
          <w:tab w:val="left" w:pos="426"/>
          <w:tab w:val="left" w:pos="709"/>
        </w:tabs>
        <w:spacing w:after="0" w:line="276" w:lineRule="auto"/>
        <w:ind w:left="0" w:firstLine="426"/>
        <w:jc w:val="both"/>
        <w:rPr>
          <w:rFonts w:ascii="Times New Roman" w:hAnsi="Times New Roman" w:cs="Times New Roman"/>
          <w:b/>
          <w:i/>
          <w:sz w:val="24"/>
          <w:szCs w:val="24"/>
          <w:lang w:val="ro-MD"/>
        </w:rPr>
      </w:pPr>
      <w:r w:rsidRPr="0080251F">
        <w:rPr>
          <w:rFonts w:ascii="Times New Roman" w:hAnsi="Times New Roman" w:cs="Times New Roman"/>
          <w:b/>
          <w:i/>
          <w:sz w:val="24"/>
          <w:szCs w:val="24"/>
          <w:lang w:val="ro-MD"/>
        </w:rPr>
        <w:tab/>
      </w:r>
      <w:r w:rsidRPr="0080251F">
        <w:rPr>
          <w:rFonts w:ascii="Times New Roman" w:hAnsi="Times New Roman" w:cs="Times New Roman"/>
          <w:bCs/>
          <w:sz w:val="24"/>
          <w:szCs w:val="24"/>
          <w:lang w:val="ro-MD"/>
        </w:rPr>
        <w:t xml:space="preserve">Informația privind organigrama entității </w:t>
      </w:r>
      <w:r w:rsidR="009C732A" w:rsidRPr="0080251F">
        <w:rPr>
          <w:rFonts w:ascii="Times New Roman" w:hAnsi="Times New Roman" w:cs="Times New Roman"/>
          <w:bCs/>
          <w:sz w:val="24"/>
          <w:szCs w:val="24"/>
          <w:lang w:val="ro-MD"/>
        </w:rPr>
        <w:t xml:space="preserve">și competențele organelor de conducere </w:t>
      </w:r>
      <w:r w:rsidRPr="0080251F">
        <w:rPr>
          <w:rFonts w:ascii="Times New Roman" w:hAnsi="Times New Roman" w:cs="Times New Roman"/>
          <w:bCs/>
          <w:sz w:val="24"/>
          <w:szCs w:val="24"/>
          <w:lang w:val="ro-MD"/>
        </w:rPr>
        <w:t xml:space="preserve">se prezintă în </w:t>
      </w:r>
      <w:r w:rsidRPr="0080251F">
        <w:rPr>
          <w:rFonts w:ascii="Times New Roman" w:hAnsi="Times New Roman" w:cs="Times New Roman"/>
          <w:b/>
          <w:bCs/>
          <w:sz w:val="24"/>
          <w:szCs w:val="24"/>
          <w:lang w:val="ro-MD"/>
        </w:rPr>
        <w:t>Anexa nr.1</w:t>
      </w:r>
      <w:r w:rsidRPr="0080251F">
        <w:rPr>
          <w:rFonts w:ascii="Times New Roman" w:hAnsi="Times New Roman" w:cs="Times New Roman"/>
          <w:bCs/>
          <w:sz w:val="24"/>
          <w:szCs w:val="24"/>
          <w:lang w:val="ro-MD"/>
        </w:rPr>
        <w:t xml:space="preserve"> la prezentul Raport de audit.</w:t>
      </w:r>
    </w:p>
    <w:p w14:paraId="11E11B4F" w14:textId="7268B93E" w:rsidR="004645A3" w:rsidRPr="0080251F" w:rsidRDefault="004645A3" w:rsidP="001529BA">
      <w:pPr>
        <w:pStyle w:val="2"/>
        <w:spacing w:before="200" w:line="276" w:lineRule="auto"/>
        <w:jc w:val="both"/>
        <w:rPr>
          <w:rFonts w:ascii="Times New Roman" w:eastAsia="Times New Roman" w:hAnsi="Times New Roman" w:cs="Times New Roman"/>
          <w:b/>
          <w:sz w:val="24"/>
          <w:szCs w:val="24"/>
          <w:lang w:val="ro-MD"/>
        </w:rPr>
      </w:pPr>
      <w:bookmarkStart w:id="8" w:name="_Toc161169686"/>
      <w:r w:rsidRPr="0080251F">
        <w:rPr>
          <w:rFonts w:ascii="Times New Roman" w:eastAsia="Times New Roman" w:hAnsi="Times New Roman" w:cs="Times New Roman"/>
          <w:b/>
          <w:sz w:val="24"/>
          <w:szCs w:val="24"/>
          <w:lang w:val="ro-MD"/>
        </w:rPr>
        <w:t>2.2</w:t>
      </w:r>
      <w:r w:rsidR="002062BF" w:rsidRPr="0080251F">
        <w:rPr>
          <w:rFonts w:ascii="Times New Roman" w:eastAsia="Times New Roman" w:hAnsi="Times New Roman" w:cs="Times New Roman"/>
          <w:b/>
          <w:sz w:val="24"/>
          <w:szCs w:val="24"/>
          <w:lang w:val="ro-MD"/>
        </w:rPr>
        <w:t>.</w:t>
      </w:r>
      <w:r w:rsidRPr="0080251F">
        <w:rPr>
          <w:rFonts w:ascii="Times New Roman" w:eastAsia="Times New Roman" w:hAnsi="Times New Roman" w:cs="Times New Roman"/>
          <w:b/>
          <w:sz w:val="24"/>
          <w:szCs w:val="24"/>
          <w:lang w:val="ro-MD"/>
        </w:rPr>
        <w:t xml:space="preserve"> Patrimoniul </w:t>
      </w:r>
      <w:r w:rsidR="006F4A58" w:rsidRPr="0080251F">
        <w:rPr>
          <w:rFonts w:ascii="Times New Roman" w:eastAsia="Times New Roman" w:hAnsi="Times New Roman" w:cs="Times New Roman"/>
          <w:b/>
          <w:sz w:val="24"/>
          <w:szCs w:val="24"/>
          <w:lang w:val="ro-MD"/>
        </w:rPr>
        <w:t xml:space="preserve">și resursele financiare </w:t>
      </w:r>
      <w:r w:rsidRPr="0080251F">
        <w:rPr>
          <w:rFonts w:ascii="Times New Roman" w:eastAsia="Times New Roman" w:hAnsi="Times New Roman" w:cs="Times New Roman"/>
          <w:b/>
          <w:sz w:val="24"/>
          <w:szCs w:val="24"/>
          <w:lang w:val="ro-MD"/>
        </w:rPr>
        <w:t>gestionat</w:t>
      </w:r>
      <w:r w:rsidR="006F4A58" w:rsidRPr="0080251F">
        <w:rPr>
          <w:rFonts w:ascii="Times New Roman" w:eastAsia="Times New Roman" w:hAnsi="Times New Roman" w:cs="Times New Roman"/>
          <w:b/>
          <w:sz w:val="24"/>
          <w:szCs w:val="24"/>
          <w:lang w:val="ro-MD"/>
        </w:rPr>
        <w:t>e</w:t>
      </w:r>
      <w:bookmarkEnd w:id="8"/>
    </w:p>
    <w:p w14:paraId="740F890A" w14:textId="3564F92C" w:rsidR="00207AC2" w:rsidRPr="0080251F" w:rsidRDefault="00207AC2" w:rsidP="00CC508D">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La situația </w:t>
      </w:r>
      <w:r w:rsidR="006817F4" w:rsidRPr="0080251F">
        <w:rPr>
          <w:rFonts w:ascii="Times New Roman" w:hAnsi="Times New Roman" w:cs="Times New Roman"/>
          <w:sz w:val="24"/>
          <w:szCs w:val="24"/>
          <w:lang w:val="ro-MD"/>
        </w:rPr>
        <w:t xml:space="preserve">din </w:t>
      </w:r>
      <w:r w:rsidRPr="0080251F">
        <w:rPr>
          <w:rFonts w:ascii="Times New Roman" w:hAnsi="Times New Roman" w:cs="Times New Roman"/>
          <w:sz w:val="24"/>
          <w:szCs w:val="24"/>
          <w:lang w:val="ro-MD"/>
        </w:rPr>
        <w:t>anul 2022, capitalul social al S.A. „RED-Nord” a constituit 245</w:t>
      </w:r>
      <w:r w:rsidR="00EB5FB4" w:rsidRPr="0080251F">
        <w:rPr>
          <w:rFonts w:ascii="Times New Roman" w:hAnsi="Times New Roman" w:cs="Times New Roman"/>
          <w:sz w:val="24"/>
          <w:szCs w:val="24"/>
          <w:lang w:val="ro-MD"/>
        </w:rPr>
        <w:t xml:space="preserve">,4 </w:t>
      </w:r>
      <w:r w:rsidR="00E45F03" w:rsidRPr="0080251F">
        <w:rPr>
          <w:rFonts w:ascii="Times New Roman" w:hAnsi="Times New Roman" w:cs="Times New Roman"/>
          <w:sz w:val="24"/>
          <w:szCs w:val="24"/>
          <w:lang w:val="ro-MD"/>
        </w:rPr>
        <w:t>mil.</w:t>
      </w:r>
      <w:r w:rsidR="00EB5FB4"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lei și a fost divizat în 12</w:t>
      </w:r>
      <w:r w:rsidR="00CC11FA"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268</w:t>
      </w:r>
      <w:r w:rsidR="00CC11FA"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964 acțiuni simple</w:t>
      </w:r>
      <w:r w:rsidR="00C1008F" w:rsidRPr="0080251F">
        <w:rPr>
          <w:rFonts w:ascii="Times New Roman" w:hAnsi="Times New Roman" w:cs="Times New Roman"/>
          <w:sz w:val="24"/>
          <w:szCs w:val="24"/>
          <w:lang w:val="ro-MD"/>
        </w:rPr>
        <w:t xml:space="preserve"> nominative cu valoarea de 20,0</w:t>
      </w:r>
      <w:r w:rsidRPr="0080251F">
        <w:rPr>
          <w:rFonts w:ascii="Times New Roman" w:hAnsi="Times New Roman" w:cs="Times New Roman"/>
          <w:sz w:val="24"/>
          <w:szCs w:val="24"/>
          <w:lang w:val="ro-MD"/>
        </w:rPr>
        <w:t xml:space="preserve"> lei fiecare</w:t>
      </w:r>
      <w:r w:rsidR="006817F4" w:rsidRPr="0080251F">
        <w:rPr>
          <w:rFonts w:ascii="Times New Roman" w:hAnsi="Times New Roman" w:cs="Times New Roman"/>
          <w:sz w:val="24"/>
          <w:szCs w:val="24"/>
          <w:lang w:val="ro-MD"/>
        </w:rPr>
        <w:t>. Acesta</w:t>
      </w:r>
      <w:r w:rsidRPr="0080251F">
        <w:rPr>
          <w:rFonts w:ascii="Times New Roman" w:hAnsi="Times New Roman" w:cs="Times New Roman"/>
          <w:sz w:val="24"/>
          <w:szCs w:val="24"/>
          <w:lang w:val="ro-MD"/>
        </w:rPr>
        <w:t xml:space="preserve"> aparține în întregime statului și este administrat de către APP. </w:t>
      </w:r>
    </w:p>
    <w:p w14:paraId="13093DA5" w14:textId="6E5F697C" w:rsidR="00207AC2" w:rsidRPr="0080251F" w:rsidRDefault="00207AC2" w:rsidP="00D229FE">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La finele anului 2022</w:t>
      </w:r>
      <w:r w:rsidRPr="0080251F">
        <w:rPr>
          <w:rFonts w:ascii="Times New Roman" w:hAnsi="Times New Roman" w:cs="Times New Roman"/>
          <w:sz w:val="24"/>
          <w:szCs w:val="24"/>
          <w:vertAlign w:val="superscript"/>
          <w:lang w:val="ro-MD"/>
        </w:rPr>
        <w:footnoteReference w:id="12"/>
      </w:r>
      <w:r w:rsidRPr="0080251F">
        <w:rPr>
          <w:rFonts w:ascii="Times New Roman" w:hAnsi="Times New Roman" w:cs="Times New Roman"/>
          <w:sz w:val="24"/>
          <w:szCs w:val="24"/>
          <w:lang w:val="ro-MD"/>
        </w:rPr>
        <w:t>, valoarea totală a activelor a constituit 2</w:t>
      </w:r>
      <w:r w:rsidR="003A3BD0"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986,5 </w:t>
      </w:r>
      <w:r w:rsidR="00E45F03" w:rsidRPr="0080251F">
        <w:rPr>
          <w:rFonts w:ascii="Times New Roman" w:hAnsi="Times New Roman" w:cs="Times New Roman"/>
          <w:sz w:val="24"/>
          <w:szCs w:val="24"/>
          <w:lang w:val="ro-MD"/>
        </w:rPr>
        <w:t>mil.</w:t>
      </w:r>
      <w:r w:rsidR="00D33887" w:rsidRPr="0080251F">
        <w:rPr>
          <w:rFonts w:ascii="Times New Roman" w:hAnsi="Times New Roman" w:cs="Times New Roman"/>
          <w:sz w:val="24"/>
          <w:szCs w:val="24"/>
          <w:lang w:val="ro-MD"/>
        </w:rPr>
        <w:t xml:space="preserve"> lei.</w:t>
      </w:r>
      <w:r w:rsidRPr="0080251F">
        <w:rPr>
          <w:rFonts w:ascii="Times New Roman" w:hAnsi="Times New Roman" w:cs="Times New Roman"/>
          <w:sz w:val="24"/>
          <w:szCs w:val="24"/>
          <w:lang w:val="ro-MD"/>
        </w:rPr>
        <w:t xml:space="preserve"> </w:t>
      </w:r>
      <w:r w:rsidR="00D33887" w:rsidRPr="0080251F">
        <w:rPr>
          <w:rFonts w:ascii="Times New Roman" w:hAnsi="Times New Roman" w:cs="Times New Roman"/>
          <w:sz w:val="24"/>
          <w:szCs w:val="24"/>
          <w:lang w:val="ro-MD"/>
        </w:rPr>
        <w:t>A</w:t>
      </w:r>
      <w:r w:rsidRPr="0080251F">
        <w:rPr>
          <w:rFonts w:ascii="Times New Roman" w:hAnsi="Times New Roman" w:cs="Times New Roman"/>
          <w:sz w:val="24"/>
          <w:szCs w:val="24"/>
          <w:lang w:val="ro-MD"/>
        </w:rPr>
        <w:t>ctivele imobilizate au constituit  2</w:t>
      </w:r>
      <w:r w:rsidR="003A3BD0"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770,4 </w:t>
      </w:r>
      <w:r w:rsidR="00E45F03" w:rsidRPr="0080251F">
        <w:rPr>
          <w:rFonts w:ascii="Times New Roman" w:hAnsi="Times New Roman" w:cs="Times New Roman"/>
          <w:sz w:val="24"/>
          <w:szCs w:val="24"/>
          <w:lang w:val="ro-MD"/>
        </w:rPr>
        <w:t>mil.</w:t>
      </w:r>
      <w:r w:rsidR="00D33887" w:rsidRPr="0080251F">
        <w:rPr>
          <w:rFonts w:ascii="Times New Roman" w:hAnsi="Times New Roman" w:cs="Times New Roman"/>
          <w:sz w:val="24"/>
          <w:szCs w:val="24"/>
          <w:lang w:val="ro-MD"/>
        </w:rPr>
        <w:t xml:space="preserve"> lei</w:t>
      </w:r>
      <w:r w:rsidR="003A3BD0" w:rsidRPr="0080251F">
        <w:rPr>
          <w:rFonts w:ascii="Times New Roman" w:hAnsi="Times New Roman" w:cs="Times New Roman"/>
          <w:sz w:val="24"/>
          <w:szCs w:val="24"/>
          <w:lang w:val="ro-MD"/>
        </w:rPr>
        <w:t xml:space="preserve">, ponderea cea mai mare revenind </w:t>
      </w:r>
      <w:r w:rsidR="003C6A1F" w:rsidRPr="0080251F">
        <w:rPr>
          <w:rFonts w:ascii="Times New Roman" w:hAnsi="Times New Roman" w:cs="Times New Roman"/>
          <w:sz w:val="24"/>
          <w:szCs w:val="24"/>
          <w:lang w:val="ro-MD"/>
        </w:rPr>
        <w:t xml:space="preserve">mijloacelor fixe – 2.685,0 mil. lei </w:t>
      </w:r>
      <w:r w:rsidR="00935ED8" w:rsidRPr="0080251F">
        <w:rPr>
          <w:rFonts w:ascii="Times New Roman" w:hAnsi="Times New Roman" w:cs="Times New Roman"/>
          <w:sz w:val="24"/>
          <w:szCs w:val="24"/>
          <w:lang w:val="ro-MD"/>
        </w:rPr>
        <w:t>(97,0%</w:t>
      </w:r>
      <w:r w:rsidR="003C6A1F" w:rsidRPr="0080251F">
        <w:rPr>
          <w:rFonts w:ascii="Times New Roman" w:hAnsi="Times New Roman" w:cs="Times New Roman"/>
          <w:sz w:val="24"/>
          <w:szCs w:val="24"/>
          <w:lang w:val="ro-MD"/>
        </w:rPr>
        <w:t>)</w:t>
      </w:r>
      <w:r w:rsidR="006817F4" w:rsidRPr="0080251F">
        <w:rPr>
          <w:rFonts w:ascii="Times New Roman" w:hAnsi="Times New Roman" w:cs="Times New Roman"/>
          <w:sz w:val="24"/>
          <w:szCs w:val="24"/>
          <w:lang w:val="ro-MD"/>
        </w:rPr>
        <w:t>,</w:t>
      </w:r>
      <w:r w:rsidR="003C6A1F" w:rsidRPr="0080251F">
        <w:rPr>
          <w:rFonts w:ascii="Times New Roman" w:hAnsi="Times New Roman" w:cs="Times New Roman"/>
          <w:sz w:val="24"/>
          <w:szCs w:val="24"/>
          <w:lang w:val="ro-MD"/>
        </w:rPr>
        <w:t xml:space="preserve"> și cheltuielilor anticipate pe termen lung</w:t>
      </w:r>
      <w:r w:rsidR="003A3BD0" w:rsidRPr="0080251F">
        <w:rPr>
          <w:rFonts w:ascii="Times New Roman" w:hAnsi="Times New Roman" w:cs="Times New Roman"/>
          <w:sz w:val="24"/>
          <w:szCs w:val="24"/>
          <w:lang w:val="ro-MD"/>
        </w:rPr>
        <w:t xml:space="preserve"> </w:t>
      </w:r>
      <w:r w:rsidR="00A9284C" w:rsidRPr="0080251F">
        <w:rPr>
          <w:rFonts w:ascii="Times New Roman" w:hAnsi="Times New Roman" w:cs="Times New Roman"/>
          <w:sz w:val="24"/>
          <w:szCs w:val="24"/>
          <w:lang w:val="ro-MD"/>
        </w:rPr>
        <w:t>– 83,9</w:t>
      </w:r>
      <w:r w:rsidR="003C6A1F" w:rsidRPr="0080251F">
        <w:rPr>
          <w:rFonts w:ascii="Times New Roman" w:hAnsi="Times New Roman" w:cs="Times New Roman"/>
          <w:sz w:val="24"/>
          <w:szCs w:val="24"/>
          <w:lang w:val="ro-MD"/>
        </w:rPr>
        <w:t xml:space="preserve"> mil. lei </w:t>
      </w:r>
      <w:r w:rsidR="003A3BD0" w:rsidRPr="0080251F">
        <w:rPr>
          <w:rFonts w:ascii="Times New Roman" w:hAnsi="Times New Roman" w:cs="Times New Roman"/>
          <w:sz w:val="24"/>
          <w:szCs w:val="24"/>
          <w:lang w:val="ro-MD"/>
        </w:rPr>
        <w:t>(</w:t>
      </w:r>
      <w:r w:rsidR="00D33887" w:rsidRPr="0080251F">
        <w:rPr>
          <w:rFonts w:ascii="Times New Roman" w:hAnsi="Times New Roman" w:cs="Times New Roman"/>
          <w:sz w:val="24"/>
          <w:szCs w:val="24"/>
          <w:lang w:val="ro-MD"/>
        </w:rPr>
        <w:t>3</w:t>
      </w:r>
      <w:r w:rsidR="0042228D" w:rsidRPr="0080251F">
        <w:rPr>
          <w:rFonts w:ascii="Times New Roman" w:hAnsi="Times New Roman" w:cs="Times New Roman"/>
          <w:sz w:val="24"/>
          <w:szCs w:val="24"/>
          <w:lang w:val="ro-MD"/>
        </w:rPr>
        <w:t>,0</w:t>
      </w:r>
      <w:r w:rsidR="00935ED8" w:rsidRPr="0080251F">
        <w:rPr>
          <w:rFonts w:ascii="Times New Roman" w:hAnsi="Times New Roman" w:cs="Times New Roman"/>
          <w:sz w:val="24"/>
          <w:szCs w:val="24"/>
          <w:lang w:val="ro-MD"/>
        </w:rPr>
        <w:t>%</w:t>
      </w:r>
      <w:r w:rsidR="003A3BD0" w:rsidRPr="0080251F">
        <w:rPr>
          <w:rFonts w:ascii="Times New Roman" w:hAnsi="Times New Roman" w:cs="Times New Roman"/>
          <w:sz w:val="24"/>
          <w:szCs w:val="24"/>
          <w:lang w:val="ro-MD"/>
        </w:rPr>
        <w:t>).</w:t>
      </w:r>
      <w:r w:rsidR="003C6A1F"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 xml:space="preserve">Activele circulante au constituit 216,1 </w:t>
      </w:r>
      <w:r w:rsidR="00E45F03" w:rsidRPr="0080251F">
        <w:rPr>
          <w:rFonts w:ascii="Times New Roman" w:hAnsi="Times New Roman" w:cs="Times New Roman"/>
          <w:sz w:val="24"/>
          <w:szCs w:val="24"/>
          <w:lang w:val="ro-MD"/>
        </w:rPr>
        <w:t>mil.</w:t>
      </w:r>
      <w:r w:rsidRPr="0080251F">
        <w:rPr>
          <w:rFonts w:ascii="Times New Roman" w:hAnsi="Times New Roman" w:cs="Times New Roman"/>
          <w:sz w:val="24"/>
          <w:szCs w:val="24"/>
          <w:lang w:val="ro-MD"/>
        </w:rPr>
        <w:t xml:space="preserve"> lei, </w:t>
      </w:r>
      <w:r w:rsidR="007C54B8" w:rsidRPr="0080251F">
        <w:rPr>
          <w:rFonts w:ascii="Times New Roman" w:hAnsi="Times New Roman" w:cs="Times New Roman"/>
          <w:sz w:val="24"/>
          <w:szCs w:val="24"/>
          <w:lang w:val="ro-MD"/>
        </w:rPr>
        <w:t>î</w:t>
      </w:r>
      <w:r w:rsidR="00E70C09" w:rsidRPr="0080251F">
        <w:rPr>
          <w:rFonts w:ascii="Times New Roman" w:hAnsi="Times New Roman" w:cs="Times New Roman"/>
          <w:sz w:val="24"/>
          <w:szCs w:val="24"/>
          <w:lang w:val="ro-MD"/>
        </w:rPr>
        <w:t xml:space="preserve">n care, ponderea creanțelor curente </w:t>
      </w:r>
      <w:r w:rsidR="006817F4"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69,1% (149,3 </w:t>
      </w:r>
      <w:r w:rsidR="00E45F03" w:rsidRPr="0080251F">
        <w:rPr>
          <w:rFonts w:ascii="Times New Roman" w:hAnsi="Times New Roman" w:cs="Times New Roman"/>
          <w:sz w:val="24"/>
          <w:szCs w:val="24"/>
          <w:lang w:val="ro-MD"/>
        </w:rPr>
        <w:t>mil.</w:t>
      </w:r>
      <w:r w:rsidRPr="0080251F">
        <w:rPr>
          <w:rFonts w:ascii="Times New Roman" w:hAnsi="Times New Roman" w:cs="Times New Roman"/>
          <w:sz w:val="24"/>
          <w:szCs w:val="24"/>
          <w:lang w:val="ro-MD"/>
        </w:rPr>
        <w:t xml:space="preserve"> lei)</w:t>
      </w:r>
      <w:r w:rsidR="006817F4"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w:t>
      </w:r>
      <w:r w:rsidR="00EE7F71" w:rsidRPr="0080251F">
        <w:rPr>
          <w:rFonts w:ascii="Times New Roman" w:hAnsi="Times New Roman" w:cs="Times New Roman"/>
          <w:sz w:val="24"/>
          <w:szCs w:val="24"/>
          <w:lang w:val="ro-MD"/>
        </w:rPr>
        <w:t xml:space="preserve">a </w:t>
      </w:r>
      <w:r w:rsidR="00D33887" w:rsidRPr="0080251F">
        <w:rPr>
          <w:rFonts w:ascii="Times New Roman" w:hAnsi="Times New Roman" w:cs="Times New Roman"/>
          <w:sz w:val="24"/>
          <w:szCs w:val="24"/>
          <w:lang w:val="ro-MD"/>
        </w:rPr>
        <w:t>stocurilor – 29,7</w:t>
      </w:r>
      <w:r w:rsidR="00A7106C" w:rsidRPr="0080251F">
        <w:rPr>
          <w:rFonts w:ascii="Times New Roman" w:hAnsi="Times New Roman" w:cs="Times New Roman"/>
          <w:sz w:val="24"/>
          <w:szCs w:val="24"/>
          <w:lang w:val="ro-MD"/>
        </w:rPr>
        <w:t>% (64,1</w:t>
      </w:r>
      <w:r w:rsidRPr="0080251F">
        <w:rPr>
          <w:rFonts w:ascii="Times New Roman" w:hAnsi="Times New Roman" w:cs="Times New Roman"/>
          <w:sz w:val="24"/>
          <w:szCs w:val="24"/>
          <w:lang w:val="ro-MD"/>
        </w:rPr>
        <w:t xml:space="preserve"> </w:t>
      </w:r>
      <w:r w:rsidR="00E45F03" w:rsidRPr="0080251F">
        <w:rPr>
          <w:rFonts w:ascii="Times New Roman" w:hAnsi="Times New Roman" w:cs="Times New Roman"/>
          <w:sz w:val="24"/>
          <w:szCs w:val="24"/>
          <w:lang w:val="ro-MD"/>
        </w:rPr>
        <w:t>mil.</w:t>
      </w:r>
      <w:r w:rsidRPr="0080251F">
        <w:rPr>
          <w:rFonts w:ascii="Times New Roman" w:hAnsi="Times New Roman" w:cs="Times New Roman"/>
          <w:sz w:val="24"/>
          <w:szCs w:val="24"/>
          <w:lang w:val="ro-MD"/>
        </w:rPr>
        <w:t xml:space="preserve"> lei).</w:t>
      </w:r>
      <w:r w:rsidR="002526DE" w:rsidRPr="0080251F">
        <w:rPr>
          <w:rFonts w:ascii="Times New Roman" w:hAnsi="Times New Roman" w:cs="Times New Roman"/>
          <w:sz w:val="24"/>
          <w:szCs w:val="24"/>
          <w:lang w:val="ro-MD"/>
        </w:rPr>
        <w:t xml:space="preserve"> Informația generalizată </w:t>
      </w:r>
      <w:r w:rsidR="006817F4" w:rsidRPr="0080251F">
        <w:rPr>
          <w:rFonts w:ascii="Times New Roman" w:hAnsi="Times New Roman" w:cs="Times New Roman"/>
          <w:sz w:val="24"/>
          <w:szCs w:val="24"/>
          <w:lang w:val="ro-MD"/>
        </w:rPr>
        <w:t xml:space="preserve">în acest sens </w:t>
      </w:r>
      <w:r w:rsidR="002526DE" w:rsidRPr="0080251F">
        <w:rPr>
          <w:rFonts w:ascii="Times New Roman" w:hAnsi="Times New Roman" w:cs="Times New Roman"/>
          <w:sz w:val="24"/>
          <w:szCs w:val="24"/>
          <w:lang w:val="ro-MD"/>
        </w:rPr>
        <w:t xml:space="preserve">se prezintă în </w:t>
      </w:r>
      <w:r w:rsidR="00954EEE" w:rsidRPr="0080251F">
        <w:rPr>
          <w:rFonts w:ascii="Times New Roman" w:hAnsi="Times New Roman" w:cs="Times New Roman"/>
          <w:b/>
          <w:sz w:val="24"/>
          <w:szCs w:val="24"/>
          <w:lang w:val="ro-MD"/>
        </w:rPr>
        <w:t>Anexa nr.</w:t>
      </w:r>
      <w:r w:rsidR="00A15F21" w:rsidRPr="0080251F">
        <w:rPr>
          <w:rFonts w:ascii="Times New Roman" w:hAnsi="Times New Roman" w:cs="Times New Roman"/>
          <w:b/>
          <w:sz w:val="24"/>
          <w:szCs w:val="24"/>
          <w:lang w:val="ro-MD"/>
        </w:rPr>
        <w:t>2</w:t>
      </w:r>
      <w:r w:rsidR="002526DE" w:rsidRPr="0080251F">
        <w:rPr>
          <w:rFonts w:ascii="Times New Roman" w:hAnsi="Times New Roman" w:cs="Times New Roman"/>
          <w:sz w:val="24"/>
          <w:szCs w:val="24"/>
          <w:lang w:val="ro-MD"/>
        </w:rPr>
        <w:t xml:space="preserve"> la prezentul Raport de audit.</w:t>
      </w:r>
    </w:p>
    <w:p w14:paraId="648EA3E7" w14:textId="13251D24" w:rsidR="00207AC2" w:rsidRPr="0080251F" w:rsidRDefault="00207AC2" w:rsidP="00D229FE">
      <w:pPr>
        <w:spacing w:after="0" w:line="276" w:lineRule="auto"/>
        <w:ind w:firstLine="709"/>
        <w:jc w:val="both"/>
        <w:rPr>
          <w:rFonts w:ascii="Times New Roman" w:hAnsi="Times New Roman" w:cs="Times New Roman"/>
          <w:b/>
          <w:sz w:val="24"/>
          <w:szCs w:val="24"/>
          <w:lang w:val="ro-MD"/>
        </w:rPr>
      </w:pPr>
      <w:r w:rsidRPr="0080251F">
        <w:rPr>
          <w:rFonts w:ascii="Times New Roman" w:hAnsi="Times New Roman" w:cs="Times New Roman"/>
          <w:sz w:val="24"/>
          <w:szCs w:val="24"/>
          <w:lang w:val="ro-MD"/>
        </w:rPr>
        <w:t xml:space="preserve">Datoriile pe termen lung au </w:t>
      </w:r>
      <w:r w:rsidR="00FD03ED" w:rsidRPr="0080251F">
        <w:rPr>
          <w:rFonts w:ascii="Times New Roman" w:hAnsi="Times New Roman" w:cs="Times New Roman"/>
          <w:sz w:val="24"/>
          <w:szCs w:val="24"/>
          <w:lang w:val="ro-MD"/>
        </w:rPr>
        <w:t>însumat</w:t>
      </w:r>
      <w:r w:rsidRPr="0080251F">
        <w:rPr>
          <w:rFonts w:ascii="Times New Roman" w:hAnsi="Times New Roman" w:cs="Times New Roman"/>
          <w:sz w:val="24"/>
          <w:szCs w:val="24"/>
          <w:lang w:val="ro-MD"/>
        </w:rPr>
        <w:t xml:space="preserve"> 142,7 </w:t>
      </w:r>
      <w:r w:rsidR="00E45F03" w:rsidRPr="0080251F">
        <w:rPr>
          <w:rFonts w:ascii="Times New Roman" w:hAnsi="Times New Roman" w:cs="Times New Roman"/>
          <w:sz w:val="24"/>
          <w:szCs w:val="24"/>
          <w:lang w:val="ro-MD"/>
        </w:rPr>
        <w:t>mil.</w:t>
      </w:r>
      <w:r w:rsidRPr="0080251F">
        <w:rPr>
          <w:rFonts w:ascii="Times New Roman" w:hAnsi="Times New Roman" w:cs="Times New Roman"/>
          <w:sz w:val="24"/>
          <w:szCs w:val="24"/>
          <w:lang w:val="ro-MD"/>
        </w:rPr>
        <w:t xml:space="preserve"> lei</w:t>
      </w:r>
      <w:r w:rsidR="00FD03ED"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datoriile pe termen scurt – 206,1 </w:t>
      </w:r>
      <w:r w:rsidR="00E45F03" w:rsidRPr="0080251F">
        <w:rPr>
          <w:rFonts w:ascii="Times New Roman" w:hAnsi="Times New Roman" w:cs="Times New Roman"/>
          <w:sz w:val="24"/>
          <w:szCs w:val="24"/>
          <w:lang w:val="ro-MD"/>
        </w:rPr>
        <w:t>mil.</w:t>
      </w:r>
      <w:r w:rsidRPr="0080251F">
        <w:rPr>
          <w:rFonts w:ascii="Times New Roman" w:hAnsi="Times New Roman" w:cs="Times New Roman"/>
          <w:sz w:val="24"/>
          <w:szCs w:val="24"/>
          <w:lang w:val="ro-MD"/>
        </w:rPr>
        <w:t xml:space="preserve"> lei.</w:t>
      </w:r>
    </w:p>
    <w:p w14:paraId="1A783A54" w14:textId="11DBB5DD" w:rsidR="00A05743" w:rsidRPr="0080251F" w:rsidRDefault="00923838" w:rsidP="00D229FE">
      <w:pPr>
        <w:spacing w:after="0" w:line="276" w:lineRule="auto"/>
        <w:ind w:firstLine="709"/>
        <w:jc w:val="both"/>
        <w:rPr>
          <w:rFonts w:ascii="Times New Roman" w:hAnsi="Times New Roman" w:cs="Times New Roman"/>
          <w:color w:val="000000" w:themeColor="text1"/>
          <w:sz w:val="24"/>
          <w:szCs w:val="24"/>
          <w:lang w:val="ro-MD"/>
        </w:rPr>
      </w:pPr>
      <w:r w:rsidRPr="0080251F">
        <w:rPr>
          <w:rFonts w:ascii="Times New Roman" w:hAnsi="Times New Roman" w:cs="Times New Roman"/>
          <w:color w:val="000000" w:themeColor="text1"/>
          <w:sz w:val="24"/>
          <w:szCs w:val="24"/>
          <w:lang w:val="ro-MD"/>
        </w:rPr>
        <w:t>În anul 2022, veniturile din vânzări ale S.A. „</w:t>
      </w:r>
      <w:r w:rsidR="00C742DB" w:rsidRPr="0080251F">
        <w:rPr>
          <w:rFonts w:ascii="Times New Roman" w:hAnsi="Times New Roman" w:cs="Times New Roman"/>
          <w:color w:val="000000" w:themeColor="text1"/>
          <w:sz w:val="24"/>
          <w:szCs w:val="24"/>
          <w:lang w:val="ro-MD"/>
        </w:rPr>
        <w:t>RED-Nord” au constituit 671</w:t>
      </w:r>
      <w:r w:rsidR="004F1ADC" w:rsidRPr="0080251F">
        <w:rPr>
          <w:rFonts w:ascii="Times New Roman" w:hAnsi="Times New Roman" w:cs="Times New Roman"/>
          <w:color w:val="000000" w:themeColor="text1"/>
          <w:sz w:val="24"/>
          <w:szCs w:val="24"/>
          <w:lang w:val="ro-MD"/>
        </w:rPr>
        <w:t>,1</w:t>
      </w:r>
      <w:r w:rsidR="00C742DB" w:rsidRPr="0080251F">
        <w:rPr>
          <w:rFonts w:ascii="Times New Roman" w:hAnsi="Times New Roman" w:cs="Times New Roman"/>
          <w:color w:val="000000" w:themeColor="text1"/>
          <w:sz w:val="24"/>
          <w:szCs w:val="24"/>
          <w:lang w:val="ro-MD"/>
        </w:rPr>
        <w:t xml:space="preserve"> mil</w:t>
      </w:r>
      <w:r w:rsidRPr="0080251F">
        <w:rPr>
          <w:rFonts w:ascii="Times New Roman" w:hAnsi="Times New Roman" w:cs="Times New Roman"/>
          <w:color w:val="000000" w:themeColor="text1"/>
          <w:sz w:val="24"/>
          <w:szCs w:val="24"/>
          <w:lang w:val="ro-MD"/>
        </w:rPr>
        <w:t xml:space="preserve"> lei, din care: veniturile din activitatea de distribuție a</w:t>
      </w:r>
      <w:r w:rsidR="00C742DB" w:rsidRPr="0080251F">
        <w:rPr>
          <w:rFonts w:ascii="Times New Roman" w:hAnsi="Times New Roman" w:cs="Times New Roman"/>
          <w:color w:val="000000" w:themeColor="text1"/>
          <w:sz w:val="24"/>
          <w:szCs w:val="24"/>
          <w:lang w:val="ro-MD"/>
        </w:rPr>
        <w:t xml:space="preserve"> energiei electrice – 654</w:t>
      </w:r>
      <w:r w:rsidR="004F1ADC" w:rsidRPr="0080251F">
        <w:rPr>
          <w:rFonts w:ascii="Times New Roman" w:hAnsi="Times New Roman" w:cs="Times New Roman"/>
          <w:color w:val="000000" w:themeColor="text1"/>
          <w:sz w:val="24"/>
          <w:szCs w:val="24"/>
          <w:lang w:val="ro-MD"/>
        </w:rPr>
        <w:t>,3</w:t>
      </w:r>
      <w:r w:rsidR="00C742DB" w:rsidRPr="0080251F">
        <w:rPr>
          <w:rFonts w:ascii="Times New Roman" w:hAnsi="Times New Roman" w:cs="Times New Roman"/>
          <w:color w:val="000000" w:themeColor="text1"/>
          <w:sz w:val="24"/>
          <w:szCs w:val="24"/>
          <w:lang w:val="ro-MD"/>
        </w:rPr>
        <w:t xml:space="preserve"> mil.</w:t>
      </w:r>
      <w:r w:rsidRPr="0080251F">
        <w:rPr>
          <w:rFonts w:ascii="Times New Roman" w:hAnsi="Times New Roman" w:cs="Times New Roman"/>
          <w:color w:val="000000" w:themeColor="text1"/>
          <w:sz w:val="24"/>
          <w:szCs w:val="24"/>
          <w:lang w:val="ro-MD"/>
        </w:rPr>
        <w:t xml:space="preserve"> lei; veniturile din acordarea serviciilor auxiliare – 15</w:t>
      </w:r>
      <w:r w:rsidR="00C742DB" w:rsidRPr="0080251F">
        <w:rPr>
          <w:rFonts w:ascii="Times New Roman" w:hAnsi="Times New Roman" w:cs="Times New Roman"/>
          <w:color w:val="000000" w:themeColor="text1"/>
          <w:sz w:val="24"/>
          <w:szCs w:val="24"/>
          <w:lang w:val="ro-MD"/>
        </w:rPr>
        <w:t xml:space="preserve">,9 mil. </w:t>
      </w:r>
      <w:r w:rsidRPr="0080251F">
        <w:rPr>
          <w:rFonts w:ascii="Times New Roman" w:hAnsi="Times New Roman" w:cs="Times New Roman"/>
          <w:color w:val="000000" w:themeColor="text1"/>
          <w:sz w:val="24"/>
          <w:szCs w:val="24"/>
          <w:lang w:val="ro-MD"/>
        </w:rPr>
        <w:t xml:space="preserve">lei; veniturile provenite din locațiunea bunurilor (11 chiriași) – </w:t>
      </w:r>
      <w:r w:rsidR="00A7106C" w:rsidRPr="0080251F">
        <w:rPr>
          <w:rFonts w:ascii="Times New Roman" w:hAnsi="Times New Roman" w:cs="Times New Roman"/>
          <w:color w:val="000000" w:themeColor="text1"/>
          <w:sz w:val="24"/>
          <w:szCs w:val="24"/>
          <w:lang w:val="ro-MD"/>
        </w:rPr>
        <w:t>934,6 mii</w:t>
      </w:r>
      <w:r w:rsidRPr="0080251F">
        <w:rPr>
          <w:rFonts w:ascii="Times New Roman" w:hAnsi="Times New Roman" w:cs="Times New Roman"/>
          <w:color w:val="000000" w:themeColor="text1"/>
          <w:sz w:val="24"/>
          <w:szCs w:val="24"/>
          <w:lang w:val="ro-MD"/>
        </w:rPr>
        <w:t xml:space="preserve"> lei. </w:t>
      </w:r>
      <w:r w:rsidR="00A05743" w:rsidRPr="0080251F">
        <w:rPr>
          <w:rFonts w:ascii="Times New Roman" w:hAnsi="Times New Roman" w:cs="Times New Roman"/>
          <w:color w:val="000000" w:themeColor="text1"/>
          <w:sz w:val="24"/>
          <w:szCs w:val="24"/>
          <w:lang w:val="ro-MD"/>
        </w:rPr>
        <w:t>Alte venituri operaționale au constituit suma de 7,0 mil. lei.</w:t>
      </w:r>
    </w:p>
    <w:p w14:paraId="38A4D13B" w14:textId="34DC9336" w:rsidR="00A05743" w:rsidRPr="0080251F" w:rsidRDefault="00923838" w:rsidP="00D229FE">
      <w:pPr>
        <w:spacing w:after="0" w:line="276" w:lineRule="auto"/>
        <w:ind w:firstLine="709"/>
        <w:jc w:val="both"/>
        <w:rPr>
          <w:rFonts w:ascii="Times New Roman" w:hAnsi="Times New Roman" w:cs="Times New Roman"/>
          <w:color w:val="000000" w:themeColor="text1"/>
          <w:sz w:val="24"/>
          <w:szCs w:val="24"/>
          <w:lang w:val="ro-MD"/>
        </w:rPr>
      </w:pPr>
      <w:r w:rsidRPr="0080251F">
        <w:rPr>
          <w:rFonts w:ascii="Times New Roman" w:hAnsi="Times New Roman" w:cs="Times New Roman"/>
          <w:color w:val="000000" w:themeColor="text1"/>
          <w:sz w:val="24"/>
          <w:szCs w:val="24"/>
          <w:lang w:val="ro-MD"/>
        </w:rPr>
        <w:t xml:space="preserve">Costul vânzărilor a </w:t>
      </w:r>
      <w:r w:rsidR="00FD03ED" w:rsidRPr="0080251F">
        <w:rPr>
          <w:rFonts w:ascii="Times New Roman" w:hAnsi="Times New Roman" w:cs="Times New Roman"/>
          <w:color w:val="000000" w:themeColor="text1"/>
          <w:sz w:val="24"/>
          <w:szCs w:val="24"/>
          <w:lang w:val="ro-MD"/>
        </w:rPr>
        <w:t>însumat</w:t>
      </w:r>
      <w:r w:rsidRPr="0080251F">
        <w:rPr>
          <w:rFonts w:ascii="Times New Roman" w:hAnsi="Times New Roman" w:cs="Times New Roman"/>
          <w:color w:val="000000" w:themeColor="text1"/>
          <w:sz w:val="24"/>
          <w:szCs w:val="24"/>
          <w:lang w:val="ro-MD"/>
        </w:rPr>
        <w:t xml:space="preserve"> 631</w:t>
      </w:r>
      <w:r w:rsidR="004F1ADC" w:rsidRPr="0080251F">
        <w:rPr>
          <w:rFonts w:ascii="Times New Roman" w:hAnsi="Times New Roman" w:cs="Times New Roman"/>
          <w:color w:val="000000" w:themeColor="text1"/>
          <w:sz w:val="24"/>
          <w:szCs w:val="24"/>
          <w:lang w:val="ro-MD"/>
        </w:rPr>
        <w:t>,1 mil.</w:t>
      </w:r>
      <w:r w:rsidRPr="0080251F">
        <w:rPr>
          <w:rFonts w:ascii="Times New Roman" w:hAnsi="Times New Roman" w:cs="Times New Roman"/>
          <w:color w:val="000000" w:themeColor="text1"/>
          <w:sz w:val="24"/>
          <w:szCs w:val="24"/>
          <w:lang w:val="ro-MD"/>
        </w:rPr>
        <w:t xml:space="preserve"> lei. </w:t>
      </w:r>
      <w:r w:rsidR="00A05743" w:rsidRPr="0080251F">
        <w:rPr>
          <w:rFonts w:ascii="Times New Roman" w:hAnsi="Times New Roman" w:cs="Times New Roman"/>
          <w:color w:val="000000" w:themeColor="text1"/>
          <w:sz w:val="24"/>
          <w:szCs w:val="24"/>
          <w:lang w:val="ro-MD"/>
        </w:rPr>
        <w:t>Cheltuielile generale și administrative au constituit suma de 58,7 mil. lei</w:t>
      </w:r>
      <w:r w:rsidR="00FD03ED" w:rsidRPr="0080251F">
        <w:rPr>
          <w:rFonts w:ascii="Times New Roman" w:hAnsi="Times New Roman" w:cs="Times New Roman"/>
          <w:color w:val="000000" w:themeColor="text1"/>
          <w:sz w:val="24"/>
          <w:szCs w:val="24"/>
          <w:lang w:val="ro-MD"/>
        </w:rPr>
        <w:t>,</w:t>
      </w:r>
      <w:r w:rsidR="00A05743" w:rsidRPr="0080251F">
        <w:rPr>
          <w:rFonts w:ascii="Times New Roman" w:hAnsi="Times New Roman" w:cs="Times New Roman"/>
          <w:color w:val="000000" w:themeColor="text1"/>
          <w:sz w:val="24"/>
          <w:szCs w:val="24"/>
          <w:lang w:val="ro-MD"/>
        </w:rPr>
        <w:t xml:space="preserve"> și alte cheltuieli operaționale – 3,6 mil. lei.</w:t>
      </w:r>
    </w:p>
    <w:p w14:paraId="67637161" w14:textId="06D1C103" w:rsidR="00923838" w:rsidRPr="0080251F" w:rsidRDefault="00923838" w:rsidP="002E12EF">
      <w:pPr>
        <w:spacing w:after="0" w:line="276" w:lineRule="auto"/>
        <w:ind w:firstLine="709"/>
        <w:jc w:val="both"/>
        <w:rPr>
          <w:rFonts w:ascii="Times New Roman" w:hAnsi="Times New Roman" w:cs="Times New Roman"/>
          <w:color w:val="000000" w:themeColor="text1"/>
          <w:sz w:val="24"/>
          <w:szCs w:val="24"/>
          <w:lang w:val="ro-MD"/>
        </w:rPr>
      </w:pPr>
      <w:r w:rsidRPr="0080251F">
        <w:rPr>
          <w:rFonts w:ascii="Times New Roman" w:hAnsi="Times New Roman" w:cs="Times New Roman"/>
          <w:color w:val="000000" w:themeColor="text1"/>
          <w:sz w:val="24"/>
          <w:szCs w:val="24"/>
          <w:lang w:val="ro-MD"/>
        </w:rPr>
        <w:t>Profitul brut, de la activitatea de bază/reglementată prin tarif, a constituit suma de 110</w:t>
      </w:r>
      <w:r w:rsidR="004F1ADC" w:rsidRPr="0080251F">
        <w:rPr>
          <w:rFonts w:ascii="Times New Roman" w:hAnsi="Times New Roman" w:cs="Times New Roman"/>
          <w:color w:val="000000" w:themeColor="text1"/>
          <w:sz w:val="24"/>
          <w:szCs w:val="24"/>
          <w:lang w:val="ro-MD"/>
        </w:rPr>
        <w:t>,4 mil.</w:t>
      </w:r>
      <w:r w:rsidRPr="0080251F">
        <w:rPr>
          <w:rFonts w:ascii="Times New Roman" w:hAnsi="Times New Roman" w:cs="Times New Roman"/>
          <w:color w:val="000000" w:themeColor="text1"/>
          <w:sz w:val="24"/>
          <w:szCs w:val="24"/>
          <w:lang w:val="ro-MD"/>
        </w:rPr>
        <w:t xml:space="preserve"> lei (luând în considerație devierile tarifare negative în valoare de 70</w:t>
      </w:r>
      <w:r w:rsidR="004F1ADC" w:rsidRPr="0080251F">
        <w:rPr>
          <w:rFonts w:ascii="Times New Roman" w:hAnsi="Times New Roman" w:cs="Times New Roman"/>
          <w:color w:val="000000" w:themeColor="text1"/>
          <w:sz w:val="24"/>
          <w:szCs w:val="24"/>
          <w:lang w:val="ro-MD"/>
        </w:rPr>
        <w:t>,4 mil.</w:t>
      </w:r>
      <w:r w:rsidRPr="0080251F">
        <w:rPr>
          <w:rFonts w:ascii="Times New Roman" w:hAnsi="Times New Roman" w:cs="Times New Roman"/>
          <w:color w:val="000000" w:themeColor="text1"/>
          <w:sz w:val="24"/>
          <w:szCs w:val="24"/>
          <w:lang w:val="ro-MD"/>
        </w:rPr>
        <w:t xml:space="preserve"> lei</w:t>
      </w:r>
      <w:r w:rsidR="00B46E6A" w:rsidRPr="0080251F">
        <w:rPr>
          <w:rFonts w:ascii="Times New Roman" w:hAnsi="Times New Roman" w:cs="Times New Roman"/>
          <w:color w:val="000000" w:themeColor="text1"/>
          <w:sz w:val="24"/>
          <w:szCs w:val="24"/>
          <w:lang w:val="ro-MD"/>
        </w:rPr>
        <w:t xml:space="preserve">, care </w:t>
      </w:r>
      <w:r w:rsidR="00B46E6A" w:rsidRPr="0080251F">
        <w:rPr>
          <w:rFonts w:ascii="Times New Roman" w:hAnsi="Times New Roman" w:cs="Times New Roman"/>
          <w:bCs/>
          <w:iCs/>
          <w:color w:val="000000" w:themeColor="text1"/>
          <w:sz w:val="24"/>
          <w:szCs w:val="24"/>
          <w:lang w:val="ro-MD"/>
        </w:rPr>
        <w:t>s-au recuperat cu devierile tarifare pozitive anterioare și în baza tarifului ajustat ulterior</w:t>
      </w:r>
      <w:r w:rsidR="0048220A" w:rsidRPr="0080251F">
        <w:rPr>
          <w:rFonts w:ascii="Times New Roman" w:hAnsi="Times New Roman" w:cs="Times New Roman"/>
          <w:color w:val="000000" w:themeColor="text1"/>
          <w:sz w:val="24"/>
          <w:szCs w:val="24"/>
          <w:lang w:val="ro-MD"/>
        </w:rPr>
        <w:t xml:space="preserve">). </w:t>
      </w:r>
      <w:r w:rsidRPr="0080251F">
        <w:rPr>
          <w:rFonts w:ascii="Times New Roman" w:hAnsi="Times New Roman" w:cs="Times New Roman"/>
          <w:color w:val="000000" w:themeColor="text1"/>
          <w:sz w:val="24"/>
          <w:szCs w:val="24"/>
          <w:lang w:val="ro-MD"/>
        </w:rPr>
        <w:t xml:space="preserve">Rezultatul global al perioadei de gestiune/profitul net </w:t>
      </w:r>
      <w:r w:rsidR="000533A6" w:rsidRPr="0080251F">
        <w:rPr>
          <w:rFonts w:ascii="Times New Roman" w:hAnsi="Times New Roman" w:cs="Times New Roman"/>
          <w:color w:val="000000" w:themeColor="text1"/>
          <w:sz w:val="24"/>
          <w:szCs w:val="24"/>
          <w:lang w:val="ro-MD"/>
        </w:rPr>
        <w:t>operațional</w:t>
      </w:r>
      <w:r w:rsidRPr="0080251F">
        <w:rPr>
          <w:rFonts w:ascii="Times New Roman" w:hAnsi="Times New Roman" w:cs="Times New Roman"/>
          <w:color w:val="000000" w:themeColor="text1"/>
          <w:sz w:val="24"/>
          <w:szCs w:val="24"/>
          <w:lang w:val="ro-MD"/>
        </w:rPr>
        <w:t xml:space="preserve"> a constituit valoarea de 55</w:t>
      </w:r>
      <w:r w:rsidR="00AD7C6B" w:rsidRPr="0080251F">
        <w:rPr>
          <w:rFonts w:ascii="Times New Roman" w:hAnsi="Times New Roman" w:cs="Times New Roman"/>
          <w:color w:val="000000" w:themeColor="text1"/>
          <w:sz w:val="24"/>
          <w:szCs w:val="24"/>
          <w:lang w:val="ro-MD"/>
        </w:rPr>
        <w:t>,2 mil.</w:t>
      </w:r>
      <w:r w:rsidRPr="0080251F">
        <w:rPr>
          <w:rFonts w:ascii="Times New Roman" w:hAnsi="Times New Roman" w:cs="Times New Roman"/>
          <w:color w:val="000000" w:themeColor="text1"/>
          <w:sz w:val="24"/>
          <w:szCs w:val="24"/>
          <w:lang w:val="ro-MD"/>
        </w:rPr>
        <w:t xml:space="preserve"> lei.</w:t>
      </w:r>
    </w:p>
    <w:p w14:paraId="37E6528D" w14:textId="13813A54" w:rsidR="003D2E6B" w:rsidRPr="0080251F" w:rsidRDefault="003D2E6B" w:rsidP="002E12EF">
      <w:pPr>
        <w:spacing w:after="0" w:line="276" w:lineRule="auto"/>
        <w:ind w:firstLine="709"/>
        <w:jc w:val="both"/>
        <w:rPr>
          <w:rFonts w:ascii="Times New Roman" w:hAnsi="Times New Roman" w:cs="Times New Roman"/>
          <w:color w:val="000000" w:themeColor="text1"/>
          <w:sz w:val="24"/>
          <w:szCs w:val="24"/>
          <w:lang w:val="ro-MD"/>
        </w:rPr>
      </w:pPr>
      <w:r w:rsidRPr="0080251F">
        <w:rPr>
          <w:rFonts w:ascii="Times New Roman" w:hAnsi="Times New Roman" w:cs="Times New Roman"/>
          <w:bCs/>
          <w:color w:val="000000" w:themeColor="text1"/>
          <w:sz w:val="24"/>
          <w:szCs w:val="24"/>
          <w:lang w:val="ro-MD"/>
        </w:rPr>
        <w:t>În perioada 2021 – 2022 tarifele pentru serviciul de distribu</w:t>
      </w:r>
      <w:r w:rsidR="00FD03ED" w:rsidRPr="0080251F">
        <w:rPr>
          <w:rFonts w:ascii="Times New Roman" w:hAnsi="Times New Roman" w:cs="Times New Roman"/>
          <w:bCs/>
          <w:color w:val="000000" w:themeColor="text1"/>
          <w:sz w:val="24"/>
          <w:szCs w:val="24"/>
          <w:lang w:val="ro-MD"/>
        </w:rPr>
        <w:t>ț</w:t>
      </w:r>
      <w:r w:rsidRPr="0080251F">
        <w:rPr>
          <w:rFonts w:ascii="Times New Roman" w:hAnsi="Times New Roman" w:cs="Times New Roman"/>
          <w:bCs/>
          <w:color w:val="000000" w:themeColor="text1"/>
          <w:sz w:val="24"/>
          <w:szCs w:val="24"/>
          <w:lang w:val="ro-MD"/>
        </w:rPr>
        <w:t>ie a energiei electrice au fost ajustate de către ANRE  de 5 ori (</w:t>
      </w:r>
      <w:r w:rsidR="00FD03ED" w:rsidRPr="0080251F">
        <w:rPr>
          <w:rFonts w:ascii="Times New Roman" w:hAnsi="Times New Roman" w:cs="Times New Roman"/>
          <w:bCs/>
          <w:color w:val="000000" w:themeColor="text1"/>
          <w:sz w:val="24"/>
          <w:szCs w:val="24"/>
          <w:lang w:val="ro-MD"/>
        </w:rPr>
        <w:t xml:space="preserve">de </w:t>
      </w:r>
      <w:r w:rsidRPr="0080251F">
        <w:rPr>
          <w:rFonts w:ascii="Times New Roman" w:hAnsi="Times New Roman" w:cs="Times New Roman"/>
          <w:bCs/>
          <w:color w:val="000000" w:themeColor="text1"/>
          <w:sz w:val="24"/>
          <w:szCs w:val="24"/>
          <w:lang w:val="ro-MD"/>
        </w:rPr>
        <w:t xml:space="preserve">2 ori în anul 2021 și </w:t>
      </w:r>
      <w:r w:rsidR="00FD03ED" w:rsidRPr="0080251F">
        <w:rPr>
          <w:rFonts w:ascii="Times New Roman" w:hAnsi="Times New Roman" w:cs="Times New Roman"/>
          <w:bCs/>
          <w:color w:val="000000" w:themeColor="text1"/>
          <w:sz w:val="24"/>
          <w:szCs w:val="24"/>
          <w:lang w:val="ro-MD"/>
        </w:rPr>
        <w:t xml:space="preserve">de </w:t>
      </w:r>
      <w:r w:rsidRPr="0080251F">
        <w:rPr>
          <w:rFonts w:ascii="Times New Roman" w:hAnsi="Times New Roman" w:cs="Times New Roman"/>
          <w:bCs/>
          <w:color w:val="000000" w:themeColor="text1"/>
          <w:sz w:val="24"/>
          <w:szCs w:val="24"/>
          <w:lang w:val="ro-MD"/>
        </w:rPr>
        <w:t>3 ori în anul 2022):</w:t>
      </w:r>
    </w:p>
    <w:tbl>
      <w:tblPr>
        <w:tblStyle w:val="aa"/>
        <w:tblW w:w="0" w:type="auto"/>
        <w:tblLook w:val="04A0" w:firstRow="1" w:lastRow="0" w:firstColumn="1" w:lastColumn="0" w:noHBand="0" w:noVBand="1"/>
      </w:tblPr>
      <w:tblGrid>
        <w:gridCol w:w="3226"/>
        <w:gridCol w:w="3226"/>
        <w:gridCol w:w="3226"/>
      </w:tblGrid>
      <w:tr w:rsidR="00AD0501" w:rsidRPr="0080251F" w14:paraId="49703B52" w14:textId="77777777" w:rsidTr="00AD0501">
        <w:tc>
          <w:tcPr>
            <w:tcW w:w="3226" w:type="dxa"/>
            <w:vMerge w:val="restart"/>
            <w:vAlign w:val="center"/>
          </w:tcPr>
          <w:p w14:paraId="0BD11887" w14:textId="14155D58" w:rsidR="00AD0501" w:rsidRPr="0080251F" w:rsidRDefault="00AD0501" w:rsidP="00012929">
            <w:pPr>
              <w:jc w:val="center"/>
              <w:rPr>
                <w:rFonts w:ascii="Times New Roman" w:hAnsi="Times New Roman" w:cs="Times New Roman"/>
                <w:b/>
                <w:color w:val="000000" w:themeColor="text1"/>
                <w:sz w:val="20"/>
                <w:szCs w:val="20"/>
                <w:lang w:val="ro-MD"/>
              </w:rPr>
            </w:pPr>
            <w:r w:rsidRPr="0080251F">
              <w:rPr>
                <w:rFonts w:ascii="Times New Roman" w:hAnsi="Times New Roman" w:cs="Times New Roman"/>
                <w:b/>
                <w:color w:val="000000" w:themeColor="text1"/>
                <w:sz w:val="20"/>
                <w:szCs w:val="20"/>
                <w:lang w:val="ro-MD"/>
              </w:rPr>
              <w:t>Perioada</w:t>
            </w:r>
          </w:p>
        </w:tc>
        <w:tc>
          <w:tcPr>
            <w:tcW w:w="6452" w:type="dxa"/>
            <w:gridSpan w:val="2"/>
            <w:vAlign w:val="center"/>
          </w:tcPr>
          <w:p w14:paraId="65C81F93" w14:textId="35784D97" w:rsidR="00AD0501" w:rsidRPr="0080251F" w:rsidRDefault="00AD0501" w:rsidP="00012929">
            <w:pPr>
              <w:jc w:val="center"/>
              <w:rPr>
                <w:rFonts w:ascii="Times New Roman" w:hAnsi="Times New Roman" w:cs="Times New Roman"/>
                <w:b/>
                <w:color w:val="000000" w:themeColor="text1"/>
                <w:sz w:val="20"/>
                <w:szCs w:val="20"/>
                <w:lang w:val="ro-MD"/>
              </w:rPr>
            </w:pPr>
            <w:r w:rsidRPr="0080251F">
              <w:rPr>
                <w:rFonts w:ascii="Times New Roman" w:hAnsi="Times New Roman" w:cs="Times New Roman"/>
                <w:b/>
                <w:color w:val="000000" w:themeColor="text1"/>
                <w:sz w:val="20"/>
                <w:szCs w:val="20"/>
                <w:lang w:val="ro-MD"/>
              </w:rPr>
              <w:t>Tarif pe nivel de tensiune:</w:t>
            </w:r>
          </w:p>
        </w:tc>
      </w:tr>
      <w:tr w:rsidR="00AD0501" w:rsidRPr="0080251F" w14:paraId="536178F8" w14:textId="77777777" w:rsidTr="00AD0501">
        <w:tc>
          <w:tcPr>
            <w:tcW w:w="3226" w:type="dxa"/>
            <w:vMerge/>
            <w:vAlign w:val="center"/>
          </w:tcPr>
          <w:p w14:paraId="019A8ACD" w14:textId="77777777" w:rsidR="00AD0501" w:rsidRPr="0080251F" w:rsidRDefault="00AD0501" w:rsidP="00012929">
            <w:pPr>
              <w:jc w:val="center"/>
              <w:rPr>
                <w:rFonts w:ascii="Times New Roman" w:hAnsi="Times New Roman" w:cs="Times New Roman"/>
                <w:b/>
                <w:color w:val="000000" w:themeColor="text1"/>
                <w:sz w:val="20"/>
                <w:szCs w:val="20"/>
                <w:lang w:val="ro-MD"/>
              </w:rPr>
            </w:pPr>
          </w:p>
        </w:tc>
        <w:tc>
          <w:tcPr>
            <w:tcW w:w="3226" w:type="dxa"/>
            <w:vAlign w:val="center"/>
          </w:tcPr>
          <w:p w14:paraId="20CB9392" w14:textId="2747487C" w:rsidR="00AD0501" w:rsidRPr="0080251F" w:rsidRDefault="00AD0501" w:rsidP="00012929">
            <w:pPr>
              <w:jc w:val="center"/>
              <w:rPr>
                <w:rFonts w:ascii="Times New Roman" w:hAnsi="Times New Roman" w:cs="Times New Roman"/>
                <w:b/>
                <w:color w:val="000000" w:themeColor="text1"/>
                <w:sz w:val="20"/>
                <w:szCs w:val="20"/>
                <w:lang w:val="ro-MD"/>
              </w:rPr>
            </w:pPr>
            <w:r w:rsidRPr="0080251F">
              <w:rPr>
                <w:rFonts w:ascii="Times New Roman" w:hAnsi="Times New Roman" w:cs="Times New Roman"/>
                <w:b/>
                <w:color w:val="000000" w:themeColor="text1"/>
                <w:sz w:val="20"/>
                <w:szCs w:val="20"/>
                <w:lang w:val="ro-MD"/>
              </w:rPr>
              <w:t>10 kV, bani/kWh</w:t>
            </w:r>
          </w:p>
        </w:tc>
        <w:tc>
          <w:tcPr>
            <w:tcW w:w="3226" w:type="dxa"/>
            <w:vAlign w:val="center"/>
          </w:tcPr>
          <w:p w14:paraId="3CE90B40" w14:textId="4BBCA667" w:rsidR="00AD0501" w:rsidRPr="0080251F" w:rsidRDefault="00AD0501" w:rsidP="00012929">
            <w:pPr>
              <w:jc w:val="center"/>
              <w:rPr>
                <w:rFonts w:ascii="Times New Roman" w:hAnsi="Times New Roman" w:cs="Times New Roman"/>
                <w:b/>
                <w:color w:val="000000" w:themeColor="text1"/>
                <w:sz w:val="20"/>
                <w:szCs w:val="20"/>
                <w:lang w:val="ro-MD"/>
              </w:rPr>
            </w:pPr>
            <w:r w:rsidRPr="0080251F">
              <w:rPr>
                <w:rFonts w:ascii="Times New Roman" w:hAnsi="Times New Roman" w:cs="Times New Roman"/>
                <w:b/>
                <w:color w:val="000000" w:themeColor="text1"/>
                <w:sz w:val="20"/>
                <w:szCs w:val="20"/>
                <w:lang w:val="ro-MD"/>
              </w:rPr>
              <w:t>0,4 kV, bani/kWh</w:t>
            </w:r>
          </w:p>
        </w:tc>
      </w:tr>
      <w:tr w:rsidR="00AD0501" w:rsidRPr="0080251F" w14:paraId="23BCD4D7" w14:textId="77777777" w:rsidTr="00AD0501">
        <w:tc>
          <w:tcPr>
            <w:tcW w:w="3226" w:type="dxa"/>
          </w:tcPr>
          <w:p w14:paraId="71A0885C" w14:textId="0E76F12A"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01.01. – 31.01.2021</w:t>
            </w:r>
          </w:p>
        </w:tc>
        <w:tc>
          <w:tcPr>
            <w:tcW w:w="3226" w:type="dxa"/>
          </w:tcPr>
          <w:p w14:paraId="369C2DE1" w14:textId="38308DC7"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28</w:t>
            </w:r>
          </w:p>
        </w:tc>
        <w:tc>
          <w:tcPr>
            <w:tcW w:w="3226" w:type="dxa"/>
          </w:tcPr>
          <w:p w14:paraId="2098DF57" w14:textId="58940903"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86</w:t>
            </w:r>
          </w:p>
        </w:tc>
      </w:tr>
      <w:tr w:rsidR="00AD0501" w:rsidRPr="0080251F" w14:paraId="6FDE9C0D" w14:textId="77777777" w:rsidTr="00AD0501">
        <w:tc>
          <w:tcPr>
            <w:tcW w:w="3226" w:type="dxa"/>
          </w:tcPr>
          <w:p w14:paraId="1E3DF37B" w14:textId="16D4C110"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01.02. – 31.12.2021</w:t>
            </w:r>
          </w:p>
        </w:tc>
        <w:tc>
          <w:tcPr>
            <w:tcW w:w="3226" w:type="dxa"/>
          </w:tcPr>
          <w:p w14:paraId="49B27213" w14:textId="216DB6F2"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28</w:t>
            </w:r>
          </w:p>
        </w:tc>
        <w:tc>
          <w:tcPr>
            <w:tcW w:w="3226" w:type="dxa"/>
          </w:tcPr>
          <w:p w14:paraId="5DCF2C2D" w14:textId="6E337973"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89</w:t>
            </w:r>
          </w:p>
        </w:tc>
      </w:tr>
      <w:tr w:rsidR="00AD0501" w:rsidRPr="0080251F" w14:paraId="46E95985" w14:textId="77777777" w:rsidTr="00AD0501">
        <w:tc>
          <w:tcPr>
            <w:tcW w:w="3226" w:type="dxa"/>
          </w:tcPr>
          <w:p w14:paraId="4A159988" w14:textId="27E03BAF"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01.01. – 31.03.2022</w:t>
            </w:r>
          </w:p>
        </w:tc>
        <w:tc>
          <w:tcPr>
            <w:tcW w:w="3226" w:type="dxa"/>
          </w:tcPr>
          <w:p w14:paraId="39AFC528" w14:textId="41FDFA47"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28</w:t>
            </w:r>
          </w:p>
        </w:tc>
        <w:tc>
          <w:tcPr>
            <w:tcW w:w="3226" w:type="dxa"/>
          </w:tcPr>
          <w:p w14:paraId="272B65B3" w14:textId="326F3923"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89</w:t>
            </w:r>
          </w:p>
        </w:tc>
      </w:tr>
      <w:tr w:rsidR="00AD0501" w:rsidRPr="0080251F" w14:paraId="63ED830A" w14:textId="77777777" w:rsidTr="00AD0501">
        <w:tc>
          <w:tcPr>
            <w:tcW w:w="3226" w:type="dxa"/>
          </w:tcPr>
          <w:p w14:paraId="011C26D3" w14:textId="17F0B1B7"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01.04. – 17.11.2022</w:t>
            </w:r>
          </w:p>
        </w:tc>
        <w:tc>
          <w:tcPr>
            <w:tcW w:w="3226" w:type="dxa"/>
          </w:tcPr>
          <w:p w14:paraId="300A2885" w14:textId="3E0E3CC2"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16</w:t>
            </w:r>
          </w:p>
        </w:tc>
        <w:tc>
          <w:tcPr>
            <w:tcW w:w="3226" w:type="dxa"/>
          </w:tcPr>
          <w:p w14:paraId="10C1552E" w14:textId="0040320A"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76</w:t>
            </w:r>
          </w:p>
        </w:tc>
      </w:tr>
      <w:tr w:rsidR="00AD0501" w:rsidRPr="0080251F" w14:paraId="6D1EA5AF" w14:textId="77777777" w:rsidTr="00AD0501">
        <w:tc>
          <w:tcPr>
            <w:tcW w:w="3226" w:type="dxa"/>
          </w:tcPr>
          <w:p w14:paraId="24A337D6" w14:textId="73BD592F"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18.11. – 31.12.2022</w:t>
            </w:r>
          </w:p>
        </w:tc>
        <w:tc>
          <w:tcPr>
            <w:tcW w:w="3226" w:type="dxa"/>
          </w:tcPr>
          <w:p w14:paraId="24A1DF2A" w14:textId="60F087AB"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26</w:t>
            </w:r>
          </w:p>
        </w:tc>
        <w:tc>
          <w:tcPr>
            <w:tcW w:w="3226" w:type="dxa"/>
          </w:tcPr>
          <w:p w14:paraId="70FB209A" w14:textId="4B094407" w:rsidR="00AD0501" w:rsidRPr="0080251F" w:rsidRDefault="00AD0501" w:rsidP="00012929">
            <w:pPr>
              <w:jc w:val="center"/>
              <w:rPr>
                <w:rFonts w:ascii="Times New Roman" w:hAnsi="Times New Roman" w:cs="Times New Roman"/>
                <w:bCs/>
                <w:color w:val="000000" w:themeColor="text1"/>
                <w:sz w:val="20"/>
                <w:szCs w:val="20"/>
                <w:lang w:val="ro-MD"/>
              </w:rPr>
            </w:pPr>
            <w:r w:rsidRPr="0080251F">
              <w:rPr>
                <w:rFonts w:ascii="Times New Roman" w:hAnsi="Times New Roman" w:cs="Times New Roman"/>
                <w:bCs/>
                <w:color w:val="000000" w:themeColor="text1"/>
                <w:sz w:val="20"/>
                <w:szCs w:val="20"/>
                <w:lang w:val="ro-MD"/>
              </w:rPr>
              <w:t>126</w:t>
            </w:r>
          </w:p>
        </w:tc>
      </w:tr>
    </w:tbl>
    <w:p w14:paraId="2C335C93" w14:textId="1EBBA589" w:rsidR="003D2E6B" w:rsidRPr="0080251F" w:rsidRDefault="003D2E6B" w:rsidP="00FA6CC7">
      <w:pPr>
        <w:spacing w:after="0" w:line="276" w:lineRule="auto"/>
        <w:jc w:val="both"/>
        <w:rPr>
          <w:rFonts w:ascii="Times New Roman" w:hAnsi="Times New Roman" w:cs="Times New Roman"/>
          <w:i/>
          <w:sz w:val="20"/>
          <w:szCs w:val="20"/>
          <w:lang w:val="ro-MD"/>
        </w:rPr>
      </w:pPr>
      <w:r w:rsidRPr="0080251F">
        <w:rPr>
          <w:rFonts w:ascii="Times New Roman" w:hAnsi="Times New Roman" w:cs="Times New Roman"/>
          <w:b/>
          <w:i/>
          <w:sz w:val="20"/>
          <w:szCs w:val="20"/>
          <w:lang w:val="ro-MD"/>
        </w:rPr>
        <w:t>Sursa:</w:t>
      </w:r>
      <w:r w:rsidRPr="0080251F">
        <w:rPr>
          <w:rFonts w:ascii="Times New Roman" w:hAnsi="Times New Roman" w:cs="Times New Roman"/>
          <w:i/>
          <w:sz w:val="20"/>
          <w:szCs w:val="20"/>
          <w:lang w:val="ro-MD"/>
        </w:rPr>
        <w:t xml:space="preserve"> Hotărârile ANRE</w:t>
      </w:r>
      <w:r w:rsidR="008839C7" w:rsidRPr="0080251F">
        <w:rPr>
          <w:rFonts w:ascii="Times New Roman" w:hAnsi="Times New Roman" w:cs="Times New Roman"/>
          <w:i/>
          <w:sz w:val="20"/>
          <w:szCs w:val="20"/>
          <w:lang w:val="ro-MD"/>
        </w:rPr>
        <w:t xml:space="preserve"> cu privire la ajustarea tarifului</w:t>
      </w:r>
      <w:r w:rsidR="00FD03ED" w:rsidRPr="0080251F">
        <w:rPr>
          <w:rFonts w:ascii="Times New Roman" w:hAnsi="Times New Roman" w:cs="Times New Roman"/>
          <w:i/>
          <w:sz w:val="20"/>
          <w:szCs w:val="20"/>
          <w:lang w:val="ro-MD"/>
        </w:rPr>
        <w:t>.</w:t>
      </w:r>
    </w:p>
    <w:p w14:paraId="7CC25BEB" w14:textId="3E8D7AD8" w:rsidR="00907F9E" w:rsidRPr="0080251F" w:rsidRDefault="0064431D" w:rsidP="00AD0501">
      <w:pPr>
        <w:spacing w:before="240"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Înregistrarea patrimoniului, drepturilor și obligațiilor, </w:t>
      </w:r>
      <w:r w:rsidR="00705B25" w:rsidRPr="0080251F">
        <w:rPr>
          <w:rFonts w:ascii="Times New Roman" w:hAnsi="Times New Roman" w:cs="Times New Roman"/>
          <w:sz w:val="24"/>
          <w:szCs w:val="24"/>
          <w:lang w:val="ro-MD"/>
        </w:rPr>
        <w:t>precum</w:t>
      </w:r>
      <w:r w:rsidRPr="0080251F">
        <w:rPr>
          <w:rFonts w:ascii="Times New Roman" w:hAnsi="Times New Roman" w:cs="Times New Roman"/>
          <w:sz w:val="24"/>
          <w:szCs w:val="24"/>
          <w:lang w:val="ro-MD"/>
        </w:rPr>
        <w:t xml:space="preserve"> </w:t>
      </w:r>
      <w:r w:rsidR="00FD03ED" w:rsidRPr="0080251F">
        <w:rPr>
          <w:rFonts w:ascii="Times New Roman" w:hAnsi="Times New Roman" w:cs="Times New Roman"/>
          <w:sz w:val="24"/>
          <w:szCs w:val="24"/>
          <w:lang w:val="ro-MD"/>
        </w:rPr>
        <w:t xml:space="preserve">și </w:t>
      </w:r>
      <w:r w:rsidRPr="0080251F">
        <w:rPr>
          <w:rFonts w:ascii="Times New Roman" w:hAnsi="Times New Roman" w:cs="Times New Roman"/>
          <w:sz w:val="24"/>
          <w:szCs w:val="24"/>
          <w:lang w:val="ro-MD"/>
        </w:rPr>
        <w:t xml:space="preserve">a veniturilor și cheltuielilor se efectuează </w:t>
      </w:r>
      <w:r w:rsidR="0061696C" w:rsidRPr="0080251F">
        <w:rPr>
          <w:rFonts w:ascii="Times New Roman" w:hAnsi="Times New Roman" w:cs="Times New Roman"/>
          <w:sz w:val="24"/>
          <w:szCs w:val="24"/>
          <w:lang w:val="ro-MD"/>
        </w:rPr>
        <w:t xml:space="preserve">în </w:t>
      </w:r>
      <w:r w:rsidR="0061696C" w:rsidRPr="0080251F">
        <w:rPr>
          <w:rFonts w:ascii="Times New Roman" w:hAnsi="Times New Roman" w:cs="Times New Roman"/>
          <w:bCs/>
          <w:sz w:val="24"/>
          <w:szCs w:val="24"/>
          <w:lang w:val="ro-MD"/>
        </w:rPr>
        <w:t>baza Standardelor și Interpretărilor emise de către Consiliul pentru Standarde</w:t>
      </w:r>
      <w:r w:rsidR="00FD03ED" w:rsidRPr="0080251F">
        <w:rPr>
          <w:rFonts w:ascii="Times New Roman" w:hAnsi="Times New Roman" w:cs="Times New Roman"/>
          <w:bCs/>
          <w:sz w:val="24"/>
          <w:szCs w:val="24"/>
          <w:lang w:val="ro-MD"/>
        </w:rPr>
        <w:t xml:space="preserve">le </w:t>
      </w:r>
      <w:r w:rsidR="0061696C" w:rsidRPr="0080251F">
        <w:rPr>
          <w:rFonts w:ascii="Times New Roman" w:hAnsi="Times New Roman" w:cs="Times New Roman"/>
          <w:bCs/>
          <w:sz w:val="24"/>
          <w:szCs w:val="24"/>
          <w:lang w:val="ro-MD"/>
        </w:rPr>
        <w:t xml:space="preserve"> Internaționale de Contabilitate, acceptate pentru aplicare în Republica Moldova</w:t>
      </w:r>
      <w:r w:rsidR="0061696C" w:rsidRPr="0080251F">
        <w:rPr>
          <w:rFonts w:ascii="Times New Roman" w:hAnsi="Times New Roman" w:cs="Times New Roman"/>
          <w:sz w:val="24"/>
          <w:szCs w:val="24"/>
          <w:lang w:val="ro-MD"/>
        </w:rPr>
        <w:t>.</w:t>
      </w:r>
      <w:r w:rsidR="00184F3F" w:rsidRPr="0080251F">
        <w:rPr>
          <w:rFonts w:ascii="Times New Roman" w:hAnsi="Times New Roman" w:cs="Times New Roman"/>
          <w:sz w:val="24"/>
          <w:szCs w:val="24"/>
          <w:lang w:val="ro-MD"/>
        </w:rPr>
        <w:t xml:space="preserve"> </w:t>
      </w:r>
      <w:r w:rsidR="0061696C" w:rsidRPr="0080251F">
        <w:rPr>
          <w:rFonts w:ascii="Times New Roman" w:hAnsi="Times New Roman" w:cs="Times New Roman"/>
          <w:sz w:val="24"/>
          <w:szCs w:val="24"/>
          <w:lang w:val="ro-MD"/>
        </w:rPr>
        <w:t>A</w:t>
      </w:r>
      <w:r w:rsidR="00184F3F" w:rsidRPr="0080251F">
        <w:rPr>
          <w:rFonts w:ascii="Times New Roman" w:hAnsi="Times New Roman" w:cs="Times New Roman"/>
          <w:sz w:val="24"/>
          <w:szCs w:val="24"/>
          <w:lang w:val="ro-MD"/>
        </w:rPr>
        <w:t>ctivitățile cu p</w:t>
      </w:r>
      <w:r w:rsidR="00705B25" w:rsidRPr="0080251F">
        <w:rPr>
          <w:rFonts w:ascii="Times New Roman" w:hAnsi="Times New Roman" w:cs="Times New Roman"/>
          <w:sz w:val="24"/>
          <w:szCs w:val="24"/>
          <w:lang w:val="ro-MD"/>
        </w:rPr>
        <w:t>rivire la achiziționarea bunurilor, serviciilor și lucrărilor, atribuirea contractelor</w:t>
      </w:r>
      <w:r w:rsidR="00184F3F" w:rsidRPr="0080251F">
        <w:rPr>
          <w:rFonts w:ascii="Times New Roman" w:hAnsi="Times New Roman" w:cs="Times New Roman"/>
          <w:sz w:val="24"/>
          <w:szCs w:val="24"/>
          <w:lang w:val="ro-MD"/>
        </w:rPr>
        <w:t xml:space="preserve"> de achiziții</w:t>
      </w:r>
      <w:r w:rsidR="00705B25" w:rsidRPr="0080251F">
        <w:rPr>
          <w:rFonts w:ascii="Times New Roman" w:hAnsi="Times New Roman" w:cs="Times New Roman"/>
          <w:sz w:val="24"/>
          <w:szCs w:val="24"/>
          <w:lang w:val="ro-MD"/>
        </w:rPr>
        <w:t>, precum și monitorizarea executării acestor contracte</w:t>
      </w:r>
      <w:r w:rsidR="00184F3F" w:rsidRPr="0080251F">
        <w:rPr>
          <w:rFonts w:ascii="Times New Roman" w:hAnsi="Times New Roman" w:cs="Times New Roman"/>
          <w:sz w:val="24"/>
          <w:szCs w:val="24"/>
          <w:lang w:val="ro-MD"/>
        </w:rPr>
        <w:t xml:space="preserve"> se efectuează de către grupul de lucru format în acest scop</w:t>
      </w:r>
      <w:r w:rsidR="00D861D7" w:rsidRPr="0080251F">
        <w:rPr>
          <w:rFonts w:ascii="Times New Roman" w:hAnsi="Times New Roman" w:cs="Times New Roman"/>
          <w:sz w:val="24"/>
          <w:szCs w:val="24"/>
          <w:lang w:val="ro-MD"/>
        </w:rPr>
        <w:t>, în temeiul prevederilor legal-normative</w:t>
      </w:r>
      <w:r w:rsidR="0061696C" w:rsidRPr="0080251F">
        <w:rPr>
          <w:rFonts w:ascii="Times New Roman" w:hAnsi="Times New Roman" w:cs="Times New Roman"/>
          <w:sz w:val="24"/>
          <w:szCs w:val="24"/>
          <w:lang w:val="ro-MD"/>
        </w:rPr>
        <w:t xml:space="preserve"> și regulamentelor interne aprobate.</w:t>
      </w:r>
    </w:p>
    <w:p w14:paraId="60A716B9" w14:textId="0958A8F8" w:rsidR="002062BF" w:rsidRPr="0080251F" w:rsidRDefault="002062BF" w:rsidP="00761181">
      <w:pPr>
        <w:pStyle w:val="1"/>
        <w:spacing w:before="200" w:line="276" w:lineRule="auto"/>
        <w:rPr>
          <w:rFonts w:ascii="Times New Roman" w:hAnsi="Times New Roman" w:cs="Times New Roman"/>
          <w:b/>
          <w:sz w:val="28"/>
          <w:szCs w:val="28"/>
          <w:lang w:val="ro-MD"/>
        </w:rPr>
      </w:pPr>
      <w:bookmarkStart w:id="9" w:name="_Toc161169687"/>
      <w:r w:rsidRPr="0080251F">
        <w:rPr>
          <w:rFonts w:ascii="Times New Roman" w:hAnsi="Times New Roman" w:cs="Times New Roman"/>
          <w:b/>
          <w:sz w:val="28"/>
          <w:szCs w:val="28"/>
          <w:lang w:val="ro-MD"/>
        </w:rPr>
        <w:t>III. SFERA ȘI ABORDAREA AUDITULUI</w:t>
      </w:r>
      <w:bookmarkEnd w:id="9"/>
    </w:p>
    <w:p w14:paraId="00398221" w14:textId="17672F13" w:rsidR="002062BF" w:rsidRPr="0080251F" w:rsidRDefault="002062BF" w:rsidP="001529BA">
      <w:pPr>
        <w:pStyle w:val="2"/>
        <w:spacing w:before="0" w:line="276" w:lineRule="auto"/>
        <w:rPr>
          <w:rFonts w:ascii="Times New Roman" w:eastAsiaTheme="minorHAnsi" w:hAnsi="Times New Roman" w:cs="Times New Roman"/>
          <w:color w:val="auto"/>
          <w:sz w:val="24"/>
          <w:szCs w:val="24"/>
          <w:shd w:val="clear" w:color="auto" w:fill="FFFFFF"/>
          <w:lang w:val="ro-MD"/>
        </w:rPr>
      </w:pPr>
      <w:bookmarkStart w:id="10" w:name="_Toc161169688"/>
      <w:r w:rsidRPr="0080251F">
        <w:rPr>
          <w:rFonts w:ascii="Times New Roman" w:hAnsi="Times New Roman" w:cs="Times New Roman"/>
          <w:b/>
          <w:sz w:val="24"/>
          <w:szCs w:val="24"/>
          <w:shd w:val="clear" w:color="auto" w:fill="FFFFFF"/>
          <w:lang w:val="ro-MD"/>
        </w:rPr>
        <w:t>3.1. Mandatul legal și scopul auditului</w:t>
      </w:r>
      <w:bookmarkEnd w:id="10"/>
      <w:r w:rsidRPr="0080251F">
        <w:rPr>
          <w:rFonts w:ascii="Times New Roman" w:eastAsiaTheme="minorHAnsi" w:hAnsi="Times New Roman" w:cs="Times New Roman"/>
          <w:color w:val="auto"/>
          <w:sz w:val="24"/>
          <w:szCs w:val="24"/>
          <w:shd w:val="clear" w:color="auto" w:fill="FFFFFF"/>
          <w:lang w:val="ro-MD"/>
        </w:rPr>
        <w:t xml:space="preserve"> </w:t>
      </w:r>
    </w:p>
    <w:p w14:paraId="1FD3C900" w14:textId="77777777" w:rsidR="00962987" w:rsidRPr="0080251F" w:rsidRDefault="00300FCD" w:rsidP="00962987">
      <w:pPr>
        <w:tabs>
          <w:tab w:val="left" w:pos="567"/>
          <w:tab w:val="left" w:pos="851"/>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shd w:val="clear" w:color="auto" w:fill="FFFFFF"/>
          <w:lang w:val="ro-MD"/>
        </w:rPr>
        <w:t>Misiunea de audit public extern s-a desfă</w:t>
      </w:r>
      <w:r w:rsidR="00D730A2" w:rsidRPr="0080251F">
        <w:rPr>
          <w:rFonts w:ascii="Times New Roman" w:hAnsi="Times New Roman" w:cs="Times New Roman"/>
          <w:sz w:val="24"/>
          <w:szCs w:val="24"/>
          <w:shd w:val="clear" w:color="auto" w:fill="FFFFFF"/>
          <w:lang w:val="ro-MD"/>
        </w:rPr>
        <w:t>ș</w:t>
      </w:r>
      <w:r w:rsidRPr="0080251F">
        <w:rPr>
          <w:rFonts w:ascii="Times New Roman" w:hAnsi="Times New Roman" w:cs="Times New Roman"/>
          <w:sz w:val="24"/>
          <w:szCs w:val="24"/>
          <w:shd w:val="clear" w:color="auto" w:fill="FFFFFF"/>
          <w:lang w:val="ro-MD"/>
        </w:rPr>
        <w:t xml:space="preserve">urat în temeiul art.5, art.31 </w:t>
      </w:r>
      <w:r w:rsidR="00D730A2" w:rsidRPr="0080251F">
        <w:rPr>
          <w:rFonts w:ascii="Times New Roman" w:hAnsi="Times New Roman" w:cs="Times New Roman"/>
          <w:sz w:val="24"/>
          <w:szCs w:val="24"/>
          <w:shd w:val="clear" w:color="auto" w:fill="FFFFFF"/>
          <w:lang w:val="ro-MD"/>
        </w:rPr>
        <w:t>ș</w:t>
      </w:r>
      <w:r w:rsidRPr="0080251F">
        <w:rPr>
          <w:rFonts w:ascii="Times New Roman" w:hAnsi="Times New Roman" w:cs="Times New Roman"/>
          <w:sz w:val="24"/>
          <w:szCs w:val="24"/>
          <w:shd w:val="clear" w:color="auto" w:fill="FFFFFF"/>
          <w:lang w:val="ro-MD"/>
        </w:rPr>
        <w:t xml:space="preserve">i art.32 din </w:t>
      </w:r>
      <w:r w:rsidR="005A228D" w:rsidRPr="0080251F">
        <w:rPr>
          <w:rFonts w:ascii="Times New Roman" w:hAnsi="Times New Roman" w:cs="Times New Roman"/>
          <w:sz w:val="24"/>
          <w:szCs w:val="24"/>
          <w:shd w:val="clear" w:color="auto" w:fill="FFFFFF"/>
          <w:lang w:val="ro-MD"/>
        </w:rPr>
        <w:t>Legea nr.260 din 07.12.2017</w:t>
      </w:r>
      <w:r w:rsidRPr="0080251F">
        <w:rPr>
          <w:rFonts w:ascii="Times New Roman" w:hAnsi="Times New Roman" w:cs="Times New Roman"/>
          <w:sz w:val="24"/>
          <w:szCs w:val="24"/>
          <w:shd w:val="clear" w:color="auto" w:fill="FFFFFF"/>
          <w:lang w:val="ro-MD"/>
        </w:rPr>
        <w:t xml:space="preserve"> </w:t>
      </w:r>
      <w:r w:rsidR="00D730A2" w:rsidRPr="0080251F">
        <w:rPr>
          <w:rFonts w:ascii="Times New Roman" w:hAnsi="Times New Roman" w:cs="Times New Roman"/>
          <w:spacing w:val="-1"/>
          <w:sz w:val="24"/>
          <w:szCs w:val="24"/>
          <w:lang w:val="ro-MD"/>
        </w:rPr>
        <w:t>ș</w:t>
      </w:r>
      <w:r w:rsidR="007A7439" w:rsidRPr="0080251F">
        <w:rPr>
          <w:rFonts w:ascii="Times New Roman" w:hAnsi="Times New Roman" w:cs="Times New Roman"/>
          <w:spacing w:val="-1"/>
          <w:sz w:val="24"/>
          <w:szCs w:val="24"/>
          <w:lang w:val="ro-MD"/>
        </w:rPr>
        <w:t>i în conformitate cu Program</w:t>
      </w:r>
      <w:r w:rsidR="00962987" w:rsidRPr="0080251F">
        <w:rPr>
          <w:rFonts w:ascii="Times New Roman" w:hAnsi="Times New Roman" w:cs="Times New Roman"/>
          <w:spacing w:val="-1"/>
          <w:sz w:val="24"/>
          <w:szCs w:val="24"/>
          <w:lang w:val="ro-MD"/>
        </w:rPr>
        <w:t>e</w:t>
      </w:r>
      <w:r w:rsidR="007A7439" w:rsidRPr="0080251F">
        <w:rPr>
          <w:rFonts w:ascii="Times New Roman" w:hAnsi="Times New Roman" w:cs="Times New Roman"/>
          <w:spacing w:val="-1"/>
          <w:sz w:val="24"/>
          <w:szCs w:val="24"/>
          <w:lang w:val="ro-MD"/>
        </w:rPr>
        <w:t>l</w:t>
      </w:r>
      <w:r w:rsidR="00962987" w:rsidRPr="0080251F">
        <w:rPr>
          <w:rFonts w:ascii="Times New Roman" w:hAnsi="Times New Roman" w:cs="Times New Roman"/>
          <w:spacing w:val="-1"/>
          <w:sz w:val="24"/>
          <w:szCs w:val="24"/>
          <w:lang w:val="ro-MD"/>
        </w:rPr>
        <w:t>e</w:t>
      </w:r>
      <w:r w:rsidR="007A7439" w:rsidRPr="0080251F">
        <w:rPr>
          <w:rFonts w:ascii="Times New Roman" w:hAnsi="Times New Roman" w:cs="Times New Roman"/>
          <w:spacing w:val="-1"/>
          <w:sz w:val="24"/>
          <w:szCs w:val="24"/>
          <w:lang w:val="ro-MD"/>
        </w:rPr>
        <w:t xml:space="preserve"> activită</w:t>
      </w:r>
      <w:r w:rsidR="00D730A2" w:rsidRPr="0080251F">
        <w:rPr>
          <w:rFonts w:ascii="Times New Roman" w:hAnsi="Times New Roman" w:cs="Times New Roman"/>
          <w:spacing w:val="-1"/>
          <w:sz w:val="24"/>
          <w:szCs w:val="24"/>
          <w:lang w:val="ro-MD"/>
        </w:rPr>
        <w:t>ț</w:t>
      </w:r>
      <w:r w:rsidR="007A7439" w:rsidRPr="0080251F">
        <w:rPr>
          <w:rFonts w:ascii="Times New Roman" w:hAnsi="Times New Roman" w:cs="Times New Roman"/>
          <w:spacing w:val="-1"/>
          <w:sz w:val="24"/>
          <w:szCs w:val="24"/>
          <w:lang w:val="ro-MD"/>
        </w:rPr>
        <w:t>ii de audit a Cur</w:t>
      </w:r>
      <w:r w:rsidR="00D730A2" w:rsidRPr="0080251F">
        <w:rPr>
          <w:rFonts w:ascii="Times New Roman" w:hAnsi="Times New Roman" w:cs="Times New Roman"/>
          <w:spacing w:val="-1"/>
          <w:sz w:val="24"/>
          <w:szCs w:val="24"/>
          <w:lang w:val="ro-MD"/>
        </w:rPr>
        <w:t>ț</w:t>
      </w:r>
      <w:r w:rsidR="007A7439" w:rsidRPr="0080251F">
        <w:rPr>
          <w:rFonts w:ascii="Times New Roman" w:hAnsi="Times New Roman" w:cs="Times New Roman"/>
          <w:spacing w:val="-1"/>
          <w:sz w:val="24"/>
          <w:szCs w:val="24"/>
          <w:lang w:val="ro-MD"/>
        </w:rPr>
        <w:t xml:space="preserve">ii de </w:t>
      </w:r>
      <w:r w:rsidR="00BB6CAB" w:rsidRPr="0080251F">
        <w:rPr>
          <w:rFonts w:ascii="Times New Roman" w:hAnsi="Times New Roman" w:cs="Times New Roman"/>
          <w:sz w:val="24"/>
          <w:szCs w:val="24"/>
          <w:lang w:val="ro-MD"/>
        </w:rPr>
        <w:t>Conturi pentru an</w:t>
      </w:r>
      <w:r w:rsidR="00962987" w:rsidRPr="0080251F">
        <w:rPr>
          <w:rFonts w:ascii="Times New Roman" w:hAnsi="Times New Roman" w:cs="Times New Roman"/>
          <w:sz w:val="24"/>
          <w:szCs w:val="24"/>
          <w:lang w:val="ro-MD"/>
        </w:rPr>
        <w:t>ii</w:t>
      </w:r>
      <w:r w:rsidR="00BB6CAB" w:rsidRPr="0080251F">
        <w:rPr>
          <w:rFonts w:ascii="Times New Roman" w:hAnsi="Times New Roman" w:cs="Times New Roman"/>
          <w:sz w:val="24"/>
          <w:szCs w:val="24"/>
          <w:lang w:val="ro-MD"/>
        </w:rPr>
        <w:t xml:space="preserve"> 2023</w:t>
      </w:r>
      <w:r w:rsidR="00962987" w:rsidRPr="0080251F">
        <w:rPr>
          <w:rFonts w:ascii="Times New Roman" w:hAnsi="Times New Roman" w:cs="Times New Roman"/>
          <w:sz w:val="24"/>
          <w:szCs w:val="24"/>
          <w:lang w:val="ro-MD"/>
        </w:rPr>
        <w:t xml:space="preserve"> și 2024</w:t>
      </w:r>
      <w:r w:rsidR="00BB6CAB" w:rsidRPr="0080251F">
        <w:rPr>
          <w:rFonts w:ascii="Times New Roman" w:hAnsi="Times New Roman" w:cs="Times New Roman"/>
          <w:sz w:val="24"/>
          <w:szCs w:val="24"/>
          <w:lang w:val="ro-MD"/>
        </w:rPr>
        <w:t xml:space="preserve">. </w:t>
      </w:r>
    </w:p>
    <w:p w14:paraId="6C56E198" w14:textId="3119A11D" w:rsidR="008760AF" w:rsidRPr="0080251F" w:rsidRDefault="00BB6CAB" w:rsidP="00962987">
      <w:pPr>
        <w:tabs>
          <w:tab w:val="left" w:pos="567"/>
          <w:tab w:val="left" w:pos="851"/>
        </w:tabs>
        <w:spacing w:after="0" w:line="276" w:lineRule="auto"/>
        <w:ind w:firstLine="709"/>
        <w:jc w:val="both"/>
        <w:rPr>
          <w:rFonts w:ascii="Times New Roman" w:hAnsi="Times New Roman" w:cs="Times New Roman"/>
          <w:sz w:val="24"/>
          <w:szCs w:val="24"/>
          <w:shd w:val="clear" w:color="auto" w:fill="FFFFFF"/>
          <w:lang w:val="ro-MD"/>
        </w:rPr>
      </w:pPr>
      <w:r w:rsidRPr="0080251F">
        <w:rPr>
          <w:rFonts w:ascii="Times New Roman" w:hAnsi="Times New Roman" w:cs="Times New Roman"/>
          <w:b/>
          <w:sz w:val="24"/>
          <w:szCs w:val="24"/>
          <w:lang w:val="ro-MD"/>
        </w:rPr>
        <w:t>Scopul misiunii de audit</w:t>
      </w:r>
      <w:r w:rsidRPr="0080251F">
        <w:rPr>
          <w:rFonts w:ascii="Times New Roman" w:hAnsi="Times New Roman" w:cs="Times New Roman"/>
          <w:sz w:val="24"/>
          <w:szCs w:val="24"/>
          <w:lang w:val="ro-MD"/>
        </w:rPr>
        <w:t xml:space="preserve"> a constat în evaluarea conformității gestionării patrimoniului și a resurselor financiare deținute </w:t>
      </w:r>
      <w:r w:rsidR="00023947" w:rsidRPr="0080251F">
        <w:rPr>
          <w:rFonts w:ascii="Times New Roman" w:hAnsi="Times New Roman" w:cs="Times New Roman"/>
          <w:sz w:val="24"/>
          <w:szCs w:val="24"/>
          <w:lang w:val="ro-MD"/>
        </w:rPr>
        <w:t>de către S.A. „RED-Nord” în ani</w:t>
      </w:r>
      <w:r w:rsidR="00080886" w:rsidRPr="0080251F">
        <w:rPr>
          <w:rFonts w:ascii="Times New Roman" w:hAnsi="Times New Roman" w:cs="Times New Roman"/>
          <w:sz w:val="24"/>
          <w:szCs w:val="24"/>
          <w:lang w:val="ro-MD"/>
        </w:rPr>
        <w:t>i</w:t>
      </w:r>
      <w:r w:rsidR="00023947" w:rsidRPr="0080251F">
        <w:rPr>
          <w:rFonts w:ascii="Times New Roman" w:hAnsi="Times New Roman" w:cs="Times New Roman"/>
          <w:sz w:val="24"/>
          <w:szCs w:val="24"/>
          <w:lang w:val="ro-MD"/>
        </w:rPr>
        <w:t xml:space="preserve"> 2021-2022, în raport cu criteriile de reglementare de ordin normativ</w:t>
      </w:r>
      <w:r w:rsidR="00300FCD" w:rsidRPr="0080251F">
        <w:rPr>
          <w:rFonts w:ascii="Times New Roman" w:hAnsi="Times New Roman" w:cs="Times New Roman"/>
          <w:sz w:val="24"/>
          <w:szCs w:val="24"/>
          <w:shd w:val="clear" w:color="auto" w:fill="FFFFFF"/>
          <w:lang w:val="ro-MD"/>
        </w:rPr>
        <w:t>.</w:t>
      </w:r>
    </w:p>
    <w:p w14:paraId="5C198565" w14:textId="77777777" w:rsidR="008760AF" w:rsidRPr="0080251F" w:rsidRDefault="008760AF" w:rsidP="00CC508D">
      <w:pPr>
        <w:tabs>
          <w:tab w:val="left" w:pos="851"/>
        </w:tabs>
        <w:spacing w:after="0" w:line="276" w:lineRule="auto"/>
        <w:ind w:firstLine="709"/>
        <w:jc w:val="both"/>
        <w:rPr>
          <w:rFonts w:ascii="Times New Roman" w:hAnsi="Times New Roman" w:cs="Times New Roman"/>
          <w:sz w:val="24"/>
          <w:szCs w:val="24"/>
          <w:shd w:val="clear" w:color="auto" w:fill="FFFFFF"/>
          <w:lang w:val="ro-MD"/>
        </w:rPr>
      </w:pPr>
      <w:r w:rsidRPr="0080251F">
        <w:rPr>
          <w:rFonts w:ascii="Times New Roman" w:hAnsi="Times New Roman" w:cs="Times New Roman"/>
          <w:sz w:val="24"/>
          <w:lang w:val="ro-MD"/>
        </w:rPr>
        <w:t>Pentru atingerea scopului propus, au fost stabilite următoarele obiective specifice:</w:t>
      </w:r>
    </w:p>
    <w:p w14:paraId="5A1F5339" w14:textId="055FDB61" w:rsidR="00300FCD" w:rsidRPr="0080251F" w:rsidRDefault="00D044E3" w:rsidP="00CC508D">
      <w:pPr>
        <w:pStyle w:val="a6"/>
        <w:numPr>
          <w:ilvl w:val="0"/>
          <w:numId w:val="3"/>
        </w:numPr>
        <w:tabs>
          <w:tab w:val="left" w:pos="0"/>
          <w:tab w:val="left" w:pos="851"/>
        </w:tabs>
        <w:spacing w:after="0" w:line="276" w:lineRule="auto"/>
        <w:ind w:left="0" w:firstLine="709"/>
        <w:jc w:val="both"/>
        <w:rPr>
          <w:rFonts w:ascii="Times New Roman" w:eastAsia="Times New Roman" w:hAnsi="Times New Roman" w:cs="Times New Roman"/>
          <w:i/>
          <w:sz w:val="24"/>
          <w:szCs w:val="24"/>
          <w:lang w:val="ro-MD"/>
        </w:rPr>
      </w:pPr>
      <w:r w:rsidRPr="0080251F">
        <w:rPr>
          <w:rFonts w:ascii="Times New Roman" w:hAnsi="Times New Roman" w:cs="Times New Roman"/>
          <w:bCs/>
          <w:iCs/>
          <w:sz w:val="24"/>
          <w:szCs w:val="24"/>
          <w:lang w:val="ro-MD"/>
        </w:rPr>
        <w:t>S.A. „RED-Nord” a asigurat gestionarea și raportarea conformă a imobilizărilor (ne)corporale</w:t>
      </w:r>
      <w:r w:rsidR="00FF14EA" w:rsidRPr="0080251F">
        <w:rPr>
          <w:rFonts w:ascii="Times New Roman" w:hAnsi="Times New Roman" w:cs="Times New Roman"/>
          <w:sz w:val="24"/>
          <w:szCs w:val="24"/>
          <w:lang w:val="ro-MD"/>
        </w:rPr>
        <w:t>?</w:t>
      </w:r>
    </w:p>
    <w:p w14:paraId="06F19B33" w14:textId="5C825970" w:rsidR="008B6220" w:rsidRPr="0080251F" w:rsidRDefault="008B2F9E" w:rsidP="00CC508D">
      <w:pPr>
        <w:pStyle w:val="a6"/>
        <w:numPr>
          <w:ilvl w:val="0"/>
          <w:numId w:val="3"/>
        </w:numPr>
        <w:tabs>
          <w:tab w:val="left" w:pos="0"/>
          <w:tab w:val="left" w:pos="851"/>
        </w:tabs>
        <w:spacing w:after="0" w:line="276" w:lineRule="auto"/>
        <w:ind w:left="0" w:firstLine="709"/>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bCs/>
          <w:iCs/>
          <w:sz w:val="24"/>
          <w:szCs w:val="24"/>
          <w:lang w:val="ro-MD"/>
        </w:rPr>
        <w:t>S.A. „RED-Nord” a asigurat gestionarea și raportarea conformă a stocurilor de materiale</w:t>
      </w:r>
      <w:r w:rsidR="008B6220" w:rsidRPr="0080251F">
        <w:rPr>
          <w:rFonts w:ascii="Times New Roman" w:eastAsia="Times New Roman" w:hAnsi="Times New Roman" w:cs="Times New Roman"/>
          <w:bCs/>
          <w:sz w:val="24"/>
          <w:szCs w:val="24"/>
          <w:lang w:val="ro-MD"/>
        </w:rPr>
        <w:t>?</w:t>
      </w:r>
    </w:p>
    <w:p w14:paraId="66AA632B" w14:textId="4FA9BA6B" w:rsidR="008B6220" w:rsidRPr="0080251F" w:rsidRDefault="004D6E66" w:rsidP="009F69CE">
      <w:pPr>
        <w:pStyle w:val="a6"/>
        <w:numPr>
          <w:ilvl w:val="0"/>
          <w:numId w:val="3"/>
        </w:numPr>
        <w:tabs>
          <w:tab w:val="left" w:pos="0"/>
          <w:tab w:val="left" w:pos="851"/>
        </w:tabs>
        <w:spacing w:after="0" w:line="276" w:lineRule="auto"/>
        <w:ind w:left="0" w:firstLine="709"/>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bCs/>
          <w:iCs/>
          <w:sz w:val="24"/>
          <w:szCs w:val="24"/>
          <w:lang w:val="ro-MD"/>
        </w:rPr>
        <w:t xml:space="preserve">S.A. „RED-Nord” a </w:t>
      </w:r>
      <w:r w:rsidR="009F69CE" w:rsidRPr="0080251F">
        <w:rPr>
          <w:rFonts w:ascii="Times New Roman" w:eastAsia="Times New Roman" w:hAnsi="Times New Roman" w:cs="Times New Roman"/>
          <w:bCs/>
          <w:iCs/>
          <w:sz w:val="24"/>
          <w:szCs w:val="24"/>
          <w:lang w:val="ro-MD"/>
        </w:rPr>
        <w:t xml:space="preserve">gestionat conform </w:t>
      </w:r>
      <w:r w:rsidRPr="0080251F">
        <w:rPr>
          <w:rFonts w:ascii="Times New Roman" w:eastAsia="Times New Roman" w:hAnsi="Times New Roman" w:cs="Times New Roman"/>
          <w:bCs/>
          <w:iCs/>
          <w:sz w:val="24"/>
          <w:szCs w:val="24"/>
          <w:lang w:val="ro-MD"/>
        </w:rPr>
        <w:t>creanțel</w:t>
      </w:r>
      <w:r w:rsidR="009F69CE" w:rsidRPr="0080251F">
        <w:rPr>
          <w:rFonts w:ascii="Times New Roman" w:eastAsia="Times New Roman" w:hAnsi="Times New Roman" w:cs="Times New Roman"/>
          <w:bCs/>
          <w:iCs/>
          <w:sz w:val="24"/>
          <w:szCs w:val="24"/>
          <w:lang w:val="ro-MD"/>
        </w:rPr>
        <w:t>e</w:t>
      </w:r>
      <w:r w:rsidRPr="0080251F">
        <w:rPr>
          <w:rFonts w:ascii="Times New Roman" w:eastAsia="Times New Roman" w:hAnsi="Times New Roman" w:cs="Times New Roman"/>
          <w:bCs/>
          <w:iCs/>
          <w:sz w:val="24"/>
          <w:szCs w:val="24"/>
          <w:lang w:val="ro-MD"/>
        </w:rPr>
        <w:t xml:space="preserve"> și datoriil</w:t>
      </w:r>
      <w:r w:rsidR="009F69CE" w:rsidRPr="0080251F">
        <w:rPr>
          <w:rFonts w:ascii="Times New Roman" w:eastAsia="Times New Roman" w:hAnsi="Times New Roman" w:cs="Times New Roman"/>
          <w:bCs/>
          <w:iCs/>
          <w:sz w:val="24"/>
          <w:szCs w:val="24"/>
          <w:lang w:val="ro-MD"/>
        </w:rPr>
        <w:t>e</w:t>
      </w:r>
      <w:r w:rsidRPr="0080251F">
        <w:rPr>
          <w:rFonts w:ascii="Times New Roman" w:eastAsia="Times New Roman" w:hAnsi="Times New Roman" w:cs="Times New Roman"/>
          <w:bCs/>
          <w:iCs/>
          <w:sz w:val="24"/>
          <w:szCs w:val="24"/>
          <w:lang w:val="ro-MD"/>
        </w:rPr>
        <w:t xml:space="preserve"> existente</w:t>
      </w:r>
      <w:r w:rsidR="008B6220" w:rsidRPr="0080251F">
        <w:rPr>
          <w:rFonts w:ascii="Times New Roman" w:eastAsia="Times New Roman" w:hAnsi="Times New Roman" w:cs="Times New Roman"/>
          <w:bCs/>
          <w:sz w:val="24"/>
          <w:szCs w:val="24"/>
          <w:lang w:val="ro-MD"/>
        </w:rPr>
        <w:t>?</w:t>
      </w:r>
    </w:p>
    <w:p w14:paraId="54997DAD" w14:textId="11F4D554" w:rsidR="008B6220" w:rsidRPr="0080251F" w:rsidRDefault="00E53A7A" w:rsidP="00CC508D">
      <w:pPr>
        <w:pStyle w:val="a6"/>
        <w:numPr>
          <w:ilvl w:val="0"/>
          <w:numId w:val="3"/>
        </w:numPr>
        <w:tabs>
          <w:tab w:val="left" w:pos="0"/>
          <w:tab w:val="left" w:pos="851"/>
        </w:tabs>
        <w:spacing w:after="0" w:line="276" w:lineRule="auto"/>
        <w:ind w:left="0" w:firstLine="709"/>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bCs/>
          <w:iCs/>
          <w:sz w:val="24"/>
          <w:szCs w:val="24"/>
          <w:lang w:val="ro-MD"/>
        </w:rPr>
        <w:t xml:space="preserve">Plățile salariale la S.A. </w:t>
      </w:r>
      <w:r w:rsidR="005C396A" w:rsidRPr="0080251F">
        <w:rPr>
          <w:rFonts w:ascii="Times New Roman" w:eastAsia="Times New Roman" w:hAnsi="Times New Roman" w:cs="Times New Roman"/>
          <w:bCs/>
          <w:iCs/>
          <w:sz w:val="24"/>
          <w:szCs w:val="24"/>
          <w:lang w:val="ro-MD"/>
        </w:rPr>
        <w:t>„</w:t>
      </w:r>
      <w:r w:rsidRPr="0080251F">
        <w:rPr>
          <w:rFonts w:ascii="Times New Roman" w:eastAsia="Times New Roman" w:hAnsi="Times New Roman" w:cs="Times New Roman"/>
          <w:bCs/>
          <w:iCs/>
          <w:sz w:val="24"/>
          <w:szCs w:val="24"/>
          <w:lang w:val="ro-MD"/>
        </w:rPr>
        <w:t>RED-Nord</w:t>
      </w:r>
      <w:r w:rsidR="005C396A" w:rsidRPr="0080251F">
        <w:rPr>
          <w:rFonts w:ascii="Times New Roman" w:eastAsia="Times New Roman" w:hAnsi="Times New Roman" w:cs="Times New Roman"/>
          <w:bCs/>
          <w:iCs/>
          <w:sz w:val="24"/>
          <w:szCs w:val="24"/>
          <w:lang w:val="ro-MD"/>
        </w:rPr>
        <w:t>”</w:t>
      </w:r>
      <w:r w:rsidRPr="0080251F">
        <w:rPr>
          <w:rFonts w:ascii="Times New Roman" w:eastAsia="Times New Roman" w:hAnsi="Times New Roman" w:cs="Times New Roman"/>
          <w:bCs/>
          <w:iCs/>
          <w:sz w:val="24"/>
          <w:szCs w:val="24"/>
          <w:lang w:val="ro-MD"/>
        </w:rPr>
        <w:t xml:space="preserve"> au fost determinate și achitate în conformitate cu cadrul normativ</w:t>
      </w:r>
      <w:r w:rsidR="008B6220" w:rsidRPr="0080251F">
        <w:rPr>
          <w:rFonts w:ascii="Times New Roman" w:eastAsia="Times New Roman" w:hAnsi="Times New Roman" w:cs="Times New Roman"/>
          <w:bCs/>
          <w:iCs/>
          <w:sz w:val="24"/>
          <w:szCs w:val="24"/>
          <w:lang w:val="ro-MD"/>
        </w:rPr>
        <w:t>?</w:t>
      </w:r>
    </w:p>
    <w:p w14:paraId="04A00270" w14:textId="0D9D5917" w:rsidR="008B6220" w:rsidRPr="0080251F" w:rsidRDefault="00FA6EF8" w:rsidP="00CC508D">
      <w:pPr>
        <w:pStyle w:val="a6"/>
        <w:numPr>
          <w:ilvl w:val="0"/>
          <w:numId w:val="3"/>
        </w:numPr>
        <w:tabs>
          <w:tab w:val="left" w:pos="0"/>
          <w:tab w:val="left" w:pos="851"/>
        </w:tabs>
        <w:spacing w:after="0" w:line="276" w:lineRule="auto"/>
        <w:ind w:left="0" w:firstLine="709"/>
        <w:jc w:val="both"/>
        <w:rPr>
          <w:rFonts w:ascii="Times New Roman" w:eastAsia="Times New Roman" w:hAnsi="Times New Roman" w:cs="Times New Roman"/>
          <w:b/>
          <w:i/>
          <w:sz w:val="24"/>
          <w:szCs w:val="24"/>
          <w:lang w:val="ro-MD"/>
        </w:rPr>
      </w:pPr>
      <w:r w:rsidRPr="0080251F">
        <w:rPr>
          <w:rFonts w:ascii="Times New Roman" w:eastAsia="Times New Roman" w:hAnsi="Times New Roman" w:cs="Times New Roman"/>
          <w:bCs/>
          <w:iCs/>
          <w:sz w:val="24"/>
          <w:szCs w:val="24"/>
          <w:lang w:val="ro-MD"/>
        </w:rPr>
        <w:t xml:space="preserve">S.A. </w:t>
      </w:r>
      <w:r w:rsidR="005C396A" w:rsidRPr="0080251F">
        <w:rPr>
          <w:rFonts w:ascii="Times New Roman" w:eastAsia="Times New Roman" w:hAnsi="Times New Roman" w:cs="Times New Roman"/>
          <w:bCs/>
          <w:iCs/>
          <w:sz w:val="24"/>
          <w:szCs w:val="24"/>
          <w:lang w:val="ro-MD"/>
        </w:rPr>
        <w:t>„</w:t>
      </w:r>
      <w:r w:rsidRPr="0080251F">
        <w:rPr>
          <w:rFonts w:ascii="Times New Roman" w:eastAsia="Times New Roman" w:hAnsi="Times New Roman" w:cs="Times New Roman"/>
          <w:bCs/>
          <w:iCs/>
          <w:sz w:val="24"/>
          <w:szCs w:val="24"/>
          <w:lang w:val="ro-MD"/>
        </w:rPr>
        <w:t>RED-Nord</w:t>
      </w:r>
      <w:r w:rsidR="005C396A" w:rsidRPr="0080251F">
        <w:rPr>
          <w:rFonts w:ascii="Times New Roman" w:eastAsia="Times New Roman" w:hAnsi="Times New Roman" w:cs="Times New Roman"/>
          <w:bCs/>
          <w:iCs/>
          <w:sz w:val="24"/>
          <w:szCs w:val="24"/>
          <w:lang w:val="ro-MD"/>
        </w:rPr>
        <w:t>”</w:t>
      </w:r>
      <w:r w:rsidRPr="0080251F">
        <w:rPr>
          <w:rFonts w:ascii="Times New Roman" w:eastAsia="Times New Roman" w:hAnsi="Times New Roman" w:cs="Times New Roman"/>
          <w:bCs/>
          <w:iCs/>
          <w:sz w:val="24"/>
          <w:szCs w:val="24"/>
          <w:lang w:val="ro-MD"/>
        </w:rPr>
        <w:t xml:space="preserve"> a respectat prevederile cadrului normativ la executare</w:t>
      </w:r>
      <w:r w:rsidR="009A17C7" w:rsidRPr="0080251F">
        <w:rPr>
          <w:rFonts w:ascii="Times New Roman" w:eastAsia="Times New Roman" w:hAnsi="Times New Roman" w:cs="Times New Roman"/>
          <w:bCs/>
          <w:iCs/>
          <w:sz w:val="24"/>
          <w:szCs w:val="24"/>
          <w:lang w:val="ro-MD"/>
        </w:rPr>
        <w:t>a</w:t>
      </w:r>
      <w:r w:rsidRPr="0080251F">
        <w:rPr>
          <w:rFonts w:ascii="Times New Roman" w:eastAsia="Times New Roman" w:hAnsi="Times New Roman" w:cs="Times New Roman"/>
          <w:bCs/>
          <w:iCs/>
          <w:sz w:val="24"/>
          <w:szCs w:val="24"/>
          <w:lang w:val="ro-MD"/>
        </w:rPr>
        <w:t xml:space="preserve"> procedurilor privind achiziționarea bunurilor, serviciilor și lucrărilor</w:t>
      </w:r>
      <w:r w:rsidR="008B6220" w:rsidRPr="0080251F">
        <w:rPr>
          <w:rFonts w:ascii="Times New Roman" w:eastAsia="Times New Roman" w:hAnsi="Times New Roman" w:cs="Times New Roman"/>
          <w:bCs/>
          <w:iCs/>
          <w:sz w:val="24"/>
          <w:szCs w:val="24"/>
          <w:lang w:val="ro-MD"/>
        </w:rPr>
        <w:t>?</w:t>
      </w:r>
    </w:p>
    <w:p w14:paraId="05F27064" w14:textId="0F65CF63" w:rsidR="001E1116" w:rsidRPr="0080251F" w:rsidRDefault="001E1116" w:rsidP="00CC508D">
      <w:pPr>
        <w:pStyle w:val="a6"/>
        <w:numPr>
          <w:ilvl w:val="0"/>
          <w:numId w:val="3"/>
        </w:numPr>
        <w:tabs>
          <w:tab w:val="left" w:pos="0"/>
          <w:tab w:val="left" w:pos="851"/>
        </w:tabs>
        <w:spacing w:after="0" w:line="276" w:lineRule="auto"/>
        <w:ind w:left="0" w:firstLine="709"/>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bCs/>
          <w:iCs/>
          <w:sz w:val="24"/>
          <w:szCs w:val="24"/>
          <w:lang w:val="ro-MD"/>
        </w:rPr>
        <w:t>S.A. „RED-Nord</w:t>
      </w:r>
      <w:r w:rsidR="00565B1D" w:rsidRPr="0080251F">
        <w:rPr>
          <w:rFonts w:ascii="Times New Roman" w:eastAsia="Times New Roman" w:hAnsi="Times New Roman" w:cs="Times New Roman"/>
          <w:bCs/>
          <w:iCs/>
          <w:sz w:val="24"/>
          <w:szCs w:val="24"/>
          <w:lang w:val="ro-MD"/>
        </w:rPr>
        <w:t>”</w:t>
      </w:r>
      <w:r w:rsidRPr="0080251F">
        <w:rPr>
          <w:rFonts w:ascii="Times New Roman" w:eastAsia="Times New Roman" w:hAnsi="Times New Roman" w:cs="Times New Roman"/>
          <w:bCs/>
          <w:iCs/>
          <w:sz w:val="24"/>
          <w:szCs w:val="24"/>
          <w:lang w:val="ro-MD"/>
        </w:rPr>
        <w:t xml:space="preserve"> a asigurat planificarea și executarea conformă a investițiilor?</w:t>
      </w:r>
    </w:p>
    <w:p w14:paraId="7CC6DE05" w14:textId="6691D25A" w:rsidR="008B6220" w:rsidRPr="0080251F" w:rsidRDefault="009426A9" w:rsidP="00CC508D">
      <w:pPr>
        <w:pStyle w:val="a6"/>
        <w:numPr>
          <w:ilvl w:val="0"/>
          <w:numId w:val="3"/>
        </w:numPr>
        <w:tabs>
          <w:tab w:val="left" w:pos="0"/>
          <w:tab w:val="left" w:pos="851"/>
        </w:tabs>
        <w:spacing w:after="0" w:line="276" w:lineRule="auto"/>
        <w:ind w:left="0" w:firstLine="709"/>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bCs/>
          <w:sz w:val="24"/>
          <w:szCs w:val="24"/>
          <w:lang w:val="ro-MD"/>
        </w:rPr>
        <w:t>S.A. „RED-Nord” a asigurat gestionarea și raportarea conformă a costurilor reglementate prin tarif</w:t>
      </w:r>
      <w:r w:rsidR="008B6220" w:rsidRPr="0080251F">
        <w:rPr>
          <w:rFonts w:ascii="Times New Roman" w:eastAsia="Times New Roman" w:hAnsi="Times New Roman" w:cs="Times New Roman"/>
          <w:bCs/>
          <w:sz w:val="24"/>
          <w:szCs w:val="24"/>
          <w:lang w:val="ro-MD"/>
        </w:rPr>
        <w:t>?</w:t>
      </w:r>
    </w:p>
    <w:p w14:paraId="0EAD1C0C" w14:textId="17F42A92" w:rsidR="004D0E95" w:rsidRPr="0080251F" w:rsidRDefault="008B6220" w:rsidP="00CC508D">
      <w:pPr>
        <w:pStyle w:val="a6"/>
        <w:numPr>
          <w:ilvl w:val="0"/>
          <w:numId w:val="3"/>
        </w:numPr>
        <w:tabs>
          <w:tab w:val="left" w:pos="0"/>
          <w:tab w:val="left" w:pos="851"/>
        </w:tabs>
        <w:spacing w:after="0" w:line="276" w:lineRule="auto"/>
        <w:ind w:left="0" w:firstLine="709"/>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bCs/>
          <w:sz w:val="24"/>
          <w:szCs w:val="24"/>
          <w:lang w:val="ro-MD"/>
        </w:rPr>
        <w:t>Cheltuielile din p</w:t>
      </w:r>
      <w:r w:rsidR="00813CEB" w:rsidRPr="0080251F">
        <w:rPr>
          <w:rFonts w:ascii="Times New Roman" w:eastAsia="Times New Roman" w:hAnsi="Times New Roman" w:cs="Times New Roman"/>
          <w:bCs/>
          <w:sz w:val="24"/>
          <w:szCs w:val="24"/>
          <w:lang w:val="ro-MD"/>
        </w:rPr>
        <w:t>rofitul net au fost conforme și</w:t>
      </w:r>
      <w:r w:rsidRPr="0080251F">
        <w:rPr>
          <w:rFonts w:ascii="Times New Roman" w:eastAsia="Times New Roman" w:hAnsi="Times New Roman" w:cs="Times New Roman"/>
          <w:bCs/>
          <w:sz w:val="24"/>
          <w:szCs w:val="24"/>
          <w:lang w:val="ro-MD"/>
        </w:rPr>
        <w:t xml:space="preserve"> oportune în raport cu domeniile de activitate statutare?</w:t>
      </w:r>
    </w:p>
    <w:p w14:paraId="75F5DBCC" w14:textId="5EAAFC0C" w:rsidR="00CA4D40" w:rsidRPr="0080251F" w:rsidRDefault="00CA4D40" w:rsidP="001529BA">
      <w:pPr>
        <w:pStyle w:val="2"/>
        <w:spacing w:before="200" w:line="276" w:lineRule="auto"/>
        <w:rPr>
          <w:rFonts w:ascii="Times New Roman" w:eastAsia="Times New Roman" w:hAnsi="Times New Roman" w:cs="Times New Roman"/>
          <w:b/>
          <w:sz w:val="24"/>
          <w:szCs w:val="24"/>
          <w:lang w:val="ro-MD"/>
        </w:rPr>
      </w:pPr>
      <w:bookmarkStart w:id="11" w:name="_Toc161169689"/>
      <w:r w:rsidRPr="0080251F">
        <w:rPr>
          <w:rFonts w:ascii="Times New Roman" w:eastAsia="Times New Roman" w:hAnsi="Times New Roman" w:cs="Times New Roman"/>
          <w:b/>
          <w:sz w:val="24"/>
          <w:szCs w:val="24"/>
          <w:lang w:val="ro-MD"/>
        </w:rPr>
        <w:t>3.2. Abordarea auditului</w:t>
      </w:r>
      <w:bookmarkEnd w:id="11"/>
    </w:p>
    <w:p w14:paraId="705BC28F" w14:textId="32F83CBD" w:rsidR="00300FCD" w:rsidRPr="0080251F" w:rsidRDefault="00300FCD" w:rsidP="00261156">
      <w:pPr>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Misiunea de audit public extern s-a desfă</w:t>
      </w:r>
      <w:r w:rsidR="00D730A2" w:rsidRPr="0080251F">
        <w:rPr>
          <w:rFonts w:ascii="Times New Roman" w:eastAsia="Times New Roman" w:hAnsi="Times New Roman" w:cs="Times New Roman"/>
          <w:sz w:val="24"/>
          <w:szCs w:val="24"/>
          <w:lang w:val="ro-MD"/>
        </w:rPr>
        <w:t>ș</w:t>
      </w:r>
      <w:r w:rsidRPr="0080251F">
        <w:rPr>
          <w:rFonts w:ascii="Times New Roman" w:eastAsia="Times New Roman" w:hAnsi="Times New Roman" w:cs="Times New Roman"/>
          <w:sz w:val="24"/>
          <w:szCs w:val="24"/>
          <w:lang w:val="ro-MD"/>
        </w:rPr>
        <w:t xml:space="preserve">urat </w:t>
      </w:r>
      <w:r w:rsidR="003F1FE8" w:rsidRPr="0080251F">
        <w:rPr>
          <w:rFonts w:ascii="Times New Roman" w:eastAsia="Times New Roman" w:hAnsi="Times New Roman" w:cs="Times New Roman"/>
          <w:sz w:val="24"/>
          <w:szCs w:val="24"/>
          <w:lang w:val="ro-MD"/>
        </w:rPr>
        <w:t xml:space="preserve">la S.A. „RED-Nord”, fiind realizată </w:t>
      </w:r>
      <w:r w:rsidRPr="0080251F">
        <w:rPr>
          <w:rFonts w:ascii="Times New Roman" w:eastAsia="Times New Roman" w:hAnsi="Times New Roman" w:cs="Times New Roman"/>
          <w:sz w:val="24"/>
          <w:szCs w:val="24"/>
          <w:lang w:val="ro-MD"/>
        </w:rPr>
        <w:t>în conformitate cu Standardele Interna</w:t>
      </w:r>
      <w:r w:rsidR="00D730A2" w:rsidRPr="0080251F">
        <w:rPr>
          <w:rFonts w:ascii="Times New Roman" w:eastAsia="Times New Roman" w:hAnsi="Times New Roman" w:cs="Times New Roman"/>
          <w:sz w:val="24"/>
          <w:szCs w:val="24"/>
          <w:lang w:val="ro-MD"/>
        </w:rPr>
        <w:t>ț</w:t>
      </w:r>
      <w:r w:rsidRPr="0080251F">
        <w:rPr>
          <w:rFonts w:ascii="Times New Roman" w:eastAsia="Times New Roman" w:hAnsi="Times New Roman" w:cs="Times New Roman"/>
          <w:sz w:val="24"/>
          <w:szCs w:val="24"/>
          <w:lang w:val="ro-MD"/>
        </w:rPr>
        <w:t>ionale ale Institu</w:t>
      </w:r>
      <w:r w:rsidR="00D730A2" w:rsidRPr="0080251F">
        <w:rPr>
          <w:rFonts w:ascii="Times New Roman" w:eastAsia="Times New Roman" w:hAnsi="Times New Roman" w:cs="Times New Roman"/>
          <w:sz w:val="24"/>
          <w:szCs w:val="24"/>
          <w:lang w:val="ro-MD"/>
        </w:rPr>
        <w:t>ț</w:t>
      </w:r>
      <w:r w:rsidRPr="0080251F">
        <w:rPr>
          <w:rFonts w:ascii="Times New Roman" w:eastAsia="Times New Roman" w:hAnsi="Times New Roman" w:cs="Times New Roman"/>
          <w:sz w:val="24"/>
          <w:szCs w:val="24"/>
          <w:lang w:val="ro-MD"/>
        </w:rPr>
        <w:t xml:space="preserve">iilor Supreme de Audit (ISSAI 100, ISSAI 400 </w:t>
      </w:r>
      <w:r w:rsidR="00D730A2" w:rsidRPr="0080251F">
        <w:rPr>
          <w:rFonts w:ascii="Times New Roman" w:eastAsia="Times New Roman" w:hAnsi="Times New Roman" w:cs="Times New Roman"/>
          <w:sz w:val="24"/>
          <w:szCs w:val="24"/>
          <w:lang w:val="ro-MD"/>
        </w:rPr>
        <w:t>ș</w:t>
      </w:r>
      <w:r w:rsidRPr="0080251F">
        <w:rPr>
          <w:rFonts w:ascii="Times New Roman" w:eastAsia="Times New Roman" w:hAnsi="Times New Roman" w:cs="Times New Roman"/>
          <w:sz w:val="24"/>
          <w:szCs w:val="24"/>
          <w:lang w:val="ro-MD"/>
        </w:rPr>
        <w:t xml:space="preserve">i ISSAI 4000) </w:t>
      </w:r>
      <w:r w:rsidR="00D730A2" w:rsidRPr="0080251F">
        <w:rPr>
          <w:rFonts w:ascii="Times New Roman" w:eastAsia="Times New Roman" w:hAnsi="Times New Roman" w:cs="Times New Roman"/>
          <w:sz w:val="24"/>
          <w:szCs w:val="24"/>
          <w:lang w:val="ro-MD"/>
        </w:rPr>
        <w:t>ș</w:t>
      </w:r>
      <w:r w:rsidRPr="0080251F">
        <w:rPr>
          <w:rFonts w:ascii="Times New Roman" w:eastAsia="Times New Roman" w:hAnsi="Times New Roman" w:cs="Times New Roman"/>
          <w:sz w:val="24"/>
          <w:szCs w:val="24"/>
          <w:lang w:val="ro-MD"/>
        </w:rPr>
        <w:t>i cu cadrul normativ-metodologic</w:t>
      </w:r>
      <w:r w:rsidR="008D015B" w:rsidRPr="0080251F">
        <w:rPr>
          <w:rFonts w:ascii="Times New Roman" w:eastAsia="Times New Roman" w:hAnsi="Times New Roman" w:cs="Times New Roman"/>
          <w:sz w:val="24"/>
          <w:szCs w:val="24"/>
          <w:lang w:val="ro-MD"/>
        </w:rPr>
        <w:t xml:space="preserve"> </w:t>
      </w:r>
      <w:r w:rsidRPr="0080251F">
        <w:rPr>
          <w:rFonts w:ascii="Times New Roman" w:eastAsia="Times New Roman" w:hAnsi="Times New Roman" w:cs="Times New Roman"/>
          <w:sz w:val="24"/>
          <w:szCs w:val="24"/>
          <w:lang w:val="ro-MD"/>
        </w:rPr>
        <w:t>institu</w:t>
      </w:r>
      <w:r w:rsidR="00D730A2" w:rsidRPr="0080251F">
        <w:rPr>
          <w:rFonts w:ascii="Times New Roman" w:eastAsia="Times New Roman" w:hAnsi="Times New Roman" w:cs="Times New Roman"/>
          <w:sz w:val="24"/>
          <w:szCs w:val="24"/>
          <w:lang w:val="ro-MD"/>
        </w:rPr>
        <w:t>ț</w:t>
      </w:r>
      <w:r w:rsidRPr="0080251F">
        <w:rPr>
          <w:rFonts w:ascii="Times New Roman" w:eastAsia="Times New Roman" w:hAnsi="Times New Roman" w:cs="Times New Roman"/>
          <w:sz w:val="24"/>
          <w:szCs w:val="24"/>
          <w:lang w:val="ro-MD"/>
        </w:rPr>
        <w:t>ional aferent, aplicate de Curtea de Conturi.</w:t>
      </w:r>
    </w:p>
    <w:p w14:paraId="0B43E05D" w14:textId="288C48F6" w:rsidR="00300FCD" w:rsidRPr="0080251F" w:rsidRDefault="00300FCD" w:rsidP="00261156">
      <w:pPr>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Abordarea auditului public extern s-a bazat pe riscuri, fapt ce presupune orientarea activită</w:t>
      </w:r>
      <w:r w:rsidR="00D730A2" w:rsidRPr="0080251F">
        <w:rPr>
          <w:rFonts w:ascii="Times New Roman" w:eastAsia="Times New Roman" w:hAnsi="Times New Roman" w:cs="Times New Roman"/>
          <w:sz w:val="24"/>
          <w:szCs w:val="24"/>
          <w:lang w:val="ro-MD"/>
        </w:rPr>
        <w:t>ț</w:t>
      </w:r>
      <w:r w:rsidRPr="0080251F">
        <w:rPr>
          <w:rFonts w:ascii="Times New Roman" w:eastAsia="Times New Roman" w:hAnsi="Times New Roman" w:cs="Times New Roman"/>
          <w:sz w:val="24"/>
          <w:szCs w:val="24"/>
          <w:lang w:val="ro-MD"/>
        </w:rPr>
        <w:t xml:space="preserve">ii de audit asupra acelor procese din cadrul </w:t>
      </w:r>
      <w:r w:rsidR="00E3139D" w:rsidRPr="0080251F">
        <w:rPr>
          <w:rFonts w:ascii="Times New Roman" w:eastAsia="Times New Roman" w:hAnsi="Times New Roman" w:cs="Times New Roman"/>
          <w:sz w:val="24"/>
          <w:szCs w:val="24"/>
          <w:lang w:val="ro-MD"/>
        </w:rPr>
        <w:t>S.A. „RED-Nord”</w:t>
      </w:r>
      <w:r w:rsidRPr="0080251F">
        <w:rPr>
          <w:rFonts w:ascii="Times New Roman" w:eastAsia="Times New Roman" w:hAnsi="Times New Roman" w:cs="Times New Roman"/>
          <w:sz w:val="24"/>
          <w:szCs w:val="24"/>
          <w:lang w:val="ro-MD"/>
        </w:rPr>
        <w:t>, care sunt predispuse unor neconformită</w:t>
      </w:r>
      <w:r w:rsidR="00D730A2" w:rsidRPr="0080251F">
        <w:rPr>
          <w:rFonts w:ascii="Times New Roman" w:eastAsia="Times New Roman" w:hAnsi="Times New Roman" w:cs="Times New Roman"/>
          <w:sz w:val="24"/>
          <w:szCs w:val="24"/>
          <w:lang w:val="ro-MD"/>
        </w:rPr>
        <w:t>ț</w:t>
      </w:r>
      <w:r w:rsidRPr="0080251F">
        <w:rPr>
          <w:rFonts w:ascii="Times New Roman" w:eastAsia="Times New Roman" w:hAnsi="Times New Roman" w:cs="Times New Roman"/>
          <w:sz w:val="24"/>
          <w:szCs w:val="24"/>
          <w:lang w:val="ro-MD"/>
        </w:rPr>
        <w:t>i semnificative. Angajamentul auditului a fost cel de raportare directă. Prin urmare, procesele auditate au fost evaluate în raport cu criteriile de audit extrase din prevederile cadrului normativ aplicabil, iar asigurarea limitată oferită ne permite, în baza constatărilor sus</w:t>
      </w:r>
      <w:r w:rsidR="00D730A2" w:rsidRPr="0080251F">
        <w:rPr>
          <w:rFonts w:ascii="Times New Roman" w:eastAsia="Times New Roman" w:hAnsi="Times New Roman" w:cs="Times New Roman"/>
          <w:sz w:val="24"/>
          <w:szCs w:val="24"/>
          <w:lang w:val="ro-MD"/>
        </w:rPr>
        <w:t>ț</w:t>
      </w:r>
      <w:r w:rsidRPr="0080251F">
        <w:rPr>
          <w:rFonts w:ascii="Times New Roman" w:eastAsia="Times New Roman" w:hAnsi="Times New Roman" w:cs="Times New Roman"/>
          <w:sz w:val="24"/>
          <w:szCs w:val="24"/>
          <w:lang w:val="ro-MD"/>
        </w:rPr>
        <w:t>inute de probele de audit, să formulăm concluzia generală.</w:t>
      </w:r>
    </w:p>
    <w:p w14:paraId="4602FF5D" w14:textId="75FD1D6D" w:rsidR="008760AF" w:rsidRPr="0080251F" w:rsidRDefault="008760AF" w:rsidP="00261156">
      <w:pPr>
        <w:spacing w:after="0" w:line="276" w:lineRule="auto"/>
        <w:ind w:firstLine="709"/>
        <w:jc w:val="both"/>
        <w:rPr>
          <w:rFonts w:ascii="Times New Roman" w:hAnsi="Times New Roman" w:cs="Times New Roman"/>
          <w:sz w:val="20"/>
          <w:szCs w:val="20"/>
          <w:lang w:val="ro-MD"/>
        </w:rPr>
      </w:pPr>
      <w:r w:rsidRPr="0080251F">
        <w:rPr>
          <w:rFonts w:ascii="Times New Roman" w:hAnsi="Times New Roman" w:cs="Times New Roman"/>
          <w:sz w:val="24"/>
          <w:szCs w:val="24"/>
          <w:lang w:val="ro-MD"/>
        </w:rPr>
        <w:t>Probele de audit au fost colectate la fa</w:t>
      </w:r>
      <w:r w:rsidR="00D730A2" w:rsidRPr="0080251F">
        <w:rPr>
          <w:rFonts w:ascii="Times New Roman" w:hAnsi="Times New Roman" w:cs="Times New Roman"/>
          <w:sz w:val="24"/>
          <w:szCs w:val="24"/>
          <w:lang w:val="ro-MD"/>
        </w:rPr>
        <w:t>ț</w:t>
      </w:r>
      <w:r w:rsidRPr="0080251F">
        <w:rPr>
          <w:rFonts w:ascii="Times New Roman" w:hAnsi="Times New Roman" w:cs="Times New Roman"/>
          <w:sz w:val="24"/>
          <w:szCs w:val="24"/>
          <w:lang w:val="ro-MD"/>
        </w:rPr>
        <w:t xml:space="preserve">a locului, prin examinarea proceselor-verbale </w:t>
      </w:r>
      <w:r w:rsidR="00D730A2" w:rsidRPr="0080251F">
        <w:rPr>
          <w:rFonts w:ascii="Times New Roman" w:hAnsi="Times New Roman" w:cs="Times New Roman"/>
          <w:sz w:val="24"/>
          <w:szCs w:val="24"/>
          <w:lang w:val="ro-MD"/>
        </w:rPr>
        <w:t>ș</w:t>
      </w:r>
      <w:r w:rsidRPr="0080251F">
        <w:rPr>
          <w:rFonts w:ascii="Times New Roman" w:hAnsi="Times New Roman" w:cs="Times New Roman"/>
          <w:sz w:val="24"/>
          <w:szCs w:val="24"/>
          <w:lang w:val="ro-MD"/>
        </w:rPr>
        <w:t xml:space="preserve">i deciziilor organelor de conducere, dosarelor </w:t>
      </w:r>
      <w:r w:rsidR="00D730A2" w:rsidRPr="0080251F">
        <w:rPr>
          <w:rFonts w:ascii="Times New Roman" w:hAnsi="Times New Roman" w:cs="Times New Roman"/>
          <w:sz w:val="24"/>
          <w:szCs w:val="24"/>
          <w:lang w:val="ro-MD"/>
        </w:rPr>
        <w:t>ș</w:t>
      </w:r>
      <w:r w:rsidRPr="0080251F">
        <w:rPr>
          <w:rFonts w:ascii="Times New Roman" w:hAnsi="Times New Roman" w:cs="Times New Roman"/>
          <w:sz w:val="24"/>
          <w:szCs w:val="24"/>
          <w:lang w:val="ro-MD"/>
        </w:rPr>
        <w:t>i documentelor primare, analiza informa</w:t>
      </w:r>
      <w:r w:rsidR="00D730A2" w:rsidRPr="0080251F">
        <w:rPr>
          <w:rFonts w:ascii="Times New Roman" w:hAnsi="Times New Roman" w:cs="Times New Roman"/>
          <w:sz w:val="24"/>
          <w:szCs w:val="24"/>
          <w:lang w:val="ro-MD"/>
        </w:rPr>
        <w:t>ț</w:t>
      </w:r>
      <w:r w:rsidRPr="0080251F">
        <w:rPr>
          <w:rFonts w:ascii="Times New Roman" w:hAnsi="Times New Roman" w:cs="Times New Roman"/>
          <w:sz w:val="24"/>
          <w:szCs w:val="24"/>
          <w:lang w:val="ro-MD"/>
        </w:rPr>
        <w:t xml:space="preserve">iilor financiare </w:t>
      </w:r>
      <w:r w:rsidR="00D730A2" w:rsidRPr="0080251F">
        <w:rPr>
          <w:rFonts w:ascii="Times New Roman" w:hAnsi="Times New Roman" w:cs="Times New Roman"/>
          <w:sz w:val="24"/>
          <w:szCs w:val="24"/>
          <w:lang w:val="ro-MD"/>
        </w:rPr>
        <w:t>ș</w:t>
      </w:r>
      <w:r w:rsidRPr="0080251F">
        <w:rPr>
          <w:rFonts w:ascii="Times New Roman" w:hAnsi="Times New Roman" w:cs="Times New Roman"/>
          <w:sz w:val="24"/>
          <w:szCs w:val="24"/>
          <w:lang w:val="ro-MD"/>
        </w:rPr>
        <w:t xml:space="preserve">i nefinanciare, recalcularea </w:t>
      </w:r>
      <w:r w:rsidR="00D730A2" w:rsidRPr="0080251F">
        <w:rPr>
          <w:rFonts w:ascii="Times New Roman" w:hAnsi="Times New Roman" w:cs="Times New Roman"/>
          <w:sz w:val="24"/>
          <w:szCs w:val="24"/>
          <w:lang w:val="ro-MD"/>
        </w:rPr>
        <w:t>ș</w:t>
      </w:r>
      <w:r w:rsidRPr="0080251F">
        <w:rPr>
          <w:rFonts w:ascii="Times New Roman" w:hAnsi="Times New Roman" w:cs="Times New Roman"/>
          <w:sz w:val="24"/>
          <w:szCs w:val="24"/>
          <w:lang w:val="ro-MD"/>
        </w:rPr>
        <w:t>i contrapuner</w:t>
      </w:r>
      <w:r w:rsidR="00E3139D" w:rsidRPr="0080251F">
        <w:rPr>
          <w:rFonts w:ascii="Times New Roman" w:hAnsi="Times New Roman" w:cs="Times New Roman"/>
          <w:sz w:val="24"/>
          <w:szCs w:val="24"/>
          <w:lang w:val="ro-MD"/>
        </w:rPr>
        <w:t>ea datelor, observarea directă</w:t>
      </w:r>
      <w:r w:rsidRPr="0080251F">
        <w:rPr>
          <w:rFonts w:ascii="Times New Roman" w:hAnsi="Times New Roman" w:cs="Times New Roman"/>
          <w:sz w:val="24"/>
          <w:szCs w:val="24"/>
          <w:lang w:val="ro-MD"/>
        </w:rPr>
        <w:t xml:space="preserve">, precum </w:t>
      </w:r>
      <w:r w:rsidR="00D730A2" w:rsidRPr="0080251F">
        <w:rPr>
          <w:rFonts w:ascii="Times New Roman" w:hAnsi="Times New Roman" w:cs="Times New Roman"/>
          <w:sz w:val="24"/>
          <w:szCs w:val="24"/>
          <w:lang w:val="ro-MD"/>
        </w:rPr>
        <w:t>ș</w:t>
      </w:r>
      <w:r w:rsidRPr="0080251F">
        <w:rPr>
          <w:rFonts w:ascii="Times New Roman" w:hAnsi="Times New Roman" w:cs="Times New Roman"/>
          <w:sz w:val="24"/>
          <w:szCs w:val="24"/>
          <w:lang w:val="ro-MD"/>
        </w:rPr>
        <w:t>i prin intervievarea persoanelor responsabile din cadrul entită</w:t>
      </w:r>
      <w:r w:rsidR="00D730A2" w:rsidRPr="0080251F">
        <w:rPr>
          <w:rFonts w:ascii="Times New Roman" w:hAnsi="Times New Roman" w:cs="Times New Roman"/>
          <w:sz w:val="24"/>
          <w:szCs w:val="24"/>
          <w:lang w:val="ro-MD"/>
        </w:rPr>
        <w:t>ț</w:t>
      </w:r>
      <w:r w:rsidRPr="0080251F">
        <w:rPr>
          <w:rFonts w:ascii="Times New Roman" w:hAnsi="Times New Roman" w:cs="Times New Roman"/>
          <w:sz w:val="24"/>
          <w:szCs w:val="24"/>
          <w:lang w:val="ro-MD"/>
        </w:rPr>
        <w:t>ii auditate.</w:t>
      </w:r>
      <w:r w:rsidR="008D015B" w:rsidRPr="0080251F">
        <w:rPr>
          <w:rFonts w:ascii="Times New Roman" w:eastAsia="Times New Roman" w:hAnsi="Times New Roman" w:cs="Times New Roman"/>
          <w:sz w:val="24"/>
          <w:szCs w:val="24"/>
          <w:lang w:val="ro-MD" w:eastAsia="ru-RU"/>
        </w:rPr>
        <w:t xml:space="preserve"> </w:t>
      </w:r>
    </w:p>
    <w:p w14:paraId="4405A707" w14:textId="27D966C6" w:rsidR="00E3139D" w:rsidRPr="0080251F" w:rsidRDefault="00F865A2" w:rsidP="00E957AF">
      <w:pPr>
        <w:tabs>
          <w:tab w:val="left" w:pos="709"/>
        </w:tabs>
        <w:spacing w:after="0" w:line="276" w:lineRule="auto"/>
        <w:ind w:firstLine="709"/>
        <w:jc w:val="both"/>
        <w:rPr>
          <w:rFonts w:ascii="Times New Roman" w:eastAsia="Times New Roman" w:hAnsi="Times New Roman" w:cs="Times New Roman"/>
          <w:sz w:val="24"/>
          <w:szCs w:val="24"/>
          <w:lang w:val="ro-MD"/>
        </w:rPr>
      </w:pPr>
      <w:r w:rsidRPr="0080251F">
        <w:rPr>
          <w:rFonts w:ascii="Times New Roman" w:hAnsi="Times New Roman" w:cs="Times New Roman"/>
          <w:b/>
          <w:i/>
          <w:sz w:val="24"/>
          <w:szCs w:val="24"/>
          <w:lang w:val="ro-MD"/>
        </w:rPr>
        <w:t xml:space="preserve">Sfera și abordarea auditului, </w:t>
      </w:r>
      <w:r w:rsidRPr="0080251F">
        <w:rPr>
          <w:rFonts w:ascii="Times New Roman" w:hAnsi="Times New Roman" w:cs="Times New Roman"/>
          <w:sz w:val="24"/>
          <w:szCs w:val="24"/>
          <w:lang w:val="ro-MD"/>
        </w:rPr>
        <w:t>criteriile de audit, procedurile de audit aplicate la testarea riscurilor de neconformitate</w:t>
      </w:r>
      <w:r w:rsidR="00E957AF"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w:t>
      </w:r>
      <w:r w:rsidR="00E957AF" w:rsidRPr="0080251F">
        <w:rPr>
          <w:rFonts w:ascii="Times New Roman" w:hAnsi="Times New Roman" w:cs="Times New Roman"/>
          <w:sz w:val="24"/>
          <w:szCs w:val="24"/>
          <w:lang w:val="ro-MD"/>
        </w:rPr>
        <w:t xml:space="preserve">precum și dimensiunea eșantionului testat </w:t>
      </w:r>
      <w:r w:rsidRPr="0080251F">
        <w:rPr>
          <w:rFonts w:ascii="Times New Roman" w:hAnsi="Times New Roman" w:cs="Times New Roman"/>
          <w:sz w:val="24"/>
          <w:szCs w:val="24"/>
          <w:lang w:val="ro-MD"/>
        </w:rPr>
        <w:t xml:space="preserve">se prezintă în </w:t>
      </w:r>
      <w:r w:rsidR="00D55719" w:rsidRPr="0080251F">
        <w:rPr>
          <w:rFonts w:ascii="Times New Roman" w:hAnsi="Times New Roman" w:cs="Times New Roman"/>
          <w:b/>
          <w:sz w:val="24"/>
          <w:szCs w:val="24"/>
          <w:lang w:val="ro-MD"/>
        </w:rPr>
        <w:t>Anexa nr. 4</w:t>
      </w:r>
      <w:r w:rsidR="00455038" w:rsidRPr="0080251F">
        <w:rPr>
          <w:rFonts w:ascii="Times New Roman" w:eastAsia="Times New Roman" w:hAnsi="Times New Roman" w:cs="Times New Roman"/>
          <w:sz w:val="24"/>
          <w:szCs w:val="24"/>
          <w:lang w:val="ro-MD" w:eastAsia="ro-MD"/>
        </w:rPr>
        <w:t xml:space="preserve"> </w:t>
      </w:r>
      <w:r w:rsidR="00300FCD" w:rsidRPr="0080251F">
        <w:rPr>
          <w:rFonts w:ascii="Times New Roman" w:eastAsia="Times New Roman" w:hAnsi="Times New Roman" w:cs="Times New Roman"/>
          <w:sz w:val="24"/>
          <w:szCs w:val="24"/>
          <w:lang w:val="ro-MD"/>
        </w:rPr>
        <w:t>la prezentul Raport de audit.</w:t>
      </w:r>
    </w:p>
    <w:p w14:paraId="72FD68A2" w14:textId="18136344" w:rsidR="00CA4D40" w:rsidRPr="0080251F" w:rsidRDefault="00CA4D40" w:rsidP="001529BA">
      <w:pPr>
        <w:pStyle w:val="2"/>
        <w:spacing w:before="200" w:line="276" w:lineRule="auto"/>
        <w:rPr>
          <w:rFonts w:ascii="Times New Roman" w:hAnsi="Times New Roman" w:cs="Times New Roman"/>
          <w:b/>
          <w:color w:val="auto"/>
          <w:sz w:val="24"/>
          <w:szCs w:val="24"/>
          <w:lang w:val="ro-MD"/>
        </w:rPr>
      </w:pPr>
      <w:bookmarkStart w:id="12" w:name="_Toc161169690"/>
      <w:r w:rsidRPr="0080251F">
        <w:rPr>
          <w:rFonts w:ascii="Times New Roman" w:hAnsi="Times New Roman" w:cs="Times New Roman"/>
          <w:b/>
          <w:sz w:val="24"/>
          <w:szCs w:val="24"/>
          <w:lang w:val="ro-MD"/>
        </w:rPr>
        <w:t>3.3. Responsabilitatea auditorului</w:t>
      </w:r>
      <w:r w:rsidR="00FF5205" w:rsidRPr="0080251F">
        <w:rPr>
          <w:rFonts w:ascii="Times New Roman" w:hAnsi="Times New Roman" w:cs="Times New Roman"/>
          <w:b/>
          <w:sz w:val="24"/>
          <w:szCs w:val="24"/>
          <w:lang w:val="ro-MD"/>
        </w:rPr>
        <w:t xml:space="preserve"> într-un audit al conformității</w:t>
      </w:r>
      <w:bookmarkEnd w:id="12"/>
    </w:p>
    <w:p w14:paraId="48A4026C" w14:textId="215B3ED3" w:rsidR="00CA4D40" w:rsidRPr="0080251F" w:rsidRDefault="00CA4D40" w:rsidP="00261156">
      <w:pPr>
        <w:pStyle w:val="a6"/>
        <w:tabs>
          <w:tab w:val="left" w:pos="325"/>
        </w:tabs>
        <w:spacing w:after="0" w:line="276" w:lineRule="auto"/>
        <w:ind w:left="0" w:firstLine="709"/>
        <w:jc w:val="both"/>
        <w:rPr>
          <w:rFonts w:ascii="Times New Roman" w:hAnsi="Times New Roman" w:cs="Times New Roman"/>
          <w:sz w:val="24"/>
          <w:szCs w:val="24"/>
          <w:lang w:val="ro-MD"/>
        </w:rPr>
      </w:pPr>
      <w:r w:rsidRPr="0080251F">
        <w:rPr>
          <w:rFonts w:ascii="Times New Roman" w:hAnsi="Times New Roman" w:cs="Times New Roman"/>
          <w:sz w:val="24"/>
          <w:szCs w:val="24"/>
          <w:shd w:val="clear" w:color="auto" w:fill="FFFFFF"/>
          <w:lang w:val="ro-MD"/>
        </w:rPr>
        <w:t xml:space="preserve">Responsabilitatea auditorului public </w:t>
      </w:r>
      <w:r w:rsidRPr="0080251F">
        <w:rPr>
          <w:rFonts w:ascii="Times New Roman" w:hAnsi="Times New Roman" w:cs="Times New Roman"/>
          <w:sz w:val="24"/>
          <w:szCs w:val="24"/>
          <w:lang w:val="ro-MD"/>
        </w:rPr>
        <w:t xml:space="preserve">constă în evaluarea </w:t>
      </w:r>
      <w:r w:rsidR="006F147F" w:rsidRPr="0080251F">
        <w:rPr>
          <w:rFonts w:ascii="Times New Roman" w:hAnsi="Times New Roman" w:cs="Times New Roman"/>
          <w:sz w:val="24"/>
          <w:szCs w:val="24"/>
          <w:lang w:val="ro-MD"/>
        </w:rPr>
        <w:t>subiectului auditat</w:t>
      </w:r>
      <w:r w:rsidRPr="0080251F">
        <w:rPr>
          <w:rFonts w:ascii="Times New Roman" w:hAnsi="Times New Roman" w:cs="Times New Roman"/>
          <w:sz w:val="24"/>
          <w:szCs w:val="24"/>
          <w:lang w:val="ro-MD"/>
        </w:rPr>
        <w:t>, în raport cu prevederile cadrului normativ aplicabil, prin obținerea probelor de audit suficiente și adecvate pentru susținerea constatărilor de audit și concluziei generale. Auditorul nu este responsabil de prevenirea faptelor de fraudă și eroare.</w:t>
      </w:r>
    </w:p>
    <w:p w14:paraId="5A04F177" w14:textId="682B6B95" w:rsidR="003240C6" w:rsidRPr="0080251F" w:rsidRDefault="00CA4D40" w:rsidP="00261156">
      <w:pPr>
        <w:tabs>
          <w:tab w:val="left" w:pos="709"/>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Auditorul public a fost independent față de entitate și a îndeplinit responsabilitățile de etică în conformitate cu cerințele Codului etic al Curții de Conturi</w:t>
      </w:r>
      <w:r w:rsidRPr="0080251F">
        <w:rPr>
          <w:rFonts w:ascii="Times New Roman" w:eastAsia="Times New Roman" w:hAnsi="Times New Roman" w:cs="Times New Roman"/>
          <w:sz w:val="24"/>
          <w:szCs w:val="24"/>
          <w:vertAlign w:val="superscript"/>
          <w:lang w:val="ro-MD"/>
        </w:rPr>
        <w:footnoteReference w:id="13"/>
      </w:r>
      <w:r w:rsidRPr="0080251F">
        <w:rPr>
          <w:rFonts w:ascii="Times New Roman" w:hAnsi="Times New Roman" w:cs="Times New Roman"/>
          <w:sz w:val="24"/>
          <w:szCs w:val="24"/>
          <w:lang w:val="ro-MD"/>
        </w:rPr>
        <w:t>.</w:t>
      </w:r>
      <w:r w:rsidR="00F03A05" w:rsidRPr="0080251F">
        <w:rPr>
          <w:rFonts w:ascii="Times New Roman" w:hAnsi="Times New Roman" w:cs="Times New Roman"/>
          <w:sz w:val="24"/>
          <w:szCs w:val="24"/>
          <w:lang w:val="ro-MD"/>
        </w:rPr>
        <w:t xml:space="preserve"> </w:t>
      </w:r>
    </w:p>
    <w:p w14:paraId="3FF1BA7C" w14:textId="7C96CCF9" w:rsidR="009F1336" w:rsidRPr="0080251F" w:rsidRDefault="009F1336" w:rsidP="00697D4D">
      <w:pPr>
        <w:pStyle w:val="1"/>
        <w:spacing w:before="200" w:line="276" w:lineRule="auto"/>
        <w:jc w:val="both"/>
        <w:rPr>
          <w:rFonts w:ascii="Times New Roman" w:hAnsi="Times New Roman" w:cs="Times New Roman"/>
          <w:b/>
          <w:sz w:val="28"/>
          <w:szCs w:val="28"/>
          <w:lang w:val="ro-MD"/>
        </w:rPr>
      </w:pPr>
      <w:bookmarkStart w:id="13" w:name="_Toc161169691"/>
      <w:r w:rsidRPr="0080251F">
        <w:rPr>
          <w:rFonts w:ascii="Times New Roman" w:hAnsi="Times New Roman" w:cs="Times New Roman"/>
          <w:b/>
          <w:sz w:val="28"/>
          <w:szCs w:val="28"/>
          <w:lang w:val="ro-MD"/>
        </w:rPr>
        <w:t>IV</w:t>
      </w:r>
      <w:r w:rsidR="00080886" w:rsidRPr="0080251F">
        <w:rPr>
          <w:rFonts w:ascii="Times New Roman" w:hAnsi="Times New Roman" w:cs="Times New Roman"/>
          <w:b/>
          <w:sz w:val="28"/>
          <w:szCs w:val="28"/>
          <w:lang w:val="ro-MD"/>
        </w:rPr>
        <w:t>.</w:t>
      </w:r>
      <w:r w:rsidRPr="0080251F">
        <w:rPr>
          <w:rFonts w:ascii="Times New Roman" w:hAnsi="Times New Roman" w:cs="Times New Roman"/>
          <w:b/>
          <w:sz w:val="28"/>
          <w:szCs w:val="28"/>
          <w:lang w:val="ro-MD"/>
        </w:rPr>
        <w:t xml:space="preserve"> CONSTATĂRI</w:t>
      </w:r>
      <w:bookmarkEnd w:id="13"/>
      <w:r w:rsidRPr="0080251F">
        <w:rPr>
          <w:rFonts w:ascii="Times New Roman" w:hAnsi="Times New Roman" w:cs="Times New Roman"/>
          <w:b/>
          <w:sz w:val="28"/>
          <w:szCs w:val="28"/>
          <w:lang w:val="ro-MD"/>
        </w:rPr>
        <w:t xml:space="preserve"> </w:t>
      </w:r>
    </w:p>
    <w:p w14:paraId="0DA9120A" w14:textId="38818A61" w:rsidR="00FF14EA" w:rsidRPr="0080251F" w:rsidRDefault="000650B3" w:rsidP="001529BA">
      <w:pPr>
        <w:pStyle w:val="1"/>
        <w:spacing w:before="0" w:line="276" w:lineRule="auto"/>
        <w:jc w:val="both"/>
        <w:rPr>
          <w:rFonts w:ascii="Times New Roman" w:hAnsi="Times New Roman" w:cs="Times New Roman"/>
          <w:b/>
          <w:bCs/>
          <w:sz w:val="24"/>
          <w:szCs w:val="24"/>
          <w:lang w:val="ro-MD"/>
        </w:rPr>
      </w:pPr>
      <w:bookmarkStart w:id="14" w:name="_Toc161169692"/>
      <w:r w:rsidRPr="0080251F">
        <w:rPr>
          <w:rFonts w:ascii="Times New Roman" w:hAnsi="Times New Roman" w:cs="Times New Roman"/>
          <w:b/>
          <w:sz w:val="24"/>
          <w:szCs w:val="24"/>
          <w:lang w:val="ro-MD"/>
        </w:rPr>
        <w:t>4.1</w:t>
      </w:r>
      <w:r w:rsidR="00CA4D40" w:rsidRPr="0080251F">
        <w:rPr>
          <w:rFonts w:ascii="Times New Roman" w:hAnsi="Times New Roman" w:cs="Times New Roman"/>
          <w:b/>
          <w:sz w:val="24"/>
          <w:szCs w:val="24"/>
          <w:lang w:val="ro-MD"/>
        </w:rPr>
        <w:t>.</w:t>
      </w:r>
      <w:r w:rsidRPr="0080251F">
        <w:rPr>
          <w:rFonts w:ascii="Times New Roman" w:hAnsi="Times New Roman" w:cs="Times New Roman"/>
          <w:b/>
          <w:sz w:val="24"/>
          <w:szCs w:val="24"/>
          <w:lang w:val="ro-MD"/>
        </w:rPr>
        <w:t xml:space="preserve"> </w:t>
      </w:r>
      <w:r w:rsidR="00D044E3" w:rsidRPr="0080251F">
        <w:rPr>
          <w:rFonts w:ascii="Times New Roman" w:hAnsi="Times New Roman" w:cs="Times New Roman"/>
          <w:b/>
          <w:bCs/>
          <w:iCs/>
          <w:sz w:val="24"/>
          <w:szCs w:val="24"/>
          <w:lang w:val="ro-MD"/>
        </w:rPr>
        <w:t>S.A. „RED-Nord” a asigurat gestionarea și raportarea conformă a imobilizărilor (ne)corporale</w:t>
      </w:r>
      <w:r w:rsidR="005B5F03" w:rsidRPr="0080251F">
        <w:rPr>
          <w:rFonts w:ascii="Times New Roman" w:hAnsi="Times New Roman" w:cs="Times New Roman"/>
          <w:b/>
          <w:bCs/>
          <w:sz w:val="24"/>
          <w:szCs w:val="24"/>
          <w:lang w:val="ro-MD"/>
        </w:rPr>
        <w:t>?</w:t>
      </w:r>
      <w:bookmarkEnd w:id="14"/>
    </w:p>
    <w:p w14:paraId="181842F6" w14:textId="2CDC8A42" w:rsidR="00E14D8B" w:rsidRPr="0080251F" w:rsidRDefault="00F11E06" w:rsidP="00EE28A8">
      <w:pPr>
        <w:tabs>
          <w:tab w:val="left" w:pos="0"/>
          <w:tab w:val="left" w:pos="709"/>
        </w:tabs>
        <w:spacing w:after="0" w:line="276" w:lineRule="auto"/>
        <w:ind w:firstLine="709"/>
        <w:jc w:val="both"/>
        <w:rPr>
          <w:rFonts w:ascii="Times New Roman" w:eastAsia="Times New Roman" w:hAnsi="Times New Roman" w:cs="Times New Roman"/>
          <w:b/>
          <w:i/>
          <w:sz w:val="24"/>
          <w:szCs w:val="24"/>
          <w:lang w:val="ro-MD"/>
        </w:rPr>
      </w:pPr>
      <w:r w:rsidRPr="0080251F">
        <w:rPr>
          <w:rFonts w:ascii="Times New Roman" w:hAnsi="Times New Roman" w:cs="Times New Roman"/>
          <w:i/>
          <w:iCs/>
          <w:sz w:val="24"/>
          <w:szCs w:val="24"/>
          <w:lang w:val="ro-MD"/>
        </w:rPr>
        <w:tab/>
      </w:r>
      <w:r w:rsidR="00E14D8B" w:rsidRPr="0080251F">
        <w:rPr>
          <w:rFonts w:ascii="Times New Roman" w:hAnsi="Times New Roman" w:cs="Times New Roman"/>
          <w:b/>
          <w:bCs/>
          <w:i/>
          <w:iCs/>
          <w:sz w:val="24"/>
          <w:szCs w:val="24"/>
          <w:lang w:val="ro-MD"/>
        </w:rPr>
        <w:t>S.A. „RED-Nord” nu a asigurat raportarea conformă a imobilizărilor (ne)corporale, nea</w:t>
      </w:r>
      <w:r w:rsidRPr="0080251F">
        <w:rPr>
          <w:rFonts w:ascii="Times New Roman" w:hAnsi="Times New Roman" w:cs="Times New Roman"/>
          <w:b/>
          <w:bCs/>
          <w:i/>
          <w:iCs/>
          <w:sz w:val="24"/>
          <w:szCs w:val="24"/>
          <w:lang w:val="ro-MD"/>
        </w:rPr>
        <w:t>plic</w:t>
      </w:r>
      <w:r w:rsidR="00080886" w:rsidRPr="0080251F">
        <w:rPr>
          <w:rFonts w:ascii="Times New Roman" w:hAnsi="Times New Roman" w:cs="Times New Roman"/>
          <w:b/>
          <w:bCs/>
          <w:i/>
          <w:iCs/>
          <w:sz w:val="24"/>
          <w:szCs w:val="24"/>
          <w:lang w:val="ro-MD"/>
        </w:rPr>
        <w:t>ând</w:t>
      </w:r>
      <w:r w:rsidR="00E14D8B" w:rsidRPr="0080251F">
        <w:rPr>
          <w:rFonts w:ascii="Times New Roman" w:hAnsi="Times New Roman" w:cs="Times New Roman"/>
          <w:b/>
          <w:bCs/>
          <w:i/>
          <w:iCs/>
          <w:sz w:val="24"/>
          <w:szCs w:val="24"/>
          <w:lang w:val="ro-MD"/>
        </w:rPr>
        <w:t xml:space="preserve"> </w:t>
      </w:r>
      <w:r w:rsidR="00CA7FE7" w:rsidRPr="0080251F">
        <w:rPr>
          <w:rFonts w:ascii="Times New Roman" w:hAnsi="Times New Roman" w:cs="Times New Roman"/>
          <w:b/>
          <w:bCs/>
          <w:i/>
          <w:iCs/>
          <w:sz w:val="24"/>
          <w:szCs w:val="24"/>
          <w:lang w:val="ro-MD"/>
        </w:rPr>
        <w:t>conform</w:t>
      </w:r>
      <w:r w:rsidRPr="0080251F">
        <w:rPr>
          <w:rFonts w:ascii="Times New Roman" w:hAnsi="Times New Roman" w:cs="Times New Roman"/>
          <w:b/>
          <w:bCs/>
          <w:i/>
          <w:iCs/>
          <w:sz w:val="24"/>
          <w:szCs w:val="24"/>
          <w:lang w:val="ro-MD"/>
        </w:rPr>
        <w:t xml:space="preserve"> prevederil</w:t>
      </w:r>
      <w:r w:rsidR="00080886" w:rsidRPr="0080251F">
        <w:rPr>
          <w:rFonts w:ascii="Times New Roman" w:hAnsi="Times New Roman" w:cs="Times New Roman"/>
          <w:b/>
          <w:bCs/>
          <w:i/>
          <w:iCs/>
          <w:sz w:val="24"/>
          <w:szCs w:val="24"/>
          <w:lang w:val="ro-MD"/>
        </w:rPr>
        <w:t>e</w:t>
      </w:r>
      <w:r w:rsidRPr="0080251F">
        <w:rPr>
          <w:rFonts w:ascii="Times New Roman" w:hAnsi="Times New Roman" w:cs="Times New Roman"/>
          <w:b/>
          <w:bCs/>
          <w:i/>
          <w:iCs/>
          <w:sz w:val="24"/>
          <w:szCs w:val="24"/>
          <w:lang w:val="ro-MD"/>
        </w:rPr>
        <w:t xml:space="preserve"> cadrului normativ</w:t>
      </w:r>
      <w:r w:rsidR="00E14D8B" w:rsidRPr="0080251F">
        <w:rPr>
          <w:rFonts w:ascii="Times New Roman" w:hAnsi="Times New Roman" w:cs="Times New Roman"/>
          <w:b/>
          <w:bCs/>
          <w:i/>
          <w:iCs/>
          <w:sz w:val="24"/>
          <w:szCs w:val="24"/>
          <w:lang w:val="ro-MD"/>
        </w:rPr>
        <w:t xml:space="preserve">, ceea ce </w:t>
      </w:r>
      <w:r w:rsidRPr="0080251F">
        <w:rPr>
          <w:rFonts w:ascii="Times New Roman" w:hAnsi="Times New Roman" w:cs="Times New Roman"/>
          <w:b/>
          <w:bCs/>
          <w:i/>
          <w:iCs/>
          <w:sz w:val="24"/>
          <w:szCs w:val="24"/>
          <w:lang w:val="ro-MD"/>
        </w:rPr>
        <w:t xml:space="preserve">a </w:t>
      </w:r>
      <w:r w:rsidR="00E14D8B" w:rsidRPr="0080251F">
        <w:rPr>
          <w:rFonts w:ascii="Times New Roman" w:hAnsi="Times New Roman" w:cs="Times New Roman"/>
          <w:b/>
          <w:bCs/>
          <w:i/>
          <w:iCs/>
          <w:sz w:val="24"/>
          <w:szCs w:val="24"/>
          <w:lang w:val="ro-MD"/>
        </w:rPr>
        <w:t xml:space="preserve">influențat </w:t>
      </w:r>
      <w:r w:rsidR="00E14D8B" w:rsidRPr="0080251F">
        <w:rPr>
          <w:rFonts w:ascii="Times New Roman" w:eastAsia="Times New Roman" w:hAnsi="Times New Roman" w:cs="Times New Roman"/>
          <w:b/>
          <w:bCs/>
          <w:i/>
          <w:iCs/>
          <w:sz w:val="24"/>
          <w:szCs w:val="24"/>
          <w:lang w:val="ro-MD"/>
        </w:rPr>
        <w:t>caracteristicile calitative ale informațiilor din situațiile financiare, datorită:</w:t>
      </w:r>
      <w:r w:rsidRPr="0080251F">
        <w:rPr>
          <w:rFonts w:ascii="Times New Roman" w:hAnsi="Times New Roman" w:cs="Times New Roman"/>
          <w:b/>
          <w:bCs/>
          <w:i/>
          <w:iCs/>
          <w:sz w:val="24"/>
          <w:szCs w:val="24"/>
          <w:lang w:val="ro-MD"/>
        </w:rPr>
        <w:t xml:space="preserve"> </w:t>
      </w:r>
      <w:r w:rsidR="00E14D8B" w:rsidRPr="0080251F">
        <w:rPr>
          <w:rFonts w:ascii="Times New Roman" w:hAnsi="Times New Roman" w:cs="Times New Roman"/>
          <w:b/>
          <w:bCs/>
          <w:i/>
          <w:iCs/>
          <w:sz w:val="24"/>
          <w:szCs w:val="24"/>
          <w:lang w:val="ro-MD"/>
        </w:rPr>
        <w:t xml:space="preserve">necontabilizării patrimoniului deținut cu titlu de proprietate în valoare de 275,5 mii lei (2 terenuri); atribuirii incorecte la active imobilizate a terenurilor deținute cu dreptul de folosință (5,2 mil. lei) și la categoria de imobilizări corporale a 4.074 unități de bunuri materiale (2,5 mil. lei); </w:t>
      </w:r>
      <w:r w:rsidRPr="0080251F">
        <w:rPr>
          <w:rFonts w:ascii="Times New Roman" w:hAnsi="Times New Roman" w:cs="Times New Roman"/>
          <w:b/>
          <w:bCs/>
          <w:i/>
          <w:iCs/>
          <w:sz w:val="24"/>
          <w:szCs w:val="24"/>
          <w:lang w:val="ro-MD"/>
        </w:rPr>
        <w:t>înregistr</w:t>
      </w:r>
      <w:r w:rsidR="00E14D8B" w:rsidRPr="0080251F">
        <w:rPr>
          <w:rFonts w:ascii="Times New Roman" w:hAnsi="Times New Roman" w:cs="Times New Roman"/>
          <w:b/>
          <w:bCs/>
          <w:i/>
          <w:iCs/>
          <w:sz w:val="24"/>
          <w:szCs w:val="24"/>
          <w:lang w:val="ro-MD"/>
        </w:rPr>
        <w:t>ării incorecte</w:t>
      </w:r>
      <w:r w:rsidRPr="0080251F">
        <w:rPr>
          <w:rFonts w:ascii="Times New Roman" w:hAnsi="Times New Roman" w:cs="Times New Roman"/>
          <w:b/>
          <w:bCs/>
          <w:i/>
          <w:iCs/>
          <w:sz w:val="24"/>
          <w:szCs w:val="24"/>
          <w:lang w:val="ro-MD"/>
        </w:rPr>
        <w:t xml:space="preserve"> în evidența contabilă a imobilizărilor </w:t>
      </w:r>
      <w:r w:rsidR="00E14D8B" w:rsidRPr="0080251F">
        <w:rPr>
          <w:rFonts w:ascii="Times New Roman" w:eastAsia="SimSun" w:hAnsi="Times New Roman" w:cs="Times New Roman"/>
          <w:b/>
          <w:bCs/>
          <w:i/>
          <w:sz w:val="24"/>
          <w:szCs w:val="24"/>
          <w:lang w:val="ro-MD"/>
        </w:rPr>
        <w:t>corporale reevaluate în anul 2019, diminuând valo</w:t>
      </w:r>
      <w:r w:rsidR="004E336E" w:rsidRPr="0080251F">
        <w:rPr>
          <w:rFonts w:ascii="Times New Roman" w:eastAsia="SimSun" w:hAnsi="Times New Roman" w:cs="Times New Roman"/>
          <w:b/>
          <w:bCs/>
          <w:i/>
          <w:sz w:val="24"/>
          <w:szCs w:val="24"/>
          <w:lang w:val="ro-MD"/>
        </w:rPr>
        <w:t>area acestora cu 21,6 mil. lei.</w:t>
      </w:r>
      <w:r w:rsidR="009B071C" w:rsidRPr="0080251F">
        <w:rPr>
          <w:rFonts w:ascii="Times New Roman" w:eastAsia="Times New Roman" w:hAnsi="Times New Roman" w:cs="Times New Roman"/>
          <w:b/>
          <w:i/>
          <w:sz w:val="24"/>
          <w:szCs w:val="24"/>
          <w:lang w:val="ro-MD"/>
        </w:rPr>
        <w:t xml:space="preserve"> </w:t>
      </w:r>
      <w:r w:rsidR="00EE28A8" w:rsidRPr="0080251F">
        <w:rPr>
          <w:rFonts w:ascii="Times New Roman" w:eastAsia="Times New Roman" w:hAnsi="Times New Roman" w:cs="Times New Roman"/>
          <w:b/>
          <w:i/>
          <w:sz w:val="24"/>
          <w:szCs w:val="24"/>
          <w:lang w:val="ro-MD"/>
        </w:rPr>
        <w:t xml:space="preserve">Totodată, </w:t>
      </w:r>
      <w:r w:rsidR="00F90117" w:rsidRPr="0080251F">
        <w:rPr>
          <w:rFonts w:ascii="Times New Roman" w:eastAsia="Times New Roman" w:hAnsi="Times New Roman" w:cs="Times New Roman"/>
          <w:b/>
          <w:i/>
          <w:sz w:val="24"/>
          <w:szCs w:val="24"/>
          <w:lang w:val="ro-MD"/>
        </w:rPr>
        <w:t>s</w:t>
      </w:r>
      <w:r w:rsidR="00EE28A8" w:rsidRPr="0080251F">
        <w:rPr>
          <w:rFonts w:ascii="Times New Roman" w:eastAsia="Times New Roman" w:hAnsi="Times New Roman" w:cs="Times New Roman"/>
          <w:b/>
          <w:i/>
          <w:sz w:val="24"/>
          <w:szCs w:val="24"/>
          <w:lang w:val="ro-MD"/>
        </w:rPr>
        <w:t>ocietatea nu a e</w:t>
      </w:r>
      <w:r w:rsidR="009B071C" w:rsidRPr="0080251F">
        <w:rPr>
          <w:rFonts w:ascii="Times New Roman" w:eastAsia="SimSun" w:hAnsi="Times New Roman" w:cs="Times New Roman"/>
          <w:b/>
          <w:bCs/>
          <w:i/>
          <w:sz w:val="24"/>
          <w:szCs w:val="24"/>
          <w:lang w:val="ro-MD"/>
        </w:rPr>
        <w:t>xecuta</w:t>
      </w:r>
      <w:r w:rsidR="00EE28A8" w:rsidRPr="0080251F">
        <w:rPr>
          <w:rFonts w:ascii="Times New Roman" w:eastAsia="SimSun" w:hAnsi="Times New Roman" w:cs="Times New Roman"/>
          <w:b/>
          <w:bCs/>
          <w:i/>
          <w:sz w:val="24"/>
          <w:szCs w:val="24"/>
          <w:lang w:val="ro-MD"/>
        </w:rPr>
        <w:t xml:space="preserve">t </w:t>
      </w:r>
      <w:r w:rsidR="009B071C" w:rsidRPr="0080251F">
        <w:rPr>
          <w:rFonts w:ascii="Times New Roman" w:eastAsia="SimSun" w:hAnsi="Times New Roman" w:cs="Times New Roman"/>
          <w:b/>
          <w:bCs/>
          <w:i/>
          <w:sz w:val="24"/>
          <w:szCs w:val="24"/>
          <w:lang w:val="ro-MD"/>
        </w:rPr>
        <w:t>conform</w:t>
      </w:r>
      <w:r w:rsidR="00EE28A8" w:rsidRPr="0080251F">
        <w:rPr>
          <w:rFonts w:ascii="Times New Roman" w:eastAsia="SimSun" w:hAnsi="Times New Roman" w:cs="Times New Roman"/>
          <w:b/>
          <w:bCs/>
          <w:i/>
          <w:sz w:val="24"/>
          <w:szCs w:val="24"/>
          <w:lang w:val="ro-MD"/>
        </w:rPr>
        <w:t xml:space="preserve"> procesul</w:t>
      </w:r>
      <w:r w:rsidR="009B071C" w:rsidRPr="0080251F">
        <w:rPr>
          <w:rFonts w:ascii="Times New Roman" w:eastAsia="SimSun" w:hAnsi="Times New Roman" w:cs="Times New Roman"/>
          <w:b/>
          <w:bCs/>
          <w:i/>
          <w:sz w:val="24"/>
          <w:szCs w:val="24"/>
          <w:lang w:val="ro-MD"/>
        </w:rPr>
        <w:t xml:space="preserve"> de inventariere a </w:t>
      </w:r>
      <w:r w:rsidR="00012E4B" w:rsidRPr="0080251F">
        <w:rPr>
          <w:rFonts w:ascii="Times New Roman" w:eastAsia="SimSun" w:hAnsi="Times New Roman" w:cs="Times New Roman"/>
          <w:b/>
          <w:bCs/>
          <w:i/>
          <w:sz w:val="24"/>
          <w:szCs w:val="24"/>
          <w:lang w:val="ro-MD"/>
        </w:rPr>
        <w:t>activelor</w:t>
      </w:r>
      <w:r w:rsidR="00EE28A8" w:rsidRPr="0080251F">
        <w:rPr>
          <w:rFonts w:ascii="Times New Roman" w:eastAsia="SimSun" w:hAnsi="Times New Roman" w:cs="Times New Roman"/>
          <w:b/>
          <w:bCs/>
          <w:i/>
          <w:sz w:val="24"/>
          <w:szCs w:val="24"/>
          <w:lang w:val="ro-MD"/>
        </w:rPr>
        <w:t xml:space="preserve">, </w:t>
      </w:r>
      <w:r w:rsidR="00F90117" w:rsidRPr="0080251F">
        <w:rPr>
          <w:rFonts w:ascii="Times New Roman" w:eastAsia="SimSun" w:hAnsi="Times New Roman" w:cs="Times New Roman"/>
          <w:b/>
          <w:bCs/>
          <w:i/>
          <w:sz w:val="24"/>
          <w:szCs w:val="24"/>
          <w:lang w:val="ro-MD"/>
        </w:rPr>
        <w:t xml:space="preserve">fapt </w:t>
      </w:r>
      <w:r w:rsidR="00EE28A8" w:rsidRPr="0080251F">
        <w:rPr>
          <w:rFonts w:ascii="Times New Roman" w:eastAsia="SimSun" w:hAnsi="Times New Roman" w:cs="Times New Roman"/>
          <w:b/>
          <w:bCs/>
          <w:i/>
          <w:sz w:val="24"/>
          <w:szCs w:val="24"/>
          <w:lang w:val="ro-MD"/>
        </w:rPr>
        <w:t>ce</w:t>
      </w:r>
      <w:r w:rsidR="00012E4B" w:rsidRPr="0080251F">
        <w:rPr>
          <w:rFonts w:ascii="Times New Roman" w:eastAsia="SimSun" w:hAnsi="Times New Roman" w:cs="Times New Roman"/>
          <w:b/>
          <w:bCs/>
          <w:i/>
          <w:sz w:val="24"/>
          <w:szCs w:val="24"/>
          <w:lang w:val="ro-MD"/>
        </w:rPr>
        <w:t xml:space="preserve"> </w:t>
      </w:r>
      <w:r w:rsidR="00BC0ECA" w:rsidRPr="0080251F">
        <w:rPr>
          <w:rFonts w:ascii="Times New Roman" w:eastAsia="SimSun" w:hAnsi="Times New Roman" w:cs="Times New Roman"/>
          <w:b/>
          <w:bCs/>
          <w:i/>
          <w:sz w:val="24"/>
          <w:szCs w:val="24"/>
          <w:lang w:val="ro-MD"/>
        </w:rPr>
        <w:t>a determinat neidentificarea imobilizărilor corporale neutilizate în activitatea de producere</w:t>
      </w:r>
      <w:r w:rsidR="00F90117" w:rsidRPr="0080251F">
        <w:rPr>
          <w:rFonts w:ascii="Times New Roman" w:eastAsia="SimSun" w:hAnsi="Times New Roman" w:cs="Times New Roman"/>
          <w:b/>
          <w:bCs/>
          <w:i/>
          <w:sz w:val="24"/>
          <w:szCs w:val="24"/>
          <w:lang w:val="ro-MD"/>
        </w:rPr>
        <w:t>,</w:t>
      </w:r>
      <w:r w:rsidR="00BC0ECA" w:rsidRPr="0080251F">
        <w:rPr>
          <w:rFonts w:ascii="Times New Roman" w:eastAsia="SimSun" w:hAnsi="Times New Roman" w:cs="Times New Roman"/>
          <w:b/>
          <w:bCs/>
          <w:i/>
          <w:sz w:val="24"/>
          <w:szCs w:val="24"/>
          <w:lang w:val="ro-MD"/>
        </w:rPr>
        <w:t xml:space="preserve"> care urmează a fi casate și/sau vândute</w:t>
      </w:r>
      <w:r w:rsidR="00066884" w:rsidRPr="0080251F">
        <w:rPr>
          <w:rFonts w:ascii="Times New Roman" w:eastAsia="SimSun" w:hAnsi="Times New Roman" w:cs="Times New Roman"/>
          <w:b/>
          <w:bCs/>
          <w:i/>
          <w:sz w:val="24"/>
          <w:szCs w:val="24"/>
          <w:lang w:val="ro-MD"/>
        </w:rPr>
        <w:t>.</w:t>
      </w:r>
    </w:p>
    <w:p w14:paraId="5D715883" w14:textId="63540A4B" w:rsidR="00AB6531" w:rsidRPr="0080251F" w:rsidRDefault="00AB6531" w:rsidP="009E0928">
      <w:pPr>
        <w:tabs>
          <w:tab w:val="left" w:pos="709"/>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La situația din 01.01.2021</w:t>
      </w:r>
      <w:r w:rsidR="00A14025"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valoarea totală a activelor imobilizate a </w:t>
      </w:r>
      <w:r w:rsidR="00F90117" w:rsidRPr="0080251F">
        <w:rPr>
          <w:rFonts w:ascii="Times New Roman" w:hAnsi="Times New Roman" w:cs="Times New Roman"/>
          <w:sz w:val="24"/>
          <w:szCs w:val="24"/>
          <w:lang w:val="ro-MD"/>
        </w:rPr>
        <w:t>constituit</w:t>
      </w:r>
      <w:r w:rsidRPr="0080251F">
        <w:rPr>
          <w:rFonts w:ascii="Times New Roman" w:hAnsi="Times New Roman" w:cs="Times New Roman"/>
          <w:sz w:val="24"/>
          <w:szCs w:val="24"/>
          <w:lang w:val="ro-MD"/>
        </w:rPr>
        <w:t xml:space="preserve"> 2.758,4 mil. lei, la situația din 01.01.2022 – 2.793,9 mil. lei</w:t>
      </w:r>
      <w:r w:rsidR="00F9011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la situația din 31.12.2022 – 2.770,4 mil. l</w:t>
      </w:r>
      <w:r w:rsidR="0042228D" w:rsidRPr="0080251F">
        <w:rPr>
          <w:rFonts w:ascii="Times New Roman" w:hAnsi="Times New Roman" w:cs="Times New Roman"/>
          <w:sz w:val="24"/>
          <w:szCs w:val="24"/>
          <w:lang w:val="ro-MD"/>
        </w:rPr>
        <w:t xml:space="preserve">ei. </w:t>
      </w:r>
      <w:r w:rsidRPr="0080251F">
        <w:rPr>
          <w:rFonts w:ascii="Times New Roman" w:hAnsi="Times New Roman" w:cs="Times New Roman"/>
          <w:sz w:val="24"/>
          <w:szCs w:val="24"/>
          <w:lang w:val="ro-MD"/>
        </w:rPr>
        <w:t xml:space="preserve">În structura activelor imobilizate ale entității, ponderea cea mai mare o constituie mijloacele fixe, </w:t>
      </w:r>
      <w:r w:rsidR="00F90117" w:rsidRPr="0080251F">
        <w:rPr>
          <w:rFonts w:ascii="Times New Roman" w:hAnsi="Times New Roman" w:cs="Times New Roman"/>
          <w:sz w:val="24"/>
          <w:szCs w:val="24"/>
          <w:lang w:val="ro-MD"/>
        </w:rPr>
        <w:t xml:space="preserve">a căror </w:t>
      </w:r>
      <w:r w:rsidRPr="0080251F">
        <w:rPr>
          <w:rFonts w:ascii="Times New Roman" w:hAnsi="Times New Roman" w:cs="Times New Roman"/>
          <w:sz w:val="24"/>
          <w:szCs w:val="24"/>
          <w:lang w:val="ro-MD"/>
        </w:rPr>
        <w:t>valoare</w:t>
      </w:r>
      <w:r w:rsidR="00F90117"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 xml:space="preserve"> la situația din 01.01.2021 а constituit 2.746,5 mil. lei (sau 99,6% din totalul activelor imobilizate), la situaț</w:t>
      </w:r>
      <w:r w:rsidR="00291BB9" w:rsidRPr="0080251F">
        <w:rPr>
          <w:rFonts w:ascii="Times New Roman" w:hAnsi="Times New Roman" w:cs="Times New Roman"/>
          <w:sz w:val="24"/>
          <w:szCs w:val="24"/>
          <w:lang w:val="ro-MD"/>
        </w:rPr>
        <w:t>ia din 01.01.2022 – 2.702,6</w:t>
      </w:r>
      <w:r w:rsidRPr="0080251F">
        <w:rPr>
          <w:rFonts w:ascii="Times New Roman" w:hAnsi="Times New Roman" w:cs="Times New Roman"/>
          <w:sz w:val="24"/>
          <w:szCs w:val="24"/>
          <w:lang w:val="ro-MD"/>
        </w:rPr>
        <w:t xml:space="preserve"> mii lei (sau 96,7%)</w:t>
      </w:r>
      <w:r w:rsidR="00F9011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la situația din 31.12.2022 – 2.684,9 mil. lei (sau 96,9%). </w:t>
      </w:r>
    </w:p>
    <w:p w14:paraId="35BB87E2" w14:textId="2A1BC899" w:rsidR="00AE710E" w:rsidRPr="0080251F" w:rsidRDefault="00AB6531" w:rsidP="00AB6531">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Valoarea cheltuielilor anticipate pe termen lung la situația din 01.01.2022 a constituit 84,4 mil. lei (sau 3,0% din totalul activelor imobilizate), la situația din 31.12.2022 – 83,9 mil. lei (sau 3,0%). Valoarea acestor active a fost înregistrată în anul 2021 ca element separat în situația pozițiilor financiare.</w:t>
      </w:r>
    </w:p>
    <w:p w14:paraId="208FFAA9" w14:textId="241D8BC4" w:rsidR="00AE710E" w:rsidRPr="0080251F" w:rsidRDefault="00AE710E" w:rsidP="00AE710E">
      <w:pPr>
        <w:spacing w:after="0" w:line="276" w:lineRule="auto"/>
        <w:ind w:firstLine="709"/>
        <w:jc w:val="right"/>
        <w:rPr>
          <w:rFonts w:ascii="Times New Roman" w:hAnsi="Times New Roman" w:cs="Times New Roman"/>
          <w:b/>
          <w:sz w:val="24"/>
          <w:szCs w:val="24"/>
          <w:lang w:val="ro-MD"/>
        </w:rPr>
      </w:pPr>
      <w:r w:rsidRPr="0080251F">
        <w:rPr>
          <w:rFonts w:ascii="Times New Roman" w:hAnsi="Times New Roman" w:cs="Times New Roman"/>
          <w:b/>
          <w:sz w:val="24"/>
          <w:szCs w:val="24"/>
          <w:lang w:val="ro-MD"/>
        </w:rPr>
        <w:t>Tabelul nr.1</w:t>
      </w:r>
    </w:p>
    <w:p w14:paraId="3DA790B2" w14:textId="36825B5F" w:rsidR="00E31B92" w:rsidRPr="0080251F" w:rsidRDefault="001776BD" w:rsidP="006A63D2">
      <w:pPr>
        <w:spacing w:after="0" w:line="276" w:lineRule="auto"/>
        <w:jc w:val="center"/>
        <w:rPr>
          <w:rFonts w:ascii="Times New Roman" w:hAnsi="Times New Roman" w:cs="Times New Roman"/>
          <w:sz w:val="24"/>
          <w:szCs w:val="24"/>
          <w:lang w:val="ro-MD"/>
        </w:rPr>
      </w:pPr>
      <w:r w:rsidRPr="0080251F">
        <w:rPr>
          <w:rFonts w:ascii="Times New Roman" w:hAnsi="Times New Roman" w:cs="Times New Roman"/>
          <w:b/>
          <w:bCs/>
          <w:sz w:val="24"/>
          <w:szCs w:val="24"/>
          <w:lang w:val="ro-MD"/>
        </w:rPr>
        <w:t>Infor</w:t>
      </w:r>
      <w:r w:rsidR="00AE710E" w:rsidRPr="0080251F">
        <w:rPr>
          <w:rFonts w:ascii="Times New Roman" w:hAnsi="Times New Roman" w:cs="Times New Roman"/>
          <w:b/>
          <w:bCs/>
          <w:sz w:val="24"/>
          <w:szCs w:val="24"/>
          <w:lang w:val="ro-MD"/>
        </w:rPr>
        <w:t>mația privind valoarea</w:t>
      </w:r>
      <w:r w:rsidRPr="0080251F">
        <w:rPr>
          <w:rFonts w:ascii="Times New Roman" w:hAnsi="Times New Roman" w:cs="Times New Roman"/>
          <w:b/>
          <w:bCs/>
          <w:sz w:val="24"/>
          <w:szCs w:val="24"/>
          <w:lang w:val="ro-MD"/>
        </w:rPr>
        <w:t xml:space="preserve"> și </w:t>
      </w:r>
      <w:r w:rsidR="00B615E4" w:rsidRPr="0080251F">
        <w:rPr>
          <w:rFonts w:ascii="Times New Roman" w:hAnsi="Times New Roman" w:cs="Times New Roman"/>
          <w:b/>
          <w:bCs/>
          <w:sz w:val="24"/>
          <w:szCs w:val="24"/>
          <w:lang w:val="ro-MD"/>
        </w:rPr>
        <w:t>amortizarea</w:t>
      </w:r>
      <w:r w:rsidRPr="0080251F">
        <w:rPr>
          <w:rFonts w:ascii="Times New Roman" w:hAnsi="Times New Roman" w:cs="Times New Roman"/>
          <w:b/>
          <w:bCs/>
          <w:sz w:val="24"/>
          <w:szCs w:val="24"/>
          <w:lang w:val="ro-MD"/>
        </w:rPr>
        <w:t xml:space="preserve"> altor active (contoare) </w:t>
      </w:r>
      <w:r w:rsidR="00AE710E" w:rsidRPr="0080251F">
        <w:rPr>
          <w:rFonts w:ascii="Times New Roman" w:hAnsi="Times New Roman" w:cs="Times New Roman"/>
          <w:b/>
          <w:bCs/>
          <w:sz w:val="24"/>
          <w:szCs w:val="24"/>
          <w:lang w:val="ro-MD"/>
        </w:rPr>
        <w:t>– înregistrate ca cheltuieli anticipate pe termen lung</w:t>
      </w:r>
      <w:r w:rsidR="00E31B92" w:rsidRPr="0080251F">
        <w:rPr>
          <w:rFonts w:ascii="Times New Roman" w:hAnsi="Times New Roman" w:cs="Times New Roman"/>
          <w:sz w:val="24"/>
          <w:szCs w:val="24"/>
          <w:lang w:val="ro-MD"/>
        </w:rPr>
        <w:t xml:space="preserve">                                                                                                                                  </w:t>
      </w:r>
      <w:r w:rsidR="00291BB9" w:rsidRPr="0080251F">
        <w:rPr>
          <w:rFonts w:ascii="Times New Roman" w:hAnsi="Times New Roman" w:cs="Times New Roman"/>
          <w:sz w:val="24"/>
          <w:szCs w:val="24"/>
          <w:lang w:val="ro-MD"/>
        </w:rPr>
        <w:t xml:space="preserve">            </w:t>
      </w:r>
      <w:r w:rsidR="001663ED" w:rsidRPr="0080251F">
        <w:rPr>
          <w:rFonts w:ascii="Times New Roman" w:hAnsi="Times New Roman" w:cs="Times New Roman"/>
          <w:sz w:val="24"/>
          <w:szCs w:val="24"/>
          <w:lang w:val="ro-MD"/>
        </w:rPr>
        <w:t xml:space="preserve"> </w:t>
      </w:r>
    </w:p>
    <w:tbl>
      <w:tblPr>
        <w:tblStyle w:val="aa"/>
        <w:tblW w:w="0" w:type="auto"/>
        <w:tblLook w:val="04A0" w:firstRow="1" w:lastRow="0" w:firstColumn="1" w:lastColumn="0" w:noHBand="0" w:noVBand="1"/>
      </w:tblPr>
      <w:tblGrid>
        <w:gridCol w:w="704"/>
        <w:gridCol w:w="2410"/>
        <w:gridCol w:w="2835"/>
        <w:gridCol w:w="3680"/>
      </w:tblGrid>
      <w:tr w:rsidR="001776BD" w:rsidRPr="0080251F" w14:paraId="1302D252" w14:textId="77777777" w:rsidTr="006A63D2">
        <w:tc>
          <w:tcPr>
            <w:tcW w:w="704" w:type="dxa"/>
            <w:shd w:val="clear" w:color="auto" w:fill="D9D9D9" w:themeFill="background1" w:themeFillShade="D9"/>
          </w:tcPr>
          <w:p w14:paraId="6AA1714B" w14:textId="6FA95D04" w:rsidR="001776BD" w:rsidRPr="0080251F" w:rsidRDefault="001776BD" w:rsidP="00AE710E">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Anul</w:t>
            </w:r>
          </w:p>
        </w:tc>
        <w:tc>
          <w:tcPr>
            <w:tcW w:w="2410" w:type="dxa"/>
            <w:shd w:val="clear" w:color="auto" w:fill="D9D9D9" w:themeFill="background1" w:themeFillShade="D9"/>
          </w:tcPr>
          <w:p w14:paraId="4E8436AB" w14:textId="777985BE" w:rsidR="001776BD" w:rsidRPr="0080251F" w:rsidRDefault="001776BD" w:rsidP="00AE710E">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Valoarea inițială</w:t>
            </w:r>
            <w:r w:rsidR="00962987" w:rsidRPr="0080251F">
              <w:rPr>
                <w:rFonts w:ascii="Times New Roman" w:hAnsi="Times New Roman" w:cs="Times New Roman"/>
                <w:b/>
                <w:sz w:val="20"/>
                <w:szCs w:val="20"/>
                <w:lang w:val="ro-MD"/>
              </w:rPr>
              <w:t>, mii lei</w:t>
            </w:r>
          </w:p>
        </w:tc>
        <w:tc>
          <w:tcPr>
            <w:tcW w:w="2835" w:type="dxa"/>
            <w:shd w:val="clear" w:color="auto" w:fill="D9D9D9" w:themeFill="background1" w:themeFillShade="D9"/>
          </w:tcPr>
          <w:p w14:paraId="41321197" w14:textId="1D38ED03" w:rsidR="001776BD" w:rsidRPr="0080251F" w:rsidRDefault="00B615E4" w:rsidP="00AE710E">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Amortizarea</w:t>
            </w:r>
            <w:r w:rsidR="001776BD" w:rsidRPr="0080251F">
              <w:rPr>
                <w:rFonts w:ascii="Times New Roman" w:hAnsi="Times New Roman" w:cs="Times New Roman"/>
                <w:b/>
                <w:sz w:val="20"/>
                <w:szCs w:val="20"/>
                <w:lang w:val="ro-MD"/>
              </w:rPr>
              <w:t xml:space="preserve"> calculată</w:t>
            </w:r>
            <w:r w:rsidR="00962987" w:rsidRPr="0080251F">
              <w:rPr>
                <w:rFonts w:ascii="Times New Roman" w:hAnsi="Times New Roman" w:cs="Times New Roman"/>
                <w:b/>
                <w:sz w:val="20"/>
                <w:szCs w:val="20"/>
                <w:lang w:val="ro-MD"/>
              </w:rPr>
              <w:t>, mii lei</w:t>
            </w:r>
          </w:p>
        </w:tc>
        <w:tc>
          <w:tcPr>
            <w:tcW w:w="3680" w:type="dxa"/>
            <w:shd w:val="clear" w:color="auto" w:fill="D9D9D9" w:themeFill="background1" w:themeFillShade="D9"/>
          </w:tcPr>
          <w:p w14:paraId="38D9B508" w14:textId="16B048DE" w:rsidR="001776BD" w:rsidRPr="0080251F" w:rsidRDefault="001776BD" w:rsidP="00962987">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 xml:space="preserve">Valoarea rămasă la </w:t>
            </w:r>
            <w:r w:rsidR="00962987" w:rsidRPr="0080251F">
              <w:rPr>
                <w:rFonts w:ascii="Times New Roman" w:hAnsi="Times New Roman" w:cs="Times New Roman"/>
                <w:b/>
                <w:sz w:val="20"/>
                <w:szCs w:val="20"/>
                <w:lang w:val="ro-MD"/>
              </w:rPr>
              <w:t>finele</w:t>
            </w:r>
            <w:r w:rsidRPr="0080251F">
              <w:rPr>
                <w:rFonts w:ascii="Times New Roman" w:hAnsi="Times New Roman" w:cs="Times New Roman"/>
                <w:b/>
                <w:sz w:val="20"/>
                <w:szCs w:val="20"/>
                <w:lang w:val="ro-MD"/>
              </w:rPr>
              <w:t xml:space="preserve"> anului</w:t>
            </w:r>
            <w:r w:rsidR="00962987" w:rsidRPr="0080251F">
              <w:rPr>
                <w:rFonts w:ascii="Times New Roman" w:hAnsi="Times New Roman" w:cs="Times New Roman"/>
                <w:b/>
                <w:sz w:val="20"/>
                <w:szCs w:val="20"/>
                <w:lang w:val="ro-MD"/>
              </w:rPr>
              <w:t>, mii lei</w:t>
            </w:r>
          </w:p>
        </w:tc>
      </w:tr>
      <w:tr w:rsidR="001776BD" w:rsidRPr="0080251F" w14:paraId="79C977E6" w14:textId="77777777" w:rsidTr="006A63D2">
        <w:tc>
          <w:tcPr>
            <w:tcW w:w="704" w:type="dxa"/>
          </w:tcPr>
          <w:p w14:paraId="6E4B422B" w14:textId="77777777" w:rsidR="001776BD" w:rsidRPr="0080251F" w:rsidRDefault="001776BD" w:rsidP="00AE710E">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2020</w:t>
            </w:r>
          </w:p>
        </w:tc>
        <w:tc>
          <w:tcPr>
            <w:tcW w:w="2410" w:type="dxa"/>
            <w:shd w:val="clear" w:color="auto" w:fill="auto"/>
          </w:tcPr>
          <w:p w14:paraId="5836562B" w14:textId="77777777" w:rsidR="001776BD" w:rsidRPr="0080251F" w:rsidRDefault="001776BD" w:rsidP="00AE710E">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120.739,8</w:t>
            </w:r>
          </w:p>
        </w:tc>
        <w:tc>
          <w:tcPr>
            <w:tcW w:w="2835" w:type="dxa"/>
            <w:shd w:val="clear" w:color="auto" w:fill="auto"/>
          </w:tcPr>
          <w:p w14:paraId="379494DA" w14:textId="77777777" w:rsidR="001776BD" w:rsidRPr="0080251F" w:rsidRDefault="001776BD" w:rsidP="00AE710E">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39.205,3</w:t>
            </w:r>
          </w:p>
        </w:tc>
        <w:tc>
          <w:tcPr>
            <w:tcW w:w="3680" w:type="dxa"/>
            <w:shd w:val="clear" w:color="auto" w:fill="auto"/>
          </w:tcPr>
          <w:p w14:paraId="5A1F31E1" w14:textId="77777777" w:rsidR="001776BD" w:rsidRPr="0080251F" w:rsidRDefault="001776BD" w:rsidP="00AE710E">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81.534,5</w:t>
            </w:r>
          </w:p>
        </w:tc>
      </w:tr>
      <w:tr w:rsidR="001776BD" w:rsidRPr="0080251F" w14:paraId="71D98A65" w14:textId="77777777" w:rsidTr="006A63D2">
        <w:tc>
          <w:tcPr>
            <w:tcW w:w="704" w:type="dxa"/>
          </w:tcPr>
          <w:p w14:paraId="4109B9BA" w14:textId="77777777" w:rsidR="001776BD" w:rsidRPr="0080251F" w:rsidRDefault="001776BD" w:rsidP="00AE710E">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2021</w:t>
            </w:r>
          </w:p>
        </w:tc>
        <w:tc>
          <w:tcPr>
            <w:tcW w:w="2410" w:type="dxa"/>
            <w:shd w:val="clear" w:color="auto" w:fill="auto"/>
          </w:tcPr>
          <w:p w14:paraId="2D26E21F" w14:textId="77777777" w:rsidR="001776BD" w:rsidRPr="0080251F" w:rsidRDefault="001776BD" w:rsidP="00AE710E">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130.721,1</w:t>
            </w:r>
          </w:p>
        </w:tc>
        <w:tc>
          <w:tcPr>
            <w:tcW w:w="2835" w:type="dxa"/>
            <w:shd w:val="clear" w:color="auto" w:fill="auto"/>
          </w:tcPr>
          <w:p w14:paraId="47BD9907" w14:textId="77777777" w:rsidR="001776BD" w:rsidRPr="0080251F" w:rsidRDefault="001776BD" w:rsidP="00AE710E">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46.327,0</w:t>
            </w:r>
          </w:p>
        </w:tc>
        <w:tc>
          <w:tcPr>
            <w:tcW w:w="3680" w:type="dxa"/>
            <w:shd w:val="clear" w:color="auto" w:fill="auto"/>
          </w:tcPr>
          <w:p w14:paraId="4FA46C3F" w14:textId="77777777" w:rsidR="001776BD" w:rsidRPr="0080251F" w:rsidRDefault="001776BD" w:rsidP="00AE710E">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84.394,1</w:t>
            </w:r>
          </w:p>
        </w:tc>
      </w:tr>
      <w:tr w:rsidR="00961C19" w:rsidRPr="0080251F" w14:paraId="2DF965D2" w14:textId="77777777" w:rsidTr="006A63D2">
        <w:tc>
          <w:tcPr>
            <w:tcW w:w="704" w:type="dxa"/>
          </w:tcPr>
          <w:p w14:paraId="419F38E8" w14:textId="77777777" w:rsidR="001776BD" w:rsidRPr="0080251F" w:rsidRDefault="001776BD" w:rsidP="00961C19">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2022</w:t>
            </w:r>
          </w:p>
        </w:tc>
        <w:tc>
          <w:tcPr>
            <w:tcW w:w="2410" w:type="dxa"/>
            <w:shd w:val="clear" w:color="auto" w:fill="auto"/>
          </w:tcPr>
          <w:p w14:paraId="1456EBA2" w14:textId="77777777" w:rsidR="001776BD" w:rsidRPr="0080251F" w:rsidRDefault="001776BD" w:rsidP="00961C19">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137.728,3</w:t>
            </w:r>
          </w:p>
        </w:tc>
        <w:tc>
          <w:tcPr>
            <w:tcW w:w="2835" w:type="dxa"/>
            <w:shd w:val="clear" w:color="auto" w:fill="auto"/>
          </w:tcPr>
          <w:p w14:paraId="659A670A" w14:textId="77777777" w:rsidR="001776BD" w:rsidRPr="0080251F" w:rsidRDefault="001776BD" w:rsidP="00961C19">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53.805,2</w:t>
            </w:r>
          </w:p>
        </w:tc>
        <w:tc>
          <w:tcPr>
            <w:tcW w:w="3680" w:type="dxa"/>
            <w:shd w:val="clear" w:color="auto" w:fill="auto"/>
          </w:tcPr>
          <w:p w14:paraId="6F6FC585" w14:textId="77777777" w:rsidR="001776BD" w:rsidRPr="0080251F" w:rsidRDefault="001776BD" w:rsidP="00961C19">
            <w:pPr>
              <w:spacing w:line="259" w:lineRule="auto"/>
              <w:jc w:val="right"/>
              <w:rPr>
                <w:rFonts w:ascii="Times New Roman" w:hAnsi="Times New Roman" w:cs="Times New Roman"/>
                <w:sz w:val="20"/>
                <w:szCs w:val="20"/>
                <w:lang w:val="ro-MD"/>
              </w:rPr>
            </w:pPr>
            <w:r w:rsidRPr="0080251F">
              <w:rPr>
                <w:rFonts w:ascii="Times New Roman" w:hAnsi="Times New Roman" w:cs="Times New Roman"/>
                <w:sz w:val="20"/>
                <w:szCs w:val="20"/>
                <w:lang w:val="ro-MD"/>
              </w:rPr>
              <w:t>83.923,2</w:t>
            </w:r>
          </w:p>
        </w:tc>
      </w:tr>
    </w:tbl>
    <w:p w14:paraId="53C3EF59" w14:textId="6F942723" w:rsidR="001776BD" w:rsidRPr="0080251F" w:rsidRDefault="001776BD" w:rsidP="00961C19">
      <w:pPr>
        <w:rPr>
          <w:rFonts w:ascii="Times New Roman" w:hAnsi="Times New Roman" w:cs="Times New Roman"/>
          <w:i/>
          <w:sz w:val="20"/>
          <w:szCs w:val="20"/>
          <w:lang w:val="ro-MD"/>
        </w:rPr>
      </w:pPr>
      <w:r w:rsidRPr="0080251F">
        <w:rPr>
          <w:rFonts w:ascii="Times New Roman" w:hAnsi="Times New Roman" w:cs="Times New Roman"/>
          <w:b/>
          <w:i/>
          <w:sz w:val="20"/>
          <w:szCs w:val="20"/>
          <w:lang w:val="ro-MD"/>
        </w:rPr>
        <w:t>Sursa:</w:t>
      </w:r>
      <w:r w:rsidRPr="0080251F">
        <w:rPr>
          <w:rFonts w:ascii="Times New Roman" w:hAnsi="Times New Roman" w:cs="Times New Roman"/>
          <w:i/>
          <w:sz w:val="20"/>
          <w:szCs w:val="20"/>
          <w:lang w:val="ro-MD"/>
        </w:rPr>
        <w:t xml:space="preserve"> Proces</w:t>
      </w:r>
      <w:r w:rsidR="00AE710E" w:rsidRPr="0080251F">
        <w:rPr>
          <w:rFonts w:ascii="Times New Roman" w:hAnsi="Times New Roman" w:cs="Times New Roman"/>
          <w:i/>
          <w:sz w:val="20"/>
          <w:szCs w:val="20"/>
          <w:lang w:val="ro-MD"/>
        </w:rPr>
        <w:t>ul-</w:t>
      </w:r>
      <w:r w:rsidRPr="0080251F">
        <w:rPr>
          <w:rFonts w:ascii="Times New Roman" w:hAnsi="Times New Roman" w:cs="Times New Roman"/>
          <w:i/>
          <w:sz w:val="20"/>
          <w:szCs w:val="20"/>
          <w:lang w:val="ro-MD"/>
        </w:rPr>
        <w:t xml:space="preserve">verbal </w:t>
      </w:r>
      <w:r w:rsidR="00AE710E" w:rsidRPr="0080251F">
        <w:rPr>
          <w:rFonts w:ascii="Times New Roman" w:hAnsi="Times New Roman" w:cs="Times New Roman"/>
          <w:i/>
          <w:sz w:val="20"/>
          <w:szCs w:val="20"/>
          <w:lang w:val="ro-MD"/>
        </w:rPr>
        <w:t>de inventariere a contoarelor din</w:t>
      </w:r>
      <w:r w:rsidRPr="0080251F">
        <w:rPr>
          <w:rFonts w:ascii="Times New Roman" w:hAnsi="Times New Roman" w:cs="Times New Roman"/>
          <w:i/>
          <w:sz w:val="20"/>
          <w:szCs w:val="20"/>
          <w:lang w:val="ro-MD"/>
        </w:rPr>
        <w:t xml:space="preserve"> subdiviziunea</w:t>
      </w:r>
      <w:r w:rsidR="00AE710E" w:rsidRPr="0080251F">
        <w:rPr>
          <w:rFonts w:ascii="Times New Roman" w:hAnsi="Times New Roman" w:cs="Times New Roman"/>
          <w:i/>
          <w:sz w:val="20"/>
          <w:szCs w:val="20"/>
          <w:lang w:val="ro-MD"/>
        </w:rPr>
        <w:t xml:space="preserve"> -</w:t>
      </w:r>
      <w:r w:rsidRPr="0080251F">
        <w:rPr>
          <w:rFonts w:ascii="Times New Roman" w:hAnsi="Times New Roman" w:cs="Times New Roman"/>
          <w:i/>
          <w:sz w:val="20"/>
          <w:szCs w:val="20"/>
          <w:lang w:val="ro-MD"/>
        </w:rPr>
        <w:t xml:space="preserve"> Grupul exploatare</w:t>
      </w:r>
      <w:r w:rsidR="00AE710E" w:rsidRPr="0080251F">
        <w:rPr>
          <w:rFonts w:ascii="Times New Roman" w:hAnsi="Times New Roman" w:cs="Times New Roman"/>
          <w:i/>
          <w:sz w:val="20"/>
          <w:szCs w:val="20"/>
          <w:lang w:val="ro-MD"/>
        </w:rPr>
        <w:t xml:space="preserve"> a imobilului.</w:t>
      </w:r>
    </w:p>
    <w:p w14:paraId="1F4E7073" w14:textId="36780857" w:rsidR="00AB6531" w:rsidRPr="0080251F" w:rsidRDefault="00AB6531" w:rsidP="00AB6531">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Valoarea imobilizărilor necorporale la situația </w:t>
      </w:r>
      <w:r w:rsidR="006549A9" w:rsidRPr="0080251F">
        <w:rPr>
          <w:rFonts w:ascii="Times New Roman" w:hAnsi="Times New Roman" w:cs="Times New Roman"/>
          <w:sz w:val="24"/>
          <w:szCs w:val="24"/>
          <w:lang w:val="ro-MD"/>
        </w:rPr>
        <w:t xml:space="preserve">din </w:t>
      </w:r>
      <w:r w:rsidRPr="0080251F">
        <w:rPr>
          <w:rFonts w:ascii="Times New Roman" w:hAnsi="Times New Roman" w:cs="Times New Roman"/>
          <w:sz w:val="24"/>
          <w:szCs w:val="24"/>
          <w:lang w:val="ro-MD"/>
        </w:rPr>
        <w:t>01.01.2021 a constituit 11,6 mil. lei (sau 0,4% din totalul activelor imobilizate), la situația d</w:t>
      </w:r>
      <w:r w:rsidR="00A14025" w:rsidRPr="0080251F">
        <w:rPr>
          <w:rFonts w:ascii="Times New Roman" w:hAnsi="Times New Roman" w:cs="Times New Roman"/>
          <w:sz w:val="24"/>
          <w:szCs w:val="24"/>
          <w:lang w:val="ro-MD"/>
        </w:rPr>
        <w:t>in 01.01.2022 – 6,6 mil. lei</w:t>
      </w:r>
      <w:r w:rsidRPr="0080251F">
        <w:rPr>
          <w:rFonts w:ascii="Times New Roman" w:hAnsi="Times New Roman" w:cs="Times New Roman"/>
          <w:sz w:val="24"/>
          <w:szCs w:val="24"/>
          <w:lang w:val="ro-MD"/>
        </w:rPr>
        <w:t xml:space="preserve"> (</w:t>
      </w:r>
      <w:r w:rsidR="00A14025" w:rsidRPr="0080251F">
        <w:rPr>
          <w:rFonts w:ascii="Times New Roman" w:hAnsi="Times New Roman" w:cs="Times New Roman"/>
          <w:sz w:val="24"/>
          <w:szCs w:val="24"/>
          <w:lang w:val="ro-MD"/>
        </w:rPr>
        <w:t xml:space="preserve">sau </w:t>
      </w:r>
      <w:r w:rsidRPr="0080251F">
        <w:rPr>
          <w:rFonts w:ascii="Times New Roman" w:hAnsi="Times New Roman" w:cs="Times New Roman"/>
          <w:sz w:val="24"/>
          <w:szCs w:val="24"/>
          <w:lang w:val="ro-MD"/>
        </w:rPr>
        <w:t>0,2%)</w:t>
      </w:r>
      <w:r w:rsidR="006549A9"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la s</w:t>
      </w:r>
      <w:r w:rsidR="008520A1" w:rsidRPr="0080251F">
        <w:rPr>
          <w:rFonts w:ascii="Times New Roman" w:hAnsi="Times New Roman" w:cs="Times New Roman"/>
          <w:sz w:val="24"/>
          <w:szCs w:val="24"/>
          <w:lang w:val="ro-MD"/>
        </w:rPr>
        <w:t>ituația din 31.12.2022 – 1,2 mil.</w:t>
      </w:r>
      <w:r w:rsidRPr="0080251F">
        <w:rPr>
          <w:rFonts w:ascii="Times New Roman" w:hAnsi="Times New Roman" w:cs="Times New Roman"/>
          <w:sz w:val="24"/>
          <w:szCs w:val="24"/>
          <w:lang w:val="ro-MD"/>
        </w:rPr>
        <w:t xml:space="preserve"> lei (sau 0,04%). </w:t>
      </w:r>
    </w:p>
    <w:p w14:paraId="576D5D68" w14:textId="0D97BC85" w:rsidR="00E31B92" w:rsidRPr="0080251F" w:rsidRDefault="00AB6531" w:rsidP="00AB6531">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Pe parcursul anilor 2021-2022, </w:t>
      </w:r>
      <w:r w:rsidR="006549A9" w:rsidRPr="0080251F">
        <w:rPr>
          <w:rFonts w:ascii="Times New Roman" w:hAnsi="Times New Roman" w:cs="Times New Roman"/>
          <w:sz w:val="24"/>
          <w:szCs w:val="24"/>
          <w:lang w:val="ro-MD"/>
        </w:rPr>
        <w:t>s</w:t>
      </w:r>
      <w:r w:rsidRPr="0080251F">
        <w:rPr>
          <w:rFonts w:ascii="Times New Roman" w:hAnsi="Times New Roman" w:cs="Times New Roman"/>
          <w:sz w:val="24"/>
          <w:szCs w:val="24"/>
          <w:lang w:val="ro-MD"/>
        </w:rPr>
        <w:t>ocietatea economică a înregistrat intrări de mijloace fixe în sumă totală de 554,3 mil. lei, inclusiv în anul 2021 – 335,4 mil. lei</w:t>
      </w:r>
      <w:r w:rsidR="006549A9"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în anul 2022 – 218,9 mil. lei</w:t>
      </w:r>
      <w:r w:rsidR="00DC0483" w:rsidRPr="0080251F">
        <w:rPr>
          <w:rFonts w:ascii="Times New Roman" w:hAnsi="Times New Roman" w:cs="Times New Roman"/>
          <w:sz w:val="24"/>
          <w:szCs w:val="24"/>
          <w:lang w:val="ro-MD"/>
        </w:rPr>
        <w:t xml:space="preserve">. </w:t>
      </w:r>
    </w:p>
    <w:p w14:paraId="1428312B" w14:textId="08B24984" w:rsidR="00E31B92" w:rsidRPr="0080251F" w:rsidRDefault="00E31B92" w:rsidP="00E31B92">
      <w:pPr>
        <w:spacing w:after="0" w:line="276" w:lineRule="auto"/>
        <w:ind w:firstLine="709"/>
        <w:jc w:val="right"/>
        <w:rPr>
          <w:rFonts w:ascii="Times New Roman" w:hAnsi="Times New Roman" w:cs="Times New Roman"/>
          <w:b/>
          <w:sz w:val="24"/>
          <w:szCs w:val="24"/>
          <w:lang w:val="ro-MD"/>
        </w:rPr>
      </w:pPr>
      <w:r w:rsidRPr="0080251F">
        <w:rPr>
          <w:rFonts w:ascii="Times New Roman" w:hAnsi="Times New Roman" w:cs="Times New Roman"/>
          <w:b/>
          <w:sz w:val="24"/>
          <w:szCs w:val="24"/>
          <w:lang w:val="ro-MD"/>
        </w:rPr>
        <w:t>Tabelul nr.2</w:t>
      </w:r>
    </w:p>
    <w:p w14:paraId="26D4341A" w14:textId="4B44BE4D" w:rsidR="00E31B92" w:rsidRPr="0080251F" w:rsidRDefault="00DC0483" w:rsidP="0002513E">
      <w:pPr>
        <w:spacing w:after="0" w:line="276" w:lineRule="auto"/>
        <w:jc w:val="center"/>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 xml:space="preserve">Informația </w:t>
      </w:r>
      <w:r w:rsidR="00E31B92" w:rsidRPr="0080251F">
        <w:rPr>
          <w:rFonts w:ascii="Times New Roman" w:hAnsi="Times New Roman" w:cs="Times New Roman"/>
          <w:b/>
          <w:bCs/>
          <w:sz w:val="24"/>
          <w:szCs w:val="24"/>
          <w:lang w:val="ro-MD"/>
        </w:rPr>
        <w:t>privind intrările de mijloace</w:t>
      </w:r>
      <w:r w:rsidR="00E93AD9" w:rsidRPr="0080251F">
        <w:rPr>
          <w:rFonts w:ascii="Times New Roman" w:hAnsi="Times New Roman" w:cs="Times New Roman"/>
          <w:b/>
          <w:bCs/>
          <w:sz w:val="24"/>
          <w:szCs w:val="24"/>
          <w:lang w:val="ro-MD"/>
        </w:rPr>
        <w:t xml:space="preserve"> fixe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292"/>
        <w:gridCol w:w="1508"/>
        <w:gridCol w:w="1594"/>
      </w:tblGrid>
      <w:tr w:rsidR="00DC0483" w:rsidRPr="0080251F" w14:paraId="4C34D405" w14:textId="77777777" w:rsidTr="00290C84">
        <w:tc>
          <w:tcPr>
            <w:tcW w:w="5240" w:type="dxa"/>
            <w:shd w:val="clear" w:color="auto" w:fill="D9D9D9" w:themeFill="background1" w:themeFillShade="D9"/>
            <w:hideMark/>
          </w:tcPr>
          <w:p w14:paraId="373453AC" w14:textId="77777777" w:rsidR="00DC0483" w:rsidRPr="0080251F" w:rsidRDefault="00DC0483" w:rsidP="00961C19">
            <w:pPr>
              <w:spacing w:after="0"/>
              <w:rPr>
                <w:rFonts w:ascii="Times New Roman" w:eastAsia="Times New Roman" w:hAnsi="Times New Roman" w:cs="Times New Roman"/>
                <w:b/>
                <w:sz w:val="20"/>
                <w:szCs w:val="20"/>
                <w:lang w:val="ro-MD"/>
              </w:rPr>
            </w:pPr>
            <w:r w:rsidRPr="0080251F">
              <w:rPr>
                <w:rFonts w:ascii="Times New Roman" w:hAnsi="Times New Roman" w:cs="Times New Roman"/>
                <w:b/>
                <w:sz w:val="20"/>
                <w:szCs w:val="20"/>
                <w:lang w:val="ro-MD"/>
              </w:rPr>
              <w:t>Categoria</w:t>
            </w:r>
          </w:p>
        </w:tc>
        <w:tc>
          <w:tcPr>
            <w:tcW w:w="1292" w:type="dxa"/>
            <w:shd w:val="clear" w:color="auto" w:fill="D9D9D9" w:themeFill="background1" w:themeFillShade="D9"/>
            <w:hideMark/>
          </w:tcPr>
          <w:p w14:paraId="6D7ABFE7" w14:textId="0F4C3571" w:rsidR="00DC0483" w:rsidRPr="0080251F" w:rsidRDefault="00DC0483" w:rsidP="00961C19">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2021</w:t>
            </w:r>
            <w:r w:rsidR="00E93AD9" w:rsidRPr="0080251F">
              <w:rPr>
                <w:rFonts w:ascii="Times New Roman" w:eastAsia="Times New Roman" w:hAnsi="Times New Roman" w:cs="Times New Roman"/>
                <w:b/>
                <w:color w:val="000000"/>
                <w:sz w:val="20"/>
                <w:szCs w:val="20"/>
                <w:lang w:val="ro-MD"/>
              </w:rPr>
              <w:t>, mii lei</w:t>
            </w:r>
          </w:p>
        </w:tc>
        <w:tc>
          <w:tcPr>
            <w:tcW w:w="1508" w:type="dxa"/>
            <w:shd w:val="clear" w:color="auto" w:fill="D9D9D9" w:themeFill="background1" w:themeFillShade="D9"/>
            <w:hideMark/>
          </w:tcPr>
          <w:p w14:paraId="1920F9A1" w14:textId="7403B0E1" w:rsidR="00DC0483" w:rsidRPr="0080251F" w:rsidRDefault="00DC0483" w:rsidP="00961C19">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2022</w:t>
            </w:r>
            <w:r w:rsidR="00E93AD9" w:rsidRPr="0080251F">
              <w:rPr>
                <w:rFonts w:ascii="Times New Roman" w:eastAsia="Times New Roman" w:hAnsi="Times New Roman" w:cs="Times New Roman"/>
                <w:b/>
                <w:color w:val="000000"/>
                <w:sz w:val="20"/>
                <w:szCs w:val="20"/>
                <w:lang w:val="ro-MD"/>
              </w:rPr>
              <w:t>, mii lei</w:t>
            </w:r>
          </w:p>
        </w:tc>
        <w:tc>
          <w:tcPr>
            <w:tcW w:w="1594" w:type="dxa"/>
            <w:shd w:val="clear" w:color="auto" w:fill="D9D9D9" w:themeFill="background1" w:themeFillShade="D9"/>
            <w:hideMark/>
          </w:tcPr>
          <w:p w14:paraId="211560F1" w14:textId="2E4DB8CF" w:rsidR="00DC0483" w:rsidRPr="0080251F" w:rsidRDefault="00E93AD9" w:rsidP="00E93AD9">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Total, mii lei</w:t>
            </w:r>
          </w:p>
        </w:tc>
      </w:tr>
      <w:tr w:rsidR="00DC0483" w:rsidRPr="0080251F" w14:paraId="4875E9AA" w14:textId="77777777" w:rsidTr="002A1056">
        <w:tc>
          <w:tcPr>
            <w:tcW w:w="5240" w:type="dxa"/>
            <w:shd w:val="clear" w:color="auto" w:fill="auto"/>
            <w:noWrap/>
            <w:hideMark/>
          </w:tcPr>
          <w:p w14:paraId="21B68ED2" w14:textId="7D16C882" w:rsidR="00DC0483" w:rsidRPr="0080251F" w:rsidRDefault="001A4D74" w:rsidP="00961C19">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C</w:t>
            </w:r>
            <w:r w:rsidR="00961C19" w:rsidRPr="0080251F">
              <w:rPr>
                <w:rFonts w:ascii="Times New Roman" w:eastAsia="Times New Roman" w:hAnsi="Times New Roman" w:cs="Times New Roman"/>
                <w:color w:val="000000"/>
                <w:sz w:val="20"/>
                <w:szCs w:val="20"/>
                <w:lang w:val="ro-MD"/>
              </w:rPr>
              <w:t>onstrucția</w:t>
            </w:r>
            <w:r w:rsidR="00DC0483" w:rsidRPr="0080251F">
              <w:rPr>
                <w:rFonts w:ascii="Times New Roman" w:eastAsia="Times New Roman" w:hAnsi="Times New Roman" w:cs="Times New Roman"/>
                <w:color w:val="000000"/>
                <w:sz w:val="20"/>
                <w:szCs w:val="20"/>
                <w:lang w:val="ro-MD"/>
              </w:rPr>
              <w:t xml:space="preserve"> mijloacelor fixe </w:t>
            </w:r>
          </w:p>
        </w:tc>
        <w:tc>
          <w:tcPr>
            <w:tcW w:w="1292" w:type="dxa"/>
            <w:shd w:val="clear" w:color="auto" w:fill="auto"/>
            <w:noWrap/>
            <w:hideMark/>
          </w:tcPr>
          <w:p w14:paraId="7391E14F"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247.789,9</w:t>
            </w:r>
          </w:p>
        </w:tc>
        <w:tc>
          <w:tcPr>
            <w:tcW w:w="1508" w:type="dxa"/>
            <w:shd w:val="clear" w:color="auto" w:fill="auto"/>
            <w:noWrap/>
            <w:hideMark/>
          </w:tcPr>
          <w:p w14:paraId="3E7D776E"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177.818,3</w:t>
            </w:r>
          </w:p>
        </w:tc>
        <w:tc>
          <w:tcPr>
            <w:tcW w:w="1594" w:type="dxa"/>
            <w:shd w:val="clear" w:color="auto" w:fill="auto"/>
            <w:noWrap/>
            <w:hideMark/>
          </w:tcPr>
          <w:p w14:paraId="6E5B87CE"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425.608,2</w:t>
            </w:r>
          </w:p>
        </w:tc>
      </w:tr>
      <w:tr w:rsidR="00DC0483" w:rsidRPr="0080251F" w14:paraId="27030C1F" w14:textId="77777777" w:rsidTr="002A1056">
        <w:tc>
          <w:tcPr>
            <w:tcW w:w="5240" w:type="dxa"/>
            <w:shd w:val="clear" w:color="auto" w:fill="auto"/>
            <w:noWrap/>
            <w:hideMark/>
          </w:tcPr>
          <w:p w14:paraId="6E91F419" w14:textId="7019FE67" w:rsidR="00DC0483" w:rsidRPr="0080251F" w:rsidRDefault="001A4D74" w:rsidP="00DA13DB">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I</w:t>
            </w:r>
            <w:r w:rsidR="00961C19" w:rsidRPr="0080251F">
              <w:rPr>
                <w:rFonts w:ascii="Times New Roman" w:eastAsia="Times New Roman" w:hAnsi="Times New Roman" w:cs="Times New Roman"/>
                <w:color w:val="000000"/>
                <w:sz w:val="20"/>
                <w:szCs w:val="20"/>
                <w:lang w:val="ro-MD"/>
              </w:rPr>
              <w:t xml:space="preserve">ntrările </w:t>
            </w:r>
            <w:r w:rsidR="00DA13DB" w:rsidRPr="0080251F">
              <w:rPr>
                <w:rFonts w:ascii="Times New Roman" w:eastAsia="Times New Roman" w:hAnsi="Times New Roman" w:cs="Times New Roman"/>
                <w:color w:val="000000"/>
                <w:sz w:val="20"/>
                <w:szCs w:val="20"/>
                <w:lang w:val="ro-MD"/>
              </w:rPr>
              <w:t>după reclasificarea activelor</w:t>
            </w:r>
            <w:r w:rsidR="00DC0483" w:rsidRPr="0080251F">
              <w:rPr>
                <w:rFonts w:ascii="Times New Roman" w:eastAsia="Times New Roman" w:hAnsi="Times New Roman" w:cs="Times New Roman"/>
                <w:color w:val="000000"/>
                <w:sz w:val="20"/>
                <w:szCs w:val="20"/>
                <w:lang w:val="ro-MD"/>
              </w:rPr>
              <w:t xml:space="preserve"> </w:t>
            </w:r>
          </w:p>
        </w:tc>
        <w:tc>
          <w:tcPr>
            <w:tcW w:w="1292" w:type="dxa"/>
            <w:shd w:val="clear" w:color="auto" w:fill="auto"/>
            <w:noWrap/>
            <w:hideMark/>
          </w:tcPr>
          <w:p w14:paraId="704E5F03"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51.430,7</w:t>
            </w:r>
          </w:p>
        </w:tc>
        <w:tc>
          <w:tcPr>
            <w:tcW w:w="1508" w:type="dxa"/>
            <w:shd w:val="clear" w:color="auto" w:fill="auto"/>
            <w:noWrap/>
            <w:hideMark/>
          </w:tcPr>
          <w:p w14:paraId="099FE0B7"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10.213,6</w:t>
            </w:r>
          </w:p>
        </w:tc>
        <w:tc>
          <w:tcPr>
            <w:tcW w:w="1594" w:type="dxa"/>
            <w:shd w:val="clear" w:color="auto" w:fill="auto"/>
            <w:noWrap/>
            <w:hideMark/>
          </w:tcPr>
          <w:p w14:paraId="557C923D"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61.644,3</w:t>
            </w:r>
          </w:p>
        </w:tc>
      </w:tr>
      <w:tr w:rsidR="00DC0483" w:rsidRPr="0080251F" w14:paraId="3302BCDC" w14:textId="77777777" w:rsidTr="002A1056">
        <w:tc>
          <w:tcPr>
            <w:tcW w:w="5240" w:type="dxa"/>
            <w:shd w:val="clear" w:color="auto" w:fill="auto"/>
            <w:noWrap/>
            <w:hideMark/>
          </w:tcPr>
          <w:p w14:paraId="3AF4D28F" w14:textId="7F4E4190" w:rsidR="00DC0483" w:rsidRPr="0080251F" w:rsidRDefault="001A4D74" w:rsidP="00961C19">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Reparația capitală</w:t>
            </w:r>
            <w:r w:rsidR="00DC0483" w:rsidRPr="0080251F">
              <w:rPr>
                <w:rFonts w:ascii="Times New Roman" w:eastAsia="Times New Roman" w:hAnsi="Times New Roman" w:cs="Times New Roman"/>
                <w:color w:val="000000"/>
                <w:sz w:val="20"/>
                <w:szCs w:val="20"/>
                <w:lang w:val="ro-MD"/>
              </w:rPr>
              <w:t xml:space="preserve"> a mijloacelor fixe </w:t>
            </w:r>
          </w:p>
        </w:tc>
        <w:tc>
          <w:tcPr>
            <w:tcW w:w="1292" w:type="dxa"/>
            <w:shd w:val="clear" w:color="auto" w:fill="auto"/>
            <w:noWrap/>
            <w:hideMark/>
          </w:tcPr>
          <w:p w14:paraId="5D3E94DC"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11.478,0</w:t>
            </w:r>
          </w:p>
        </w:tc>
        <w:tc>
          <w:tcPr>
            <w:tcW w:w="1508" w:type="dxa"/>
            <w:shd w:val="clear" w:color="auto" w:fill="auto"/>
            <w:noWrap/>
            <w:hideMark/>
          </w:tcPr>
          <w:p w14:paraId="44E19EC1"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10.170,8</w:t>
            </w:r>
          </w:p>
        </w:tc>
        <w:tc>
          <w:tcPr>
            <w:tcW w:w="1594" w:type="dxa"/>
            <w:shd w:val="clear" w:color="auto" w:fill="auto"/>
            <w:noWrap/>
            <w:hideMark/>
          </w:tcPr>
          <w:p w14:paraId="1E941BFF"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21.648,8</w:t>
            </w:r>
          </w:p>
        </w:tc>
      </w:tr>
      <w:tr w:rsidR="00DC0483" w:rsidRPr="0080251F" w14:paraId="6981B22C" w14:textId="77777777" w:rsidTr="002A1056">
        <w:tc>
          <w:tcPr>
            <w:tcW w:w="5240" w:type="dxa"/>
            <w:shd w:val="clear" w:color="auto" w:fill="auto"/>
            <w:noWrap/>
            <w:hideMark/>
          </w:tcPr>
          <w:p w14:paraId="0B1418BF" w14:textId="0372727F" w:rsidR="00DC0483" w:rsidRPr="0080251F" w:rsidRDefault="001A4D74" w:rsidP="00961C19">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P</w:t>
            </w:r>
            <w:r w:rsidR="00DC0483" w:rsidRPr="0080251F">
              <w:rPr>
                <w:rFonts w:ascii="Times New Roman" w:eastAsia="Times New Roman" w:hAnsi="Times New Roman" w:cs="Times New Roman"/>
                <w:color w:val="000000"/>
                <w:sz w:val="20"/>
                <w:szCs w:val="20"/>
                <w:lang w:val="ro-MD"/>
              </w:rPr>
              <w:t>rocur</w:t>
            </w:r>
            <w:r w:rsidRPr="0080251F">
              <w:rPr>
                <w:rFonts w:ascii="Times New Roman" w:eastAsia="Times New Roman" w:hAnsi="Times New Roman" w:cs="Times New Roman"/>
                <w:color w:val="000000"/>
                <w:sz w:val="20"/>
                <w:szCs w:val="20"/>
                <w:lang w:val="ro-MD"/>
              </w:rPr>
              <w:t>area</w:t>
            </w:r>
            <w:r w:rsidR="00DC0483" w:rsidRPr="0080251F">
              <w:rPr>
                <w:rFonts w:ascii="Times New Roman" w:eastAsia="Times New Roman" w:hAnsi="Times New Roman" w:cs="Times New Roman"/>
                <w:color w:val="000000"/>
                <w:sz w:val="20"/>
                <w:szCs w:val="20"/>
                <w:lang w:val="ro-MD"/>
              </w:rPr>
              <w:t xml:space="preserve"> active</w:t>
            </w:r>
            <w:r w:rsidRPr="0080251F">
              <w:rPr>
                <w:rFonts w:ascii="Times New Roman" w:eastAsia="Times New Roman" w:hAnsi="Times New Roman" w:cs="Times New Roman"/>
                <w:color w:val="000000"/>
                <w:sz w:val="20"/>
                <w:szCs w:val="20"/>
                <w:lang w:val="ro-MD"/>
              </w:rPr>
              <w:t>lor</w:t>
            </w:r>
            <w:r w:rsidR="00DC0483" w:rsidRPr="0080251F">
              <w:rPr>
                <w:rFonts w:ascii="Times New Roman" w:eastAsia="Times New Roman" w:hAnsi="Times New Roman" w:cs="Times New Roman"/>
                <w:color w:val="000000"/>
                <w:sz w:val="20"/>
                <w:szCs w:val="20"/>
                <w:lang w:val="ro-MD"/>
              </w:rPr>
              <w:t xml:space="preserve"> de lungă durată </w:t>
            </w:r>
          </w:p>
        </w:tc>
        <w:tc>
          <w:tcPr>
            <w:tcW w:w="1292" w:type="dxa"/>
            <w:shd w:val="clear" w:color="auto" w:fill="auto"/>
            <w:noWrap/>
            <w:hideMark/>
          </w:tcPr>
          <w:p w14:paraId="1D05FC2E"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7.663,5</w:t>
            </w:r>
          </w:p>
        </w:tc>
        <w:tc>
          <w:tcPr>
            <w:tcW w:w="1508" w:type="dxa"/>
            <w:shd w:val="clear" w:color="auto" w:fill="auto"/>
            <w:noWrap/>
            <w:hideMark/>
          </w:tcPr>
          <w:p w14:paraId="09A82B4F"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5.614,2</w:t>
            </w:r>
          </w:p>
        </w:tc>
        <w:tc>
          <w:tcPr>
            <w:tcW w:w="1594" w:type="dxa"/>
            <w:shd w:val="clear" w:color="auto" w:fill="auto"/>
            <w:noWrap/>
            <w:hideMark/>
          </w:tcPr>
          <w:p w14:paraId="13922AD4"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5.614,2</w:t>
            </w:r>
          </w:p>
        </w:tc>
      </w:tr>
      <w:tr w:rsidR="00DC0483" w:rsidRPr="0080251F" w14:paraId="2AB7210A" w14:textId="77777777" w:rsidTr="002A1056">
        <w:tc>
          <w:tcPr>
            <w:tcW w:w="5240" w:type="dxa"/>
            <w:shd w:val="clear" w:color="auto" w:fill="auto"/>
            <w:noWrap/>
            <w:hideMark/>
          </w:tcPr>
          <w:p w14:paraId="2F9D33CD" w14:textId="2547D00F" w:rsidR="00DC0483" w:rsidRPr="0080251F" w:rsidRDefault="001A4D74" w:rsidP="00961C19">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 xml:space="preserve">Active </w:t>
            </w:r>
            <w:r w:rsidR="003C1818" w:rsidRPr="0080251F">
              <w:rPr>
                <w:rFonts w:ascii="Times New Roman" w:eastAsia="Times New Roman" w:hAnsi="Times New Roman" w:cs="Times New Roman"/>
                <w:color w:val="000000"/>
                <w:sz w:val="20"/>
                <w:szCs w:val="20"/>
                <w:lang w:val="ro-MD"/>
              </w:rPr>
              <w:t>p</w:t>
            </w:r>
            <w:r w:rsidR="00DC0483" w:rsidRPr="0080251F">
              <w:rPr>
                <w:rFonts w:ascii="Times New Roman" w:eastAsia="Times New Roman" w:hAnsi="Times New Roman" w:cs="Times New Roman"/>
                <w:color w:val="000000"/>
                <w:sz w:val="20"/>
                <w:szCs w:val="20"/>
                <w:lang w:val="ro-MD"/>
              </w:rPr>
              <w:t>rimite</w:t>
            </w:r>
            <w:r w:rsidR="003C1818" w:rsidRPr="0080251F">
              <w:rPr>
                <w:rFonts w:ascii="Times New Roman" w:eastAsia="Times New Roman" w:hAnsi="Times New Roman" w:cs="Times New Roman"/>
                <w:color w:val="000000"/>
                <w:sz w:val="20"/>
                <w:szCs w:val="20"/>
                <w:lang w:val="ro-MD"/>
              </w:rPr>
              <w:t xml:space="preserve"> cu titlu</w:t>
            </w:r>
            <w:r w:rsidR="00B16374" w:rsidRPr="0080251F">
              <w:rPr>
                <w:rFonts w:ascii="Times New Roman" w:eastAsia="Times New Roman" w:hAnsi="Times New Roman" w:cs="Times New Roman"/>
                <w:color w:val="000000"/>
                <w:sz w:val="20"/>
                <w:szCs w:val="20"/>
                <w:lang w:val="ro-MD"/>
              </w:rPr>
              <w:t xml:space="preserve"> gratuit</w:t>
            </w:r>
            <w:r w:rsidR="00B16374" w:rsidRPr="0080251F">
              <w:rPr>
                <w:rStyle w:val="a5"/>
                <w:rFonts w:ascii="Times New Roman" w:eastAsia="Times New Roman" w:hAnsi="Times New Roman" w:cs="Times New Roman"/>
                <w:color w:val="000000"/>
                <w:sz w:val="20"/>
                <w:szCs w:val="20"/>
                <w:lang w:val="ro-MD"/>
              </w:rPr>
              <w:footnoteReference w:id="14"/>
            </w:r>
          </w:p>
        </w:tc>
        <w:tc>
          <w:tcPr>
            <w:tcW w:w="1292" w:type="dxa"/>
            <w:shd w:val="clear" w:color="auto" w:fill="auto"/>
            <w:noWrap/>
            <w:hideMark/>
          </w:tcPr>
          <w:p w14:paraId="3CD915F1"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6.674,1</w:t>
            </w:r>
          </w:p>
        </w:tc>
        <w:tc>
          <w:tcPr>
            <w:tcW w:w="1508" w:type="dxa"/>
            <w:shd w:val="clear" w:color="auto" w:fill="auto"/>
            <w:noWrap/>
            <w:hideMark/>
          </w:tcPr>
          <w:p w14:paraId="6F2B898D"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992,7</w:t>
            </w:r>
          </w:p>
        </w:tc>
        <w:tc>
          <w:tcPr>
            <w:tcW w:w="1594" w:type="dxa"/>
            <w:shd w:val="clear" w:color="auto" w:fill="auto"/>
            <w:noWrap/>
            <w:hideMark/>
          </w:tcPr>
          <w:p w14:paraId="7448DF9B"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7.666,8</w:t>
            </w:r>
          </w:p>
        </w:tc>
      </w:tr>
      <w:tr w:rsidR="00DC0483" w:rsidRPr="0080251F" w14:paraId="1B0E8214" w14:textId="77777777" w:rsidTr="002A1056">
        <w:tc>
          <w:tcPr>
            <w:tcW w:w="5240" w:type="dxa"/>
            <w:shd w:val="clear" w:color="auto" w:fill="auto"/>
            <w:noWrap/>
            <w:hideMark/>
          </w:tcPr>
          <w:p w14:paraId="4E7B4D7B" w14:textId="55F3042E" w:rsidR="00DC0483" w:rsidRPr="0080251F" w:rsidRDefault="001A4D74" w:rsidP="00961C19">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A</w:t>
            </w:r>
            <w:r w:rsidR="00DC0483" w:rsidRPr="0080251F">
              <w:rPr>
                <w:rFonts w:ascii="Times New Roman" w:eastAsia="Times New Roman" w:hAnsi="Times New Roman" w:cs="Times New Roman"/>
                <w:color w:val="000000"/>
                <w:sz w:val="20"/>
                <w:szCs w:val="20"/>
                <w:lang w:val="ro-MD"/>
              </w:rPr>
              <w:t>lte intrări</w:t>
            </w:r>
            <w:r w:rsidR="00547EC8" w:rsidRPr="0080251F">
              <w:rPr>
                <w:rStyle w:val="a5"/>
                <w:rFonts w:ascii="Times New Roman" w:eastAsia="Times New Roman" w:hAnsi="Times New Roman" w:cs="Times New Roman"/>
                <w:color w:val="000000"/>
                <w:sz w:val="20"/>
                <w:szCs w:val="20"/>
                <w:lang w:val="ro-MD"/>
              </w:rPr>
              <w:footnoteReference w:id="15"/>
            </w:r>
          </w:p>
        </w:tc>
        <w:tc>
          <w:tcPr>
            <w:tcW w:w="1292" w:type="dxa"/>
            <w:shd w:val="clear" w:color="auto" w:fill="auto"/>
            <w:noWrap/>
            <w:hideMark/>
          </w:tcPr>
          <w:p w14:paraId="6B584125"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10.354,4</w:t>
            </w:r>
          </w:p>
        </w:tc>
        <w:tc>
          <w:tcPr>
            <w:tcW w:w="1508" w:type="dxa"/>
            <w:shd w:val="clear" w:color="auto" w:fill="auto"/>
            <w:noWrap/>
            <w:hideMark/>
          </w:tcPr>
          <w:p w14:paraId="33C82400"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14.094,2</w:t>
            </w:r>
          </w:p>
        </w:tc>
        <w:tc>
          <w:tcPr>
            <w:tcW w:w="1594" w:type="dxa"/>
            <w:shd w:val="clear" w:color="auto" w:fill="auto"/>
            <w:noWrap/>
            <w:hideMark/>
          </w:tcPr>
          <w:p w14:paraId="2019DBB5" w14:textId="77777777" w:rsidR="00DC0483" w:rsidRPr="0080251F" w:rsidRDefault="00DC0483" w:rsidP="00961C19">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24.448,6</w:t>
            </w:r>
          </w:p>
        </w:tc>
      </w:tr>
      <w:tr w:rsidR="00DC0483" w:rsidRPr="0080251F" w14:paraId="6AAF4CDC" w14:textId="77777777" w:rsidTr="002A1056">
        <w:tc>
          <w:tcPr>
            <w:tcW w:w="5240" w:type="dxa"/>
            <w:shd w:val="clear" w:color="auto" w:fill="auto"/>
            <w:noWrap/>
            <w:hideMark/>
          </w:tcPr>
          <w:p w14:paraId="16A0EC25" w14:textId="77777777" w:rsidR="00DC0483" w:rsidRPr="0080251F" w:rsidRDefault="00DC0483" w:rsidP="00961C19">
            <w:pPr>
              <w:spacing w:after="0"/>
              <w:jc w:val="both"/>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 xml:space="preserve">Total </w:t>
            </w:r>
          </w:p>
        </w:tc>
        <w:tc>
          <w:tcPr>
            <w:tcW w:w="1292" w:type="dxa"/>
            <w:shd w:val="clear" w:color="auto" w:fill="auto"/>
            <w:noWrap/>
            <w:hideMark/>
          </w:tcPr>
          <w:p w14:paraId="369007BB" w14:textId="77777777" w:rsidR="00DC0483" w:rsidRPr="0080251F" w:rsidRDefault="00DC0483" w:rsidP="00961C19">
            <w:pPr>
              <w:spacing w:after="0"/>
              <w:jc w:val="right"/>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335.390,6</w:t>
            </w:r>
          </w:p>
        </w:tc>
        <w:tc>
          <w:tcPr>
            <w:tcW w:w="1508" w:type="dxa"/>
            <w:shd w:val="clear" w:color="auto" w:fill="auto"/>
            <w:noWrap/>
            <w:hideMark/>
          </w:tcPr>
          <w:p w14:paraId="4E8564ED" w14:textId="77777777" w:rsidR="00DC0483" w:rsidRPr="0080251F" w:rsidRDefault="00DC0483" w:rsidP="00961C19">
            <w:pPr>
              <w:spacing w:after="0"/>
              <w:jc w:val="right"/>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218.903,8</w:t>
            </w:r>
          </w:p>
        </w:tc>
        <w:tc>
          <w:tcPr>
            <w:tcW w:w="1594" w:type="dxa"/>
            <w:shd w:val="clear" w:color="auto" w:fill="auto"/>
            <w:noWrap/>
            <w:hideMark/>
          </w:tcPr>
          <w:p w14:paraId="6E7DC9B0" w14:textId="77777777" w:rsidR="00DC0483" w:rsidRPr="0080251F" w:rsidRDefault="00DC0483" w:rsidP="00961C19">
            <w:pPr>
              <w:spacing w:after="0"/>
              <w:jc w:val="right"/>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554.294,4</w:t>
            </w:r>
          </w:p>
        </w:tc>
      </w:tr>
    </w:tbl>
    <w:p w14:paraId="622491BA" w14:textId="011E0658" w:rsidR="00DC0483" w:rsidRPr="0080251F" w:rsidRDefault="00DC0483" w:rsidP="00961C19">
      <w:pPr>
        <w:jc w:val="both"/>
        <w:rPr>
          <w:rFonts w:ascii="Times New Roman" w:eastAsia="Times New Roman" w:hAnsi="Times New Roman" w:cs="Times New Roman"/>
          <w:sz w:val="20"/>
          <w:szCs w:val="20"/>
          <w:lang w:val="ro-MD"/>
        </w:rPr>
      </w:pPr>
      <w:r w:rsidRPr="0080251F">
        <w:rPr>
          <w:rFonts w:ascii="Times New Roman" w:eastAsia="Times New Roman" w:hAnsi="Times New Roman" w:cs="Times New Roman"/>
          <w:b/>
          <w:i/>
          <w:sz w:val="20"/>
          <w:szCs w:val="20"/>
          <w:lang w:val="ro-MD"/>
        </w:rPr>
        <w:t>Sursa:</w:t>
      </w:r>
      <w:r w:rsidRPr="0080251F">
        <w:rPr>
          <w:rFonts w:ascii="Times New Roman" w:eastAsia="Times New Roman" w:hAnsi="Times New Roman" w:cs="Times New Roman"/>
          <w:i/>
          <w:sz w:val="20"/>
          <w:szCs w:val="20"/>
          <w:lang w:val="ro-MD"/>
        </w:rPr>
        <w:t xml:space="preserve"> </w:t>
      </w:r>
      <w:r w:rsidR="00DA13DB" w:rsidRPr="0080251F">
        <w:rPr>
          <w:rFonts w:ascii="Times New Roman" w:eastAsia="Times New Roman" w:hAnsi="Times New Roman" w:cs="Times New Roman"/>
          <w:i/>
          <w:sz w:val="20"/>
          <w:szCs w:val="20"/>
          <w:lang w:val="ro-MD"/>
        </w:rPr>
        <w:t>Raportul</w:t>
      </w:r>
      <w:r w:rsidRPr="0080251F">
        <w:rPr>
          <w:rFonts w:ascii="Times New Roman" w:eastAsia="Times New Roman" w:hAnsi="Times New Roman" w:cs="Times New Roman"/>
          <w:i/>
          <w:sz w:val="20"/>
          <w:szCs w:val="20"/>
          <w:lang w:val="ro-MD"/>
        </w:rPr>
        <w:t xml:space="preserve"> privind activele imobilizate ale S</w:t>
      </w:r>
      <w:r w:rsidR="00161987" w:rsidRPr="0080251F">
        <w:rPr>
          <w:rFonts w:ascii="Times New Roman" w:eastAsia="Times New Roman" w:hAnsi="Times New Roman" w:cs="Times New Roman"/>
          <w:i/>
          <w:sz w:val="20"/>
          <w:szCs w:val="20"/>
          <w:lang w:val="ro-MD"/>
        </w:rPr>
        <w:t>.</w:t>
      </w:r>
      <w:r w:rsidRPr="0080251F">
        <w:rPr>
          <w:rFonts w:ascii="Times New Roman" w:eastAsia="Times New Roman" w:hAnsi="Times New Roman" w:cs="Times New Roman"/>
          <w:i/>
          <w:sz w:val="20"/>
          <w:szCs w:val="20"/>
          <w:lang w:val="ro-MD"/>
        </w:rPr>
        <w:t>A</w:t>
      </w:r>
      <w:r w:rsidR="00161987" w:rsidRPr="0080251F">
        <w:rPr>
          <w:rFonts w:ascii="Times New Roman" w:eastAsia="Times New Roman" w:hAnsi="Times New Roman" w:cs="Times New Roman"/>
          <w:i/>
          <w:sz w:val="20"/>
          <w:szCs w:val="20"/>
          <w:lang w:val="ro-MD"/>
        </w:rPr>
        <w:t>.</w:t>
      </w:r>
      <w:r w:rsidRPr="0080251F">
        <w:rPr>
          <w:rFonts w:ascii="Times New Roman" w:eastAsia="Times New Roman" w:hAnsi="Times New Roman" w:cs="Times New Roman"/>
          <w:i/>
          <w:sz w:val="20"/>
          <w:szCs w:val="20"/>
          <w:lang w:val="ro-MD"/>
        </w:rPr>
        <w:t xml:space="preserve"> </w:t>
      </w:r>
      <w:r w:rsidR="00161987" w:rsidRPr="0080251F">
        <w:rPr>
          <w:rFonts w:ascii="Times New Roman" w:eastAsia="Times New Roman" w:hAnsi="Times New Roman" w:cs="Times New Roman"/>
          <w:i/>
          <w:sz w:val="20"/>
          <w:szCs w:val="20"/>
          <w:lang w:val="ro-MD"/>
        </w:rPr>
        <w:t>„</w:t>
      </w:r>
      <w:r w:rsidRPr="0080251F">
        <w:rPr>
          <w:rFonts w:ascii="Times New Roman" w:eastAsia="Times New Roman" w:hAnsi="Times New Roman" w:cs="Times New Roman"/>
          <w:i/>
          <w:sz w:val="20"/>
          <w:szCs w:val="20"/>
          <w:lang w:val="ro-MD"/>
        </w:rPr>
        <w:t>RED-Nord</w:t>
      </w:r>
      <w:r w:rsidR="00161987" w:rsidRPr="0080251F">
        <w:rPr>
          <w:rFonts w:ascii="Times New Roman" w:eastAsia="Times New Roman" w:hAnsi="Times New Roman" w:cs="Times New Roman"/>
          <w:i/>
          <w:sz w:val="20"/>
          <w:szCs w:val="20"/>
          <w:lang w:val="ro-MD"/>
        </w:rPr>
        <w:t>”</w:t>
      </w:r>
      <w:r w:rsidRPr="0080251F">
        <w:rPr>
          <w:rFonts w:ascii="Times New Roman" w:eastAsia="Times New Roman" w:hAnsi="Times New Roman" w:cs="Times New Roman"/>
          <w:i/>
          <w:sz w:val="20"/>
          <w:szCs w:val="20"/>
          <w:lang w:val="ro-MD"/>
        </w:rPr>
        <w:t xml:space="preserve"> pentru anii 2021-2022</w:t>
      </w:r>
      <w:r w:rsidR="00961C19" w:rsidRPr="0080251F">
        <w:rPr>
          <w:rFonts w:ascii="Times New Roman" w:eastAsia="Times New Roman" w:hAnsi="Times New Roman" w:cs="Times New Roman"/>
          <w:sz w:val="20"/>
          <w:szCs w:val="20"/>
          <w:lang w:val="ro-MD"/>
        </w:rPr>
        <w:t>.</w:t>
      </w:r>
    </w:p>
    <w:p w14:paraId="29F2D6A1" w14:textId="051F5B5F" w:rsidR="009902D9" w:rsidRPr="0080251F" w:rsidRDefault="00AB6531" w:rsidP="009902D9">
      <w:pPr>
        <w:spacing w:after="0" w:line="276" w:lineRule="auto"/>
        <w:ind w:firstLine="720"/>
        <w:jc w:val="both"/>
        <w:rPr>
          <w:rFonts w:ascii="Times New Roman" w:hAnsi="Times New Roman" w:cs="Times New Roman"/>
          <w:sz w:val="24"/>
          <w:szCs w:val="24"/>
          <w:lang w:val="ro-MD"/>
        </w:rPr>
      </w:pPr>
      <w:r w:rsidRPr="0080251F">
        <w:rPr>
          <w:rFonts w:ascii="Times New Roman" w:eastAsia="Times New Roman" w:hAnsi="Times New Roman" w:cs="Times New Roman"/>
          <w:sz w:val="24"/>
          <w:szCs w:val="24"/>
          <w:lang w:val="ro-MD"/>
        </w:rPr>
        <w:t>În ani</w:t>
      </w:r>
      <w:r w:rsidR="006549A9" w:rsidRPr="0080251F">
        <w:rPr>
          <w:rFonts w:ascii="Times New Roman" w:eastAsia="Times New Roman" w:hAnsi="Times New Roman" w:cs="Times New Roman"/>
          <w:sz w:val="24"/>
          <w:szCs w:val="24"/>
          <w:lang w:val="ro-MD"/>
        </w:rPr>
        <w:t>i</w:t>
      </w:r>
      <w:r w:rsidRPr="0080251F">
        <w:rPr>
          <w:rFonts w:ascii="Times New Roman" w:eastAsia="Times New Roman" w:hAnsi="Times New Roman" w:cs="Times New Roman"/>
          <w:sz w:val="24"/>
          <w:szCs w:val="24"/>
          <w:lang w:val="ro-MD"/>
        </w:rPr>
        <w:t xml:space="preserve"> 2021-2022, ieșirile de mijloace fixe au fost înregistrate în sum</w:t>
      </w:r>
      <w:r w:rsidR="006549A9" w:rsidRPr="0080251F">
        <w:rPr>
          <w:rFonts w:ascii="Times New Roman" w:eastAsia="Times New Roman" w:hAnsi="Times New Roman" w:cs="Times New Roman"/>
          <w:sz w:val="24"/>
          <w:szCs w:val="24"/>
          <w:lang w:val="ro-MD"/>
        </w:rPr>
        <w:t>ă</w:t>
      </w:r>
      <w:r w:rsidRPr="0080251F">
        <w:rPr>
          <w:rFonts w:ascii="Times New Roman" w:eastAsia="Times New Roman" w:hAnsi="Times New Roman" w:cs="Times New Roman"/>
          <w:sz w:val="24"/>
          <w:szCs w:val="24"/>
          <w:lang w:val="ro-MD"/>
        </w:rPr>
        <w:t xml:space="preserve"> totală de 101,4 mil. lei, inclusiv în anul 2021 – 67,4 mil. lei</w:t>
      </w:r>
      <w:r w:rsidR="006549A9" w:rsidRPr="0080251F">
        <w:rPr>
          <w:rFonts w:ascii="Times New Roman" w:eastAsia="Times New Roman" w:hAnsi="Times New Roman" w:cs="Times New Roman"/>
          <w:sz w:val="24"/>
          <w:szCs w:val="24"/>
          <w:lang w:val="ro-MD"/>
        </w:rPr>
        <w:t>,</w:t>
      </w:r>
      <w:r w:rsidRPr="0080251F">
        <w:rPr>
          <w:rFonts w:ascii="Times New Roman" w:eastAsia="Times New Roman" w:hAnsi="Times New Roman" w:cs="Times New Roman"/>
          <w:sz w:val="24"/>
          <w:szCs w:val="24"/>
          <w:lang w:val="ro-MD"/>
        </w:rPr>
        <w:t xml:space="preserve"> și în anul 2022 – 34,0 mil. lei</w:t>
      </w:r>
      <w:r w:rsidR="009902D9" w:rsidRPr="0080251F">
        <w:rPr>
          <w:rFonts w:ascii="Times New Roman" w:hAnsi="Times New Roman" w:cs="Times New Roman"/>
          <w:sz w:val="24"/>
          <w:szCs w:val="24"/>
          <w:lang w:val="ro-MD"/>
        </w:rPr>
        <w:t xml:space="preserve">. </w:t>
      </w:r>
    </w:p>
    <w:p w14:paraId="27C08B85" w14:textId="5E53D76F" w:rsidR="009902D9" w:rsidRPr="0080251F" w:rsidRDefault="009902D9" w:rsidP="009902D9">
      <w:pPr>
        <w:spacing w:after="0" w:line="276" w:lineRule="auto"/>
        <w:ind w:firstLine="720"/>
        <w:jc w:val="right"/>
        <w:rPr>
          <w:rFonts w:ascii="Times New Roman" w:hAnsi="Times New Roman" w:cs="Times New Roman"/>
          <w:b/>
          <w:sz w:val="24"/>
          <w:szCs w:val="24"/>
          <w:lang w:val="ro-MD"/>
        </w:rPr>
      </w:pPr>
      <w:r w:rsidRPr="0080251F">
        <w:rPr>
          <w:rFonts w:ascii="Times New Roman" w:hAnsi="Times New Roman" w:cs="Times New Roman"/>
          <w:b/>
          <w:sz w:val="24"/>
          <w:szCs w:val="24"/>
          <w:lang w:val="ro-MD"/>
        </w:rPr>
        <w:t>Tabelul nr.3</w:t>
      </w:r>
    </w:p>
    <w:p w14:paraId="1F47E40F" w14:textId="234B06FD" w:rsidR="009902D9" w:rsidRPr="0080251F" w:rsidRDefault="009902D9" w:rsidP="0002513E">
      <w:pPr>
        <w:spacing w:after="0" w:line="276" w:lineRule="auto"/>
        <w:jc w:val="center"/>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Informația pr</w:t>
      </w:r>
      <w:r w:rsidR="007F7743" w:rsidRPr="0080251F">
        <w:rPr>
          <w:rFonts w:ascii="Times New Roman" w:hAnsi="Times New Roman" w:cs="Times New Roman"/>
          <w:b/>
          <w:bCs/>
          <w:sz w:val="24"/>
          <w:szCs w:val="24"/>
          <w:lang w:val="ro-MD"/>
        </w:rPr>
        <w:t>ivind ieșirile de mijloace fixe</w:t>
      </w:r>
    </w:p>
    <w:tbl>
      <w:tblPr>
        <w:tblStyle w:val="aa"/>
        <w:tblW w:w="9634" w:type="dxa"/>
        <w:tblLook w:val="04A0" w:firstRow="1" w:lastRow="0" w:firstColumn="1" w:lastColumn="0" w:noHBand="0" w:noVBand="1"/>
      </w:tblPr>
      <w:tblGrid>
        <w:gridCol w:w="5240"/>
        <w:gridCol w:w="1276"/>
        <w:gridCol w:w="1417"/>
        <w:gridCol w:w="1701"/>
      </w:tblGrid>
      <w:tr w:rsidR="009902D9" w:rsidRPr="0080251F" w14:paraId="3C0E1BC1" w14:textId="77777777" w:rsidTr="00290C84">
        <w:tc>
          <w:tcPr>
            <w:tcW w:w="5240" w:type="dxa"/>
            <w:shd w:val="clear" w:color="auto" w:fill="D9D9D9" w:themeFill="background1" w:themeFillShade="D9"/>
          </w:tcPr>
          <w:p w14:paraId="5ED56AC1" w14:textId="77777777" w:rsidR="009902D9" w:rsidRPr="0080251F" w:rsidRDefault="009902D9" w:rsidP="00290C84">
            <w:pPr>
              <w:spacing w:line="259" w:lineRule="auto"/>
              <w:rPr>
                <w:rFonts w:ascii="Times New Roman" w:hAnsi="Times New Roman" w:cs="Times New Roman"/>
                <w:b/>
                <w:sz w:val="20"/>
                <w:szCs w:val="20"/>
                <w:lang w:val="ro-MD"/>
              </w:rPr>
            </w:pPr>
            <w:r w:rsidRPr="0080251F">
              <w:rPr>
                <w:rFonts w:ascii="Times New Roman" w:hAnsi="Times New Roman" w:cs="Times New Roman"/>
                <w:b/>
                <w:sz w:val="20"/>
                <w:szCs w:val="20"/>
                <w:lang w:val="ro-MD"/>
              </w:rPr>
              <w:t>Categoria</w:t>
            </w:r>
          </w:p>
        </w:tc>
        <w:tc>
          <w:tcPr>
            <w:tcW w:w="1276" w:type="dxa"/>
            <w:shd w:val="clear" w:color="auto" w:fill="D9D9D9" w:themeFill="background1" w:themeFillShade="D9"/>
          </w:tcPr>
          <w:p w14:paraId="3C6D62B4" w14:textId="7135F824" w:rsidR="009902D9" w:rsidRPr="0080251F" w:rsidRDefault="009902D9" w:rsidP="001E594F">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2021</w:t>
            </w:r>
            <w:r w:rsidR="007F7743" w:rsidRPr="0080251F">
              <w:rPr>
                <w:rFonts w:ascii="Times New Roman" w:hAnsi="Times New Roman" w:cs="Times New Roman"/>
                <w:b/>
                <w:sz w:val="20"/>
                <w:szCs w:val="20"/>
                <w:lang w:val="ro-MD"/>
              </w:rPr>
              <w:t>, mii lei</w:t>
            </w:r>
          </w:p>
        </w:tc>
        <w:tc>
          <w:tcPr>
            <w:tcW w:w="1417" w:type="dxa"/>
            <w:shd w:val="clear" w:color="auto" w:fill="D9D9D9" w:themeFill="background1" w:themeFillShade="D9"/>
          </w:tcPr>
          <w:p w14:paraId="4B705F25" w14:textId="657F4B6D" w:rsidR="009902D9" w:rsidRPr="0080251F" w:rsidRDefault="009902D9" w:rsidP="001E594F">
            <w:pPr>
              <w:spacing w:line="259" w:lineRule="auto"/>
              <w:jc w:val="center"/>
              <w:rPr>
                <w:rFonts w:ascii="Times New Roman" w:hAnsi="Times New Roman" w:cs="Times New Roman"/>
                <w:b/>
                <w:sz w:val="20"/>
                <w:szCs w:val="20"/>
                <w:lang w:val="ro-MD"/>
              </w:rPr>
            </w:pPr>
            <w:r w:rsidRPr="0080251F">
              <w:rPr>
                <w:rFonts w:ascii="Times New Roman" w:hAnsi="Times New Roman" w:cs="Times New Roman"/>
                <w:b/>
                <w:sz w:val="20"/>
                <w:szCs w:val="20"/>
                <w:lang w:val="ro-MD"/>
              </w:rPr>
              <w:t>2022</w:t>
            </w:r>
            <w:r w:rsidR="007F7743" w:rsidRPr="0080251F">
              <w:rPr>
                <w:rFonts w:ascii="Times New Roman" w:hAnsi="Times New Roman" w:cs="Times New Roman"/>
                <w:b/>
                <w:sz w:val="20"/>
                <w:szCs w:val="20"/>
                <w:lang w:val="ro-MD"/>
              </w:rPr>
              <w:t>, mii lei</w:t>
            </w:r>
          </w:p>
        </w:tc>
        <w:tc>
          <w:tcPr>
            <w:tcW w:w="1701" w:type="dxa"/>
            <w:shd w:val="clear" w:color="auto" w:fill="D9D9D9" w:themeFill="background1" w:themeFillShade="D9"/>
          </w:tcPr>
          <w:p w14:paraId="30FEDA6C" w14:textId="23D4F86F" w:rsidR="009902D9" w:rsidRPr="0080251F" w:rsidRDefault="009902D9" w:rsidP="007F7743">
            <w:pPr>
              <w:spacing w:line="259" w:lineRule="auto"/>
              <w:jc w:val="center"/>
              <w:rPr>
                <w:rFonts w:ascii="Times New Roman" w:hAnsi="Times New Roman" w:cs="Times New Roman"/>
                <w:b/>
                <w:sz w:val="20"/>
                <w:szCs w:val="20"/>
                <w:lang w:val="ro-MD"/>
              </w:rPr>
            </w:pPr>
            <w:r w:rsidRPr="0080251F">
              <w:rPr>
                <w:rFonts w:ascii="Times New Roman" w:eastAsia="Times New Roman" w:hAnsi="Times New Roman" w:cs="Times New Roman"/>
                <w:b/>
                <w:color w:val="000000"/>
                <w:sz w:val="20"/>
                <w:szCs w:val="20"/>
                <w:lang w:val="ro-MD"/>
              </w:rPr>
              <w:t>Total</w:t>
            </w:r>
            <w:r w:rsidR="007F7743" w:rsidRPr="0080251F">
              <w:rPr>
                <w:rFonts w:ascii="Times New Roman" w:eastAsia="Times New Roman" w:hAnsi="Times New Roman" w:cs="Times New Roman"/>
                <w:b/>
                <w:color w:val="000000"/>
                <w:sz w:val="20"/>
                <w:szCs w:val="20"/>
                <w:lang w:val="ro-MD"/>
              </w:rPr>
              <w:t>, mii lei</w:t>
            </w:r>
            <w:r w:rsidRPr="0080251F">
              <w:rPr>
                <w:rFonts w:ascii="Times New Roman" w:eastAsia="Times New Roman" w:hAnsi="Times New Roman" w:cs="Times New Roman"/>
                <w:b/>
                <w:color w:val="000000"/>
                <w:sz w:val="20"/>
                <w:szCs w:val="20"/>
                <w:lang w:val="ro-MD"/>
              </w:rPr>
              <w:t xml:space="preserve"> </w:t>
            </w:r>
          </w:p>
        </w:tc>
      </w:tr>
      <w:tr w:rsidR="009902D9" w:rsidRPr="0080251F" w14:paraId="2CDB5AB4" w14:textId="77777777" w:rsidTr="00FF443B">
        <w:tc>
          <w:tcPr>
            <w:tcW w:w="5240" w:type="dxa"/>
          </w:tcPr>
          <w:p w14:paraId="044B8FA3" w14:textId="1ADB21B4" w:rsidR="009902D9" w:rsidRPr="0080251F" w:rsidRDefault="009902D9" w:rsidP="001E594F">
            <w:pPr>
              <w:spacing w:line="259" w:lineRule="auto"/>
              <w:jc w:val="both"/>
              <w:rPr>
                <w:rFonts w:ascii="Times New Roman" w:hAnsi="Times New Roman" w:cs="Times New Roman"/>
                <w:sz w:val="20"/>
                <w:szCs w:val="20"/>
                <w:lang w:val="ro-MD"/>
              </w:rPr>
            </w:pPr>
            <w:r w:rsidRPr="0080251F">
              <w:rPr>
                <w:rFonts w:ascii="Times New Roman" w:hAnsi="Times New Roman" w:cs="Times New Roman"/>
                <w:sz w:val="20"/>
                <w:szCs w:val="20"/>
                <w:lang w:val="ro-MD"/>
              </w:rPr>
              <w:t>Realizare</w:t>
            </w:r>
            <w:r w:rsidR="001A4D74" w:rsidRPr="0080251F">
              <w:rPr>
                <w:rFonts w:ascii="Times New Roman" w:hAnsi="Times New Roman" w:cs="Times New Roman"/>
                <w:sz w:val="20"/>
                <w:szCs w:val="20"/>
                <w:lang w:val="ro-MD"/>
              </w:rPr>
              <w:t>a</w:t>
            </w:r>
            <w:r w:rsidRPr="0080251F">
              <w:rPr>
                <w:rFonts w:ascii="Times New Roman" w:hAnsi="Times New Roman" w:cs="Times New Roman"/>
                <w:sz w:val="20"/>
                <w:szCs w:val="20"/>
                <w:lang w:val="ro-MD"/>
              </w:rPr>
              <w:t xml:space="preserve"> mijloacelor fixe</w:t>
            </w:r>
          </w:p>
        </w:tc>
        <w:tc>
          <w:tcPr>
            <w:tcW w:w="1276" w:type="dxa"/>
          </w:tcPr>
          <w:p w14:paraId="61D20F7E" w14:textId="77777777" w:rsidR="009902D9" w:rsidRPr="0080251F" w:rsidRDefault="009902D9" w:rsidP="001E594F">
            <w:pPr>
              <w:spacing w:line="259" w:lineRule="auto"/>
              <w:jc w:val="both"/>
              <w:rPr>
                <w:rFonts w:ascii="Times New Roman" w:hAnsi="Times New Roman" w:cs="Times New Roman"/>
                <w:sz w:val="20"/>
                <w:szCs w:val="20"/>
                <w:lang w:val="ro-MD"/>
              </w:rPr>
            </w:pPr>
          </w:p>
        </w:tc>
        <w:tc>
          <w:tcPr>
            <w:tcW w:w="1417" w:type="dxa"/>
          </w:tcPr>
          <w:p w14:paraId="52A94637" w14:textId="77777777" w:rsidR="009902D9" w:rsidRPr="0080251F" w:rsidRDefault="009902D9" w:rsidP="001E594F">
            <w:pPr>
              <w:spacing w:line="259" w:lineRule="auto"/>
              <w:jc w:val="right"/>
              <w:rPr>
                <w:rFonts w:ascii="Times New Roman" w:hAnsi="Times New Roman" w:cs="Times New Roman"/>
                <w:sz w:val="20"/>
                <w:szCs w:val="20"/>
                <w:lang w:val="ro-MD"/>
              </w:rPr>
            </w:pPr>
            <w:r w:rsidRPr="0080251F">
              <w:rPr>
                <w:rFonts w:ascii="Times New Roman" w:eastAsia="Times New Roman" w:hAnsi="Times New Roman" w:cs="Times New Roman"/>
                <w:color w:val="000000"/>
                <w:sz w:val="20"/>
                <w:szCs w:val="20"/>
                <w:lang w:val="ro-MD"/>
              </w:rPr>
              <w:t>194,3</w:t>
            </w:r>
          </w:p>
        </w:tc>
        <w:tc>
          <w:tcPr>
            <w:tcW w:w="1701" w:type="dxa"/>
            <w:shd w:val="clear" w:color="auto" w:fill="auto"/>
            <w:vAlign w:val="center"/>
          </w:tcPr>
          <w:p w14:paraId="42F785F8" w14:textId="77777777" w:rsidR="009902D9" w:rsidRPr="0080251F" w:rsidRDefault="009902D9" w:rsidP="001E594F">
            <w:pPr>
              <w:spacing w:line="259" w:lineRule="auto"/>
              <w:jc w:val="right"/>
              <w:rPr>
                <w:rFonts w:ascii="Times New Roman" w:hAnsi="Times New Roman" w:cs="Times New Roman"/>
                <w:color w:val="000000"/>
                <w:sz w:val="20"/>
                <w:szCs w:val="20"/>
                <w:lang w:val="ro-MD"/>
              </w:rPr>
            </w:pPr>
            <w:r w:rsidRPr="0080251F">
              <w:rPr>
                <w:rFonts w:ascii="Times New Roman" w:hAnsi="Times New Roman" w:cs="Times New Roman"/>
                <w:color w:val="000000"/>
                <w:sz w:val="20"/>
                <w:szCs w:val="20"/>
                <w:lang w:val="ro-MD"/>
              </w:rPr>
              <w:t>194,3</w:t>
            </w:r>
          </w:p>
        </w:tc>
      </w:tr>
      <w:tr w:rsidR="00AB6531" w:rsidRPr="0080251F" w14:paraId="038A0DD9" w14:textId="77777777" w:rsidTr="00FF443B">
        <w:tc>
          <w:tcPr>
            <w:tcW w:w="5240" w:type="dxa"/>
          </w:tcPr>
          <w:p w14:paraId="76337C89" w14:textId="63A55654" w:rsidR="00AB6531" w:rsidRPr="0080251F" w:rsidRDefault="00AB6531" w:rsidP="00AB6531">
            <w:pPr>
              <w:spacing w:line="259" w:lineRule="auto"/>
              <w:jc w:val="both"/>
              <w:rPr>
                <w:rFonts w:ascii="Times New Roman" w:hAnsi="Times New Roman" w:cs="Times New Roman"/>
                <w:sz w:val="20"/>
                <w:szCs w:val="20"/>
                <w:lang w:val="ro-MD"/>
              </w:rPr>
            </w:pPr>
            <w:r w:rsidRPr="0080251F">
              <w:rPr>
                <w:rFonts w:ascii="Times New Roman" w:hAnsi="Times New Roman" w:cs="Times New Roman"/>
                <w:sz w:val="20"/>
                <w:szCs w:val="20"/>
                <w:lang w:val="ro-MD"/>
              </w:rPr>
              <w:t>Casarea mijloacelor fixe</w:t>
            </w:r>
          </w:p>
        </w:tc>
        <w:tc>
          <w:tcPr>
            <w:tcW w:w="1276" w:type="dxa"/>
          </w:tcPr>
          <w:p w14:paraId="303D891C" w14:textId="77777777" w:rsidR="00AB6531" w:rsidRPr="0080251F" w:rsidRDefault="00AB6531" w:rsidP="00AB6531">
            <w:pPr>
              <w:spacing w:line="259" w:lineRule="auto"/>
              <w:jc w:val="right"/>
              <w:rPr>
                <w:rFonts w:ascii="Times New Roman" w:hAnsi="Times New Roman" w:cs="Times New Roman"/>
                <w:sz w:val="20"/>
                <w:szCs w:val="20"/>
                <w:lang w:val="ro-MD"/>
              </w:rPr>
            </w:pPr>
            <w:r w:rsidRPr="0080251F">
              <w:rPr>
                <w:rFonts w:ascii="Times New Roman" w:eastAsia="Times New Roman" w:hAnsi="Times New Roman" w:cs="Times New Roman"/>
                <w:color w:val="000000"/>
                <w:sz w:val="20"/>
                <w:szCs w:val="20"/>
                <w:lang w:val="ro-MD"/>
              </w:rPr>
              <w:t>6.243,5</w:t>
            </w:r>
          </w:p>
        </w:tc>
        <w:tc>
          <w:tcPr>
            <w:tcW w:w="1417" w:type="dxa"/>
          </w:tcPr>
          <w:p w14:paraId="43C1BC08" w14:textId="77777777" w:rsidR="00AB6531" w:rsidRPr="0080251F" w:rsidRDefault="00AB6531" w:rsidP="00AB6531">
            <w:pPr>
              <w:spacing w:line="259" w:lineRule="auto"/>
              <w:jc w:val="right"/>
              <w:rPr>
                <w:rFonts w:ascii="Times New Roman" w:hAnsi="Times New Roman" w:cs="Times New Roman"/>
                <w:sz w:val="20"/>
                <w:szCs w:val="20"/>
                <w:lang w:val="ro-MD"/>
              </w:rPr>
            </w:pPr>
            <w:r w:rsidRPr="0080251F">
              <w:rPr>
                <w:rFonts w:ascii="Times New Roman" w:eastAsia="Times New Roman" w:hAnsi="Times New Roman" w:cs="Times New Roman"/>
                <w:color w:val="000000"/>
                <w:sz w:val="20"/>
                <w:szCs w:val="20"/>
                <w:lang w:val="ro-MD"/>
              </w:rPr>
              <w:t>9.638,5</w:t>
            </w:r>
          </w:p>
        </w:tc>
        <w:tc>
          <w:tcPr>
            <w:tcW w:w="1701" w:type="dxa"/>
            <w:shd w:val="clear" w:color="auto" w:fill="auto"/>
            <w:vAlign w:val="center"/>
          </w:tcPr>
          <w:p w14:paraId="7A5755F8" w14:textId="730EFEF2" w:rsidR="00AB6531" w:rsidRPr="0080251F" w:rsidRDefault="00AB6531" w:rsidP="00AB6531">
            <w:pPr>
              <w:spacing w:line="259" w:lineRule="auto"/>
              <w:jc w:val="right"/>
              <w:rPr>
                <w:rFonts w:ascii="Times New Roman" w:hAnsi="Times New Roman" w:cs="Times New Roman"/>
                <w:color w:val="000000"/>
                <w:sz w:val="20"/>
                <w:szCs w:val="20"/>
                <w:lang w:val="ro-MD"/>
              </w:rPr>
            </w:pPr>
            <w:r w:rsidRPr="0080251F">
              <w:rPr>
                <w:rFonts w:ascii="Times New Roman" w:hAnsi="Times New Roman" w:cs="Times New Roman"/>
                <w:color w:val="000000"/>
                <w:sz w:val="20"/>
                <w:szCs w:val="20"/>
                <w:lang w:val="ro-MD"/>
              </w:rPr>
              <w:t>15.882,0</w:t>
            </w:r>
          </w:p>
        </w:tc>
      </w:tr>
      <w:tr w:rsidR="00AB6531" w:rsidRPr="0080251F" w14:paraId="2251F4B4" w14:textId="77777777" w:rsidTr="00FF443B">
        <w:tc>
          <w:tcPr>
            <w:tcW w:w="5240" w:type="dxa"/>
          </w:tcPr>
          <w:p w14:paraId="6241EFF5" w14:textId="2AEFD7DD" w:rsidR="00AB6531" w:rsidRPr="0080251F" w:rsidRDefault="00D47182" w:rsidP="00AB6531">
            <w:pPr>
              <w:spacing w:line="259" w:lineRule="auto"/>
              <w:jc w:val="both"/>
              <w:rPr>
                <w:rFonts w:ascii="Times New Roman" w:hAnsi="Times New Roman" w:cs="Times New Roman"/>
                <w:sz w:val="20"/>
                <w:szCs w:val="20"/>
                <w:lang w:val="ro-MD"/>
              </w:rPr>
            </w:pPr>
            <w:r w:rsidRPr="0080251F">
              <w:rPr>
                <w:rFonts w:ascii="Times New Roman" w:hAnsi="Times New Roman" w:cs="Times New Roman"/>
                <w:sz w:val="20"/>
                <w:szCs w:val="20"/>
                <w:lang w:val="ro-MD"/>
              </w:rPr>
              <w:t>Ieșirile</w:t>
            </w:r>
            <w:r w:rsidR="00AB6531" w:rsidRPr="0080251F">
              <w:rPr>
                <w:rFonts w:ascii="Times New Roman" w:hAnsi="Times New Roman" w:cs="Times New Roman"/>
                <w:sz w:val="20"/>
                <w:szCs w:val="20"/>
                <w:lang w:val="ro-MD"/>
              </w:rPr>
              <w:t xml:space="preserve"> după reclasificarea activelor</w:t>
            </w:r>
            <w:r w:rsidRPr="0080251F">
              <w:rPr>
                <w:rStyle w:val="a5"/>
                <w:rFonts w:ascii="Times New Roman" w:hAnsi="Times New Roman" w:cs="Times New Roman"/>
                <w:sz w:val="20"/>
                <w:szCs w:val="20"/>
                <w:lang w:val="ro-MD"/>
              </w:rPr>
              <w:footnoteReference w:id="16"/>
            </w:r>
          </w:p>
        </w:tc>
        <w:tc>
          <w:tcPr>
            <w:tcW w:w="1276" w:type="dxa"/>
          </w:tcPr>
          <w:p w14:paraId="169F77B4" w14:textId="77777777" w:rsidR="00AB6531" w:rsidRPr="0080251F" w:rsidRDefault="00AB6531" w:rsidP="00AB6531">
            <w:pPr>
              <w:spacing w:line="259" w:lineRule="auto"/>
              <w:jc w:val="right"/>
              <w:rPr>
                <w:rFonts w:ascii="Times New Roman" w:hAnsi="Times New Roman" w:cs="Times New Roman"/>
                <w:sz w:val="20"/>
                <w:szCs w:val="20"/>
                <w:lang w:val="ro-MD"/>
              </w:rPr>
            </w:pPr>
            <w:r w:rsidRPr="0080251F">
              <w:rPr>
                <w:rFonts w:ascii="Times New Roman" w:eastAsia="Times New Roman" w:hAnsi="Times New Roman" w:cs="Times New Roman"/>
                <w:color w:val="000000"/>
                <w:sz w:val="20"/>
                <w:szCs w:val="20"/>
                <w:lang w:val="ro-MD"/>
              </w:rPr>
              <w:t>51.430,7</w:t>
            </w:r>
          </w:p>
        </w:tc>
        <w:tc>
          <w:tcPr>
            <w:tcW w:w="1417" w:type="dxa"/>
          </w:tcPr>
          <w:p w14:paraId="7EBFE4DE" w14:textId="77777777" w:rsidR="00AB6531" w:rsidRPr="0080251F" w:rsidRDefault="00AB6531" w:rsidP="00AB6531">
            <w:pPr>
              <w:spacing w:line="259" w:lineRule="auto"/>
              <w:jc w:val="right"/>
              <w:rPr>
                <w:rFonts w:ascii="Times New Roman" w:hAnsi="Times New Roman" w:cs="Times New Roman"/>
                <w:sz w:val="20"/>
                <w:szCs w:val="20"/>
                <w:lang w:val="ro-MD"/>
              </w:rPr>
            </w:pPr>
            <w:r w:rsidRPr="0080251F">
              <w:rPr>
                <w:rFonts w:ascii="Times New Roman" w:eastAsia="Times New Roman" w:hAnsi="Times New Roman" w:cs="Times New Roman"/>
                <w:color w:val="000000"/>
                <w:sz w:val="20"/>
                <w:szCs w:val="20"/>
                <w:lang w:val="ro-MD"/>
              </w:rPr>
              <w:t>10.889,3</w:t>
            </w:r>
          </w:p>
        </w:tc>
        <w:tc>
          <w:tcPr>
            <w:tcW w:w="1701" w:type="dxa"/>
            <w:shd w:val="clear" w:color="auto" w:fill="auto"/>
            <w:vAlign w:val="center"/>
          </w:tcPr>
          <w:p w14:paraId="22BC067F" w14:textId="32C85BC6" w:rsidR="00AB6531" w:rsidRPr="0080251F" w:rsidRDefault="00AB6531" w:rsidP="00AB6531">
            <w:pPr>
              <w:spacing w:line="259" w:lineRule="auto"/>
              <w:jc w:val="right"/>
              <w:rPr>
                <w:rFonts w:ascii="Times New Roman" w:hAnsi="Times New Roman" w:cs="Times New Roman"/>
                <w:color w:val="000000"/>
                <w:sz w:val="20"/>
                <w:szCs w:val="20"/>
                <w:lang w:val="ro-MD"/>
              </w:rPr>
            </w:pPr>
            <w:r w:rsidRPr="0080251F">
              <w:rPr>
                <w:rFonts w:ascii="Times New Roman" w:hAnsi="Times New Roman" w:cs="Times New Roman"/>
                <w:color w:val="000000"/>
                <w:sz w:val="20"/>
                <w:szCs w:val="20"/>
                <w:lang w:val="ro-MD"/>
              </w:rPr>
              <w:t>62.320,0</w:t>
            </w:r>
          </w:p>
        </w:tc>
      </w:tr>
      <w:tr w:rsidR="00AB6531" w:rsidRPr="0080251F" w14:paraId="4B953581" w14:textId="77777777" w:rsidTr="00FF443B">
        <w:tc>
          <w:tcPr>
            <w:tcW w:w="5240" w:type="dxa"/>
          </w:tcPr>
          <w:p w14:paraId="3D256A91" w14:textId="2DA4EF35" w:rsidR="00AB6531" w:rsidRPr="0080251F" w:rsidRDefault="00AB6531" w:rsidP="00AB6531">
            <w:pPr>
              <w:spacing w:line="259" w:lineRule="auto"/>
              <w:jc w:val="both"/>
              <w:rPr>
                <w:rFonts w:ascii="Times New Roman" w:hAnsi="Times New Roman" w:cs="Times New Roman"/>
                <w:sz w:val="20"/>
                <w:szCs w:val="20"/>
                <w:lang w:val="ro-MD"/>
              </w:rPr>
            </w:pPr>
            <w:r w:rsidRPr="0080251F">
              <w:rPr>
                <w:rFonts w:ascii="Times New Roman" w:hAnsi="Times New Roman" w:cs="Times New Roman"/>
                <w:sz w:val="20"/>
                <w:szCs w:val="20"/>
                <w:lang w:val="ro-MD"/>
              </w:rPr>
              <w:t>Alte corectări</w:t>
            </w:r>
            <w:r w:rsidR="00EC6943" w:rsidRPr="0080251F">
              <w:rPr>
                <w:rStyle w:val="a5"/>
                <w:rFonts w:ascii="Times New Roman" w:hAnsi="Times New Roman" w:cs="Times New Roman"/>
                <w:sz w:val="20"/>
                <w:szCs w:val="20"/>
                <w:lang w:val="ro-MD"/>
              </w:rPr>
              <w:footnoteReference w:id="17"/>
            </w:r>
          </w:p>
        </w:tc>
        <w:tc>
          <w:tcPr>
            <w:tcW w:w="1276" w:type="dxa"/>
          </w:tcPr>
          <w:p w14:paraId="5F7619F6" w14:textId="77777777" w:rsidR="00AB6531" w:rsidRPr="0080251F" w:rsidRDefault="00AB6531" w:rsidP="00AB6531">
            <w:pPr>
              <w:spacing w:line="259" w:lineRule="auto"/>
              <w:jc w:val="right"/>
              <w:rPr>
                <w:rFonts w:ascii="Times New Roman" w:hAnsi="Times New Roman" w:cs="Times New Roman"/>
                <w:sz w:val="20"/>
                <w:szCs w:val="20"/>
                <w:lang w:val="ro-MD"/>
              </w:rPr>
            </w:pPr>
            <w:r w:rsidRPr="0080251F">
              <w:rPr>
                <w:rFonts w:ascii="Times New Roman" w:eastAsia="Times New Roman" w:hAnsi="Times New Roman" w:cs="Times New Roman"/>
                <w:color w:val="000000"/>
                <w:sz w:val="20"/>
                <w:szCs w:val="20"/>
                <w:lang w:val="ro-MD"/>
              </w:rPr>
              <w:t>9.718,4</w:t>
            </w:r>
          </w:p>
        </w:tc>
        <w:tc>
          <w:tcPr>
            <w:tcW w:w="1417" w:type="dxa"/>
          </w:tcPr>
          <w:p w14:paraId="50CED1AD" w14:textId="77777777" w:rsidR="00AB6531" w:rsidRPr="0080251F" w:rsidRDefault="00AB6531" w:rsidP="00AB6531">
            <w:pPr>
              <w:spacing w:line="259" w:lineRule="auto"/>
              <w:jc w:val="right"/>
              <w:rPr>
                <w:rFonts w:ascii="Times New Roman" w:hAnsi="Times New Roman" w:cs="Times New Roman"/>
                <w:sz w:val="20"/>
                <w:szCs w:val="20"/>
                <w:lang w:val="ro-MD"/>
              </w:rPr>
            </w:pPr>
            <w:r w:rsidRPr="0080251F">
              <w:rPr>
                <w:rFonts w:ascii="Times New Roman" w:eastAsia="Times New Roman" w:hAnsi="Times New Roman" w:cs="Times New Roman"/>
                <w:color w:val="000000"/>
                <w:sz w:val="20"/>
                <w:szCs w:val="20"/>
                <w:lang w:val="ro-MD"/>
              </w:rPr>
              <w:t>13.260,2</w:t>
            </w:r>
          </w:p>
        </w:tc>
        <w:tc>
          <w:tcPr>
            <w:tcW w:w="1701" w:type="dxa"/>
            <w:shd w:val="clear" w:color="auto" w:fill="auto"/>
            <w:vAlign w:val="center"/>
          </w:tcPr>
          <w:p w14:paraId="294EB57D" w14:textId="74FF2798" w:rsidR="00AB6531" w:rsidRPr="0080251F" w:rsidRDefault="00AB6531" w:rsidP="00AB6531">
            <w:pPr>
              <w:spacing w:line="259" w:lineRule="auto"/>
              <w:jc w:val="right"/>
              <w:rPr>
                <w:rFonts w:ascii="Times New Roman" w:hAnsi="Times New Roman" w:cs="Times New Roman"/>
                <w:color w:val="000000"/>
                <w:sz w:val="20"/>
                <w:szCs w:val="20"/>
                <w:lang w:val="ro-MD"/>
              </w:rPr>
            </w:pPr>
            <w:r w:rsidRPr="0080251F">
              <w:rPr>
                <w:rFonts w:ascii="Times New Roman" w:hAnsi="Times New Roman" w:cs="Times New Roman"/>
                <w:color w:val="000000"/>
                <w:sz w:val="20"/>
                <w:szCs w:val="20"/>
                <w:lang w:val="ro-MD"/>
              </w:rPr>
              <w:t>22.978,6</w:t>
            </w:r>
          </w:p>
        </w:tc>
      </w:tr>
      <w:tr w:rsidR="00AB6531" w:rsidRPr="0080251F" w14:paraId="4AE3984A" w14:textId="77777777" w:rsidTr="00FF443B">
        <w:tc>
          <w:tcPr>
            <w:tcW w:w="5240" w:type="dxa"/>
          </w:tcPr>
          <w:p w14:paraId="36327F70" w14:textId="77777777" w:rsidR="00AB6531" w:rsidRPr="0080251F" w:rsidRDefault="00AB6531" w:rsidP="00AB6531">
            <w:pPr>
              <w:spacing w:line="259" w:lineRule="auto"/>
              <w:jc w:val="both"/>
              <w:rPr>
                <w:rFonts w:ascii="Times New Roman" w:hAnsi="Times New Roman" w:cs="Times New Roman"/>
                <w:b/>
                <w:sz w:val="20"/>
                <w:szCs w:val="20"/>
                <w:lang w:val="ro-MD"/>
              </w:rPr>
            </w:pPr>
            <w:r w:rsidRPr="0080251F">
              <w:rPr>
                <w:rFonts w:ascii="Times New Roman" w:hAnsi="Times New Roman" w:cs="Times New Roman"/>
                <w:b/>
                <w:sz w:val="20"/>
                <w:szCs w:val="20"/>
                <w:lang w:val="ro-MD"/>
              </w:rPr>
              <w:t>Total</w:t>
            </w:r>
          </w:p>
        </w:tc>
        <w:tc>
          <w:tcPr>
            <w:tcW w:w="1276" w:type="dxa"/>
          </w:tcPr>
          <w:p w14:paraId="4A4FC2E7" w14:textId="77777777" w:rsidR="00AB6531" w:rsidRPr="0080251F" w:rsidRDefault="00AB6531" w:rsidP="00AB6531">
            <w:pPr>
              <w:spacing w:line="259" w:lineRule="auto"/>
              <w:jc w:val="right"/>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67.392,6</w:t>
            </w:r>
          </w:p>
        </w:tc>
        <w:tc>
          <w:tcPr>
            <w:tcW w:w="1417" w:type="dxa"/>
          </w:tcPr>
          <w:p w14:paraId="70F5023D" w14:textId="77777777" w:rsidR="00AB6531" w:rsidRPr="0080251F" w:rsidRDefault="00AB6531" w:rsidP="00AB6531">
            <w:pPr>
              <w:spacing w:line="259" w:lineRule="auto"/>
              <w:jc w:val="right"/>
              <w:rPr>
                <w:rFonts w:ascii="Times New Roman" w:hAnsi="Times New Roman" w:cs="Times New Roman"/>
                <w:b/>
                <w:sz w:val="20"/>
                <w:szCs w:val="20"/>
                <w:lang w:val="ro-MD"/>
              </w:rPr>
            </w:pPr>
            <w:r w:rsidRPr="0080251F">
              <w:rPr>
                <w:rFonts w:ascii="Times New Roman" w:eastAsia="Times New Roman" w:hAnsi="Times New Roman" w:cs="Times New Roman"/>
                <w:b/>
                <w:color w:val="000000"/>
                <w:sz w:val="20"/>
                <w:szCs w:val="20"/>
                <w:lang w:val="ro-MD"/>
              </w:rPr>
              <w:t>33.982,4</w:t>
            </w:r>
          </w:p>
        </w:tc>
        <w:tc>
          <w:tcPr>
            <w:tcW w:w="1701" w:type="dxa"/>
            <w:shd w:val="clear" w:color="auto" w:fill="auto"/>
            <w:vAlign w:val="center"/>
          </w:tcPr>
          <w:p w14:paraId="0263D4B3" w14:textId="1AD2960D" w:rsidR="00AB6531" w:rsidRPr="0080251F" w:rsidRDefault="00AB6531" w:rsidP="00AB6531">
            <w:pPr>
              <w:spacing w:line="259" w:lineRule="auto"/>
              <w:jc w:val="right"/>
              <w:rPr>
                <w:rFonts w:ascii="Times New Roman" w:hAnsi="Times New Roman" w:cs="Times New Roman"/>
                <w:color w:val="000000"/>
                <w:sz w:val="20"/>
                <w:szCs w:val="20"/>
                <w:lang w:val="ro-MD"/>
              </w:rPr>
            </w:pPr>
            <w:r w:rsidRPr="0080251F">
              <w:rPr>
                <w:rFonts w:ascii="Times New Roman" w:hAnsi="Times New Roman" w:cs="Times New Roman"/>
                <w:b/>
                <w:color w:val="000000"/>
                <w:sz w:val="20"/>
                <w:szCs w:val="20"/>
                <w:lang w:val="ro-MD"/>
              </w:rPr>
              <w:t>101.375,0</w:t>
            </w:r>
          </w:p>
        </w:tc>
      </w:tr>
    </w:tbl>
    <w:p w14:paraId="185630BF" w14:textId="51F8C1D7" w:rsidR="009902D9" w:rsidRPr="0080251F" w:rsidRDefault="009902D9" w:rsidP="00F336EB">
      <w:pPr>
        <w:jc w:val="both"/>
        <w:rPr>
          <w:rFonts w:ascii="Times New Roman" w:eastAsia="Times New Roman" w:hAnsi="Times New Roman" w:cs="Times New Roman"/>
          <w:sz w:val="20"/>
          <w:szCs w:val="20"/>
          <w:lang w:val="ro-MD"/>
        </w:rPr>
      </w:pPr>
      <w:r w:rsidRPr="0080251F">
        <w:rPr>
          <w:rFonts w:ascii="Times New Roman" w:eastAsia="Times New Roman" w:hAnsi="Times New Roman" w:cs="Times New Roman"/>
          <w:b/>
          <w:i/>
          <w:sz w:val="20"/>
          <w:szCs w:val="20"/>
          <w:lang w:val="ro-MD"/>
        </w:rPr>
        <w:t>Sursa:</w:t>
      </w:r>
      <w:r w:rsidR="00DA13DB" w:rsidRPr="0080251F">
        <w:rPr>
          <w:rFonts w:ascii="Times New Roman" w:eastAsia="Times New Roman" w:hAnsi="Times New Roman" w:cs="Times New Roman"/>
          <w:i/>
          <w:sz w:val="20"/>
          <w:szCs w:val="20"/>
          <w:lang w:val="ro-MD"/>
        </w:rPr>
        <w:t xml:space="preserve"> Raportul</w:t>
      </w:r>
      <w:r w:rsidRPr="0080251F">
        <w:rPr>
          <w:rFonts w:ascii="Times New Roman" w:eastAsia="Times New Roman" w:hAnsi="Times New Roman" w:cs="Times New Roman"/>
          <w:i/>
          <w:sz w:val="20"/>
          <w:szCs w:val="20"/>
          <w:lang w:val="ro-MD"/>
        </w:rPr>
        <w:t xml:space="preserve"> privind activele imobilizate ale S</w:t>
      </w:r>
      <w:r w:rsidR="0027629F" w:rsidRPr="0080251F">
        <w:rPr>
          <w:rFonts w:ascii="Times New Roman" w:eastAsia="Times New Roman" w:hAnsi="Times New Roman" w:cs="Times New Roman"/>
          <w:i/>
          <w:sz w:val="20"/>
          <w:szCs w:val="20"/>
          <w:lang w:val="ro-MD"/>
        </w:rPr>
        <w:t>.</w:t>
      </w:r>
      <w:r w:rsidRPr="0080251F">
        <w:rPr>
          <w:rFonts w:ascii="Times New Roman" w:eastAsia="Times New Roman" w:hAnsi="Times New Roman" w:cs="Times New Roman"/>
          <w:i/>
          <w:sz w:val="20"/>
          <w:szCs w:val="20"/>
          <w:lang w:val="ro-MD"/>
        </w:rPr>
        <w:t>A</w:t>
      </w:r>
      <w:r w:rsidR="0027629F" w:rsidRPr="0080251F">
        <w:rPr>
          <w:rFonts w:ascii="Times New Roman" w:eastAsia="Times New Roman" w:hAnsi="Times New Roman" w:cs="Times New Roman"/>
          <w:i/>
          <w:sz w:val="20"/>
          <w:szCs w:val="20"/>
          <w:lang w:val="ro-MD"/>
        </w:rPr>
        <w:t>.</w:t>
      </w:r>
      <w:r w:rsidRPr="0080251F">
        <w:rPr>
          <w:rFonts w:ascii="Times New Roman" w:eastAsia="Times New Roman" w:hAnsi="Times New Roman" w:cs="Times New Roman"/>
          <w:i/>
          <w:sz w:val="20"/>
          <w:szCs w:val="20"/>
          <w:lang w:val="ro-MD"/>
        </w:rPr>
        <w:t xml:space="preserve"> </w:t>
      </w:r>
      <w:r w:rsidR="0027629F" w:rsidRPr="0080251F">
        <w:rPr>
          <w:rFonts w:ascii="Times New Roman" w:eastAsia="Times New Roman" w:hAnsi="Times New Roman" w:cs="Times New Roman"/>
          <w:i/>
          <w:sz w:val="20"/>
          <w:szCs w:val="20"/>
          <w:lang w:val="ro-MD"/>
        </w:rPr>
        <w:t>„</w:t>
      </w:r>
      <w:r w:rsidRPr="0080251F">
        <w:rPr>
          <w:rFonts w:ascii="Times New Roman" w:eastAsia="Times New Roman" w:hAnsi="Times New Roman" w:cs="Times New Roman"/>
          <w:i/>
          <w:sz w:val="20"/>
          <w:szCs w:val="20"/>
          <w:lang w:val="ro-MD"/>
        </w:rPr>
        <w:t>RED-Nord</w:t>
      </w:r>
      <w:r w:rsidR="0027629F" w:rsidRPr="0080251F">
        <w:rPr>
          <w:rFonts w:ascii="Times New Roman" w:eastAsia="Times New Roman" w:hAnsi="Times New Roman" w:cs="Times New Roman"/>
          <w:i/>
          <w:sz w:val="20"/>
          <w:szCs w:val="20"/>
          <w:lang w:val="ro-MD"/>
        </w:rPr>
        <w:t>”</w:t>
      </w:r>
      <w:r w:rsidRPr="0080251F">
        <w:rPr>
          <w:rFonts w:ascii="Times New Roman" w:eastAsia="Times New Roman" w:hAnsi="Times New Roman" w:cs="Times New Roman"/>
          <w:i/>
          <w:sz w:val="20"/>
          <w:szCs w:val="20"/>
          <w:lang w:val="ro-MD"/>
        </w:rPr>
        <w:t xml:space="preserve"> pentru anii 2021-2022</w:t>
      </w:r>
      <w:r w:rsidR="001E594F" w:rsidRPr="0080251F">
        <w:rPr>
          <w:rFonts w:ascii="Times New Roman" w:eastAsia="Times New Roman" w:hAnsi="Times New Roman" w:cs="Times New Roman"/>
          <w:sz w:val="20"/>
          <w:szCs w:val="20"/>
          <w:lang w:val="ro-MD"/>
        </w:rPr>
        <w:t>.</w:t>
      </w:r>
    </w:p>
    <w:p w14:paraId="36AD2776" w14:textId="44470F22" w:rsidR="00AB6531" w:rsidRPr="0080251F" w:rsidRDefault="00AB6531" w:rsidP="00AB6531">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În perioada auditată</w:t>
      </w:r>
      <w:r w:rsidR="0027629F"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entitatea a înregistrat intrări de alte active (cheltuieli anticipate pe termen lung) în sumă totală de 68,9 mil. lei, inclusiv în anul 2021 – 61,9 mil. lei</w:t>
      </w:r>
      <w:r w:rsidR="00FB6EE0"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în anul 2022 – 7,0 mil. lei. În ani</w:t>
      </w:r>
      <w:r w:rsidR="00FB6EE0" w:rsidRPr="0080251F">
        <w:rPr>
          <w:rFonts w:ascii="Times New Roman" w:hAnsi="Times New Roman" w:cs="Times New Roman"/>
          <w:sz w:val="24"/>
          <w:szCs w:val="24"/>
          <w:lang w:val="ro-MD"/>
        </w:rPr>
        <w:t>i</w:t>
      </w:r>
      <w:r w:rsidRPr="0080251F">
        <w:rPr>
          <w:rFonts w:ascii="Times New Roman" w:hAnsi="Times New Roman" w:cs="Times New Roman"/>
          <w:sz w:val="24"/>
          <w:szCs w:val="24"/>
          <w:lang w:val="ro-MD"/>
        </w:rPr>
        <w:t xml:space="preserve"> 2021-2022, ieșirile de alte active (cheltuieli anticipate pe termen lung) au fost înregistrate în sumă totală de 66,5 mil. lei, inclusiv în anul 2021 – 59,0 mil. lei</w:t>
      </w:r>
      <w:r w:rsidR="00FB6EE0"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în anul 2022 – 7,5 mil. lei. </w:t>
      </w:r>
    </w:p>
    <w:p w14:paraId="6DBCEA76" w14:textId="2BCF98BC" w:rsidR="001776BD" w:rsidRPr="0080251F" w:rsidRDefault="00AB6531" w:rsidP="00AB6531">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În cadrul procedurilor de audit au fost constatate următoarele situații ce țin de evidența și raportarea conformă a activelor imobilizate</w:t>
      </w:r>
      <w:r w:rsidR="005D7DD9" w:rsidRPr="0080251F">
        <w:rPr>
          <w:rFonts w:ascii="Times New Roman" w:hAnsi="Times New Roman" w:cs="Times New Roman"/>
          <w:sz w:val="24"/>
          <w:szCs w:val="24"/>
          <w:lang w:val="ro-MD"/>
        </w:rPr>
        <w:t xml:space="preserve">. </w:t>
      </w:r>
    </w:p>
    <w:p w14:paraId="0B0F2124" w14:textId="751C5634" w:rsidR="005B5F03" w:rsidRPr="0080251F" w:rsidRDefault="008733DA" w:rsidP="0006122D">
      <w:pPr>
        <w:spacing w:after="0" w:line="276" w:lineRule="auto"/>
        <w:jc w:val="both"/>
        <w:rPr>
          <w:rFonts w:ascii="Times New Roman" w:hAnsi="Times New Roman" w:cs="Times New Roman"/>
          <w:b/>
          <w:i/>
          <w:sz w:val="24"/>
          <w:szCs w:val="24"/>
          <w:lang w:val="ro-MD"/>
        </w:rPr>
      </w:pPr>
      <w:r w:rsidRPr="0080251F">
        <w:rPr>
          <w:rFonts w:ascii="Times New Roman" w:hAnsi="Times New Roman" w:cs="Times New Roman"/>
          <w:b/>
          <w:i/>
          <w:sz w:val="24"/>
          <w:szCs w:val="24"/>
          <w:lang w:val="ro-MD"/>
        </w:rPr>
        <w:t>4.</w:t>
      </w:r>
      <w:r w:rsidR="00396134" w:rsidRPr="0080251F">
        <w:rPr>
          <w:rFonts w:ascii="Times New Roman" w:hAnsi="Times New Roman" w:cs="Times New Roman"/>
          <w:b/>
          <w:i/>
          <w:sz w:val="24"/>
          <w:szCs w:val="24"/>
          <w:lang w:val="ro-MD"/>
        </w:rPr>
        <w:t>1.1</w:t>
      </w:r>
      <w:r w:rsidRPr="0080251F">
        <w:rPr>
          <w:rFonts w:ascii="Times New Roman" w:hAnsi="Times New Roman" w:cs="Times New Roman"/>
          <w:b/>
          <w:i/>
          <w:sz w:val="24"/>
          <w:szCs w:val="24"/>
          <w:lang w:val="ro-MD"/>
        </w:rPr>
        <w:t xml:space="preserve">. </w:t>
      </w:r>
      <w:r w:rsidR="00B00147" w:rsidRPr="0080251F">
        <w:rPr>
          <w:rFonts w:ascii="Times New Roman" w:hAnsi="Times New Roman" w:cs="Times New Roman"/>
          <w:b/>
          <w:i/>
          <w:sz w:val="24"/>
          <w:szCs w:val="24"/>
          <w:lang w:val="ro-MD"/>
        </w:rPr>
        <w:t>Aplicarea neconformă a reglementărilor normative</w:t>
      </w:r>
      <w:r w:rsidR="003E7776" w:rsidRPr="0080251F">
        <w:rPr>
          <w:rStyle w:val="a5"/>
          <w:rFonts w:ascii="Times New Roman" w:hAnsi="Times New Roman" w:cs="Times New Roman"/>
          <w:b/>
          <w:i/>
          <w:sz w:val="24"/>
          <w:szCs w:val="24"/>
          <w:lang w:val="ro-MD"/>
        </w:rPr>
        <w:footnoteReference w:id="18"/>
      </w:r>
      <w:r w:rsidR="00B00147" w:rsidRPr="0080251F">
        <w:rPr>
          <w:rFonts w:ascii="Times New Roman" w:hAnsi="Times New Roman" w:cs="Times New Roman"/>
          <w:b/>
          <w:i/>
          <w:sz w:val="24"/>
          <w:szCs w:val="24"/>
          <w:lang w:val="ro-MD"/>
        </w:rPr>
        <w:t xml:space="preserve"> cu privire la evidența terenurilor a determinat necontabilizarea patrimoniului deținut în valoare de 275,5 mii lei și atribuirea/raportarea neconformă la active imobilizate a terenurilor </w:t>
      </w:r>
      <w:r w:rsidR="009E0928" w:rsidRPr="0080251F">
        <w:rPr>
          <w:rFonts w:ascii="Times New Roman" w:hAnsi="Times New Roman" w:cs="Times New Roman"/>
          <w:b/>
          <w:i/>
          <w:sz w:val="24"/>
          <w:szCs w:val="24"/>
          <w:lang w:val="ro-MD"/>
        </w:rPr>
        <w:t xml:space="preserve">proprietate </w:t>
      </w:r>
      <w:r w:rsidR="00FB6EE0" w:rsidRPr="0080251F">
        <w:rPr>
          <w:rFonts w:ascii="Times New Roman" w:hAnsi="Times New Roman" w:cs="Times New Roman"/>
          <w:b/>
          <w:i/>
          <w:sz w:val="24"/>
          <w:szCs w:val="24"/>
          <w:lang w:val="ro-MD"/>
        </w:rPr>
        <w:t xml:space="preserve">a </w:t>
      </w:r>
      <w:r w:rsidR="009E0928" w:rsidRPr="0080251F">
        <w:rPr>
          <w:rFonts w:ascii="Times New Roman" w:hAnsi="Times New Roman" w:cs="Times New Roman"/>
          <w:b/>
          <w:i/>
          <w:sz w:val="24"/>
          <w:szCs w:val="24"/>
          <w:lang w:val="ro-MD"/>
        </w:rPr>
        <w:t xml:space="preserve">APL </w:t>
      </w:r>
      <w:r w:rsidR="00B00147" w:rsidRPr="0080251F">
        <w:rPr>
          <w:rFonts w:ascii="Times New Roman" w:hAnsi="Times New Roman" w:cs="Times New Roman"/>
          <w:b/>
          <w:i/>
          <w:sz w:val="24"/>
          <w:szCs w:val="24"/>
          <w:lang w:val="ro-MD"/>
        </w:rPr>
        <w:t>deținute cu dreptul d</w:t>
      </w:r>
      <w:r w:rsidR="00AB6531" w:rsidRPr="0080251F">
        <w:rPr>
          <w:rFonts w:ascii="Times New Roman" w:hAnsi="Times New Roman" w:cs="Times New Roman"/>
          <w:b/>
          <w:i/>
          <w:sz w:val="24"/>
          <w:szCs w:val="24"/>
          <w:lang w:val="ro-MD"/>
        </w:rPr>
        <w:t>e folosință în valoare de 5,2 mil.</w:t>
      </w:r>
      <w:r w:rsidR="00B00147" w:rsidRPr="0080251F">
        <w:rPr>
          <w:rFonts w:ascii="Times New Roman" w:hAnsi="Times New Roman" w:cs="Times New Roman"/>
          <w:b/>
          <w:i/>
          <w:sz w:val="24"/>
          <w:szCs w:val="24"/>
          <w:lang w:val="ro-MD"/>
        </w:rPr>
        <w:t xml:space="preserve"> lei</w:t>
      </w:r>
      <w:r w:rsidRPr="0080251F">
        <w:rPr>
          <w:rFonts w:ascii="Times New Roman" w:hAnsi="Times New Roman" w:cs="Times New Roman"/>
          <w:b/>
          <w:i/>
          <w:sz w:val="24"/>
          <w:szCs w:val="24"/>
          <w:lang w:val="ro-MD"/>
        </w:rPr>
        <w:t>.</w:t>
      </w:r>
    </w:p>
    <w:p w14:paraId="391E7EF2" w14:textId="5B23F456" w:rsidR="00101CD6" w:rsidRPr="0080251F" w:rsidRDefault="00101CD6" w:rsidP="00481287">
      <w:pPr>
        <w:tabs>
          <w:tab w:val="left" w:pos="709"/>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Conform datelor evidenței contabile, la data de 31.12.2022, S.A. „RED-Nord” </w:t>
      </w:r>
      <w:r w:rsidR="00E61988" w:rsidRPr="0080251F">
        <w:rPr>
          <w:rFonts w:ascii="Times New Roman" w:hAnsi="Times New Roman" w:cs="Times New Roman"/>
          <w:sz w:val="24"/>
          <w:szCs w:val="24"/>
          <w:lang w:val="ro-MD"/>
        </w:rPr>
        <w:t>a administrat</w:t>
      </w:r>
      <w:r w:rsidRPr="0080251F">
        <w:rPr>
          <w:rFonts w:ascii="Times New Roman" w:hAnsi="Times New Roman" w:cs="Times New Roman"/>
          <w:sz w:val="24"/>
          <w:szCs w:val="24"/>
          <w:lang w:val="ro-MD"/>
        </w:rPr>
        <w:t xml:space="preserve"> 5509 loturi de </w:t>
      </w:r>
      <w:r w:rsidR="001E3ACC" w:rsidRPr="0080251F">
        <w:rPr>
          <w:rFonts w:ascii="Times New Roman" w:hAnsi="Times New Roman" w:cs="Times New Roman"/>
          <w:sz w:val="24"/>
          <w:szCs w:val="24"/>
          <w:lang w:val="ro-MD"/>
        </w:rPr>
        <w:t>teren cu suprafața</w:t>
      </w:r>
      <w:r w:rsidR="00BD3AF5" w:rsidRPr="0080251F">
        <w:rPr>
          <w:rFonts w:ascii="Times New Roman" w:hAnsi="Times New Roman" w:cs="Times New Roman"/>
          <w:sz w:val="24"/>
          <w:szCs w:val="24"/>
          <w:lang w:val="ro-MD"/>
        </w:rPr>
        <w:t xml:space="preserve"> totală de 38,</w:t>
      </w:r>
      <w:r w:rsidRPr="0080251F">
        <w:rPr>
          <w:rFonts w:ascii="Times New Roman" w:hAnsi="Times New Roman" w:cs="Times New Roman"/>
          <w:sz w:val="24"/>
          <w:szCs w:val="24"/>
          <w:lang w:val="ro-MD"/>
        </w:rPr>
        <w:t>0011 ha și valoarea de bilanț de 5</w:t>
      </w:r>
      <w:r w:rsidR="001E3ACC" w:rsidRPr="0080251F">
        <w:rPr>
          <w:rFonts w:ascii="Times New Roman" w:hAnsi="Times New Roman" w:cs="Times New Roman"/>
          <w:sz w:val="24"/>
          <w:szCs w:val="24"/>
          <w:lang w:val="ro-MD"/>
        </w:rPr>
        <w:t>,2 mil.</w:t>
      </w:r>
      <w:r w:rsidRPr="0080251F">
        <w:rPr>
          <w:rFonts w:ascii="Times New Roman" w:hAnsi="Times New Roman" w:cs="Times New Roman"/>
          <w:sz w:val="24"/>
          <w:szCs w:val="24"/>
          <w:lang w:val="ro-MD"/>
        </w:rPr>
        <w:t xml:space="preserve"> lei, inclusiv:</w:t>
      </w:r>
    </w:p>
    <w:p w14:paraId="61F8D4C4" w14:textId="2EBE34AF" w:rsidR="00101CD6" w:rsidRPr="0080251F" w:rsidRDefault="00FB6EE0" w:rsidP="00101CD6">
      <w:pPr>
        <w:pStyle w:val="a6"/>
        <w:numPr>
          <w:ilvl w:val="0"/>
          <w:numId w:val="23"/>
        </w:numPr>
        <w:tabs>
          <w:tab w:val="left" w:pos="993"/>
        </w:tabs>
        <w:spacing w:after="0" w:line="276" w:lineRule="auto"/>
        <w:ind w:left="0"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t</w:t>
      </w:r>
      <w:r w:rsidR="00101CD6" w:rsidRPr="0080251F">
        <w:rPr>
          <w:rFonts w:ascii="Times New Roman" w:hAnsi="Times New Roman" w:cs="Times New Roman"/>
          <w:sz w:val="24"/>
          <w:szCs w:val="24"/>
          <w:lang w:val="ro-MD"/>
        </w:rPr>
        <w:t>erenuri deținute cu drept de proprietate</w:t>
      </w:r>
      <w:r w:rsidR="00481287" w:rsidRPr="0080251F">
        <w:rPr>
          <w:rFonts w:ascii="Times New Roman" w:hAnsi="Times New Roman" w:cs="Times New Roman"/>
          <w:sz w:val="24"/>
          <w:szCs w:val="24"/>
          <w:lang w:val="ro-MD"/>
        </w:rPr>
        <w:t xml:space="preserve"> </w:t>
      </w:r>
      <w:r w:rsidR="00101CD6" w:rsidRPr="0080251F">
        <w:rPr>
          <w:rFonts w:ascii="Times New Roman" w:hAnsi="Times New Roman" w:cs="Times New Roman"/>
          <w:sz w:val="24"/>
          <w:szCs w:val="24"/>
          <w:lang w:val="ro-MD"/>
        </w:rPr>
        <w:t>– 3 loturi (0,0104 ha) cu valoarea de bilanț de 28,6 mii lei</w:t>
      </w:r>
      <w:r w:rsidRPr="0080251F">
        <w:rPr>
          <w:rFonts w:ascii="Times New Roman" w:hAnsi="Times New Roman" w:cs="Times New Roman"/>
          <w:sz w:val="24"/>
          <w:szCs w:val="24"/>
          <w:lang w:val="ro-MD"/>
        </w:rPr>
        <w:t>;</w:t>
      </w:r>
    </w:p>
    <w:p w14:paraId="22074EA7" w14:textId="315429C0" w:rsidR="00101CD6" w:rsidRPr="0080251F" w:rsidRDefault="00FB6EE0" w:rsidP="00101CD6">
      <w:pPr>
        <w:numPr>
          <w:ilvl w:val="0"/>
          <w:numId w:val="23"/>
        </w:numPr>
        <w:tabs>
          <w:tab w:val="left" w:pos="993"/>
        </w:tabs>
        <w:spacing w:after="0" w:line="276" w:lineRule="auto"/>
        <w:ind w:left="0"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t</w:t>
      </w:r>
      <w:r w:rsidR="00101CD6" w:rsidRPr="0080251F">
        <w:rPr>
          <w:rFonts w:ascii="Times New Roman" w:hAnsi="Times New Roman" w:cs="Times New Roman"/>
          <w:sz w:val="24"/>
          <w:szCs w:val="24"/>
          <w:lang w:val="ro-MD"/>
        </w:rPr>
        <w:t xml:space="preserve">erenuri primite în folosință </w:t>
      </w:r>
      <w:r w:rsidR="00EB51E6" w:rsidRPr="0080251F">
        <w:rPr>
          <w:rFonts w:ascii="Times New Roman" w:hAnsi="Times New Roman" w:cs="Times New Roman"/>
          <w:sz w:val="24"/>
          <w:szCs w:val="24"/>
          <w:lang w:val="ro-MD"/>
        </w:rPr>
        <w:t>de la terți</w:t>
      </w:r>
      <w:r w:rsidR="00B251DD" w:rsidRPr="0080251F">
        <w:rPr>
          <w:rFonts w:ascii="Times New Roman" w:hAnsi="Times New Roman" w:cs="Times New Roman"/>
          <w:sz w:val="24"/>
          <w:szCs w:val="24"/>
          <w:lang w:val="ro-MD"/>
        </w:rPr>
        <w:t xml:space="preserve"> (aferente construcțiilor speciale, instalațiilor de transmisie)</w:t>
      </w:r>
      <w:r w:rsidR="00EB51E6" w:rsidRPr="0080251F">
        <w:rPr>
          <w:rFonts w:ascii="Times New Roman" w:hAnsi="Times New Roman" w:cs="Times New Roman"/>
          <w:sz w:val="24"/>
          <w:szCs w:val="24"/>
          <w:lang w:val="ro-MD"/>
        </w:rPr>
        <w:t xml:space="preserve"> </w:t>
      </w:r>
      <w:r w:rsidR="00BD3AF5" w:rsidRPr="0080251F">
        <w:rPr>
          <w:rFonts w:ascii="Times New Roman" w:hAnsi="Times New Roman" w:cs="Times New Roman"/>
          <w:sz w:val="24"/>
          <w:szCs w:val="24"/>
          <w:lang w:val="ro-MD"/>
        </w:rPr>
        <w:t>–</w:t>
      </w:r>
      <w:r w:rsidR="00101CD6" w:rsidRPr="0080251F">
        <w:rPr>
          <w:rFonts w:ascii="Times New Roman" w:hAnsi="Times New Roman" w:cs="Times New Roman"/>
          <w:sz w:val="24"/>
          <w:szCs w:val="24"/>
          <w:lang w:val="ro-MD"/>
        </w:rPr>
        <w:t xml:space="preserve"> 5</w:t>
      </w:r>
      <w:r w:rsidR="00BD3AF5" w:rsidRPr="0080251F">
        <w:rPr>
          <w:rFonts w:ascii="Times New Roman" w:hAnsi="Times New Roman" w:cs="Times New Roman"/>
          <w:sz w:val="24"/>
          <w:szCs w:val="24"/>
          <w:lang w:val="ro-MD"/>
        </w:rPr>
        <w:t>.</w:t>
      </w:r>
      <w:r w:rsidR="00101CD6" w:rsidRPr="0080251F">
        <w:rPr>
          <w:rFonts w:ascii="Times New Roman" w:hAnsi="Times New Roman" w:cs="Times New Roman"/>
          <w:sz w:val="24"/>
          <w:szCs w:val="24"/>
          <w:lang w:val="ro-MD"/>
        </w:rPr>
        <w:t>506 loturi (37,9907 ha) cu valo</w:t>
      </w:r>
      <w:r w:rsidR="001E3ACC" w:rsidRPr="0080251F">
        <w:rPr>
          <w:rFonts w:ascii="Times New Roman" w:hAnsi="Times New Roman" w:cs="Times New Roman"/>
          <w:sz w:val="24"/>
          <w:szCs w:val="24"/>
          <w:lang w:val="ro-MD"/>
        </w:rPr>
        <w:t>area de bilanț de 5,15</w:t>
      </w:r>
      <w:r w:rsidR="00AB6531" w:rsidRPr="0080251F">
        <w:rPr>
          <w:rFonts w:ascii="Times New Roman" w:hAnsi="Times New Roman" w:cs="Times New Roman"/>
          <w:sz w:val="24"/>
          <w:szCs w:val="24"/>
          <w:lang w:val="ro-MD"/>
        </w:rPr>
        <w:t xml:space="preserve"> mil.</w:t>
      </w:r>
      <w:r w:rsidR="00101CD6" w:rsidRPr="0080251F">
        <w:rPr>
          <w:rFonts w:ascii="Times New Roman" w:hAnsi="Times New Roman" w:cs="Times New Roman"/>
          <w:sz w:val="24"/>
          <w:szCs w:val="24"/>
          <w:lang w:val="ro-MD"/>
        </w:rPr>
        <w:t xml:space="preserve"> lei. </w:t>
      </w:r>
    </w:p>
    <w:p w14:paraId="7964E2FB" w14:textId="04D27083" w:rsidR="00EA0483" w:rsidRPr="0080251F" w:rsidRDefault="00AB6531" w:rsidP="00EE1EC5">
      <w:pPr>
        <w:keepNext/>
        <w:widowControl w:val="0"/>
        <w:autoSpaceDE w:val="0"/>
        <w:autoSpaceDN w:val="0"/>
        <w:adjustRightInd w:val="0"/>
        <w:spacing w:after="0" w:line="276" w:lineRule="auto"/>
        <w:ind w:right="-11" w:firstLine="709"/>
        <w:jc w:val="both"/>
        <w:rPr>
          <w:rFonts w:ascii="Times New Roman" w:eastAsiaTheme="minorEastAsia" w:hAnsi="Times New Roman" w:cs="Times New Roman"/>
          <w:iCs/>
          <w:sz w:val="24"/>
          <w:szCs w:val="24"/>
          <w:lang w:val="ro-MD"/>
        </w:rPr>
      </w:pPr>
      <w:r w:rsidRPr="0080251F">
        <w:rPr>
          <w:rFonts w:ascii="Times New Roman" w:eastAsia="Times New Roman" w:hAnsi="Times New Roman" w:cs="Times New Roman"/>
          <w:sz w:val="24"/>
          <w:szCs w:val="24"/>
          <w:lang w:val="ro-MD"/>
        </w:rPr>
        <w:t>Astfel</w:t>
      </w:r>
      <w:r w:rsidR="00BD3AF5" w:rsidRPr="0080251F">
        <w:rPr>
          <w:rFonts w:ascii="Times New Roman" w:eastAsia="Times New Roman" w:hAnsi="Times New Roman" w:cs="Times New Roman"/>
          <w:sz w:val="24"/>
          <w:szCs w:val="24"/>
          <w:lang w:val="ro-MD"/>
        </w:rPr>
        <w:t>, terenurile cu suprafața de 37,</w:t>
      </w:r>
      <w:r w:rsidRPr="0080251F">
        <w:rPr>
          <w:rFonts w:ascii="Times New Roman" w:eastAsia="Times New Roman" w:hAnsi="Times New Roman" w:cs="Times New Roman"/>
          <w:sz w:val="24"/>
          <w:szCs w:val="24"/>
          <w:lang w:val="ro-MD"/>
        </w:rPr>
        <w:t>9907 ha (5</w:t>
      </w:r>
      <w:r w:rsidR="00BD3AF5" w:rsidRPr="0080251F">
        <w:rPr>
          <w:rFonts w:ascii="Times New Roman" w:eastAsia="Times New Roman" w:hAnsi="Times New Roman" w:cs="Times New Roman"/>
          <w:sz w:val="24"/>
          <w:szCs w:val="24"/>
          <w:lang w:val="ro-MD"/>
        </w:rPr>
        <w:t>.</w:t>
      </w:r>
      <w:r w:rsidRPr="0080251F">
        <w:rPr>
          <w:rFonts w:ascii="Times New Roman" w:eastAsia="Times New Roman" w:hAnsi="Times New Roman" w:cs="Times New Roman"/>
          <w:sz w:val="24"/>
          <w:szCs w:val="24"/>
          <w:lang w:val="ro-MD"/>
        </w:rPr>
        <w:t xml:space="preserve">506 loturi, </w:t>
      </w:r>
      <w:r w:rsidR="00FB6EE0" w:rsidRPr="0080251F">
        <w:rPr>
          <w:rFonts w:ascii="Times New Roman" w:eastAsia="Times New Roman" w:hAnsi="Times New Roman" w:cs="Times New Roman"/>
          <w:sz w:val="24"/>
          <w:szCs w:val="24"/>
          <w:lang w:val="ro-MD"/>
        </w:rPr>
        <w:t xml:space="preserve">cu </w:t>
      </w:r>
      <w:r w:rsidRPr="0080251F">
        <w:rPr>
          <w:rFonts w:ascii="Times New Roman" w:eastAsia="Times New Roman" w:hAnsi="Times New Roman" w:cs="Times New Roman"/>
          <w:sz w:val="24"/>
          <w:szCs w:val="24"/>
          <w:lang w:val="ro-MD"/>
        </w:rPr>
        <w:t xml:space="preserve">valoarea </w:t>
      </w:r>
      <w:r w:rsidR="00FB6EE0" w:rsidRPr="0080251F">
        <w:rPr>
          <w:rFonts w:ascii="Times New Roman" w:eastAsia="Times New Roman" w:hAnsi="Times New Roman" w:cs="Times New Roman"/>
          <w:sz w:val="24"/>
          <w:szCs w:val="24"/>
          <w:lang w:val="ro-MD"/>
        </w:rPr>
        <w:t xml:space="preserve">de </w:t>
      </w:r>
      <w:r w:rsidR="001E3ACC" w:rsidRPr="0080251F">
        <w:rPr>
          <w:rFonts w:ascii="Times New Roman" w:eastAsia="Times New Roman" w:hAnsi="Times New Roman" w:cs="Times New Roman"/>
          <w:b/>
          <w:sz w:val="24"/>
          <w:szCs w:val="24"/>
          <w:lang w:val="ro-MD"/>
        </w:rPr>
        <w:t>5,15</w:t>
      </w:r>
      <w:r w:rsidRPr="0080251F">
        <w:rPr>
          <w:rFonts w:ascii="Times New Roman" w:eastAsia="Times New Roman" w:hAnsi="Times New Roman" w:cs="Times New Roman"/>
          <w:b/>
          <w:sz w:val="24"/>
          <w:szCs w:val="24"/>
          <w:lang w:val="ro-MD"/>
        </w:rPr>
        <w:t xml:space="preserve"> mil. lei</w:t>
      </w:r>
      <w:r w:rsidRPr="0080251F">
        <w:rPr>
          <w:rFonts w:ascii="Times New Roman" w:eastAsia="Times New Roman" w:hAnsi="Times New Roman" w:cs="Times New Roman"/>
          <w:sz w:val="24"/>
          <w:szCs w:val="24"/>
          <w:lang w:val="ro-MD"/>
        </w:rPr>
        <w:t xml:space="preserve">), deși nu reprezintă proprietatea privată a S.A. „RED-Nord”, au fost clasificate și înregistrate în evidența contabilă ca active proprii, ceea ce a determinat reflectarea </w:t>
      </w:r>
      <w:r w:rsidR="009939AA" w:rsidRPr="0080251F">
        <w:rPr>
          <w:rFonts w:ascii="Times New Roman" w:eastAsia="Times New Roman" w:hAnsi="Times New Roman" w:cs="Times New Roman"/>
          <w:sz w:val="24"/>
          <w:szCs w:val="24"/>
          <w:lang w:val="ro-MD"/>
        </w:rPr>
        <w:t>neconformă</w:t>
      </w:r>
      <w:r w:rsidRPr="0080251F">
        <w:rPr>
          <w:rFonts w:ascii="Times New Roman" w:eastAsia="Times New Roman" w:hAnsi="Times New Roman" w:cs="Times New Roman"/>
          <w:sz w:val="24"/>
          <w:szCs w:val="24"/>
          <w:lang w:val="ro-MD"/>
        </w:rPr>
        <w:t xml:space="preserve"> </w:t>
      </w:r>
      <w:r w:rsidRPr="0080251F">
        <w:rPr>
          <w:rFonts w:ascii="Times New Roman" w:eastAsia="Times New Roman" w:hAnsi="Times New Roman" w:cs="Times New Roman"/>
          <w:iCs/>
          <w:sz w:val="24"/>
          <w:szCs w:val="24"/>
          <w:lang w:val="ro-MD"/>
        </w:rPr>
        <w:t>la contul 427 „Datorii pe termen lung privind bunurile primite în gestiune economică” a datoriei entității</w:t>
      </w:r>
      <w:r w:rsidR="001E3ACC" w:rsidRPr="0080251F">
        <w:rPr>
          <w:rFonts w:ascii="Times New Roman" w:eastAsia="Times New Roman" w:hAnsi="Times New Roman" w:cs="Times New Roman"/>
          <w:iCs/>
          <w:sz w:val="24"/>
          <w:szCs w:val="24"/>
          <w:lang w:val="ro-MD"/>
        </w:rPr>
        <w:t xml:space="preserve"> față de terți în valoare de 5,15</w:t>
      </w:r>
      <w:r w:rsidRPr="0080251F">
        <w:rPr>
          <w:rFonts w:ascii="Times New Roman" w:eastAsia="Times New Roman" w:hAnsi="Times New Roman" w:cs="Times New Roman"/>
          <w:iCs/>
          <w:sz w:val="24"/>
          <w:szCs w:val="24"/>
          <w:lang w:val="ro-MD"/>
        </w:rPr>
        <w:t xml:space="preserve"> mil. lei. În acest context, se menționează că S.A. „RED-Nord”, pentru terenurile utilizate cu titlu de folosință, nu deține </w:t>
      </w:r>
      <w:r w:rsidR="00543F58" w:rsidRPr="0080251F">
        <w:rPr>
          <w:rFonts w:ascii="Times New Roman" w:eastAsia="Times New Roman" w:hAnsi="Times New Roman" w:cs="Times New Roman"/>
          <w:iCs/>
          <w:sz w:val="24"/>
          <w:szCs w:val="24"/>
          <w:lang w:val="ro-MD"/>
        </w:rPr>
        <w:t>anumite</w:t>
      </w:r>
      <w:r w:rsidRPr="0080251F">
        <w:rPr>
          <w:rFonts w:ascii="Times New Roman" w:eastAsia="Times New Roman" w:hAnsi="Times New Roman" w:cs="Times New Roman"/>
          <w:iCs/>
          <w:sz w:val="24"/>
          <w:szCs w:val="24"/>
          <w:lang w:val="ro-MD"/>
        </w:rPr>
        <w:t xml:space="preserve"> acte administrative prin care s-ar confirma autorizarea dreptului de folosință de către proprietarii lor (autorități publice locale, subiecți de drept privat)</w:t>
      </w:r>
      <w:r w:rsidR="00EE1EC5" w:rsidRPr="0080251F">
        <w:rPr>
          <w:rFonts w:ascii="Times New Roman" w:eastAsiaTheme="minorEastAsia" w:hAnsi="Times New Roman" w:cs="Times New Roman"/>
          <w:iCs/>
          <w:sz w:val="24"/>
          <w:szCs w:val="24"/>
          <w:lang w:val="ro-MD"/>
        </w:rPr>
        <w:t xml:space="preserve">. </w:t>
      </w:r>
    </w:p>
    <w:p w14:paraId="173F7F48" w14:textId="18330930" w:rsidR="00FF5BD7" w:rsidRPr="0080251F" w:rsidRDefault="00FF5BD7" w:rsidP="00481647">
      <w:pPr>
        <w:keepNext/>
        <w:widowControl w:val="0"/>
        <w:autoSpaceDE w:val="0"/>
        <w:autoSpaceDN w:val="0"/>
        <w:adjustRightInd w:val="0"/>
        <w:spacing w:after="0" w:line="276" w:lineRule="auto"/>
        <w:ind w:right="-11" w:firstLine="709"/>
        <w:jc w:val="both"/>
        <w:rPr>
          <w:rFonts w:ascii="Times New Roman" w:eastAsiaTheme="minorEastAsia" w:hAnsi="Times New Roman" w:cs="Times New Roman"/>
          <w:iCs/>
          <w:sz w:val="24"/>
          <w:szCs w:val="24"/>
          <w:lang w:val="ro-MD"/>
        </w:rPr>
      </w:pPr>
      <w:r w:rsidRPr="0080251F">
        <w:rPr>
          <w:rFonts w:ascii="Times New Roman" w:eastAsiaTheme="minorEastAsia" w:hAnsi="Times New Roman" w:cs="Times New Roman"/>
          <w:iCs/>
          <w:sz w:val="24"/>
          <w:szCs w:val="24"/>
          <w:lang w:val="ro-MD"/>
        </w:rPr>
        <w:t xml:space="preserve">Totodată, </w:t>
      </w:r>
      <w:r w:rsidR="00481647" w:rsidRPr="0080251F">
        <w:rPr>
          <w:rFonts w:ascii="Times New Roman" w:eastAsiaTheme="minorEastAsia" w:hAnsi="Times New Roman" w:cs="Times New Roman"/>
          <w:iCs/>
          <w:sz w:val="24"/>
          <w:szCs w:val="24"/>
          <w:lang w:val="ro-MD"/>
        </w:rPr>
        <w:t xml:space="preserve">entitatea </w:t>
      </w:r>
      <w:r w:rsidRPr="0080251F">
        <w:rPr>
          <w:rFonts w:ascii="Times New Roman" w:eastAsiaTheme="minorEastAsia" w:hAnsi="Times New Roman" w:cs="Times New Roman"/>
          <w:iCs/>
          <w:sz w:val="24"/>
          <w:szCs w:val="24"/>
          <w:lang w:val="ro-MD"/>
        </w:rPr>
        <w:t xml:space="preserve">nu </w:t>
      </w:r>
      <w:r w:rsidR="00481647" w:rsidRPr="0080251F">
        <w:rPr>
          <w:rFonts w:ascii="Times New Roman" w:eastAsiaTheme="minorEastAsia" w:hAnsi="Times New Roman" w:cs="Times New Roman"/>
          <w:iCs/>
          <w:sz w:val="24"/>
          <w:szCs w:val="24"/>
          <w:lang w:val="ro-MD"/>
        </w:rPr>
        <w:t>a asigurat</w:t>
      </w:r>
      <w:r w:rsidRPr="0080251F">
        <w:rPr>
          <w:rFonts w:ascii="Times New Roman" w:eastAsiaTheme="minorEastAsia" w:hAnsi="Times New Roman" w:cs="Times New Roman"/>
          <w:iCs/>
          <w:sz w:val="24"/>
          <w:szCs w:val="24"/>
          <w:lang w:val="ro-MD"/>
        </w:rPr>
        <w:t xml:space="preserve"> </w:t>
      </w:r>
      <w:r w:rsidR="00481647" w:rsidRPr="0080251F">
        <w:rPr>
          <w:rFonts w:ascii="Times New Roman" w:eastAsiaTheme="minorEastAsia" w:hAnsi="Times New Roman" w:cs="Times New Roman"/>
          <w:iCs/>
          <w:sz w:val="24"/>
          <w:szCs w:val="24"/>
          <w:lang w:val="ro-MD"/>
        </w:rPr>
        <w:t>reflectarea</w:t>
      </w:r>
      <w:r w:rsidRPr="0080251F">
        <w:rPr>
          <w:rFonts w:ascii="Times New Roman" w:eastAsiaTheme="minorEastAsia" w:hAnsi="Times New Roman" w:cs="Times New Roman"/>
          <w:iCs/>
          <w:sz w:val="24"/>
          <w:szCs w:val="24"/>
          <w:lang w:val="ro-MD"/>
        </w:rPr>
        <w:t xml:space="preserve"> în evidența </w:t>
      </w:r>
      <w:r w:rsidR="00CF5F74" w:rsidRPr="0080251F">
        <w:rPr>
          <w:rFonts w:ascii="Times New Roman" w:eastAsiaTheme="minorEastAsia" w:hAnsi="Times New Roman" w:cs="Times New Roman"/>
          <w:iCs/>
          <w:sz w:val="24"/>
          <w:szCs w:val="24"/>
          <w:lang w:val="ro-MD"/>
        </w:rPr>
        <w:t xml:space="preserve">contabilă a </w:t>
      </w:r>
      <w:r w:rsidRPr="0080251F">
        <w:rPr>
          <w:rFonts w:ascii="Times New Roman" w:eastAsiaTheme="minorEastAsia" w:hAnsi="Times New Roman" w:cs="Times New Roman"/>
          <w:iCs/>
          <w:sz w:val="24"/>
          <w:szCs w:val="24"/>
          <w:lang w:val="ro-MD"/>
        </w:rPr>
        <w:t xml:space="preserve">întreprinderii </w:t>
      </w:r>
      <w:r w:rsidR="00481647" w:rsidRPr="0080251F">
        <w:rPr>
          <w:rFonts w:ascii="Times New Roman" w:eastAsiaTheme="minorEastAsia" w:hAnsi="Times New Roman" w:cs="Times New Roman"/>
          <w:iCs/>
          <w:sz w:val="24"/>
          <w:szCs w:val="24"/>
          <w:lang w:val="ro-MD"/>
        </w:rPr>
        <w:t xml:space="preserve">a </w:t>
      </w:r>
      <w:r w:rsidRPr="0080251F">
        <w:rPr>
          <w:rFonts w:ascii="Times New Roman" w:eastAsiaTheme="minorEastAsia" w:hAnsi="Times New Roman" w:cs="Times New Roman"/>
          <w:iCs/>
          <w:sz w:val="24"/>
          <w:szCs w:val="24"/>
          <w:lang w:val="ro-MD"/>
        </w:rPr>
        <w:t>2 terenuri</w:t>
      </w:r>
      <w:r w:rsidR="00CF5F74" w:rsidRPr="0080251F">
        <w:rPr>
          <w:rStyle w:val="a5"/>
          <w:rFonts w:ascii="Times New Roman" w:hAnsi="Times New Roman" w:cs="Times New Roman"/>
          <w:sz w:val="24"/>
          <w:szCs w:val="24"/>
          <w:lang w:val="ro-MD"/>
        </w:rPr>
        <w:footnoteReference w:id="19"/>
      </w:r>
      <w:r w:rsidRPr="0080251F">
        <w:rPr>
          <w:rFonts w:ascii="Times New Roman" w:eastAsiaTheme="minorEastAsia" w:hAnsi="Times New Roman" w:cs="Times New Roman"/>
          <w:iCs/>
          <w:sz w:val="24"/>
          <w:szCs w:val="24"/>
          <w:lang w:val="ro-MD"/>
        </w:rPr>
        <w:t xml:space="preserve"> </w:t>
      </w:r>
      <w:r w:rsidR="00CF5F74" w:rsidRPr="0080251F">
        <w:rPr>
          <w:rFonts w:ascii="Times New Roman" w:eastAsiaTheme="minorEastAsia" w:hAnsi="Times New Roman" w:cs="Times New Roman"/>
          <w:iCs/>
          <w:sz w:val="24"/>
          <w:szCs w:val="24"/>
          <w:lang w:val="ro-MD"/>
        </w:rPr>
        <w:t>c</w:t>
      </w:r>
      <w:r w:rsidR="00FB6EE0" w:rsidRPr="0080251F">
        <w:rPr>
          <w:rFonts w:ascii="Times New Roman" w:eastAsiaTheme="minorEastAsia" w:hAnsi="Times New Roman" w:cs="Times New Roman"/>
          <w:iCs/>
          <w:sz w:val="24"/>
          <w:szCs w:val="24"/>
          <w:lang w:val="ro-MD"/>
        </w:rPr>
        <w:t>ar</w:t>
      </w:r>
      <w:r w:rsidR="00CF5F74" w:rsidRPr="0080251F">
        <w:rPr>
          <w:rFonts w:ascii="Times New Roman" w:eastAsiaTheme="minorEastAsia" w:hAnsi="Times New Roman" w:cs="Times New Roman"/>
          <w:iCs/>
          <w:sz w:val="24"/>
          <w:szCs w:val="24"/>
          <w:lang w:val="ro-MD"/>
        </w:rPr>
        <w:t>e aparțin cu drept de proprietate</w:t>
      </w:r>
      <w:r w:rsidR="00FB6EE0" w:rsidRPr="0080251F">
        <w:rPr>
          <w:rFonts w:ascii="Times New Roman" w:eastAsiaTheme="minorEastAsia" w:hAnsi="Times New Roman" w:cs="Times New Roman"/>
          <w:iCs/>
          <w:sz w:val="24"/>
          <w:szCs w:val="24"/>
          <w:lang w:val="ro-MD"/>
        </w:rPr>
        <w:t>,</w:t>
      </w:r>
      <w:r w:rsidR="00CF5F74" w:rsidRPr="0080251F">
        <w:rPr>
          <w:rFonts w:ascii="Times New Roman" w:eastAsiaTheme="minorEastAsia" w:hAnsi="Times New Roman" w:cs="Times New Roman"/>
          <w:iCs/>
          <w:sz w:val="24"/>
          <w:szCs w:val="24"/>
          <w:lang w:val="ro-MD"/>
        </w:rPr>
        <w:t xml:space="preserve"> în valoare de 275,5 mii lei.</w:t>
      </w:r>
    </w:p>
    <w:p w14:paraId="0EF79593" w14:textId="32A59F22" w:rsidR="003B616D" w:rsidRPr="0080251F" w:rsidRDefault="003B616D" w:rsidP="003B616D">
      <w:pPr>
        <w:keepNext/>
        <w:widowControl w:val="0"/>
        <w:autoSpaceDE w:val="0"/>
        <w:autoSpaceDN w:val="0"/>
        <w:adjustRightInd w:val="0"/>
        <w:spacing w:after="0" w:line="276" w:lineRule="auto"/>
        <w:ind w:right="-11" w:firstLine="709"/>
        <w:jc w:val="both"/>
        <w:rPr>
          <w:rFonts w:ascii="Times New Roman" w:eastAsiaTheme="minorEastAsia" w:hAnsi="Times New Roman" w:cs="Times New Roman"/>
          <w:iCs/>
          <w:sz w:val="24"/>
          <w:szCs w:val="24"/>
          <w:lang w:val="ro-MD"/>
        </w:rPr>
      </w:pPr>
      <w:r w:rsidRPr="0080251F">
        <w:rPr>
          <w:rFonts w:ascii="Times New Roman" w:eastAsia="Times New Roman" w:hAnsi="Times New Roman" w:cs="Times New Roman"/>
          <w:bCs/>
          <w:sz w:val="24"/>
          <w:szCs w:val="24"/>
          <w:lang w:val="ro-MD" w:eastAsia="ru-RU"/>
        </w:rPr>
        <w:t>Menționăm că pe parcursul misiunii de audit S</w:t>
      </w:r>
      <w:r w:rsidR="00FB6EE0"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A</w:t>
      </w:r>
      <w:r w:rsidR="00FB6EE0"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 xml:space="preserve"> </w:t>
      </w:r>
      <w:r w:rsidR="00FB6EE0"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RED-Nord</w:t>
      </w:r>
      <w:r w:rsidR="00FB6EE0"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 xml:space="preserve"> a efectuat corectările aferente terenurilor proprietate </w:t>
      </w:r>
      <w:r w:rsidR="00F73E04" w:rsidRPr="0080251F">
        <w:rPr>
          <w:rFonts w:ascii="Times New Roman" w:eastAsia="Times New Roman" w:hAnsi="Times New Roman" w:cs="Times New Roman"/>
          <w:bCs/>
          <w:sz w:val="24"/>
          <w:szCs w:val="24"/>
          <w:lang w:val="ro-MD" w:eastAsia="ru-RU"/>
        </w:rPr>
        <w:t xml:space="preserve">a </w:t>
      </w:r>
      <w:r w:rsidRPr="0080251F">
        <w:rPr>
          <w:rFonts w:ascii="Times New Roman" w:eastAsia="Times New Roman" w:hAnsi="Times New Roman" w:cs="Times New Roman"/>
          <w:bCs/>
          <w:sz w:val="24"/>
          <w:szCs w:val="24"/>
          <w:lang w:val="ro-MD" w:eastAsia="ru-RU"/>
        </w:rPr>
        <w:t>APL, înregistrându-le corespunzător la conturile extrabilanțiere</w:t>
      </w:r>
      <w:r w:rsidR="003D3AD1" w:rsidRPr="0080251F">
        <w:rPr>
          <w:rStyle w:val="a5"/>
          <w:rFonts w:ascii="Times New Roman" w:eastAsia="Times New Roman" w:hAnsi="Times New Roman" w:cs="Times New Roman"/>
          <w:bCs/>
          <w:sz w:val="24"/>
          <w:szCs w:val="24"/>
          <w:lang w:val="ro-MD" w:eastAsia="ru-RU"/>
        </w:rPr>
        <w:footnoteReference w:id="20"/>
      </w:r>
      <w:r w:rsidRPr="0080251F">
        <w:rPr>
          <w:rFonts w:ascii="Times New Roman" w:eastAsia="Times New Roman" w:hAnsi="Times New Roman" w:cs="Times New Roman"/>
          <w:bCs/>
          <w:sz w:val="24"/>
          <w:szCs w:val="24"/>
          <w:lang w:val="ro-MD" w:eastAsia="ru-RU"/>
        </w:rPr>
        <w:t>.</w:t>
      </w:r>
    </w:p>
    <w:p w14:paraId="55CB6396" w14:textId="2830FF84" w:rsidR="001314E7" w:rsidRPr="0080251F" w:rsidRDefault="001314E7" w:rsidP="0006122D">
      <w:pPr>
        <w:keepNext/>
        <w:widowControl w:val="0"/>
        <w:autoSpaceDE w:val="0"/>
        <w:autoSpaceDN w:val="0"/>
        <w:adjustRightInd w:val="0"/>
        <w:spacing w:after="0" w:line="276" w:lineRule="auto"/>
        <w:ind w:right="-11"/>
        <w:jc w:val="both"/>
        <w:rPr>
          <w:rFonts w:ascii="Times New Roman" w:eastAsiaTheme="minorEastAsia" w:hAnsi="Times New Roman" w:cs="Times New Roman"/>
          <w:b/>
          <w:i/>
          <w:iCs/>
          <w:sz w:val="24"/>
          <w:szCs w:val="24"/>
          <w:lang w:val="ro-MD"/>
        </w:rPr>
      </w:pPr>
      <w:r w:rsidRPr="0080251F">
        <w:rPr>
          <w:rFonts w:ascii="Times New Roman" w:eastAsiaTheme="minorEastAsia" w:hAnsi="Times New Roman" w:cs="Times New Roman"/>
          <w:b/>
          <w:i/>
          <w:iCs/>
          <w:sz w:val="24"/>
          <w:szCs w:val="24"/>
          <w:lang w:val="ro-MD"/>
        </w:rPr>
        <w:t xml:space="preserve">4.1.2. </w:t>
      </w:r>
      <w:r w:rsidR="009D6841" w:rsidRPr="0080251F">
        <w:rPr>
          <w:rFonts w:ascii="Times New Roman" w:eastAsiaTheme="minorEastAsia" w:hAnsi="Times New Roman" w:cs="Times New Roman"/>
          <w:b/>
          <w:i/>
          <w:iCs/>
          <w:sz w:val="24"/>
          <w:szCs w:val="24"/>
          <w:lang w:val="ro-MD"/>
        </w:rPr>
        <w:t>Abaterile</w:t>
      </w:r>
      <w:r w:rsidRPr="0080251F">
        <w:rPr>
          <w:rFonts w:ascii="Times New Roman" w:eastAsiaTheme="minorEastAsia" w:hAnsi="Times New Roman" w:cs="Times New Roman"/>
          <w:b/>
          <w:i/>
          <w:iCs/>
          <w:sz w:val="24"/>
          <w:szCs w:val="24"/>
          <w:lang w:val="ro-MD"/>
        </w:rPr>
        <w:t xml:space="preserve"> admise în raport cu prevederile normative</w:t>
      </w:r>
      <w:r w:rsidRPr="0080251F">
        <w:rPr>
          <w:rFonts w:ascii="Times New Roman" w:eastAsiaTheme="minorEastAsia" w:hAnsi="Times New Roman" w:cs="Times New Roman"/>
          <w:b/>
          <w:i/>
          <w:iCs/>
          <w:sz w:val="24"/>
          <w:szCs w:val="24"/>
          <w:vertAlign w:val="superscript"/>
          <w:lang w:val="ro-MD"/>
        </w:rPr>
        <w:footnoteReference w:id="21"/>
      </w:r>
      <w:r w:rsidRPr="0080251F">
        <w:rPr>
          <w:rFonts w:ascii="Times New Roman" w:eastAsiaTheme="minorEastAsia" w:hAnsi="Times New Roman" w:cs="Times New Roman"/>
          <w:b/>
          <w:i/>
          <w:iCs/>
          <w:sz w:val="24"/>
          <w:szCs w:val="24"/>
          <w:lang w:val="ro-MD"/>
        </w:rPr>
        <w:t xml:space="preserve"> și </w:t>
      </w:r>
      <w:r w:rsidR="00F73E04" w:rsidRPr="0080251F">
        <w:rPr>
          <w:rFonts w:ascii="Times New Roman" w:eastAsiaTheme="minorEastAsia" w:hAnsi="Times New Roman" w:cs="Times New Roman"/>
          <w:b/>
          <w:i/>
          <w:iCs/>
          <w:sz w:val="24"/>
          <w:szCs w:val="24"/>
          <w:lang w:val="ro-MD"/>
        </w:rPr>
        <w:t xml:space="preserve">cu </w:t>
      </w:r>
      <w:r w:rsidRPr="0080251F">
        <w:rPr>
          <w:rFonts w:ascii="Times New Roman" w:eastAsiaTheme="minorEastAsia" w:hAnsi="Times New Roman" w:cs="Times New Roman"/>
          <w:b/>
          <w:i/>
          <w:iCs/>
          <w:sz w:val="24"/>
          <w:szCs w:val="24"/>
          <w:lang w:val="ro-MD"/>
        </w:rPr>
        <w:t>Politica contabilă au condiționat atribuirea neconformă a 4</w:t>
      </w:r>
      <w:r w:rsidR="00BD3AF5" w:rsidRPr="0080251F">
        <w:rPr>
          <w:rFonts w:ascii="Times New Roman" w:eastAsiaTheme="minorEastAsia" w:hAnsi="Times New Roman" w:cs="Times New Roman"/>
          <w:b/>
          <w:i/>
          <w:iCs/>
          <w:sz w:val="24"/>
          <w:szCs w:val="24"/>
          <w:lang w:val="ro-MD"/>
        </w:rPr>
        <w:t>.</w:t>
      </w:r>
      <w:r w:rsidRPr="0080251F">
        <w:rPr>
          <w:rFonts w:ascii="Times New Roman" w:eastAsiaTheme="minorEastAsia" w:hAnsi="Times New Roman" w:cs="Times New Roman"/>
          <w:b/>
          <w:i/>
          <w:iCs/>
          <w:sz w:val="24"/>
          <w:szCs w:val="24"/>
          <w:lang w:val="ro-MD"/>
        </w:rPr>
        <w:t>074 unități de bunuri materiale cu valoarea totală de 2,5 mil. lei la categoria de imobilizări corporale.</w:t>
      </w:r>
    </w:p>
    <w:p w14:paraId="76B8482E" w14:textId="6D673139" w:rsidR="001314E7" w:rsidRPr="0080251F" w:rsidRDefault="001314E7" w:rsidP="001314E7">
      <w:pPr>
        <w:keepNext/>
        <w:widowControl w:val="0"/>
        <w:autoSpaceDE w:val="0"/>
        <w:autoSpaceDN w:val="0"/>
        <w:adjustRightInd w:val="0"/>
        <w:spacing w:after="0" w:line="276" w:lineRule="auto"/>
        <w:ind w:right="-11" w:firstLine="709"/>
        <w:jc w:val="both"/>
        <w:rPr>
          <w:rFonts w:ascii="Times New Roman" w:eastAsiaTheme="minorEastAsia" w:hAnsi="Times New Roman" w:cs="Times New Roman"/>
          <w:iCs/>
          <w:sz w:val="24"/>
          <w:szCs w:val="24"/>
          <w:lang w:val="ro-MD"/>
        </w:rPr>
      </w:pPr>
      <w:r w:rsidRPr="0080251F">
        <w:rPr>
          <w:rFonts w:ascii="Times New Roman" w:eastAsiaTheme="minorEastAsia" w:hAnsi="Times New Roman" w:cs="Times New Roman"/>
          <w:iCs/>
          <w:sz w:val="24"/>
          <w:szCs w:val="24"/>
          <w:lang w:val="ro-MD"/>
        </w:rPr>
        <w:t>La situația din 31.12.2022, la categoria de mijloace fixe au fost atribuite 4</w:t>
      </w:r>
      <w:r w:rsidR="00C725E2" w:rsidRPr="0080251F">
        <w:rPr>
          <w:rFonts w:ascii="Times New Roman" w:eastAsiaTheme="minorEastAsia" w:hAnsi="Times New Roman" w:cs="Times New Roman"/>
          <w:iCs/>
          <w:sz w:val="24"/>
          <w:szCs w:val="24"/>
          <w:lang w:val="ro-MD"/>
        </w:rPr>
        <w:t>.</w:t>
      </w:r>
      <w:r w:rsidRPr="0080251F">
        <w:rPr>
          <w:rFonts w:ascii="Times New Roman" w:eastAsiaTheme="minorEastAsia" w:hAnsi="Times New Roman" w:cs="Times New Roman"/>
          <w:iCs/>
          <w:sz w:val="24"/>
          <w:szCs w:val="24"/>
          <w:lang w:val="ro-MD"/>
        </w:rPr>
        <w:t xml:space="preserve">074 bunuri materiale în sumă totală de </w:t>
      </w:r>
      <w:r w:rsidRPr="0080251F">
        <w:rPr>
          <w:rFonts w:ascii="Times New Roman" w:eastAsiaTheme="minorEastAsia" w:hAnsi="Times New Roman" w:cs="Times New Roman"/>
          <w:b/>
          <w:iCs/>
          <w:sz w:val="24"/>
          <w:szCs w:val="24"/>
          <w:lang w:val="ro-MD"/>
        </w:rPr>
        <w:t>2,5 mil. lei</w:t>
      </w:r>
      <w:r w:rsidRPr="0080251F">
        <w:rPr>
          <w:rFonts w:ascii="Times New Roman" w:eastAsiaTheme="minorEastAsia" w:hAnsi="Times New Roman" w:cs="Times New Roman"/>
          <w:iCs/>
          <w:sz w:val="24"/>
          <w:szCs w:val="24"/>
          <w:lang w:val="ro-MD"/>
        </w:rPr>
        <w:t xml:space="preserve">, cu valoarea de intrare sub plafonul valoric reglementat de legislația fiscală în mărime de 6,0 mii lei. Totodată, nu au fost aplicate uniform și principiile din Politica contabilă a entității, prin care s-a stabilit că condiția de recunoaștere a activelor la categoria de mijloace fixe se aplică pentru activele a căror valoare este mai mare de 6,0 mii lei. </w:t>
      </w:r>
    </w:p>
    <w:p w14:paraId="490A4F69" w14:textId="74439C0D" w:rsidR="00AB6531" w:rsidRPr="0080251F" w:rsidRDefault="001314E7" w:rsidP="00182C6F">
      <w:pPr>
        <w:keepNext/>
        <w:widowControl w:val="0"/>
        <w:tabs>
          <w:tab w:val="left" w:pos="709"/>
        </w:tabs>
        <w:autoSpaceDE w:val="0"/>
        <w:autoSpaceDN w:val="0"/>
        <w:adjustRightInd w:val="0"/>
        <w:spacing w:after="0" w:line="276" w:lineRule="auto"/>
        <w:ind w:right="-11" w:firstLine="709"/>
        <w:jc w:val="both"/>
        <w:rPr>
          <w:rFonts w:ascii="Times New Roman" w:eastAsiaTheme="minorEastAsia" w:hAnsi="Times New Roman" w:cs="Times New Roman"/>
          <w:iCs/>
          <w:sz w:val="24"/>
          <w:szCs w:val="24"/>
          <w:lang w:val="ro-MD"/>
        </w:rPr>
      </w:pPr>
      <w:r w:rsidRPr="0080251F">
        <w:rPr>
          <w:rFonts w:ascii="Times New Roman" w:eastAsiaTheme="minorEastAsia" w:hAnsi="Times New Roman" w:cs="Times New Roman"/>
          <w:iCs/>
          <w:sz w:val="24"/>
          <w:szCs w:val="24"/>
          <w:lang w:val="ro-MD"/>
        </w:rPr>
        <w:t xml:space="preserve">Amortizarea calculată pentru bunurile menționate la sfârșitul anului 2022 a constituit 2,3 mil. lei, inclusiv pentru perioada auditată </w:t>
      </w:r>
      <w:r w:rsidR="00B16090" w:rsidRPr="0080251F">
        <w:rPr>
          <w:rFonts w:ascii="Times New Roman" w:eastAsiaTheme="minorEastAsia" w:hAnsi="Times New Roman" w:cs="Times New Roman"/>
          <w:iCs/>
          <w:sz w:val="24"/>
          <w:szCs w:val="24"/>
          <w:lang w:val="ro-MD"/>
        </w:rPr>
        <w:t xml:space="preserve">(2021-2022) </w:t>
      </w:r>
      <w:r w:rsidRPr="0080251F">
        <w:rPr>
          <w:rFonts w:ascii="Times New Roman" w:eastAsiaTheme="minorEastAsia" w:hAnsi="Times New Roman" w:cs="Times New Roman"/>
          <w:iCs/>
          <w:sz w:val="24"/>
          <w:szCs w:val="24"/>
          <w:lang w:val="ro-MD"/>
        </w:rPr>
        <w:t>– 598,3 mii lei.</w:t>
      </w:r>
    </w:p>
    <w:p w14:paraId="16DB9B88" w14:textId="1C369F67" w:rsidR="00DD6BDD" w:rsidRPr="0080251F" w:rsidRDefault="00DD6BDD" w:rsidP="00E93AD9">
      <w:pPr>
        <w:spacing w:after="0" w:line="276" w:lineRule="auto"/>
        <w:jc w:val="both"/>
        <w:rPr>
          <w:rFonts w:ascii="Times New Roman" w:eastAsia="SimSun" w:hAnsi="Times New Roman" w:cs="Times New Roman"/>
          <w:b/>
          <w:i/>
          <w:sz w:val="24"/>
          <w:szCs w:val="24"/>
          <w:lang w:val="ro-MD"/>
        </w:rPr>
      </w:pPr>
      <w:r w:rsidRPr="0080251F">
        <w:rPr>
          <w:rFonts w:ascii="Times New Roman" w:eastAsia="SimSun" w:hAnsi="Times New Roman" w:cs="Times New Roman"/>
          <w:b/>
          <w:i/>
          <w:sz w:val="24"/>
          <w:szCs w:val="24"/>
          <w:lang w:val="ro-MD"/>
        </w:rPr>
        <w:t xml:space="preserve">4.1.3. </w:t>
      </w:r>
      <w:r w:rsidR="001314E7" w:rsidRPr="0080251F">
        <w:rPr>
          <w:rFonts w:ascii="Times New Roman" w:eastAsia="SimSun" w:hAnsi="Times New Roman" w:cs="Times New Roman"/>
          <w:b/>
          <w:i/>
          <w:sz w:val="24"/>
          <w:szCs w:val="24"/>
          <w:lang w:val="ro-MD"/>
        </w:rPr>
        <w:t>Urmare a nerespectării cadrului normativ</w:t>
      </w:r>
      <w:r w:rsidR="001314E7" w:rsidRPr="0080251F">
        <w:rPr>
          <w:rFonts w:ascii="Times New Roman" w:eastAsia="SimSun" w:hAnsi="Times New Roman" w:cs="Times New Roman"/>
          <w:b/>
          <w:i/>
          <w:sz w:val="24"/>
          <w:szCs w:val="24"/>
          <w:vertAlign w:val="superscript"/>
          <w:lang w:val="ro-MD"/>
        </w:rPr>
        <w:footnoteReference w:id="22"/>
      </w:r>
      <w:r w:rsidR="001314E7" w:rsidRPr="0080251F">
        <w:rPr>
          <w:rFonts w:ascii="Times New Roman" w:eastAsia="SimSun" w:hAnsi="Times New Roman" w:cs="Times New Roman"/>
          <w:b/>
          <w:i/>
          <w:sz w:val="24"/>
          <w:szCs w:val="24"/>
          <w:lang w:val="ro-MD"/>
        </w:rPr>
        <w:t xml:space="preserve"> și Politicii contabile</w:t>
      </w:r>
      <w:r w:rsidR="001314E7" w:rsidRPr="0080251F">
        <w:rPr>
          <w:rFonts w:ascii="Times New Roman" w:eastAsia="SimSun" w:hAnsi="Times New Roman" w:cs="Times New Roman"/>
          <w:b/>
          <w:i/>
          <w:sz w:val="24"/>
          <w:szCs w:val="24"/>
          <w:vertAlign w:val="superscript"/>
          <w:lang w:val="ro-MD"/>
        </w:rPr>
        <w:footnoteReference w:id="23"/>
      </w:r>
      <w:r w:rsidR="001314E7" w:rsidRPr="0080251F">
        <w:rPr>
          <w:rFonts w:ascii="Times New Roman" w:eastAsia="SimSun" w:hAnsi="Times New Roman" w:cs="Times New Roman"/>
          <w:b/>
          <w:i/>
          <w:sz w:val="24"/>
          <w:szCs w:val="24"/>
          <w:lang w:val="ro-MD"/>
        </w:rPr>
        <w:t>, entitatea a admis înregistrarea neconformă în evidenț</w:t>
      </w:r>
      <w:r w:rsidR="00F73E04" w:rsidRPr="0080251F">
        <w:rPr>
          <w:rFonts w:ascii="Times New Roman" w:eastAsia="SimSun" w:hAnsi="Times New Roman" w:cs="Times New Roman"/>
          <w:b/>
          <w:i/>
          <w:sz w:val="24"/>
          <w:szCs w:val="24"/>
          <w:lang w:val="ro-MD"/>
        </w:rPr>
        <w:t>a</w:t>
      </w:r>
      <w:r w:rsidR="001314E7" w:rsidRPr="0080251F">
        <w:rPr>
          <w:rFonts w:ascii="Times New Roman" w:eastAsia="SimSun" w:hAnsi="Times New Roman" w:cs="Times New Roman"/>
          <w:b/>
          <w:i/>
          <w:sz w:val="24"/>
          <w:szCs w:val="24"/>
          <w:lang w:val="ro-MD"/>
        </w:rPr>
        <w:t xml:space="preserve"> contabilă a</w:t>
      </w:r>
      <w:r w:rsidR="0039379D" w:rsidRPr="0080251F">
        <w:rPr>
          <w:rFonts w:ascii="Times New Roman" w:eastAsia="SimSun" w:hAnsi="Times New Roman" w:cs="Times New Roman"/>
          <w:b/>
          <w:i/>
          <w:sz w:val="24"/>
          <w:szCs w:val="24"/>
          <w:lang w:val="ro-MD"/>
        </w:rPr>
        <w:t xml:space="preserve"> valorii</w:t>
      </w:r>
      <w:r w:rsidR="001314E7" w:rsidRPr="0080251F">
        <w:rPr>
          <w:rFonts w:ascii="Times New Roman" w:eastAsia="SimSun" w:hAnsi="Times New Roman" w:cs="Times New Roman"/>
          <w:b/>
          <w:i/>
          <w:sz w:val="24"/>
          <w:szCs w:val="24"/>
          <w:lang w:val="ro-MD"/>
        </w:rPr>
        <w:t xml:space="preserve"> imobilizărilor corporale reevaluate în anul 2019, </w:t>
      </w:r>
      <w:r w:rsidR="00F73E04" w:rsidRPr="0080251F">
        <w:rPr>
          <w:rFonts w:ascii="Times New Roman" w:eastAsia="SimSun" w:hAnsi="Times New Roman" w:cs="Times New Roman"/>
          <w:b/>
          <w:i/>
          <w:sz w:val="24"/>
          <w:szCs w:val="24"/>
          <w:lang w:val="ro-MD"/>
        </w:rPr>
        <w:t>acestea</w:t>
      </w:r>
      <w:r w:rsidR="001314E7" w:rsidRPr="0080251F">
        <w:rPr>
          <w:rFonts w:ascii="Times New Roman" w:eastAsia="SimSun" w:hAnsi="Times New Roman" w:cs="Times New Roman"/>
          <w:b/>
          <w:i/>
          <w:sz w:val="24"/>
          <w:szCs w:val="24"/>
          <w:lang w:val="ro-MD"/>
        </w:rPr>
        <w:t xml:space="preserve"> nefiind raportate la valoarea justă</w:t>
      </w:r>
      <w:r w:rsidR="008531DC" w:rsidRPr="0080251F">
        <w:rPr>
          <w:rFonts w:ascii="Times New Roman" w:eastAsia="SimSun" w:hAnsi="Times New Roman" w:cs="Times New Roman"/>
          <w:b/>
          <w:i/>
          <w:sz w:val="24"/>
          <w:szCs w:val="24"/>
          <w:lang w:val="ro-MD"/>
        </w:rPr>
        <w:t>.</w:t>
      </w:r>
      <w:r w:rsidR="00E93AD9" w:rsidRPr="0080251F">
        <w:rPr>
          <w:rFonts w:ascii="Times New Roman" w:eastAsia="SimSun" w:hAnsi="Times New Roman" w:cs="Times New Roman"/>
          <w:b/>
          <w:i/>
          <w:sz w:val="24"/>
          <w:szCs w:val="24"/>
          <w:lang w:val="ro-MD"/>
        </w:rPr>
        <w:t xml:space="preserve"> </w:t>
      </w:r>
      <w:r w:rsidR="00CA03A0" w:rsidRPr="0080251F">
        <w:rPr>
          <w:rFonts w:ascii="Times New Roman" w:eastAsia="SimSun" w:hAnsi="Times New Roman" w:cs="Times New Roman"/>
          <w:b/>
          <w:i/>
          <w:sz w:val="24"/>
          <w:szCs w:val="24"/>
          <w:lang w:val="ro-MD"/>
        </w:rPr>
        <w:t xml:space="preserve">Astfel, </w:t>
      </w:r>
      <w:r w:rsidR="0039379D" w:rsidRPr="0080251F">
        <w:rPr>
          <w:rFonts w:ascii="Times New Roman" w:eastAsia="SimSun" w:hAnsi="Times New Roman" w:cs="Times New Roman"/>
          <w:b/>
          <w:i/>
          <w:sz w:val="24"/>
          <w:szCs w:val="24"/>
          <w:lang w:val="ro-MD"/>
        </w:rPr>
        <w:t>abaterile</w:t>
      </w:r>
      <w:r w:rsidR="001314E7" w:rsidRPr="0080251F">
        <w:rPr>
          <w:rFonts w:ascii="Times New Roman" w:eastAsia="SimSun" w:hAnsi="Times New Roman" w:cs="Times New Roman"/>
          <w:b/>
          <w:i/>
          <w:sz w:val="24"/>
          <w:szCs w:val="24"/>
          <w:lang w:val="ro-MD"/>
        </w:rPr>
        <w:t xml:space="preserve"> admise au determinat existența următoarelor situații financiare neconforme: diminuarea valorii juste a imobilizărilor corporale cu 21,6 mil. lei; </w:t>
      </w:r>
      <w:r w:rsidR="00D875EA" w:rsidRPr="0080251F">
        <w:rPr>
          <w:rFonts w:ascii="Times New Roman" w:eastAsia="SimSun" w:hAnsi="Times New Roman" w:cs="Times New Roman"/>
          <w:b/>
          <w:i/>
          <w:sz w:val="24"/>
          <w:szCs w:val="24"/>
          <w:lang w:val="ro-MD"/>
        </w:rPr>
        <w:t>neevaluarea</w:t>
      </w:r>
      <w:r w:rsidR="001314E7" w:rsidRPr="0080251F">
        <w:rPr>
          <w:rFonts w:ascii="Times New Roman" w:eastAsia="SimSun" w:hAnsi="Times New Roman" w:cs="Times New Roman"/>
          <w:b/>
          <w:i/>
          <w:sz w:val="24"/>
          <w:szCs w:val="24"/>
          <w:lang w:val="ro-MD"/>
        </w:rPr>
        <w:t xml:space="preserve"> a 3 mijloace fixe existente care se utilizează, </w:t>
      </w:r>
      <w:r w:rsidR="00AC0811" w:rsidRPr="0080251F">
        <w:rPr>
          <w:rFonts w:ascii="Times New Roman" w:eastAsia="SimSun" w:hAnsi="Times New Roman" w:cs="Times New Roman"/>
          <w:b/>
          <w:i/>
          <w:sz w:val="24"/>
          <w:szCs w:val="24"/>
          <w:lang w:val="ro-MD"/>
        </w:rPr>
        <w:t xml:space="preserve">a căror </w:t>
      </w:r>
      <w:r w:rsidR="001314E7" w:rsidRPr="0080251F">
        <w:rPr>
          <w:rFonts w:ascii="Times New Roman" w:eastAsia="SimSun" w:hAnsi="Times New Roman" w:cs="Times New Roman"/>
          <w:b/>
          <w:i/>
          <w:sz w:val="24"/>
          <w:szCs w:val="24"/>
          <w:lang w:val="ro-MD"/>
        </w:rPr>
        <w:t>valoare contabilă de intrare a constituit 769,8 mii lei</w:t>
      </w:r>
      <w:r w:rsidR="003534DE" w:rsidRPr="0080251F">
        <w:rPr>
          <w:rFonts w:ascii="Times New Roman" w:eastAsia="SimSun" w:hAnsi="Times New Roman" w:cs="Times New Roman"/>
          <w:b/>
          <w:i/>
          <w:sz w:val="24"/>
          <w:szCs w:val="24"/>
          <w:lang w:val="ro-MD"/>
        </w:rPr>
        <w:t>.</w:t>
      </w:r>
    </w:p>
    <w:p w14:paraId="6A21F5A3" w14:textId="4C8560E3" w:rsidR="001314E7" w:rsidRPr="0080251F" w:rsidRDefault="001314E7" w:rsidP="00473482">
      <w:pPr>
        <w:tabs>
          <w:tab w:val="left" w:pos="709"/>
        </w:tabs>
        <w:spacing w:after="0" w:line="276" w:lineRule="auto"/>
        <w:ind w:firstLine="709"/>
        <w:jc w:val="both"/>
        <w:rPr>
          <w:rFonts w:ascii="Times New Roman" w:eastAsia="SimSun" w:hAnsi="Times New Roman" w:cs="Times New Roman"/>
          <w:sz w:val="24"/>
          <w:szCs w:val="24"/>
          <w:lang w:val="ro-MD"/>
        </w:rPr>
      </w:pPr>
      <w:r w:rsidRPr="0080251F">
        <w:rPr>
          <w:rFonts w:ascii="Times New Roman" w:eastAsia="SimSun" w:hAnsi="Times New Roman" w:cs="Times New Roman"/>
          <w:sz w:val="24"/>
          <w:szCs w:val="24"/>
          <w:lang w:val="ro-MD"/>
        </w:rPr>
        <w:t>Reevaluarea imobilizărilor corporale a fost efectuată după trecerea la noile standarde de evidență și raportar</w:t>
      </w:r>
      <w:r w:rsidR="00B531A8" w:rsidRPr="0080251F">
        <w:rPr>
          <w:rFonts w:ascii="Times New Roman" w:eastAsia="SimSun" w:hAnsi="Times New Roman" w:cs="Times New Roman"/>
          <w:sz w:val="24"/>
          <w:szCs w:val="24"/>
          <w:lang w:val="ro-MD"/>
        </w:rPr>
        <w:t>e financiară în anul 2020 (IAS</w:t>
      </w:r>
      <w:r w:rsidRPr="0080251F">
        <w:rPr>
          <w:rFonts w:ascii="Times New Roman" w:eastAsia="SimSun" w:hAnsi="Times New Roman" w:cs="Times New Roman"/>
          <w:sz w:val="24"/>
          <w:szCs w:val="24"/>
          <w:lang w:val="ro-MD"/>
        </w:rPr>
        <w:t xml:space="preserve">, IFRS), comparativ cu situațiile financiare raportate în anul 2019. Evaluarea imobilizărilor corporale </w:t>
      </w:r>
      <w:r w:rsidR="00AC0811" w:rsidRPr="0080251F">
        <w:rPr>
          <w:rFonts w:ascii="Times New Roman" w:eastAsia="SimSun" w:hAnsi="Times New Roman" w:cs="Times New Roman"/>
          <w:sz w:val="24"/>
          <w:szCs w:val="24"/>
          <w:lang w:val="ro-MD"/>
        </w:rPr>
        <w:t>s-</w:t>
      </w:r>
      <w:r w:rsidRPr="0080251F">
        <w:rPr>
          <w:rFonts w:ascii="Times New Roman" w:eastAsia="SimSun" w:hAnsi="Times New Roman" w:cs="Times New Roman"/>
          <w:sz w:val="24"/>
          <w:szCs w:val="24"/>
          <w:lang w:val="ro-MD"/>
        </w:rPr>
        <w:t>a efectuat cu asistența evaluatorului extern</w:t>
      </w:r>
      <w:r w:rsidRPr="0080251F">
        <w:rPr>
          <w:rFonts w:ascii="Times New Roman" w:eastAsia="SimSun" w:hAnsi="Times New Roman" w:cs="Times New Roman"/>
          <w:sz w:val="24"/>
          <w:szCs w:val="24"/>
          <w:vertAlign w:val="superscript"/>
          <w:lang w:val="ro-MD"/>
        </w:rPr>
        <w:footnoteReference w:id="24"/>
      </w:r>
      <w:r w:rsidRPr="0080251F">
        <w:rPr>
          <w:rFonts w:ascii="Times New Roman" w:eastAsia="SimSun" w:hAnsi="Times New Roman" w:cs="Times New Roman"/>
          <w:sz w:val="24"/>
          <w:szCs w:val="24"/>
          <w:lang w:val="ro-MD"/>
        </w:rPr>
        <w:t>, în baza contractului</w:t>
      </w:r>
      <w:r w:rsidR="009953C2" w:rsidRPr="0080251F">
        <w:rPr>
          <w:rFonts w:ascii="Times New Roman" w:eastAsia="SimSun" w:hAnsi="Times New Roman" w:cs="Times New Roman"/>
          <w:sz w:val="24"/>
          <w:szCs w:val="24"/>
          <w:lang w:val="ro-MD"/>
        </w:rPr>
        <w:t xml:space="preserve"> nr.548 din 24.10.2019</w:t>
      </w:r>
      <w:r w:rsidR="00AC0811" w:rsidRPr="0080251F">
        <w:rPr>
          <w:rFonts w:ascii="Times New Roman" w:eastAsia="SimSun" w:hAnsi="Times New Roman" w:cs="Times New Roman"/>
          <w:sz w:val="24"/>
          <w:szCs w:val="24"/>
          <w:lang w:val="ro-MD"/>
        </w:rPr>
        <w:t>,</w:t>
      </w:r>
      <w:r w:rsidR="009953C2" w:rsidRPr="0080251F">
        <w:rPr>
          <w:rFonts w:ascii="Times New Roman" w:eastAsia="SimSun" w:hAnsi="Times New Roman" w:cs="Times New Roman"/>
          <w:sz w:val="24"/>
          <w:szCs w:val="24"/>
          <w:lang w:val="ro-MD"/>
        </w:rPr>
        <w:t xml:space="preserve"> în sumă </w:t>
      </w:r>
      <w:r w:rsidRPr="0080251F">
        <w:rPr>
          <w:rFonts w:ascii="Times New Roman" w:eastAsia="SimSun" w:hAnsi="Times New Roman" w:cs="Times New Roman"/>
          <w:sz w:val="24"/>
          <w:szCs w:val="24"/>
          <w:lang w:val="ro-MD"/>
        </w:rPr>
        <w:t>de 600,0 mii lei. În sensul prevederilor contractului semnat de către părți, procesul de evaluare a prezumat executarea următoarelor activități obligatorii: examinarea vizuală exterioară; efectuarea calculelor și analizelor; preluarea mostrelor; constatarea imagin</w:t>
      </w:r>
      <w:r w:rsidR="00AC0811" w:rsidRPr="0080251F">
        <w:rPr>
          <w:rFonts w:ascii="Times New Roman" w:eastAsia="SimSun" w:hAnsi="Times New Roman" w:cs="Times New Roman"/>
          <w:sz w:val="24"/>
          <w:szCs w:val="24"/>
          <w:lang w:val="ro-MD"/>
        </w:rPr>
        <w:t>i</w:t>
      </w:r>
      <w:r w:rsidRPr="0080251F">
        <w:rPr>
          <w:rFonts w:ascii="Times New Roman" w:eastAsia="SimSun" w:hAnsi="Times New Roman" w:cs="Times New Roman"/>
          <w:sz w:val="24"/>
          <w:szCs w:val="24"/>
          <w:lang w:val="ro-MD"/>
        </w:rPr>
        <w:t>lor; oferirea unei concluzii imparțiale scrise despre starea bunului și condițiile de utilizare a acestuia; estimarea valorii de piaț</w:t>
      </w:r>
      <w:r w:rsidR="00AC0811" w:rsidRPr="0080251F">
        <w:rPr>
          <w:rFonts w:ascii="Times New Roman" w:eastAsia="SimSun" w:hAnsi="Times New Roman" w:cs="Times New Roman"/>
          <w:sz w:val="24"/>
          <w:szCs w:val="24"/>
          <w:lang w:val="ro-MD"/>
        </w:rPr>
        <w:t>ă</w:t>
      </w:r>
      <w:r w:rsidRPr="0080251F">
        <w:rPr>
          <w:rFonts w:ascii="Times New Roman" w:eastAsia="SimSun" w:hAnsi="Times New Roman" w:cs="Times New Roman"/>
          <w:sz w:val="24"/>
          <w:szCs w:val="24"/>
          <w:lang w:val="ro-MD"/>
        </w:rPr>
        <w:t xml:space="preserve"> a bunului; întocmirea unui raport de evaluare în privința bunului sau unui grup de bunuri. Conform datelor din rapoartele de evaluare, au fost reevaluate 40.820 unități de bunuri imobile și mobile și apreciată valoarea estimativă a lor în sumă de 2.583,7 mil. lei.  </w:t>
      </w:r>
    </w:p>
    <w:p w14:paraId="3253F366" w14:textId="69950896" w:rsidR="0001361F" w:rsidRPr="0080251F" w:rsidRDefault="001314E7" w:rsidP="001314E7">
      <w:pPr>
        <w:tabs>
          <w:tab w:val="left" w:pos="709"/>
        </w:tabs>
        <w:spacing w:after="0" w:line="276" w:lineRule="auto"/>
        <w:ind w:firstLine="709"/>
        <w:jc w:val="both"/>
        <w:rPr>
          <w:rFonts w:ascii="Times New Roman" w:eastAsia="SimSun" w:hAnsi="Times New Roman" w:cs="Times New Roman"/>
          <w:sz w:val="24"/>
          <w:szCs w:val="24"/>
          <w:lang w:val="ro-MD"/>
        </w:rPr>
      </w:pPr>
      <w:r w:rsidRPr="0080251F">
        <w:rPr>
          <w:rFonts w:ascii="Times New Roman" w:eastAsia="SimSun" w:hAnsi="Times New Roman" w:cs="Times New Roman"/>
          <w:sz w:val="24"/>
          <w:szCs w:val="24"/>
          <w:lang w:val="ro-MD"/>
        </w:rPr>
        <w:t>S.A. „RED-Nord” a recunoscut ajustările rezultate din reevaluare într-o categorie a capitalului propriu, fiind</w:t>
      </w:r>
      <w:r w:rsidR="009953C2" w:rsidRPr="0080251F">
        <w:rPr>
          <w:rFonts w:ascii="Times New Roman" w:eastAsia="SimSun" w:hAnsi="Times New Roman" w:cs="Times New Roman"/>
          <w:sz w:val="24"/>
          <w:szCs w:val="24"/>
          <w:lang w:val="ro-MD"/>
        </w:rPr>
        <w:t xml:space="preserve"> efectuate calculele respective</w:t>
      </w:r>
      <w:r w:rsidR="00B46D3B" w:rsidRPr="0080251F">
        <w:rPr>
          <w:rFonts w:ascii="Times New Roman" w:eastAsia="SimSun" w:hAnsi="Times New Roman" w:cs="Times New Roman"/>
          <w:sz w:val="24"/>
          <w:szCs w:val="24"/>
          <w:lang w:val="ro-MD"/>
        </w:rPr>
        <w:t xml:space="preserve"> în</w:t>
      </w:r>
      <w:r w:rsidRPr="0080251F">
        <w:rPr>
          <w:rFonts w:ascii="Times New Roman" w:eastAsia="SimSun" w:hAnsi="Times New Roman" w:cs="Times New Roman"/>
          <w:sz w:val="24"/>
          <w:szCs w:val="24"/>
          <w:lang w:val="ro-MD"/>
        </w:rPr>
        <w:t xml:space="preserve"> data trecerii la noile standarde</w:t>
      </w:r>
      <w:r w:rsidR="00F312F6" w:rsidRPr="0080251F">
        <w:rPr>
          <w:rFonts w:ascii="Times New Roman" w:eastAsia="SimSun" w:hAnsi="Times New Roman" w:cs="Times New Roman"/>
          <w:sz w:val="24"/>
          <w:szCs w:val="24"/>
          <w:lang w:val="ro-MD"/>
        </w:rPr>
        <w:t xml:space="preserve">. </w:t>
      </w:r>
    </w:p>
    <w:p w14:paraId="62FA5EDE" w14:textId="71506B27" w:rsidR="00B531A8" w:rsidRPr="0080251F" w:rsidRDefault="00B531A8" w:rsidP="00B531A8">
      <w:pPr>
        <w:spacing w:after="0" w:line="276" w:lineRule="auto"/>
        <w:ind w:firstLine="709"/>
        <w:jc w:val="both"/>
        <w:rPr>
          <w:rFonts w:ascii="Times New Roman" w:eastAsia="SimSun" w:hAnsi="Times New Roman" w:cs="Times New Roman"/>
          <w:sz w:val="24"/>
          <w:szCs w:val="24"/>
          <w:lang w:val="ro-MD"/>
        </w:rPr>
      </w:pPr>
      <w:r w:rsidRPr="0080251F">
        <w:rPr>
          <w:rFonts w:ascii="Times New Roman" w:eastAsia="SimSun" w:hAnsi="Times New Roman" w:cs="Times New Roman"/>
          <w:sz w:val="24"/>
          <w:szCs w:val="24"/>
          <w:lang w:val="ro-MD"/>
        </w:rPr>
        <w:t xml:space="preserve">Revizuirea termenelor de utilizare a mijloacelor fixe s-a efectuat de către </w:t>
      </w:r>
      <w:r w:rsidR="009077FD" w:rsidRPr="0080251F">
        <w:rPr>
          <w:rFonts w:ascii="Times New Roman" w:eastAsia="SimSun" w:hAnsi="Times New Roman" w:cs="Times New Roman"/>
          <w:sz w:val="24"/>
          <w:szCs w:val="24"/>
          <w:lang w:val="ro-MD"/>
        </w:rPr>
        <w:t>specialiștii tehnicieni în domeniul exploatării rețelelor electrice</w:t>
      </w:r>
      <w:r w:rsidR="0093476B" w:rsidRPr="0080251F">
        <w:rPr>
          <w:rFonts w:ascii="Times New Roman" w:eastAsia="SimSun" w:hAnsi="Times New Roman" w:cs="Times New Roman"/>
          <w:sz w:val="24"/>
          <w:szCs w:val="24"/>
          <w:lang w:val="ro-MD"/>
        </w:rPr>
        <w:t xml:space="preserve"> a</w:t>
      </w:r>
      <w:r w:rsidR="005E6E3F" w:rsidRPr="0080251F">
        <w:rPr>
          <w:rFonts w:ascii="Times New Roman" w:eastAsia="SimSun" w:hAnsi="Times New Roman" w:cs="Times New Roman"/>
          <w:sz w:val="24"/>
          <w:szCs w:val="24"/>
          <w:lang w:val="ro-MD"/>
        </w:rPr>
        <w:t>le</w:t>
      </w:r>
      <w:r w:rsidRPr="0080251F">
        <w:rPr>
          <w:rFonts w:ascii="Times New Roman" w:eastAsia="SimSun" w:hAnsi="Times New Roman" w:cs="Times New Roman"/>
          <w:sz w:val="24"/>
          <w:szCs w:val="24"/>
          <w:lang w:val="ro-MD"/>
        </w:rPr>
        <w:t xml:space="preserve"> S.A. „RED-Nord” în perioada ianuarie - februarie a</w:t>
      </w:r>
      <w:r w:rsidR="005E6E3F" w:rsidRPr="0080251F">
        <w:rPr>
          <w:rFonts w:ascii="Times New Roman" w:eastAsia="SimSun" w:hAnsi="Times New Roman" w:cs="Times New Roman"/>
          <w:sz w:val="24"/>
          <w:szCs w:val="24"/>
          <w:lang w:val="ro-MD"/>
        </w:rPr>
        <w:t xml:space="preserve"> </w:t>
      </w:r>
      <w:r w:rsidRPr="0080251F">
        <w:rPr>
          <w:rFonts w:ascii="Times New Roman" w:eastAsia="SimSun" w:hAnsi="Times New Roman" w:cs="Times New Roman"/>
          <w:sz w:val="24"/>
          <w:szCs w:val="24"/>
          <w:lang w:val="ro-MD"/>
        </w:rPr>
        <w:t xml:space="preserve"> anului 2020, iar datele pentru 40.884 obiecte de evidență a mijloacelor fixe au fost introduse în sistemul informațional în luna februarie anul 2020.</w:t>
      </w:r>
    </w:p>
    <w:p w14:paraId="3A16519A" w14:textId="51AF7214" w:rsidR="00B531A8" w:rsidRPr="0080251F" w:rsidRDefault="00470CF6" w:rsidP="00B531A8">
      <w:pPr>
        <w:spacing w:after="0" w:line="276" w:lineRule="auto"/>
        <w:ind w:firstLine="709"/>
        <w:jc w:val="both"/>
        <w:rPr>
          <w:rFonts w:ascii="Times New Roman" w:eastAsia="SimSun" w:hAnsi="Times New Roman" w:cs="Times New Roman"/>
          <w:sz w:val="24"/>
          <w:szCs w:val="24"/>
          <w:lang w:val="ro-MD"/>
        </w:rPr>
      </w:pPr>
      <w:r w:rsidRPr="0080251F">
        <w:rPr>
          <w:rFonts w:ascii="Times New Roman" w:eastAsia="SimSun" w:hAnsi="Times New Roman" w:cs="Times New Roman"/>
          <w:sz w:val="24"/>
          <w:szCs w:val="24"/>
          <w:lang w:val="ro-MD"/>
        </w:rPr>
        <w:t>Re</w:t>
      </w:r>
      <w:r w:rsidR="00B531A8" w:rsidRPr="0080251F">
        <w:rPr>
          <w:rFonts w:ascii="Times New Roman" w:eastAsia="SimSun" w:hAnsi="Times New Roman" w:cs="Times New Roman"/>
          <w:sz w:val="24"/>
          <w:szCs w:val="24"/>
          <w:lang w:val="ro-MD"/>
        </w:rPr>
        <w:t xml:space="preserve">vizuirea termenelor de utilizare a mijloacelor fixe nu s-a efectuat concomitent </w:t>
      </w:r>
      <w:r w:rsidRPr="0080251F">
        <w:rPr>
          <w:rFonts w:ascii="Times New Roman" w:eastAsia="SimSun" w:hAnsi="Times New Roman" w:cs="Times New Roman"/>
          <w:sz w:val="24"/>
          <w:szCs w:val="24"/>
          <w:lang w:val="ro-MD"/>
        </w:rPr>
        <w:t>cu</w:t>
      </w:r>
      <w:r w:rsidR="00B531A8" w:rsidRPr="0080251F">
        <w:rPr>
          <w:rFonts w:ascii="Times New Roman" w:eastAsia="SimSun" w:hAnsi="Times New Roman" w:cs="Times New Roman"/>
          <w:sz w:val="24"/>
          <w:szCs w:val="24"/>
          <w:lang w:val="ro-MD"/>
        </w:rPr>
        <w:t xml:space="preserve"> reevaluarea acestora, ceea ce a determinat înregistrarea diminuării valor</w:t>
      </w:r>
      <w:r w:rsidR="00A36874" w:rsidRPr="0080251F">
        <w:rPr>
          <w:rFonts w:ascii="Times New Roman" w:eastAsia="SimSun" w:hAnsi="Times New Roman" w:cs="Times New Roman"/>
          <w:sz w:val="24"/>
          <w:szCs w:val="24"/>
          <w:lang w:val="ro-MD"/>
        </w:rPr>
        <w:t>ii juste a unor mijloace fixe la</w:t>
      </w:r>
      <w:r w:rsidR="00B531A8" w:rsidRPr="0080251F">
        <w:rPr>
          <w:rFonts w:ascii="Times New Roman" w:eastAsia="SimSun" w:hAnsi="Times New Roman" w:cs="Times New Roman"/>
          <w:sz w:val="24"/>
          <w:szCs w:val="24"/>
          <w:lang w:val="ro-MD"/>
        </w:rPr>
        <w:t xml:space="preserve"> valoarea zero. Astfel, pentru 5</w:t>
      </w:r>
      <w:r w:rsidR="00C840E3" w:rsidRPr="0080251F">
        <w:rPr>
          <w:rFonts w:ascii="Times New Roman" w:eastAsia="SimSun" w:hAnsi="Times New Roman" w:cs="Times New Roman"/>
          <w:sz w:val="24"/>
          <w:szCs w:val="24"/>
          <w:lang w:val="ro-MD"/>
        </w:rPr>
        <w:t>.</w:t>
      </w:r>
      <w:r w:rsidR="00B531A8" w:rsidRPr="0080251F">
        <w:rPr>
          <w:rFonts w:ascii="Times New Roman" w:eastAsia="SimSun" w:hAnsi="Times New Roman" w:cs="Times New Roman"/>
          <w:sz w:val="24"/>
          <w:szCs w:val="24"/>
          <w:lang w:val="ro-MD"/>
        </w:rPr>
        <w:t xml:space="preserve">154 unități de mijloace fixe, care au fost reevaluate în anul 2019 la suma de </w:t>
      </w:r>
      <w:r w:rsidR="00B531A8" w:rsidRPr="0080251F">
        <w:rPr>
          <w:rFonts w:ascii="Times New Roman" w:eastAsia="SimSun" w:hAnsi="Times New Roman" w:cs="Times New Roman"/>
          <w:b/>
          <w:sz w:val="24"/>
          <w:szCs w:val="24"/>
          <w:lang w:val="ro-MD"/>
        </w:rPr>
        <w:t>4,9 mil. lei</w:t>
      </w:r>
      <w:r w:rsidR="00B531A8" w:rsidRPr="0080251F">
        <w:rPr>
          <w:rFonts w:ascii="Times New Roman" w:eastAsia="SimSun" w:hAnsi="Times New Roman" w:cs="Times New Roman"/>
          <w:sz w:val="24"/>
          <w:szCs w:val="24"/>
          <w:vertAlign w:val="superscript"/>
          <w:lang w:val="ro-MD"/>
        </w:rPr>
        <w:footnoteReference w:id="25"/>
      </w:r>
      <w:r w:rsidR="00B531A8" w:rsidRPr="0080251F">
        <w:rPr>
          <w:rFonts w:ascii="Times New Roman" w:eastAsia="SimSun" w:hAnsi="Times New Roman" w:cs="Times New Roman"/>
          <w:sz w:val="24"/>
          <w:szCs w:val="24"/>
          <w:lang w:val="ro-MD"/>
        </w:rPr>
        <w:t xml:space="preserve"> </w:t>
      </w:r>
      <w:r w:rsidR="00A36874" w:rsidRPr="0080251F">
        <w:rPr>
          <w:rFonts w:ascii="Times New Roman" w:eastAsia="SimSun" w:hAnsi="Times New Roman" w:cs="Times New Roman"/>
          <w:sz w:val="24"/>
          <w:szCs w:val="24"/>
          <w:lang w:val="ro-MD"/>
        </w:rPr>
        <w:t xml:space="preserve">și </w:t>
      </w:r>
      <w:r w:rsidR="00B531A8" w:rsidRPr="0080251F">
        <w:rPr>
          <w:rFonts w:ascii="Times New Roman" w:eastAsia="SimSun" w:hAnsi="Times New Roman" w:cs="Times New Roman"/>
          <w:sz w:val="24"/>
          <w:szCs w:val="24"/>
          <w:lang w:val="ro-MD"/>
        </w:rPr>
        <w:t xml:space="preserve">care au avut la sfârșitul anului 2019 durata de utilizare rămasă </w:t>
      </w:r>
      <w:r w:rsidRPr="0080251F">
        <w:rPr>
          <w:rFonts w:ascii="Times New Roman" w:eastAsia="SimSun" w:hAnsi="Times New Roman" w:cs="Times New Roman"/>
          <w:sz w:val="24"/>
          <w:szCs w:val="24"/>
          <w:lang w:val="ro-MD"/>
        </w:rPr>
        <w:t xml:space="preserve">de </w:t>
      </w:r>
      <w:r w:rsidR="00B531A8" w:rsidRPr="0080251F">
        <w:rPr>
          <w:rFonts w:ascii="Times New Roman" w:eastAsia="SimSun" w:hAnsi="Times New Roman" w:cs="Times New Roman"/>
          <w:sz w:val="24"/>
          <w:szCs w:val="24"/>
          <w:lang w:val="ro-MD"/>
        </w:rPr>
        <w:t>2 - 4 luni, nu s-au reexaminat termenele de utilizare/durata de funcționare a acestora. Drept urmare, în perioada 01.01.2020 - 31.12.2022, aceste imobilizări, care au continuat să fi</w:t>
      </w:r>
      <w:r w:rsidR="00A36874" w:rsidRPr="0080251F">
        <w:rPr>
          <w:rFonts w:ascii="Times New Roman" w:eastAsia="SimSun" w:hAnsi="Times New Roman" w:cs="Times New Roman"/>
          <w:sz w:val="24"/>
          <w:szCs w:val="24"/>
          <w:lang w:val="ro-MD"/>
        </w:rPr>
        <w:t>e</w:t>
      </w:r>
      <w:r w:rsidR="00B531A8" w:rsidRPr="0080251F">
        <w:rPr>
          <w:rFonts w:ascii="Times New Roman" w:eastAsia="SimSun" w:hAnsi="Times New Roman" w:cs="Times New Roman"/>
          <w:sz w:val="24"/>
          <w:szCs w:val="24"/>
          <w:lang w:val="ro-MD"/>
        </w:rPr>
        <w:t xml:space="preserve"> exploatate,</w:t>
      </w:r>
      <w:r w:rsidR="00A36874" w:rsidRPr="0080251F">
        <w:rPr>
          <w:rFonts w:ascii="Times New Roman" w:eastAsia="SimSun" w:hAnsi="Times New Roman" w:cs="Times New Roman"/>
          <w:sz w:val="24"/>
          <w:szCs w:val="24"/>
          <w:lang w:val="ro-MD"/>
        </w:rPr>
        <w:t xml:space="preserve"> au fost raportate la valoarea „</w:t>
      </w:r>
      <w:r w:rsidR="00B531A8" w:rsidRPr="0080251F">
        <w:rPr>
          <w:rFonts w:ascii="Times New Roman" w:eastAsia="SimSun" w:hAnsi="Times New Roman" w:cs="Times New Roman"/>
          <w:sz w:val="24"/>
          <w:szCs w:val="24"/>
          <w:lang w:val="ro-MD"/>
        </w:rPr>
        <w:t>0” (zero).</w:t>
      </w:r>
    </w:p>
    <w:p w14:paraId="05454A74" w14:textId="316F1D80" w:rsidR="00B531A8" w:rsidRPr="0080251F" w:rsidRDefault="00B531A8" w:rsidP="00B531A8">
      <w:pPr>
        <w:spacing w:after="0" w:line="276" w:lineRule="auto"/>
        <w:ind w:firstLine="709"/>
        <w:jc w:val="both"/>
        <w:rPr>
          <w:rFonts w:ascii="Times New Roman" w:eastAsia="SimSun" w:hAnsi="Times New Roman" w:cs="Times New Roman"/>
          <w:sz w:val="24"/>
          <w:szCs w:val="24"/>
          <w:lang w:val="ro-MD"/>
        </w:rPr>
      </w:pPr>
      <w:r w:rsidRPr="0080251F">
        <w:rPr>
          <w:rFonts w:ascii="Times New Roman" w:eastAsia="SimSun" w:hAnsi="Times New Roman" w:cs="Times New Roman"/>
          <w:sz w:val="24"/>
          <w:szCs w:val="24"/>
          <w:lang w:val="ro-MD"/>
        </w:rPr>
        <w:t xml:space="preserve">Totodată, la revizuirea termenelor de utilizare a mijloacelor fixe reevaluate la suma de </w:t>
      </w:r>
      <w:r w:rsidRPr="0080251F">
        <w:rPr>
          <w:rFonts w:ascii="Times New Roman" w:eastAsia="SimSun" w:hAnsi="Times New Roman" w:cs="Times New Roman"/>
          <w:b/>
          <w:sz w:val="24"/>
          <w:szCs w:val="24"/>
          <w:lang w:val="ro-MD"/>
        </w:rPr>
        <w:t>16,7 mil. lei</w:t>
      </w:r>
      <w:r w:rsidRPr="0080251F">
        <w:rPr>
          <w:rFonts w:ascii="Times New Roman" w:eastAsia="SimSun" w:hAnsi="Times New Roman" w:cs="Times New Roman"/>
          <w:sz w:val="24"/>
          <w:szCs w:val="24"/>
          <w:vertAlign w:val="superscript"/>
          <w:lang w:val="ro-MD"/>
        </w:rPr>
        <w:footnoteReference w:id="26"/>
      </w:r>
      <w:r w:rsidRPr="0080251F">
        <w:rPr>
          <w:rFonts w:ascii="Times New Roman" w:eastAsia="SimSun" w:hAnsi="Times New Roman" w:cs="Times New Roman"/>
          <w:sz w:val="24"/>
          <w:szCs w:val="24"/>
          <w:lang w:val="ro-MD"/>
        </w:rPr>
        <w:t>, perioada de exploatare s-a determinat în limitele de la 1 până la 11 luni, deși, conform standardelor de evidență contabilă, perioada de exploatare a mijlocului fix este mai mare de un an. Drept urmare, aceste imobilizări, care au continuat să fi</w:t>
      </w:r>
      <w:r w:rsidR="00A36874" w:rsidRPr="0080251F">
        <w:rPr>
          <w:rFonts w:ascii="Times New Roman" w:eastAsia="SimSun" w:hAnsi="Times New Roman" w:cs="Times New Roman"/>
          <w:sz w:val="24"/>
          <w:szCs w:val="24"/>
          <w:lang w:val="ro-MD"/>
        </w:rPr>
        <w:t>e</w:t>
      </w:r>
      <w:r w:rsidRPr="0080251F">
        <w:rPr>
          <w:rFonts w:ascii="Times New Roman" w:eastAsia="SimSun" w:hAnsi="Times New Roman" w:cs="Times New Roman"/>
          <w:sz w:val="24"/>
          <w:szCs w:val="24"/>
          <w:lang w:val="ro-MD"/>
        </w:rPr>
        <w:t xml:space="preserve"> exploatate, la expirarea termenelor respective</w:t>
      </w:r>
      <w:r w:rsidR="00126100" w:rsidRPr="0080251F">
        <w:rPr>
          <w:rFonts w:ascii="Times New Roman" w:eastAsia="SimSun" w:hAnsi="Times New Roman" w:cs="Times New Roman"/>
          <w:sz w:val="24"/>
          <w:szCs w:val="24"/>
          <w:lang w:val="ro-MD"/>
        </w:rPr>
        <w:t>,</w:t>
      </w:r>
      <w:r w:rsidRPr="0080251F">
        <w:rPr>
          <w:rFonts w:ascii="Times New Roman" w:eastAsia="SimSun" w:hAnsi="Times New Roman" w:cs="Times New Roman"/>
          <w:sz w:val="24"/>
          <w:szCs w:val="24"/>
          <w:lang w:val="ro-MD"/>
        </w:rPr>
        <w:t xml:space="preserve"> au fost raportate nejustific</w:t>
      </w:r>
      <w:r w:rsidR="00D72455" w:rsidRPr="0080251F">
        <w:rPr>
          <w:rFonts w:ascii="Times New Roman" w:eastAsia="SimSun" w:hAnsi="Times New Roman" w:cs="Times New Roman"/>
          <w:sz w:val="24"/>
          <w:szCs w:val="24"/>
          <w:lang w:val="ro-MD"/>
        </w:rPr>
        <w:t>at la valoarea „</w:t>
      </w:r>
      <w:r w:rsidRPr="0080251F">
        <w:rPr>
          <w:rFonts w:ascii="Times New Roman" w:eastAsia="SimSun" w:hAnsi="Times New Roman" w:cs="Times New Roman"/>
          <w:sz w:val="24"/>
          <w:szCs w:val="24"/>
          <w:lang w:val="ro-MD"/>
        </w:rPr>
        <w:t>0” (7.442 obiecte).</w:t>
      </w:r>
    </w:p>
    <w:p w14:paraId="3FC4F3B1" w14:textId="412C36A1" w:rsidR="0042633C" w:rsidRPr="0080251F" w:rsidRDefault="00B531A8" w:rsidP="002D3CB9">
      <w:pPr>
        <w:tabs>
          <w:tab w:val="left" w:pos="709"/>
        </w:tabs>
        <w:spacing w:after="0" w:line="276" w:lineRule="auto"/>
        <w:ind w:firstLine="709"/>
        <w:jc w:val="both"/>
        <w:rPr>
          <w:rFonts w:ascii="Times New Roman" w:eastAsia="SimSun" w:hAnsi="Times New Roman" w:cs="Times New Roman"/>
          <w:sz w:val="24"/>
          <w:szCs w:val="24"/>
          <w:lang w:val="ro-MD"/>
        </w:rPr>
      </w:pPr>
      <w:r w:rsidRPr="0080251F">
        <w:rPr>
          <w:rFonts w:ascii="Times New Roman" w:eastAsia="SimSun" w:hAnsi="Times New Roman" w:cs="Times New Roman"/>
          <w:sz w:val="24"/>
          <w:szCs w:val="24"/>
          <w:lang w:val="ro-MD"/>
        </w:rPr>
        <w:t>La fel</w:t>
      </w:r>
      <w:r w:rsidR="00C30364" w:rsidRPr="0080251F">
        <w:rPr>
          <w:rFonts w:ascii="Times New Roman" w:eastAsia="SimSun" w:hAnsi="Times New Roman" w:cs="Times New Roman"/>
          <w:sz w:val="24"/>
          <w:szCs w:val="24"/>
          <w:lang w:val="ro-MD"/>
        </w:rPr>
        <w:t>,</w:t>
      </w:r>
      <w:r w:rsidRPr="0080251F">
        <w:rPr>
          <w:rFonts w:ascii="Times New Roman" w:eastAsia="SimSun" w:hAnsi="Times New Roman" w:cs="Times New Roman"/>
          <w:sz w:val="24"/>
          <w:szCs w:val="24"/>
          <w:lang w:val="ro-MD"/>
        </w:rPr>
        <w:t xml:space="preserve"> se menționează că din 2019 până în prezent nu au fost reevaluate 3 mijloace fixe existente și care continuă să fie utilizate, </w:t>
      </w:r>
      <w:r w:rsidR="00126100" w:rsidRPr="0080251F">
        <w:rPr>
          <w:rFonts w:ascii="Times New Roman" w:eastAsia="SimSun" w:hAnsi="Times New Roman" w:cs="Times New Roman"/>
          <w:sz w:val="24"/>
          <w:szCs w:val="24"/>
          <w:lang w:val="ro-MD"/>
        </w:rPr>
        <w:t xml:space="preserve">a căror </w:t>
      </w:r>
      <w:r w:rsidRPr="0080251F">
        <w:rPr>
          <w:rFonts w:ascii="Times New Roman" w:eastAsia="SimSun" w:hAnsi="Times New Roman" w:cs="Times New Roman"/>
          <w:sz w:val="24"/>
          <w:szCs w:val="24"/>
          <w:lang w:val="ro-MD"/>
        </w:rPr>
        <w:t xml:space="preserve">valoare de intrare la situația din 31.12.2022 a </w:t>
      </w:r>
      <w:r w:rsidR="00126100" w:rsidRPr="0080251F">
        <w:rPr>
          <w:rFonts w:ascii="Times New Roman" w:eastAsia="SimSun" w:hAnsi="Times New Roman" w:cs="Times New Roman"/>
          <w:sz w:val="24"/>
          <w:szCs w:val="24"/>
          <w:lang w:val="ro-MD"/>
        </w:rPr>
        <w:t>constituit</w:t>
      </w:r>
      <w:r w:rsidRPr="0080251F">
        <w:rPr>
          <w:rFonts w:ascii="Times New Roman" w:eastAsia="SimSun" w:hAnsi="Times New Roman" w:cs="Times New Roman"/>
          <w:sz w:val="24"/>
          <w:szCs w:val="24"/>
          <w:lang w:val="ro-MD"/>
        </w:rPr>
        <w:t xml:space="preserve"> </w:t>
      </w:r>
      <w:r w:rsidRPr="0080251F">
        <w:rPr>
          <w:rFonts w:ascii="Times New Roman" w:eastAsia="SimSun" w:hAnsi="Times New Roman" w:cs="Times New Roman"/>
          <w:b/>
          <w:sz w:val="24"/>
          <w:szCs w:val="24"/>
          <w:lang w:val="ro-MD"/>
        </w:rPr>
        <w:t>769,8 mii lei</w:t>
      </w:r>
      <w:r w:rsidRPr="0080251F">
        <w:rPr>
          <w:rFonts w:ascii="Times New Roman" w:eastAsia="SimSun" w:hAnsi="Times New Roman" w:cs="Times New Roman"/>
          <w:sz w:val="24"/>
          <w:szCs w:val="24"/>
          <w:vertAlign w:val="superscript"/>
          <w:lang w:val="ro-MD"/>
        </w:rPr>
        <w:footnoteReference w:id="27"/>
      </w:r>
      <w:r w:rsidR="000E54F4" w:rsidRPr="0080251F">
        <w:rPr>
          <w:rFonts w:ascii="Times New Roman" w:eastAsia="SimSun" w:hAnsi="Times New Roman" w:cs="Times New Roman"/>
          <w:sz w:val="24"/>
          <w:szCs w:val="24"/>
          <w:lang w:val="ro-MD"/>
        </w:rPr>
        <w:t>.</w:t>
      </w:r>
    </w:p>
    <w:p w14:paraId="3456BDB6" w14:textId="5838A477" w:rsidR="00BB11D0" w:rsidRPr="0080251F" w:rsidRDefault="00EE1C92" w:rsidP="0006122D">
      <w:pPr>
        <w:spacing w:after="0" w:line="276" w:lineRule="auto"/>
        <w:jc w:val="both"/>
        <w:rPr>
          <w:rFonts w:ascii="Times New Roman" w:hAnsi="Times New Roman" w:cs="Times New Roman"/>
          <w:sz w:val="24"/>
          <w:szCs w:val="24"/>
          <w:lang w:val="ro-MD"/>
        </w:rPr>
      </w:pPr>
      <w:r w:rsidRPr="0080251F">
        <w:rPr>
          <w:rFonts w:ascii="Times New Roman" w:eastAsia="SimSun" w:hAnsi="Times New Roman" w:cs="Times New Roman"/>
          <w:b/>
          <w:i/>
          <w:sz w:val="24"/>
          <w:szCs w:val="24"/>
          <w:lang w:val="ro-MD"/>
        </w:rPr>
        <w:t>4.1.4</w:t>
      </w:r>
      <w:r w:rsidR="00156ED0" w:rsidRPr="0080251F">
        <w:rPr>
          <w:rFonts w:ascii="Times New Roman" w:eastAsia="SimSun" w:hAnsi="Times New Roman" w:cs="Times New Roman"/>
          <w:b/>
          <w:i/>
          <w:sz w:val="24"/>
          <w:szCs w:val="24"/>
          <w:lang w:val="ro-MD"/>
        </w:rPr>
        <w:t xml:space="preserve">. Aplicarea </w:t>
      </w:r>
      <w:r w:rsidR="0042503A" w:rsidRPr="0080251F">
        <w:rPr>
          <w:rFonts w:ascii="Times New Roman" w:eastAsia="SimSun" w:hAnsi="Times New Roman" w:cs="Times New Roman"/>
          <w:b/>
          <w:i/>
          <w:sz w:val="24"/>
          <w:szCs w:val="24"/>
          <w:lang w:val="ro-MD"/>
        </w:rPr>
        <w:t>neconformă a prevederilor normative</w:t>
      </w:r>
      <w:r w:rsidR="0042503A" w:rsidRPr="0080251F">
        <w:rPr>
          <w:rFonts w:ascii="Times New Roman" w:eastAsia="SimSun" w:hAnsi="Times New Roman" w:cs="Times New Roman"/>
          <w:b/>
          <w:i/>
          <w:sz w:val="24"/>
          <w:szCs w:val="24"/>
          <w:vertAlign w:val="superscript"/>
          <w:lang w:val="ro-MD"/>
        </w:rPr>
        <w:footnoteReference w:id="28"/>
      </w:r>
      <w:r w:rsidR="00021E48" w:rsidRPr="0080251F">
        <w:rPr>
          <w:rFonts w:ascii="Times New Roman" w:eastAsia="SimSun" w:hAnsi="Times New Roman" w:cs="Times New Roman"/>
          <w:b/>
          <w:i/>
          <w:sz w:val="24"/>
          <w:szCs w:val="24"/>
          <w:lang w:val="ro-MD"/>
        </w:rPr>
        <w:t xml:space="preserve"> și </w:t>
      </w:r>
      <w:r w:rsidR="00126100" w:rsidRPr="0080251F">
        <w:rPr>
          <w:rFonts w:ascii="Times New Roman" w:eastAsia="SimSun" w:hAnsi="Times New Roman" w:cs="Times New Roman"/>
          <w:b/>
          <w:i/>
          <w:sz w:val="24"/>
          <w:szCs w:val="24"/>
          <w:lang w:val="ro-MD"/>
        </w:rPr>
        <w:t xml:space="preserve">a </w:t>
      </w:r>
      <w:r w:rsidR="00021E48" w:rsidRPr="0080251F">
        <w:rPr>
          <w:rFonts w:ascii="Times New Roman" w:eastAsia="SimSun" w:hAnsi="Times New Roman" w:cs="Times New Roman"/>
          <w:b/>
          <w:i/>
          <w:sz w:val="24"/>
          <w:szCs w:val="24"/>
          <w:lang w:val="ro-MD"/>
        </w:rPr>
        <w:t>Politicii contabile</w:t>
      </w:r>
      <w:r w:rsidR="00021E48" w:rsidRPr="0080251F">
        <w:rPr>
          <w:rStyle w:val="a5"/>
          <w:rFonts w:ascii="Times New Roman" w:eastAsia="SimSun" w:hAnsi="Times New Roman" w:cs="Times New Roman"/>
          <w:b/>
          <w:i/>
          <w:sz w:val="24"/>
          <w:szCs w:val="24"/>
          <w:lang w:val="ro-MD"/>
        </w:rPr>
        <w:footnoteReference w:id="29"/>
      </w:r>
      <w:r w:rsidR="00AE5564" w:rsidRPr="0080251F">
        <w:rPr>
          <w:rFonts w:ascii="Times New Roman" w:eastAsia="SimSun" w:hAnsi="Times New Roman" w:cs="Times New Roman"/>
          <w:b/>
          <w:i/>
          <w:sz w:val="24"/>
          <w:szCs w:val="24"/>
          <w:lang w:val="ro-MD"/>
        </w:rPr>
        <w:t xml:space="preserve"> a</w:t>
      </w:r>
      <w:r w:rsidR="0042503A" w:rsidRPr="0080251F">
        <w:rPr>
          <w:rFonts w:ascii="Times New Roman" w:eastAsia="SimSun" w:hAnsi="Times New Roman" w:cs="Times New Roman"/>
          <w:b/>
          <w:i/>
          <w:sz w:val="24"/>
          <w:szCs w:val="24"/>
          <w:lang w:val="ro-MD"/>
        </w:rPr>
        <w:t>ferente procesului de raportare financiară a determinat diminuarea nejustificată a valorii mijloacelor fixe cu 83,9 mil. lei, contoarele gestionate fiind înregistrate și raportate incorect ca „cheltuieli anticipate pe termen lung” (463.801 unități)</w:t>
      </w:r>
      <w:r w:rsidR="000F4B2C" w:rsidRPr="0080251F">
        <w:rPr>
          <w:rFonts w:ascii="Times New Roman" w:eastAsia="SimSun" w:hAnsi="Times New Roman" w:cs="Times New Roman"/>
          <w:b/>
          <w:i/>
          <w:sz w:val="24"/>
          <w:szCs w:val="24"/>
          <w:lang w:val="ro-MD"/>
        </w:rPr>
        <w:t>.</w:t>
      </w:r>
    </w:p>
    <w:p w14:paraId="569E6BDA" w14:textId="100A4B3D" w:rsidR="00BB11D0" w:rsidRPr="0080251F" w:rsidRDefault="00BB11D0" w:rsidP="00E0304A">
      <w:pPr>
        <w:tabs>
          <w:tab w:val="left" w:pos="567"/>
          <w:tab w:val="left" w:pos="709"/>
        </w:tabs>
        <w:spacing w:after="0" w:line="276" w:lineRule="auto"/>
        <w:ind w:firstLine="709"/>
        <w:jc w:val="both"/>
        <w:rPr>
          <w:rFonts w:ascii="Times New Roman" w:eastAsia="Times New Roman" w:hAnsi="Times New Roman" w:cs="Times New Roman"/>
          <w:iCs/>
          <w:sz w:val="24"/>
          <w:szCs w:val="24"/>
          <w:lang w:val="ro-MD"/>
        </w:rPr>
      </w:pPr>
      <w:r w:rsidRPr="0080251F">
        <w:rPr>
          <w:rFonts w:ascii="Times New Roman" w:eastAsia="Times New Roman" w:hAnsi="Times New Roman" w:cs="Times New Roman"/>
          <w:iCs/>
          <w:sz w:val="24"/>
          <w:szCs w:val="24"/>
          <w:lang w:val="ro-MD"/>
        </w:rPr>
        <w:t>Prin Standardele Internaționale de Raportare Financiară nu se determină conceptul de „chelt</w:t>
      </w:r>
      <w:r w:rsidR="00C840E3" w:rsidRPr="0080251F">
        <w:rPr>
          <w:rFonts w:ascii="Times New Roman" w:eastAsia="Times New Roman" w:hAnsi="Times New Roman" w:cs="Times New Roman"/>
          <w:iCs/>
          <w:sz w:val="24"/>
          <w:szCs w:val="24"/>
          <w:lang w:val="ro-MD"/>
        </w:rPr>
        <w:t>uieli anticipate pe termen lung”</w:t>
      </w:r>
      <w:r w:rsidRPr="0080251F">
        <w:rPr>
          <w:rFonts w:ascii="Times New Roman" w:eastAsia="Times New Roman" w:hAnsi="Times New Roman" w:cs="Times New Roman"/>
          <w:iCs/>
          <w:sz w:val="24"/>
          <w:szCs w:val="24"/>
          <w:lang w:val="ro-MD"/>
        </w:rPr>
        <w:t xml:space="preserve">, </w:t>
      </w:r>
      <w:r w:rsidR="00126100" w:rsidRPr="0080251F">
        <w:rPr>
          <w:rFonts w:ascii="Times New Roman" w:eastAsia="Times New Roman" w:hAnsi="Times New Roman" w:cs="Times New Roman"/>
          <w:iCs/>
          <w:sz w:val="24"/>
          <w:szCs w:val="24"/>
          <w:lang w:val="ro-MD"/>
        </w:rPr>
        <w:t>d</w:t>
      </w:r>
      <w:r w:rsidRPr="0080251F">
        <w:rPr>
          <w:rFonts w:ascii="Times New Roman" w:eastAsia="Times New Roman" w:hAnsi="Times New Roman" w:cs="Times New Roman"/>
          <w:iCs/>
          <w:sz w:val="24"/>
          <w:szCs w:val="24"/>
          <w:lang w:val="ro-MD"/>
        </w:rPr>
        <w:t>ar, conform prevederilor din „Cadrul general conceptual de raportare financiară”, cheltuielile suportate pot fi înregistrate ca activ sau ca costuri. Astfel, cheltuielile care nu îndeplinesc criteriile de recunoaștere a activelor sunt recunoscute ca cheltuieli exclusiv în perioada în care sunt suportate.</w:t>
      </w:r>
    </w:p>
    <w:p w14:paraId="34FAE8B4" w14:textId="4772C15B" w:rsidR="00882E65" w:rsidRPr="0080251F" w:rsidRDefault="0042503A" w:rsidP="00391530">
      <w:pPr>
        <w:tabs>
          <w:tab w:val="left" w:pos="567"/>
        </w:tabs>
        <w:spacing w:after="0" w:line="276" w:lineRule="auto"/>
        <w:ind w:firstLine="709"/>
        <w:jc w:val="both"/>
        <w:rPr>
          <w:rFonts w:ascii="Times New Roman" w:hAnsi="Times New Roman" w:cs="Times New Roman"/>
          <w:sz w:val="24"/>
          <w:szCs w:val="24"/>
          <w:lang w:val="ro-MD"/>
        </w:rPr>
      </w:pPr>
      <w:r w:rsidRPr="0080251F">
        <w:rPr>
          <w:rFonts w:ascii="Times New Roman" w:eastAsia="Times New Roman" w:hAnsi="Times New Roman" w:cs="Times New Roman"/>
          <w:sz w:val="24"/>
          <w:szCs w:val="24"/>
          <w:lang w:val="ro-MD"/>
        </w:rPr>
        <w:t>În perioada de trecere la noile standarde de raportare financiară (anul 2019), conform Informațiilor financiare cu scop special din 31.12.2019, coordonate cu compania de consultanț</w:t>
      </w:r>
      <w:r w:rsidR="00126100" w:rsidRPr="0080251F">
        <w:rPr>
          <w:rFonts w:ascii="Times New Roman" w:eastAsia="Times New Roman" w:hAnsi="Times New Roman" w:cs="Times New Roman"/>
          <w:sz w:val="24"/>
          <w:szCs w:val="24"/>
          <w:lang w:val="ro-MD"/>
        </w:rPr>
        <w:t>ă</w:t>
      </w:r>
      <w:r w:rsidRPr="0080251F">
        <w:rPr>
          <w:rFonts w:ascii="Times New Roman" w:eastAsia="Times New Roman" w:hAnsi="Times New Roman" w:cs="Times New Roman"/>
          <w:sz w:val="24"/>
          <w:szCs w:val="24"/>
          <w:vertAlign w:val="superscript"/>
          <w:lang w:val="ro-MD"/>
        </w:rPr>
        <w:footnoteReference w:id="30"/>
      </w:r>
      <w:r w:rsidRPr="0080251F">
        <w:rPr>
          <w:rFonts w:ascii="Times New Roman" w:eastAsia="Times New Roman" w:hAnsi="Times New Roman" w:cs="Times New Roman"/>
          <w:sz w:val="24"/>
          <w:szCs w:val="24"/>
          <w:lang w:val="ro-MD"/>
        </w:rPr>
        <w:t xml:space="preserve">, </w:t>
      </w:r>
      <w:r w:rsidRPr="0080251F">
        <w:rPr>
          <w:rFonts w:ascii="Times New Roman" w:eastAsia="Times New Roman" w:hAnsi="Times New Roman" w:cs="Times New Roman"/>
          <w:iCs/>
          <w:sz w:val="24"/>
          <w:szCs w:val="24"/>
          <w:lang w:val="ro-MD"/>
        </w:rPr>
        <w:t xml:space="preserve">S.A. „RED-Nord” </w:t>
      </w:r>
      <w:r w:rsidRPr="0080251F">
        <w:rPr>
          <w:rFonts w:ascii="Times New Roman" w:eastAsia="Times New Roman" w:hAnsi="Times New Roman" w:cs="Times New Roman"/>
          <w:sz w:val="24"/>
          <w:szCs w:val="24"/>
          <w:lang w:val="ro-MD"/>
        </w:rPr>
        <w:t>a reclasificat evidența contabilă a contoarelor</w:t>
      </w:r>
      <w:r w:rsidRPr="0080251F">
        <w:rPr>
          <w:rFonts w:ascii="Times New Roman" w:eastAsia="Times New Roman" w:hAnsi="Times New Roman" w:cs="Times New Roman"/>
          <w:i/>
          <w:iCs/>
          <w:sz w:val="24"/>
          <w:szCs w:val="24"/>
          <w:lang w:val="ro-MD"/>
        </w:rPr>
        <w:t xml:space="preserve"> </w:t>
      </w:r>
      <w:r w:rsidRPr="0080251F">
        <w:rPr>
          <w:rFonts w:ascii="Times New Roman" w:eastAsia="Times New Roman" w:hAnsi="Times New Roman" w:cs="Times New Roman"/>
          <w:iCs/>
          <w:sz w:val="24"/>
          <w:szCs w:val="24"/>
          <w:lang w:val="ro-MD"/>
        </w:rPr>
        <w:t>de evidență a energiei electrice</w:t>
      </w:r>
      <w:r w:rsidRPr="0080251F">
        <w:rPr>
          <w:rFonts w:ascii="Times New Roman" w:eastAsia="Times New Roman" w:hAnsi="Times New Roman" w:cs="Times New Roman"/>
          <w:sz w:val="24"/>
          <w:szCs w:val="24"/>
          <w:lang w:val="ro-MD"/>
        </w:rPr>
        <w:t xml:space="preserve"> de la poziția „Cheltuieli anticipate pe termen </w:t>
      </w:r>
      <w:r w:rsidR="00C840E3" w:rsidRPr="0080251F">
        <w:rPr>
          <w:rFonts w:ascii="Times New Roman" w:eastAsia="Times New Roman" w:hAnsi="Times New Roman" w:cs="Times New Roman"/>
          <w:sz w:val="24"/>
          <w:szCs w:val="24"/>
          <w:lang w:val="ro-MD"/>
        </w:rPr>
        <w:t>lung” la poziția „</w:t>
      </w:r>
      <w:r w:rsidRPr="0080251F">
        <w:rPr>
          <w:rFonts w:ascii="Times New Roman" w:eastAsia="Times New Roman" w:hAnsi="Times New Roman" w:cs="Times New Roman"/>
          <w:sz w:val="24"/>
          <w:szCs w:val="24"/>
          <w:lang w:val="ro-MD"/>
        </w:rPr>
        <w:t>Imobilizări corporale”, astfel fiind majorată valoarea mijloacelor fixe cu 86,9 mil</w:t>
      </w:r>
      <w:r w:rsidR="009E0928" w:rsidRPr="0080251F">
        <w:rPr>
          <w:rFonts w:ascii="Times New Roman" w:eastAsia="Times New Roman" w:hAnsi="Times New Roman" w:cs="Times New Roman"/>
          <w:sz w:val="24"/>
          <w:szCs w:val="24"/>
          <w:lang w:val="ro-MD"/>
        </w:rPr>
        <w:t>.</w:t>
      </w:r>
      <w:r w:rsidRPr="0080251F">
        <w:rPr>
          <w:rFonts w:ascii="Times New Roman" w:eastAsia="Times New Roman" w:hAnsi="Times New Roman" w:cs="Times New Roman"/>
          <w:sz w:val="24"/>
          <w:szCs w:val="24"/>
          <w:lang w:val="ro-MD"/>
        </w:rPr>
        <w:t xml:space="preserve"> lei. Ulterior, în anul 2021, </w:t>
      </w:r>
      <w:r w:rsidRPr="0080251F">
        <w:rPr>
          <w:rFonts w:ascii="Times New Roman" w:eastAsia="Times New Roman" w:hAnsi="Times New Roman" w:cs="Times New Roman"/>
          <w:iCs/>
          <w:sz w:val="24"/>
          <w:szCs w:val="24"/>
          <w:lang w:val="ro-MD"/>
        </w:rPr>
        <w:t xml:space="preserve">S.A. „RED-Nord” iarăși </w:t>
      </w:r>
      <w:r w:rsidRPr="0080251F">
        <w:rPr>
          <w:rFonts w:ascii="Times New Roman" w:eastAsia="Times New Roman" w:hAnsi="Times New Roman" w:cs="Times New Roman"/>
          <w:sz w:val="24"/>
          <w:szCs w:val="24"/>
          <w:lang w:val="ro-MD"/>
        </w:rPr>
        <w:t xml:space="preserve">a modificat evidența contabilă a contoarelor și le-a raportat din nou la </w:t>
      </w:r>
      <w:r w:rsidR="00126100" w:rsidRPr="0080251F">
        <w:rPr>
          <w:rFonts w:ascii="Times New Roman" w:eastAsia="Times New Roman" w:hAnsi="Times New Roman" w:cs="Times New Roman"/>
          <w:sz w:val="24"/>
          <w:szCs w:val="24"/>
          <w:lang w:val="ro-MD"/>
        </w:rPr>
        <w:t>„</w:t>
      </w:r>
      <w:r w:rsidRPr="0080251F">
        <w:rPr>
          <w:rFonts w:ascii="Times New Roman" w:eastAsia="Times New Roman" w:hAnsi="Times New Roman" w:cs="Times New Roman"/>
          <w:sz w:val="24"/>
          <w:szCs w:val="24"/>
          <w:lang w:val="ro-MD"/>
        </w:rPr>
        <w:t>Cheltuieli anticipate pe termen lung”. Astfel, valoarea rămasă a contoarelor electrice, contabilizate ca cheltuieli anticipate pe termen lung (contul 171), la situația din 01.01.2022</w:t>
      </w:r>
      <w:r w:rsidR="00126100" w:rsidRPr="0080251F">
        <w:rPr>
          <w:rFonts w:ascii="Times New Roman" w:eastAsia="Times New Roman" w:hAnsi="Times New Roman" w:cs="Times New Roman"/>
          <w:sz w:val="24"/>
          <w:szCs w:val="24"/>
          <w:lang w:val="ro-MD"/>
        </w:rPr>
        <w:t>,</w:t>
      </w:r>
      <w:r w:rsidRPr="0080251F">
        <w:rPr>
          <w:rFonts w:ascii="Times New Roman" w:eastAsia="Times New Roman" w:hAnsi="Times New Roman" w:cs="Times New Roman"/>
          <w:sz w:val="24"/>
          <w:szCs w:val="24"/>
          <w:lang w:val="ro-MD"/>
        </w:rPr>
        <w:t xml:space="preserve"> a constituit 84,4 mil. lei (443.220 unități)</w:t>
      </w:r>
      <w:r w:rsidR="00126100" w:rsidRPr="0080251F">
        <w:rPr>
          <w:rFonts w:ascii="Times New Roman" w:eastAsia="Times New Roman" w:hAnsi="Times New Roman" w:cs="Times New Roman"/>
          <w:sz w:val="24"/>
          <w:szCs w:val="24"/>
          <w:lang w:val="ro-MD"/>
        </w:rPr>
        <w:t>, iar</w:t>
      </w:r>
      <w:r w:rsidRPr="0080251F">
        <w:rPr>
          <w:rFonts w:ascii="Times New Roman" w:eastAsia="Times New Roman" w:hAnsi="Times New Roman" w:cs="Times New Roman"/>
          <w:sz w:val="24"/>
          <w:szCs w:val="24"/>
          <w:lang w:val="ro-MD"/>
        </w:rPr>
        <w:t xml:space="preserve"> la situația din 31.12.2022 – </w:t>
      </w:r>
      <w:r w:rsidRPr="0080251F">
        <w:rPr>
          <w:rFonts w:ascii="Times New Roman" w:eastAsia="Times New Roman" w:hAnsi="Times New Roman" w:cs="Times New Roman"/>
          <w:b/>
          <w:sz w:val="24"/>
          <w:szCs w:val="24"/>
          <w:lang w:val="ro-MD"/>
        </w:rPr>
        <w:t>83,9 mil. lei</w:t>
      </w:r>
      <w:r w:rsidRPr="0080251F">
        <w:rPr>
          <w:rFonts w:ascii="Times New Roman" w:eastAsia="Times New Roman" w:hAnsi="Times New Roman" w:cs="Times New Roman"/>
          <w:sz w:val="24"/>
          <w:szCs w:val="24"/>
          <w:lang w:val="ro-MD"/>
        </w:rPr>
        <w:t xml:space="preserve"> (463.801 unități). Amortizarea contoarelor la situația din 31.12.2022 a constituit 53,8 mil. lei, care a fost raportată direct la cheltuieli</w:t>
      </w:r>
      <w:r w:rsidR="001C3CD0" w:rsidRPr="0080251F">
        <w:rPr>
          <w:rFonts w:ascii="Times New Roman" w:hAnsi="Times New Roman" w:cs="Times New Roman"/>
          <w:sz w:val="24"/>
          <w:szCs w:val="24"/>
          <w:lang w:val="ro-MD"/>
        </w:rPr>
        <w:t>.</w:t>
      </w:r>
    </w:p>
    <w:p w14:paraId="6031D308" w14:textId="321AA63F" w:rsidR="004D363F" w:rsidRPr="0080251F" w:rsidRDefault="004D363F" w:rsidP="00182C6F">
      <w:pPr>
        <w:tabs>
          <w:tab w:val="left" w:pos="0"/>
          <w:tab w:val="left" w:pos="567"/>
          <w:tab w:val="left" w:pos="851"/>
        </w:tabs>
        <w:spacing w:after="0" w:line="276" w:lineRule="auto"/>
        <w:contextualSpacing/>
        <w:jc w:val="both"/>
        <w:rPr>
          <w:rFonts w:ascii="Times New Roman" w:hAnsi="Times New Roman" w:cs="Times New Roman"/>
          <w:b/>
          <w:bCs/>
          <w:i/>
          <w:sz w:val="24"/>
          <w:szCs w:val="24"/>
          <w:lang w:val="ro-MD"/>
        </w:rPr>
      </w:pPr>
      <w:r w:rsidRPr="0080251F">
        <w:rPr>
          <w:rFonts w:ascii="Times New Roman" w:eastAsia="Times New Roman" w:hAnsi="Times New Roman" w:cs="Times New Roman"/>
          <w:b/>
          <w:i/>
          <w:sz w:val="24"/>
          <w:szCs w:val="24"/>
          <w:lang w:val="ro-MD"/>
        </w:rPr>
        <w:t xml:space="preserve">4.1.5. </w:t>
      </w:r>
      <w:r w:rsidR="00B25054" w:rsidRPr="0080251F">
        <w:rPr>
          <w:rFonts w:ascii="Times New Roman" w:eastAsia="Times New Roman" w:hAnsi="Times New Roman" w:cs="Times New Roman"/>
          <w:b/>
          <w:i/>
          <w:sz w:val="24"/>
          <w:szCs w:val="24"/>
          <w:lang w:val="ro-MD"/>
        </w:rPr>
        <w:t>Aplicarea neconformă a prevederilor normative cu privire la inventarierea activelor</w:t>
      </w:r>
      <w:r w:rsidR="00A978F5" w:rsidRPr="0080251F">
        <w:rPr>
          <w:rFonts w:ascii="Times New Roman" w:hAnsi="Times New Roman" w:cs="Times New Roman"/>
          <w:b/>
          <w:i/>
          <w:sz w:val="24"/>
          <w:szCs w:val="24"/>
          <w:shd w:val="clear" w:color="auto" w:fill="FFFFFF"/>
          <w:vertAlign w:val="superscript"/>
          <w:lang w:val="ro-MD"/>
        </w:rPr>
        <w:footnoteReference w:id="31"/>
      </w:r>
      <w:r w:rsidR="00DE274B" w:rsidRPr="0080251F">
        <w:rPr>
          <w:rFonts w:ascii="Times New Roman" w:eastAsia="Times New Roman" w:hAnsi="Times New Roman" w:cs="Times New Roman"/>
          <w:b/>
          <w:i/>
          <w:sz w:val="24"/>
          <w:szCs w:val="24"/>
          <w:lang w:val="ro-MD"/>
        </w:rPr>
        <w:t xml:space="preserve"> </w:t>
      </w:r>
      <w:r w:rsidR="00A978F5" w:rsidRPr="0080251F">
        <w:rPr>
          <w:rFonts w:ascii="Times New Roman" w:eastAsia="Times New Roman" w:hAnsi="Times New Roman" w:cs="Times New Roman"/>
          <w:b/>
          <w:i/>
          <w:sz w:val="24"/>
          <w:szCs w:val="24"/>
          <w:lang w:val="ro-MD"/>
        </w:rPr>
        <w:t xml:space="preserve">a determinat </w:t>
      </w:r>
      <w:r w:rsidR="00700F9F" w:rsidRPr="0080251F">
        <w:rPr>
          <w:rFonts w:ascii="Times New Roman" w:eastAsia="Times New Roman" w:hAnsi="Times New Roman" w:cs="Times New Roman"/>
          <w:b/>
          <w:i/>
          <w:sz w:val="24"/>
          <w:szCs w:val="24"/>
          <w:lang w:val="ro-MD"/>
        </w:rPr>
        <w:t>ne</w:t>
      </w:r>
      <w:r w:rsidR="00B25054" w:rsidRPr="0080251F">
        <w:rPr>
          <w:rFonts w:ascii="Times New Roman" w:eastAsia="Times New Roman" w:hAnsi="Times New Roman" w:cs="Times New Roman"/>
          <w:b/>
          <w:i/>
          <w:sz w:val="24"/>
          <w:szCs w:val="24"/>
          <w:lang w:val="ro-MD"/>
        </w:rPr>
        <w:t>identificarea imobilizărilor corporale neutiliz</w:t>
      </w:r>
      <w:r w:rsidR="009B071C" w:rsidRPr="0080251F">
        <w:rPr>
          <w:rFonts w:ascii="Times New Roman" w:eastAsia="Times New Roman" w:hAnsi="Times New Roman" w:cs="Times New Roman"/>
          <w:b/>
          <w:i/>
          <w:sz w:val="24"/>
          <w:szCs w:val="24"/>
          <w:lang w:val="ro-MD"/>
        </w:rPr>
        <w:t>ate în activitatea de producere</w:t>
      </w:r>
      <w:r w:rsidR="00DE274B" w:rsidRPr="0080251F">
        <w:rPr>
          <w:rFonts w:ascii="Times New Roman" w:eastAsia="Times New Roman" w:hAnsi="Times New Roman" w:cs="Times New Roman"/>
          <w:b/>
          <w:i/>
          <w:sz w:val="24"/>
          <w:szCs w:val="24"/>
          <w:lang w:val="ro-MD"/>
        </w:rPr>
        <w:t>,</w:t>
      </w:r>
      <w:r w:rsidR="00A978F5" w:rsidRPr="0080251F">
        <w:rPr>
          <w:rFonts w:ascii="Times New Roman" w:eastAsia="Times New Roman" w:hAnsi="Times New Roman" w:cs="Times New Roman"/>
          <w:b/>
          <w:i/>
          <w:sz w:val="24"/>
          <w:szCs w:val="24"/>
          <w:lang w:val="ro-MD"/>
        </w:rPr>
        <w:t xml:space="preserve"> care urmează a fi casate și/sau vândute și </w:t>
      </w:r>
      <w:r w:rsidR="00A978F5" w:rsidRPr="0080251F">
        <w:rPr>
          <w:rFonts w:ascii="Times New Roman" w:hAnsi="Times New Roman" w:cs="Times New Roman"/>
          <w:b/>
          <w:i/>
          <w:sz w:val="24"/>
          <w:szCs w:val="24"/>
          <w:lang w:val="ro-MD"/>
        </w:rPr>
        <w:t>pentru care s-a acumulat</w:t>
      </w:r>
      <w:r w:rsidRPr="0080251F">
        <w:rPr>
          <w:rFonts w:ascii="Times New Roman" w:hAnsi="Times New Roman" w:cs="Times New Roman"/>
          <w:b/>
          <w:i/>
          <w:sz w:val="24"/>
          <w:szCs w:val="24"/>
          <w:lang w:val="ro-MD"/>
        </w:rPr>
        <w:t xml:space="preserve"> </w:t>
      </w:r>
      <w:r w:rsidR="00A978F5" w:rsidRPr="0080251F">
        <w:rPr>
          <w:rFonts w:ascii="Times New Roman" w:hAnsi="Times New Roman" w:cs="Times New Roman"/>
          <w:b/>
          <w:i/>
          <w:sz w:val="24"/>
          <w:szCs w:val="24"/>
          <w:lang w:val="ro-MD"/>
        </w:rPr>
        <w:t>amortizarea</w:t>
      </w:r>
      <w:r w:rsidR="00B852BD" w:rsidRPr="0080251F">
        <w:rPr>
          <w:rFonts w:ascii="Times New Roman" w:hAnsi="Times New Roman" w:cs="Times New Roman"/>
          <w:b/>
          <w:i/>
          <w:sz w:val="24"/>
          <w:szCs w:val="24"/>
          <w:lang w:val="ro-MD"/>
        </w:rPr>
        <w:t xml:space="preserve"> </w:t>
      </w:r>
      <w:r w:rsidR="009256CC" w:rsidRPr="0080251F">
        <w:rPr>
          <w:rFonts w:ascii="Times New Roman" w:hAnsi="Times New Roman" w:cs="Times New Roman"/>
          <w:b/>
          <w:i/>
          <w:sz w:val="24"/>
          <w:szCs w:val="24"/>
          <w:lang w:val="ro-MD"/>
        </w:rPr>
        <w:t xml:space="preserve">în anii 2021 – 2022 </w:t>
      </w:r>
      <w:r w:rsidR="00B852BD" w:rsidRPr="0080251F">
        <w:rPr>
          <w:rFonts w:ascii="Times New Roman" w:hAnsi="Times New Roman" w:cs="Times New Roman"/>
          <w:b/>
          <w:i/>
          <w:sz w:val="24"/>
          <w:szCs w:val="24"/>
          <w:lang w:val="ro-MD"/>
        </w:rPr>
        <w:t>în sum</w:t>
      </w:r>
      <w:r w:rsidR="00DE274B" w:rsidRPr="0080251F">
        <w:rPr>
          <w:rFonts w:ascii="Times New Roman" w:hAnsi="Times New Roman" w:cs="Times New Roman"/>
          <w:b/>
          <w:i/>
          <w:sz w:val="24"/>
          <w:szCs w:val="24"/>
          <w:lang w:val="ro-MD"/>
        </w:rPr>
        <w:t>ă</w:t>
      </w:r>
      <w:r w:rsidR="00B852BD" w:rsidRPr="0080251F">
        <w:rPr>
          <w:rFonts w:ascii="Times New Roman" w:hAnsi="Times New Roman" w:cs="Times New Roman"/>
          <w:b/>
          <w:i/>
          <w:sz w:val="24"/>
          <w:szCs w:val="24"/>
          <w:lang w:val="ro-MD"/>
        </w:rPr>
        <w:t xml:space="preserve"> de 1,1 mil.</w:t>
      </w:r>
      <w:r w:rsidRPr="0080251F">
        <w:rPr>
          <w:rFonts w:ascii="Times New Roman" w:hAnsi="Times New Roman" w:cs="Times New Roman"/>
          <w:b/>
          <w:i/>
          <w:sz w:val="24"/>
          <w:szCs w:val="24"/>
          <w:lang w:val="ro-MD"/>
        </w:rPr>
        <w:t xml:space="preserve"> lei</w:t>
      </w:r>
      <w:r w:rsidR="000E3D1C" w:rsidRPr="0080251F">
        <w:rPr>
          <w:rFonts w:ascii="Times New Roman" w:hAnsi="Times New Roman" w:cs="Times New Roman"/>
          <w:b/>
          <w:bCs/>
          <w:i/>
          <w:sz w:val="24"/>
          <w:szCs w:val="24"/>
          <w:lang w:val="ro-MD"/>
        </w:rPr>
        <w:t>.</w:t>
      </w:r>
    </w:p>
    <w:p w14:paraId="09B2F4C2" w14:textId="43688B3D" w:rsidR="004D363F" w:rsidRPr="0080251F" w:rsidRDefault="00A978F5" w:rsidP="004D363F">
      <w:pPr>
        <w:tabs>
          <w:tab w:val="left" w:pos="0"/>
          <w:tab w:val="left" w:pos="567"/>
          <w:tab w:val="left" w:pos="851"/>
        </w:tabs>
        <w:spacing w:after="0" w:line="276" w:lineRule="auto"/>
        <w:ind w:firstLine="709"/>
        <w:contextualSpacing/>
        <w:jc w:val="both"/>
        <w:rPr>
          <w:rFonts w:ascii="Times New Roman" w:hAnsi="Times New Roman" w:cs="Times New Roman"/>
          <w:b/>
          <w:bCs/>
          <w:sz w:val="24"/>
          <w:szCs w:val="24"/>
          <w:lang w:val="ro-MD"/>
        </w:rPr>
      </w:pPr>
      <w:r w:rsidRPr="0080251F">
        <w:rPr>
          <w:rFonts w:ascii="Times New Roman" w:hAnsi="Times New Roman" w:cs="Times New Roman"/>
          <w:bCs/>
          <w:sz w:val="24"/>
          <w:szCs w:val="24"/>
          <w:lang w:val="ro-MD"/>
        </w:rPr>
        <w:t>Astfel, l</w:t>
      </w:r>
      <w:r w:rsidR="004D363F" w:rsidRPr="0080251F">
        <w:rPr>
          <w:rFonts w:ascii="Times New Roman" w:hAnsi="Times New Roman" w:cs="Times New Roman"/>
          <w:bCs/>
          <w:sz w:val="24"/>
          <w:szCs w:val="24"/>
          <w:lang w:val="ro-MD"/>
        </w:rPr>
        <w:t>a situația din 31.12.2022, S.A. „RED-Nord” a deținut active neutilizate în procesul tehnologic cu valoarea totală venală în sum</w:t>
      </w:r>
      <w:r w:rsidR="00DE274B" w:rsidRPr="0080251F">
        <w:rPr>
          <w:rFonts w:ascii="Times New Roman" w:hAnsi="Times New Roman" w:cs="Times New Roman"/>
          <w:bCs/>
          <w:sz w:val="24"/>
          <w:szCs w:val="24"/>
          <w:lang w:val="ro-MD"/>
        </w:rPr>
        <w:t>ă</w:t>
      </w:r>
      <w:r w:rsidR="004D363F" w:rsidRPr="0080251F">
        <w:rPr>
          <w:rFonts w:ascii="Times New Roman" w:hAnsi="Times New Roman" w:cs="Times New Roman"/>
          <w:bCs/>
          <w:sz w:val="24"/>
          <w:szCs w:val="24"/>
          <w:lang w:val="ro-MD"/>
        </w:rPr>
        <w:t xml:space="preserve"> de 6,9 mil. lei</w:t>
      </w:r>
      <w:r w:rsidR="004D3DDD" w:rsidRPr="0080251F">
        <w:rPr>
          <w:rFonts w:ascii="Times New Roman" w:hAnsi="Times New Roman" w:cs="Times New Roman"/>
          <w:bCs/>
          <w:sz w:val="24"/>
          <w:szCs w:val="24"/>
          <w:lang w:val="ro-MD"/>
        </w:rPr>
        <w:t>, dintre care</w:t>
      </w:r>
      <w:r w:rsidR="004D363F" w:rsidRPr="0080251F">
        <w:rPr>
          <w:rFonts w:ascii="Times New Roman" w:hAnsi="Times New Roman" w:cs="Times New Roman"/>
          <w:bCs/>
          <w:sz w:val="24"/>
          <w:szCs w:val="24"/>
          <w:lang w:val="ro-MD"/>
        </w:rPr>
        <w:t>:</w:t>
      </w:r>
    </w:p>
    <w:p w14:paraId="0F5D48E7" w14:textId="4123BC30" w:rsidR="00DE39FF" w:rsidRPr="0080251F" w:rsidRDefault="00DE39FF" w:rsidP="00DE39FF">
      <w:pPr>
        <w:pStyle w:val="a6"/>
        <w:numPr>
          <w:ilvl w:val="0"/>
          <w:numId w:val="30"/>
        </w:numPr>
        <w:tabs>
          <w:tab w:val="left" w:pos="0"/>
          <w:tab w:val="left" w:pos="993"/>
        </w:tabs>
        <w:spacing w:after="0" w:line="276" w:lineRule="auto"/>
        <w:ind w:left="0"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Casa de locuit</w:t>
      </w:r>
      <w:r w:rsidRPr="0080251F">
        <w:rPr>
          <w:rStyle w:val="a5"/>
          <w:rFonts w:ascii="Times New Roman" w:hAnsi="Times New Roman" w:cs="Times New Roman"/>
          <w:bCs/>
          <w:sz w:val="24"/>
          <w:szCs w:val="24"/>
          <w:lang w:val="ro-MD"/>
        </w:rPr>
        <w:footnoteReference w:id="32"/>
      </w:r>
      <w:r w:rsidRPr="0080251F">
        <w:rPr>
          <w:rFonts w:ascii="Times New Roman" w:hAnsi="Times New Roman" w:cs="Times New Roman"/>
          <w:bCs/>
          <w:sz w:val="24"/>
          <w:szCs w:val="24"/>
          <w:lang w:val="ro-MD"/>
        </w:rPr>
        <w:t xml:space="preserve"> din or. Dondușeni (înregistrată ca cămin), cu valoarea de intrare </w:t>
      </w:r>
      <w:r w:rsidR="00DE274B" w:rsidRPr="0080251F">
        <w:rPr>
          <w:rFonts w:ascii="Times New Roman" w:hAnsi="Times New Roman" w:cs="Times New Roman"/>
          <w:bCs/>
          <w:sz w:val="24"/>
          <w:szCs w:val="24"/>
          <w:lang w:val="ro-MD"/>
        </w:rPr>
        <w:t xml:space="preserve">de </w:t>
      </w:r>
      <w:r w:rsidRPr="0080251F">
        <w:rPr>
          <w:rFonts w:ascii="Times New Roman" w:hAnsi="Times New Roman" w:cs="Times New Roman"/>
          <w:bCs/>
          <w:sz w:val="24"/>
          <w:szCs w:val="24"/>
          <w:lang w:val="ro-MD"/>
        </w:rPr>
        <w:t>1,7 mil</w:t>
      </w:r>
      <w:r w:rsidR="0007046B"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lei și amortizarea acumulată </w:t>
      </w:r>
      <w:r w:rsidR="007D378B" w:rsidRPr="0080251F">
        <w:rPr>
          <w:rFonts w:ascii="Times New Roman" w:hAnsi="Times New Roman" w:cs="Times New Roman"/>
          <w:bCs/>
          <w:sz w:val="24"/>
          <w:szCs w:val="24"/>
          <w:lang w:val="ro-MD"/>
        </w:rPr>
        <w:t xml:space="preserve">(anii 2021 – 2022) </w:t>
      </w:r>
      <w:r w:rsidRPr="0080251F">
        <w:rPr>
          <w:rFonts w:ascii="Times New Roman" w:hAnsi="Times New Roman" w:cs="Times New Roman"/>
          <w:bCs/>
          <w:sz w:val="24"/>
          <w:szCs w:val="24"/>
          <w:lang w:val="ro-MD"/>
        </w:rPr>
        <w:t>-  138,4 mii lei;</w:t>
      </w:r>
    </w:p>
    <w:p w14:paraId="51DED050" w14:textId="1A3DCE69" w:rsidR="00DE39FF" w:rsidRPr="0080251F" w:rsidRDefault="00DE39FF" w:rsidP="00DE39FF">
      <w:pPr>
        <w:pStyle w:val="a6"/>
        <w:numPr>
          <w:ilvl w:val="0"/>
          <w:numId w:val="30"/>
        </w:numPr>
        <w:tabs>
          <w:tab w:val="left" w:pos="0"/>
          <w:tab w:val="left" w:pos="993"/>
        </w:tabs>
        <w:spacing w:after="0" w:line="276" w:lineRule="auto"/>
        <w:ind w:left="0"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Clădirea/oficiul utilizat în anii 2021-2022 de către Centrul regional a</w:t>
      </w:r>
      <w:r w:rsidR="00DE274B" w:rsidRPr="0080251F">
        <w:rPr>
          <w:rFonts w:ascii="Times New Roman" w:hAnsi="Times New Roman" w:cs="Times New Roman"/>
          <w:bCs/>
          <w:sz w:val="24"/>
          <w:szCs w:val="24"/>
          <w:lang w:val="ro-MD"/>
        </w:rPr>
        <w:t>l</w:t>
      </w:r>
      <w:r w:rsidRPr="0080251F">
        <w:rPr>
          <w:rFonts w:ascii="Times New Roman" w:hAnsi="Times New Roman" w:cs="Times New Roman"/>
          <w:bCs/>
          <w:sz w:val="24"/>
          <w:szCs w:val="24"/>
          <w:lang w:val="ro-MD"/>
        </w:rPr>
        <w:t xml:space="preserve"> refugiaților din Ucraina, cu valoarea de intrare </w:t>
      </w:r>
      <w:r w:rsidR="00DE274B" w:rsidRPr="0080251F">
        <w:rPr>
          <w:rFonts w:ascii="Times New Roman" w:hAnsi="Times New Roman" w:cs="Times New Roman"/>
          <w:bCs/>
          <w:sz w:val="24"/>
          <w:szCs w:val="24"/>
          <w:lang w:val="ro-MD"/>
        </w:rPr>
        <w:t xml:space="preserve">de </w:t>
      </w:r>
      <w:r w:rsidRPr="0080251F">
        <w:rPr>
          <w:rFonts w:ascii="Times New Roman" w:hAnsi="Times New Roman" w:cs="Times New Roman"/>
          <w:bCs/>
          <w:sz w:val="24"/>
          <w:szCs w:val="24"/>
          <w:lang w:val="ro-MD"/>
        </w:rPr>
        <w:t>4,2 mil. lei și amortizarea acumulată - 328,4 mii lei;</w:t>
      </w:r>
    </w:p>
    <w:p w14:paraId="6ED85AC9" w14:textId="443B2F07" w:rsidR="00DE39FF" w:rsidRPr="0080251F" w:rsidRDefault="00DE39FF" w:rsidP="00DE39FF">
      <w:pPr>
        <w:pStyle w:val="a6"/>
        <w:numPr>
          <w:ilvl w:val="0"/>
          <w:numId w:val="30"/>
        </w:numPr>
        <w:tabs>
          <w:tab w:val="left" w:pos="0"/>
          <w:tab w:val="left" w:pos="993"/>
        </w:tabs>
        <w:spacing w:after="0" w:line="276" w:lineRule="auto"/>
        <w:ind w:left="0"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45 unități de utilaj tehnic (învechirea moral</w:t>
      </w:r>
      <w:r w:rsidR="00DE274B" w:rsidRPr="0080251F">
        <w:rPr>
          <w:rFonts w:ascii="Times New Roman" w:hAnsi="Times New Roman" w:cs="Times New Roman"/>
          <w:bCs/>
          <w:sz w:val="24"/>
          <w:szCs w:val="24"/>
          <w:lang w:val="ro-MD"/>
        </w:rPr>
        <w:t>ă</w:t>
      </w:r>
      <w:r w:rsidRPr="0080251F">
        <w:rPr>
          <w:rFonts w:ascii="Times New Roman" w:hAnsi="Times New Roman" w:cs="Times New Roman"/>
          <w:bCs/>
          <w:sz w:val="24"/>
          <w:szCs w:val="24"/>
          <w:lang w:val="ro-MD"/>
        </w:rPr>
        <w:t xml:space="preserve"> și fizic</w:t>
      </w:r>
      <w:r w:rsidR="00DE274B" w:rsidRPr="0080251F">
        <w:rPr>
          <w:rFonts w:ascii="Times New Roman" w:hAnsi="Times New Roman" w:cs="Times New Roman"/>
          <w:bCs/>
          <w:sz w:val="24"/>
          <w:szCs w:val="24"/>
          <w:lang w:val="ro-MD"/>
        </w:rPr>
        <w:t>ă</w:t>
      </w:r>
      <w:r w:rsidRPr="0080251F">
        <w:rPr>
          <w:rFonts w:ascii="Times New Roman" w:hAnsi="Times New Roman" w:cs="Times New Roman"/>
          <w:bCs/>
          <w:sz w:val="24"/>
          <w:szCs w:val="24"/>
          <w:lang w:val="ro-MD"/>
        </w:rPr>
        <w:t xml:space="preserve">), cu valoarea de intrare </w:t>
      </w:r>
      <w:r w:rsidR="00DE274B" w:rsidRPr="0080251F">
        <w:rPr>
          <w:rFonts w:ascii="Times New Roman" w:hAnsi="Times New Roman" w:cs="Times New Roman"/>
          <w:bCs/>
          <w:sz w:val="24"/>
          <w:szCs w:val="24"/>
          <w:lang w:val="ro-MD"/>
        </w:rPr>
        <w:t xml:space="preserve">de </w:t>
      </w:r>
      <w:r w:rsidRPr="0080251F">
        <w:rPr>
          <w:rFonts w:ascii="Times New Roman" w:hAnsi="Times New Roman" w:cs="Times New Roman"/>
          <w:bCs/>
          <w:sz w:val="24"/>
          <w:szCs w:val="24"/>
          <w:lang w:val="ro-MD"/>
        </w:rPr>
        <w:t>306,1 mii lei și amortizarea acumulată - 306,1 mii lei;</w:t>
      </w:r>
    </w:p>
    <w:p w14:paraId="31645B1E" w14:textId="622D1964" w:rsidR="004D363F" w:rsidRPr="0080251F" w:rsidRDefault="004D363F" w:rsidP="00DE39FF">
      <w:pPr>
        <w:pStyle w:val="a6"/>
        <w:numPr>
          <w:ilvl w:val="0"/>
          <w:numId w:val="30"/>
        </w:numPr>
        <w:tabs>
          <w:tab w:val="left" w:pos="0"/>
          <w:tab w:val="left" w:pos="993"/>
        </w:tabs>
        <w:spacing w:after="0" w:line="276" w:lineRule="auto"/>
        <w:ind w:left="0"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 xml:space="preserve">4 unități de soft neutilizate ca urmare a expirării licențelor, cu valoarea de intrare </w:t>
      </w:r>
      <w:r w:rsidR="00DE274B" w:rsidRPr="0080251F">
        <w:rPr>
          <w:rFonts w:ascii="Times New Roman" w:hAnsi="Times New Roman" w:cs="Times New Roman"/>
          <w:bCs/>
          <w:sz w:val="24"/>
          <w:szCs w:val="24"/>
          <w:lang w:val="ro-MD"/>
        </w:rPr>
        <w:t xml:space="preserve">de </w:t>
      </w:r>
      <w:r w:rsidRPr="0080251F">
        <w:rPr>
          <w:rFonts w:ascii="Times New Roman" w:hAnsi="Times New Roman" w:cs="Times New Roman"/>
          <w:bCs/>
          <w:sz w:val="24"/>
          <w:szCs w:val="24"/>
          <w:lang w:val="ro-MD"/>
        </w:rPr>
        <w:t>692,6 mii lei și amortizarea acumul</w:t>
      </w:r>
      <w:r w:rsidR="005A5517" w:rsidRPr="0080251F">
        <w:rPr>
          <w:rFonts w:ascii="Times New Roman" w:hAnsi="Times New Roman" w:cs="Times New Roman"/>
          <w:bCs/>
          <w:sz w:val="24"/>
          <w:szCs w:val="24"/>
          <w:lang w:val="ro-MD"/>
        </w:rPr>
        <w:t>ată - 346,3 mii lei.</w:t>
      </w:r>
    </w:p>
    <w:p w14:paraId="2393932C" w14:textId="67396A25" w:rsidR="005B5F03" w:rsidRPr="0080251F" w:rsidRDefault="009815C9" w:rsidP="001529BA">
      <w:pPr>
        <w:pStyle w:val="1"/>
        <w:spacing w:before="200" w:line="276" w:lineRule="auto"/>
        <w:jc w:val="both"/>
        <w:rPr>
          <w:rFonts w:ascii="Times New Roman" w:hAnsi="Times New Roman" w:cs="Times New Roman"/>
          <w:b/>
          <w:sz w:val="24"/>
          <w:szCs w:val="24"/>
          <w:lang w:val="ro-MD"/>
        </w:rPr>
      </w:pPr>
      <w:bookmarkStart w:id="18" w:name="_Toc161169693"/>
      <w:r w:rsidRPr="0080251F">
        <w:rPr>
          <w:rFonts w:ascii="Times New Roman" w:hAnsi="Times New Roman" w:cs="Times New Roman"/>
          <w:b/>
          <w:sz w:val="24"/>
          <w:szCs w:val="24"/>
          <w:lang w:val="ro-MD"/>
        </w:rPr>
        <w:t>4.2</w:t>
      </w:r>
      <w:r w:rsidR="005B5F03" w:rsidRPr="0080251F">
        <w:rPr>
          <w:rFonts w:ascii="Times New Roman" w:hAnsi="Times New Roman" w:cs="Times New Roman"/>
          <w:b/>
          <w:sz w:val="24"/>
          <w:szCs w:val="24"/>
          <w:lang w:val="ro-MD"/>
        </w:rPr>
        <w:t xml:space="preserve">. </w:t>
      </w:r>
      <w:r w:rsidR="008B2F9E" w:rsidRPr="0080251F">
        <w:rPr>
          <w:rFonts w:ascii="Times New Roman" w:hAnsi="Times New Roman" w:cs="Times New Roman"/>
          <w:b/>
          <w:bCs/>
          <w:iCs/>
          <w:sz w:val="24"/>
          <w:szCs w:val="24"/>
          <w:lang w:val="ro-MD"/>
        </w:rPr>
        <w:t>S.A. „RED-Nord” a asigurat gestionarea și raportarea conformă a stocurilor de materiale</w:t>
      </w:r>
      <w:r w:rsidR="005B5F03" w:rsidRPr="0080251F">
        <w:rPr>
          <w:rFonts w:ascii="Times New Roman" w:hAnsi="Times New Roman" w:cs="Times New Roman"/>
          <w:b/>
          <w:bCs/>
          <w:sz w:val="24"/>
          <w:szCs w:val="24"/>
          <w:lang w:val="ro-MD"/>
        </w:rPr>
        <w:t>?</w:t>
      </w:r>
      <w:bookmarkEnd w:id="18"/>
    </w:p>
    <w:p w14:paraId="3FFD845D" w14:textId="7D49C698" w:rsidR="007B4004" w:rsidRPr="0080251F" w:rsidRDefault="00264D24" w:rsidP="00102377">
      <w:pPr>
        <w:tabs>
          <w:tab w:val="left" w:pos="993"/>
        </w:tabs>
        <w:spacing w:after="0" w:line="276" w:lineRule="auto"/>
        <w:ind w:firstLine="709"/>
        <w:jc w:val="both"/>
        <w:rPr>
          <w:rFonts w:ascii="Times New Roman" w:hAnsi="Times New Roman" w:cs="Times New Roman"/>
          <w:b/>
          <w:i/>
          <w:spacing w:val="-3"/>
          <w:sz w:val="24"/>
          <w:szCs w:val="24"/>
          <w:lang w:val="ro-MD"/>
        </w:rPr>
      </w:pPr>
      <w:r w:rsidRPr="0080251F">
        <w:rPr>
          <w:rFonts w:ascii="Times New Roman" w:hAnsi="Times New Roman" w:cs="Times New Roman"/>
          <w:b/>
          <w:i/>
          <w:spacing w:val="-3"/>
          <w:sz w:val="24"/>
          <w:szCs w:val="24"/>
          <w:lang w:val="ro-MD"/>
        </w:rPr>
        <w:t xml:space="preserve">Procesul de gestionare și raportare a stocurilor de materiale s-a efectuat cu unele </w:t>
      </w:r>
      <w:r w:rsidR="005E677D" w:rsidRPr="0080251F">
        <w:rPr>
          <w:rFonts w:ascii="Times New Roman" w:hAnsi="Times New Roman" w:cs="Times New Roman"/>
          <w:b/>
          <w:i/>
          <w:spacing w:val="-3"/>
          <w:sz w:val="24"/>
          <w:szCs w:val="24"/>
          <w:lang w:val="ro-MD"/>
        </w:rPr>
        <w:t>abateri</w:t>
      </w:r>
      <w:r w:rsidRPr="0080251F">
        <w:rPr>
          <w:rFonts w:ascii="Times New Roman" w:hAnsi="Times New Roman" w:cs="Times New Roman"/>
          <w:b/>
          <w:i/>
          <w:spacing w:val="-3"/>
          <w:sz w:val="24"/>
          <w:szCs w:val="24"/>
          <w:lang w:val="ro-MD"/>
        </w:rPr>
        <w:t xml:space="preserve"> de la cadrul normativ, fapt c</w:t>
      </w:r>
      <w:r w:rsidR="00DE274B" w:rsidRPr="0080251F">
        <w:rPr>
          <w:rFonts w:ascii="Times New Roman" w:hAnsi="Times New Roman" w:cs="Times New Roman"/>
          <w:b/>
          <w:i/>
          <w:spacing w:val="-3"/>
          <w:sz w:val="24"/>
          <w:szCs w:val="24"/>
          <w:lang w:val="ro-MD"/>
        </w:rPr>
        <w:t>ar</w:t>
      </w:r>
      <w:r w:rsidRPr="0080251F">
        <w:rPr>
          <w:rFonts w:ascii="Times New Roman" w:hAnsi="Times New Roman" w:cs="Times New Roman"/>
          <w:b/>
          <w:i/>
          <w:spacing w:val="-3"/>
          <w:sz w:val="24"/>
          <w:szCs w:val="24"/>
          <w:lang w:val="ro-MD"/>
        </w:rPr>
        <w:t>e a condiționat supraevalua</w:t>
      </w:r>
      <w:r w:rsidR="008573E5" w:rsidRPr="0080251F">
        <w:rPr>
          <w:rFonts w:ascii="Times New Roman" w:hAnsi="Times New Roman" w:cs="Times New Roman"/>
          <w:b/>
          <w:i/>
          <w:spacing w:val="-3"/>
          <w:sz w:val="24"/>
          <w:szCs w:val="24"/>
          <w:lang w:val="ro-MD"/>
        </w:rPr>
        <w:t>rea stocurilor raportate cu 1,8</w:t>
      </w:r>
      <w:r w:rsidRPr="0080251F">
        <w:rPr>
          <w:rFonts w:ascii="Times New Roman" w:hAnsi="Times New Roman" w:cs="Times New Roman"/>
          <w:b/>
          <w:i/>
          <w:spacing w:val="-3"/>
          <w:sz w:val="24"/>
          <w:szCs w:val="24"/>
          <w:lang w:val="ro-MD"/>
        </w:rPr>
        <w:t xml:space="preserve"> mil. lei, neîncasarea/ratarea veniturilor din real</w:t>
      </w:r>
      <w:r w:rsidR="00077BCD" w:rsidRPr="0080251F">
        <w:rPr>
          <w:rFonts w:ascii="Times New Roman" w:hAnsi="Times New Roman" w:cs="Times New Roman"/>
          <w:b/>
          <w:i/>
          <w:spacing w:val="-3"/>
          <w:sz w:val="24"/>
          <w:szCs w:val="24"/>
          <w:lang w:val="ro-MD"/>
        </w:rPr>
        <w:t>izarea acestora în valoare de 38,8</w:t>
      </w:r>
      <w:r w:rsidRPr="0080251F">
        <w:rPr>
          <w:rFonts w:ascii="Times New Roman" w:hAnsi="Times New Roman" w:cs="Times New Roman"/>
          <w:b/>
          <w:i/>
          <w:spacing w:val="-3"/>
          <w:sz w:val="24"/>
          <w:szCs w:val="24"/>
          <w:lang w:val="ro-MD"/>
        </w:rPr>
        <w:t xml:space="preserve"> mii lei</w:t>
      </w:r>
      <w:r w:rsidR="00077BCD" w:rsidRPr="0080251F">
        <w:rPr>
          <w:rFonts w:ascii="Times New Roman" w:hAnsi="Times New Roman" w:cs="Times New Roman"/>
          <w:b/>
          <w:i/>
          <w:spacing w:val="-3"/>
          <w:sz w:val="24"/>
          <w:szCs w:val="24"/>
          <w:lang w:val="ro-MD"/>
        </w:rPr>
        <w:t xml:space="preserve">, </w:t>
      </w:r>
      <w:r w:rsidR="00523CD5" w:rsidRPr="0080251F">
        <w:rPr>
          <w:rFonts w:ascii="Times New Roman" w:hAnsi="Times New Roman" w:cs="Times New Roman"/>
          <w:b/>
          <w:i/>
          <w:spacing w:val="-3"/>
          <w:sz w:val="24"/>
          <w:szCs w:val="24"/>
          <w:lang w:val="ro-MD"/>
        </w:rPr>
        <w:t>majorarea cheltuielilor cu suma</w:t>
      </w:r>
      <w:r w:rsidR="00077BCD" w:rsidRPr="0080251F">
        <w:rPr>
          <w:rFonts w:ascii="Times New Roman" w:hAnsi="Times New Roman" w:cs="Times New Roman"/>
          <w:b/>
          <w:i/>
          <w:spacing w:val="-3"/>
          <w:sz w:val="24"/>
          <w:szCs w:val="24"/>
          <w:lang w:val="ro-MD"/>
        </w:rPr>
        <w:t xml:space="preserve"> de 6,6</w:t>
      </w:r>
      <w:r w:rsidRPr="0080251F">
        <w:rPr>
          <w:rFonts w:ascii="Times New Roman" w:hAnsi="Times New Roman" w:cs="Times New Roman"/>
          <w:b/>
          <w:i/>
          <w:spacing w:val="-3"/>
          <w:sz w:val="24"/>
          <w:szCs w:val="24"/>
          <w:lang w:val="ro-MD"/>
        </w:rPr>
        <w:t xml:space="preserve"> mii lei, </w:t>
      </w:r>
      <w:r w:rsidR="00E2368D" w:rsidRPr="0080251F">
        <w:rPr>
          <w:rFonts w:ascii="Times New Roman" w:hAnsi="Times New Roman" w:cs="Times New Roman"/>
          <w:b/>
          <w:i/>
          <w:spacing w:val="-3"/>
          <w:sz w:val="24"/>
          <w:szCs w:val="24"/>
          <w:lang w:val="ro-MD"/>
        </w:rPr>
        <w:t>precum și deprecierea neconformă a stocului de materiale în valoare de 3,2 mil. lei,</w:t>
      </w:r>
      <w:r w:rsidR="00E2368D" w:rsidRPr="0080251F">
        <w:rPr>
          <w:rFonts w:ascii="Times New Roman" w:hAnsi="Times New Roman" w:cs="Times New Roman"/>
          <w:bCs/>
          <w:i/>
          <w:spacing w:val="-3"/>
          <w:sz w:val="24"/>
          <w:szCs w:val="24"/>
          <w:lang w:val="ro-MD"/>
        </w:rPr>
        <w:t xml:space="preserve"> </w:t>
      </w:r>
      <w:r w:rsidRPr="0080251F">
        <w:rPr>
          <w:rFonts w:ascii="Times New Roman" w:hAnsi="Times New Roman" w:cs="Times New Roman"/>
          <w:b/>
          <w:i/>
          <w:spacing w:val="-3"/>
          <w:sz w:val="24"/>
          <w:szCs w:val="24"/>
          <w:lang w:val="ro-MD"/>
        </w:rPr>
        <w:t>ceea ce a dus la denaturarea informațiilor prezentate în situațiile financiare</w:t>
      </w:r>
      <w:r w:rsidR="00142E55" w:rsidRPr="0080251F">
        <w:rPr>
          <w:rFonts w:ascii="Times New Roman" w:hAnsi="Times New Roman" w:cs="Times New Roman"/>
          <w:b/>
          <w:i/>
          <w:spacing w:val="-3"/>
          <w:sz w:val="24"/>
          <w:szCs w:val="24"/>
          <w:lang w:val="ro-MD"/>
        </w:rPr>
        <w:t>.</w:t>
      </w:r>
      <w:r w:rsidRPr="0080251F">
        <w:rPr>
          <w:rFonts w:ascii="Times New Roman" w:hAnsi="Times New Roman" w:cs="Times New Roman"/>
          <w:b/>
          <w:i/>
          <w:spacing w:val="-3"/>
          <w:sz w:val="24"/>
          <w:szCs w:val="24"/>
          <w:lang w:val="ro-MD"/>
        </w:rPr>
        <w:t xml:space="preserve"> </w:t>
      </w:r>
    </w:p>
    <w:p w14:paraId="7840ABC2" w14:textId="06F95499" w:rsidR="00D6106B" w:rsidRPr="0080251F" w:rsidRDefault="00F74179" w:rsidP="008F1133">
      <w:pPr>
        <w:tabs>
          <w:tab w:val="left" w:pos="709"/>
          <w:tab w:val="left" w:pos="993"/>
        </w:tabs>
        <w:spacing w:after="0" w:line="276" w:lineRule="auto"/>
        <w:ind w:firstLine="709"/>
        <w:contextualSpacing/>
        <w:jc w:val="both"/>
        <w:rPr>
          <w:rFonts w:ascii="Times New Roman" w:hAnsi="Times New Roman" w:cs="Times New Roman"/>
          <w:spacing w:val="-3"/>
          <w:sz w:val="24"/>
          <w:szCs w:val="24"/>
          <w:lang w:val="ro-MD"/>
        </w:rPr>
      </w:pPr>
      <w:r w:rsidRPr="0080251F">
        <w:rPr>
          <w:rFonts w:ascii="Times New Roman" w:hAnsi="Times New Roman" w:cs="Times New Roman"/>
          <w:spacing w:val="-3"/>
          <w:sz w:val="24"/>
          <w:szCs w:val="24"/>
          <w:lang w:val="ro-MD"/>
        </w:rPr>
        <w:t xml:space="preserve">La </w:t>
      </w:r>
      <w:r w:rsidR="00337326" w:rsidRPr="0080251F">
        <w:rPr>
          <w:rFonts w:ascii="Times New Roman" w:hAnsi="Times New Roman" w:cs="Times New Roman"/>
          <w:spacing w:val="-3"/>
          <w:sz w:val="24"/>
          <w:szCs w:val="24"/>
          <w:lang w:val="ro-MD"/>
        </w:rPr>
        <w:t>situația din</w:t>
      </w:r>
      <w:r w:rsidRPr="0080251F">
        <w:rPr>
          <w:rFonts w:ascii="Times New Roman" w:hAnsi="Times New Roman" w:cs="Times New Roman"/>
          <w:spacing w:val="-3"/>
          <w:sz w:val="24"/>
          <w:szCs w:val="24"/>
          <w:lang w:val="ro-MD"/>
        </w:rPr>
        <w:t xml:space="preserve"> 31.12.2022 </w:t>
      </w:r>
      <w:r w:rsidR="004131DD" w:rsidRPr="0080251F">
        <w:rPr>
          <w:rFonts w:ascii="Times New Roman" w:hAnsi="Times New Roman" w:cs="Times New Roman"/>
          <w:spacing w:val="-3"/>
          <w:sz w:val="24"/>
          <w:szCs w:val="24"/>
          <w:lang w:val="ro-MD"/>
        </w:rPr>
        <w:t>a</w:t>
      </w:r>
      <w:r w:rsidR="00047DC1" w:rsidRPr="0080251F">
        <w:rPr>
          <w:rFonts w:ascii="Times New Roman" w:hAnsi="Times New Roman" w:cs="Times New Roman"/>
          <w:spacing w:val="-3"/>
          <w:sz w:val="24"/>
          <w:szCs w:val="24"/>
          <w:lang w:val="ro-MD"/>
        </w:rPr>
        <w:t>u</w:t>
      </w:r>
      <w:r w:rsidR="004131DD" w:rsidRPr="0080251F">
        <w:rPr>
          <w:rFonts w:ascii="Times New Roman" w:hAnsi="Times New Roman" w:cs="Times New Roman"/>
          <w:spacing w:val="-3"/>
          <w:sz w:val="24"/>
          <w:szCs w:val="24"/>
          <w:lang w:val="ro-MD"/>
        </w:rPr>
        <w:t xml:space="preserve"> fost înregistrat</w:t>
      </w:r>
      <w:r w:rsidR="00047DC1" w:rsidRPr="0080251F">
        <w:rPr>
          <w:rFonts w:ascii="Times New Roman" w:hAnsi="Times New Roman" w:cs="Times New Roman"/>
          <w:spacing w:val="-3"/>
          <w:sz w:val="24"/>
          <w:szCs w:val="24"/>
          <w:lang w:val="ro-MD"/>
        </w:rPr>
        <w:t>e</w:t>
      </w:r>
      <w:r w:rsidR="004131DD" w:rsidRPr="0080251F">
        <w:rPr>
          <w:rFonts w:ascii="Times New Roman" w:hAnsi="Times New Roman" w:cs="Times New Roman"/>
          <w:spacing w:val="-3"/>
          <w:sz w:val="24"/>
          <w:szCs w:val="24"/>
          <w:lang w:val="ro-MD"/>
        </w:rPr>
        <w:t xml:space="preserve"> </w:t>
      </w:r>
      <w:r w:rsidR="0070717C" w:rsidRPr="0080251F">
        <w:rPr>
          <w:rFonts w:ascii="Times New Roman" w:hAnsi="Times New Roman" w:cs="Times New Roman"/>
          <w:spacing w:val="-3"/>
          <w:sz w:val="24"/>
          <w:szCs w:val="24"/>
          <w:lang w:val="ro-MD"/>
        </w:rPr>
        <w:t>active circulante</w:t>
      </w:r>
      <w:r w:rsidRPr="0080251F">
        <w:rPr>
          <w:rFonts w:ascii="Times New Roman" w:hAnsi="Times New Roman" w:cs="Times New Roman"/>
          <w:spacing w:val="-3"/>
          <w:sz w:val="24"/>
          <w:szCs w:val="24"/>
          <w:lang w:val="ro-MD"/>
        </w:rPr>
        <w:t xml:space="preserve"> în sumă de 64</w:t>
      </w:r>
      <w:r w:rsidR="004131DD" w:rsidRPr="0080251F">
        <w:rPr>
          <w:rFonts w:ascii="Times New Roman" w:hAnsi="Times New Roman" w:cs="Times New Roman"/>
          <w:spacing w:val="-3"/>
          <w:sz w:val="24"/>
          <w:szCs w:val="24"/>
          <w:lang w:val="ro-MD"/>
        </w:rPr>
        <w:t>,1 mil.</w:t>
      </w:r>
      <w:r w:rsidRPr="0080251F">
        <w:rPr>
          <w:rFonts w:ascii="Times New Roman" w:hAnsi="Times New Roman" w:cs="Times New Roman"/>
          <w:spacing w:val="-3"/>
          <w:sz w:val="24"/>
          <w:szCs w:val="24"/>
          <w:lang w:val="ro-MD"/>
        </w:rPr>
        <w:t xml:space="preserve"> lei, </w:t>
      </w:r>
      <w:r w:rsidR="00AF12C9" w:rsidRPr="0080251F">
        <w:rPr>
          <w:rFonts w:ascii="Times New Roman" w:hAnsi="Times New Roman" w:cs="Times New Roman"/>
          <w:spacing w:val="-3"/>
          <w:sz w:val="24"/>
          <w:szCs w:val="24"/>
          <w:lang w:val="ro-MD"/>
        </w:rPr>
        <w:t>care s-au majorat</w:t>
      </w:r>
      <w:r w:rsidR="004131DD" w:rsidRPr="0080251F">
        <w:rPr>
          <w:rFonts w:ascii="Times New Roman" w:hAnsi="Times New Roman" w:cs="Times New Roman"/>
          <w:spacing w:val="-3"/>
          <w:sz w:val="24"/>
          <w:szCs w:val="24"/>
          <w:lang w:val="ro-MD"/>
        </w:rPr>
        <w:t xml:space="preserve"> față de anul precedent cu </w:t>
      </w:r>
      <w:r w:rsidR="004B131D" w:rsidRPr="0080251F">
        <w:rPr>
          <w:rFonts w:ascii="Times New Roman" w:hAnsi="Times New Roman" w:cs="Times New Roman"/>
          <w:bCs/>
          <w:spacing w:val="-3"/>
          <w:sz w:val="24"/>
          <w:szCs w:val="24"/>
          <w:lang w:val="ro-MD"/>
        </w:rPr>
        <w:t>4,2</w:t>
      </w:r>
      <w:r w:rsidR="004131DD" w:rsidRPr="0080251F">
        <w:rPr>
          <w:rFonts w:ascii="Times New Roman" w:hAnsi="Times New Roman" w:cs="Times New Roman"/>
          <w:spacing w:val="-3"/>
          <w:sz w:val="24"/>
          <w:szCs w:val="24"/>
          <w:lang w:val="ro-MD"/>
        </w:rPr>
        <w:t xml:space="preserve"> mil. lei</w:t>
      </w:r>
      <w:r w:rsidR="004B131D" w:rsidRPr="0080251F">
        <w:rPr>
          <w:rFonts w:ascii="Times New Roman" w:hAnsi="Times New Roman" w:cs="Times New Roman"/>
          <w:spacing w:val="-3"/>
          <w:sz w:val="24"/>
          <w:szCs w:val="24"/>
          <w:lang w:val="ro-MD"/>
        </w:rPr>
        <w:t xml:space="preserve"> (59,8</w:t>
      </w:r>
      <w:r w:rsidR="00047DC1" w:rsidRPr="0080251F">
        <w:rPr>
          <w:rFonts w:ascii="Times New Roman" w:hAnsi="Times New Roman" w:cs="Times New Roman"/>
          <w:spacing w:val="-3"/>
          <w:sz w:val="24"/>
          <w:szCs w:val="24"/>
          <w:lang w:val="ro-MD"/>
        </w:rPr>
        <w:t xml:space="preserve"> mil. lei)</w:t>
      </w:r>
      <w:r w:rsidR="004131DD" w:rsidRPr="0080251F">
        <w:rPr>
          <w:rFonts w:ascii="Times New Roman" w:hAnsi="Times New Roman" w:cs="Times New Roman"/>
          <w:spacing w:val="-3"/>
          <w:sz w:val="24"/>
          <w:szCs w:val="24"/>
          <w:lang w:val="ro-MD"/>
        </w:rPr>
        <w:t xml:space="preserve">, datorită </w:t>
      </w:r>
      <w:r w:rsidR="00AF12C9" w:rsidRPr="0080251F">
        <w:rPr>
          <w:rFonts w:ascii="Times New Roman" w:hAnsi="Times New Roman" w:cs="Times New Roman"/>
          <w:spacing w:val="-3"/>
          <w:sz w:val="24"/>
          <w:szCs w:val="24"/>
          <w:lang w:val="ro-MD"/>
        </w:rPr>
        <w:t xml:space="preserve">creșterii </w:t>
      </w:r>
      <w:r w:rsidR="0070717C" w:rsidRPr="0080251F">
        <w:rPr>
          <w:rFonts w:ascii="Times New Roman" w:hAnsi="Times New Roman" w:cs="Times New Roman"/>
          <w:spacing w:val="-3"/>
          <w:sz w:val="24"/>
          <w:szCs w:val="24"/>
          <w:lang w:val="ro-MD"/>
        </w:rPr>
        <w:t>s</w:t>
      </w:r>
      <w:r w:rsidR="008F1133" w:rsidRPr="0080251F">
        <w:rPr>
          <w:rFonts w:ascii="Times New Roman" w:hAnsi="Times New Roman" w:cs="Times New Roman"/>
          <w:spacing w:val="-3"/>
          <w:sz w:val="24"/>
          <w:szCs w:val="24"/>
          <w:lang w:val="ro-MD"/>
        </w:rPr>
        <w:t xml:space="preserve">tocului </w:t>
      </w:r>
      <w:r w:rsidR="004B131D" w:rsidRPr="0080251F">
        <w:rPr>
          <w:rFonts w:ascii="Times New Roman" w:hAnsi="Times New Roman" w:cs="Times New Roman"/>
          <w:spacing w:val="-3"/>
          <w:sz w:val="24"/>
          <w:szCs w:val="24"/>
          <w:lang w:val="ro-MD"/>
        </w:rPr>
        <w:t>de materiale</w:t>
      </w:r>
      <w:r w:rsidR="00523CD5" w:rsidRPr="0080251F">
        <w:rPr>
          <w:rFonts w:ascii="Times New Roman" w:hAnsi="Times New Roman" w:cs="Times New Roman"/>
          <w:spacing w:val="-3"/>
          <w:sz w:val="24"/>
          <w:szCs w:val="24"/>
          <w:lang w:val="ro-MD"/>
        </w:rPr>
        <w:t xml:space="preserve"> utilizat în activitatea de producere</w:t>
      </w:r>
      <w:r w:rsidR="00047DC1"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 xml:space="preserve"> </w:t>
      </w:r>
      <w:r w:rsidR="00D6106B" w:rsidRPr="0080251F">
        <w:rPr>
          <w:rFonts w:ascii="Times New Roman" w:hAnsi="Times New Roman" w:cs="Times New Roman"/>
          <w:spacing w:val="-3"/>
          <w:sz w:val="24"/>
          <w:szCs w:val="24"/>
          <w:lang w:val="ro-MD"/>
        </w:rPr>
        <w:t xml:space="preserve">Ponderea cea mai mare în componența </w:t>
      </w:r>
      <w:r w:rsidR="0070717C" w:rsidRPr="0080251F">
        <w:rPr>
          <w:rFonts w:ascii="Times New Roman" w:hAnsi="Times New Roman" w:cs="Times New Roman"/>
          <w:spacing w:val="-3"/>
          <w:sz w:val="24"/>
          <w:szCs w:val="24"/>
          <w:lang w:val="ro-MD"/>
        </w:rPr>
        <w:t xml:space="preserve">activelor circulante ale </w:t>
      </w:r>
      <w:r w:rsidR="00D6106B" w:rsidRPr="0080251F">
        <w:rPr>
          <w:rFonts w:ascii="Times New Roman" w:hAnsi="Times New Roman" w:cs="Times New Roman"/>
          <w:spacing w:val="-3"/>
          <w:sz w:val="24"/>
          <w:szCs w:val="24"/>
          <w:lang w:val="ro-MD"/>
        </w:rPr>
        <w:t xml:space="preserve">S.A. „RED-Nord” </w:t>
      </w:r>
      <w:r w:rsidR="0070717C" w:rsidRPr="0080251F">
        <w:rPr>
          <w:rFonts w:ascii="Times New Roman" w:hAnsi="Times New Roman" w:cs="Times New Roman"/>
          <w:spacing w:val="-3"/>
          <w:sz w:val="24"/>
          <w:szCs w:val="24"/>
          <w:lang w:val="ro-MD"/>
        </w:rPr>
        <w:t xml:space="preserve">au </w:t>
      </w:r>
      <w:r w:rsidR="00DE274B" w:rsidRPr="0080251F">
        <w:rPr>
          <w:rFonts w:ascii="Times New Roman" w:hAnsi="Times New Roman" w:cs="Times New Roman"/>
          <w:spacing w:val="-3"/>
          <w:sz w:val="24"/>
          <w:szCs w:val="24"/>
          <w:lang w:val="ro-MD"/>
        </w:rPr>
        <w:t>deținut</w:t>
      </w:r>
      <w:r w:rsidR="0070717C" w:rsidRPr="0080251F">
        <w:rPr>
          <w:rFonts w:ascii="Times New Roman" w:hAnsi="Times New Roman" w:cs="Times New Roman"/>
          <w:spacing w:val="-3"/>
          <w:sz w:val="24"/>
          <w:szCs w:val="24"/>
          <w:lang w:val="ro-MD"/>
        </w:rPr>
        <w:t>-o</w:t>
      </w:r>
      <w:r w:rsidR="00D6106B" w:rsidRPr="0080251F">
        <w:rPr>
          <w:rFonts w:ascii="Times New Roman" w:hAnsi="Times New Roman" w:cs="Times New Roman"/>
          <w:spacing w:val="-3"/>
          <w:sz w:val="24"/>
          <w:szCs w:val="24"/>
          <w:lang w:val="ro-MD"/>
        </w:rPr>
        <w:t xml:space="preserve"> materialele</w:t>
      </w:r>
      <w:r w:rsidR="0070717C" w:rsidRPr="0080251F">
        <w:rPr>
          <w:rFonts w:ascii="Times New Roman" w:hAnsi="Times New Roman" w:cs="Times New Roman"/>
          <w:spacing w:val="-3"/>
          <w:sz w:val="24"/>
          <w:szCs w:val="24"/>
          <w:lang w:val="ro-MD"/>
        </w:rPr>
        <w:t xml:space="preserve">, a căror </w:t>
      </w:r>
      <w:r w:rsidR="00D6106B" w:rsidRPr="0080251F">
        <w:rPr>
          <w:rFonts w:ascii="Times New Roman" w:hAnsi="Times New Roman" w:cs="Times New Roman"/>
          <w:spacing w:val="-3"/>
          <w:sz w:val="24"/>
          <w:szCs w:val="24"/>
          <w:lang w:val="ro-MD"/>
        </w:rPr>
        <w:t>valoare</w:t>
      </w:r>
      <w:r w:rsidR="0070717C" w:rsidRPr="0080251F">
        <w:rPr>
          <w:rFonts w:ascii="Times New Roman" w:hAnsi="Times New Roman" w:cs="Times New Roman"/>
          <w:spacing w:val="-3"/>
          <w:sz w:val="24"/>
          <w:szCs w:val="24"/>
          <w:lang w:val="ro-MD"/>
        </w:rPr>
        <w:t xml:space="preserve"> </w:t>
      </w:r>
      <w:r w:rsidR="00D6106B" w:rsidRPr="0080251F">
        <w:rPr>
          <w:rFonts w:ascii="Times New Roman" w:hAnsi="Times New Roman" w:cs="Times New Roman"/>
          <w:spacing w:val="-3"/>
          <w:sz w:val="24"/>
          <w:szCs w:val="24"/>
          <w:lang w:val="ro-MD"/>
        </w:rPr>
        <w:t xml:space="preserve">a </w:t>
      </w:r>
      <w:r w:rsidR="0070717C" w:rsidRPr="0080251F">
        <w:rPr>
          <w:rFonts w:ascii="Times New Roman" w:hAnsi="Times New Roman" w:cs="Times New Roman"/>
          <w:spacing w:val="-3"/>
          <w:sz w:val="24"/>
          <w:szCs w:val="24"/>
          <w:lang w:val="ro-MD"/>
        </w:rPr>
        <w:t xml:space="preserve">constituit </w:t>
      </w:r>
      <w:r w:rsidR="00D6106B" w:rsidRPr="0080251F">
        <w:rPr>
          <w:rFonts w:ascii="Times New Roman" w:hAnsi="Times New Roman" w:cs="Times New Roman"/>
          <w:spacing w:val="-3"/>
          <w:sz w:val="24"/>
          <w:szCs w:val="24"/>
          <w:lang w:val="ro-MD"/>
        </w:rPr>
        <w:t>60,8 mil. lei (94,9%).</w:t>
      </w:r>
    </w:p>
    <w:p w14:paraId="33C5EDE4" w14:textId="361B73B1" w:rsidR="00723B03" w:rsidRPr="0080251F" w:rsidRDefault="008F1133" w:rsidP="009C2EE2">
      <w:pPr>
        <w:tabs>
          <w:tab w:val="left" w:pos="709"/>
          <w:tab w:val="left" w:pos="993"/>
        </w:tabs>
        <w:spacing w:after="0" w:line="276" w:lineRule="auto"/>
        <w:ind w:firstLine="709"/>
        <w:contextualSpacing/>
        <w:jc w:val="both"/>
        <w:rPr>
          <w:rFonts w:ascii="Times New Roman" w:hAnsi="Times New Roman" w:cs="Times New Roman"/>
          <w:spacing w:val="-3"/>
          <w:sz w:val="24"/>
          <w:szCs w:val="24"/>
          <w:lang w:val="ro-MD"/>
        </w:rPr>
      </w:pPr>
      <w:r w:rsidRPr="0080251F">
        <w:rPr>
          <w:rFonts w:ascii="Times New Roman" w:hAnsi="Times New Roman" w:cs="Times New Roman"/>
          <w:spacing w:val="-3"/>
          <w:sz w:val="24"/>
          <w:szCs w:val="24"/>
          <w:lang w:val="ro-MD"/>
        </w:rPr>
        <w:t>U</w:t>
      </w:r>
      <w:r w:rsidR="004131DD" w:rsidRPr="0080251F">
        <w:rPr>
          <w:rFonts w:ascii="Times New Roman" w:hAnsi="Times New Roman" w:cs="Times New Roman"/>
          <w:spacing w:val="-3"/>
          <w:sz w:val="24"/>
          <w:szCs w:val="24"/>
          <w:lang w:val="ro-MD"/>
        </w:rPr>
        <w:t xml:space="preserve">zura </w:t>
      </w:r>
      <w:r w:rsidR="00516973" w:rsidRPr="0080251F">
        <w:rPr>
          <w:rFonts w:ascii="Times New Roman" w:hAnsi="Times New Roman" w:cs="Times New Roman"/>
          <w:spacing w:val="-3"/>
          <w:sz w:val="24"/>
          <w:szCs w:val="24"/>
          <w:lang w:val="ro-MD"/>
        </w:rPr>
        <w:t>obiectelor de mică valoare și scurtă durată</w:t>
      </w:r>
      <w:r w:rsidRPr="0080251F">
        <w:rPr>
          <w:rFonts w:ascii="Times New Roman" w:hAnsi="Times New Roman" w:cs="Times New Roman"/>
          <w:spacing w:val="-3"/>
          <w:sz w:val="24"/>
          <w:szCs w:val="24"/>
          <w:lang w:val="ro-MD"/>
        </w:rPr>
        <w:t xml:space="preserve"> în anul 2022 a constituit</w:t>
      </w:r>
      <w:r w:rsidR="004131DD" w:rsidRPr="0080251F">
        <w:rPr>
          <w:rFonts w:ascii="Times New Roman" w:hAnsi="Times New Roman" w:cs="Times New Roman"/>
          <w:spacing w:val="-3"/>
          <w:sz w:val="24"/>
          <w:szCs w:val="24"/>
          <w:lang w:val="ro-MD"/>
        </w:rPr>
        <w:t xml:space="preserve"> 22,5 mil. lei.</w:t>
      </w:r>
      <w:r w:rsidR="0070717C" w:rsidRPr="0080251F">
        <w:rPr>
          <w:rFonts w:ascii="Times New Roman" w:hAnsi="Times New Roman" w:cs="Times New Roman"/>
          <w:spacing w:val="-3"/>
          <w:sz w:val="24"/>
          <w:szCs w:val="24"/>
          <w:lang w:val="ro-MD"/>
        </w:rPr>
        <w:t xml:space="preserve"> Deprecierea stocurilor s-a înregistrat</w:t>
      </w:r>
      <w:r w:rsidR="00C2636F" w:rsidRPr="0080251F">
        <w:rPr>
          <w:rFonts w:ascii="Times New Roman" w:hAnsi="Times New Roman" w:cs="Times New Roman"/>
          <w:spacing w:val="-3"/>
          <w:sz w:val="24"/>
          <w:szCs w:val="24"/>
          <w:lang w:val="ro-MD"/>
        </w:rPr>
        <w:t xml:space="preserve"> cu același sold neschimbat </w:t>
      </w:r>
      <w:r w:rsidR="009C2EE2" w:rsidRPr="0080251F">
        <w:rPr>
          <w:rFonts w:ascii="Times New Roman" w:hAnsi="Times New Roman" w:cs="Times New Roman"/>
          <w:spacing w:val="-3"/>
          <w:sz w:val="24"/>
          <w:szCs w:val="24"/>
          <w:lang w:val="ro-MD"/>
        </w:rPr>
        <w:t xml:space="preserve">de </w:t>
      </w:r>
      <w:r w:rsidR="0070717C" w:rsidRPr="0080251F">
        <w:rPr>
          <w:rFonts w:ascii="Times New Roman" w:hAnsi="Times New Roman" w:cs="Times New Roman"/>
          <w:spacing w:val="-3"/>
          <w:sz w:val="24"/>
          <w:szCs w:val="24"/>
          <w:lang w:val="ro-MD"/>
        </w:rPr>
        <w:t xml:space="preserve">3,2 mil. lei. </w:t>
      </w:r>
      <w:r w:rsidR="00723B03" w:rsidRPr="0080251F">
        <w:rPr>
          <w:rFonts w:ascii="Times New Roman" w:hAnsi="Times New Roman" w:cs="Times New Roman"/>
          <w:spacing w:val="-3"/>
          <w:sz w:val="24"/>
          <w:szCs w:val="24"/>
          <w:lang w:val="ro-MD"/>
        </w:rPr>
        <w:t>La contul 218 „Deprecierea stocurilor”</w:t>
      </w:r>
      <w:r w:rsidR="009A4350">
        <w:rPr>
          <w:rFonts w:ascii="Times New Roman" w:hAnsi="Times New Roman" w:cs="Times New Roman"/>
          <w:spacing w:val="-3"/>
          <w:sz w:val="24"/>
          <w:szCs w:val="24"/>
          <w:lang w:val="ro-MD"/>
        </w:rPr>
        <w:t xml:space="preserve"> </w:t>
      </w:r>
      <w:r w:rsidR="00723B03" w:rsidRPr="0080251F">
        <w:rPr>
          <w:rFonts w:ascii="Times New Roman" w:hAnsi="Times New Roman" w:cs="Times New Roman"/>
          <w:spacing w:val="-3"/>
          <w:sz w:val="24"/>
          <w:szCs w:val="24"/>
          <w:lang w:val="ro-MD"/>
        </w:rPr>
        <w:t xml:space="preserve">s-a </w:t>
      </w:r>
      <w:r w:rsidR="009207D3" w:rsidRPr="0080251F">
        <w:rPr>
          <w:rFonts w:ascii="Times New Roman" w:hAnsi="Times New Roman" w:cs="Times New Roman"/>
          <w:spacing w:val="-3"/>
          <w:sz w:val="24"/>
          <w:szCs w:val="24"/>
          <w:lang w:val="ro-MD"/>
        </w:rPr>
        <w:t>raportat</w:t>
      </w:r>
      <w:r w:rsidR="00723B03" w:rsidRPr="0080251F">
        <w:rPr>
          <w:rFonts w:ascii="Times New Roman" w:hAnsi="Times New Roman" w:cs="Times New Roman"/>
          <w:spacing w:val="-3"/>
          <w:sz w:val="24"/>
          <w:szCs w:val="24"/>
          <w:lang w:val="ro-MD"/>
        </w:rPr>
        <w:t xml:space="preserve"> </w:t>
      </w:r>
      <w:r w:rsidR="00824F21" w:rsidRPr="0080251F">
        <w:rPr>
          <w:rFonts w:ascii="Times New Roman" w:hAnsi="Times New Roman" w:cs="Times New Roman"/>
          <w:spacing w:val="-3"/>
          <w:sz w:val="24"/>
          <w:szCs w:val="24"/>
          <w:lang w:val="ro-MD"/>
        </w:rPr>
        <w:t xml:space="preserve">operațiunea de </w:t>
      </w:r>
      <w:r w:rsidR="00723B03" w:rsidRPr="0080251F">
        <w:rPr>
          <w:rFonts w:ascii="Times New Roman" w:hAnsi="Times New Roman" w:cs="Times New Roman"/>
          <w:spacing w:val="-3"/>
          <w:sz w:val="24"/>
          <w:szCs w:val="24"/>
          <w:lang w:val="ro-MD"/>
        </w:rPr>
        <w:t>di</w:t>
      </w:r>
      <w:r w:rsidR="00824F21" w:rsidRPr="0080251F">
        <w:rPr>
          <w:rFonts w:ascii="Times New Roman" w:hAnsi="Times New Roman" w:cs="Times New Roman"/>
          <w:spacing w:val="-3"/>
          <w:sz w:val="24"/>
          <w:szCs w:val="24"/>
          <w:lang w:val="ro-MD"/>
        </w:rPr>
        <w:t>minuare a valorii materialelor cu</w:t>
      </w:r>
      <w:r w:rsidR="00723B03" w:rsidRPr="0080251F">
        <w:rPr>
          <w:rFonts w:ascii="Times New Roman" w:hAnsi="Times New Roman" w:cs="Times New Roman"/>
          <w:spacing w:val="-3"/>
          <w:sz w:val="24"/>
          <w:szCs w:val="24"/>
          <w:lang w:val="ro-MD"/>
        </w:rPr>
        <w:t xml:space="preserve"> </w:t>
      </w:r>
      <w:r w:rsidR="00AF12C9" w:rsidRPr="0080251F">
        <w:rPr>
          <w:rFonts w:ascii="Times New Roman" w:hAnsi="Times New Roman" w:cs="Times New Roman"/>
          <w:spacing w:val="-3"/>
          <w:sz w:val="24"/>
          <w:szCs w:val="24"/>
          <w:lang w:val="ro-MD"/>
        </w:rPr>
        <w:t>suma de 3,2 mil.</w:t>
      </w:r>
      <w:r w:rsidR="00723B03" w:rsidRPr="0080251F">
        <w:rPr>
          <w:rFonts w:ascii="Times New Roman" w:hAnsi="Times New Roman" w:cs="Times New Roman"/>
          <w:spacing w:val="-3"/>
          <w:sz w:val="24"/>
          <w:szCs w:val="24"/>
          <w:lang w:val="ro-MD"/>
        </w:rPr>
        <w:t xml:space="preserve"> lei, care s-a</w:t>
      </w:r>
      <w:r w:rsidR="009207D3" w:rsidRPr="0080251F">
        <w:rPr>
          <w:rFonts w:ascii="Times New Roman" w:hAnsi="Times New Roman" w:cs="Times New Roman"/>
          <w:spacing w:val="-3"/>
          <w:sz w:val="24"/>
          <w:szCs w:val="24"/>
          <w:lang w:val="ro-MD"/>
        </w:rPr>
        <w:t xml:space="preserve"> </w:t>
      </w:r>
      <w:r w:rsidR="00D43EF2" w:rsidRPr="0080251F">
        <w:rPr>
          <w:rFonts w:ascii="Times New Roman" w:hAnsi="Times New Roman" w:cs="Times New Roman"/>
          <w:spacing w:val="-3"/>
          <w:sz w:val="24"/>
          <w:szCs w:val="24"/>
          <w:lang w:val="ro-MD"/>
        </w:rPr>
        <w:t>înregistrat</w:t>
      </w:r>
      <w:r w:rsidR="009207D3" w:rsidRPr="0080251F">
        <w:rPr>
          <w:rFonts w:ascii="Times New Roman" w:hAnsi="Times New Roman" w:cs="Times New Roman"/>
          <w:spacing w:val="-3"/>
          <w:sz w:val="24"/>
          <w:szCs w:val="24"/>
          <w:lang w:val="ro-MD"/>
        </w:rPr>
        <w:t xml:space="preserve"> </w:t>
      </w:r>
      <w:r w:rsidR="00824F21" w:rsidRPr="0080251F">
        <w:rPr>
          <w:rFonts w:ascii="Times New Roman" w:hAnsi="Times New Roman" w:cs="Times New Roman"/>
          <w:spacing w:val="-3"/>
          <w:sz w:val="24"/>
          <w:szCs w:val="24"/>
          <w:lang w:val="ro-MD"/>
        </w:rPr>
        <w:t xml:space="preserve">în baza criteriului </w:t>
      </w:r>
      <w:r w:rsidR="00D43EF2" w:rsidRPr="0080251F">
        <w:rPr>
          <w:rFonts w:ascii="Times New Roman" w:hAnsi="Times New Roman" w:cs="Times New Roman"/>
          <w:spacing w:val="-3"/>
          <w:sz w:val="24"/>
          <w:szCs w:val="24"/>
          <w:lang w:val="ro-MD"/>
        </w:rPr>
        <w:t xml:space="preserve">de </w:t>
      </w:r>
      <w:r w:rsidR="00723B03" w:rsidRPr="0080251F">
        <w:rPr>
          <w:rFonts w:ascii="Times New Roman" w:hAnsi="Times New Roman" w:cs="Times New Roman"/>
          <w:spacing w:val="-3"/>
          <w:sz w:val="24"/>
          <w:szCs w:val="24"/>
          <w:lang w:val="ro-MD"/>
        </w:rPr>
        <w:t>depreciere</w:t>
      </w:r>
      <w:r w:rsidR="009207D3" w:rsidRPr="0080251F">
        <w:rPr>
          <w:rFonts w:ascii="Times New Roman" w:hAnsi="Times New Roman" w:cs="Times New Roman"/>
          <w:spacing w:val="-3"/>
          <w:sz w:val="24"/>
          <w:szCs w:val="24"/>
          <w:lang w:val="ro-MD"/>
        </w:rPr>
        <w:t xml:space="preserve"> </w:t>
      </w:r>
      <w:r w:rsidR="00723B03" w:rsidRPr="0080251F">
        <w:rPr>
          <w:rFonts w:ascii="Times New Roman" w:hAnsi="Times New Roman" w:cs="Times New Roman"/>
          <w:spacing w:val="-3"/>
          <w:sz w:val="24"/>
          <w:szCs w:val="24"/>
          <w:lang w:val="ro-MD"/>
        </w:rPr>
        <w:t>a materialelor neutilizate în activitatea în</w:t>
      </w:r>
      <w:r w:rsidR="0070717C" w:rsidRPr="0080251F">
        <w:rPr>
          <w:rFonts w:ascii="Times New Roman" w:hAnsi="Times New Roman" w:cs="Times New Roman"/>
          <w:spacing w:val="-3"/>
          <w:sz w:val="24"/>
          <w:szCs w:val="24"/>
          <w:lang w:val="ro-MD"/>
        </w:rPr>
        <w:t xml:space="preserve">treprinderii mai mult de 2 ani. </w:t>
      </w:r>
      <w:r w:rsidR="00723B03" w:rsidRPr="0080251F">
        <w:rPr>
          <w:rFonts w:ascii="Times New Roman" w:hAnsi="Times New Roman" w:cs="Times New Roman"/>
          <w:spacing w:val="-3"/>
          <w:sz w:val="24"/>
          <w:szCs w:val="24"/>
          <w:lang w:val="ro-MD"/>
        </w:rPr>
        <w:t xml:space="preserve">Stocul de materiale depreciat a fost </w:t>
      </w:r>
      <w:r w:rsidR="00D43EF2" w:rsidRPr="0080251F">
        <w:rPr>
          <w:rFonts w:ascii="Times New Roman" w:hAnsi="Times New Roman" w:cs="Times New Roman"/>
          <w:spacing w:val="-3"/>
          <w:sz w:val="24"/>
          <w:szCs w:val="24"/>
          <w:lang w:val="ro-MD"/>
        </w:rPr>
        <w:t>înregistrat</w:t>
      </w:r>
      <w:r w:rsidR="00723B03" w:rsidRPr="0080251F">
        <w:rPr>
          <w:rFonts w:ascii="Times New Roman" w:hAnsi="Times New Roman" w:cs="Times New Roman"/>
          <w:spacing w:val="-3"/>
          <w:sz w:val="24"/>
          <w:szCs w:val="24"/>
          <w:lang w:val="ro-MD"/>
        </w:rPr>
        <w:t xml:space="preserve"> în bilanțul contabil în anul 2019.</w:t>
      </w:r>
    </w:p>
    <w:p w14:paraId="6F5134EE" w14:textId="77777777" w:rsidR="00625085" w:rsidRPr="0080251F" w:rsidRDefault="00625085" w:rsidP="00625085">
      <w:pPr>
        <w:spacing w:after="0" w:line="276" w:lineRule="auto"/>
        <w:jc w:val="right"/>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Tabelul nr.4</w:t>
      </w:r>
    </w:p>
    <w:p w14:paraId="1968902A" w14:textId="09B96CF1" w:rsidR="00625085" w:rsidRPr="0080251F" w:rsidRDefault="00625085" w:rsidP="00CA4517">
      <w:pPr>
        <w:spacing w:after="0" w:line="276" w:lineRule="auto"/>
        <w:jc w:val="center"/>
        <w:rPr>
          <w:rFonts w:ascii="Times New Roman" w:hAnsi="Times New Roman" w:cs="Times New Roman"/>
          <w:b/>
          <w:sz w:val="24"/>
          <w:szCs w:val="24"/>
          <w:lang w:val="ro-MD"/>
        </w:rPr>
      </w:pPr>
      <w:r w:rsidRPr="0080251F">
        <w:rPr>
          <w:rFonts w:ascii="Times New Roman" w:hAnsi="Times New Roman" w:cs="Times New Roman"/>
          <w:b/>
          <w:sz w:val="24"/>
          <w:szCs w:val="24"/>
          <w:lang w:val="ro-MD"/>
        </w:rPr>
        <w:t>Informația privind stocurile înregistrate în evidența contabilă în ani</w:t>
      </w:r>
      <w:r w:rsidR="007B73A0" w:rsidRPr="0080251F">
        <w:rPr>
          <w:rFonts w:ascii="Times New Roman" w:hAnsi="Times New Roman" w:cs="Times New Roman"/>
          <w:b/>
          <w:sz w:val="24"/>
          <w:szCs w:val="24"/>
          <w:lang w:val="ro-MD"/>
        </w:rPr>
        <w:t>i</w:t>
      </w:r>
      <w:r w:rsidRPr="0080251F">
        <w:rPr>
          <w:rFonts w:ascii="Times New Roman" w:hAnsi="Times New Roman" w:cs="Times New Roman"/>
          <w:b/>
          <w:sz w:val="24"/>
          <w:szCs w:val="24"/>
          <w:lang w:val="ro-MD"/>
        </w:rPr>
        <w:t xml:space="preserve"> 2021-2022</w:t>
      </w:r>
    </w:p>
    <w:tbl>
      <w:tblPr>
        <w:tblStyle w:val="aa"/>
        <w:tblW w:w="0" w:type="auto"/>
        <w:tblInd w:w="-5" w:type="dxa"/>
        <w:tblLook w:val="04A0" w:firstRow="1" w:lastRow="0" w:firstColumn="1" w:lastColumn="0" w:noHBand="0" w:noVBand="1"/>
      </w:tblPr>
      <w:tblGrid>
        <w:gridCol w:w="4962"/>
        <w:gridCol w:w="1559"/>
        <w:gridCol w:w="1417"/>
        <w:gridCol w:w="1696"/>
      </w:tblGrid>
      <w:tr w:rsidR="00337326" w:rsidRPr="0080251F" w14:paraId="6AAED8BD" w14:textId="77777777" w:rsidTr="006F394A">
        <w:tc>
          <w:tcPr>
            <w:tcW w:w="4962" w:type="dxa"/>
            <w:shd w:val="clear" w:color="auto" w:fill="D9D9D9" w:themeFill="background1" w:themeFillShade="D9"/>
          </w:tcPr>
          <w:p w14:paraId="0BB31DA1" w14:textId="6A7F6888" w:rsidR="00337326" w:rsidRPr="0080251F" w:rsidRDefault="00625085" w:rsidP="008573E5">
            <w:pPr>
              <w:spacing w:line="259" w:lineRule="auto"/>
              <w:jc w:val="both"/>
              <w:rPr>
                <w:rFonts w:ascii="Times New Roman" w:hAnsi="Times New Roman" w:cs="Times New Roman"/>
                <w:b/>
                <w:bCs/>
                <w:sz w:val="20"/>
                <w:szCs w:val="20"/>
                <w:lang w:val="ro-MD"/>
              </w:rPr>
            </w:pPr>
            <w:r w:rsidRPr="0080251F">
              <w:rPr>
                <w:rFonts w:ascii="Times New Roman" w:hAnsi="Times New Roman" w:cs="Times New Roman"/>
                <w:bCs/>
                <w:i/>
                <w:lang w:val="ro-MD"/>
              </w:rPr>
              <w:t xml:space="preserve">          </w:t>
            </w:r>
            <w:r w:rsidR="00337326" w:rsidRPr="0080251F">
              <w:rPr>
                <w:rFonts w:ascii="Times New Roman" w:hAnsi="Times New Roman" w:cs="Times New Roman"/>
                <w:b/>
                <w:bCs/>
                <w:sz w:val="20"/>
                <w:szCs w:val="20"/>
                <w:lang w:val="ro-MD"/>
              </w:rPr>
              <w:t>Indicatori</w:t>
            </w:r>
          </w:p>
        </w:tc>
        <w:tc>
          <w:tcPr>
            <w:tcW w:w="1559" w:type="dxa"/>
            <w:shd w:val="clear" w:color="auto" w:fill="D9D9D9" w:themeFill="background1" w:themeFillShade="D9"/>
          </w:tcPr>
          <w:p w14:paraId="7184589E" w14:textId="77777777" w:rsidR="00337326" w:rsidRPr="0080251F" w:rsidRDefault="00337326" w:rsidP="008573E5">
            <w:pPr>
              <w:spacing w:line="259" w:lineRule="auto"/>
              <w:jc w:val="center"/>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2021, mii lei</w:t>
            </w:r>
          </w:p>
        </w:tc>
        <w:tc>
          <w:tcPr>
            <w:tcW w:w="1417" w:type="dxa"/>
            <w:shd w:val="clear" w:color="auto" w:fill="D9D9D9" w:themeFill="background1" w:themeFillShade="D9"/>
          </w:tcPr>
          <w:p w14:paraId="7D4888E6" w14:textId="77777777" w:rsidR="00337326" w:rsidRPr="0080251F" w:rsidRDefault="00337326" w:rsidP="008573E5">
            <w:pPr>
              <w:spacing w:line="259" w:lineRule="auto"/>
              <w:jc w:val="center"/>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2022, mii lei</w:t>
            </w:r>
          </w:p>
        </w:tc>
        <w:tc>
          <w:tcPr>
            <w:tcW w:w="1696" w:type="dxa"/>
            <w:shd w:val="clear" w:color="auto" w:fill="D9D9D9" w:themeFill="background1" w:themeFillShade="D9"/>
          </w:tcPr>
          <w:p w14:paraId="62B8E826" w14:textId="7CD462FA" w:rsidR="00337326" w:rsidRPr="0080251F" w:rsidRDefault="00DB1954" w:rsidP="008573E5">
            <w:pPr>
              <w:spacing w:line="259" w:lineRule="auto"/>
              <w:jc w:val="center"/>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Diferența</w:t>
            </w:r>
            <w:r w:rsidR="00337326" w:rsidRPr="0080251F">
              <w:rPr>
                <w:rFonts w:ascii="Times New Roman" w:hAnsi="Times New Roman" w:cs="Times New Roman"/>
                <w:b/>
                <w:bCs/>
                <w:sz w:val="20"/>
                <w:szCs w:val="20"/>
                <w:lang w:val="ro-MD"/>
              </w:rPr>
              <w:t>, mii lei</w:t>
            </w:r>
          </w:p>
        </w:tc>
      </w:tr>
      <w:tr w:rsidR="00337326" w:rsidRPr="0080251F" w14:paraId="7EF2D665" w14:textId="77777777" w:rsidTr="006F394A">
        <w:tc>
          <w:tcPr>
            <w:tcW w:w="4962" w:type="dxa"/>
          </w:tcPr>
          <w:p w14:paraId="50BDA9D2" w14:textId="299512B9" w:rsidR="00337326" w:rsidRPr="0080251F" w:rsidRDefault="00337326" w:rsidP="008573E5">
            <w:pPr>
              <w:spacing w:line="259" w:lineRule="auto"/>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211„ Materiale”</w:t>
            </w:r>
          </w:p>
        </w:tc>
        <w:tc>
          <w:tcPr>
            <w:tcW w:w="1559" w:type="dxa"/>
            <w:vAlign w:val="center"/>
          </w:tcPr>
          <w:p w14:paraId="1728AAFE"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55.327,5</w:t>
            </w:r>
          </w:p>
        </w:tc>
        <w:tc>
          <w:tcPr>
            <w:tcW w:w="1417" w:type="dxa"/>
            <w:vAlign w:val="center"/>
          </w:tcPr>
          <w:p w14:paraId="0E34939D"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60.784,1</w:t>
            </w:r>
          </w:p>
        </w:tc>
        <w:tc>
          <w:tcPr>
            <w:tcW w:w="1696" w:type="dxa"/>
          </w:tcPr>
          <w:p w14:paraId="120FB080"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5.456,6</w:t>
            </w:r>
          </w:p>
        </w:tc>
      </w:tr>
      <w:tr w:rsidR="00337326" w:rsidRPr="0080251F" w14:paraId="1B25AD23" w14:textId="77777777" w:rsidTr="006F394A">
        <w:tc>
          <w:tcPr>
            <w:tcW w:w="4962" w:type="dxa"/>
          </w:tcPr>
          <w:p w14:paraId="4517CDDD" w14:textId="77777777" w:rsidR="00337326" w:rsidRPr="0080251F" w:rsidRDefault="00337326" w:rsidP="008573E5">
            <w:pPr>
              <w:spacing w:line="259" w:lineRule="auto"/>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213 „Obiecte de mică valoare și scurtă durată”</w:t>
            </w:r>
          </w:p>
        </w:tc>
        <w:tc>
          <w:tcPr>
            <w:tcW w:w="1559" w:type="dxa"/>
            <w:vAlign w:val="center"/>
          </w:tcPr>
          <w:p w14:paraId="3D4163CA"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26.248,6</w:t>
            </w:r>
          </w:p>
        </w:tc>
        <w:tc>
          <w:tcPr>
            <w:tcW w:w="1417" w:type="dxa"/>
            <w:vAlign w:val="center"/>
          </w:tcPr>
          <w:p w14:paraId="109E0152"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26.191,2</w:t>
            </w:r>
          </w:p>
        </w:tc>
        <w:tc>
          <w:tcPr>
            <w:tcW w:w="1696" w:type="dxa"/>
          </w:tcPr>
          <w:p w14:paraId="18A55E77"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- 57,4</w:t>
            </w:r>
          </w:p>
        </w:tc>
      </w:tr>
      <w:tr w:rsidR="00337326" w:rsidRPr="0080251F" w14:paraId="6F2E2189" w14:textId="77777777" w:rsidTr="006F394A">
        <w:tc>
          <w:tcPr>
            <w:tcW w:w="4962" w:type="dxa"/>
          </w:tcPr>
          <w:p w14:paraId="0F6FCA25" w14:textId="77777777" w:rsidR="00337326" w:rsidRPr="0080251F" w:rsidRDefault="00337326" w:rsidP="008573E5">
            <w:pPr>
              <w:spacing w:line="259" w:lineRule="auto"/>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215 „Active în curs de execuție”</w:t>
            </w:r>
          </w:p>
        </w:tc>
        <w:tc>
          <w:tcPr>
            <w:tcW w:w="1559" w:type="dxa"/>
            <w:vAlign w:val="center"/>
          </w:tcPr>
          <w:p w14:paraId="4EAAAA48"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2,6</w:t>
            </w:r>
          </w:p>
        </w:tc>
        <w:tc>
          <w:tcPr>
            <w:tcW w:w="1417" w:type="dxa"/>
            <w:vAlign w:val="center"/>
          </w:tcPr>
          <w:p w14:paraId="045378E2"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2,6</w:t>
            </w:r>
          </w:p>
        </w:tc>
        <w:tc>
          <w:tcPr>
            <w:tcW w:w="1696" w:type="dxa"/>
          </w:tcPr>
          <w:p w14:paraId="115118B9"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0,0</w:t>
            </w:r>
          </w:p>
        </w:tc>
      </w:tr>
      <w:tr w:rsidR="00337326" w:rsidRPr="0080251F" w14:paraId="2B2F7506" w14:textId="77777777" w:rsidTr="006F394A">
        <w:tc>
          <w:tcPr>
            <w:tcW w:w="4962" w:type="dxa"/>
          </w:tcPr>
          <w:p w14:paraId="57C964AD" w14:textId="77777777" w:rsidR="00337326" w:rsidRPr="0080251F" w:rsidRDefault="00337326" w:rsidP="008573E5">
            <w:pPr>
              <w:spacing w:line="259" w:lineRule="auto"/>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217 „Mărfuri”</w:t>
            </w:r>
          </w:p>
        </w:tc>
        <w:tc>
          <w:tcPr>
            <w:tcW w:w="1559" w:type="dxa"/>
            <w:vAlign w:val="center"/>
          </w:tcPr>
          <w:p w14:paraId="64282DDE"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3.722,1</w:t>
            </w:r>
          </w:p>
        </w:tc>
        <w:tc>
          <w:tcPr>
            <w:tcW w:w="1417" w:type="dxa"/>
            <w:vAlign w:val="center"/>
          </w:tcPr>
          <w:p w14:paraId="74748280"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2.761,4</w:t>
            </w:r>
          </w:p>
        </w:tc>
        <w:tc>
          <w:tcPr>
            <w:tcW w:w="1696" w:type="dxa"/>
          </w:tcPr>
          <w:p w14:paraId="34BF5512"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- 960,7</w:t>
            </w:r>
          </w:p>
        </w:tc>
      </w:tr>
      <w:tr w:rsidR="00337326" w:rsidRPr="0080251F" w14:paraId="7E441C42" w14:textId="77777777" w:rsidTr="006F394A">
        <w:tc>
          <w:tcPr>
            <w:tcW w:w="4962" w:type="dxa"/>
          </w:tcPr>
          <w:p w14:paraId="56A926B8" w14:textId="77777777" w:rsidR="00337326" w:rsidRPr="0080251F" w:rsidRDefault="00337326" w:rsidP="008573E5">
            <w:pPr>
              <w:spacing w:line="259" w:lineRule="auto"/>
              <w:jc w:val="both"/>
              <w:rPr>
                <w:rFonts w:ascii="Times New Roman" w:hAnsi="Times New Roman" w:cs="Times New Roman"/>
                <w:bCs/>
                <w:sz w:val="20"/>
                <w:szCs w:val="20"/>
                <w:lang w:val="ro-MD"/>
              </w:rPr>
            </w:pPr>
            <w:r w:rsidRPr="0080251F">
              <w:rPr>
                <w:rFonts w:ascii="Times New Roman" w:hAnsi="Times New Roman" w:cs="Times New Roman"/>
                <w:b/>
                <w:bCs/>
                <w:sz w:val="20"/>
                <w:szCs w:val="20"/>
                <w:lang w:val="ro-MD"/>
              </w:rPr>
              <w:t>Total</w:t>
            </w:r>
          </w:p>
        </w:tc>
        <w:tc>
          <w:tcPr>
            <w:tcW w:w="1559" w:type="dxa"/>
            <w:vAlign w:val="center"/>
          </w:tcPr>
          <w:p w14:paraId="323F3BE2"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
                <w:bCs/>
                <w:sz w:val="20"/>
                <w:szCs w:val="20"/>
                <w:lang w:val="ro-MD"/>
              </w:rPr>
              <w:t>85.300,8</w:t>
            </w:r>
          </w:p>
        </w:tc>
        <w:tc>
          <w:tcPr>
            <w:tcW w:w="1417" w:type="dxa"/>
            <w:vAlign w:val="center"/>
          </w:tcPr>
          <w:p w14:paraId="3EE91B2D"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
                <w:bCs/>
                <w:sz w:val="20"/>
                <w:szCs w:val="20"/>
                <w:lang w:val="ro-MD"/>
              </w:rPr>
              <w:t>89.739,3</w:t>
            </w:r>
          </w:p>
        </w:tc>
        <w:tc>
          <w:tcPr>
            <w:tcW w:w="1696" w:type="dxa"/>
          </w:tcPr>
          <w:p w14:paraId="0FC47188"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4.438,5</w:t>
            </w:r>
          </w:p>
        </w:tc>
      </w:tr>
      <w:tr w:rsidR="00337326" w:rsidRPr="0080251F" w14:paraId="02440174" w14:textId="77777777" w:rsidTr="006F394A">
        <w:tc>
          <w:tcPr>
            <w:tcW w:w="4962" w:type="dxa"/>
          </w:tcPr>
          <w:p w14:paraId="15FD167A" w14:textId="56FC0D63" w:rsidR="00337326" w:rsidRPr="0080251F" w:rsidRDefault="00337326" w:rsidP="007C54B8">
            <w:pPr>
              <w:spacing w:line="259" w:lineRule="auto"/>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 xml:space="preserve">214 „Uzura </w:t>
            </w:r>
            <w:r w:rsidR="007C54B8" w:rsidRPr="0080251F">
              <w:rPr>
                <w:rFonts w:ascii="Times New Roman" w:hAnsi="Times New Roman" w:cs="Times New Roman"/>
                <w:bCs/>
                <w:sz w:val="20"/>
                <w:szCs w:val="20"/>
                <w:lang w:val="ro-MD"/>
              </w:rPr>
              <w:t>obiectelor</w:t>
            </w:r>
            <w:r w:rsidR="007C54B8" w:rsidRPr="0080251F" w:rsidDel="007C54B8">
              <w:rPr>
                <w:rFonts w:ascii="Times New Roman" w:hAnsi="Times New Roman" w:cs="Times New Roman"/>
                <w:bCs/>
                <w:sz w:val="20"/>
                <w:szCs w:val="20"/>
                <w:lang w:val="ro-MD"/>
              </w:rPr>
              <w:t xml:space="preserve"> </w:t>
            </w:r>
            <w:r w:rsidR="007C54B8" w:rsidRPr="0080251F">
              <w:rPr>
                <w:rFonts w:ascii="Times New Roman" w:hAnsi="Times New Roman" w:cs="Times New Roman"/>
                <w:bCs/>
                <w:sz w:val="20"/>
                <w:szCs w:val="20"/>
                <w:lang w:val="ro-MD"/>
              </w:rPr>
              <w:t>de mică valoare și scurtă durată</w:t>
            </w:r>
            <w:r w:rsidRPr="0080251F">
              <w:rPr>
                <w:rFonts w:ascii="Times New Roman" w:hAnsi="Times New Roman" w:cs="Times New Roman"/>
                <w:bCs/>
                <w:sz w:val="20"/>
                <w:szCs w:val="20"/>
                <w:lang w:val="ro-MD"/>
              </w:rPr>
              <w:t>”</w:t>
            </w:r>
          </w:p>
        </w:tc>
        <w:tc>
          <w:tcPr>
            <w:tcW w:w="1559" w:type="dxa"/>
            <w:vAlign w:val="center"/>
          </w:tcPr>
          <w:p w14:paraId="2953FB99"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22.292,5</w:t>
            </w:r>
          </w:p>
        </w:tc>
        <w:tc>
          <w:tcPr>
            <w:tcW w:w="1417" w:type="dxa"/>
            <w:vAlign w:val="center"/>
          </w:tcPr>
          <w:p w14:paraId="15E7D5AE"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22.495,3</w:t>
            </w:r>
          </w:p>
        </w:tc>
        <w:tc>
          <w:tcPr>
            <w:tcW w:w="1696" w:type="dxa"/>
          </w:tcPr>
          <w:p w14:paraId="79FD376B"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202,8</w:t>
            </w:r>
          </w:p>
        </w:tc>
      </w:tr>
      <w:tr w:rsidR="00337326" w:rsidRPr="0080251F" w14:paraId="4BE91403" w14:textId="77777777" w:rsidTr="006F394A">
        <w:tc>
          <w:tcPr>
            <w:tcW w:w="4962" w:type="dxa"/>
          </w:tcPr>
          <w:p w14:paraId="05F8831B" w14:textId="12CCEA43" w:rsidR="00337326" w:rsidRPr="0080251F" w:rsidRDefault="008431EA" w:rsidP="008573E5">
            <w:pPr>
              <w:spacing w:line="259" w:lineRule="auto"/>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218 „Deprecierea stocurilor” (materialele de la contul 211)</w:t>
            </w:r>
          </w:p>
        </w:tc>
        <w:tc>
          <w:tcPr>
            <w:tcW w:w="1559" w:type="dxa"/>
            <w:vAlign w:val="center"/>
          </w:tcPr>
          <w:p w14:paraId="29CA4C9F"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3.165,4</w:t>
            </w:r>
          </w:p>
        </w:tc>
        <w:tc>
          <w:tcPr>
            <w:tcW w:w="1417" w:type="dxa"/>
            <w:vAlign w:val="center"/>
          </w:tcPr>
          <w:p w14:paraId="50EA47DE"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3.165,4</w:t>
            </w:r>
          </w:p>
        </w:tc>
        <w:tc>
          <w:tcPr>
            <w:tcW w:w="1696" w:type="dxa"/>
            <w:vAlign w:val="center"/>
          </w:tcPr>
          <w:p w14:paraId="46D3F19E"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0,0</w:t>
            </w:r>
          </w:p>
        </w:tc>
      </w:tr>
      <w:tr w:rsidR="00337326" w:rsidRPr="0080251F" w14:paraId="3443B4C2" w14:textId="77777777" w:rsidTr="006F394A">
        <w:tc>
          <w:tcPr>
            <w:tcW w:w="4962" w:type="dxa"/>
          </w:tcPr>
          <w:p w14:paraId="47B19A38" w14:textId="77777777" w:rsidR="00337326" w:rsidRPr="0080251F" w:rsidRDefault="00337326" w:rsidP="008573E5">
            <w:pPr>
              <w:spacing w:line="259" w:lineRule="auto"/>
              <w:jc w:val="both"/>
              <w:rPr>
                <w:rFonts w:ascii="Times New Roman" w:hAnsi="Times New Roman" w:cs="Times New Roman"/>
                <w:bCs/>
                <w:sz w:val="20"/>
                <w:szCs w:val="20"/>
                <w:lang w:val="ro-MD"/>
              </w:rPr>
            </w:pPr>
            <w:r w:rsidRPr="0080251F">
              <w:rPr>
                <w:rFonts w:ascii="Times New Roman" w:hAnsi="Times New Roman" w:cs="Times New Roman"/>
                <w:b/>
                <w:bCs/>
                <w:sz w:val="20"/>
                <w:szCs w:val="20"/>
                <w:lang w:val="ro-MD"/>
              </w:rPr>
              <w:t>Total, valoarea netă</w:t>
            </w:r>
          </w:p>
        </w:tc>
        <w:tc>
          <w:tcPr>
            <w:tcW w:w="1559" w:type="dxa"/>
            <w:vAlign w:val="center"/>
          </w:tcPr>
          <w:p w14:paraId="03763C1A"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
                <w:bCs/>
                <w:sz w:val="20"/>
                <w:szCs w:val="20"/>
                <w:lang w:val="ro-MD"/>
              </w:rPr>
              <w:t>59.842,9</w:t>
            </w:r>
          </w:p>
        </w:tc>
        <w:tc>
          <w:tcPr>
            <w:tcW w:w="1417" w:type="dxa"/>
            <w:vAlign w:val="center"/>
          </w:tcPr>
          <w:p w14:paraId="69EC582E"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
                <w:bCs/>
                <w:sz w:val="20"/>
                <w:szCs w:val="20"/>
                <w:lang w:val="ro-MD"/>
              </w:rPr>
              <w:t>64.078,6</w:t>
            </w:r>
          </w:p>
        </w:tc>
        <w:tc>
          <w:tcPr>
            <w:tcW w:w="1696" w:type="dxa"/>
          </w:tcPr>
          <w:p w14:paraId="2AFFD965" w14:textId="77777777" w:rsidR="00337326" w:rsidRPr="0080251F" w:rsidRDefault="00337326" w:rsidP="008573E5">
            <w:pPr>
              <w:spacing w:line="259" w:lineRule="auto"/>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4.235,7</w:t>
            </w:r>
          </w:p>
        </w:tc>
      </w:tr>
    </w:tbl>
    <w:p w14:paraId="1F666A3C" w14:textId="5AC8349B" w:rsidR="00625085" w:rsidRPr="0080251F" w:rsidRDefault="00B1229E" w:rsidP="00625085">
      <w:pPr>
        <w:jc w:val="both"/>
        <w:rPr>
          <w:rFonts w:ascii="Times New Roman" w:hAnsi="Times New Roman" w:cs="Times New Roman"/>
          <w:bCs/>
          <w:i/>
          <w:sz w:val="20"/>
          <w:szCs w:val="20"/>
          <w:lang w:val="ro-MD"/>
        </w:rPr>
      </w:pPr>
      <w:r w:rsidRPr="0080251F">
        <w:rPr>
          <w:rFonts w:ascii="Times New Roman" w:hAnsi="Times New Roman" w:cs="Times New Roman"/>
          <w:b/>
          <w:bCs/>
          <w:i/>
          <w:sz w:val="20"/>
          <w:szCs w:val="20"/>
          <w:lang w:val="ro-MD"/>
        </w:rPr>
        <w:t>Sursă:</w:t>
      </w:r>
      <w:r w:rsidRPr="0080251F">
        <w:rPr>
          <w:rFonts w:ascii="Times New Roman" w:hAnsi="Times New Roman" w:cs="Times New Roman"/>
          <w:bCs/>
          <w:i/>
          <w:sz w:val="20"/>
          <w:szCs w:val="20"/>
          <w:lang w:val="ro-MD"/>
        </w:rPr>
        <w:t xml:space="preserve"> D</w:t>
      </w:r>
      <w:r w:rsidR="00625085" w:rsidRPr="0080251F">
        <w:rPr>
          <w:rFonts w:ascii="Times New Roman" w:hAnsi="Times New Roman" w:cs="Times New Roman"/>
          <w:bCs/>
          <w:i/>
          <w:sz w:val="20"/>
          <w:szCs w:val="20"/>
          <w:lang w:val="ro-MD"/>
        </w:rPr>
        <w:t>atele evidenței contabile pentru anii 2021-2022.</w:t>
      </w:r>
    </w:p>
    <w:p w14:paraId="7E521182" w14:textId="51F2840B" w:rsidR="008733DA" w:rsidRPr="0080251F" w:rsidRDefault="008733DA" w:rsidP="006C30BE">
      <w:pPr>
        <w:tabs>
          <w:tab w:val="left" w:pos="993"/>
        </w:tabs>
        <w:spacing w:after="0" w:line="276" w:lineRule="auto"/>
        <w:ind w:firstLine="709"/>
        <w:jc w:val="both"/>
        <w:rPr>
          <w:rFonts w:ascii="Times New Roman" w:hAnsi="Times New Roman" w:cs="Times New Roman"/>
          <w:b/>
          <w:spacing w:val="-3"/>
          <w:sz w:val="24"/>
          <w:szCs w:val="24"/>
          <w:lang w:val="ro-MD"/>
        </w:rPr>
      </w:pPr>
      <w:r w:rsidRPr="0080251F">
        <w:rPr>
          <w:rFonts w:ascii="Times New Roman" w:hAnsi="Times New Roman" w:cs="Times New Roman"/>
          <w:sz w:val="24"/>
          <w:szCs w:val="24"/>
          <w:lang w:val="ro-MD"/>
        </w:rPr>
        <w:t xml:space="preserve">Verificările de audit au atestat </w:t>
      </w:r>
      <w:r w:rsidR="00142E55" w:rsidRPr="0080251F">
        <w:rPr>
          <w:rFonts w:ascii="Times New Roman" w:hAnsi="Times New Roman" w:cs="Times New Roman"/>
          <w:sz w:val="24"/>
          <w:szCs w:val="24"/>
          <w:lang w:val="ro-MD"/>
        </w:rPr>
        <w:t>unele</w:t>
      </w:r>
      <w:r w:rsidRPr="0080251F">
        <w:rPr>
          <w:rFonts w:ascii="Times New Roman" w:hAnsi="Times New Roman" w:cs="Times New Roman"/>
          <w:sz w:val="24"/>
          <w:szCs w:val="24"/>
          <w:lang w:val="ro-MD"/>
        </w:rPr>
        <w:t xml:space="preserve"> neconformități</w:t>
      </w:r>
      <w:r w:rsidR="00F0242D" w:rsidRPr="0080251F">
        <w:rPr>
          <w:rFonts w:ascii="Times New Roman" w:hAnsi="Times New Roman" w:cs="Times New Roman"/>
          <w:sz w:val="24"/>
          <w:szCs w:val="24"/>
          <w:lang w:val="ro-MD"/>
        </w:rPr>
        <w:t xml:space="preserve"> ce țin de administrarea și evidența materialelor</w:t>
      </w:r>
      <w:r w:rsidR="00C62831" w:rsidRPr="0080251F">
        <w:rPr>
          <w:rFonts w:ascii="Times New Roman" w:hAnsi="Times New Roman" w:cs="Times New Roman"/>
          <w:sz w:val="24"/>
          <w:szCs w:val="24"/>
          <w:lang w:val="ro-MD"/>
        </w:rPr>
        <w:t>:</w:t>
      </w:r>
    </w:p>
    <w:p w14:paraId="133DE268" w14:textId="7AFF511F" w:rsidR="006C30BE" w:rsidRPr="0080251F" w:rsidRDefault="00D0460A" w:rsidP="00890C48">
      <w:pPr>
        <w:pStyle w:val="a6"/>
        <w:numPr>
          <w:ilvl w:val="0"/>
          <w:numId w:val="32"/>
        </w:numPr>
        <w:tabs>
          <w:tab w:val="left" w:pos="993"/>
        </w:tabs>
        <w:spacing w:after="0" w:line="276" w:lineRule="auto"/>
        <w:ind w:left="0" w:firstLine="709"/>
        <w:jc w:val="both"/>
        <w:rPr>
          <w:rFonts w:ascii="Times New Roman" w:hAnsi="Times New Roman" w:cs="Times New Roman"/>
          <w:spacing w:val="-3"/>
          <w:sz w:val="24"/>
          <w:szCs w:val="24"/>
          <w:lang w:val="ro-MD"/>
        </w:rPr>
      </w:pPr>
      <w:r w:rsidRPr="0080251F">
        <w:rPr>
          <w:rFonts w:ascii="Times New Roman" w:hAnsi="Times New Roman" w:cs="Times New Roman"/>
          <w:spacing w:val="-3"/>
          <w:sz w:val="24"/>
          <w:szCs w:val="24"/>
          <w:lang w:val="ro-MD"/>
        </w:rPr>
        <w:t>Conform prevederilor pct.4 din Politica contabilă a</w:t>
      </w:r>
      <w:r w:rsidR="006C30BE" w:rsidRPr="0080251F">
        <w:rPr>
          <w:rFonts w:ascii="Times New Roman" w:hAnsi="Times New Roman" w:cs="Times New Roman"/>
          <w:spacing w:val="-3"/>
          <w:sz w:val="24"/>
          <w:szCs w:val="24"/>
          <w:lang w:val="ro-MD"/>
        </w:rPr>
        <w:t xml:space="preserve"> S.A. „RED-Nord”</w:t>
      </w:r>
      <w:r w:rsidRPr="0080251F">
        <w:rPr>
          <w:rFonts w:ascii="Times New Roman" w:hAnsi="Times New Roman" w:cs="Times New Roman"/>
          <w:spacing w:val="-3"/>
          <w:sz w:val="24"/>
          <w:szCs w:val="24"/>
          <w:lang w:val="ro-MD"/>
        </w:rPr>
        <w:t>,</w:t>
      </w:r>
      <w:r w:rsidR="006C30BE" w:rsidRPr="0080251F">
        <w:rPr>
          <w:rFonts w:ascii="Times New Roman" w:hAnsi="Times New Roman" w:cs="Times New Roman"/>
          <w:spacing w:val="-3"/>
          <w:sz w:val="24"/>
          <w:szCs w:val="24"/>
          <w:lang w:val="ro-MD"/>
        </w:rPr>
        <w:t xml:space="preserve"> </w:t>
      </w:r>
      <w:r w:rsidR="006C30BE" w:rsidRPr="0080251F">
        <w:rPr>
          <w:rFonts w:ascii="Times New Roman" w:hAnsi="Times New Roman" w:cs="Times New Roman"/>
          <w:i/>
          <w:iCs/>
          <w:spacing w:val="-3"/>
          <w:sz w:val="24"/>
          <w:szCs w:val="24"/>
          <w:lang w:val="ro-MD"/>
        </w:rPr>
        <w:t>stocurile sunt evaluate la valoarea cea mai mică dintre cost și valoarea realizabilă netă (VRN)</w:t>
      </w:r>
      <w:r w:rsidR="006C30BE" w:rsidRPr="0080251F">
        <w:rPr>
          <w:rFonts w:ascii="Times New Roman" w:hAnsi="Times New Roman" w:cs="Times New Roman"/>
          <w:spacing w:val="-3"/>
          <w:sz w:val="24"/>
          <w:szCs w:val="24"/>
          <w:lang w:val="ro-MD"/>
        </w:rPr>
        <w:t>, iar suma oricărei diminuări a valorii stocurilor până la VRN se contabilizează ca contabilizare a cheltuielilor curente și majorare a ajustării pentru deprecierea stocurilor (contul 218). La situația din 31.12.2022</w:t>
      </w:r>
      <w:r w:rsidR="007B73A0" w:rsidRPr="0080251F">
        <w:rPr>
          <w:rFonts w:ascii="Times New Roman" w:hAnsi="Times New Roman" w:cs="Times New Roman"/>
          <w:spacing w:val="-3"/>
          <w:sz w:val="24"/>
          <w:szCs w:val="24"/>
          <w:lang w:val="ro-MD"/>
        </w:rPr>
        <w:t>,</w:t>
      </w:r>
      <w:r w:rsidR="006C30BE" w:rsidRPr="0080251F">
        <w:rPr>
          <w:rFonts w:ascii="Times New Roman" w:hAnsi="Times New Roman" w:cs="Times New Roman"/>
          <w:spacing w:val="-3"/>
          <w:sz w:val="24"/>
          <w:szCs w:val="24"/>
          <w:lang w:val="ro-MD"/>
        </w:rPr>
        <w:t xml:space="preserve"> valoarea deprecierii stocurilor a constituit 3,2 mil. lei.  </w:t>
      </w:r>
    </w:p>
    <w:p w14:paraId="4D268F21" w14:textId="66661371" w:rsidR="00135687" w:rsidRPr="0080251F" w:rsidRDefault="006C30BE" w:rsidP="00890C48">
      <w:pPr>
        <w:tabs>
          <w:tab w:val="left" w:pos="851"/>
          <w:tab w:val="left" w:pos="993"/>
        </w:tabs>
        <w:spacing w:after="0" w:line="276" w:lineRule="auto"/>
        <w:ind w:firstLine="709"/>
        <w:jc w:val="both"/>
        <w:rPr>
          <w:rFonts w:ascii="Times New Roman" w:hAnsi="Times New Roman" w:cs="Times New Roman"/>
          <w:i/>
          <w:sz w:val="24"/>
          <w:szCs w:val="24"/>
          <w:lang w:val="ro-MD"/>
        </w:rPr>
      </w:pPr>
      <w:r w:rsidRPr="0080251F">
        <w:rPr>
          <w:rFonts w:ascii="Times New Roman" w:hAnsi="Times New Roman" w:cs="Times New Roman"/>
          <w:spacing w:val="-3"/>
          <w:sz w:val="24"/>
          <w:szCs w:val="24"/>
          <w:lang w:val="ro-MD"/>
        </w:rPr>
        <w:t>Auditul denotă că ajustările pentru deprecierea stocurilor au fost formate o</w:t>
      </w:r>
      <w:r w:rsidR="001C49C5" w:rsidRPr="0080251F">
        <w:rPr>
          <w:rFonts w:ascii="Times New Roman" w:hAnsi="Times New Roman" w:cs="Times New Roman"/>
          <w:spacing w:val="-3"/>
          <w:sz w:val="24"/>
          <w:szCs w:val="24"/>
          <w:lang w:val="ro-MD"/>
        </w:rPr>
        <w:t xml:space="preserve"> </w:t>
      </w:r>
      <w:r w:rsidRPr="0080251F">
        <w:rPr>
          <w:rFonts w:ascii="Times New Roman" w:hAnsi="Times New Roman" w:cs="Times New Roman"/>
          <w:spacing w:val="-3"/>
          <w:sz w:val="24"/>
          <w:szCs w:val="24"/>
          <w:lang w:val="ro-MD"/>
        </w:rPr>
        <w:t xml:space="preserve">dată cu trecerea la </w:t>
      </w:r>
      <w:r w:rsidR="007B73A0" w:rsidRPr="0080251F">
        <w:rPr>
          <w:rFonts w:ascii="Times New Roman" w:hAnsi="Times New Roman" w:cs="Times New Roman"/>
          <w:spacing w:val="-3"/>
          <w:sz w:val="24"/>
          <w:szCs w:val="24"/>
          <w:lang w:val="ro-MD"/>
        </w:rPr>
        <w:t>S</w:t>
      </w:r>
      <w:r w:rsidRPr="0080251F">
        <w:rPr>
          <w:rFonts w:ascii="Times New Roman" w:hAnsi="Times New Roman" w:cs="Times New Roman"/>
          <w:spacing w:val="-3"/>
          <w:sz w:val="24"/>
          <w:szCs w:val="24"/>
          <w:lang w:val="ro-MD"/>
        </w:rPr>
        <w:t xml:space="preserve">tandardele </w:t>
      </w:r>
      <w:r w:rsidR="007B73A0" w:rsidRPr="0080251F">
        <w:rPr>
          <w:rFonts w:ascii="Times New Roman" w:hAnsi="Times New Roman" w:cs="Times New Roman"/>
          <w:spacing w:val="-3"/>
          <w:sz w:val="24"/>
          <w:szCs w:val="24"/>
          <w:lang w:val="ro-MD"/>
        </w:rPr>
        <w:t>I</w:t>
      </w:r>
      <w:r w:rsidRPr="0080251F">
        <w:rPr>
          <w:rFonts w:ascii="Times New Roman" w:hAnsi="Times New Roman" w:cs="Times New Roman"/>
          <w:spacing w:val="-3"/>
          <w:sz w:val="24"/>
          <w:szCs w:val="24"/>
          <w:lang w:val="ro-MD"/>
        </w:rPr>
        <w:t xml:space="preserve">nternaționale de </w:t>
      </w:r>
      <w:r w:rsidR="007B73A0" w:rsidRPr="0080251F">
        <w:rPr>
          <w:rFonts w:ascii="Times New Roman" w:hAnsi="Times New Roman" w:cs="Times New Roman"/>
          <w:spacing w:val="-3"/>
          <w:sz w:val="24"/>
          <w:szCs w:val="24"/>
          <w:lang w:val="ro-MD"/>
        </w:rPr>
        <w:t>R</w:t>
      </w:r>
      <w:r w:rsidRPr="0080251F">
        <w:rPr>
          <w:rFonts w:ascii="Times New Roman" w:hAnsi="Times New Roman" w:cs="Times New Roman"/>
          <w:spacing w:val="-3"/>
          <w:sz w:val="24"/>
          <w:szCs w:val="24"/>
          <w:lang w:val="ro-MD"/>
        </w:rPr>
        <w:t xml:space="preserve">aportare </w:t>
      </w:r>
      <w:r w:rsidR="007B73A0" w:rsidRPr="0080251F">
        <w:rPr>
          <w:rFonts w:ascii="Times New Roman" w:hAnsi="Times New Roman" w:cs="Times New Roman"/>
          <w:spacing w:val="-3"/>
          <w:sz w:val="24"/>
          <w:szCs w:val="24"/>
          <w:lang w:val="ro-MD"/>
        </w:rPr>
        <w:t>F</w:t>
      </w:r>
      <w:r w:rsidRPr="0080251F">
        <w:rPr>
          <w:rFonts w:ascii="Times New Roman" w:hAnsi="Times New Roman" w:cs="Times New Roman"/>
          <w:spacing w:val="-3"/>
          <w:sz w:val="24"/>
          <w:szCs w:val="24"/>
          <w:lang w:val="ro-MD"/>
        </w:rPr>
        <w:t>inanci</w:t>
      </w:r>
      <w:r w:rsidR="007217C2" w:rsidRPr="0080251F">
        <w:rPr>
          <w:rFonts w:ascii="Times New Roman" w:hAnsi="Times New Roman" w:cs="Times New Roman"/>
          <w:spacing w:val="-3"/>
          <w:sz w:val="24"/>
          <w:szCs w:val="24"/>
          <w:lang w:val="ro-MD"/>
        </w:rPr>
        <w:t>ară (31.12.2019)</w:t>
      </w:r>
      <w:r w:rsidR="005C3706" w:rsidRPr="0080251F">
        <w:rPr>
          <w:rFonts w:ascii="Times New Roman" w:hAnsi="Times New Roman" w:cs="Times New Roman"/>
          <w:spacing w:val="-3"/>
          <w:sz w:val="24"/>
          <w:szCs w:val="24"/>
          <w:lang w:val="ro-MD"/>
        </w:rPr>
        <w:t>,</w:t>
      </w:r>
      <w:r w:rsidR="007217C2" w:rsidRPr="0080251F">
        <w:rPr>
          <w:rFonts w:ascii="Times New Roman" w:hAnsi="Times New Roman" w:cs="Times New Roman"/>
          <w:spacing w:val="-3"/>
          <w:sz w:val="24"/>
          <w:szCs w:val="24"/>
          <w:lang w:val="ro-MD"/>
        </w:rPr>
        <w:t xml:space="preserve"> în sumă de 4,3</w:t>
      </w:r>
      <w:r w:rsidRPr="0080251F">
        <w:rPr>
          <w:rFonts w:ascii="Times New Roman" w:hAnsi="Times New Roman" w:cs="Times New Roman"/>
          <w:spacing w:val="-3"/>
          <w:sz w:val="24"/>
          <w:szCs w:val="24"/>
          <w:lang w:val="ro-MD"/>
        </w:rPr>
        <w:t xml:space="preserve"> mil. lei pentru stocurile fără mișcare de la un an și mai mult. Menționăm că S</w:t>
      </w:r>
      <w:r w:rsidR="00DC7113"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A</w:t>
      </w:r>
      <w:r w:rsidR="00DC7113"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 xml:space="preserve"> </w:t>
      </w:r>
      <w:r w:rsidR="00DC7113"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RED-Nord</w:t>
      </w:r>
      <w:r w:rsidR="00DC7113"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 xml:space="preserve"> a constituit provizion în mărimea respectivă, însă nu a ajustat valoarea stocurilor fără mișcare la valoarea realizabilă netă, cee</w:t>
      </w:r>
      <w:r w:rsidR="00D0460A" w:rsidRPr="0080251F">
        <w:rPr>
          <w:rFonts w:ascii="Times New Roman" w:hAnsi="Times New Roman" w:cs="Times New Roman"/>
          <w:spacing w:val="-3"/>
          <w:sz w:val="24"/>
          <w:szCs w:val="24"/>
          <w:lang w:val="ro-MD"/>
        </w:rPr>
        <w:t>a ce contravine atât prevederilor Politicii</w:t>
      </w:r>
      <w:r w:rsidRPr="0080251F">
        <w:rPr>
          <w:rFonts w:ascii="Times New Roman" w:hAnsi="Times New Roman" w:cs="Times New Roman"/>
          <w:spacing w:val="-3"/>
          <w:sz w:val="24"/>
          <w:szCs w:val="24"/>
          <w:lang w:val="ro-MD"/>
        </w:rPr>
        <w:t xml:space="preserve"> contabile</w:t>
      </w:r>
      <w:r w:rsidR="00D0460A" w:rsidRPr="0080251F">
        <w:rPr>
          <w:rFonts w:ascii="Times New Roman" w:hAnsi="Times New Roman" w:cs="Times New Roman"/>
          <w:spacing w:val="-3"/>
          <w:sz w:val="24"/>
          <w:szCs w:val="24"/>
          <w:lang w:val="ro-MD"/>
        </w:rPr>
        <w:t>, cât și prevederilor</w:t>
      </w:r>
      <w:r w:rsidRPr="0080251F">
        <w:rPr>
          <w:rFonts w:ascii="Times New Roman" w:hAnsi="Times New Roman" w:cs="Times New Roman"/>
          <w:spacing w:val="-3"/>
          <w:sz w:val="24"/>
          <w:szCs w:val="24"/>
          <w:lang w:val="ro-MD"/>
        </w:rPr>
        <w:t xml:space="preserve"> pct.33 din </w:t>
      </w:r>
      <w:r w:rsidRPr="0080251F">
        <w:rPr>
          <w:rFonts w:ascii="Times New Roman" w:eastAsia="Times New Roman" w:hAnsi="Times New Roman" w:cs="Times New Roman"/>
          <w:sz w:val="24"/>
          <w:szCs w:val="24"/>
          <w:lang w:val="ro-MD" w:eastAsia="ru-RU"/>
        </w:rPr>
        <w:t xml:space="preserve">IAS 2 „Stocuri” </w:t>
      </w:r>
      <w:r w:rsidR="00D0460A" w:rsidRPr="0080251F">
        <w:rPr>
          <w:rFonts w:ascii="Times New Roman" w:eastAsia="Times New Roman" w:hAnsi="Times New Roman" w:cs="Times New Roman"/>
          <w:sz w:val="24"/>
          <w:szCs w:val="24"/>
          <w:lang w:val="ro-MD" w:eastAsia="ru-RU"/>
        </w:rPr>
        <w:t xml:space="preserve">- </w:t>
      </w:r>
      <w:r w:rsidRPr="0080251F">
        <w:rPr>
          <w:rFonts w:ascii="Times New Roman" w:eastAsia="Times New Roman" w:hAnsi="Times New Roman" w:cs="Times New Roman"/>
          <w:sz w:val="24"/>
          <w:szCs w:val="24"/>
          <w:lang w:val="ro-MD" w:eastAsia="ru-RU"/>
        </w:rPr>
        <w:t>„</w:t>
      </w:r>
      <w:r w:rsidRPr="0080251F">
        <w:rPr>
          <w:rFonts w:ascii="Times New Roman" w:eastAsia="Times New Roman" w:hAnsi="Times New Roman" w:cs="Times New Roman"/>
          <w:i/>
          <w:iCs/>
          <w:sz w:val="24"/>
          <w:szCs w:val="24"/>
          <w:lang w:val="ro-MD" w:eastAsia="ru-RU"/>
        </w:rPr>
        <w:t xml:space="preserve">Pentru fiecare perioadă ulterioară se efectuează o nouă evaluare a valorii realizabile nete. Atunci când acele condiții care au determinat în trecut reducerea valorii contabile a stocurilor până la valoarea realizabilă netă au încetat să mai existe sau atunci când există dovezi clare ale unei creșteri a valorii realizabile nete din cauza schimbării unor circumstanțe economice, suma care reprezintă reducerea valorii contabile este reluată (adică reluarea este limitată la valoarea reducerii inițiale), astfel încât noua valoare contabilă a stocului să fie egală cu cea mai mică valoare dintre cost și valoarea realizabilă netă revizuită. Aceasta se întâmplă, de exemplu, atunci când un element al stocurilor, care este contabilizat la valoarea realizabilă netă, din cauza scăderii prețului său de vânzare, este încă în stoc într-o perioadă ulterioară, iar prețul său de vânzare a crescut”. </w:t>
      </w:r>
      <w:r w:rsidRPr="0080251F">
        <w:rPr>
          <w:rFonts w:ascii="Times New Roman" w:eastAsia="Times New Roman" w:hAnsi="Times New Roman" w:cs="Times New Roman"/>
          <w:sz w:val="24"/>
          <w:szCs w:val="24"/>
          <w:lang w:val="ro-MD" w:eastAsia="ru-RU"/>
        </w:rPr>
        <w:t>Cu atât mai mult</w:t>
      </w:r>
      <w:r w:rsidR="00D0460A" w:rsidRPr="0080251F">
        <w:rPr>
          <w:rFonts w:ascii="Times New Roman" w:eastAsia="Times New Roman" w:hAnsi="Times New Roman" w:cs="Times New Roman"/>
          <w:sz w:val="24"/>
          <w:szCs w:val="24"/>
          <w:lang w:val="ro-MD" w:eastAsia="ru-RU"/>
        </w:rPr>
        <w:t>,</w:t>
      </w:r>
      <w:r w:rsidRPr="0080251F">
        <w:rPr>
          <w:rFonts w:ascii="Times New Roman" w:hAnsi="Times New Roman" w:cs="Times New Roman"/>
          <w:spacing w:val="-3"/>
          <w:sz w:val="24"/>
          <w:szCs w:val="24"/>
          <w:lang w:val="ro-MD"/>
        </w:rPr>
        <w:t xml:space="preserve"> S</w:t>
      </w:r>
      <w:r w:rsidR="00DC7113"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A</w:t>
      </w:r>
      <w:r w:rsidR="00DC7113"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 xml:space="preserve"> </w:t>
      </w:r>
      <w:r w:rsidR="00DC7113"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RED-Nord</w:t>
      </w:r>
      <w:r w:rsidR="00DC7113"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 xml:space="preserve"> nu efectuează evaluarea stocurilor la valoarea realizabilă netă pentru fiecare perioadă de raportare</w:t>
      </w:r>
      <w:r w:rsidR="005B7639" w:rsidRPr="0080251F">
        <w:rPr>
          <w:rFonts w:ascii="Times New Roman" w:hAnsi="Times New Roman" w:cs="Times New Roman"/>
          <w:spacing w:val="-3"/>
          <w:sz w:val="24"/>
          <w:szCs w:val="24"/>
          <w:lang w:val="ro-MD"/>
        </w:rPr>
        <w:t xml:space="preserve">, </w:t>
      </w:r>
      <w:r w:rsidRPr="0080251F">
        <w:rPr>
          <w:rFonts w:ascii="Times New Roman" w:hAnsi="Times New Roman" w:cs="Times New Roman"/>
          <w:spacing w:val="-3"/>
          <w:sz w:val="24"/>
          <w:szCs w:val="24"/>
          <w:lang w:val="ro-MD"/>
        </w:rPr>
        <w:t xml:space="preserve"> precum prevede cadrul normativ nominalizat. Astfel, ajustările pentru deprecierea stocurilor în perioada 2021-2022 au cons</w:t>
      </w:r>
      <w:r w:rsidR="008573E5" w:rsidRPr="0080251F">
        <w:rPr>
          <w:rFonts w:ascii="Times New Roman" w:hAnsi="Times New Roman" w:cs="Times New Roman"/>
          <w:spacing w:val="-3"/>
          <w:sz w:val="24"/>
          <w:szCs w:val="24"/>
          <w:lang w:val="ro-MD"/>
        </w:rPr>
        <w:t xml:space="preserve">tituit </w:t>
      </w:r>
      <w:r w:rsidR="008573E5" w:rsidRPr="0080251F">
        <w:rPr>
          <w:rFonts w:ascii="Times New Roman" w:hAnsi="Times New Roman" w:cs="Times New Roman"/>
          <w:b/>
          <w:spacing w:val="-3"/>
          <w:sz w:val="24"/>
          <w:szCs w:val="24"/>
          <w:lang w:val="ro-MD"/>
        </w:rPr>
        <w:t>3,2</w:t>
      </w:r>
      <w:r w:rsidRPr="0080251F">
        <w:rPr>
          <w:rFonts w:ascii="Times New Roman" w:hAnsi="Times New Roman" w:cs="Times New Roman"/>
          <w:b/>
          <w:spacing w:val="-3"/>
          <w:sz w:val="24"/>
          <w:szCs w:val="24"/>
          <w:lang w:val="ro-MD"/>
        </w:rPr>
        <w:t xml:space="preserve"> mil. lei</w:t>
      </w:r>
      <w:r w:rsidRPr="0080251F">
        <w:rPr>
          <w:rFonts w:ascii="Times New Roman" w:hAnsi="Times New Roman" w:cs="Times New Roman"/>
          <w:spacing w:val="-3"/>
          <w:sz w:val="24"/>
          <w:szCs w:val="24"/>
          <w:lang w:val="ro-MD"/>
        </w:rPr>
        <w:t>, neînregistrând modificări din anul 2020</w:t>
      </w:r>
      <w:r w:rsidR="006D4535"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 xml:space="preserve"> când </w:t>
      </w:r>
      <w:r w:rsidR="005B7639" w:rsidRPr="0080251F">
        <w:rPr>
          <w:rFonts w:ascii="Times New Roman" w:hAnsi="Times New Roman" w:cs="Times New Roman"/>
          <w:spacing w:val="-3"/>
          <w:sz w:val="24"/>
          <w:szCs w:val="24"/>
          <w:lang w:val="ro-MD"/>
        </w:rPr>
        <w:t>s-</w:t>
      </w:r>
      <w:r w:rsidRPr="0080251F">
        <w:rPr>
          <w:rFonts w:ascii="Times New Roman" w:hAnsi="Times New Roman" w:cs="Times New Roman"/>
          <w:spacing w:val="-3"/>
          <w:sz w:val="24"/>
          <w:szCs w:val="24"/>
          <w:lang w:val="ro-MD"/>
        </w:rPr>
        <w:t>au comercializat o parte din stocurile fără mișcare, fiind decontată</w:t>
      </w:r>
      <w:r w:rsidR="00DC7113" w:rsidRPr="0080251F">
        <w:rPr>
          <w:rFonts w:ascii="Times New Roman" w:hAnsi="Times New Roman" w:cs="Times New Roman"/>
          <w:spacing w:val="-3"/>
          <w:sz w:val="24"/>
          <w:szCs w:val="24"/>
          <w:lang w:val="ro-MD"/>
        </w:rPr>
        <w:t xml:space="preserve"> ajustarea de depreciere cu 1,1</w:t>
      </w:r>
      <w:r w:rsidRPr="0080251F">
        <w:rPr>
          <w:rFonts w:ascii="Times New Roman" w:hAnsi="Times New Roman" w:cs="Times New Roman"/>
          <w:spacing w:val="-3"/>
          <w:sz w:val="24"/>
          <w:szCs w:val="24"/>
          <w:lang w:val="ro-MD"/>
        </w:rPr>
        <w:t xml:space="preserve"> mil.lei.</w:t>
      </w:r>
      <w:r w:rsidR="007C2C28" w:rsidRPr="0080251F">
        <w:rPr>
          <w:rFonts w:ascii="Times New Roman" w:hAnsi="Times New Roman" w:cs="Times New Roman"/>
          <w:spacing w:val="-3"/>
          <w:sz w:val="24"/>
          <w:szCs w:val="24"/>
          <w:lang w:val="ro-MD"/>
        </w:rPr>
        <w:t xml:space="preserve"> </w:t>
      </w:r>
      <w:r w:rsidRPr="0080251F">
        <w:rPr>
          <w:rFonts w:ascii="Times New Roman" w:hAnsi="Times New Roman" w:cs="Times New Roman"/>
          <w:spacing w:val="-3"/>
          <w:sz w:val="24"/>
          <w:szCs w:val="24"/>
          <w:lang w:val="ro-MD"/>
        </w:rPr>
        <w:t>Deși S</w:t>
      </w:r>
      <w:r w:rsidR="007C2C28"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A</w:t>
      </w:r>
      <w:r w:rsidR="007C2C28"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 xml:space="preserve"> </w:t>
      </w:r>
      <w:r w:rsidR="007C2C28"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RED-Nord</w:t>
      </w:r>
      <w:r w:rsidR="007C2C28" w:rsidRPr="0080251F">
        <w:rPr>
          <w:rFonts w:ascii="Times New Roman" w:hAnsi="Times New Roman" w:cs="Times New Roman"/>
          <w:spacing w:val="-3"/>
          <w:sz w:val="24"/>
          <w:szCs w:val="24"/>
          <w:lang w:val="ro-MD"/>
        </w:rPr>
        <w:t>”</w:t>
      </w:r>
      <w:r w:rsidRPr="0080251F">
        <w:rPr>
          <w:rFonts w:ascii="Times New Roman" w:hAnsi="Times New Roman" w:cs="Times New Roman"/>
          <w:spacing w:val="-3"/>
          <w:sz w:val="24"/>
          <w:szCs w:val="24"/>
          <w:lang w:val="ro-MD"/>
        </w:rPr>
        <w:t xml:space="preserve"> are prevăzute reglementări interne privind modul de formare și contabilizare a ajustărilor pentru deprecierea stocurilor, aceasta nu le aplică, </w:t>
      </w:r>
      <w:r w:rsidR="005B7639" w:rsidRPr="0080251F">
        <w:rPr>
          <w:rFonts w:ascii="Times New Roman" w:hAnsi="Times New Roman" w:cs="Times New Roman"/>
          <w:spacing w:val="-3"/>
          <w:sz w:val="24"/>
          <w:szCs w:val="24"/>
          <w:lang w:val="ro-MD"/>
        </w:rPr>
        <w:t xml:space="preserve">astfel fiind </w:t>
      </w:r>
      <w:r w:rsidRPr="0080251F">
        <w:rPr>
          <w:rFonts w:ascii="Times New Roman" w:hAnsi="Times New Roman" w:cs="Times New Roman"/>
          <w:spacing w:val="-3"/>
          <w:sz w:val="24"/>
          <w:szCs w:val="24"/>
          <w:lang w:val="ro-MD"/>
        </w:rPr>
        <w:t>denatur</w:t>
      </w:r>
      <w:r w:rsidR="005B7639" w:rsidRPr="0080251F">
        <w:rPr>
          <w:rFonts w:ascii="Times New Roman" w:hAnsi="Times New Roman" w:cs="Times New Roman"/>
          <w:spacing w:val="-3"/>
          <w:sz w:val="24"/>
          <w:szCs w:val="24"/>
          <w:lang w:val="ro-MD"/>
        </w:rPr>
        <w:t>ate</w:t>
      </w:r>
      <w:r w:rsidRPr="0080251F">
        <w:rPr>
          <w:rFonts w:ascii="Times New Roman" w:hAnsi="Times New Roman" w:cs="Times New Roman"/>
          <w:spacing w:val="-3"/>
          <w:sz w:val="24"/>
          <w:szCs w:val="24"/>
          <w:lang w:val="ro-MD"/>
        </w:rPr>
        <w:t xml:space="preserve"> caracteristic</w:t>
      </w:r>
      <w:r w:rsidR="005B7639" w:rsidRPr="0080251F">
        <w:rPr>
          <w:rFonts w:ascii="Times New Roman" w:hAnsi="Times New Roman" w:cs="Times New Roman"/>
          <w:spacing w:val="-3"/>
          <w:sz w:val="24"/>
          <w:szCs w:val="24"/>
          <w:lang w:val="ro-MD"/>
        </w:rPr>
        <w:t>i</w:t>
      </w:r>
      <w:r w:rsidRPr="0080251F">
        <w:rPr>
          <w:rFonts w:ascii="Times New Roman" w:hAnsi="Times New Roman" w:cs="Times New Roman"/>
          <w:spacing w:val="-3"/>
          <w:sz w:val="24"/>
          <w:szCs w:val="24"/>
          <w:lang w:val="ro-MD"/>
        </w:rPr>
        <w:t>le calitative ale informațiilor prezentate în situațiile financiare și înc</w:t>
      </w:r>
      <w:r w:rsidR="005B7639" w:rsidRPr="0080251F">
        <w:rPr>
          <w:rFonts w:ascii="Times New Roman" w:hAnsi="Times New Roman" w:cs="Times New Roman"/>
          <w:spacing w:val="-3"/>
          <w:sz w:val="24"/>
          <w:szCs w:val="24"/>
          <w:lang w:val="ro-MD"/>
        </w:rPr>
        <w:t>ălcat</w:t>
      </w:r>
      <w:r w:rsidRPr="0080251F">
        <w:rPr>
          <w:rFonts w:ascii="Times New Roman" w:hAnsi="Times New Roman" w:cs="Times New Roman"/>
          <w:spacing w:val="-3"/>
          <w:sz w:val="24"/>
          <w:szCs w:val="24"/>
          <w:lang w:val="ro-MD"/>
        </w:rPr>
        <w:t xml:space="preserve"> principiul prudenței prin ignorarea formării acestor ajustări.</w:t>
      </w:r>
    </w:p>
    <w:p w14:paraId="35E94FCF" w14:textId="5BB470F3" w:rsidR="00C43C67" w:rsidRPr="0080251F" w:rsidRDefault="00640136" w:rsidP="001529BA">
      <w:pPr>
        <w:pStyle w:val="a6"/>
        <w:numPr>
          <w:ilvl w:val="0"/>
          <w:numId w:val="14"/>
        </w:numPr>
        <w:tabs>
          <w:tab w:val="left" w:pos="851"/>
          <w:tab w:val="left" w:pos="993"/>
        </w:tabs>
        <w:spacing w:after="0" w:line="276" w:lineRule="auto"/>
        <w:ind w:left="0" w:firstLine="709"/>
        <w:jc w:val="both"/>
        <w:rPr>
          <w:rFonts w:ascii="Times New Roman" w:hAnsi="Times New Roman" w:cs="Times New Roman"/>
          <w:i/>
          <w:sz w:val="24"/>
          <w:szCs w:val="24"/>
          <w:lang w:val="ro-MD"/>
        </w:rPr>
      </w:pPr>
      <w:r w:rsidRPr="0080251F">
        <w:rPr>
          <w:rFonts w:ascii="Times New Roman" w:hAnsi="Times New Roman" w:cs="Times New Roman"/>
          <w:sz w:val="24"/>
          <w:szCs w:val="24"/>
          <w:lang w:val="ro-MD"/>
        </w:rPr>
        <w:t xml:space="preserve">Unele stocuri de materiale în valoare de </w:t>
      </w:r>
      <w:r w:rsidR="00AF12C9" w:rsidRPr="0080251F">
        <w:rPr>
          <w:rFonts w:ascii="Times New Roman" w:hAnsi="Times New Roman" w:cs="Times New Roman"/>
          <w:b/>
          <w:bCs/>
          <w:sz w:val="24"/>
          <w:szCs w:val="24"/>
          <w:lang w:val="ro-MD"/>
        </w:rPr>
        <w:t>1,8</w:t>
      </w:r>
      <w:r w:rsidRPr="0080251F">
        <w:rPr>
          <w:rFonts w:ascii="Times New Roman" w:hAnsi="Times New Roman" w:cs="Times New Roman"/>
          <w:b/>
          <w:bCs/>
          <w:sz w:val="24"/>
          <w:szCs w:val="24"/>
          <w:lang w:val="ro-MD"/>
        </w:rPr>
        <w:t xml:space="preserve"> mil. lei</w:t>
      </w:r>
      <w:r w:rsidR="006D4535" w:rsidRPr="0080251F">
        <w:rPr>
          <w:rFonts w:ascii="Times New Roman" w:hAnsi="Times New Roman" w:cs="Times New Roman"/>
          <w:bCs/>
          <w:sz w:val="24"/>
          <w:szCs w:val="24"/>
          <w:lang w:val="ro-MD"/>
        </w:rPr>
        <w:t>,</w:t>
      </w:r>
      <w:r w:rsidRPr="0080251F">
        <w:rPr>
          <w:rFonts w:ascii="Times New Roman" w:hAnsi="Times New Roman" w:cs="Times New Roman"/>
          <w:sz w:val="24"/>
          <w:szCs w:val="24"/>
          <w:lang w:val="ro-MD"/>
        </w:rPr>
        <w:t xml:space="preserve"> raportate la </w:t>
      </w:r>
      <w:r w:rsidR="006D4535" w:rsidRPr="0080251F">
        <w:rPr>
          <w:rFonts w:ascii="Times New Roman" w:hAnsi="Times New Roman" w:cs="Times New Roman"/>
          <w:sz w:val="24"/>
          <w:szCs w:val="24"/>
          <w:lang w:val="ro-MD"/>
        </w:rPr>
        <w:t xml:space="preserve">data de </w:t>
      </w:r>
      <w:r w:rsidRPr="0080251F">
        <w:rPr>
          <w:rFonts w:ascii="Times New Roman" w:hAnsi="Times New Roman" w:cs="Times New Roman"/>
          <w:sz w:val="24"/>
          <w:szCs w:val="24"/>
          <w:lang w:val="ro-MD"/>
        </w:rPr>
        <w:t>31.12.2022</w:t>
      </w:r>
      <w:r w:rsidR="006D4535"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de fapt</w:t>
      </w:r>
      <w:r w:rsidR="005028E2" w:rsidRPr="0080251F">
        <w:rPr>
          <w:rFonts w:ascii="Times New Roman" w:hAnsi="Times New Roman" w:cs="Times New Roman"/>
          <w:sz w:val="24"/>
          <w:szCs w:val="24"/>
          <w:lang w:val="ro-MD"/>
        </w:rPr>
        <w:t xml:space="preserve">, </w:t>
      </w:r>
      <w:r w:rsidR="0010107D" w:rsidRPr="0080251F">
        <w:rPr>
          <w:rFonts w:ascii="Times New Roman" w:hAnsi="Times New Roman" w:cs="Times New Roman"/>
          <w:sz w:val="24"/>
          <w:szCs w:val="24"/>
          <w:lang w:val="ro-MD"/>
        </w:rPr>
        <w:t>s-</w:t>
      </w:r>
      <w:r w:rsidRPr="0080251F">
        <w:rPr>
          <w:rFonts w:ascii="Times New Roman" w:hAnsi="Times New Roman" w:cs="Times New Roman"/>
          <w:sz w:val="24"/>
          <w:szCs w:val="24"/>
          <w:lang w:val="ro-MD"/>
        </w:rPr>
        <w:t>au</w:t>
      </w:r>
      <w:r w:rsidR="0010107D"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 xml:space="preserve">utilizat </w:t>
      </w:r>
      <w:r w:rsidR="00C12AC3" w:rsidRPr="0080251F">
        <w:rPr>
          <w:rFonts w:ascii="Times New Roman" w:hAnsi="Times New Roman" w:cs="Times New Roman"/>
          <w:sz w:val="24"/>
          <w:szCs w:val="24"/>
          <w:lang w:val="ro-MD"/>
        </w:rPr>
        <w:t>în anii 2020-</w:t>
      </w:r>
      <w:r w:rsidR="00D33A06" w:rsidRPr="0080251F">
        <w:rPr>
          <w:rFonts w:ascii="Times New Roman" w:hAnsi="Times New Roman" w:cs="Times New Roman"/>
          <w:sz w:val="24"/>
          <w:szCs w:val="24"/>
          <w:lang w:val="ro-MD"/>
        </w:rPr>
        <w:t xml:space="preserve">2022 </w:t>
      </w:r>
      <w:r w:rsidRPr="0080251F">
        <w:rPr>
          <w:rFonts w:ascii="Times New Roman" w:hAnsi="Times New Roman" w:cs="Times New Roman"/>
          <w:sz w:val="24"/>
          <w:szCs w:val="24"/>
          <w:lang w:val="ro-MD"/>
        </w:rPr>
        <w:t xml:space="preserve">la reparația bunurilor </w:t>
      </w:r>
      <w:r w:rsidR="00E16871" w:rsidRPr="0080251F">
        <w:rPr>
          <w:rFonts w:ascii="Times New Roman" w:hAnsi="Times New Roman" w:cs="Times New Roman"/>
          <w:sz w:val="24"/>
          <w:szCs w:val="24"/>
          <w:lang w:val="ro-MD"/>
        </w:rPr>
        <w:t xml:space="preserve">materiale </w:t>
      </w:r>
      <w:r w:rsidRPr="0080251F">
        <w:rPr>
          <w:rFonts w:ascii="Times New Roman" w:hAnsi="Times New Roman" w:cs="Times New Roman"/>
          <w:sz w:val="24"/>
          <w:szCs w:val="24"/>
          <w:lang w:val="ro-MD"/>
        </w:rPr>
        <w:t>gestionate, nefiind casate/trecute la cheltuieli, ceea ce a condiționat supraevaluarea acestora în situațiile financiare</w:t>
      </w:r>
      <w:r w:rsidR="00E16871" w:rsidRPr="0080251F">
        <w:rPr>
          <w:rFonts w:ascii="Times New Roman" w:hAnsi="Times New Roman" w:cs="Times New Roman"/>
          <w:sz w:val="24"/>
          <w:szCs w:val="24"/>
          <w:lang w:val="ro-MD"/>
        </w:rPr>
        <w:t xml:space="preserve"> raportate</w:t>
      </w:r>
      <w:r w:rsidRPr="0080251F">
        <w:rPr>
          <w:rFonts w:ascii="Times New Roman" w:hAnsi="Times New Roman" w:cs="Times New Roman"/>
          <w:sz w:val="24"/>
          <w:szCs w:val="24"/>
          <w:lang w:val="ro-MD"/>
        </w:rPr>
        <w:t>. Menționăm că pentru unele materi</w:t>
      </w:r>
      <w:r w:rsidR="000219FA" w:rsidRPr="0080251F">
        <w:rPr>
          <w:rFonts w:ascii="Times New Roman" w:hAnsi="Times New Roman" w:cs="Times New Roman"/>
          <w:sz w:val="24"/>
          <w:szCs w:val="24"/>
          <w:lang w:val="ro-MD"/>
        </w:rPr>
        <w:t>ale utilizate în valoare de 1,4</w:t>
      </w:r>
      <w:r w:rsidRPr="0080251F">
        <w:rPr>
          <w:rFonts w:ascii="Times New Roman" w:hAnsi="Times New Roman" w:cs="Times New Roman"/>
          <w:sz w:val="24"/>
          <w:szCs w:val="24"/>
          <w:lang w:val="ro-MD"/>
        </w:rPr>
        <w:t xml:space="preserve"> mil. lei nu au fost întocmite acte de casare, iar pentru celelalte (374,2 mii lei) - actele de casare </w:t>
      </w:r>
      <w:r w:rsidR="0010107D" w:rsidRPr="0080251F">
        <w:rPr>
          <w:rFonts w:ascii="Times New Roman" w:hAnsi="Times New Roman" w:cs="Times New Roman"/>
          <w:sz w:val="24"/>
          <w:szCs w:val="24"/>
          <w:lang w:val="ro-MD"/>
        </w:rPr>
        <w:t>s-</w:t>
      </w:r>
      <w:r w:rsidRPr="0080251F">
        <w:rPr>
          <w:rFonts w:ascii="Times New Roman" w:hAnsi="Times New Roman" w:cs="Times New Roman"/>
          <w:sz w:val="24"/>
          <w:szCs w:val="24"/>
          <w:lang w:val="ro-MD"/>
        </w:rPr>
        <w:t xml:space="preserve">au întocmit abia în luna decembrie anul 2023. </w:t>
      </w:r>
      <w:r w:rsidR="0010107D" w:rsidRPr="0080251F">
        <w:rPr>
          <w:rFonts w:ascii="Times New Roman" w:hAnsi="Times New Roman" w:cs="Times New Roman"/>
          <w:sz w:val="24"/>
          <w:szCs w:val="24"/>
          <w:lang w:val="ro-MD"/>
        </w:rPr>
        <w:t>Potrivit</w:t>
      </w:r>
      <w:r w:rsidRPr="0080251F">
        <w:rPr>
          <w:rFonts w:ascii="Times New Roman" w:hAnsi="Times New Roman" w:cs="Times New Roman"/>
          <w:sz w:val="24"/>
          <w:szCs w:val="24"/>
          <w:lang w:val="ro-MD"/>
        </w:rPr>
        <w:t xml:space="preserve"> explicației gestionarului din 01.02.2024, pentru </w:t>
      </w:r>
      <w:r w:rsidR="004826D3" w:rsidRPr="0080251F">
        <w:rPr>
          <w:rFonts w:ascii="Times New Roman" w:hAnsi="Times New Roman" w:cs="Times New Roman"/>
          <w:sz w:val="24"/>
          <w:szCs w:val="24"/>
          <w:lang w:val="ro-MD"/>
        </w:rPr>
        <w:t xml:space="preserve">altă grupă de </w:t>
      </w:r>
      <w:r w:rsidRPr="0080251F">
        <w:rPr>
          <w:rFonts w:ascii="Times New Roman" w:hAnsi="Times New Roman" w:cs="Times New Roman"/>
          <w:sz w:val="24"/>
          <w:szCs w:val="24"/>
          <w:lang w:val="ro-MD"/>
        </w:rPr>
        <w:t>materiale în valoare de 957,1 mii lei nu se c</w:t>
      </w:r>
      <w:r w:rsidR="00E16871" w:rsidRPr="0080251F">
        <w:rPr>
          <w:rFonts w:ascii="Times New Roman" w:hAnsi="Times New Roman" w:cs="Times New Roman"/>
          <w:sz w:val="24"/>
          <w:szCs w:val="24"/>
          <w:lang w:val="ro-MD"/>
        </w:rPr>
        <w:t>uno</w:t>
      </w:r>
      <w:r w:rsidR="0010107D" w:rsidRPr="0080251F">
        <w:rPr>
          <w:rFonts w:ascii="Times New Roman" w:hAnsi="Times New Roman" w:cs="Times New Roman"/>
          <w:sz w:val="24"/>
          <w:szCs w:val="24"/>
          <w:lang w:val="ro-MD"/>
        </w:rPr>
        <w:t>sc</w:t>
      </w:r>
      <w:r w:rsidR="00E16871" w:rsidRPr="0080251F">
        <w:rPr>
          <w:rFonts w:ascii="Times New Roman" w:hAnsi="Times New Roman" w:cs="Times New Roman"/>
          <w:sz w:val="24"/>
          <w:szCs w:val="24"/>
          <w:lang w:val="ro-MD"/>
        </w:rPr>
        <w:t xml:space="preserve"> numărul și suma precisă</w:t>
      </w:r>
      <w:r w:rsidRPr="0080251F">
        <w:rPr>
          <w:rFonts w:ascii="Times New Roman" w:hAnsi="Times New Roman" w:cs="Times New Roman"/>
          <w:sz w:val="24"/>
          <w:szCs w:val="24"/>
          <w:lang w:val="ro-MD"/>
        </w:rPr>
        <w:t xml:space="preserve"> care ar fi proprii </w:t>
      </w:r>
      <w:r w:rsidR="00E16871" w:rsidRPr="0080251F">
        <w:rPr>
          <w:rFonts w:ascii="Times New Roman" w:hAnsi="Times New Roman" w:cs="Times New Roman"/>
          <w:sz w:val="24"/>
          <w:szCs w:val="24"/>
          <w:lang w:val="ro-MD"/>
        </w:rPr>
        <w:t>pentru utilizarea efectivă</w:t>
      </w:r>
      <w:r w:rsidRPr="0080251F">
        <w:rPr>
          <w:rFonts w:ascii="Times New Roman" w:hAnsi="Times New Roman" w:cs="Times New Roman"/>
          <w:sz w:val="24"/>
          <w:szCs w:val="24"/>
          <w:lang w:val="ro-MD"/>
        </w:rPr>
        <w:t xml:space="preserve"> a unei părți din stocuri</w:t>
      </w:r>
      <w:r w:rsidR="00AB189E" w:rsidRPr="0080251F">
        <w:rPr>
          <w:rFonts w:ascii="Times New Roman" w:hAnsi="Times New Roman" w:cs="Times New Roman"/>
          <w:sz w:val="24"/>
          <w:szCs w:val="24"/>
          <w:lang w:val="ro-MD"/>
        </w:rPr>
        <w:t>.</w:t>
      </w:r>
    </w:p>
    <w:p w14:paraId="37C6E543" w14:textId="49EB3E42" w:rsidR="003C32DB" w:rsidRPr="0080251F" w:rsidRDefault="00C43C67" w:rsidP="009E0928">
      <w:pPr>
        <w:pStyle w:val="a6"/>
        <w:numPr>
          <w:ilvl w:val="0"/>
          <w:numId w:val="14"/>
        </w:numPr>
        <w:tabs>
          <w:tab w:val="left" w:pos="851"/>
          <w:tab w:val="left" w:pos="993"/>
        </w:tabs>
        <w:spacing w:after="0" w:line="276" w:lineRule="auto"/>
        <w:ind w:left="0"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C</w:t>
      </w:r>
      <w:r w:rsidR="009E0928" w:rsidRPr="0080251F">
        <w:rPr>
          <w:rFonts w:ascii="Times New Roman" w:hAnsi="Times New Roman" w:cs="Times New Roman"/>
          <w:sz w:val="24"/>
          <w:szCs w:val="24"/>
          <w:lang w:val="ro-MD"/>
        </w:rPr>
        <w:t>ontrar</w:t>
      </w:r>
      <w:r w:rsidRPr="0080251F">
        <w:rPr>
          <w:rFonts w:ascii="Times New Roman" w:hAnsi="Times New Roman" w:cs="Times New Roman"/>
          <w:sz w:val="24"/>
          <w:szCs w:val="24"/>
          <w:lang w:val="ro-MD"/>
        </w:rPr>
        <w:t xml:space="preserve"> prevederil</w:t>
      </w:r>
      <w:r w:rsidR="009E0928" w:rsidRPr="0080251F">
        <w:rPr>
          <w:rFonts w:ascii="Times New Roman" w:hAnsi="Times New Roman" w:cs="Times New Roman"/>
          <w:sz w:val="24"/>
          <w:szCs w:val="24"/>
          <w:lang w:val="ro-MD"/>
        </w:rPr>
        <w:t>or</w:t>
      </w:r>
      <w:r w:rsidRPr="0080251F">
        <w:rPr>
          <w:rFonts w:ascii="Times New Roman" w:hAnsi="Times New Roman" w:cs="Times New Roman"/>
          <w:sz w:val="24"/>
          <w:szCs w:val="24"/>
          <w:lang w:val="ro-MD"/>
        </w:rPr>
        <w:t xml:space="preserve"> pct.9</w:t>
      </w:r>
      <w:r w:rsidR="004826D3" w:rsidRPr="0080251F">
        <w:rPr>
          <w:rStyle w:val="a5"/>
          <w:rFonts w:ascii="Times New Roman" w:hAnsi="Times New Roman" w:cs="Times New Roman"/>
          <w:sz w:val="24"/>
          <w:szCs w:val="24"/>
          <w:lang w:val="ro-MD"/>
        </w:rPr>
        <w:footnoteReference w:id="33"/>
      </w:r>
      <w:r w:rsidRPr="0080251F">
        <w:rPr>
          <w:rFonts w:ascii="Times New Roman" w:hAnsi="Times New Roman" w:cs="Times New Roman"/>
          <w:sz w:val="24"/>
          <w:szCs w:val="24"/>
          <w:lang w:val="ro-MD"/>
        </w:rPr>
        <w:t xml:space="preserve"> – </w:t>
      </w:r>
      <w:r w:rsidR="0010107D" w:rsidRPr="0080251F">
        <w:rPr>
          <w:rFonts w:ascii="Times New Roman" w:hAnsi="Times New Roman" w:cs="Times New Roman"/>
          <w:sz w:val="24"/>
          <w:szCs w:val="24"/>
          <w:lang w:val="ro-MD"/>
        </w:rPr>
        <w:t>pct.</w:t>
      </w:r>
      <w:r w:rsidRPr="0080251F">
        <w:rPr>
          <w:rFonts w:ascii="Times New Roman" w:hAnsi="Times New Roman" w:cs="Times New Roman"/>
          <w:sz w:val="24"/>
          <w:szCs w:val="24"/>
          <w:lang w:val="ro-MD"/>
        </w:rPr>
        <w:t>10</w:t>
      </w:r>
      <w:r w:rsidR="004826D3" w:rsidRPr="0080251F">
        <w:rPr>
          <w:rStyle w:val="a5"/>
          <w:rFonts w:ascii="Times New Roman" w:hAnsi="Times New Roman" w:cs="Times New Roman"/>
          <w:sz w:val="24"/>
          <w:szCs w:val="24"/>
          <w:lang w:val="ro-MD"/>
        </w:rPr>
        <w:footnoteReference w:id="34"/>
      </w:r>
      <w:r w:rsidR="00B55E7D" w:rsidRPr="0080251F">
        <w:rPr>
          <w:rFonts w:ascii="Times New Roman" w:hAnsi="Times New Roman" w:cs="Times New Roman"/>
          <w:sz w:val="24"/>
          <w:szCs w:val="24"/>
          <w:lang w:val="ro-MD"/>
        </w:rPr>
        <w:t xml:space="preserve"> din</w:t>
      </w:r>
      <w:r w:rsidR="004826D3" w:rsidRPr="0080251F">
        <w:rPr>
          <w:rFonts w:ascii="Times New Roman" w:hAnsi="Times New Roman" w:cs="Times New Roman"/>
          <w:sz w:val="24"/>
          <w:szCs w:val="24"/>
          <w:lang w:val="ro-MD"/>
        </w:rPr>
        <w:t xml:space="preserve"> IAS</w:t>
      </w:r>
      <w:r w:rsidRPr="0080251F">
        <w:rPr>
          <w:rFonts w:ascii="Times New Roman" w:hAnsi="Times New Roman" w:cs="Times New Roman"/>
          <w:sz w:val="24"/>
          <w:szCs w:val="24"/>
          <w:lang w:val="ro-MD"/>
        </w:rPr>
        <w:t xml:space="preserve"> 2, entitate</w:t>
      </w:r>
      <w:r w:rsidR="00B55E7D" w:rsidRPr="0080251F">
        <w:rPr>
          <w:rFonts w:ascii="Times New Roman" w:hAnsi="Times New Roman" w:cs="Times New Roman"/>
          <w:sz w:val="24"/>
          <w:szCs w:val="24"/>
          <w:lang w:val="ro-MD"/>
        </w:rPr>
        <w:t xml:space="preserve">a, la data de 31.12.2022, nu a asigurat raportarea în stoc a unor materiale la valoarea justă. Astfel, </w:t>
      </w:r>
      <w:r w:rsidR="004826D3" w:rsidRPr="0080251F">
        <w:rPr>
          <w:rFonts w:ascii="Times New Roman" w:hAnsi="Times New Roman" w:cs="Times New Roman"/>
          <w:sz w:val="24"/>
          <w:szCs w:val="24"/>
          <w:lang w:val="ro-MD"/>
        </w:rPr>
        <w:t>nu s-a determinat corect costul unor materiale, care</w:t>
      </w:r>
      <w:r w:rsidR="00B55E7D" w:rsidRPr="0080251F">
        <w:rPr>
          <w:rFonts w:ascii="Times New Roman" w:hAnsi="Times New Roman" w:cs="Times New Roman"/>
          <w:sz w:val="24"/>
          <w:szCs w:val="24"/>
          <w:lang w:val="ro-MD"/>
        </w:rPr>
        <w:t xml:space="preserve"> au fost înregistrate </w:t>
      </w:r>
      <w:r w:rsidR="00B662CD" w:rsidRPr="0080251F">
        <w:rPr>
          <w:rFonts w:ascii="Times New Roman" w:hAnsi="Times New Roman" w:cs="Times New Roman"/>
          <w:sz w:val="24"/>
          <w:szCs w:val="24"/>
          <w:lang w:val="ro-MD"/>
        </w:rPr>
        <w:t xml:space="preserve">la </w:t>
      </w:r>
      <w:r w:rsidR="00AA008A" w:rsidRPr="0080251F">
        <w:rPr>
          <w:rFonts w:ascii="Times New Roman" w:hAnsi="Times New Roman" w:cs="Times New Roman"/>
          <w:i/>
          <w:sz w:val="24"/>
          <w:szCs w:val="24"/>
          <w:lang w:val="ro-MD"/>
        </w:rPr>
        <w:t>17 poziții</w:t>
      </w:r>
      <w:r w:rsidR="00AA008A" w:rsidRPr="0080251F">
        <w:rPr>
          <w:rStyle w:val="a5"/>
          <w:rFonts w:ascii="Times New Roman" w:hAnsi="Times New Roman" w:cs="Times New Roman"/>
          <w:i/>
          <w:sz w:val="24"/>
          <w:szCs w:val="24"/>
          <w:lang w:val="ro-MD"/>
        </w:rPr>
        <w:footnoteReference w:id="35"/>
      </w:r>
      <w:r w:rsidR="00AA008A" w:rsidRPr="0080251F">
        <w:rPr>
          <w:rFonts w:ascii="Times New Roman" w:hAnsi="Times New Roman" w:cs="Times New Roman"/>
          <w:i/>
          <w:sz w:val="24"/>
          <w:szCs w:val="24"/>
          <w:lang w:val="ro-MD"/>
        </w:rPr>
        <w:t xml:space="preserve">/280 </w:t>
      </w:r>
      <w:r w:rsidR="00B55E7D" w:rsidRPr="0080251F">
        <w:rPr>
          <w:rFonts w:ascii="Times New Roman" w:hAnsi="Times New Roman" w:cs="Times New Roman"/>
          <w:i/>
          <w:sz w:val="24"/>
          <w:szCs w:val="24"/>
          <w:lang w:val="ro-MD"/>
        </w:rPr>
        <w:t>buc.</w:t>
      </w:r>
      <w:r w:rsidR="00B55E7D" w:rsidRPr="0080251F">
        <w:rPr>
          <w:rFonts w:ascii="Times New Roman" w:hAnsi="Times New Roman" w:cs="Times New Roman"/>
          <w:sz w:val="24"/>
          <w:szCs w:val="24"/>
          <w:lang w:val="ro-MD"/>
        </w:rPr>
        <w:t xml:space="preserve"> fără valoare și </w:t>
      </w:r>
      <w:r w:rsidR="00B662CD" w:rsidRPr="0080251F">
        <w:rPr>
          <w:rFonts w:ascii="Times New Roman" w:hAnsi="Times New Roman" w:cs="Times New Roman"/>
          <w:sz w:val="24"/>
          <w:szCs w:val="24"/>
          <w:lang w:val="ro-MD"/>
        </w:rPr>
        <w:t xml:space="preserve">la </w:t>
      </w:r>
      <w:r w:rsidR="00AA008A" w:rsidRPr="0080251F">
        <w:rPr>
          <w:rFonts w:ascii="Times New Roman" w:hAnsi="Times New Roman" w:cs="Times New Roman"/>
          <w:i/>
          <w:sz w:val="24"/>
          <w:szCs w:val="24"/>
          <w:shd w:val="clear" w:color="auto" w:fill="FFFFFF"/>
          <w:lang w:val="ro-MD"/>
        </w:rPr>
        <w:t>6 poziții</w:t>
      </w:r>
      <w:r w:rsidR="00AA008A" w:rsidRPr="0080251F">
        <w:rPr>
          <w:rStyle w:val="a5"/>
          <w:rFonts w:ascii="Times New Roman" w:hAnsi="Times New Roman" w:cs="Times New Roman"/>
          <w:i/>
          <w:sz w:val="24"/>
          <w:szCs w:val="24"/>
          <w:shd w:val="clear" w:color="auto" w:fill="FFFFFF"/>
          <w:lang w:val="ro-MD"/>
        </w:rPr>
        <w:footnoteReference w:id="36"/>
      </w:r>
      <w:r w:rsidR="00AA008A" w:rsidRPr="0080251F">
        <w:rPr>
          <w:rFonts w:ascii="Times New Roman" w:hAnsi="Times New Roman" w:cs="Times New Roman"/>
          <w:i/>
          <w:sz w:val="24"/>
          <w:szCs w:val="24"/>
          <w:shd w:val="clear" w:color="auto" w:fill="FFFFFF"/>
          <w:lang w:val="ro-MD"/>
        </w:rPr>
        <w:t>/8</w:t>
      </w:r>
      <w:r w:rsidR="00CB00A6" w:rsidRPr="0080251F">
        <w:rPr>
          <w:rFonts w:ascii="Times New Roman" w:hAnsi="Times New Roman" w:cs="Times New Roman"/>
          <w:i/>
          <w:sz w:val="24"/>
          <w:szCs w:val="24"/>
          <w:shd w:val="clear" w:color="auto" w:fill="FFFFFF"/>
          <w:lang w:val="ro-MD"/>
        </w:rPr>
        <w:t>.</w:t>
      </w:r>
      <w:r w:rsidR="00AA008A" w:rsidRPr="0080251F">
        <w:rPr>
          <w:rFonts w:ascii="Times New Roman" w:hAnsi="Times New Roman" w:cs="Times New Roman"/>
          <w:i/>
          <w:sz w:val="24"/>
          <w:szCs w:val="24"/>
          <w:shd w:val="clear" w:color="auto" w:fill="FFFFFF"/>
          <w:lang w:val="ro-MD"/>
        </w:rPr>
        <w:t xml:space="preserve">879 </w:t>
      </w:r>
      <w:r w:rsidR="00B55E7D" w:rsidRPr="0080251F">
        <w:rPr>
          <w:rFonts w:ascii="Times New Roman" w:hAnsi="Times New Roman" w:cs="Times New Roman"/>
          <w:i/>
          <w:sz w:val="24"/>
          <w:szCs w:val="24"/>
          <w:shd w:val="clear" w:color="auto" w:fill="FFFFFF"/>
          <w:lang w:val="ro-MD"/>
        </w:rPr>
        <w:t>buc.</w:t>
      </w:r>
      <w:r w:rsidR="00B55E7D" w:rsidRPr="0080251F">
        <w:rPr>
          <w:rFonts w:ascii="Times New Roman" w:hAnsi="Times New Roman" w:cs="Times New Roman"/>
          <w:sz w:val="24"/>
          <w:szCs w:val="24"/>
          <w:shd w:val="clear" w:color="auto" w:fill="FFFFFF"/>
          <w:lang w:val="ro-MD"/>
        </w:rPr>
        <w:t xml:space="preserve"> cu valoare simbolică </w:t>
      </w:r>
      <w:r w:rsidR="00A76586" w:rsidRPr="0080251F">
        <w:rPr>
          <w:rFonts w:ascii="Times New Roman" w:hAnsi="Times New Roman" w:cs="Times New Roman"/>
          <w:sz w:val="24"/>
          <w:szCs w:val="24"/>
          <w:shd w:val="clear" w:color="auto" w:fill="FFFFFF"/>
          <w:lang w:val="ro-MD"/>
        </w:rPr>
        <w:t xml:space="preserve">de </w:t>
      </w:r>
      <w:r w:rsidR="00B55E7D" w:rsidRPr="0080251F">
        <w:rPr>
          <w:rFonts w:ascii="Times New Roman" w:hAnsi="Times New Roman" w:cs="Times New Roman"/>
          <w:sz w:val="24"/>
          <w:szCs w:val="24"/>
          <w:shd w:val="clear" w:color="auto" w:fill="FFFFFF"/>
          <w:lang w:val="ro-MD"/>
        </w:rPr>
        <w:t xml:space="preserve">până la </w:t>
      </w:r>
      <w:r w:rsidR="0089337C" w:rsidRPr="0080251F">
        <w:rPr>
          <w:rFonts w:ascii="Times New Roman" w:hAnsi="Times New Roman" w:cs="Times New Roman"/>
          <w:sz w:val="24"/>
          <w:szCs w:val="24"/>
          <w:shd w:val="clear" w:color="auto" w:fill="FFFFFF"/>
          <w:lang w:val="ro-MD"/>
        </w:rPr>
        <w:t>0,01 lei</w:t>
      </w:r>
      <w:r w:rsidR="00A76586" w:rsidRPr="0080251F">
        <w:rPr>
          <w:rFonts w:ascii="Times New Roman" w:hAnsi="Times New Roman" w:cs="Times New Roman"/>
          <w:sz w:val="24"/>
          <w:szCs w:val="24"/>
          <w:shd w:val="clear" w:color="auto" w:fill="FFFFFF"/>
          <w:lang w:val="ro-MD"/>
        </w:rPr>
        <w:t xml:space="preserve">, în sumă totală de </w:t>
      </w:r>
      <w:r w:rsidR="00AA008A" w:rsidRPr="0080251F">
        <w:rPr>
          <w:rFonts w:ascii="Times New Roman" w:hAnsi="Times New Roman" w:cs="Times New Roman"/>
          <w:b/>
          <w:sz w:val="24"/>
          <w:szCs w:val="24"/>
          <w:shd w:val="clear" w:color="auto" w:fill="FFFFFF"/>
          <w:lang w:val="ro-MD"/>
        </w:rPr>
        <w:t>12,00</w:t>
      </w:r>
      <w:r w:rsidR="00A76586" w:rsidRPr="0080251F">
        <w:rPr>
          <w:rFonts w:ascii="Times New Roman" w:hAnsi="Times New Roman" w:cs="Times New Roman"/>
          <w:b/>
          <w:sz w:val="24"/>
          <w:szCs w:val="24"/>
          <w:shd w:val="clear" w:color="auto" w:fill="FFFFFF"/>
          <w:lang w:val="ro-MD"/>
        </w:rPr>
        <w:t xml:space="preserve"> lei</w:t>
      </w:r>
      <w:r w:rsidR="00A76586" w:rsidRPr="0080251F">
        <w:rPr>
          <w:rFonts w:ascii="Times New Roman" w:hAnsi="Times New Roman" w:cs="Times New Roman"/>
          <w:sz w:val="24"/>
          <w:szCs w:val="24"/>
          <w:shd w:val="clear" w:color="auto" w:fill="FFFFFF"/>
          <w:lang w:val="ro-MD"/>
        </w:rPr>
        <w:t>.</w:t>
      </w:r>
    </w:p>
    <w:p w14:paraId="6A4F1A03" w14:textId="1C979E64" w:rsidR="0007593C" w:rsidRPr="0080251F" w:rsidRDefault="00894EC7" w:rsidP="00F74799">
      <w:pPr>
        <w:tabs>
          <w:tab w:val="left" w:pos="284"/>
          <w:tab w:val="left" w:pos="709"/>
          <w:tab w:val="left" w:pos="993"/>
        </w:tabs>
        <w:spacing w:after="0" w:line="276" w:lineRule="auto"/>
        <w:ind w:firstLine="709"/>
        <w:contextualSpacing/>
        <w:jc w:val="both"/>
        <w:rPr>
          <w:rFonts w:ascii="Times New Roman" w:hAnsi="Times New Roman" w:cs="Times New Roman"/>
          <w:sz w:val="24"/>
          <w:szCs w:val="24"/>
          <w:shd w:val="clear" w:color="auto" w:fill="FFFFFF"/>
          <w:lang w:val="ro-MD"/>
        </w:rPr>
      </w:pPr>
      <w:r w:rsidRPr="0080251F">
        <w:rPr>
          <w:rFonts w:ascii="Times New Roman" w:hAnsi="Times New Roman" w:cs="Times New Roman"/>
          <w:sz w:val="24"/>
          <w:szCs w:val="24"/>
          <w:shd w:val="clear" w:color="auto" w:fill="FFFFFF"/>
          <w:lang w:val="ro-MD"/>
        </w:rPr>
        <w:t xml:space="preserve">Analogic, nu sunt </w:t>
      </w:r>
      <w:r w:rsidR="0060345E" w:rsidRPr="0080251F">
        <w:rPr>
          <w:rFonts w:ascii="Times New Roman" w:hAnsi="Times New Roman" w:cs="Times New Roman"/>
          <w:sz w:val="24"/>
          <w:szCs w:val="24"/>
          <w:shd w:val="clear" w:color="auto" w:fill="FFFFFF"/>
          <w:lang w:val="ro-MD"/>
        </w:rPr>
        <w:t xml:space="preserve">raportate </w:t>
      </w:r>
      <w:r w:rsidRPr="0080251F">
        <w:rPr>
          <w:rFonts w:ascii="Times New Roman" w:hAnsi="Times New Roman" w:cs="Times New Roman"/>
          <w:sz w:val="24"/>
          <w:szCs w:val="24"/>
          <w:shd w:val="clear" w:color="auto" w:fill="FFFFFF"/>
          <w:lang w:val="ro-MD"/>
        </w:rPr>
        <w:t xml:space="preserve">la valoarea justă alte grupe de materiale (fier uzat, aluminiu, </w:t>
      </w:r>
      <w:r w:rsidR="0060345E" w:rsidRPr="0080251F">
        <w:rPr>
          <w:rFonts w:ascii="Times New Roman" w:hAnsi="Times New Roman" w:cs="Times New Roman"/>
          <w:sz w:val="24"/>
          <w:szCs w:val="24"/>
          <w:shd w:val="clear" w:color="auto" w:fill="FFFFFF"/>
          <w:lang w:val="ro-MD"/>
        </w:rPr>
        <w:t xml:space="preserve">alt </w:t>
      </w:r>
      <w:r w:rsidRPr="0080251F">
        <w:rPr>
          <w:rFonts w:ascii="Times New Roman" w:hAnsi="Times New Roman" w:cs="Times New Roman"/>
          <w:sz w:val="24"/>
          <w:szCs w:val="24"/>
          <w:shd w:val="clear" w:color="auto" w:fill="FFFFFF"/>
          <w:lang w:val="ro-MD"/>
        </w:rPr>
        <w:t xml:space="preserve">metal colorat, ș.a.), </w:t>
      </w:r>
      <w:r w:rsidR="0060345E" w:rsidRPr="0080251F">
        <w:rPr>
          <w:rFonts w:ascii="Times New Roman" w:hAnsi="Times New Roman" w:cs="Times New Roman"/>
          <w:sz w:val="24"/>
          <w:szCs w:val="24"/>
          <w:shd w:val="clear" w:color="auto" w:fill="FFFFFF"/>
          <w:lang w:val="ro-MD"/>
        </w:rPr>
        <w:t>care au fost obținute de la casarea sau</w:t>
      </w:r>
      <w:r w:rsidRPr="0080251F">
        <w:rPr>
          <w:rFonts w:ascii="Times New Roman" w:hAnsi="Times New Roman" w:cs="Times New Roman"/>
          <w:sz w:val="24"/>
          <w:szCs w:val="24"/>
          <w:shd w:val="clear" w:color="auto" w:fill="FFFFFF"/>
          <w:lang w:val="ro-MD"/>
        </w:rPr>
        <w:t xml:space="preserve"> reparația mijloacelor fixe. Aceste</w:t>
      </w:r>
      <w:r w:rsidR="0060345E" w:rsidRPr="0080251F">
        <w:rPr>
          <w:rFonts w:ascii="Times New Roman" w:hAnsi="Times New Roman" w:cs="Times New Roman"/>
          <w:sz w:val="24"/>
          <w:szCs w:val="24"/>
          <w:shd w:val="clear" w:color="auto" w:fill="FFFFFF"/>
          <w:lang w:val="ro-MD"/>
        </w:rPr>
        <w:t xml:space="preserve"> materiale sunt evaluate și</w:t>
      </w:r>
      <w:r w:rsidRPr="0080251F">
        <w:rPr>
          <w:rFonts w:ascii="Times New Roman" w:hAnsi="Times New Roman" w:cs="Times New Roman"/>
          <w:sz w:val="24"/>
          <w:szCs w:val="24"/>
          <w:shd w:val="clear" w:color="auto" w:fill="FFFFFF"/>
          <w:lang w:val="ro-MD"/>
        </w:rPr>
        <w:t xml:space="preserve"> înregistrate în evidența contabilă la prețurile stabilite prin </w:t>
      </w:r>
      <w:r w:rsidR="0010107D" w:rsidRPr="0080251F">
        <w:rPr>
          <w:rFonts w:ascii="Times New Roman" w:hAnsi="Times New Roman" w:cs="Times New Roman"/>
          <w:sz w:val="24"/>
          <w:szCs w:val="24"/>
          <w:shd w:val="clear" w:color="auto" w:fill="FFFFFF"/>
          <w:lang w:val="ro-MD"/>
        </w:rPr>
        <w:t>O</w:t>
      </w:r>
      <w:r w:rsidRPr="0080251F">
        <w:rPr>
          <w:rFonts w:ascii="Times New Roman" w:hAnsi="Times New Roman" w:cs="Times New Roman"/>
          <w:sz w:val="24"/>
          <w:szCs w:val="24"/>
          <w:shd w:val="clear" w:color="auto" w:fill="FFFFFF"/>
          <w:lang w:val="ro-MD"/>
        </w:rPr>
        <w:t xml:space="preserve">rdinul intern nr.350 din 22.11.2018, </w:t>
      </w:r>
      <w:r w:rsidR="0060345E" w:rsidRPr="0080251F">
        <w:rPr>
          <w:rFonts w:ascii="Times New Roman" w:hAnsi="Times New Roman" w:cs="Times New Roman"/>
          <w:sz w:val="24"/>
          <w:szCs w:val="24"/>
          <w:shd w:val="clear" w:color="auto" w:fill="FFFFFF"/>
          <w:lang w:val="ro-MD"/>
        </w:rPr>
        <w:t>conform căruia</w:t>
      </w:r>
      <w:r w:rsidR="0007593C" w:rsidRPr="0080251F">
        <w:rPr>
          <w:rFonts w:ascii="Times New Roman" w:hAnsi="Times New Roman" w:cs="Times New Roman"/>
          <w:sz w:val="24"/>
          <w:szCs w:val="24"/>
          <w:shd w:val="clear" w:color="auto" w:fill="FFFFFF"/>
          <w:lang w:val="ro-MD"/>
        </w:rPr>
        <w:t>,</w:t>
      </w:r>
      <w:r w:rsidRPr="0080251F">
        <w:rPr>
          <w:rFonts w:ascii="Times New Roman" w:hAnsi="Times New Roman" w:cs="Times New Roman"/>
          <w:sz w:val="24"/>
          <w:szCs w:val="24"/>
          <w:shd w:val="clear" w:color="auto" w:fill="FFFFFF"/>
          <w:lang w:val="ro-MD"/>
        </w:rPr>
        <w:t xml:space="preserve"> prețurile</w:t>
      </w:r>
      <w:r w:rsidR="0007593C" w:rsidRPr="0080251F">
        <w:rPr>
          <w:rFonts w:ascii="Times New Roman" w:hAnsi="Times New Roman" w:cs="Times New Roman"/>
          <w:sz w:val="24"/>
          <w:szCs w:val="24"/>
          <w:shd w:val="clear" w:color="auto" w:fill="FFFFFF"/>
          <w:lang w:val="ro-MD"/>
        </w:rPr>
        <w:t xml:space="preserve"> efectiv</w:t>
      </w:r>
      <w:r w:rsidRPr="0080251F">
        <w:rPr>
          <w:rFonts w:ascii="Times New Roman" w:hAnsi="Times New Roman" w:cs="Times New Roman"/>
          <w:sz w:val="24"/>
          <w:szCs w:val="24"/>
          <w:shd w:val="clear" w:color="auto" w:fill="FFFFFF"/>
          <w:lang w:val="ro-MD"/>
        </w:rPr>
        <w:t xml:space="preserve"> </w:t>
      </w:r>
      <w:r w:rsidR="0007593C" w:rsidRPr="0080251F">
        <w:rPr>
          <w:rFonts w:ascii="Times New Roman" w:hAnsi="Times New Roman" w:cs="Times New Roman"/>
          <w:sz w:val="24"/>
          <w:szCs w:val="24"/>
          <w:shd w:val="clear" w:color="auto" w:fill="FFFFFF"/>
          <w:lang w:val="ro-MD"/>
        </w:rPr>
        <w:t xml:space="preserve">determinate </w:t>
      </w:r>
      <w:r w:rsidRPr="0080251F">
        <w:rPr>
          <w:rFonts w:ascii="Times New Roman" w:hAnsi="Times New Roman" w:cs="Times New Roman"/>
          <w:sz w:val="24"/>
          <w:szCs w:val="24"/>
          <w:shd w:val="clear" w:color="auto" w:fill="FFFFFF"/>
          <w:lang w:val="ro-MD"/>
        </w:rPr>
        <w:t>sunt cu mult ma</w:t>
      </w:r>
      <w:r w:rsidR="0007593C" w:rsidRPr="0080251F">
        <w:rPr>
          <w:rFonts w:ascii="Times New Roman" w:hAnsi="Times New Roman" w:cs="Times New Roman"/>
          <w:sz w:val="24"/>
          <w:szCs w:val="24"/>
          <w:shd w:val="clear" w:color="auto" w:fill="FFFFFF"/>
          <w:lang w:val="ro-MD"/>
        </w:rPr>
        <w:t>i mici decât valoarea lor justă.</w:t>
      </w:r>
      <w:r w:rsidRPr="0080251F">
        <w:rPr>
          <w:rFonts w:ascii="Times New Roman" w:hAnsi="Times New Roman" w:cs="Times New Roman"/>
          <w:sz w:val="24"/>
          <w:szCs w:val="24"/>
          <w:shd w:val="clear" w:color="auto" w:fill="FFFFFF"/>
          <w:lang w:val="ro-MD"/>
        </w:rPr>
        <w:t xml:space="preserve"> </w:t>
      </w:r>
      <w:r w:rsidR="005F20B2" w:rsidRPr="0080251F">
        <w:rPr>
          <w:rFonts w:ascii="Times New Roman" w:hAnsi="Times New Roman" w:cs="Times New Roman"/>
          <w:sz w:val="24"/>
          <w:szCs w:val="24"/>
          <w:shd w:val="clear" w:color="auto" w:fill="FFFFFF"/>
          <w:lang w:val="ro-MD"/>
        </w:rPr>
        <w:t>D</w:t>
      </w:r>
      <w:r w:rsidR="0007593C" w:rsidRPr="0080251F">
        <w:rPr>
          <w:rFonts w:ascii="Times New Roman" w:hAnsi="Times New Roman" w:cs="Times New Roman"/>
          <w:sz w:val="24"/>
          <w:szCs w:val="24"/>
          <w:shd w:val="clear" w:color="auto" w:fill="FFFFFF"/>
          <w:lang w:val="ro-MD"/>
        </w:rPr>
        <w:t>iferența dintre prețul de vânzare</w:t>
      </w:r>
      <w:r w:rsidRPr="0080251F">
        <w:rPr>
          <w:rFonts w:ascii="Times New Roman" w:hAnsi="Times New Roman" w:cs="Times New Roman"/>
          <w:sz w:val="24"/>
          <w:szCs w:val="24"/>
          <w:shd w:val="clear" w:color="auto" w:fill="FFFFFF"/>
          <w:lang w:val="ro-MD"/>
        </w:rPr>
        <w:t xml:space="preserve"> </w:t>
      </w:r>
      <w:r w:rsidR="0007593C" w:rsidRPr="0080251F">
        <w:rPr>
          <w:rFonts w:ascii="Times New Roman" w:hAnsi="Times New Roman" w:cs="Times New Roman"/>
          <w:sz w:val="24"/>
          <w:szCs w:val="24"/>
          <w:shd w:val="clear" w:color="auto" w:fill="FFFFFF"/>
          <w:lang w:val="ro-MD"/>
        </w:rPr>
        <w:t>și cel indicat în</w:t>
      </w:r>
      <w:r w:rsidRPr="0080251F">
        <w:rPr>
          <w:rFonts w:ascii="Times New Roman" w:hAnsi="Times New Roman" w:cs="Times New Roman"/>
          <w:sz w:val="24"/>
          <w:szCs w:val="24"/>
          <w:shd w:val="clear" w:color="auto" w:fill="FFFFFF"/>
          <w:lang w:val="ro-MD"/>
        </w:rPr>
        <w:t xml:space="preserve"> evidența contabilă </w:t>
      </w:r>
      <w:r w:rsidR="0007593C" w:rsidRPr="0080251F">
        <w:rPr>
          <w:rFonts w:ascii="Times New Roman" w:hAnsi="Times New Roman" w:cs="Times New Roman"/>
          <w:sz w:val="24"/>
          <w:szCs w:val="24"/>
          <w:shd w:val="clear" w:color="auto" w:fill="FFFFFF"/>
          <w:lang w:val="ro-MD"/>
        </w:rPr>
        <w:t>a fost de 286,0</w:t>
      </w:r>
      <w:r w:rsidRPr="0080251F">
        <w:rPr>
          <w:rFonts w:ascii="Times New Roman" w:hAnsi="Times New Roman" w:cs="Times New Roman"/>
          <w:sz w:val="24"/>
          <w:szCs w:val="24"/>
          <w:shd w:val="clear" w:color="auto" w:fill="FFFFFF"/>
          <w:lang w:val="ro-MD"/>
        </w:rPr>
        <w:t xml:space="preserve">% în anul </w:t>
      </w:r>
      <w:r w:rsidR="0007593C" w:rsidRPr="0080251F">
        <w:rPr>
          <w:rFonts w:ascii="Times New Roman" w:hAnsi="Times New Roman" w:cs="Times New Roman"/>
          <w:sz w:val="24"/>
          <w:szCs w:val="24"/>
          <w:shd w:val="clear" w:color="auto" w:fill="FFFFFF"/>
          <w:lang w:val="ro-MD"/>
        </w:rPr>
        <w:t>2021 și de 372,9% în anul 2022</w:t>
      </w:r>
      <w:r w:rsidRPr="0080251F">
        <w:rPr>
          <w:rFonts w:ascii="Times New Roman" w:hAnsi="Times New Roman" w:cs="Times New Roman"/>
          <w:sz w:val="24"/>
          <w:szCs w:val="24"/>
          <w:shd w:val="clear" w:color="auto" w:fill="FFFFFF"/>
          <w:lang w:val="ro-MD"/>
        </w:rPr>
        <w:t xml:space="preserve">. </w:t>
      </w:r>
      <w:r w:rsidR="00A7453A" w:rsidRPr="0080251F">
        <w:rPr>
          <w:rFonts w:ascii="Times New Roman" w:hAnsi="Times New Roman" w:cs="Times New Roman"/>
          <w:sz w:val="24"/>
          <w:szCs w:val="24"/>
          <w:shd w:val="clear" w:color="auto" w:fill="FFFFFF"/>
          <w:lang w:val="ro-MD"/>
        </w:rPr>
        <w:t>De</w:t>
      </w:r>
      <w:r w:rsidR="0007593C" w:rsidRPr="0080251F">
        <w:rPr>
          <w:rFonts w:ascii="Times New Roman" w:hAnsi="Times New Roman" w:cs="Times New Roman"/>
          <w:sz w:val="24"/>
          <w:szCs w:val="24"/>
          <w:shd w:val="clear" w:color="auto" w:fill="FFFFFF"/>
          <w:lang w:val="ro-MD"/>
        </w:rPr>
        <w:t xml:space="preserve"> exemplu, l</w:t>
      </w:r>
      <w:r w:rsidRPr="0080251F">
        <w:rPr>
          <w:rFonts w:ascii="Times New Roman" w:hAnsi="Times New Roman" w:cs="Times New Roman"/>
          <w:sz w:val="24"/>
          <w:szCs w:val="24"/>
          <w:shd w:val="clear" w:color="auto" w:fill="FFFFFF"/>
          <w:lang w:val="ro-MD"/>
        </w:rPr>
        <w:t xml:space="preserve">a situația </w:t>
      </w:r>
      <w:r w:rsidR="0010107D" w:rsidRPr="0080251F">
        <w:rPr>
          <w:rFonts w:ascii="Times New Roman" w:hAnsi="Times New Roman" w:cs="Times New Roman"/>
          <w:sz w:val="24"/>
          <w:szCs w:val="24"/>
          <w:shd w:val="clear" w:color="auto" w:fill="FFFFFF"/>
          <w:lang w:val="ro-MD"/>
        </w:rPr>
        <w:t xml:space="preserve">din </w:t>
      </w:r>
      <w:r w:rsidRPr="0080251F">
        <w:rPr>
          <w:rFonts w:ascii="Times New Roman" w:hAnsi="Times New Roman" w:cs="Times New Roman"/>
          <w:sz w:val="24"/>
          <w:szCs w:val="24"/>
          <w:shd w:val="clear" w:color="auto" w:fill="FFFFFF"/>
          <w:lang w:val="ro-MD"/>
        </w:rPr>
        <w:t>31.12.2022</w:t>
      </w:r>
      <w:r w:rsidR="0007593C" w:rsidRPr="0080251F">
        <w:rPr>
          <w:rFonts w:ascii="Times New Roman" w:hAnsi="Times New Roman" w:cs="Times New Roman"/>
          <w:sz w:val="24"/>
          <w:szCs w:val="24"/>
          <w:shd w:val="clear" w:color="auto" w:fill="FFFFFF"/>
          <w:lang w:val="ro-MD"/>
        </w:rPr>
        <w:t>, pentru 249,6 tone de metale uza</w:t>
      </w:r>
      <w:r w:rsidR="00F74799" w:rsidRPr="0080251F">
        <w:rPr>
          <w:rFonts w:ascii="Times New Roman" w:hAnsi="Times New Roman" w:cs="Times New Roman"/>
          <w:sz w:val="24"/>
          <w:szCs w:val="24"/>
          <w:shd w:val="clear" w:color="auto" w:fill="FFFFFF"/>
          <w:lang w:val="ro-MD"/>
        </w:rPr>
        <w:t>te (valoarea contabilă - 657,7</w:t>
      </w:r>
      <w:r w:rsidR="0007593C" w:rsidRPr="0080251F">
        <w:rPr>
          <w:rFonts w:ascii="Times New Roman" w:hAnsi="Times New Roman" w:cs="Times New Roman"/>
          <w:sz w:val="24"/>
          <w:szCs w:val="24"/>
          <w:shd w:val="clear" w:color="auto" w:fill="FFFFFF"/>
          <w:lang w:val="ro-MD"/>
        </w:rPr>
        <w:t xml:space="preserve"> mii lei) valoarea justă urma a fi raportată la costul de vânzare în mărime de </w:t>
      </w:r>
      <w:r w:rsidR="0007593C" w:rsidRPr="0080251F">
        <w:rPr>
          <w:rFonts w:ascii="Times New Roman" w:hAnsi="Times New Roman" w:cs="Times New Roman"/>
          <w:b/>
          <w:sz w:val="24"/>
          <w:szCs w:val="24"/>
          <w:shd w:val="clear" w:color="auto" w:fill="FFFFFF"/>
          <w:lang w:val="ro-MD"/>
        </w:rPr>
        <w:t>2</w:t>
      </w:r>
      <w:r w:rsidR="00F74799" w:rsidRPr="0080251F">
        <w:rPr>
          <w:rFonts w:ascii="Times New Roman" w:hAnsi="Times New Roman" w:cs="Times New Roman"/>
          <w:b/>
          <w:sz w:val="24"/>
          <w:szCs w:val="24"/>
          <w:shd w:val="clear" w:color="auto" w:fill="FFFFFF"/>
          <w:lang w:val="ro-MD"/>
        </w:rPr>
        <w:t>,5 mil.</w:t>
      </w:r>
      <w:r w:rsidR="0007593C" w:rsidRPr="0080251F">
        <w:rPr>
          <w:rFonts w:ascii="Times New Roman" w:hAnsi="Times New Roman" w:cs="Times New Roman"/>
          <w:b/>
          <w:sz w:val="24"/>
          <w:szCs w:val="24"/>
          <w:shd w:val="clear" w:color="auto" w:fill="FFFFFF"/>
          <w:lang w:val="ro-MD"/>
        </w:rPr>
        <w:t xml:space="preserve"> lei</w:t>
      </w:r>
      <w:r w:rsidR="00816C1D" w:rsidRPr="0080251F">
        <w:rPr>
          <w:rStyle w:val="a5"/>
          <w:rFonts w:ascii="Times New Roman" w:hAnsi="Times New Roman" w:cs="Times New Roman"/>
          <w:sz w:val="24"/>
          <w:szCs w:val="24"/>
          <w:shd w:val="clear" w:color="auto" w:fill="FFFFFF"/>
          <w:lang w:val="ro-MD"/>
        </w:rPr>
        <w:footnoteReference w:id="37"/>
      </w:r>
      <w:r w:rsidR="0007593C" w:rsidRPr="0080251F">
        <w:rPr>
          <w:rFonts w:ascii="Times New Roman" w:hAnsi="Times New Roman" w:cs="Times New Roman"/>
          <w:sz w:val="24"/>
          <w:szCs w:val="24"/>
          <w:shd w:val="clear" w:color="auto" w:fill="FFFFFF"/>
          <w:lang w:val="ro-MD"/>
        </w:rPr>
        <w:t>.</w:t>
      </w:r>
    </w:p>
    <w:p w14:paraId="671510A7" w14:textId="56AB7D13" w:rsidR="00A4751F" w:rsidRPr="0080251F" w:rsidRDefault="00A4751F" w:rsidP="00D10ECF">
      <w:pPr>
        <w:tabs>
          <w:tab w:val="left" w:pos="284"/>
          <w:tab w:val="left" w:pos="709"/>
          <w:tab w:val="left" w:pos="993"/>
        </w:tabs>
        <w:spacing w:after="0" w:line="276" w:lineRule="auto"/>
        <w:ind w:firstLine="709"/>
        <w:contextualSpacing/>
        <w:jc w:val="both"/>
        <w:rPr>
          <w:rFonts w:ascii="Times New Roman" w:hAnsi="Times New Roman" w:cs="Times New Roman"/>
          <w:sz w:val="24"/>
          <w:szCs w:val="24"/>
          <w:shd w:val="clear" w:color="auto" w:fill="FFFFFF"/>
          <w:lang w:val="ro-MD"/>
        </w:rPr>
      </w:pPr>
      <w:r w:rsidRPr="0080251F">
        <w:rPr>
          <w:rFonts w:ascii="Times New Roman" w:hAnsi="Times New Roman" w:cs="Times New Roman"/>
          <w:sz w:val="24"/>
          <w:szCs w:val="24"/>
          <w:shd w:val="clear" w:color="auto" w:fill="FFFFFF"/>
          <w:lang w:val="ro-MD"/>
        </w:rPr>
        <w:t>Neraportarea metalelor uzate la valoarea justă determină situația când întreprinderea nu încasează venituri ga</w:t>
      </w:r>
      <w:r w:rsidR="0045748B" w:rsidRPr="0080251F">
        <w:rPr>
          <w:rFonts w:ascii="Times New Roman" w:hAnsi="Times New Roman" w:cs="Times New Roman"/>
          <w:sz w:val="24"/>
          <w:szCs w:val="24"/>
          <w:shd w:val="clear" w:color="auto" w:fill="FFFFFF"/>
          <w:lang w:val="ro-MD"/>
        </w:rPr>
        <w:t xml:space="preserve">rantate în cazul constatării și </w:t>
      </w:r>
      <w:r w:rsidRPr="0080251F">
        <w:rPr>
          <w:rFonts w:ascii="Times New Roman" w:hAnsi="Times New Roman" w:cs="Times New Roman"/>
          <w:sz w:val="24"/>
          <w:szCs w:val="24"/>
          <w:shd w:val="clear" w:color="auto" w:fill="FFFFFF"/>
          <w:lang w:val="ro-MD"/>
        </w:rPr>
        <w:t xml:space="preserve">recuperării neajunsurilor de materiale </w:t>
      </w:r>
      <w:r w:rsidR="0045748B" w:rsidRPr="0080251F">
        <w:rPr>
          <w:rFonts w:ascii="Times New Roman" w:hAnsi="Times New Roman" w:cs="Times New Roman"/>
          <w:sz w:val="24"/>
          <w:szCs w:val="24"/>
          <w:shd w:val="clear" w:color="auto" w:fill="FFFFFF"/>
          <w:lang w:val="ro-MD"/>
        </w:rPr>
        <w:t xml:space="preserve">de către gestionarii responsabili de păstrarea lor. </w:t>
      </w:r>
      <w:r w:rsidR="00A7453A" w:rsidRPr="0080251F">
        <w:rPr>
          <w:rFonts w:ascii="Times New Roman" w:hAnsi="Times New Roman" w:cs="Times New Roman"/>
          <w:sz w:val="24"/>
          <w:szCs w:val="24"/>
          <w:shd w:val="clear" w:color="auto" w:fill="FFFFFF"/>
          <w:lang w:val="ro-MD"/>
        </w:rPr>
        <w:t>De</w:t>
      </w:r>
      <w:r w:rsidR="0045748B" w:rsidRPr="0080251F">
        <w:rPr>
          <w:rFonts w:ascii="Times New Roman" w:hAnsi="Times New Roman" w:cs="Times New Roman"/>
          <w:sz w:val="24"/>
          <w:szCs w:val="24"/>
          <w:shd w:val="clear" w:color="auto" w:fill="FFFFFF"/>
          <w:lang w:val="ro-MD"/>
        </w:rPr>
        <w:t xml:space="preserve"> exemplu,</w:t>
      </w:r>
      <w:r w:rsidRPr="0080251F">
        <w:rPr>
          <w:rFonts w:ascii="Times New Roman" w:hAnsi="Times New Roman" w:cs="Times New Roman"/>
          <w:sz w:val="24"/>
          <w:szCs w:val="24"/>
          <w:shd w:val="clear" w:color="auto" w:fill="FFFFFF"/>
          <w:lang w:val="ro-MD"/>
        </w:rPr>
        <w:t xml:space="preserve"> </w:t>
      </w:r>
      <w:r w:rsidR="0045748B" w:rsidRPr="0080251F">
        <w:rPr>
          <w:rFonts w:ascii="Times New Roman" w:hAnsi="Times New Roman" w:cs="Times New Roman"/>
          <w:sz w:val="24"/>
          <w:szCs w:val="24"/>
          <w:shd w:val="clear" w:color="auto" w:fill="FFFFFF"/>
          <w:lang w:val="ro-MD"/>
        </w:rPr>
        <w:t>într-un caz de recuperare a neajunsului de metal uzat (2345 kg) la preț</w:t>
      </w:r>
      <w:r w:rsidR="0010107D" w:rsidRPr="0080251F">
        <w:rPr>
          <w:rFonts w:ascii="Times New Roman" w:hAnsi="Times New Roman" w:cs="Times New Roman"/>
          <w:sz w:val="24"/>
          <w:szCs w:val="24"/>
          <w:shd w:val="clear" w:color="auto" w:fill="FFFFFF"/>
          <w:lang w:val="ro-MD"/>
        </w:rPr>
        <w:t>ul</w:t>
      </w:r>
      <w:r w:rsidR="0045748B" w:rsidRPr="0080251F">
        <w:rPr>
          <w:rFonts w:ascii="Times New Roman" w:hAnsi="Times New Roman" w:cs="Times New Roman"/>
          <w:sz w:val="24"/>
          <w:szCs w:val="24"/>
          <w:shd w:val="clear" w:color="auto" w:fill="FFFFFF"/>
          <w:lang w:val="ro-MD"/>
        </w:rPr>
        <w:t xml:space="preserve"> existent în contabilitate (2,7 lei</w:t>
      </w:r>
      <w:r w:rsidR="00AE75FB" w:rsidRPr="0080251F">
        <w:rPr>
          <w:rFonts w:ascii="Times New Roman" w:hAnsi="Times New Roman" w:cs="Times New Roman"/>
          <w:sz w:val="24"/>
          <w:szCs w:val="24"/>
          <w:shd w:val="clear" w:color="auto" w:fill="FFFFFF"/>
          <w:lang w:val="ro-MD"/>
        </w:rPr>
        <w:t>/kg</w:t>
      </w:r>
      <w:r w:rsidR="0045748B" w:rsidRPr="0080251F">
        <w:rPr>
          <w:rFonts w:ascii="Times New Roman" w:hAnsi="Times New Roman" w:cs="Times New Roman"/>
          <w:sz w:val="24"/>
          <w:szCs w:val="24"/>
          <w:shd w:val="clear" w:color="auto" w:fill="FFFFFF"/>
          <w:lang w:val="ro-MD"/>
        </w:rPr>
        <w:t xml:space="preserve">), întreprinderea nu a încasat venituri în sumă de </w:t>
      </w:r>
      <w:r w:rsidR="0045748B" w:rsidRPr="0080251F">
        <w:rPr>
          <w:rFonts w:ascii="Times New Roman" w:hAnsi="Times New Roman" w:cs="Times New Roman"/>
          <w:b/>
          <w:sz w:val="24"/>
          <w:szCs w:val="24"/>
          <w:shd w:val="clear" w:color="auto" w:fill="FFFFFF"/>
          <w:lang w:val="ro-MD"/>
        </w:rPr>
        <w:t>38,8 mii lei</w:t>
      </w:r>
      <w:r w:rsidR="0045748B" w:rsidRPr="0080251F">
        <w:rPr>
          <w:rFonts w:ascii="Times New Roman" w:hAnsi="Times New Roman" w:cs="Times New Roman"/>
          <w:sz w:val="24"/>
          <w:szCs w:val="24"/>
          <w:shd w:val="clear" w:color="auto" w:fill="FFFFFF"/>
          <w:vertAlign w:val="superscript"/>
          <w:lang w:val="ro-MD"/>
        </w:rPr>
        <w:footnoteReference w:id="38"/>
      </w:r>
      <w:r w:rsidR="0045748B" w:rsidRPr="0080251F">
        <w:rPr>
          <w:rFonts w:ascii="Times New Roman" w:hAnsi="Times New Roman" w:cs="Times New Roman"/>
          <w:sz w:val="24"/>
          <w:szCs w:val="24"/>
          <w:shd w:val="clear" w:color="auto" w:fill="FFFFFF"/>
          <w:lang w:val="ro-MD"/>
        </w:rPr>
        <w:t xml:space="preserve"> (46,4 mii lei</w:t>
      </w:r>
      <w:r w:rsidR="0045748B" w:rsidRPr="0080251F">
        <w:rPr>
          <w:rFonts w:ascii="Times New Roman" w:hAnsi="Times New Roman" w:cs="Times New Roman"/>
          <w:sz w:val="24"/>
          <w:szCs w:val="24"/>
          <w:shd w:val="clear" w:color="auto" w:fill="FFFFFF"/>
          <w:vertAlign w:val="superscript"/>
          <w:lang w:val="ro-MD"/>
        </w:rPr>
        <w:footnoteReference w:id="39"/>
      </w:r>
      <w:r w:rsidR="0045748B" w:rsidRPr="0080251F">
        <w:rPr>
          <w:rFonts w:ascii="Times New Roman" w:hAnsi="Times New Roman" w:cs="Times New Roman"/>
          <w:sz w:val="24"/>
          <w:szCs w:val="24"/>
          <w:shd w:val="clear" w:color="auto" w:fill="FFFFFF"/>
          <w:lang w:val="ro-MD"/>
        </w:rPr>
        <w:t>- 7,6 mii lei, valoarea contabilă</w:t>
      </w:r>
      <w:r w:rsidR="0010107D" w:rsidRPr="0080251F">
        <w:rPr>
          <w:rFonts w:ascii="Times New Roman" w:hAnsi="Times New Roman" w:cs="Times New Roman"/>
          <w:sz w:val="24"/>
          <w:szCs w:val="24"/>
          <w:shd w:val="clear" w:color="auto" w:fill="FFFFFF"/>
          <w:lang w:val="ro-MD"/>
        </w:rPr>
        <w:t>,</w:t>
      </w:r>
      <w:r w:rsidR="00513D8B" w:rsidRPr="0080251F">
        <w:rPr>
          <w:rFonts w:ascii="Times New Roman" w:hAnsi="Times New Roman" w:cs="Times New Roman"/>
          <w:sz w:val="24"/>
          <w:szCs w:val="24"/>
          <w:shd w:val="clear" w:color="auto" w:fill="FFFFFF"/>
          <w:lang w:val="ro-MD"/>
        </w:rPr>
        <w:t xml:space="preserve"> inclusiv TVA</w:t>
      </w:r>
      <w:r w:rsidR="0045748B" w:rsidRPr="0080251F">
        <w:rPr>
          <w:rFonts w:ascii="Times New Roman" w:hAnsi="Times New Roman" w:cs="Times New Roman"/>
          <w:sz w:val="24"/>
          <w:szCs w:val="24"/>
          <w:shd w:val="clear" w:color="auto" w:fill="FFFFFF"/>
          <w:lang w:val="ro-MD"/>
        </w:rPr>
        <w:t>).</w:t>
      </w:r>
    </w:p>
    <w:p w14:paraId="36E8D8BA" w14:textId="38317D61" w:rsidR="009874A1" w:rsidRPr="0080251F" w:rsidRDefault="00F81674" w:rsidP="00B63860">
      <w:pPr>
        <w:pStyle w:val="a6"/>
        <w:numPr>
          <w:ilvl w:val="0"/>
          <w:numId w:val="14"/>
        </w:numPr>
        <w:tabs>
          <w:tab w:val="left" w:pos="0"/>
          <w:tab w:val="left" w:pos="851"/>
          <w:tab w:val="left" w:pos="993"/>
        </w:tabs>
        <w:spacing w:after="0" w:line="276" w:lineRule="auto"/>
        <w:ind w:left="0" w:firstLine="709"/>
        <w:jc w:val="both"/>
        <w:rPr>
          <w:rFonts w:ascii="Times New Roman" w:hAnsi="Times New Roman" w:cs="Times New Roman"/>
          <w:b/>
          <w:sz w:val="24"/>
          <w:szCs w:val="24"/>
          <w:shd w:val="clear" w:color="auto" w:fill="FFFFFF"/>
          <w:lang w:val="ro-MD"/>
        </w:rPr>
      </w:pPr>
      <w:r w:rsidRPr="0080251F">
        <w:rPr>
          <w:rFonts w:ascii="Times New Roman" w:hAnsi="Times New Roman" w:cs="Times New Roman"/>
          <w:sz w:val="24"/>
          <w:szCs w:val="24"/>
          <w:shd w:val="clear" w:color="auto" w:fill="FFFFFF"/>
          <w:lang w:val="ro-MD"/>
        </w:rPr>
        <w:t>S</w:t>
      </w:r>
      <w:r w:rsidR="00850A44" w:rsidRPr="0080251F">
        <w:rPr>
          <w:rFonts w:ascii="Times New Roman" w:hAnsi="Times New Roman" w:cs="Times New Roman"/>
          <w:sz w:val="24"/>
          <w:szCs w:val="24"/>
          <w:shd w:val="clear" w:color="auto" w:fill="FFFFFF"/>
          <w:lang w:val="ro-MD"/>
        </w:rPr>
        <w:t xml:space="preserve">e menționează că la entitate </w:t>
      </w:r>
      <w:r w:rsidR="00516BD8" w:rsidRPr="0080251F">
        <w:rPr>
          <w:rFonts w:ascii="Times New Roman" w:hAnsi="Times New Roman" w:cs="Times New Roman"/>
          <w:sz w:val="24"/>
          <w:szCs w:val="24"/>
          <w:shd w:val="clear" w:color="auto" w:fill="FFFFFF"/>
          <w:lang w:val="ro-MD"/>
        </w:rPr>
        <w:t>se efectuează</w:t>
      </w:r>
      <w:r w:rsidR="00850A44" w:rsidRPr="0080251F">
        <w:rPr>
          <w:rFonts w:ascii="Times New Roman" w:hAnsi="Times New Roman" w:cs="Times New Roman"/>
          <w:sz w:val="24"/>
          <w:szCs w:val="24"/>
          <w:shd w:val="clear" w:color="auto" w:fill="FFFFFF"/>
          <w:lang w:val="ro-MD"/>
        </w:rPr>
        <w:t xml:space="preserve"> o procedură defectuoasă prin care în evidența contabilă se înregistrează obținerea materialelor de la demontări în data casării mijloacelor fixe, dar lucrările de dezasamblare, efectiv, se </w:t>
      </w:r>
      <w:r w:rsidR="00516BD8" w:rsidRPr="0080251F">
        <w:rPr>
          <w:rFonts w:ascii="Times New Roman" w:hAnsi="Times New Roman" w:cs="Times New Roman"/>
          <w:sz w:val="24"/>
          <w:szCs w:val="24"/>
          <w:shd w:val="clear" w:color="auto" w:fill="FFFFFF"/>
          <w:lang w:val="ro-MD"/>
        </w:rPr>
        <w:t>execută</w:t>
      </w:r>
      <w:r w:rsidR="00850A44" w:rsidRPr="0080251F">
        <w:rPr>
          <w:rFonts w:ascii="Times New Roman" w:hAnsi="Times New Roman" w:cs="Times New Roman"/>
          <w:sz w:val="24"/>
          <w:szCs w:val="24"/>
          <w:shd w:val="clear" w:color="auto" w:fill="FFFFFF"/>
          <w:lang w:val="ro-MD"/>
        </w:rPr>
        <w:t xml:space="preserve"> mult mai târziu – în decurs de la 1 an până la 3 ani, din data casării.</w:t>
      </w:r>
      <w:r w:rsidRPr="0080251F">
        <w:rPr>
          <w:rFonts w:ascii="Times New Roman" w:hAnsi="Times New Roman" w:cs="Times New Roman"/>
          <w:sz w:val="24"/>
          <w:szCs w:val="24"/>
          <w:shd w:val="clear" w:color="auto" w:fill="FFFFFF"/>
          <w:lang w:val="ro-MD"/>
        </w:rPr>
        <w:t xml:space="preserve"> </w:t>
      </w:r>
      <w:r w:rsidR="00516BD8" w:rsidRPr="0080251F">
        <w:rPr>
          <w:rFonts w:ascii="Times New Roman" w:hAnsi="Times New Roman" w:cs="Times New Roman"/>
          <w:sz w:val="24"/>
          <w:szCs w:val="24"/>
          <w:shd w:val="clear" w:color="auto" w:fill="FFFFFF"/>
          <w:lang w:val="ro-MD"/>
        </w:rPr>
        <w:t>Cât privește</w:t>
      </w:r>
      <w:r w:rsidRPr="0080251F">
        <w:rPr>
          <w:rFonts w:ascii="Times New Roman" w:hAnsi="Times New Roman" w:cs="Times New Roman"/>
          <w:sz w:val="24"/>
          <w:szCs w:val="24"/>
          <w:shd w:val="clear" w:color="auto" w:fill="FFFFFF"/>
          <w:lang w:val="ro-MD"/>
        </w:rPr>
        <w:t xml:space="preserve"> procesul de contabilizare a metalelor uzate obținute de la demontarea mijloacelor fixe casate,</w:t>
      </w:r>
      <w:r w:rsidR="00516BD8" w:rsidRPr="0080251F">
        <w:rPr>
          <w:rFonts w:ascii="Times New Roman" w:hAnsi="Times New Roman" w:cs="Times New Roman"/>
          <w:sz w:val="24"/>
          <w:szCs w:val="24"/>
          <w:shd w:val="clear" w:color="auto" w:fill="FFFFFF"/>
          <w:lang w:val="ro-MD"/>
        </w:rPr>
        <w:t xml:space="preserve"> se relevă</w:t>
      </w:r>
      <w:r w:rsidRPr="0080251F">
        <w:rPr>
          <w:rFonts w:ascii="Times New Roman" w:hAnsi="Times New Roman" w:cs="Times New Roman"/>
          <w:sz w:val="24"/>
          <w:szCs w:val="24"/>
          <w:shd w:val="clear" w:color="auto" w:fill="FFFFFF"/>
          <w:lang w:val="ro-MD"/>
        </w:rPr>
        <w:t xml:space="preserve"> situația când în anul 2020 </w:t>
      </w:r>
      <w:r w:rsidR="00516BD8" w:rsidRPr="0080251F">
        <w:rPr>
          <w:rFonts w:ascii="Times New Roman" w:hAnsi="Times New Roman" w:cs="Times New Roman"/>
          <w:sz w:val="24"/>
          <w:szCs w:val="24"/>
          <w:shd w:val="clear" w:color="auto" w:fill="FFFFFF"/>
          <w:lang w:val="ro-MD"/>
        </w:rPr>
        <w:t>s-</w:t>
      </w:r>
      <w:r w:rsidRPr="0080251F">
        <w:rPr>
          <w:rFonts w:ascii="Times New Roman" w:hAnsi="Times New Roman" w:cs="Times New Roman"/>
          <w:sz w:val="24"/>
          <w:szCs w:val="24"/>
          <w:shd w:val="clear" w:color="auto" w:fill="FFFFFF"/>
          <w:lang w:val="ro-MD"/>
        </w:rPr>
        <w:t xml:space="preserve">au raportat cheltuieli nejustificate în sumă de </w:t>
      </w:r>
      <w:r w:rsidR="00B63860" w:rsidRPr="0080251F">
        <w:rPr>
          <w:rFonts w:ascii="Times New Roman" w:hAnsi="Times New Roman" w:cs="Times New Roman"/>
          <w:b/>
          <w:sz w:val="24"/>
          <w:szCs w:val="24"/>
          <w:shd w:val="clear" w:color="auto" w:fill="FFFFFF"/>
          <w:lang w:val="ro-MD"/>
        </w:rPr>
        <w:t>6,6</w:t>
      </w:r>
      <w:r w:rsidRPr="0080251F">
        <w:rPr>
          <w:rFonts w:ascii="Times New Roman" w:hAnsi="Times New Roman" w:cs="Times New Roman"/>
          <w:b/>
          <w:sz w:val="24"/>
          <w:szCs w:val="24"/>
          <w:shd w:val="clear" w:color="auto" w:fill="FFFFFF"/>
          <w:lang w:val="ro-MD"/>
        </w:rPr>
        <w:t xml:space="preserve"> mii lei</w:t>
      </w:r>
      <w:r w:rsidR="00B63860" w:rsidRPr="0080251F">
        <w:rPr>
          <w:rFonts w:ascii="Times New Roman" w:hAnsi="Times New Roman" w:cs="Times New Roman"/>
          <w:sz w:val="24"/>
          <w:szCs w:val="24"/>
          <w:shd w:val="clear" w:color="auto" w:fill="FFFFFF"/>
          <w:lang w:val="ro-MD"/>
        </w:rPr>
        <w:t xml:space="preserve"> pentru demontarea a 0,62</w:t>
      </w:r>
      <w:r w:rsidRPr="0080251F">
        <w:rPr>
          <w:rFonts w:ascii="Times New Roman" w:hAnsi="Times New Roman" w:cs="Times New Roman"/>
          <w:sz w:val="24"/>
          <w:szCs w:val="24"/>
          <w:shd w:val="clear" w:color="auto" w:fill="FFFFFF"/>
          <w:lang w:val="ro-MD"/>
        </w:rPr>
        <w:t xml:space="preserve"> km de linie electrică, care anterior a fost constatată ca furată (anii 2018 - 2019).</w:t>
      </w:r>
    </w:p>
    <w:p w14:paraId="08A06EE8" w14:textId="6C6F1440" w:rsidR="003546A2" w:rsidRPr="0080251F" w:rsidRDefault="003546A2" w:rsidP="00FC1DA7">
      <w:pPr>
        <w:tabs>
          <w:tab w:val="left" w:pos="0"/>
          <w:tab w:val="left" w:pos="709"/>
        </w:tabs>
        <w:spacing w:after="0" w:line="276" w:lineRule="auto"/>
        <w:ind w:firstLine="709"/>
        <w:jc w:val="both"/>
        <w:rPr>
          <w:rFonts w:ascii="Times New Roman" w:hAnsi="Times New Roman" w:cs="Times New Roman"/>
          <w:iCs/>
          <w:sz w:val="24"/>
          <w:szCs w:val="24"/>
          <w:lang w:val="ro-MD"/>
        </w:rPr>
      </w:pPr>
      <w:r w:rsidRPr="0080251F">
        <w:rPr>
          <w:rFonts w:ascii="Times New Roman" w:eastAsia="Times New Roman" w:hAnsi="Times New Roman" w:cs="Times New Roman"/>
          <w:bCs/>
          <w:sz w:val="24"/>
          <w:szCs w:val="24"/>
          <w:lang w:val="ro-MD" w:eastAsia="ru-RU"/>
        </w:rPr>
        <w:tab/>
      </w:r>
      <w:r w:rsidR="00DC0C05" w:rsidRPr="0080251F">
        <w:rPr>
          <w:rFonts w:ascii="Times New Roman" w:eastAsia="Times New Roman" w:hAnsi="Times New Roman" w:cs="Times New Roman"/>
          <w:bCs/>
          <w:sz w:val="24"/>
          <w:szCs w:val="24"/>
          <w:lang w:val="ro-MD" w:eastAsia="ru-RU"/>
        </w:rPr>
        <w:t xml:space="preserve">Menționăm că, prin </w:t>
      </w:r>
      <w:r w:rsidR="00516BD8" w:rsidRPr="0080251F">
        <w:rPr>
          <w:rFonts w:ascii="Times New Roman" w:eastAsia="Times New Roman" w:hAnsi="Times New Roman" w:cs="Times New Roman"/>
          <w:bCs/>
          <w:sz w:val="24"/>
          <w:szCs w:val="24"/>
          <w:lang w:val="ro-MD" w:eastAsia="ru-RU"/>
        </w:rPr>
        <w:t>O</w:t>
      </w:r>
      <w:r w:rsidR="00DC0C05" w:rsidRPr="0080251F">
        <w:rPr>
          <w:rFonts w:ascii="Times New Roman" w:eastAsia="Times New Roman" w:hAnsi="Times New Roman" w:cs="Times New Roman"/>
          <w:bCs/>
          <w:sz w:val="24"/>
          <w:szCs w:val="24"/>
          <w:lang w:val="ro-MD" w:eastAsia="ru-RU"/>
        </w:rPr>
        <w:t xml:space="preserve">rdinul directorului </w:t>
      </w:r>
      <w:r w:rsidR="00505DBC" w:rsidRPr="0080251F">
        <w:rPr>
          <w:rFonts w:ascii="Times New Roman" w:eastAsia="Times New Roman" w:hAnsi="Times New Roman" w:cs="Times New Roman"/>
          <w:bCs/>
          <w:sz w:val="24"/>
          <w:szCs w:val="24"/>
          <w:lang w:val="ro-MD" w:eastAsia="ru-RU"/>
        </w:rPr>
        <w:t xml:space="preserve">general </w:t>
      </w:r>
      <w:r w:rsidR="00DC0C05" w:rsidRPr="0080251F">
        <w:rPr>
          <w:rFonts w:ascii="Times New Roman" w:eastAsia="Times New Roman" w:hAnsi="Times New Roman" w:cs="Times New Roman"/>
          <w:bCs/>
          <w:sz w:val="24"/>
          <w:szCs w:val="24"/>
          <w:lang w:val="ro-MD" w:eastAsia="ru-RU"/>
        </w:rPr>
        <w:t>nr.35</w:t>
      </w:r>
      <w:r w:rsidR="001B13CC" w:rsidRPr="0080251F">
        <w:rPr>
          <w:rFonts w:ascii="Times New Roman" w:eastAsia="Times New Roman" w:hAnsi="Times New Roman" w:cs="Times New Roman"/>
          <w:bCs/>
          <w:sz w:val="24"/>
          <w:szCs w:val="24"/>
          <w:lang w:val="ro-MD" w:eastAsia="ru-RU"/>
        </w:rPr>
        <w:t>-I din 05.03</w:t>
      </w:r>
      <w:r w:rsidR="00DC0C05" w:rsidRPr="0080251F">
        <w:rPr>
          <w:rFonts w:ascii="Times New Roman" w:eastAsia="Times New Roman" w:hAnsi="Times New Roman" w:cs="Times New Roman"/>
          <w:bCs/>
          <w:sz w:val="24"/>
          <w:szCs w:val="24"/>
          <w:lang w:val="ro-MD" w:eastAsia="ru-RU"/>
        </w:rPr>
        <w:t>.20</w:t>
      </w:r>
      <w:r w:rsidR="001B13CC" w:rsidRPr="0080251F">
        <w:rPr>
          <w:rFonts w:ascii="Times New Roman" w:eastAsia="Times New Roman" w:hAnsi="Times New Roman" w:cs="Times New Roman"/>
          <w:bCs/>
          <w:sz w:val="24"/>
          <w:szCs w:val="24"/>
          <w:lang w:val="ro-MD" w:eastAsia="ru-RU"/>
        </w:rPr>
        <w:t>24</w:t>
      </w:r>
      <w:r w:rsidR="001B13CC" w:rsidRPr="0080251F">
        <w:rPr>
          <w:rStyle w:val="a5"/>
          <w:rFonts w:ascii="Times New Roman" w:eastAsia="Times New Roman" w:hAnsi="Times New Roman" w:cs="Times New Roman"/>
          <w:bCs/>
          <w:sz w:val="24"/>
          <w:szCs w:val="24"/>
          <w:lang w:val="ro-MD" w:eastAsia="ru-RU"/>
        </w:rPr>
        <w:footnoteReference w:id="40"/>
      </w:r>
      <w:r w:rsidR="00DC0C05" w:rsidRPr="0080251F">
        <w:rPr>
          <w:rFonts w:ascii="Times New Roman" w:eastAsia="Times New Roman" w:hAnsi="Times New Roman" w:cs="Times New Roman"/>
          <w:bCs/>
          <w:sz w:val="24"/>
          <w:szCs w:val="24"/>
          <w:lang w:val="ro-MD" w:eastAsia="ru-RU"/>
        </w:rPr>
        <w:t xml:space="preserve">, </w:t>
      </w:r>
      <w:r w:rsidRPr="0080251F">
        <w:rPr>
          <w:rFonts w:ascii="Times New Roman" w:eastAsia="Times New Roman" w:hAnsi="Times New Roman" w:cs="Times New Roman"/>
          <w:bCs/>
          <w:sz w:val="24"/>
          <w:szCs w:val="24"/>
          <w:lang w:val="ro-MD" w:eastAsia="ru-RU"/>
        </w:rPr>
        <w:t xml:space="preserve">pe parcursul misiunii de audit </w:t>
      </w:r>
      <w:r w:rsidR="003D3AD1" w:rsidRPr="0080251F">
        <w:rPr>
          <w:rFonts w:ascii="Times New Roman" w:eastAsia="Times New Roman" w:hAnsi="Times New Roman" w:cs="Times New Roman"/>
          <w:bCs/>
          <w:sz w:val="24"/>
          <w:szCs w:val="24"/>
          <w:lang w:val="ro-MD" w:eastAsia="ru-RU"/>
        </w:rPr>
        <w:t>s-</w:t>
      </w:r>
      <w:r w:rsidRPr="0080251F">
        <w:rPr>
          <w:rFonts w:ascii="Times New Roman" w:eastAsia="Times New Roman" w:hAnsi="Times New Roman" w:cs="Times New Roman"/>
          <w:bCs/>
          <w:sz w:val="24"/>
          <w:szCs w:val="24"/>
          <w:lang w:val="ro-MD" w:eastAsia="ru-RU"/>
        </w:rPr>
        <w:t xml:space="preserve">a </w:t>
      </w:r>
      <w:r w:rsidR="00DC0C05" w:rsidRPr="0080251F">
        <w:rPr>
          <w:rFonts w:ascii="Times New Roman" w:eastAsia="Times New Roman" w:hAnsi="Times New Roman" w:cs="Times New Roman"/>
          <w:bCs/>
          <w:sz w:val="24"/>
          <w:szCs w:val="24"/>
          <w:lang w:val="ro-MD" w:eastAsia="ru-RU"/>
        </w:rPr>
        <w:t>aprobat</w:t>
      </w:r>
      <w:r w:rsidRPr="0080251F">
        <w:rPr>
          <w:rFonts w:ascii="Times New Roman" w:eastAsia="Times New Roman" w:hAnsi="Times New Roman" w:cs="Times New Roman"/>
          <w:bCs/>
          <w:sz w:val="24"/>
          <w:szCs w:val="24"/>
          <w:lang w:val="ro-MD" w:eastAsia="ru-RU"/>
        </w:rPr>
        <w:t xml:space="preserve"> lista bunurilor materiale necesare </w:t>
      </w:r>
      <w:r w:rsidR="00516BD8" w:rsidRPr="0080251F">
        <w:rPr>
          <w:rFonts w:ascii="Times New Roman" w:eastAsia="Times New Roman" w:hAnsi="Times New Roman" w:cs="Times New Roman"/>
          <w:bCs/>
          <w:sz w:val="24"/>
          <w:szCs w:val="24"/>
          <w:lang w:val="ro-MD" w:eastAsia="ru-RU"/>
        </w:rPr>
        <w:t xml:space="preserve">pentru </w:t>
      </w:r>
      <w:r w:rsidRPr="0080251F">
        <w:rPr>
          <w:rFonts w:ascii="Times New Roman" w:eastAsia="Times New Roman" w:hAnsi="Times New Roman" w:cs="Times New Roman"/>
          <w:bCs/>
          <w:sz w:val="24"/>
          <w:szCs w:val="24"/>
          <w:lang w:val="ro-MD" w:eastAsia="ru-RU"/>
        </w:rPr>
        <w:t xml:space="preserve">a fi luate </w:t>
      </w:r>
      <w:r w:rsidR="00516BD8" w:rsidRPr="0080251F">
        <w:rPr>
          <w:rFonts w:ascii="Times New Roman" w:eastAsia="Times New Roman" w:hAnsi="Times New Roman" w:cs="Times New Roman"/>
          <w:bCs/>
          <w:sz w:val="24"/>
          <w:szCs w:val="24"/>
          <w:lang w:val="ro-MD" w:eastAsia="ru-RU"/>
        </w:rPr>
        <w:t>la</w:t>
      </w:r>
      <w:r w:rsidRPr="0080251F">
        <w:rPr>
          <w:rFonts w:ascii="Times New Roman" w:eastAsia="Times New Roman" w:hAnsi="Times New Roman" w:cs="Times New Roman"/>
          <w:bCs/>
          <w:sz w:val="24"/>
          <w:szCs w:val="24"/>
          <w:lang w:val="ro-MD" w:eastAsia="ru-RU"/>
        </w:rPr>
        <w:t xml:space="preserve"> evidența contabilă, prețurile și normativele de recuperare.</w:t>
      </w:r>
    </w:p>
    <w:p w14:paraId="2A09372A" w14:textId="0A78C3CA" w:rsidR="009815C9" w:rsidRPr="0080251F" w:rsidRDefault="009815C9" w:rsidP="00DE4AFC">
      <w:pPr>
        <w:pStyle w:val="1"/>
        <w:tabs>
          <w:tab w:val="left" w:pos="567"/>
        </w:tabs>
        <w:spacing w:before="200" w:line="276" w:lineRule="auto"/>
        <w:jc w:val="both"/>
        <w:rPr>
          <w:rFonts w:ascii="Times New Roman" w:hAnsi="Times New Roman" w:cs="Times New Roman"/>
          <w:b/>
          <w:sz w:val="24"/>
          <w:szCs w:val="24"/>
          <w:lang w:val="ro-MD"/>
        </w:rPr>
      </w:pPr>
      <w:bookmarkStart w:id="19" w:name="_Toc161169694"/>
      <w:r w:rsidRPr="0080251F">
        <w:rPr>
          <w:rFonts w:ascii="Times New Roman" w:hAnsi="Times New Roman" w:cs="Times New Roman"/>
          <w:b/>
          <w:sz w:val="24"/>
          <w:szCs w:val="24"/>
          <w:lang w:val="ro-MD"/>
        </w:rPr>
        <w:t xml:space="preserve">4.3. </w:t>
      </w:r>
      <w:r w:rsidR="00EB32E2" w:rsidRPr="0080251F">
        <w:rPr>
          <w:rFonts w:ascii="Times New Roman" w:hAnsi="Times New Roman" w:cs="Times New Roman"/>
          <w:b/>
          <w:bCs/>
          <w:iCs/>
          <w:sz w:val="24"/>
          <w:szCs w:val="24"/>
          <w:lang w:val="ro-MD"/>
        </w:rPr>
        <w:t xml:space="preserve">S.A. „RED-Nord” a </w:t>
      </w:r>
      <w:r w:rsidR="00DE4AFC" w:rsidRPr="0080251F">
        <w:rPr>
          <w:rFonts w:ascii="Times New Roman" w:hAnsi="Times New Roman" w:cs="Times New Roman"/>
          <w:b/>
          <w:bCs/>
          <w:iCs/>
          <w:sz w:val="24"/>
          <w:szCs w:val="24"/>
          <w:lang w:val="ro-MD"/>
        </w:rPr>
        <w:t>gestionat</w:t>
      </w:r>
      <w:r w:rsidR="00EB32E2" w:rsidRPr="0080251F">
        <w:rPr>
          <w:rFonts w:ascii="Times New Roman" w:hAnsi="Times New Roman" w:cs="Times New Roman"/>
          <w:b/>
          <w:bCs/>
          <w:iCs/>
          <w:sz w:val="24"/>
          <w:szCs w:val="24"/>
          <w:lang w:val="ro-MD"/>
        </w:rPr>
        <w:t xml:space="preserve"> conform creanțel</w:t>
      </w:r>
      <w:r w:rsidR="00DE4AFC" w:rsidRPr="0080251F">
        <w:rPr>
          <w:rFonts w:ascii="Times New Roman" w:hAnsi="Times New Roman" w:cs="Times New Roman"/>
          <w:b/>
          <w:bCs/>
          <w:iCs/>
          <w:sz w:val="24"/>
          <w:szCs w:val="24"/>
          <w:lang w:val="ro-MD"/>
        </w:rPr>
        <w:t>e</w:t>
      </w:r>
      <w:r w:rsidR="00EB32E2" w:rsidRPr="0080251F">
        <w:rPr>
          <w:rFonts w:ascii="Times New Roman" w:hAnsi="Times New Roman" w:cs="Times New Roman"/>
          <w:b/>
          <w:bCs/>
          <w:iCs/>
          <w:sz w:val="24"/>
          <w:szCs w:val="24"/>
          <w:lang w:val="ro-MD"/>
        </w:rPr>
        <w:t xml:space="preserve"> și datoriil</w:t>
      </w:r>
      <w:r w:rsidR="00DE4AFC" w:rsidRPr="0080251F">
        <w:rPr>
          <w:rFonts w:ascii="Times New Roman" w:hAnsi="Times New Roman" w:cs="Times New Roman"/>
          <w:b/>
          <w:bCs/>
          <w:iCs/>
          <w:sz w:val="24"/>
          <w:szCs w:val="24"/>
          <w:lang w:val="ro-MD"/>
        </w:rPr>
        <w:t>e</w:t>
      </w:r>
      <w:r w:rsidR="00EB32E2" w:rsidRPr="0080251F">
        <w:rPr>
          <w:rFonts w:ascii="Times New Roman" w:hAnsi="Times New Roman" w:cs="Times New Roman"/>
          <w:b/>
          <w:bCs/>
          <w:iCs/>
          <w:sz w:val="24"/>
          <w:szCs w:val="24"/>
          <w:lang w:val="ro-MD"/>
        </w:rPr>
        <w:t xml:space="preserve"> existente?</w:t>
      </w:r>
      <w:bookmarkEnd w:id="19"/>
    </w:p>
    <w:p w14:paraId="48DD4454" w14:textId="79C1F627" w:rsidR="0087226A" w:rsidRPr="0080251F" w:rsidRDefault="00473482" w:rsidP="005376B1">
      <w:pPr>
        <w:tabs>
          <w:tab w:val="left" w:pos="709"/>
        </w:tabs>
        <w:spacing w:after="0" w:line="276" w:lineRule="auto"/>
        <w:ind w:firstLine="709"/>
        <w:jc w:val="both"/>
        <w:rPr>
          <w:rFonts w:ascii="Times New Roman" w:hAnsi="Times New Roman" w:cs="Times New Roman"/>
          <w:b/>
          <w:bCs/>
          <w:i/>
          <w:sz w:val="24"/>
          <w:szCs w:val="24"/>
          <w:lang w:val="ro-MD"/>
        </w:rPr>
      </w:pPr>
      <w:r w:rsidRPr="0080251F">
        <w:rPr>
          <w:rFonts w:ascii="Times New Roman" w:hAnsi="Times New Roman" w:cs="Times New Roman"/>
          <w:b/>
          <w:i/>
          <w:sz w:val="24"/>
          <w:szCs w:val="24"/>
          <w:lang w:val="ro-MD"/>
        </w:rPr>
        <w:t>Deși S.A. „RED-Nord” a întreprins măsuri în scopul recuperării creanțelor cu termenul de achitare expirat, există riscul de nerecuperare a acestora, ceea ce a condiționat formarea provizioanelor aferente creanțelor compromise în sumă de 17,6 mil. lei.</w:t>
      </w:r>
    </w:p>
    <w:p w14:paraId="6B9322A1" w14:textId="5BAC9A6C" w:rsidR="0087226A" w:rsidRPr="0080251F" w:rsidRDefault="004E4249" w:rsidP="00E40869">
      <w:pPr>
        <w:tabs>
          <w:tab w:val="left" w:pos="709"/>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La finele anului 2022, creanțele totale ale întreprinderii a</w:t>
      </w:r>
      <w:r w:rsidR="001C49C5" w:rsidRPr="0080251F">
        <w:rPr>
          <w:rFonts w:ascii="Times New Roman" w:hAnsi="Times New Roman" w:cs="Times New Roman"/>
          <w:bCs/>
          <w:sz w:val="24"/>
          <w:szCs w:val="24"/>
          <w:lang w:val="ro-MD"/>
        </w:rPr>
        <w:t>u</w:t>
      </w:r>
      <w:r w:rsidRPr="0080251F">
        <w:rPr>
          <w:rFonts w:ascii="Times New Roman" w:hAnsi="Times New Roman" w:cs="Times New Roman"/>
          <w:bCs/>
          <w:sz w:val="24"/>
          <w:szCs w:val="24"/>
          <w:lang w:val="ro-MD"/>
        </w:rPr>
        <w:t xml:space="preserve"> constituit 166,9 mil. lei</w:t>
      </w:r>
      <w:r w:rsidR="00201D0E" w:rsidRPr="0080251F">
        <w:rPr>
          <w:rFonts w:ascii="Times New Roman" w:hAnsi="Times New Roman" w:cs="Times New Roman"/>
          <w:bCs/>
          <w:sz w:val="24"/>
          <w:szCs w:val="24"/>
          <w:lang w:val="ro-MD"/>
        </w:rPr>
        <w:t>, majorându-se, față de</w:t>
      </w:r>
      <w:r w:rsidRPr="0080251F">
        <w:rPr>
          <w:rFonts w:ascii="Times New Roman" w:hAnsi="Times New Roman" w:cs="Times New Roman"/>
          <w:bCs/>
          <w:sz w:val="24"/>
          <w:szCs w:val="24"/>
          <w:lang w:val="ro-MD"/>
        </w:rPr>
        <w:t xml:space="preserve"> anul 2021,</w:t>
      </w:r>
      <w:r w:rsidR="00201D0E"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cu 49,</w:t>
      </w:r>
      <w:r w:rsidR="00915730" w:rsidRPr="0080251F">
        <w:rPr>
          <w:rFonts w:ascii="Times New Roman" w:hAnsi="Times New Roman" w:cs="Times New Roman"/>
          <w:bCs/>
          <w:sz w:val="24"/>
          <w:szCs w:val="24"/>
          <w:lang w:val="ro-MD"/>
        </w:rPr>
        <w:t>2</w:t>
      </w:r>
      <w:r w:rsidRPr="0080251F">
        <w:rPr>
          <w:rFonts w:ascii="Times New Roman" w:hAnsi="Times New Roman" w:cs="Times New Roman"/>
          <w:bCs/>
          <w:sz w:val="24"/>
          <w:szCs w:val="24"/>
          <w:lang w:val="ro-MD"/>
        </w:rPr>
        <w:t xml:space="preserve"> mil. lei, </w:t>
      </w:r>
      <w:r w:rsidR="005B36A0" w:rsidRPr="0080251F">
        <w:rPr>
          <w:rFonts w:ascii="Times New Roman" w:hAnsi="Times New Roman" w:cs="Times New Roman"/>
          <w:bCs/>
          <w:sz w:val="24"/>
          <w:szCs w:val="24"/>
          <w:lang w:val="ro-MD"/>
        </w:rPr>
        <w:t>creșterea</w:t>
      </w:r>
      <w:r w:rsidR="00E40869" w:rsidRPr="0080251F">
        <w:rPr>
          <w:rFonts w:ascii="Times New Roman" w:hAnsi="Times New Roman" w:cs="Times New Roman"/>
          <w:bCs/>
          <w:sz w:val="24"/>
          <w:szCs w:val="24"/>
          <w:lang w:val="ro-MD"/>
        </w:rPr>
        <w:t xml:space="preserve"> fiind</w:t>
      </w:r>
      <w:r w:rsidRPr="0080251F">
        <w:rPr>
          <w:rFonts w:ascii="Times New Roman" w:hAnsi="Times New Roman" w:cs="Times New Roman"/>
          <w:bCs/>
          <w:sz w:val="24"/>
          <w:szCs w:val="24"/>
          <w:lang w:val="ro-MD"/>
        </w:rPr>
        <w:t xml:space="preserve"> determinată</w:t>
      </w:r>
      <w:r w:rsidR="00201D0E"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în special</w:t>
      </w:r>
      <w:r w:rsidR="00201D0E"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de următorii factori economico-financiari: efectuarea plăților în avans la buget</w:t>
      </w:r>
      <w:r w:rsidR="003D6A19" w:rsidRPr="0080251F">
        <w:rPr>
          <w:rFonts w:ascii="Times New Roman" w:hAnsi="Times New Roman" w:cs="Times New Roman"/>
          <w:bCs/>
          <w:sz w:val="24"/>
          <w:szCs w:val="24"/>
          <w:vertAlign w:val="superscript"/>
          <w:lang w:val="ro-MD"/>
        </w:rPr>
        <w:footnoteReference w:id="41"/>
      </w:r>
      <w:r w:rsidRPr="0080251F">
        <w:rPr>
          <w:rFonts w:ascii="Times New Roman" w:hAnsi="Times New Roman" w:cs="Times New Roman"/>
          <w:bCs/>
          <w:sz w:val="24"/>
          <w:szCs w:val="24"/>
          <w:lang w:val="ro-MD"/>
        </w:rPr>
        <w:t xml:space="preserve"> (contul 225) – 16,5 mil. lei; înregistrarea devierii tarifare negative de la prestarea serviciilor de distribuție a energiei electrice</w:t>
      </w:r>
      <w:r w:rsidRPr="0080251F">
        <w:rPr>
          <w:rFonts w:ascii="Times New Roman" w:hAnsi="Times New Roman" w:cs="Times New Roman"/>
          <w:bCs/>
          <w:sz w:val="24"/>
          <w:szCs w:val="24"/>
          <w:vertAlign w:val="superscript"/>
          <w:lang w:val="ro-MD"/>
        </w:rPr>
        <w:footnoteReference w:id="42"/>
      </w:r>
      <w:r w:rsidRPr="0080251F">
        <w:rPr>
          <w:rFonts w:ascii="Times New Roman" w:hAnsi="Times New Roman" w:cs="Times New Roman"/>
          <w:bCs/>
          <w:sz w:val="24"/>
          <w:szCs w:val="24"/>
          <w:lang w:val="ro-MD"/>
        </w:rPr>
        <w:t xml:space="preserve"> (contul 232) – 30,</w:t>
      </w:r>
      <w:r w:rsidR="00915730" w:rsidRPr="0080251F">
        <w:rPr>
          <w:rFonts w:ascii="Times New Roman" w:hAnsi="Times New Roman" w:cs="Times New Roman"/>
          <w:bCs/>
          <w:sz w:val="24"/>
          <w:szCs w:val="24"/>
          <w:lang w:val="ro-MD"/>
        </w:rPr>
        <w:t>2</w:t>
      </w:r>
      <w:r w:rsidRPr="0080251F">
        <w:rPr>
          <w:rFonts w:ascii="Times New Roman" w:hAnsi="Times New Roman" w:cs="Times New Roman"/>
          <w:bCs/>
          <w:sz w:val="24"/>
          <w:szCs w:val="24"/>
          <w:lang w:val="ro-MD"/>
        </w:rPr>
        <w:t xml:space="preserve"> mil. lei; creșterea altor creanțe curente – 2,</w:t>
      </w:r>
      <w:r w:rsidR="00915730" w:rsidRPr="0080251F">
        <w:rPr>
          <w:rFonts w:ascii="Times New Roman" w:hAnsi="Times New Roman" w:cs="Times New Roman"/>
          <w:bCs/>
          <w:sz w:val="24"/>
          <w:szCs w:val="24"/>
          <w:lang w:val="ro-MD"/>
        </w:rPr>
        <w:t>6</w:t>
      </w:r>
      <w:r w:rsidRPr="0080251F">
        <w:rPr>
          <w:rFonts w:ascii="Times New Roman" w:hAnsi="Times New Roman" w:cs="Times New Roman"/>
          <w:bCs/>
          <w:sz w:val="24"/>
          <w:szCs w:val="24"/>
          <w:lang w:val="ro-MD"/>
        </w:rPr>
        <w:t xml:space="preserve"> mil. lei.</w:t>
      </w:r>
    </w:p>
    <w:p w14:paraId="683EDFB3" w14:textId="07AD16CD" w:rsidR="00435CBC" w:rsidRPr="0080251F" w:rsidRDefault="00435CBC" w:rsidP="00435CBC">
      <w:pPr>
        <w:tabs>
          <w:tab w:val="left" w:pos="709"/>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Creanțele au fost supuse inventarierii anuale și confirmate prin procesele-verbale de constatare a rezultatelor inventarierii.</w:t>
      </w:r>
    </w:p>
    <w:p w14:paraId="06A46BB5" w14:textId="4BCCC358" w:rsidR="0087226A" w:rsidRPr="0080251F" w:rsidRDefault="004E4249" w:rsidP="00277B2D">
      <w:pPr>
        <w:spacing w:after="0" w:line="276" w:lineRule="auto"/>
        <w:jc w:val="right"/>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Tabelul nr.5</w:t>
      </w:r>
    </w:p>
    <w:p w14:paraId="539CB495" w14:textId="25F4C157" w:rsidR="0087226A" w:rsidRPr="0080251F" w:rsidRDefault="0087226A" w:rsidP="00725D23">
      <w:pPr>
        <w:spacing w:after="0" w:line="276" w:lineRule="auto"/>
        <w:jc w:val="center"/>
        <w:rPr>
          <w:rFonts w:ascii="Times New Roman" w:hAnsi="Times New Roman" w:cs="Times New Roman"/>
          <w:b/>
          <w:sz w:val="24"/>
          <w:szCs w:val="24"/>
          <w:lang w:val="ro-MD"/>
        </w:rPr>
      </w:pPr>
      <w:r w:rsidRPr="0080251F">
        <w:rPr>
          <w:rFonts w:ascii="Times New Roman" w:hAnsi="Times New Roman" w:cs="Times New Roman"/>
          <w:b/>
          <w:sz w:val="24"/>
          <w:szCs w:val="24"/>
          <w:lang w:val="ro-MD"/>
        </w:rPr>
        <w:t>Informația privind creanțele înregistrate în evidența contabilă în perioada 2021-2022</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3"/>
        <w:gridCol w:w="1559"/>
        <w:gridCol w:w="1417"/>
      </w:tblGrid>
      <w:tr w:rsidR="0087226A" w:rsidRPr="0080251F" w14:paraId="665097F3" w14:textId="77777777" w:rsidTr="004C2DCB">
        <w:trPr>
          <w:trHeight w:val="186"/>
        </w:trPr>
        <w:tc>
          <w:tcPr>
            <w:tcW w:w="6663" w:type="dxa"/>
            <w:shd w:val="clear" w:color="auto" w:fill="D9D9D9" w:themeFill="background1" w:themeFillShade="D9"/>
          </w:tcPr>
          <w:p w14:paraId="3DC8AA8B" w14:textId="77777777" w:rsidR="0087226A" w:rsidRPr="0080251F" w:rsidRDefault="0087226A" w:rsidP="003D6A19">
            <w:pPr>
              <w:spacing w:after="0"/>
              <w:jc w:val="both"/>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Creanțe, inclusiv pe conturi:</w:t>
            </w:r>
          </w:p>
        </w:tc>
        <w:tc>
          <w:tcPr>
            <w:tcW w:w="1559" w:type="dxa"/>
            <w:shd w:val="clear" w:color="auto" w:fill="D9D9D9" w:themeFill="background1" w:themeFillShade="D9"/>
          </w:tcPr>
          <w:p w14:paraId="56437E58" w14:textId="1FE27782" w:rsidR="0087226A" w:rsidRPr="0080251F" w:rsidRDefault="0087226A" w:rsidP="003D6A19">
            <w:pPr>
              <w:spacing w:after="0"/>
              <w:jc w:val="center"/>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2021</w:t>
            </w:r>
            <w:r w:rsidR="00BD3AF5" w:rsidRPr="0080251F">
              <w:rPr>
                <w:rFonts w:ascii="Times New Roman" w:hAnsi="Times New Roman" w:cs="Times New Roman"/>
                <w:b/>
                <w:bCs/>
                <w:sz w:val="20"/>
                <w:szCs w:val="20"/>
                <w:lang w:val="ro-MD"/>
              </w:rPr>
              <w:t>, mii lei</w:t>
            </w:r>
          </w:p>
        </w:tc>
        <w:tc>
          <w:tcPr>
            <w:tcW w:w="1417" w:type="dxa"/>
            <w:shd w:val="clear" w:color="auto" w:fill="D9D9D9" w:themeFill="background1" w:themeFillShade="D9"/>
          </w:tcPr>
          <w:p w14:paraId="7652ECBA" w14:textId="27F03139" w:rsidR="0087226A" w:rsidRPr="0080251F" w:rsidRDefault="0087226A" w:rsidP="003D6A19">
            <w:pPr>
              <w:spacing w:after="0"/>
              <w:jc w:val="center"/>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2022</w:t>
            </w:r>
            <w:r w:rsidR="00BD3AF5" w:rsidRPr="0080251F">
              <w:rPr>
                <w:rFonts w:ascii="Times New Roman" w:hAnsi="Times New Roman" w:cs="Times New Roman"/>
                <w:b/>
                <w:bCs/>
                <w:sz w:val="20"/>
                <w:szCs w:val="20"/>
                <w:lang w:val="ro-MD"/>
              </w:rPr>
              <w:t>, mii lei</w:t>
            </w:r>
          </w:p>
        </w:tc>
      </w:tr>
      <w:tr w:rsidR="0087226A" w:rsidRPr="0080251F" w14:paraId="30853D87" w14:textId="77777777" w:rsidTr="004C2DCB">
        <w:tc>
          <w:tcPr>
            <w:tcW w:w="6663" w:type="dxa"/>
            <w:vAlign w:val="center"/>
          </w:tcPr>
          <w:p w14:paraId="3CE23333" w14:textId="77777777" w:rsidR="0087226A" w:rsidRPr="0080251F" w:rsidRDefault="0087226A" w:rsidP="003D6A19">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221 „Creanțe comerciale”</w:t>
            </w:r>
          </w:p>
        </w:tc>
        <w:tc>
          <w:tcPr>
            <w:tcW w:w="1559" w:type="dxa"/>
            <w:vAlign w:val="center"/>
          </w:tcPr>
          <w:p w14:paraId="4CD2F0E9"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0,9</w:t>
            </w:r>
          </w:p>
        </w:tc>
        <w:tc>
          <w:tcPr>
            <w:tcW w:w="1417" w:type="dxa"/>
            <w:vAlign w:val="center"/>
          </w:tcPr>
          <w:p w14:paraId="5370FC20" w14:textId="44E5C7E3" w:rsidR="0087226A" w:rsidRPr="0080251F" w:rsidRDefault="003A66A7"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0,0</w:t>
            </w:r>
          </w:p>
        </w:tc>
      </w:tr>
      <w:tr w:rsidR="0087226A" w:rsidRPr="0080251F" w14:paraId="11801B44" w14:textId="77777777" w:rsidTr="004C2DCB">
        <w:tc>
          <w:tcPr>
            <w:tcW w:w="6663" w:type="dxa"/>
            <w:vAlign w:val="center"/>
          </w:tcPr>
          <w:p w14:paraId="02963F16" w14:textId="77777777" w:rsidR="0087226A" w:rsidRPr="0080251F" w:rsidRDefault="0087226A" w:rsidP="003D6A19">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224 „Avansuri acordate curente”</w:t>
            </w:r>
          </w:p>
        </w:tc>
        <w:tc>
          <w:tcPr>
            <w:tcW w:w="1559" w:type="dxa"/>
            <w:vAlign w:val="center"/>
          </w:tcPr>
          <w:p w14:paraId="58FED6B4"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268,4</w:t>
            </w:r>
          </w:p>
        </w:tc>
        <w:tc>
          <w:tcPr>
            <w:tcW w:w="1417" w:type="dxa"/>
            <w:vAlign w:val="center"/>
          </w:tcPr>
          <w:p w14:paraId="437F9B92"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340,5</w:t>
            </w:r>
          </w:p>
        </w:tc>
      </w:tr>
      <w:tr w:rsidR="0087226A" w:rsidRPr="0080251F" w14:paraId="343BF3DE" w14:textId="77777777" w:rsidTr="004C2DCB">
        <w:trPr>
          <w:trHeight w:val="173"/>
        </w:trPr>
        <w:tc>
          <w:tcPr>
            <w:tcW w:w="6663" w:type="dxa"/>
            <w:vAlign w:val="center"/>
          </w:tcPr>
          <w:p w14:paraId="7AA2B067" w14:textId="77777777" w:rsidR="0087226A" w:rsidRPr="0080251F" w:rsidRDefault="0087226A" w:rsidP="003D6A19">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225 „Creanțe ale bugetului”</w:t>
            </w:r>
          </w:p>
        </w:tc>
        <w:tc>
          <w:tcPr>
            <w:tcW w:w="1559" w:type="dxa"/>
            <w:vAlign w:val="center"/>
          </w:tcPr>
          <w:p w14:paraId="4E56622B"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105,6</w:t>
            </w:r>
          </w:p>
        </w:tc>
        <w:tc>
          <w:tcPr>
            <w:tcW w:w="1417" w:type="dxa"/>
            <w:vAlign w:val="center"/>
          </w:tcPr>
          <w:p w14:paraId="6300E41C" w14:textId="1893921E"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16</w:t>
            </w:r>
            <w:r w:rsidR="003A66A7" w:rsidRPr="0080251F">
              <w:rPr>
                <w:rFonts w:ascii="Times New Roman" w:hAnsi="Times New Roman" w:cs="Times New Roman"/>
                <w:bCs/>
                <w:sz w:val="20"/>
                <w:szCs w:val="20"/>
                <w:lang w:val="ro-MD"/>
              </w:rPr>
              <w:t>.</w:t>
            </w:r>
            <w:r w:rsidRPr="0080251F">
              <w:rPr>
                <w:rFonts w:ascii="Times New Roman" w:hAnsi="Times New Roman" w:cs="Times New Roman"/>
                <w:bCs/>
                <w:sz w:val="20"/>
                <w:szCs w:val="20"/>
                <w:lang w:val="ro-MD"/>
              </w:rPr>
              <w:t>654,7</w:t>
            </w:r>
          </w:p>
        </w:tc>
      </w:tr>
      <w:tr w:rsidR="0087226A" w:rsidRPr="0080251F" w14:paraId="02BC16AD" w14:textId="77777777" w:rsidTr="004C2DCB">
        <w:trPr>
          <w:trHeight w:val="259"/>
        </w:trPr>
        <w:tc>
          <w:tcPr>
            <w:tcW w:w="6663" w:type="dxa"/>
            <w:vAlign w:val="center"/>
          </w:tcPr>
          <w:p w14:paraId="7B07627D" w14:textId="77777777" w:rsidR="0087226A" w:rsidRPr="0080251F" w:rsidRDefault="0087226A" w:rsidP="003D6A19">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226 „Creanțe ale personalului”</w:t>
            </w:r>
          </w:p>
        </w:tc>
        <w:tc>
          <w:tcPr>
            <w:tcW w:w="1559" w:type="dxa"/>
            <w:vAlign w:val="center"/>
          </w:tcPr>
          <w:p w14:paraId="655A4341"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78,4</w:t>
            </w:r>
          </w:p>
        </w:tc>
        <w:tc>
          <w:tcPr>
            <w:tcW w:w="1417" w:type="dxa"/>
            <w:vAlign w:val="center"/>
          </w:tcPr>
          <w:p w14:paraId="52D2F98A"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85,5</w:t>
            </w:r>
          </w:p>
        </w:tc>
      </w:tr>
      <w:tr w:rsidR="0087226A" w:rsidRPr="0080251F" w14:paraId="5728B0DF" w14:textId="77777777" w:rsidTr="004C2DCB">
        <w:trPr>
          <w:trHeight w:val="270"/>
        </w:trPr>
        <w:tc>
          <w:tcPr>
            <w:tcW w:w="6663" w:type="dxa"/>
            <w:vAlign w:val="center"/>
          </w:tcPr>
          <w:p w14:paraId="04BEA1C6" w14:textId="77777777" w:rsidR="0087226A" w:rsidRPr="0080251F" w:rsidRDefault="0087226A" w:rsidP="003D6A19">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231 „Creanțe privind veniturile din utilizarea de către terți a activelor entității”</w:t>
            </w:r>
          </w:p>
        </w:tc>
        <w:tc>
          <w:tcPr>
            <w:tcW w:w="1559" w:type="dxa"/>
            <w:vAlign w:val="center"/>
          </w:tcPr>
          <w:p w14:paraId="2050E1E1"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25,1</w:t>
            </w:r>
          </w:p>
        </w:tc>
        <w:tc>
          <w:tcPr>
            <w:tcW w:w="1417" w:type="dxa"/>
            <w:vAlign w:val="center"/>
          </w:tcPr>
          <w:p w14:paraId="59F64101"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56,8</w:t>
            </w:r>
          </w:p>
        </w:tc>
      </w:tr>
      <w:tr w:rsidR="0087226A" w:rsidRPr="0080251F" w14:paraId="4A834069" w14:textId="77777777" w:rsidTr="004C2DCB">
        <w:trPr>
          <w:trHeight w:val="155"/>
        </w:trPr>
        <w:tc>
          <w:tcPr>
            <w:tcW w:w="6663" w:type="dxa"/>
            <w:vAlign w:val="center"/>
          </w:tcPr>
          <w:p w14:paraId="4F163394" w14:textId="39A9E5FF" w:rsidR="0087226A" w:rsidRPr="0080251F" w:rsidRDefault="0087226A" w:rsidP="003D6A19">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232 „Creanțe prelimina</w:t>
            </w:r>
            <w:r w:rsidR="009C2EE2" w:rsidRPr="0080251F">
              <w:rPr>
                <w:rFonts w:ascii="Times New Roman" w:hAnsi="Times New Roman" w:cs="Times New Roman"/>
                <w:bCs/>
                <w:sz w:val="20"/>
                <w:szCs w:val="20"/>
                <w:lang w:val="ro-MD"/>
              </w:rPr>
              <w:t>r</w:t>
            </w:r>
            <w:r w:rsidRPr="0080251F">
              <w:rPr>
                <w:rFonts w:ascii="Times New Roman" w:hAnsi="Times New Roman" w:cs="Times New Roman"/>
                <w:bCs/>
                <w:sz w:val="20"/>
                <w:szCs w:val="20"/>
                <w:lang w:val="ro-MD"/>
              </w:rPr>
              <w:t>e”</w:t>
            </w:r>
          </w:p>
        </w:tc>
        <w:tc>
          <w:tcPr>
            <w:tcW w:w="1559" w:type="dxa"/>
            <w:vAlign w:val="center"/>
          </w:tcPr>
          <w:p w14:paraId="21C58311"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323,3</w:t>
            </w:r>
          </w:p>
        </w:tc>
        <w:tc>
          <w:tcPr>
            <w:tcW w:w="1417" w:type="dxa"/>
            <w:vAlign w:val="center"/>
          </w:tcPr>
          <w:p w14:paraId="3141F5E6" w14:textId="77777777"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30291,6</w:t>
            </w:r>
          </w:p>
        </w:tc>
      </w:tr>
      <w:tr w:rsidR="0087226A" w:rsidRPr="0080251F" w14:paraId="0C074D99" w14:textId="77777777" w:rsidTr="004C2DCB">
        <w:tc>
          <w:tcPr>
            <w:tcW w:w="6663" w:type="dxa"/>
            <w:vAlign w:val="center"/>
          </w:tcPr>
          <w:p w14:paraId="284ADD67" w14:textId="77777777" w:rsidR="0087226A" w:rsidRPr="0080251F" w:rsidRDefault="0087226A" w:rsidP="003D6A19">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234 „Alte creanțe curente”</w:t>
            </w:r>
          </w:p>
        </w:tc>
        <w:tc>
          <w:tcPr>
            <w:tcW w:w="1559" w:type="dxa"/>
            <w:vAlign w:val="center"/>
          </w:tcPr>
          <w:p w14:paraId="5B1C896A" w14:textId="08B21A26"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116</w:t>
            </w:r>
            <w:r w:rsidR="003A66A7" w:rsidRPr="0080251F">
              <w:rPr>
                <w:rFonts w:ascii="Times New Roman" w:hAnsi="Times New Roman" w:cs="Times New Roman"/>
                <w:bCs/>
                <w:sz w:val="20"/>
                <w:szCs w:val="20"/>
                <w:lang w:val="ro-MD"/>
              </w:rPr>
              <w:t>.</w:t>
            </w:r>
            <w:r w:rsidRPr="0080251F">
              <w:rPr>
                <w:rFonts w:ascii="Times New Roman" w:hAnsi="Times New Roman" w:cs="Times New Roman"/>
                <w:bCs/>
                <w:sz w:val="20"/>
                <w:szCs w:val="20"/>
                <w:lang w:val="ro-MD"/>
              </w:rPr>
              <w:t>933,6</w:t>
            </w:r>
          </w:p>
        </w:tc>
        <w:tc>
          <w:tcPr>
            <w:tcW w:w="1417" w:type="dxa"/>
            <w:vAlign w:val="center"/>
          </w:tcPr>
          <w:p w14:paraId="70D08EE8" w14:textId="16E0E0FF" w:rsidR="0087226A" w:rsidRPr="0080251F" w:rsidRDefault="0087226A" w:rsidP="003D6A19">
            <w:pPr>
              <w:spacing w:after="0"/>
              <w:jc w:val="right"/>
              <w:rPr>
                <w:rFonts w:ascii="Times New Roman" w:hAnsi="Times New Roman" w:cs="Times New Roman"/>
                <w:bCs/>
                <w:sz w:val="20"/>
                <w:szCs w:val="20"/>
                <w:lang w:val="ro-MD"/>
              </w:rPr>
            </w:pPr>
            <w:r w:rsidRPr="0080251F">
              <w:rPr>
                <w:rFonts w:ascii="Times New Roman" w:hAnsi="Times New Roman" w:cs="Times New Roman"/>
                <w:bCs/>
                <w:sz w:val="20"/>
                <w:szCs w:val="20"/>
                <w:lang w:val="ro-MD"/>
              </w:rPr>
              <w:t>119</w:t>
            </w:r>
            <w:r w:rsidR="003A66A7" w:rsidRPr="0080251F">
              <w:rPr>
                <w:rFonts w:ascii="Times New Roman" w:hAnsi="Times New Roman" w:cs="Times New Roman"/>
                <w:bCs/>
                <w:sz w:val="20"/>
                <w:szCs w:val="20"/>
                <w:lang w:val="ro-MD"/>
              </w:rPr>
              <w:t>.</w:t>
            </w:r>
            <w:r w:rsidRPr="0080251F">
              <w:rPr>
                <w:rFonts w:ascii="Times New Roman" w:hAnsi="Times New Roman" w:cs="Times New Roman"/>
                <w:bCs/>
                <w:sz w:val="20"/>
                <w:szCs w:val="20"/>
                <w:lang w:val="ro-MD"/>
              </w:rPr>
              <w:t>556,4</w:t>
            </w:r>
          </w:p>
        </w:tc>
      </w:tr>
      <w:tr w:rsidR="0087226A" w:rsidRPr="0080251F" w14:paraId="2478AEAB" w14:textId="77777777" w:rsidTr="004C2DCB">
        <w:tc>
          <w:tcPr>
            <w:tcW w:w="6663" w:type="dxa"/>
          </w:tcPr>
          <w:p w14:paraId="0F38AF0A" w14:textId="77777777" w:rsidR="0087226A" w:rsidRPr="0080251F" w:rsidRDefault="0087226A" w:rsidP="003D6A19">
            <w:pPr>
              <w:spacing w:after="0"/>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Total</w:t>
            </w:r>
          </w:p>
        </w:tc>
        <w:tc>
          <w:tcPr>
            <w:tcW w:w="1559" w:type="dxa"/>
            <w:vAlign w:val="center"/>
          </w:tcPr>
          <w:p w14:paraId="0C9FDEEA" w14:textId="4AF1D25D" w:rsidR="0087226A" w:rsidRPr="0080251F" w:rsidRDefault="0087226A" w:rsidP="003D6A19">
            <w:pPr>
              <w:spacing w:after="0"/>
              <w:jc w:val="right"/>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117</w:t>
            </w:r>
            <w:r w:rsidR="003A66A7" w:rsidRPr="0080251F">
              <w:rPr>
                <w:rFonts w:ascii="Times New Roman" w:hAnsi="Times New Roman" w:cs="Times New Roman"/>
                <w:b/>
                <w:bCs/>
                <w:sz w:val="20"/>
                <w:szCs w:val="20"/>
                <w:lang w:val="ro-MD"/>
              </w:rPr>
              <w:t>.</w:t>
            </w:r>
            <w:r w:rsidRPr="0080251F">
              <w:rPr>
                <w:rFonts w:ascii="Times New Roman" w:hAnsi="Times New Roman" w:cs="Times New Roman"/>
                <w:b/>
                <w:bCs/>
                <w:sz w:val="20"/>
                <w:szCs w:val="20"/>
                <w:lang w:val="ro-MD"/>
              </w:rPr>
              <w:t>735,3</w:t>
            </w:r>
          </w:p>
        </w:tc>
        <w:tc>
          <w:tcPr>
            <w:tcW w:w="1417" w:type="dxa"/>
            <w:vAlign w:val="center"/>
          </w:tcPr>
          <w:p w14:paraId="6C376709" w14:textId="54B9DE91" w:rsidR="0087226A" w:rsidRPr="0080251F" w:rsidRDefault="0087226A" w:rsidP="003D6A19">
            <w:pPr>
              <w:spacing w:after="0"/>
              <w:jc w:val="right"/>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166</w:t>
            </w:r>
            <w:r w:rsidR="003A66A7" w:rsidRPr="0080251F">
              <w:rPr>
                <w:rFonts w:ascii="Times New Roman" w:hAnsi="Times New Roman" w:cs="Times New Roman"/>
                <w:b/>
                <w:bCs/>
                <w:sz w:val="20"/>
                <w:szCs w:val="20"/>
                <w:lang w:val="ro-MD"/>
              </w:rPr>
              <w:t>.</w:t>
            </w:r>
            <w:r w:rsidRPr="0080251F">
              <w:rPr>
                <w:rFonts w:ascii="Times New Roman" w:hAnsi="Times New Roman" w:cs="Times New Roman"/>
                <w:b/>
                <w:bCs/>
                <w:sz w:val="20"/>
                <w:szCs w:val="20"/>
                <w:lang w:val="ro-MD"/>
              </w:rPr>
              <w:t>985,5</w:t>
            </w:r>
          </w:p>
        </w:tc>
      </w:tr>
    </w:tbl>
    <w:p w14:paraId="44D1AD43" w14:textId="127AAB55" w:rsidR="0087226A" w:rsidRPr="0080251F" w:rsidRDefault="000D00CE" w:rsidP="00AF37ED">
      <w:pPr>
        <w:spacing w:after="240"/>
        <w:jc w:val="both"/>
        <w:rPr>
          <w:rFonts w:ascii="Times New Roman" w:hAnsi="Times New Roman" w:cs="Times New Roman"/>
          <w:bCs/>
          <w:i/>
          <w:sz w:val="20"/>
          <w:szCs w:val="20"/>
          <w:lang w:val="ro-MD"/>
        </w:rPr>
      </w:pPr>
      <w:r w:rsidRPr="0080251F">
        <w:rPr>
          <w:rFonts w:ascii="Times New Roman" w:hAnsi="Times New Roman" w:cs="Times New Roman"/>
          <w:b/>
          <w:bCs/>
          <w:i/>
          <w:sz w:val="20"/>
          <w:szCs w:val="20"/>
          <w:lang w:val="ro-MD"/>
        </w:rPr>
        <w:t>Sursă:</w:t>
      </w:r>
      <w:r w:rsidRPr="0080251F">
        <w:rPr>
          <w:rFonts w:ascii="Times New Roman" w:hAnsi="Times New Roman" w:cs="Times New Roman"/>
          <w:bCs/>
          <w:i/>
          <w:sz w:val="20"/>
          <w:szCs w:val="20"/>
          <w:lang w:val="ro-MD"/>
        </w:rPr>
        <w:t xml:space="preserve"> D</w:t>
      </w:r>
      <w:r w:rsidR="0087226A" w:rsidRPr="0080251F">
        <w:rPr>
          <w:rFonts w:ascii="Times New Roman" w:hAnsi="Times New Roman" w:cs="Times New Roman"/>
          <w:bCs/>
          <w:i/>
          <w:sz w:val="20"/>
          <w:szCs w:val="20"/>
          <w:lang w:val="ro-MD"/>
        </w:rPr>
        <w:t>atele evidenței contabile pentru anii 2021-2022.</w:t>
      </w:r>
    </w:p>
    <w:p w14:paraId="6D958F6B" w14:textId="1E990CFB" w:rsidR="00781B6D" w:rsidRPr="0080251F" w:rsidRDefault="00781B6D" w:rsidP="009E0928">
      <w:pPr>
        <w:tabs>
          <w:tab w:val="left" w:pos="567"/>
          <w:tab w:val="left" w:pos="709"/>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 xml:space="preserve">Cea mai mare pondere în structura creanțelor au </w:t>
      </w:r>
      <w:r w:rsidR="00201D0E" w:rsidRPr="0080251F">
        <w:rPr>
          <w:rFonts w:ascii="Times New Roman" w:hAnsi="Times New Roman" w:cs="Times New Roman"/>
          <w:bCs/>
          <w:sz w:val="24"/>
          <w:szCs w:val="24"/>
          <w:lang w:val="ro-MD"/>
        </w:rPr>
        <w:t>deținut-o</w:t>
      </w:r>
      <w:r w:rsidRPr="0080251F">
        <w:rPr>
          <w:rFonts w:ascii="Times New Roman" w:hAnsi="Times New Roman" w:cs="Times New Roman"/>
          <w:bCs/>
          <w:sz w:val="24"/>
          <w:szCs w:val="24"/>
          <w:lang w:val="ro-MD"/>
        </w:rPr>
        <w:t xml:space="preserve"> creanțele înregistrate la contul 234 „Alte creanțe curente” î</w:t>
      </w:r>
      <w:r w:rsidR="00A3368D" w:rsidRPr="0080251F">
        <w:rPr>
          <w:rFonts w:ascii="Times New Roman" w:hAnsi="Times New Roman" w:cs="Times New Roman"/>
          <w:bCs/>
          <w:sz w:val="24"/>
          <w:szCs w:val="24"/>
          <w:lang w:val="ro-MD"/>
        </w:rPr>
        <w:t>n sumă de 119,5 mil. lei (sau 71,5</w:t>
      </w:r>
      <w:r w:rsidRPr="0080251F">
        <w:rPr>
          <w:rFonts w:ascii="Times New Roman" w:hAnsi="Times New Roman" w:cs="Times New Roman"/>
          <w:bCs/>
          <w:sz w:val="24"/>
          <w:szCs w:val="24"/>
          <w:lang w:val="ro-MD"/>
        </w:rPr>
        <w:t>% din to</w:t>
      </w:r>
      <w:r w:rsidR="00A3368D" w:rsidRPr="0080251F">
        <w:rPr>
          <w:rFonts w:ascii="Times New Roman" w:hAnsi="Times New Roman" w:cs="Times New Roman"/>
          <w:bCs/>
          <w:sz w:val="24"/>
          <w:szCs w:val="24"/>
          <w:lang w:val="ro-MD"/>
        </w:rPr>
        <w:t>talul creanțelor), din care 82,8</w:t>
      </w:r>
      <w:r w:rsidRPr="0080251F">
        <w:rPr>
          <w:rFonts w:ascii="Times New Roman" w:hAnsi="Times New Roman" w:cs="Times New Roman"/>
          <w:bCs/>
          <w:sz w:val="24"/>
          <w:szCs w:val="24"/>
          <w:lang w:val="ro-MD"/>
        </w:rPr>
        <w:t>%</w:t>
      </w:r>
      <w:r w:rsidR="00201D0E"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 xml:space="preserve"> sau 99,0 mil. lei</w:t>
      </w:r>
      <w:r w:rsidR="00201D0E"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a</w:t>
      </w:r>
      <w:r w:rsidR="00201D0E" w:rsidRPr="0080251F">
        <w:rPr>
          <w:rFonts w:ascii="Times New Roman" w:hAnsi="Times New Roman" w:cs="Times New Roman"/>
          <w:bCs/>
          <w:sz w:val="24"/>
          <w:szCs w:val="24"/>
          <w:lang w:val="ro-MD"/>
        </w:rPr>
        <w:t>u</w:t>
      </w:r>
      <w:r w:rsidRPr="0080251F">
        <w:rPr>
          <w:rFonts w:ascii="Times New Roman" w:hAnsi="Times New Roman" w:cs="Times New Roman"/>
          <w:bCs/>
          <w:sz w:val="24"/>
          <w:szCs w:val="24"/>
          <w:lang w:val="ro-MD"/>
        </w:rPr>
        <w:t xml:space="preserve"> constituit datoria </w:t>
      </w:r>
      <w:r w:rsidR="00FD0BE2" w:rsidRPr="0080251F">
        <w:rPr>
          <w:rFonts w:ascii="Times New Roman" w:hAnsi="Times New Roman" w:cs="Times New Roman"/>
          <w:bCs/>
          <w:sz w:val="24"/>
          <w:szCs w:val="24"/>
          <w:lang w:val="ro-MD"/>
        </w:rPr>
        <w:t xml:space="preserve">curentă </w:t>
      </w:r>
      <w:r w:rsidR="00201D0E" w:rsidRPr="0080251F">
        <w:rPr>
          <w:rFonts w:ascii="Times New Roman" w:hAnsi="Times New Roman" w:cs="Times New Roman"/>
          <w:bCs/>
          <w:sz w:val="24"/>
          <w:szCs w:val="24"/>
          <w:lang w:val="ro-MD"/>
        </w:rPr>
        <w:t xml:space="preserve">a </w:t>
      </w:r>
      <w:r w:rsidRPr="0080251F">
        <w:rPr>
          <w:rFonts w:ascii="Times New Roman" w:hAnsi="Times New Roman" w:cs="Times New Roman"/>
          <w:bCs/>
          <w:sz w:val="24"/>
          <w:szCs w:val="24"/>
          <w:lang w:val="ro-MD"/>
        </w:rPr>
        <w:t>S.A. „FEE-Nord” pentru serviciile de distribuție a energiei electrice. Totodată</w:t>
      </w:r>
      <w:r w:rsidR="004B0D24" w:rsidRPr="0080251F">
        <w:rPr>
          <w:rFonts w:ascii="Times New Roman" w:hAnsi="Times New Roman" w:cs="Times New Roman"/>
          <w:bCs/>
          <w:sz w:val="24"/>
          <w:szCs w:val="24"/>
          <w:lang w:val="ro-MD"/>
        </w:rPr>
        <w:t>,</w:t>
      </w:r>
      <w:r w:rsidR="00A3368D" w:rsidRPr="0080251F">
        <w:rPr>
          <w:rFonts w:ascii="Times New Roman" w:hAnsi="Times New Roman" w:cs="Times New Roman"/>
          <w:bCs/>
          <w:sz w:val="24"/>
          <w:szCs w:val="24"/>
          <w:lang w:val="ro-MD"/>
        </w:rPr>
        <w:t xml:space="preserve"> 14,7</w:t>
      </w:r>
      <w:r w:rsidRPr="0080251F">
        <w:rPr>
          <w:rFonts w:ascii="Times New Roman" w:hAnsi="Times New Roman" w:cs="Times New Roman"/>
          <w:bCs/>
          <w:sz w:val="24"/>
          <w:szCs w:val="24"/>
          <w:lang w:val="ro-MD"/>
        </w:rPr>
        <w:t>% din totalul altor creanțe curente</w:t>
      </w:r>
      <w:r w:rsidR="00201D0E"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sau 17,6 mil. lei</w:t>
      </w:r>
      <w:r w:rsidR="00201D0E"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sunt creanțele aferente obligațiilor </w:t>
      </w:r>
      <w:r w:rsidR="004B0D24" w:rsidRPr="0080251F">
        <w:rPr>
          <w:rFonts w:ascii="Times New Roman" w:hAnsi="Times New Roman" w:cs="Times New Roman"/>
          <w:bCs/>
          <w:sz w:val="24"/>
          <w:szCs w:val="24"/>
          <w:lang w:val="ro-MD"/>
        </w:rPr>
        <w:t>persoanelor fizice și juridice</w:t>
      </w:r>
      <w:r w:rsidR="007B64B0" w:rsidRPr="0080251F">
        <w:rPr>
          <w:rStyle w:val="a5"/>
          <w:rFonts w:ascii="Times New Roman" w:hAnsi="Times New Roman" w:cs="Times New Roman"/>
          <w:bCs/>
          <w:sz w:val="24"/>
          <w:szCs w:val="24"/>
          <w:lang w:val="ro-MD"/>
        </w:rPr>
        <w:footnoteReference w:id="43"/>
      </w:r>
      <w:r w:rsidRPr="0080251F">
        <w:rPr>
          <w:rFonts w:ascii="Times New Roman" w:hAnsi="Times New Roman" w:cs="Times New Roman"/>
          <w:bCs/>
          <w:sz w:val="24"/>
          <w:szCs w:val="24"/>
          <w:lang w:val="ro-MD"/>
        </w:rPr>
        <w:t xml:space="preserve">, asupra cărora S.A. „RED-Nord” </w:t>
      </w:r>
      <w:r w:rsidR="004B0D24" w:rsidRPr="0080251F">
        <w:rPr>
          <w:rFonts w:ascii="Times New Roman" w:hAnsi="Times New Roman" w:cs="Times New Roman"/>
          <w:bCs/>
          <w:sz w:val="24"/>
          <w:szCs w:val="24"/>
          <w:lang w:val="ro-MD"/>
        </w:rPr>
        <w:t>deține</w:t>
      </w:r>
      <w:r w:rsidR="00F92EEC" w:rsidRPr="0080251F">
        <w:rPr>
          <w:rFonts w:ascii="Times New Roman" w:hAnsi="Times New Roman" w:cs="Times New Roman"/>
          <w:bCs/>
          <w:sz w:val="24"/>
          <w:szCs w:val="24"/>
          <w:lang w:val="ro-MD"/>
        </w:rPr>
        <w:t xml:space="preserve"> 96</w:t>
      </w:r>
      <w:r w:rsidR="004B0D24" w:rsidRPr="0080251F">
        <w:rPr>
          <w:rFonts w:ascii="Times New Roman" w:hAnsi="Times New Roman" w:cs="Times New Roman"/>
          <w:bCs/>
          <w:sz w:val="24"/>
          <w:szCs w:val="24"/>
          <w:lang w:val="ro-MD"/>
        </w:rPr>
        <w:t xml:space="preserve"> </w:t>
      </w:r>
      <w:r w:rsidR="00201D0E" w:rsidRPr="0080251F">
        <w:rPr>
          <w:rFonts w:ascii="Times New Roman" w:hAnsi="Times New Roman" w:cs="Times New Roman"/>
          <w:bCs/>
          <w:sz w:val="24"/>
          <w:szCs w:val="24"/>
          <w:lang w:val="ro-MD"/>
        </w:rPr>
        <w:t xml:space="preserve">de </w:t>
      </w:r>
      <w:r w:rsidR="00F92EEC" w:rsidRPr="0080251F">
        <w:rPr>
          <w:rFonts w:ascii="Times New Roman" w:hAnsi="Times New Roman" w:cs="Times New Roman"/>
          <w:bCs/>
          <w:sz w:val="24"/>
          <w:szCs w:val="24"/>
          <w:lang w:val="ro-MD"/>
        </w:rPr>
        <w:t>hotărâri definitive</w:t>
      </w:r>
      <w:r w:rsidR="004B0D24" w:rsidRPr="0080251F">
        <w:rPr>
          <w:rFonts w:ascii="Times New Roman" w:hAnsi="Times New Roman" w:cs="Times New Roman"/>
          <w:bCs/>
          <w:sz w:val="24"/>
          <w:szCs w:val="24"/>
          <w:lang w:val="ro-MD"/>
        </w:rPr>
        <w:t xml:space="preserve"> de încasare </w:t>
      </w:r>
      <w:r w:rsidR="00F92EEC" w:rsidRPr="0080251F">
        <w:rPr>
          <w:rFonts w:ascii="Times New Roman" w:hAnsi="Times New Roman" w:cs="Times New Roman"/>
          <w:bCs/>
          <w:sz w:val="24"/>
          <w:szCs w:val="24"/>
          <w:lang w:val="ro-MD"/>
        </w:rPr>
        <w:t>a datoriilor</w:t>
      </w:r>
      <w:r w:rsidR="00B57E90" w:rsidRPr="0080251F">
        <w:rPr>
          <w:rStyle w:val="a5"/>
          <w:rFonts w:ascii="Times New Roman" w:hAnsi="Times New Roman" w:cs="Times New Roman"/>
          <w:bCs/>
          <w:sz w:val="24"/>
          <w:szCs w:val="24"/>
          <w:lang w:val="ro-MD"/>
        </w:rPr>
        <w:footnoteReference w:id="44"/>
      </w:r>
      <w:r w:rsidR="00F92EEC" w:rsidRPr="0080251F">
        <w:rPr>
          <w:rFonts w:ascii="Times New Roman" w:hAnsi="Times New Roman" w:cs="Times New Roman"/>
          <w:bCs/>
          <w:sz w:val="24"/>
          <w:szCs w:val="24"/>
          <w:lang w:val="ro-MD"/>
        </w:rPr>
        <w:t>, iar  pentru 17 debitori insolvabili</w:t>
      </w:r>
      <w:r w:rsidR="00150468" w:rsidRPr="0080251F">
        <w:rPr>
          <w:rFonts w:ascii="Times New Roman" w:hAnsi="Times New Roman" w:cs="Times New Roman"/>
          <w:bCs/>
          <w:sz w:val="24"/>
          <w:szCs w:val="24"/>
          <w:vertAlign w:val="superscript"/>
          <w:lang w:val="ro-MD"/>
        </w:rPr>
        <w:footnoteReference w:id="45"/>
      </w:r>
      <w:r w:rsidR="00F92EEC"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acțiuni</w:t>
      </w:r>
      <w:r w:rsidR="00F92EEC" w:rsidRPr="0080251F">
        <w:rPr>
          <w:rFonts w:ascii="Times New Roman" w:hAnsi="Times New Roman" w:cs="Times New Roman"/>
          <w:bCs/>
          <w:sz w:val="24"/>
          <w:szCs w:val="24"/>
          <w:lang w:val="ro-MD"/>
        </w:rPr>
        <w:t>le</w:t>
      </w:r>
      <w:r w:rsidRPr="0080251F">
        <w:rPr>
          <w:rFonts w:ascii="Times New Roman" w:hAnsi="Times New Roman" w:cs="Times New Roman"/>
          <w:bCs/>
          <w:sz w:val="24"/>
          <w:szCs w:val="24"/>
          <w:lang w:val="ro-MD"/>
        </w:rPr>
        <w:t xml:space="preserve"> civile </w:t>
      </w:r>
      <w:r w:rsidR="00F92EEC" w:rsidRPr="0080251F">
        <w:rPr>
          <w:rFonts w:ascii="Times New Roman" w:hAnsi="Times New Roman" w:cs="Times New Roman"/>
          <w:bCs/>
          <w:sz w:val="24"/>
          <w:szCs w:val="24"/>
          <w:lang w:val="ro-MD"/>
        </w:rPr>
        <w:t xml:space="preserve">se află în examinare </w:t>
      </w:r>
      <w:r w:rsidRPr="0080251F">
        <w:rPr>
          <w:rFonts w:ascii="Times New Roman" w:hAnsi="Times New Roman" w:cs="Times New Roman"/>
          <w:bCs/>
          <w:sz w:val="24"/>
          <w:szCs w:val="24"/>
          <w:lang w:val="ro-MD"/>
        </w:rPr>
        <w:t>în instanța de judecată</w:t>
      </w:r>
      <w:r w:rsidR="00663C70"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Aceste creanțe s-au format de la </w:t>
      </w:r>
      <w:r w:rsidR="00150468" w:rsidRPr="0080251F">
        <w:rPr>
          <w:rFonts w:ascii="Times New Roman" w:hAnsi="Times New Roman" w:cs="Times New Roman"/>
          <w:bCs/>
          <w:sz w:val="24"/>
          <w:szCs w:val="24"/>
          <w:lang w:val="ro-MD"/>
        </w:rPr>
        <w:t>acordarea</w:t>
      </w:r>
      <w:r w:rsidRPr="0080251F">
        <w:rPr>
          <w:rFonts w:ascii="Times New Roman" w:hAnsi="Times New Roman" w:cs="Times New Roman"/>
          <w:bCs/>
          <w:sz w:val="24"/>
          <w:szCs w:val="24"/>
          <w:lang w:val="ro-MD"/>
        </w:rPr>
        <w:t xml:space="preserve"> serviciilor de distribuție/livrare a energiei electrice</w:t>
      </w:r>
      <w:r w:rsidR="00F92EEC" w:rsidRPr="0080251F">
        <w:rPr>
          <w:rFonts w:ascii="Times New Roman" w:hAnsi="Times New Roman" w:cs="Times New Roman"/>
          <w:sz w:val="16"/>
          <w:szCs w:val="16"/>
          <w:lang w:val="ro-MD"/>
        </w:rPr>
        <w:t xml:space="preserve">, </w:t>
      </w:r>
      <w:r w:rsidR="00F92EEC" w:rsidRPr="0080251F">
        <w:rPr>
          <w:rFonts w:ascii="Times New Roman" w:hAnsi="Times New Roman" w:cs="Times New Roman"/>
          <w:sz w:val="24"/>
          <w:szCs w:val="24"/>
          <w:lang w:val="ro-MD"/>
        </w:rPr>
        <w:t xml:space="preserve">care au fost </w:t>
      </w:r>
      <w:r w:rsidR="00F92EEC" w:rsidRPr="0080251F">
        <w:rPr>
          <w:rFonts w:ascii="Times New Roman" w:hAnsi="Times New Roman" w:cs="Times New Roman"/>
          <w:bCs/>
          <w:sz w:val="24"/>
          <w:szCs w:val="24"/>
          <w:lang w:val="ro-MD"/>
        </w:rPr>
        <w:t xml:space="preserve">prestate </w:t>
      </w:r>
      <w:r w:rsidR="00150468" w:rsidRPr="0080251F">
        <w:rPr>
          <w:rFonts w:ascii="Times New Roman" w:hAnsi="Times New Roman" w:cs="Times New Roman"/>
          <w:bCs/>
          <w:sz w:val="24"/>
          <w:szCs w:val="24"/>
          <w:lang w:val="ro-MD"/>
        </w:rPr>
        <w:t xml:space="preserve">de către </w:t>
      </w:r>
      <w:r w:rsidR="00F92EEC" w:rsidRPr="0080251F">
        <w:rPr>
          <w:rFonts w:ascii="Times New Roman" w:hAnsi="Times New Roman" w:cs="Times New Roman"/>
          <w:bCs/>
          <w:sz w:val="24"/>
          <w:szCs w:val="24"/>
          <w:lang w:val="ro-MD"/>
        </w:rPr>
        <w:t>S.A. „RED-Nord” până la data reorganizării și creării S.A. „FEE-Nord”.</w:t>
      </w:r>
      <w:r w:rsidR="00150468"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Deoarece aceste creanțe sunt compromise, S.A. „R</w:t>
      </w:r>
      <w:r w:rsidR="00AC2EA3" w:rsidRPr="0080251F">
        <w:rPr>
          <w:rFonts w:ascii="Times New Roman" w:hAnsi="Times New Roman" w:cs="Times New Roman"/>
          <w:bCs/>
          <w:sz w:val="24"/>
          <w:szCs w:val="24"/>
          <w:lang w:val="ro-MD"/>
        </w:rPr>
        <w:t>ED</w:t>
      </w:r>
      <w:r w:rsidRPr="0080251F">
        <w:rPr>
          <w:rFonts w:ascii="Times New Roman" w:hAnsi="Times New Roman" w:cs="Times New Roman"/>
          <w:bCs/>
          <w:sz w:val="24"/>
          <w:szCs w:val="24"/>
          <w:lang w:val="ro-MD"/>
        </w:rPr>
        <w:t>-Nord” a format provizioane, acestea fiind reflectate la contul 222 „Corecții (provizioane) privind creanțele compromise” la sfârșitul anului 2022 în sumă totală de 17,6 mil. lei.</w:t>
      </w:r>
    </w:p>
    <w:p w14:paraId="13889E86" w14:textId="7093B63F" w:rsidR="001D782E" w:rsidRPr="0080251F" w:rsidRDefault="008D169E" w:rsidP="0006122D">
      <w:pPr>
        <w:spacing w:after="0" w:line="276" w:lineRule="auto"/>
        <w:ind w:firstLine="709"/>
        <w:jc w:val="both"/>
        <w:rPr>
          <w:rFonts w:ascii="Times New Roman" w:hAnsi="Times New Roman" w:cs="Times New Roman"/>
          <w:i/>
          <w:sz w:val="24"/>
          <w:szCs w:val="24"/>
          <w:lang w:val="ro-MD"/>
        </w:rPr>
      </w:pPr>
      <w:r w:rsidRPr="0080251F">
        <w:rPr>
          <w:rFonts w:ascii="Times New Roman" w:hAnsi="Times New Roman" w:cs="Times New Roman"/>
          <w:i/>
          <w:sz w:val="24"/>
          <w:szCs w:val="24"/>
          <w:lang w:val="ro-MD"/>
        </w:rPr>
        <w:t xml:space="preserve">Soldul datoriilor s-a înregistrat conform, în baza sumelor debursate și rambursate pe parcursul </w:t>
      </w:r>
      <w:r w:rsidR="00AF01E4" w:rsidRPr="0080251F">
        <w:rPr>
          <w:rFonts w:ascii="Times New Roman" w:hAnsi="Times New Roman" w:cs="Times New Roman"/>
          <w:i/>
          <w:sz w:val="24"/>
          <w:szCs w:val="24"/>
          <w:lang w:val="ro-MD"/>
        </w:rPr>
        <w:t>perioad</w:t>
      </w:r>
      <w:r w:rsidRPr="0080251F">
        <w:rPr>
          <w:rFonts w:ascii="Times New Roman" w:hAnsi="Times New Roman" w:cs="Times New Roman"/>
          <w:i/>
          <w:sz w:val="24"/>
          <w:szCs w:val="24"/>
          <w:lang w:val="ro-MD"/>
        </w:rPr>
        <w:t>ei de acțiune a contractului de credit, contractelor de achiziție a materialelor, mărfurilor și lucrărilor de reparație, facturilor fiscale înregistrate în evidența contabilă, plăților efectuate, documentelor primare de evidență contabilă</w:t>
      </w:r>
      <w:r w:rsidRPr="0080251F">
        <w:rPr>
          <w:rFonts w:ascii="Times New Roman" w:hAnsi="Times New Roman" w:cs="Times New Roman"/>
          <w:i/>
          <w:sz w:val="24"/>
          <w:szCs w:val="24"/>
          <w:vertAlign w:val="superscript"/>
          <w:lang w:val="ro-MD"/>
        </w:rPr>
        <w:footnoteReference w:id="46"/>
      </w:r>
      <w:r w:rsidRPr="0080251F">
        <w:rPr>
          <w:rFonts w:ascii="Times New Roman" w:hAnsi="Times New Roman" w:cs="Times New Roman"/>
          <w:i/>
          <w:sz w:val="24"/>
          <w:szCs w:val="24"/>
          <w:lang w:val="ro-MD"/>
        </w:rPr>
        <w:t>, hotărârilor instanței de judecată și titlurilor executorii</w:t>
      </w:r>
      <w:r w:rsidR="00AF01E4" w:rsidRPr="0080251F">
        <w:rPr>
          <w:rFonts w:ascii="Times New Roman" w:hAnsi="Times New Roman" w:cs="Times New Roman"/>
          <w:i/>
          <w:sz w:val="24"/>
          <w:szCs w:val="24"/>
          <w:lang w:val="ro-MD"/>
        </w:rPr>
        <w:t>, precum</w:t>
      </w:r>
      <w:r w:rsidRPr="0080251F">
        <w:rPr>
          <w:rFonts w:ascii="Times New Roman" w:hAnsi="Times New Roman" w:cs="Times New Roman"/>
          <w:i/>
          <w:sz w:val="24"/>
          <w:szCs w:val="24"/>
          <w:lang w:val="ro-MD"/>
        </w:rPr>
        <w:t xml:space="preserve"> și actelor de verificare a decontărilor semnate la finele anului de gestiune cu furnizorii.</w:t>
      </w:r>
    </w:p>
    <w:p w14:paraId="1A92025C" w14:textId="6DC39083" w:rsidR="00435CBC" w:rsidRPr="0080251F" w:rsidRDefault="00A3368D" w:rsidP="00435CBC">
      <w:pPr>
        <w:tabs>
          <w:tab w:val="left" w:pos="567"/>
          <w:tab w:val="left" w:pos="851"/>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Datoriile</w:t>
      </w:r>
      <w:r w:rsidR="00435CBC" w:rsidRPr="0080251F">
        <w:rPr>
          <w:rFonts w:ascii="Times New Roman" w:hAnsi="Times New Roman" w:cs="Times New Roman"/>
          <w:bCs/>
          <w:sz w:val="24"/>
          <w:szCs w:val="24"/>
          <w:lang w:val="ro-MD"/>
        </w:rPr>
        <w:t xml:space="preserve"> au fost supuse inventarierii anuale și confirmate prin procesele-verbale de constatare a rezultatelor inventarierii.</w:t>
      </w:r>
    </w:p>
    <w:p w14:paraId="6AFF35C7" w14:textId="74BD7EC8" w:rsidR="00A1348F" w:rsidRPr="0080251F" w:rsidRDefault="00915730" w:rsidP="005C5A78">
      <w:pPr>
        <w:tabs>
          <w:tab w:val="left" w:pos="567"/>
          <w:tab w:val="left" w:pos="851"/>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 xml:space="preserve">La finele anului 2022, datoriile pe termen </w:t>
      </w:r>
      <w:r w:rsidR="007C18BE" w:rsidRPr="0080251F">
        <w:rPr>
          <w:rFonts w:ascii="Times New Roman" w:hAnsi="Times New Roman" w:cs="Times New Roman"/>
          <w:bCs/>
          <w:sz w:val="24"/>
          <w:szCs w:val="24"/>
          <w:lang w:val="ro-MD"/>
        </w:rPr>
        <w:t xml:space="preserve">lung </w:t>
      </w:r>
      <w:r w:rsidRPr="0080251F">
        <w:rPr>
          <w:rFonts w:ascii="Times New Roman" w:hAnsi="Times New Roman" w:cs="Times New Roman"/>
          <w:bCs/>
          <w:sz w:val="24"/>
          <w:szCs w:val="24"/>
          <w:lang w:val="ro-MD"/>
        </w:rPr>
        <w:t>ale întreprinderii a</w:t>
      </w:r>
      <w:r w:rsidR="00AF01E4" w:rsidRPr="0080251F">
        <w:rPr>
          <w:rFonts w:ascii="Times New Roman" w:hAnsi="Times New Roman" w:cs="Times New Roman"/>
          <w:bCs/>
          <w:sz w:val="24"/>
          <w:szCs w:val="24"/>
          <w:lang w:val="ro-MD"/>
        </w:rPr>
        <w:t>u</w:t>
      </w:r>
      <w:r w:rsidRPr="0080251F">
        <w:rPr>
          <w:rFonts w:ascii="Times New Roman" w:hAnsi="Times New Roman" w:cs="Times New Roman"/>
          <w:bCs/>
          <w:sz w:val="24"/>
          <w:szCs w:val="24"/>
          <w:lang w:val="ro-MD"/>
        </w:rPr>
        <w:t xml:space="preserve"> constituit 142,8 mil. lei</w:t>
      </w:r>
      <w:r w:rsidR="00AF01E4" w:rsidRPr="0080251F">
        <w:rPr>
          <w:rFonts w:ascii="Times New Roman" w:hAnsi="Times New Roman" w:cs="Times New Roman"/>
          <w:b/>
          <w:bCs/>
          <w:sz w:val="24"/>
          <w:szCs w:val="24"/>
          <w:lang w:val="ro-MD"/>
        </w:rPr>
        <w:t xml:space="preserve">, </w:t>
      </w:r>
      <w:r w:rsidR="00AF01E4" w:rsidRPr="0080251F">
        <w:rPr>
          <w:rFonts w:ascii="Times New Roman" w:hAnsi="Times New Roman" w:cs="Times New Roman"/>
          <w:bCs/>
          <w:sz w:val="24"/>
          <w:szCs w:val="24"/>
          <w:lang w:val="ro-MD"/>
        </w:rPr>
        <w:t>micșorându-se, față de</w:t>
      </w:r>
      <w:r w:rsidRPr="0080251F">
        <w:rPr>
          <w:rFonts w:ascii="Times New Roman" w:hAnsi="Times New Roman" w:cs="Times New Roman"/>
          <w:bCs/>
          <w:sz w:val="24"/>
          <w:szCs w:val="24"/>
          <w:lang w:val="ro-MD"/>
        </w:rPr>
        <w:t xml:space="preserve"> anul 2021, cu 35,4 mil. lei, </w:t>
      </w:r>
      <w:r w:rsidR="00A3368D" w:rsidRPr="0080251F">
        <w:rPr>
          <w:rFonts w:ascii="Times New Roman" w:hAnsi="Times New Roman" w:cs="Times New Roman"/>
          <w:bCs/>
          <w:sz w:val="24"/>
          <w:szCs w:val="24"/>
          <w:lang w:val="ro-MD"/>
        </w:rPr>
        <w:t>descreșterea</w:t>
      </w:r>
      <w:r w:rsidRPr="0080251F">
        <w:rPr>
          <w:rFonts w:ascii="Times New Roman" w:hAnsi="Times New Roman" w:cs="Times New Roman"/>
          <w:bCs/>
          <w:sz w:val="24"/>
          <w:szCs w:val="24"/>
          <w:lang w:val="ro-MD"/>
        </w:rPr>
        <w:t xml:space="preserve"> fiind determinată</w:t>
      </w:r>
      <w:r w:rsidR="00C47DCE"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în special</w:t>
      </w:r>
      <w:r w:rsidR="00C47DCE"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de următorii factori economico-financiari: </w:t>
      </w:r>
      <w:r w:rsidR="007C18BE" w:rsidRPr="0080251F">
        <w:rPr>
          <w:rFonts w:ascii="Times New Roman" w:hAnsi="Times New Roman" w:cs="Times New Roman"/>
          <w:bCs/>
          <w:sz w:val="24"/>
          <w:szCs w:val="24"/>
          <w:lang w:val="ro-MD"/>
        </w:rPr>
        <w:t>descreșterea veniturilor anticipate pe termen lung (contul 424) – cu 1,3 mil. lei (valoarea</w:t>
      </w:r>
      <w:r w:rsidR="00925209" w:rsidRPr="0080251F">
        <w:rPr>
          <w:rFonts w:ascii="Times New Roman" w:hAnsi="Times New Roman" w:cs="Times New Roman"/>
          <w:bCs/>
          <w:sz w:val="24"/>
          <w:szCs w:val="24"/>
          <w:lang w:val="ro-MD"/>
        </w:rPr>
        <w:t xml:space="preserve"> amortizării</w:t>
      </w:r>
      <w:r w:rsidR="007C18BE" w:rsidRPr="0080251F">
        <w:rPr>
          <w:rFonts w:ascii="Times New Roman" w:hAnsi="Times New Roman" w:cs="Times New Roman"/>
          <w:bCs/>
          <w:sz w:val="24"/>
          <w:szCs w:val="24"/>
          <w:lang w:val="ro-MD"/>
        </w:rPr>
        <w:t xml:space="preserve"> acumulate anual de la mijloace fixe primite cu titlu gratuit); descreșterea finanțărilor cu destinație specială pe termen lung (contul 425) – cu 34,1 mil. lei (impozitul amânat de la: mijloacele fixe reevaluate; provizioanele pentru concedii, creanțe și stocuri; devierile tarifare negative)</w:t>
      </w:r>
      <w:r w:rsidRPr="0080251F">
        <w:rPr>
          <w:rFonts w:ascii="Times New Roman" w:hAnsi="Times New Roman" w:cs="Times New Roman"/>
          <w:bCs/>
          <w:sz w:val="24"/>
          <w:szCs w:val="24"/>
          <w:lang w:val="ro-MD"/>
        </w:rPr>
        <w:t>.</w:t>
      </w:r>
    </w:p>
    <w:p w14:paraId="3B363694" w14:textId="77777777" w:rsidR="008B5C01" w:rsidRPr="0080251F" w:rsidRDefault="008B5C01" w:rsidP="008B5C01">
      <w:pPr>
        <w:spacing w:after="0" w:line="276" w:lineRule="auto"/>
        <w:jc w:val="right"/>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Tabelul nr.6</w:t>
      </w:r>
    </w:p>
    <w:p w14:paraId="74DD996E" w14:textId="7FFFB88C" w:rsidR="008B5C01" w:rsidRPr="0080251F" w:rsidRDefault="008B5C01" w:rsidP="009A4350">
      <w:pPr>
        <w:spacing w:after="0" w:line="276" w:lineRule="auto"/>
        <w:jc w:val="center"/>
        <w:rPr>
          <w:rFonts w:ascii="Times New Roman" w:hAnsi="Times New Roman" w:cs="Times New Roman"/>
          <w:b/>
          <w:sz w:val="24"/>
          <w:szCs w:val="24"/>
          <w:lang w:val="ro-MD"/>
        </w:rPr>
      </w:pPr>
      <w:r w:rsidRPr="0080251F">
        <w:rPr>
          <w:rFonts w:ascii="Times New Roman" w:hAnsi="Times New Roman" w:cs="Times New Roman"/>
          <w:b/>
          <w:sz w:val="24"/>
          <w:szCs w:val="24"/>
          <w:lang w:val="ro-MD"/>
        </w:rPr>
        <w:t xml:space="preserve">Informația privind datoriile pe termen lung înregistrate </w:t>
      </w:r>
      <w:r w:rsidR="00BD3AF5" w:rsidRPr="0080251F">
        <w:rPr>
          <w:rFonts w:ascii="Times New Roman" w:hAnsi="Times New Roman" w:cs="Times New Roman"/>
          <w:b/>
          <w:sz w:val="24"/>
          <w:szCs w:val="24"/>
          <w:lang w:val="ro-MD"/>
        </w:rPr>
        <w:t xml:space="preserve">în </w:t>
      </w:r>
      <w:r w:rsidR="009A4350">
        <w:rPr>
          <w:rFonts w:ascii="Times New Roman" w:hAnsi="Times New Roman" w:cs="Times New Roman"/>
          <w:b/>
          <w:sz w:val="24"/>
          <w:szCs w:val="24"/>
          <w:lang w:val="ro-MD"/>
        </w:rPr>
        <w:t xml:space="preserve">evidența contabilă în </w:t>
      </w:r>
      <w:r w:rsidR="00DF446D" w:rsidRPr="0080251F">
        <w:rPr>
          <w:rFonts w:ascii="Times New Roman" w:hAnsi="Times New Roman" w:cs="Times New Roman"/>
          <w:b/>
          <w:sz w:val="24"/>
          <w:szCs w:val="24"/>
          <w:lang w:val="ro-MD"/>
        </w:rPr>
        <w:t xml:space="preserve">anii </w:t>
      </w:r>
      <w:r w:rsidR="00BD3AF5" w:rsidRPr="0080251F">
        <w:rPr>
          <w:rFonts w:ascii="Times New Roman" w:hAnsi="Times New Roman" w:cs="Times New Roman"/>
          <w:b/>
          <w:sz w:val="24"/>
          <w:szCs w:val="24"/>
          <w:lang w:val="ro-MD"/>
        </w:rPr>
        <w:t>2021-2022</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418"/>
        <w:gridCol w:w="1417"/>
      </w:tblGrid>
      <w:tr w:rsidR="008B5C01" w:rsidRPr="0080251F" w14:paraId="554CE3D8" w14:textId="77777777" w:rsidTr="00725D23">
        <w:trPr>
          <w:trHeight w:val="186"/>
        </w:trPr>
        <w:tc>
          <w:tcPr>
            <w:tcW w:w="6804" w:type="dxa"/>
            <w:shd w:val="clear" w:color="auto" w:fill="D9D9D9" w:themeFill="background1" w:themeFillShade="D9"/>
          </w:tcPr>
          <w:p w14:paraId="745402A0" w14:textId="77777777" w:rsidR="008B5C01" w:rsidRPr="0080251F" w:rsidRDefault="008B5C01" w:rsidP="00EF4EFA">
            <w:pPr>
              <w:spacing w:after="0"/>
              <w:jc w:val="both"/>
              <w:rPr>
                <w:rFonts w:ascii="Times New Roman" w:hAnsi="Times New Roman" w:cs="Times New Roman"/>
                <w:b/>
                <w:bCs/>
                <w:sz w:val="19"/>
                <w:szCs w:val="19"/>
                <w:lang w:val="ro-MD"/>
              </w:rPr>
            </w:pPr>
            <w:r w:rsidRPr="0080251F">
              <w:rPr>
                <w:rFonts w:ascii="Times New Roman" w:hAnsi="Times New Roman" w:cs="Times New Roman"/>
                <w:b/>
                <w:bCs/>
                <w:sz w:val="19"/>
                <w:szCs w:val="19"/>
                <w:lang w:val="ro-MD"/>
              </w:rPr>
              <w:t>Datoriile pe termen lung, inclusiv pe conturi:</w:t>
            </w:r>
          </w:p>
        </w:tc>
        <w:tc>
          <w:tcPr>
            <w:tcW w:w="1418" w:type="dxa"/>
            <w:shd w:val="clear" w:color="auto" w:fill="D9D9D9" w:themeFill="background1" w:themeFillShade="D9"/>
          </w:tcPr>
          <w:p w14:paraId="55F5A318" w14:textId="4E859933" w:rsidR="008B5C01" w:rsidRPr="0080251F" w:rsidRDefault="008B5C01" w:rsidP="00EF4EFA">
            <w:pPr>
              <w:spacing w:after="0"/>
              <w:jc w:val="center"/>
              <w:rPr>
                <w:rFonts w:ascii="Times New Roman" w:hAnsi="Times New Roman" w:cs="Times New Roman"/>
                <w:b/>
                <w:bCs/>
                <w:sz w:val="19"/>
                <w:szCs w:val="19"/>
                <w:lang w:val="ro-MD"/>
              </w:rPr>
            </w:pPr>
            <w:r w:rsidRPr="0080251F">
              <w:rPr>
                <w:rFonts w:ascii="Times New Roman" w:hAnsi="Times New Roman" w:cs="Times New Roman"/>
                <w:b/>
                <w:bCs/>
                <w:sz w:val="19"/>
                <w:szCs w:val="19"/>
                <w:lang w:val="ro-MD"/>
              </w:rPr>
              <w:t>2021</w:t>
            </w:r>
            <w:r w:rsidR="00BD3AF5" w:rsidRPr="0080251F">
              <w:rPr>
                <w:rFonts w:ascii="Times New Roman" w:hAnsi="Times New Roman" w:cs="Times New Roman"/>
                <w:b/>
                <w:bCs/>
                <w:sz w:val="19"/>
                <w:szCs w:val="19"/>
                <w:lang w:val="ro-MD"/>
              </w:rPr>
              <w:t>, mii lei</w:t>
            </w:r>
          </w:p>
        </w:tc>
        <w:tc>
          <w:tcPr>
            <w:tcW w:w="1417" w:type="dxa"/>
            <w:shd w:val="clear" w:color="auto" w:fill="D9D9D9" w:themeFill="background1" w:themeFillShade="D9"/>
          </w:tcPr>
          <w:p w14:paraId="4B7EAA02" w14:textId="23F32C16" w:rsidR="008B5C01" w:rsidRPr="0080251F" w:rsidRDefault="008B5C01" w:rsidP="00EF4EFA">
            <w:pPr>
              <w:spacing w:after="0"/>
              <w:jc w:val="center"/>
              <w:rPr>
                <w:rFonts w:ascii="Times New Roman" w:hAnsi="Times New Roman" w:cs="Times New Roman"/>
                <w:b/>
                <w:bCs/>
                <w:sz w:val="19"/>
                <w:szCs w:val="19"/>
                <w:lang w:val="ro-MD"/>
              </w:rPr>
            </w:pPr>
            <w:r w:rsidRPr="0080251F">
              <w:rPr>
                <w:rFonts w:ascii="Times New Roman" w:hAnsi="Times New Roman" w:cs="Times New Roman"/>
                <w:b/>
                <w:bCs/>
                <w:sz w:val="19"/>
                <w:szCs w:val="19"/>
                <w:lang w:val="ro-MD"/>
              </w:rPr>
              <w:t>2022</w:t>
            </w:r>
            <w:r w:rsidR="00BD3AF5" w:rsidRPr="0080251F">
              <w:rPr>
                <w:rFonts w:ascii="Times New Roman" w:hAnsi="Times New Roman" w:cs="Times New Roman"/>
                <w:b/>
                <w:bCs/>
                <w:sz w:val="19"/>
                <w:szCs w:val="19"/>
                <w:lang w:val="ro-MD"/>
              </w:rPr>
              <w:t>, mii lei</w:t>
            </w:r>
          </w:p>
        </w:tc>
      </w:tr>
      <w:tr w:rsidR="008B5C01" w:rsidRPr="0080251F" w14:paraId="06BB9AD6" w14:textId="77777777" w:rsidTr="00725D23">
        <w:tc>
          <w:tcPr>
            <w:tcW w:w="6804" w:type="dxa"/>
            <w:vAlign w:val="center"/>
          </w:tcPr>
          <w:p w14:paraId="01CDBC80" w14:textId="77777777" w:rsidR="008B5C01" w:rsidRPr="0080251F" w:rsidRDefault="008B5C01" w:rsidP="00EF4EFA">
            <w:pPr>
              <w:spacing w:after="0"/>
              <w:jc w:val="both"/>
              <w:rPr>
                <w:rFonts w:ascii="Times New Roman" w:hAnsi="Times New Roman" w:cs="Times New Roman"/>
                <w:bCs/>
                <w:sz w:val="19"/>
                <w:szCs w:val="19"/>
                <w:lang w:val="ro-MD"/>
              </w:rPr>
            </w:pPr>
            <w:r w:rsidRPr="0080251F">
              <w:rPr>
                <w:rFonts w:ascii="Times New Roman" w:hAnsi="Times New Roman" w:cs="Times New Roman"/>
                <w:bCs/>
                <w:sz w:val="19"/>
                <w:szCs w:val="19"/>
                <w:lang w:val="ro-MD"/>
              </w:rPr>
              <w:t>424 „Venituri anticipate pe termen lung”</w:t>
            </w:r>
            <w:r w:rsidRPr="0080251F">
              <w:rPr>
                <w:rFonts w:ascii="Times New Roman" w:hAnsi="Times New Roman" w:cs="Times New Roman"/>
                <w:bCs/>
                <w:sz w:val="19"/>
                <w:szCs w:val="19"/>
                <w:vertAlign w:val="superscript"/>
                <w:lang w:val="ro-MD"/>
              </w:rPr>
              <w:footnoteReference w:id="47"/>
            </w:r>
          </w:p>
        </w:tc>
        <w:tc>
          <w:tcPr>
            <w:tcW w:w="1418" w:type="dxa"/>
            <w:vAlign w:val="center"/>
          </w:tcPr>
          <w:p w14:paraId="4CC5249C" w14:textId="77777777" w:rsidR="008B5C01" w:rsidRPr="0080251F" w:rsidRDefault="008B5C01" w:rsidP="00EF4EFA">
            <w:pPr>
              <w:spacing w:after="0"/>
              <w:jc w:val="right"/>
              <w:rPr>
                <w:rFonts w:ascii="Times New Roman" w:hAnsi="Times New Roman" w:cs="Times New Roman"/>
                <w:bCs/>
                <w:sz w:val="19"/>
                <w:szCs w:val="19"/>
                <w:lang w:val="ro-MD"/>
              </w:rPr>
            </w:pPr>
            <w:r w:rsidRPr="0080251F">
              <w:rPr>
                <w:rFonts w:ascii="Times New Roman" w:hAnsi="Times New Roman" w:cs="Times New Roman"/>
                <w:bCs/>
                <w:sz w:val="19"/>
                <w:szCs w:val="19"/>
                <w:lang w:val="ro-MD"/>
              </w:rPr>
              <w:t>10.517,3</w:t>
            </w:r>
          </w:p>
        </w:tc>
        <w:tc>
          <w:tcPr>
            <w:tcW w:w="1417" w:type="dxa"/>
            <w:vAlign w:val="center"/>
          </w:tcPr>
          <w:p w14:paraId="421A51A9" w14:textId="77777777" w:rsidR="008B5C01" w:rsidRPr="0080251F" w:rsidRDefault="008B5C01" w:rsidP="00EF4EFA">
            <w:pPr>
              <w:spacing w:after="0"/>
              <w:jc w:val="right"/>
              <w:rPr>
                <w:rFonts w:ascii="Times New Roman" w:hAnsi="Times New Roman" w:cs="Times New Roman"/>
                <w:bCs/>
                <w:sz w:val="19"/>
                <w:szCs w:val="19"/>
                <w:lang w:val="ro-MD"/>
              </w:rPr>
            </w:pPr>
            <w:r w:rsidRPr="0080251F">
              <w:rPr>
                <w:rFonts w:ascii="Times New Roman" w:hAnsi="Times New Roman" w:cs="Times New Roman"/>
                <w:bCs/>
                <w:sz w:val="19"/>
                <w:szCs w:val="19"/>
                <w:lang w:val="ro-MD"/>
              </w:rPr>
              <w:t>9.193,7</w:t>
            </w:r>
          </w:p>
        </w:tc>
      </w:tr>
      <w:tr w:rsidR="008B5C01" w:rsidRPr="0080251F" w14:paraId="551218A2" w14:textId="77777777" w:rsidTr="00725D23">
        <w:tc>
          <w:tcPr>
            <w:tcW w:w="6804" w:type="dxa"/>
            <w:vAlign w:val="center"/>
          </w:tcPr>
          <w:p w14:paraId="662FC06F" w14:textId="6B8A4E1D" w:rsidR="008B5C01" w:rsidRPr="0080251F" w:rsidRDefault="008B5C01" w:rsidP="00EF4EFA">
            <w:pPr>
              <w:spacing w:after="0"/>
              <w:jc w:val="both"/>
              <w:rPr>
                <w:rFonts w:ascii="Times New Roman" w:hAnsi="Times New Roman" w:cs="Times New Roman"/>
                <w:bCs/>
                <w:sz w:val="19"/>
                <w:szCs w:val="19"/>
                <w:lang w:val="ro-MD"/>
              </w:rPr>
            </w:pPr>
            <w:r w:rsidRPr="0080251F">
              <w:rPr>
                <w:rFonts w:ascii="Times New Roman" w:hAnsi="Times New Roman" w:cs="Times New Roman"/>
                <w:bCs/>
                <w:sz w:val="19"/>
                <w:szCs w:val="19"/>
                <w:lang w:val="ro-MD"/>
              </w:rPr>
              <w:t>425 „Finanțări și încasări cu destinație specială pe termen lung” (datoria la impozitul pe venit amânat</w:t>
            </w:r>
            <w:r w:rsidRPr="0080251F">
              <w:rPr>
                <w:rFonts w:ascii="Times New Roman" w:hAnsi="Times New Roman" w:cs="Times New Roman"/>
                <w:bCs/>
                <w:sz w:val="19"/>
                <w:szCs w:val="19"/>
                <w:vertAlign w:val="superscript"/>
                <w:lang w:val="ro-MD"/>
              </w:rPr>
              <w:footnoteReference w:id="48"/>
            </w:r>
            <w:r w:rsidRPr="0080251F">
              <w:rPr>
                <w:rFonts w:ascii="Times New Roman" w:hAnsi="Times New Roman" w:cs="Times New Roman"/>
                <w:bCs/>
                <w:sz w:val="19"/>
                <w:szCs w:val="19"/>
                <w:lang w:val="ro-MD"/>
              </w:rPr>
              <w:t>, de la: mijloacele fixe reevaluate; provizioanele pentru concedii, creanțe și stocuri; devierile tarifare negative</w:t>
            </w:r>
            <w:r w:rsidRPr="0080251F">
              <w:rPr>
                <w:rFonts w:ascii="Times New Roman" w:hAnsi="Times New Roman" w:cs="Times New Roman"/>
                <w:bCs/>
                <w:sz w:val="19"/>
                <w:szCs w:val="19"/>
                <w:vertAlign w:val="superscript"/>
                <w:lang w:val="ro-MD"/>
              </w:rPr>
              <w:footnoteReference w:id="49"/>
            </w:r>
            <w:r w:rsidRPr="0080251F">
              <w:rPr>
                <w:rFonts w:ascii="Times New Roman" w:hAnsi="Times New Roman" w:cs="Times New Roman"/>
                <w:bCs/>
                <w:sz w:val="19"/>
                <w:szCs w:val="19"/>
                <w:lang w:val="ro-MD"/>
              </w:rPr>
              <w:t>; rezerve de capital (contul 343))</w:t>
            </w:r>
          </w:p>
        </w:tc>
        <w:tc>
          <w:tcPr>
            <w:tcW w:w="1418" w:type="dxa"/>
            <w:vAlign w:val="center"/>
          </w:tcPr>
          <w:p w14:paraId="50F6411C" w14:textId="77777777" w:rsidR="008B5C01" w:rsidRPr="0080251F" w:rsidRDefault="008B5C01" w:rsidP="00EF4EFA">
            <w:pPr>
              <w:spacing w:after="0"/>
              <w:jc w:val="right"/>
              <w:rPr>
                <w:rFonts w:ascii="Times New Roman" w:hAnsi="Times New Roman" w:cs="Times New Roman"/>
                <w:bCs/>
                <w:sz w:val="19"/>
                <w:szCs w:val="19"/>
                <w:lang w:val="ro-MD"/>
              </w:rPr>
            </w:pPr>
            <w:r w:rsidRPr="0080251F">
              <w:rPr>
                <w:rFonts w:ascii="Times New Roman" w:hAnsi="Times New Roman" w:cs="Times New Roman"/>
                <w:bCs/>
                <w:sz w:val="19"/>
                <w:szCs w:val="19"/>
                <w:lang w:val="ro-MD"/>
              </w:rPr>
              <w:t>162.521,7</w:t>
            </w:r>
          </w:p>
        </w:tc>
        <w:tc>
          <w:tcPr>
            <w:tcW w:w="1417" w:type="dxa"/>
            <w:vAlign w:val="center"/>
          </w:tcPr>
          <w:p w14:paraId="122CA066" w14:textId="77777777" w:rsidR="008B5C01" w:rsidRPr="0080251F" w:rsidRDefault="008B5C01" w:rsidP="00EF4EFA">
            <w:pPr>
              <w:spacing w:after="0"/>
              <w:jc w:val="right"/>
              <w:rPr>
                <w:rFonts w:ascii="Times New Roman" w:hAnsi="Times New Roman" w:cs="Times New Roman"/>
                <w:bCs/>
                <w:sz w:val="19"/>
                <w:szCs w:val="19"/>
                <w:lang w:val="ro-MD"/>
              </w:rPr>
            </w:pPr>
            <w:r w:rsidRPr="0080251F">
              <w:rPr>
                <w:rFonts w:ascii="Times New Roman" w:hAnsi="Times New Roman" w:cs="Times New Roman"/>
                <w:bCs/>
                <w:sz w:val="19"/>
                <w:szCs w:val="19"/>
                <w:lang w:val="ro-MD"/>
              </w:rPr>
              <w:t>128.404,1</w:t>
            </w:r>
          </w:p>
        </w:tc>
      </w:tr>
      <w:tr w:rsidR="008B5C01" w:rsidRPr="0080251F" w14:paraId="19EC928B" w14:textId="77777777" w:rsidTr="00725D23">
        <w:trPr>
          <w:trHeight w:val="173"/>
        </w:trPr>
        <w:tc>
          <w:tcPr>
            <w:tcW w:w="6804" w:type="dxa"/>
            <w:vAlign w:val="center"/>
          </w:tcPr>
          <w:p w14:paraId="3247E5CE" w14:textId="33E3AA2B" w:rsidR="008B5C01" w:rsidRPr="0080251F" w:rsidRDefault="008B5C01" w:rsidP="00EF4EFA">
            <w:pPr>
              <w:spacing w:after="0"/>
              <w:jc w:val="both"/>
              <w:rPr>
                <w:rFonts w:ascii="Times New Roman" w:hAnsi="Times New Roman" w:cs="Times New Roman"/>
                <w:bCs/>
                <w:sz w:val="19"/>
                <w:szCs w:val="19"/>
                <w:lang w:val="ro-MD"/>
              </w:rPr>
            </w:pPr>
            <w:r w:rsidRPr="0080251F">
              <w:rPr>
                <w:rFonts w:ascii="Times New Roman" w:hAnsi="Times New Roman" w:cs="Times New Roman"/>
                <w:bCs/>
                <w:sz w:val="19"/>
                <w:szCs w:val="19"/>
                <w:lang w:val="ro-MD"/>
              </w:rPr>
              <w:t>427 „Datoriile pe termen lung privind bunurile primite în gestiune economică” (valoarea terenurilor primite în folosință cu titlu gratuit, de la entități publice/primării)</w:t>
            </w:r>
          </w:p>
        </w:tc>
        <w:tc>
          <w:tcPr>
            <w:tcW w:w="1418" w:type="dxa"/>
            <w:vAlign w:val="center"/>
          </w:tcPr>
          <w:p w14:paraId="0B47D958" w14:textId="77777777" w:rsidR="008B5C01" w:rsidRPr="0080251F" w:rsidRDefault="008B5C01" w:rsidP="00EF4EFA">
            <w:pPr>
              <w:spacing w:after="0"/>
              <w:jc w:val="right"/>
              <w:rPr>
                <w:rFonts w:ascii="Times New Roman" w:hAnsi="Times New Roman" w:cs="Times New Roman"/>
                <w:bCs/>
                <w:sz w:val="19"/>
                <w:szCs w:val="19"/>
                <w:lang w:val="ro-MD"/>
              </w:rPr>
            </w:pPr>
            <w:r w:rsidRPr="0080251F">
              <w:rPr>
                <w:rFonts w:ascii="Times New Roman" w:hAnsi="Times New Roman" w:cs="Times New Roman"/>
                <w:bCs/>
                <w:sz w:val="19"/>
                <w:szCs w:val="19"/>
                <w:lang w:val="ro-MD"/>
              </w:rPr>
              <w:t>5.157,7</w:t>
            </w:r>
          </w:p>
        </w:tc>
        <w:tc>
          <w:tcPr>
            <w:tcW w:w="1417" w:type="dxa"/>
            <w:vAlign w:val="center"/>
          </w:tcPr>
          <w:p w14:paraId="5E69BFB6" w14:textId="77777777" w:rsidR="008B5C01" w:rsidRPr="0080251F" w:rsidRDefault="008B5C01" w:rsidP="00EF4EFA">
            <w:pPr>
              <w:spacing w:after="0"/>
              <w:jc w:val="right"/>
              <w:rPr>
                <w:rFonts w:ascii="Times New Roman" w:hAnsi="Times New Roman" w:cs="Times New Roman"/>
                <w:bCs/>
                <w:sz w:val="19"/>
                <w:szCs w:val="19"/>
                <w:lang w:val="ro-MD"/>
              </w:rPr>
            </w:pPr>
            <w:r w:rsidRPr="0080251F">
              <w:rPr>
                <w:rFonts w:ascii="Times New Roman" w:hAnsi="Times New Roman" w:cs="Times New Roman"/>
                <w:bCs/>
                <w:sz w:val="19"/>
                <w:szCs w:val="19"/>
                <w:lang w:val="ro-MD"/>
              </w:rPr>
              <w:t>5.157,7</w:t>
            </w:r>
          </w:p>
        </w:tc>
      </w:tr>
      <w:tr w:rsidR="008B5C01" w:rsidRPr="0080251F" w14:paraId="26EAC878" w14:textId="77777777" w:rsidTr="00725D23">
        <w:tc>
          <w:tcPr>
            <w:tcW w:w="6804" w:type="dxa"/>
          </w:tcPr>
          <w:p w14:paraId="23BEA7C7" w14:textId="77777777" w:rsidR="008B5C01" w:rsidRPr="0080251F" w:rsidRDefault="008B5C01" w:rsidP="00EF4EFA">
            <w:pPr>
              <w:spacing w:after="0"/>
              <w:rPr>
                <w:rFonts w:ascii="Times New Roman" w:hAnsi="Times New Roman" w:cs="Times New Roman"/>
                <w:b/>
                <w:bCs/>
                <w:sz w:val="19"/>
                <w:szCs w:val="19"/>
                <w:lang w:val="ro-MD"/>
              </w:rPr>
            </w:pPr>
            <w:r w:rsidRPr="0080251F">
              <w:rPr>
                <w:rFonts w:ascii="Times New Roman" w:hAnsi="Times New Roman" w:cs="Times New Roman"/>
                <w:b/>
                <w:bCs/>
                <w:sz w:val="19"/>
                <w:szCs w:val="19"/>
                <w:lang w:val="ro-MD"/>
              </w:rPr>
              <w:t>Total</w:t>
            </w:r>
          </w:p>
        </w:tc>
        <w:tc>
          <w:tcPr>
            <w:tcW w:w="1418" w:type="dxa"/>
            <w:vAlign w:val="center"/>
          </w:tcPr>
          <w:p w14:paraId="6437497E" w14:textId="77777777" w:rsidR="008B5C01" w:rsidRPr="0080251F" w:rsidRDefault="008B5C01" w:rsidP="00EF4EFA">
            <w:pPr>
              <w:spacing w:after="0"/>
              <w:jc w:val="right"/>
              <w:rPr>
                <w:rFonts w:ascii="Times New Roman" w:hAnsi="Times New Roman" w:cs="Times New Roman"/>
                <w:b/>
                <w:bCs/>
                <w:sz w:val="19"/>
                <w:szCs w:val="19"/>
                <w:lang w:val="ro-MD"/>
              </w:rPr>
            </w:pPr>
            <w:r w:rsidRPr="0080251F">
              <w:rPr>
                <w:rFonts w:ascii="Times New Roman" w:hAnsi="Times New Roman" w:cs="Times New Roman"/>
                <w:b/>
                <w:bCs/>
                <w:sz w:val="19"/>
                <w:szCs w:val="19"/>
                <w:lang w:val="ro-MD"/>
              </w:rPr>
              <w:t>178.196,6</w:t>
            </w:r>
          </w:p>
        </w:tc>
        <w:tc>
          <w:tcPr>
            <w:tcW w:w="1417" w:type="dxa"/>
            <w:vAlign w:val="center"/>
          </w:tcPr>
          <w:p w14:paraId="380B5C90" w14:textId="77777777" w:rsidR="008B5C01" w:rsidRPr="0080251F" w:rsidRDefault="008B5C01" w:rsidP="00EF4EFA">
            <w:pPr>
              <w:spacing w:after="0"/>
              <w:jc w:val="right"/>
              <w:rPr>
                <w:rFonts w:ascii="Times New Roman" w:hAnsi="Times New Roman" w:cs="Times New Roman"/>
                <w:b/>
                <w:bCs/>
                <w:sz w:val="19"/>
                <w:szCs w:val="19"/>
                <w:lang w:val="ro-MD"/>
              </w:rPr>
            </w:pPr>
            <w:r w:rsidRPr="0080251F">
              <w:rPr>
                <w:rFonts w:ascii="Times New Roman" w:hAnsi="Times New Roman" w:cs="Times New Roman"/>
                <w:b/>
                <w:bCs/>
                <w:sz w:val="19"/>
                <w:szCs w:val="19"/>
                <w:lang w:val="ro-MD"/>
              </w:rPr>
              <w:t>142.755,5</w:t>
            </w:r>
          </w:p>
        </w:tc>
      </w:tr>
    </w:tbl>
    <w:p w14:paraId="4DA855E7" w14:textId="04A0E639" w:rsidR="008B5C01" w:rsidRPr="0080251F" w:rsidRDefault="008B5C01" w:rsidP="008B5C01">
      <w:pPr>
        <w:spacing w:after="240"/>
        <w:jc w:val="both"/>
        <w:rPr>
          <w:rFonts w:ascii="Times New Roman" w:hAnsi="Times New Roman" w:cs="Times New Roman"/>
          <w:bCs/>
          <w:i/>
          <w:sz w:val="20"/>
          <w:szCs w:val="20"/>
          <w:lang w:val="ro-MD"/>
        </w:rPr>
      </w:pPr>
      <w:r w:rsidRPr="0080251F">
        <w:rPr>
          <w:rFonts w:ascii="Times New Roman" w:hAnsi="Times New Roman" w:cs="Times New Roman"/>
          <w:b/>
          <w:bCs/>
          <w:i/>
          <w:sz w:val="20"/>
          <w:szCs w:val="20"/>
          <w:lang w:val="ro-MD"/>
        </w:rPr>
        <w:t>Sursă:</w:t>
      </w:r>
      <w:r w:rsidRPr="0080251F">
        <w:rPr>
          <w:rFonts w:ascii="Times New Roman" w:hAnsi="Times New Roman" w:cs="Times New Roman"/>
          <w:bCs/>
          <w:i/>
          <w:sz w:val="20"/>
          <w:szCs w:val="20"/>
          <w:lang w:val="ro-MD"/>
        </w:rPr>
        <w:t xml:space="preserve"> Datele evidenței contabile pentru anii 2021-2022.</w:t>
      </w:r>
    </w:p>
    <w:p w14:paraId="0B3FFC10" w14:textId="0EB7FA5E" w:rsidR="00AD297E" w:rsidRPr="0080251F" w:rsidRDefault="007C18BE" w:rsidP="00BF128D">
      <w:pPr>
        <w:tabs>
          <w:tab w:val="left" w:pos="567"/>
          <w:tab w:val="left" w:pos="851"/>
        </w:tabs>
        <w:spacing w:after="0" w:line="276" w:lineRule="auto"/>
        <w:ind w:firstLine="709"/>
        <w:jc w:val="both"/>
        <w:rPr>
          <w:rFonts w:ascii="Times New Roman" w:hAnsi="Times New Roman" w:cs="Times New Roman"/>
          <w:b/>
          <w:bCs/>
          <w:sz w:val="24"/>
          <w:szCs w:val="24"/>
          <w:lang w:val="ro-MD"/>
        </w:rPr>
      </w:pPr>
      <w:r w:rsidRPr="0080251F">
        <w:rPr>
          <w:rFonts w:ascii="Times New Roman" w:hAnsi="Times New Roman" w:cs="Times New Roman"/>
          <w:bCs/>
          <w:sz w:val="24"/>
          <w:szCs w:val="24"/>
          <w:lang w:val="ro-MD"/>
        </w:rPr>
        <w:t>Datoriile curente ale întreprinderii, la finele anului 2022, a</w:t>
      </w:r>
      <w:r w:rsidR="001958B9" w:rsidRPr="0080251F">
        <w:rPr>
          <w:rFonts w:ascii="Times New Roman" w:hAnsi="Times New Roman" w:cs="Times New Roman"/>
          <w:bCs/>
          <w:sz w:val="24"/>
          <w:szCs w:val="24"/>
          <w:lang w:val="ro-MD"/>
        </w:rPr>
        <w:t>u</w:t>
      </w:r>
      <w:r w:rsidRPr="0080251F">
        <w:rPr>
          <w:rFonts w:ascii="Times New Roman" w:hAnsi="Times New Roman" w:cs="Times New Roman"/>
          <w:bCs/>
          <w:sz w:val="24"/>
          <w:szCs w:val="24"/>
          <w:lang w:val="ro-MD"/>
        </w:rPr>
        <w:t xml:space="preserve"> constituit 206,1</w:t>
      </w:r>
      <w:r w:rsidRPr="0080251F">
        <w:rPr>
          <w:rFonts w:ascii="Times New Roman" w:hAnsi="Times New Roman" w:cs="Times New Roman"/>
          <w:b/>
          <w:bCs/>
          <w:sz w:val="24"/>
          <w:szCs w:val="24"/>
          <w:lang w:val="ro-MD"/>
        </w:rPr>
        <w:t xml:space="preserve"> </w:t>
      </w:r>
      <w:r w:rsidRPr="0080251F">
        <w:rPr>
          <w:rFonts w:ascii="Times New Roman" w:hAnsi="Times New Roman" w:cs="Times New Roman"/>
          <w:bCs/>
          <w:sz w:val="24"/>
          <w:szCs w:val="24"/>
          <w:lang w:val="ro-MD"/>
        </w:rPr>
        <w:t xml:space="preserve">mil. lei, </w:t>
      </w:r>
      <w:r w:rsidR="001958B9" w:rsidRPr="0080251F">
        <w:rPr>
          <w:rFonts w:ascii="Times New Roman" w:hAnsi="Times New Roman" w:cs="Times New Roman"/>
          <w:bCs/>
          <w:sz w:val="24"/>
          <w:szCs w:val="24"/>
          <w:lang w:val="ro-MD"/>
        </w:rPr>
        <w:t>majorându-se, față de</w:t>
      </w:r>
      <w:r w:rsidRPr="0080251F">
        <w:rPr>
          <w:rFonts w:ascii="Times New Roman" w:hAnsi="Times New Roman" w:cs="Times New Roman"/>
          <w:bCs/>
          <w:sz w:val="24"/>
          <w:szCs w:val="24"/>
          <w:lang w:val="ro-MD"/>
        </w:rPr>
        <w:t xml:space="preserve"> anul 2021,</w:t>
      </w:r>
      <w:r w:rsidR="00A3368D" w:rsidRPr="0080251F">
        <w:rPr>
          <w:rFonts w:ascii="Times New Roman" w:hAnsi="Times New Roman" w:cs="Times New Roman"/>
          <w:bCs/>
          <w:sz w:val="24"/>
          <w:szCs w:val="24"/>
          <w:lang w:val="ro-MD"/>
        </w:rPr>
        <w:t xml:space="preserve"> cu 20,9 mil. lei, creșterea</w:t>
      </w:r>
      <w:r w:rsidRPr="0080251F">
        <w:rPr>
          <w:rFonts w:ascii="Times New Roman" w:hAnsi="Times New Roman" w:cs="Times New Roman"/>
          <w:bCs/>
          <w:sz w:val="24"/>
          <w:szCs w:val="24"/>
          <w:lang w:val="ro-MD"/>
        </w:rPr>
        <w:t xml:space="preserve"> fiind determinată</w:t>
      </w:r>
      <w:r w:rsidR="001958B9"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în special</w:t>
      </w:r>
      <w:r w:rsidR="001958B9"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de următorii factori economico-financiari: </w:t>
      </w:r>
      <w:r w:rsidR="00FB60CC" w:rsidRPr="0080251F">
        <w:rPr>
          <w:rFonts w:ascii="Times New Roman" w:hAnsi="Times New Roman" w:cs="Times New Roman"/>
          <w:bCs/>
          <w:sz w:val="24"/>
          <w:szCs w:val="24"/>
          <w:lang w:val="ro-MD"/>
        </w:rPr>
        <w:t>contractarea</w:t>
      </w:r>
      <w:r w:rsidRPr="0080251F">
        <w:rPr>
          <w:rFonts w:ascii="Times New Roman" w:hAnsi="Times New Roman" w:cs="Times New Roman"/>
          <w:bCs/>
          <w:sz w:val="24"/>
          <w:szCs w:val="24"/>
          <w:lang w:val="ro-MD"/>
        </w:rPr>
        <w:t xml:space="preserve"> creditului overdraft pentru </w:t>
      </w:r>
      <w:r w:rsidR="0049256A" w:rsidRPr="0080251F">
        <w:rPr>
          <w:rFonts w:ascii="Times New Roman" w:hAnsi="Times New Roman" w:cs="Times New Roman"/>
          <w:bCs/>
          <w:sz w:val="24"/>
          <w:szCs w:val="24"/>
          <w:lang w:val="ro-MD"/>
        </w:rPr>
        <w:t xml:space="preserve">a asigura plățile curente pe contractele comerciale </w:t>
      </w:r>
      <w:r w:rsidRPr="0080251F">
        <w:rPr>
          <w:rFonts w:ascii="Times New Roman" w:hAnsi="Times New Roman" w:cs="Times New Roman"/>
          <w:bCs/>
          <w:sz w:val="24"/>
          <w:szCs w:val="24"/>
          <w:lang w:val="ro-MD"/>
        </w:rPr>
        <w:t>(contul 511) – cu 9,5 mil. lei; majorarea datoriilor comerciale (contul 521) – cu 45,1 mil. lei (în special</w:t>
      </w:r>
      <w:r w:rsidR="00864278"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pentru mărfurile livrate</w:t>
      </w:r>
      <w:r w:rsidR="0096342F"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la energia electrică folosită pentru consumul tehnologic</w:t>
      </w:r>
      <w:r w:rsidR="00E330DE" w:rsidRPr="0080251F">
        <w:rPr>
          <w:rFonts w:ascii="Times New Roman" w:hAnsi="Times New Roman" w:cs="Times New Roman"/>
          <w:bCs/>
          <w:sz w:val="24"/>
          <w:szCs w:val="24"/>
          <w:lang w:val="ro-MD"/>
        </w:rPr>
        <w:t xml:space="preserve"> (cu 16,5 mil. lei)</w:t>
      </w:r>
      <w:r w:rsidRPr="0080251F">
        <w:rPr>
          <w:rFonts w:ascii="Times New Roman" w:hAnsi="Times New Roman" w:cs="Times New Roman"/>
          <w:bCs/>
          <w:sz w:val="24"/>
          <w:szCs w:val="24"/>
          <w:lang w:val="ro-MD"/>
        </w:rPr>
        <w:t>; dezechilibrele de energie electrică înregistrate în rețea de la consumul tehnologic</w:t>
      </w:r>
      <w:r w:rsidR="00E330DE" w:rsidRPr="0080251F">
        <w:rPr>
          <w:rFonts w:ascii="Times New Roman" w:hAnsi="Times New Roman" w:cs="Times New Roman"/>
          <w:bCs/>
          <w:sz w:val="24"/>
          <w:szCs w:val="24"/>
          <w:lang w:val="ro-MD"/>
        </w:rPr>
        <w:t xml:space="preserve"> (cu 656,5 mii lei</w:t>
      </w:r>
      <w:r w:rsidRPr="0080251F">
        <w:rPr>
          <w:rFonts w:ascii="Times New Roman" w:hAnsi="Times New Roman" w:cs="Times New Roman"/>
          <w:bCs/>
          <w:sz w:val="24"/>
          <w:szCs w:val="24"/>
          <w:lang w:val="ro-MD"/>
        </w:rPr>
        <w:t xml:space="preserve">); majorarea datoriilor față de personal </w:t>
      </w:r>
      <w:r w:rsidR="00FB60CC" w:rsidRPr="0080251F">
        <w:rPr>
          <w:rFonts w:ascii="Times New Roman" w:hAnsi="Times New Roman" w:cs="Times New Roman"/>
          <w:bCs/>
          <w:sz w:val="24"/>
          <w:szCs w:val="24"/>
          <w:lang w:val="ro-MD"/>
        </w:rPr>
        <w:t xml:space="preserve">la plățile salariale </w:t>
      </w:r>
      <w:r w:rsidRPr="0080251F">
        <w:rPr>
          <w:rFonts w:ascii="Times New Roman" w:hAnsi="Times New Roman" w:cs="Times New Roman"/>
          <w:bCs/>
          <w:sz w:val="24"/>
          <w:szCs w:val="24"/>
          <w:lang w:val="ro-MD"/>
        </w:rPr>
        <w:t>(contul 531) – cu 6,8 mil. lei; majorarea provizioanelor curente (contul 538) – cu 4,4 mil. lei (în special</w:t>
      </w:r>
      <w:r w:rsidR="0096342F"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provizioanele calculate pentru achitarea dezechilibrelor în rețeaua electrică).</w:t>
      </w:r>
    </w:p>
    <w:p w14:paraId="0C8F7264" w14:textId="55647DEE" w:rsidR="008B5C01" w:rsidRPr="0080251F" w:rsidRDefault="008B5C01" w:rsidP="008B5C01">
      <w:pPr>
        <w:spacing w:after="0" w:line="276" w:lineRule="auto"/>
        <w:jc w:val="right"/>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Tabelul nr.7</w:t>
      </w:r>
    </w:p>
    <w:p w14:paraId="62B6BD3B" w14:textId="36637DC6" w:rsidR="008B5C01" w:rsidRPr="0080251F" w:rsidRDefault="008B5C01" w:rsidP="009A4350">
      <w:pPr>
        <w:spacing w:after="0" w:line="276" w:lineRule="auto"/>
        <w:jc w:val="center"/>
        <w:rPr>
          <w:rFonts w:ascii="Times New Roman" w:hAnsi="Times New Roman" w:cs="Times New Roman"/>
          <w:bCs/>
          <w:sz w:val="24"/>
          <w:szCs w:val="24"/>
          <w:lang w:val="ro-MD"/>
        </w:rPr>
      </w:pPr>
      <w:r w:rsidRPr="0080251F">
        <w:rPr>
          <w:rFonts w:ascii="Times New Roman" w:hAnsi="Times New Roman" w:cs="Times New Roman"/>
          <w:b/>
          <w:sz w:val="24"/>
          <w:szCs w:val="24"/>
          <w:lang w:val="ro-MD"/>
        </w:rPr>
        <w:t>Informația privind d</w:t>
      </w:r>
      <w:r w:rsidR="00813AB0" w:rsidRPr="0080251F">
        <w:rPr>
          <w:rFonts w:ascii="Times New Roman" w:hAnsi="Times New Roman" w:cs="Times New Roman"/>
          <w:b/>
          <w:sz w:val="24"/>
          <w:szCs w:val="24"/>
          <w:lang w:val="ro-MD"/>
        </w:rPr>
        <w:t>atoriile pe termen scurt</w:t>
      </w:r>
      <w:r w:rsidRPr="0080251F">
        <w:rPr>
          <w:rFonts w:ascii="Times New Roman" w:hAnsi="Times New Roman" w:cs="Times New Roman"/>
          <w:b/>
          <w:sz w:val="24"/>
          <w:szCs w:val="24"/>
          <w:lang w:val="ro-MD"/>
        </w:rPr>
        <w:t xml:space="preserve"> înregistrate </w:t>
      </w:r>
      <w:r w:rsidR="009A4350" w:rsidRPr="0080251F">
        <w:rPr>
          <w:rFonts w:ascii="Times New Roman" w:hAnsi="Times New Roman" w:cs="Times New Roman"/>
          <w:b/>
          <w:sz w:val="24"/>
          <w:szCs w:val="24"/>
          <w:lang w:val="ro-MD"/>
        </w:rPr>
        <w:t xml:space="preserve">în </w:t>
      </w:r>
      <w:r w:rsidR="009A4350">
        <w:rPr>
          <w:rFonts w:ascii="Times New Roman" w:hAnsi="Times New Roman" w:cs="Times New Roman"/>
          <w:b/>
          <w:sz w:val="24"/>
          <w:szCs w:val="24"/>
          <w:lang w:val="ro-MD"/>
        </w:rPr>
        <w:t>evidența contabilă</w:t>
      </w:r>
      <w:r w:rsidR="009A4350" w:rsidRPr="0080251F">
        <w:rPr>
          <w:rFonts w:ascii="Times New Roman" w:hAnsi="Times New Roman" w:cs="Times New Roman"/>
          <w:b/>
          <w:sz w:val="24"/>
          <w:szCs w:val="24"/>
          <w:lang w:val="ro-MD"/>
        </w:rPr>
        <w:t xml:space="preserve"> </w:t>
      </w:r>
      <w:r w:rsidRPr="0080251F">
        <w:rPr>
          <w:rFonts w:ascii="Times New Roman" w:hAnsi="Times New Roman" w:cs="Times New Roman"/>
          <w:b/>
          <w:sz w:val="24"/>
          <w:szCs w:val="24"/>
          <w:lang w:val="ro-MD"/>
        </w:rPr>
        <w:t>în ani</w:t>
      </w:r>
      <w:r w:rsidR="00CB00A6" w:rsidRPr="0080251F">
        <w:rPr>
          <w:rFonts w:ascii="Times New Roman" w:hAnsi="Times New Roman" w:cs="Times New Roman"/>
          <w:b/>
          <w:sz w:val="24"/>
          <w:szCs w:val="24"/>
          <w:lang w:val="ro-MD"/>
        </w:rPr>
        <w:t>i</w:t>
      </w:r>
      <w:r w:rsidRPr="0080251F">
        <w:rPr>
          <w:rFonts w:ascii="Times New Roman" w:hAnsi="Times New Roman" w:cs="Times New Roman"/>
          <w:b/>
          <w:sz w:val="24"/>
          <w:szCs w:val="24"/>
          <w:lang w:val="ro-MD"/>
        </w:rPr>
        <w:t xml:space="preserve"> 2021-2022</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276"/>
        <w:gridCol w:w="1275"/>
      </w:tblGrid>
      <w:tr w:rsidR="008B5C01" w:rsidRPr="0080251F" w14:paraId="37E87B22" w14:textId="77777777" w:rsidTr="003828E4">
        <w:trPr>
          <w:trHeight w:val="186"/>
        </w:trPr>
        <w:tc>
          <w:tcPr>
            <w:tcW w:w="7088" w:type="dxa"/>
            <w:shd w:val="clear" w:color="auto" w:fill="D9D9D9" w:themeFill="background1" w:themeFillShade="D9"/>
          </w:tcPr>
          <w:p w14:paraId="17865EC5" w14:textId="77777777" w:rsidR="008B5C01" w:rsidRPr="0080251F" w:rsidRDefault="008B5C01" w:rsidP="005929DC">
            <w:pPr>
              <w:spacing w:after="0"/>
              <w:jc w:val="both"/>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Datoriile pe termen lung, inclusiv pe conturi:</w:t>
            </w:r>
          </w:p>
        </w:tc>
        <w:tc>
          <w:tcPr>
            <w:tcW w:w="1276" w:type="dxa"/>
            <w:shd w:val="clear" w:color="auto" w:fill="D9D9D9" w:themeFill="background1" w:themeFillShade="D9"/>
          </w:tcPr>
          <w:p w14:paraId="18EE7958" w14:textId="74775B1F" w:rsidR="008B5C01" w:rsidRPr="0080251F" w:rsidRDefault="008B5C01" w:rsidP="005929DC">
            <w:pPr>
              <w:spacing w:after="0"/>
              <w:jc w:val="center"/>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2021</w:t>
            </w:r>
            <w:r w:rsidR="003828E4" w:rsidRPr="0080251F">
              <w:rPr>
                <w:rFonts w:ascii="Times New Roman" w:hAnsi="Times New Roman" w:cs="Times New Roman"/>
                <w:b/>
                <w:bCs/>
                <w:sz w:val="20"/>
                <w:szCs w:val="20"/>
                <w:lang w:val="ro-MD"/>
              </w:rPr>
              <w:t>, mii lei</w:t>
            </w:r>
          </w:p>
        </w:tc>
        <w:tc>
          <w:tcPr>
            <w:tcW w:w="1275" w:type="dxa"/>
            <w:shd w:val="clear" w:color="auto" w:fill="D9D9D9" w:themeFill="background1" w:themeFillShade="D9"/>
          </w:tcPr>
          <w:p w14:paraId="0FB1ED47" w14:textId="67314B1A" w:rsidR="008B5C01" w:rsidRPr="0080251F" w:rsidRDefault="008B5C01" w:rsidP="005929DC">
            <w:pPr>
              <w:spacing w:after="0"/>
              <w:jc w:val="center"/>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2022</w:t>
            </w:r>
            <w:r w:rsidR="003828E4" w:rsidRPr="0080251F">
              <w:rPr>
                <w:rFonts w:ascii="Times New Roman" w:hAnsi="Times New Roman" w:cs="Times New Roman"/>
                <w:b/>
                <w:bCs/>
                <w:sz w:val="20"/>
                <w:szCs w:val="20"/>
                <w:lang w:val="ro-MD"/>
              </w:rPr>
              <w:t>, mii lei</w:t>
            </w:r>
          </w:p>
        </w:tc>
      </w:tr>
      <w:tr w:rsidR="00813AB0" w:rsidRPr="0080251F" w14:paraId="2E837647" w14:textId="77777777" w:rsidTr="003828E4">
        <w:tc>
          <w:tcPr>
            <w:tcW w:w="7088" w:type="dxa"/>
            <w:vAlign w:val="center"/>
          </w:tcPr>
          <w:p w14:paraId="6CC8A5FC" w14:textId="02AFBEDF"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511 „Credite bancare pe termen scurt”</w:t>
            </w:r>
          </w:p>
        </w:tc>
        <w:tc>
          <w:tcPr>
            <w:tcW w:w="1276" w:type="dxa"/>
            <w:vAlign w:val="center"/>
          </w:tcPr>
          <w:p w14:paraId="68949E32" w14:textId="09F8F063"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0,00</w:t>
            </w:r>
          </w:p>
        </w:tc>
        <w:tc>
          <w:tcPr>
            <w:tcW w:w="1275" w:type="dxa"/>
            <w:vAlign w:val="center"/>
          </w:tcPr>
          <w:p w14:paraId="2885C280" w14:textId="35406D79"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9</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462</w:t>
            </w:r>
            <w:r w:rsidR="00EB724F" w:rsidRPr="0080251F">
              <w:rPr>
                <w:rFonts w:ascii="Times New Roman" w:hAnsi="Times New Roman" w:cs="Times New Roman"/>
                <w:sz w:val="20"/>
                <w:szCs w:val="20"/>
                <w:lang w:val="ro-MD"/>
              </w:rPr>
              <w:t>,9</w:t>
            </w:r>
          </w:p>
        </w:tc>
      </w:tr>
      <w:tr w:rsidR="00813AB0" w:rsidRPr="0080251F" w14:paraId="765B4650" w14:textId="77777777" w:rsidTr="003828E4">
        <w:tc>
          <w:tcPr>
            <w:tcW w:w="7088" w:type="dxa"/>
            <w:vAlign w:val="center"/>
          </w:tcPr>
          <w:p w14:paraId="045D4A1A" w14:textId="45C0A8C2"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521 „Datorii comerciale curente”</w:t>
            </w:r>
          </w:p>
        </w:tc>
        <w:tc>
          <w:tcPr>
            <w:tcW w:w="1276" w:type="dxa"/>
            <w:vAlign w:val="center"/>
          </w:tcPr>
          <w:p w14:paraId="09F085CA" w14:textId="1F02DD32"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99</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049</w:t>
            </w:r>
            <w:r w:rsidR="00EB724F" w:rsidRPr="0080251F">
              <w:rPr>
                <w:rFonts w:ascii="Times New Roman" w:hAnsi="Times New Roman" w:cs="Times New Roman"/>
                <w:sz w:val="20"/>
                <w:szCs w:val="20"/>
                <w:lang w:val="ro-MD"/>
              </w:rPr>
              <w:t>,5</w:t>
            </w:r>
          </w:p>
        </w:tc>
        <w:tc>
          <w:tcPr>
            <w:tcW w:w="1275" w:type="dxa"/>
            <w:vAlign w:val="center"/>
          </w:tcPr>
          <w:p w14:paraId="6B494EA7" w14:textId="1FACC3EC"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144</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110</w:t>
            </w:r>
            <w:r w:rsidR="00EB724F" w:rsidRPr="0080251F">
              <w:rPr>
                <w:rFonts w:ascii="Times New Roman" w:hAnsi="Times New Roman" w:cs="Times New Roman"/>
                <w:sz w:val="20"/>
                <w:szCs w:val="20"/>
                <w:lang w:val="ro-MD"/>
              </w:rPr>
              <w:t>,7</w:t>
            </w:r>
          </w:p>
        </w:tc>
      </w:tr>
      <w:tr w:rsidR="00813AB0" w:rsidRPr="0080251F" w14:paraId="206AA9FD" w14:textId="77777777" w:rsidTr="003828E4">
        <w:trPr>
          <w:trHeight w:val="173"/>
        </w:trPr>
        <w:tc>
          <w:tcPr>
            <w:tcW w:w="7088" w:type="dxa"/>
            <w:vAlign w:val="center"/>
          </w:tcPr>
          <w:p w14:paraId="26A56FC3" w14:textId="55C19906"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523 „Avansuri primite curente” (datoria pe avansurile primite în baza contractelor semnate, până la facturare/achitare (materiale, locațiunea)</w:t>
            </w:r>
            <w:r w:rsidR="0050019B" w:rsidRPr="0080251F">
              <w:rPr>
                <w:rFonts w:ascii="Times New Roman" w:hAnsi="Times New Roman" w:cs="Times New Roman"/>
                <w:bCs/>
                <w:sz w:val="20"/>
                <w:szCs w:val="20"/>
                <w:lang w:val="ro-MD"/>
              </w:rPr>
              <w:t>)</w:t>
            </w:r>
          </w:p>
        </w:tc>
        <w:tc>
          <w:tcPr>
            <w:tcW w:w="1276" w:type="dxa"/>
            <w:vAlign w:val="center"/>
          </w:tcPr>
          <w:p w14:paraId="33BD59B1" w14:textId="1AD73707"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347</w:t>
            </w:r>
            <w:r w:rsidR="00EB724F" w:rsidRPr="0080251F">
              <w:rPr>
                <w:rFonts w:ascii="Times New Roman" w:hAnsi="Times New Roman" w:cs="Times New Roman"/>
                <w:sz w:val="20"/>
                <w:szCs w:val="20"/>
                <w:lang w:val="ro-MD"/>
              </w:rPr>
              <w:t>,4</w:t>
            </w:r>
          </w:p>
        </w:tc>
        <w:tc>
          <w:tcPr>
            <w:tcW w:w="1275" w:type="dxa"/>
            <w:vAlign w:val="center"/>
          </w:tcPr>
          <w:p w14:paraId="0226AA94" w14:textId="0797BCCB"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273</w:t>
            </w:r>
            <w:r w:rsidR="00EB724F" w:rsidRPr="0080251F">
              <w:rPr>
                <w:rFonts w:ascii="Times New Roman" w:hAnsi="Times New Roman" w:cs="Times New Roman"/>
                <w:sz w:val="20"/>
                <w:szCs w:val="20"/>
                <w:lang w:val="ro-MD"/>
              </w:rPr>
              <w:t>,1</w:t>
            </w:r>
          </w:p>
        </w:tc>
      </w:tr>
      <w:tr w:rsidR="00813AB0" w:rsidRPr="0080251F" w14:paraId="751F1F68" w14:textId="77777777" w:rsidTr="003828E4">
        <w:trPr>
          <w:trHeight w:val="173"/>
        </w:trPr>
        <w:tc>
          <w:tcPr>
            <w:tcW w:w="7088" w:type="dxa"/>
            <w:vAlign w:val="center"/>
          </w:tcPr>
          <w:p w14:paraId="3E62167F" w14:textId="7439DDB5"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 xml:space="preserve">531 „Datorii față de personal privind retribuirea muncii”  </w:t>
            </w:r>
          </w:p>
        </w:tc>
        <w:tc>
          <w:tcPr>
            <w:tcW w:w="1276" w:type="dxa"/>
            <w:vAlign w:val="center"/>
          </w:tcPr>
          <w:p w14:paraId="5405DC61" w14:textId="6ECE2FB9"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12</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290</w:t>
            </w:r>
            <w:r w:rsidR="00EB724F" w:rsidRPr="0080251F">
              <w:rPr>
                <w:rFonts w:ascii="Times New Roman" w:hAnsi="Times New Roman" w:cs="Times New Roman"/>
                <w:sz w:val="20"/>
                <w:szCs w:val="20"/>
                <w:lang w:val="ro-MD"/>
              </w:rPr>
              <w:t>,3</w:t>
            </w:r>
          </w:p>
        </w:tc>
        <w:tc>
          <w:tcPr>
            <w:tcW w:w="1275" w:type="dxa"/>
            <w:vAlign w:val="center"/>
          </w:tcPr>
          <w:p w14:paraId="7FE451B2" w14:textId="3E17700E"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19</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084</w:t>
            </w:r>
            <w:r w:rsidR="00EB724F" w:rsidRPr="0080251F">
              <w:rPr>
                <w:rFonts w:ascii="Times New Roman" w:hAnsi="Times New Roman" w:cs="Times New Roman"/>
                <w:sz w:val="20"/>
                <w:szCs w:val="20"/>
                <w:lang w:val="ro-MD"/>
              </w:rPr>
              <w:t>,3</w:t>
            </w:r>
          </w:p>
        </w:tc>
      </w:tr>
      <w:tr w:rsidR="00813AB0" w:rsidRPr="0080251F" w14:paraId="4F4E8B7A" w14:textId="77777777" w:rsidTr="003828E4">
        <w:trPr>
          <w:trHeight w:val="173"/>
        </w:trPr>
        <w:tc>
          <w:tcPr>
            <w:tcW w:w="7088" w:type="dxa"/>
            <w:vAlign w:val="center"/>
          </w:tcPr>
          <w:p w14:paraId="1C410D71" w14:textId="001E55AC"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Contul 532 „Datorii fâță de personal privind alte operații” (datorii pentru recuperarea pagubelor de către lucrători (lipsurile la inventariere); datorii cu titularii de avans/compensarea cheltuielilor de deplasare)</w:t>
            </w:r>
          </w:p>
        </w:tc>
        <w:tc>
          <w:tcPr>
            <w:tcW w:w="1276" w:type="dxa"/>
            <w:vAlign w:val="center"/>
          </w:tcPr>
          <w:p w14:paraId="06AD7528" w14:textId="1B996E24"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101</w:t>
            </w:r>
            <w:r w:rsidR="00EB724F" w:rsidRPr="0080251F">
              <w:rPr>
                <w:rFonts w:ascii="Times New Roman" w:hAnsi="Times New Roman" w:cs="Times New Roman"/>
                <w:sz w:val="20"/>
                <w:szCs w:val="20"/>
                <w:lang w:val="ro-MD"/>
              </w:rPr>
              <w:t>,2</w:t>
            </w:r>
          </w:p>
        </w:tc>
        <w:tc>
          <w:tcPr>
            <w:tcW w:w="1275" w:type="dxa"/>
            <w:vAlign w:val="center"/>
          </w:tcPr>
          <w:p w14:paraId="47742F7C" w14:textId="25F6F560"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127</w:t>
            </w:r>
            <w:r w:rsidR="00EB724F" w:rsidRPr="0080251F">
              <w:rPr>
                <w:rFonts w:ascii="Times New Roman" w:hAnsi="Times New Roman" w:cs="Times New Roman"/>
                <w:sz w:val="20"/>
                <w:szCs w:val="20"/>
                <w:lang w:val="ro-MD"/>
              </w:rPr>
              <w:t>,4</w:t>
            </w:r>
          </w:p>
        </w:tc>
      </w:tr>
      <w:tr w:rsidR="00813AB0" w:rsidRPr="0080251F" w14:paraId="579FCC6A" w14:textId="77777777" w:rsidTr="003828E4">
        <w:trPr>
          <w:trHeight w:val="173"/>
        </w:trPr>
        <w:tc>
          <w:tcPr>
            <w:tcW w:w="7088" w:type="dxa"/>
            <w:vAlign w:val="center"/>
          </w:tcPr>
          <w:p w14:paraId="0044962A" w14:textId="088C84E1"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 xml:space="preserve">533 „Datorii privind asigurările sociale și medicale” </w:t>
            </w:r>
          </w:p>
        </w:tc>
        <w:tc>
          <w:tcPr>
            <w:tcW w:w="1276" w:type="dxa"/>
            <w:vAlign w:val="center"/>
          </w:tcPr>
          <w:p w14:paraId="62417790" w14:textId="5904F095"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10</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628</w:t>
            </w:r>
            <w:r w:rsidR="00EB724F" w:rsidRPr="0080251F">
              <w:rPr>
                <w:rFonts w:ascii="Times New Roman" w:hAnsi="Times New Roman" w:cs="Times New Roman"/>
                <w:sz w:val="20"/>
                <w:szCs w:val="20"/>
                <w:lang w:val="ro-MD"/>
              </w:rPr>
              <w:t>,3</w:t>
            </w:r>
          </w:p>
        </w:tc>
        <w:tc>
          <w:tcPr>
            <w:tcW w:w="1275" w:type="dxa"/>
            <w:vAlign w:val="center"/>
          </w:tcPr>
          <w:p w14:paraId="0494B2E6" w14:textId="2D7CFC85"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9</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739</w:t>
            </w:r>
            <w:r w:rsidR="00EB724F" w:rsidRPr="0080251F">
              <w:rPr>
                <w:rFonts w:ascii="Times New Roman" w:hAnsi="Times New Roman" w:cs="Times New Roman"/>
                <w:sz w:val="20"/>
                <w:szCs w:val="20"/>
                <w:lang w:val="ro-MD"/>
              </w:rPr>
              <w:t>,3</w:t>
            </w:r>
          </w:p>
        </w:tc>
      </w:tr>
      <w:tr w:rsidR="00813AB0" w:rsidRPr="0080251F" w14:paraId="4AA31912" w14:textId="77777777" w:rsidTr="003828E4">
        <w:trPr>
          <w:trHeight w:val="173"/>
        </w:trPr>
        <w:tc>
          <w:tcPr>
            <w:tcW w:w="7088" w:type="dxa"/>
            <w:vAlign w:val="center"/>
          </w:tcPr>
          <w:p w14:paraId="7BEBD8AB" w14:textId="154BC1F2"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534 „Datorii față de buget”</w:t>
            </w:r>
          </w:p>
        </w:tc>
        <w:tc>
          <w:tcPr>
            <w:tcW w:w="1276" w:type="dxa"/>
            <w:vAlign w:val="center"/>
          </w:tcPr>
          <w:p w14:paraId="21E40392" w14:textId="0ED4605A"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10</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983</w:t>
            </w:r>
            <w:r w:rsidR="00EB724F" w:rsidRPr="0080251F">
              <w:rPr>
                <w:rFonts w:ascii="Times New Roman" w:hAnsi="Times New Roman" w:cs="Times New Roman"/>
                <w:sz w:val="20"/>
                <w:szCs w:val="20"/>
                <w:lang w:val="ro-MD"/>
              </w:rPr>
              <w:t>,4</w:t>
            </w:r>
          </w:p>
        </w:tc>
        <w:tc>
          <w:tcPr>
            <w:tcW w:w="1275" w:type="dxa"/>
            <w:vAlign w:val="center"/>
          </w:tcPr>
          <w:p w14:paraId="4369BDCC" w14:textId="32989EE3"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10</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329</w:t>
            </w:r>
            <w:r w:rsidR="00EB724F" w:rsidRPr="0080251F">
              <w:rPr>
                <w:rFonts w:ascii="Times New Roman" w:hAnsi="Times New Roman" w:cs="Times New Roman"/>
                <w:sz w:val="20"/>
                <w:szCs w:val="20"/>
                <w:lang w:val="ro-MD"/>
              </w:rPr>
              <w:t>,2</w:t>
            </w:r>
          </w:p>
        </w:tc>
      </w:tr>
      <w:tr w:rsidR="00813AB0" w:rsidRPr="0080251F" w14:paraId="5C15A071" w14:textId="77777777" w:rsidTr="003828E4">
        <w:trPr>
          <w:trHeight w:val="173"/>
        </w:trPr>
        <w:tc>
          <w:tcPr>
            <w:tcW w:w="7088" w:type="dxa"/>
            <w:vAlign w:val="center"/>
          </w:tcPr>
          <w:p w14:paraId="79F09745" w14:textId="54D80503"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535 „Venituri anticipate curente”</w:t>
            </w:r>
            <w:r w:rsidRPr="0080251F">
              <w:rPr>
                <w:rFonts w:ascii="Times New Roman" w:hAnsi="Times New Roman" w:cs="Times New Roman"/>
                <w:bCs/>
                <w:sz w:val="20"/>
                <w:szCs w:val="20"/>
                <w:vertAlign w:val="superscript"/>
                <w:lang w:val="ro-MD"/>
              </w:rPr>
              <w:footnoteReference w:id="50"/>
            </w:r>
            <w:r w:rsidRPr="0080251F">
              <w:rPr>
                <w:rFonts w:ascii="Times New Roman" w:hAnsi="Times New Roman" w:cs="Times New Roman"/>
                <w:bCs/>
                <w:sz w:val="20"/>
                <w:szCs w:val="20"/>
                <w:lang w:val="ro-MD"/>
              </w:rPr>
              <w:t xml:space="preserve"> (mijloacele fixe primite cu titlu gratuit (inclusiv, preluate de la S.A. „R</w:t>
            </w:r>
            <w:r w:rsidR="000261FF" w:rsidRPr="0080251F">
              <w:rPr>
                <w:rFonts w:ascii="Times New Roman" w:hAnsi="Times New Roman" w:cs="Times New Roman"/>
                <w:bCs/>
                <w:sz w:val="20"/>
                <w:szCs w:val="20"/>
                <w:lang w:val="ro-MD"/>
              </w:rPr>
              <w:t xml:space="preserve">ED </w:t>
            </w:r>
            <w:r w:rsidRPr="0080251F">
              <w:rPr>
                <w:rFonts w:ascii="Times New Roman" w:hAnsi="Times New Roman" w:cs="Times New Roman"/>
                <w:bCs/>
                <w:sz w:val="20"/>
                <w:szCs w:val="20"/>
                <w:lang w:val="ro-MD"/>
              </w:rPr>
              <w:t>Nord-Vest”) - datoria se micșorează din contul valorii uzurii acumulate anual, care se trece la venituri; de la devierile tarifare pozitive înregistrate)</w:t>
            </w:r>
          </w:p>
        </w:tc>
        <w:tc>
          <w:tcPr>
            <w:tcW w:w="1276" w:type="dxa"/>
            <w:vAlign w:val="center"/>
          </w:tcPr>
          <w:p w14:paraId="1DE822D6" w14:textId="6ACFAF95"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41</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788</w:t>
            </w:r>
            <w:r w:rsidR="00EB724F" w:rsidRPr="0080251F">
              <w:rPr>
                <w:rFonts w:ascii="Times New Roman" w:hAnsi="Times New Roman" w:cs="Times New Roman"/>
                <w:sz w:val="20"/>
                <w:szCs w:val="20"/>
                <w:lang w:val="ro-MD"/>
              </w:rPr>
              <w:t>,6</w:t>
            </w:r>
          </w:p>
        </w:tc>
        <w:tc>
          <w:tcPr>
            <w:tcW w:w="1275" w:type="dxa"/>
            <w:vAlign w:val="center"/>
          </w:tcPr>
          <w:p w14:paraId="6D8D2D74" w14:textId="10301145"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1</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583</w:t>
            </w:r>
            <w:r w:rsidR="00EB724F" w:rsidRPr="0080251F">
              <w:rPr>
                <w:rFonts w:ascii="Times New Roman" w:hAnsi="Times New Roman" w:cs="Times New Roman"/>
                <w:sz w:val="20"/>
                <w:szCs w:val="20"/>
                <w:lang w:val="ro-MD"/>
              </w:rPr>
              <w:t>,9</w:t>
            </w:r>
          </w:p>
        </w:tc>
      </w:tr>
      <w:tr w:rsidR="00813AB0" w:rsidRPr="0080251F" w14:paraId="3BF2F91E" w14:textId="77777777" w:rsidTr="003828E4">
        <w:trPr>
          <w:trHeight w:val="173"/>
        </w:trPr>
        <w:tc>
          <w:tcPr>
            <w:tcW w:w="7088" w:type="dxa"/>
            <w:vAlign w:val="center"/>
          </w:tcPr>
          <w:p w14:paraId="19A14F91" w14:textId="3B3B39FE"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538 „Provizioane curente” (cheltuielile viitoare care urmează a fi executate: calculul pentru concedii; costul serviciilor de audit extern; cheltuielile de judecată; costul dezechilibrelor de energie electrică de la consumul tehnologic</w:t>
            </w:r>
            <w:r w:rsidRPr="0080251F">
              <w:rPr>
                <w:rFonts w:ascii="Times New Roman" w:hAnsi="Times New Roman" w:cs="Times New Roman"/>
                <w:bCs/>
                <w:sz w:val="20"/>
                <w:szCs w:val="20"/>
                <w:vertAlign w:val="superscript"/>
                <w:lang w:val="ro-MD"/>
              </w:rPr>
              <w:footnoteReference w:id="51"/>
            </w:r>
            <w:r w:rsidRPr="0080251F">
              <w:rPr>
                <w:rFonts w:ascii="Times New Roman" w:hAnsi="Times New Roman" w:cs="Times New Roman"/>
                <w:bCs/>
                <w:sz w:val="20"/>
                <w:szCs w:val="20"/>
                <w:lang w:val="ro-MD"/>
              </w:rPr>
              <w:t>)</w:t>
            </w:r>
          </w:p>
        </w:tc>
        <w:tc>
          <w:tcPr>
            <w:tcW w:w="1276" w:type="dxa"/>
            <w:vAlign w:val="center"/>
          </w:tcPr>
          <w:p w14:paraId="5C761A8E" w14:textId="3BDF5DA8"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2</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385</w:t>
            </w:r>
            <w:r w:rsidR="00EB724F" w:rsidRPr="0080251F">
              <w:rPr>
                <w:rFonts w:ascii="Times New Roman" w:hAnsi="Times New Roman" w:cs="Times New Roman"/>
                <w:sz w:val="20"/>
                <w:szCs w:val="20"/>
                <w:lang w:val="ro-MD"/>
              </w:rPr>
              <w:t>,8</w:t>
            </w:r>
          </w:p>
        </w:tc>
        <w:tc>
          <w:tcPr>
            <w:tcW w:w="1275" w:type="dxa"/>
            <w:vAlign w:val="center"/>
          </w:tcPr>
          <w:p w14:paraId="39E5B239" w14:textId="44623D80"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6</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781</w:t>
            </w:r>
            <w:r w:rsidR="00EB724F" w:rsidRPr="0080251F">
              <w:rPr>
                <w:rFonts w:ascii="Times New Roman" w:hAnsi="Times New Roman" w:cs="Times New Roman"/>
                <w:sz w:val="20"/>
                <w:szCs w:val="20"/>
                <w:lang w:val="ro-MD"/>
              </w:rPr>
              <w:t>,2</w:t>
            </w:r>
          </w:p>
        </w:tc>
      </w:tr>
      <w:tr w:rsidR="00813AB0" w:rsidRPr="0080251F" w14:paraId="0D0231AF" w14:textId="77777777" w:rsidTr="003828E4">
        <w:trPr>
          <w:trHeight w:val="173"/>
        </w:trPr>
        <w:tc>
          <w:tcPr>
            <w:tcW w:w="7088" w:type="dxa"/>
            <w:vAlign w:val="center"/>
          </w:tcPr>
          <w:p w14:paraId="4C916F0D" w14:textId="1DFE6B36" w:rsidR="00813AB0" w:rsidRPr="0080251F" w:rsidRDefault="00813AB0" w:rsidP="005929DC">
            <w:pPr>
              <w:spacing w:after="0"/>
              <w:jc w:val="both"/>
              <w:rPr>
                <w:rFonts w:ascii="Times New Roman" w:hAnsi="Times New Roman" w:cs="Times New Roman"/>
                <w:bCs/>
                <w:sz w:val="20"/>
                <w:szCs w:val="20"/>
                <w:lang w:val="ro-MD"/>
              </w:rPr>
            </w:pPr>
            <w:r w:rsidRPr="0080251F">
              <w:rPr>
                <w:rFonts w:ascii="Times New Roman" w:hAnsi="Times New Roman" w:cs="Times New Roman"/>
                <w:bCs/>
                <w:sz w:val="20"/>
                <w:szCs w:val="20"/>
                <w:lang w:val="ro-MD"/>
              </w:rPr>
              <w:t>544 „Alte datorii curente” (cheltuielile/plățile obligatorii privind: garanțiile contractuale de bună execuție depuse în baza contractelor de achiziții</w:t>
            </w:r>
            <w:r w:rsidRPr="0080251F">
              <w:rPr>
                <w:rFonts w:ascii="Times New Roman" w:hAnsi="Times New Roman" w:cs="Times New Roman"/>
                <w:bCs/>
                <w:sz w:val="20"/>
                <w:szCs w:val="20"/>
                <w:vertAlign w:val="superscript"/>
                <w:lang w:val="ro-MD"/>
              </w:rPr>
              <w:footnoteReference w:id="52"/>
            </w:r>
            <w:r w:rsidRPr="0080251F">
              <w:rPr>
                <w:rFonts w:ascii="Times New Roman" w:hAnsi="Times New Roman" w:cs="Times New Roman"/>
                <w:bCs/>
                <w:sz w:val="20"/>
                <w:szCs w:val="20"/>
                <w:lang w:val="ro-MD"/>
              </w:rPr>
              <w:t>; plățile regulatorii în temeiul prevederilor legale (Agenția Construcții și Dezvoltare</w:t>
            </w:r>
            <w:r w:rsidR="00AC2EA3" w:rsidRPr="0080251F">
              <w:rPr>
                <w:rFonts w:ascii="Times New Roman" w:hAnsi="Times New Roman" w:cs="Times New Roman"/>
                <w:bCs/>
                <w:sz w:val="20"/>
                <w:szCs w:val="20"/>
                <w:lang w:val="ro-MD"/>
              </w:rPr>
              <w:t xml:space="preserve"> a Teritoriului</w:t>
            </w:r>
            <w:r w:rsidRPr="0080251F">
              <w:rPr>
                <w:rFonts w:ascii="Times New Roman" w:hAnsi="Times New Roman" w:cs="Times New Roman"/>
                <w:bCs/>
                <w:sz w:val="20"/>
                <w:szCs w:val="20"/>
                <w:lang w:val="ro-MD"/>
              </w:rPr>
              <w:t>, ANRE); sumele datorate în baza litigiilor civile examinate în instanța de judecată (pe contracte comerciale, pe raporturile de muncă (remunerațiile datorate, pagubele de la accidentele de muncă)); pensia alimentară; cotizații sindicale</w:t>
            </w:r>
            <w:r w:rsidR="00E21B80" w:rsidRPr="0080251F">
              <w:rPr>
                <w:rFonts w:ascii="Times New Roman" w:hAnsi="Times New Roman" w:cs="Times New Roman"/>
                <w:bCs/>
                <w:sz w:val="20"/>
                <w:szCs w:val="20"/>
                <w:lang w:val="ro-MD"/>
              </w:rPr>
              <w:t xml:space="preserve"> datorate de salariați</w:t>
            </w:r>
            <w:r w:rsidRPr="0080251F">
              <w:rPr>
                <w:rFonts w:ascii="Times New Roman" w:hAnsi="Times New Roman" w:cs="Times New Roman"/>
                <w:bCs/>
                <w:sz w:val="20"/>
                <w:szCs w:val="20"/>
                <w:vertAlign w:val="superscript"/>
                <w:lang w:val="ro-MD"/>
              </w:rPr>
              <w:footnoteReference w:id="53"/>
            </w:r>
            <w:r w:rsidRPr="0080251F">
              <w:rPr>
                <w:rFonts w:ascii="Times New Roman" w:hAnsi="Times New Roman" w:cs="Times New Roman"/>
                <w:bCs/>
                <w:sz w:val="20"/>
                <w:szCs w:val="20"/>
                <w:lang w:val="ro-MD"/>
              </w:rPr>
              <w:t>; onorariul executorului judecătoresc; plățile pentru serviciul militar de alternativă; compensarea depășirii valorii indicilor garantați la energia electrică distribuită</w:t>
            </w:r>
            <w:r w:rsidRPr="0080251F">
              <w:rPr>
                <w:rFonts w:ascii="Times New Roman" w:hAnsi="Times New Roman" w:cs="Times New Roman"/>
                <w:bCs/>
                <w:sz w:val="20"/>
                <w:szCs w:val="20"/>
                <w:vertAlign w:val="superscript"/>
                <w:lang w:val="ro-MD"/>
              </w:rPr>
              <w:footnoteReference w:id="54"/>
            </w:r>
            <w:r w:rsidRPr="0080251F">
              <w:rPr>
                <w:rFonts w:ascii="Times New Roman" w:hAnsi="Times New Roman" w:cs="Times New Roman"/>
                <w:bCs/>
                <w:sz w:val="20"/>
                <w:szCs w:val="20"/>
                <w:lang w:val="ro-MD"/>
              </w:rPr>
              <w:t>)</w:t>
            </w:r>
          </w:p>
        </w:tc>
        <w:tc>
          <w:tcPr>
            <w:tcW w:w="1276" w:type="dxa"/>
            <w:vAlign w:val="center"/>
          </w:tcPr>
          <w:p w14:paraId="025E30E0" w14:textId="1B80B8BE"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7</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589</w:t>
            </w:r>
            <w:r w:rsidR="00EB724F" w:rsidRPr="0080251F">
              <w:rPr>
                <w:rFonts w:ascii="Times New Roman" w:hAnsi="Times New Roman" w:cs="Times New Roman"/>
                <w:sz w:val="20"/>
                <w:szCs w:val="20"/>
                <w:lang w:val="ro-MD"/>
              </w:rPr>
              <w:t>,0</w:t>
            </w:r>
          </w:p>
        </w:tc>
        <w:tc>
          <w:tcPr>
            <w:tcW w:w="1275" w:type="dxa"/>
            <w:vAlign w:val="center"/>
          </w:tcPr>
          <w:p w14:paraId="7285AB1B" w14:textId="0D8F3A70" w:rsidR="00813AB0" w:rsidRPr="0080251F" w:rsidRDefault="00813AB0" w:rsidP="005929DC">
            <w:pPr>
              <w:spacing w:after="0"/>
              <w:jc w:val="right"/>
              <w:rPr>
                <w:rFonts w:ascii="Times New Roman" w:hAnsi="Times New Roman" w:cs="Times New Roman"/>
                <w:bCs/>
                <w:sz w:val="20"/>
                <w:szCs w:val="20"/>
                <w:lang w:val="ro-MD"/>
              </w:rPr>
            </w:pPr>
            <w:r w:rsidRPr="0080251F">
              <w:rPr>
                <w:rFonts w:ascii="Times New Roman" w:hAnsi="Times New Roman" w:cs="Times New Roman"/>
                <w:sz w:val="20"/>
                <w:szCs w:val="20"/>
                <w:lang w:val="ro-MD"/>
              </w:rPr>
              <w:t>4</w:t>
            </w:r>
            <w:r w:rsidR="00EB724F" w:rsidRPr="0080251F">
              <w:rPr>
                <w:rFonts w:ascii="Times New Roman" w:hAnsi="Times New Roman" w:cs="Times New Roman"/>
                <w:sz w:val="20"/>
                <w:szCs w:val="20"/>
                <w:lang w:val="ro-MD"/>
              </w:rPr>
              <w:t>.</w:t>
            </w:r>
            <w:r w:rsidRPr="0080251F">
              <w:rPr>
                <w:rFonts w:ascii="Times New Roman" w:hAnsi="Times New Roman" w:cs="Times New Roman"/>
                <w:sz w:val="20"/>
                <w:szCs w:val="20"/>
                <w:lang w:val="ro-MD"/>
              </w:rPr>
              <w:t>615</w:t>
            </w:r>
            <w:r w:rsidR="00EB724F" w:rsidRPr="0080251F">
              <w:rPr>
                <w:rFonts w:ascii="Times New Roman" w:hAnsi="Times New Roman" w:cs="Times New Roman"/>
                <w:sz w:val="20"/>
                <w:szCs w:val="20"/>
                <w:lang w:val="ro-MD"/>
              </w:rPr>
              <w:t>,9</w:t>
            </w:r>
          </w:p>
        </w:tc>
      </w:tr>
      <w:tr w:rsidR="00813AB0" w:rsidRPr="0080251F" w14:paraId="68CE39F5" w14:textId="77777777" w:rsidTr="003828E4">
        <w:tc>
          <w:tcPr>
            <w:tcW w:w="7088" w:type="dxa"/>
          </w:tcPr>
          <w:p w14:paraId="3708078F" w14:textId="77777777" w:rsidR="00813AB0" w:rsidRPr="0080251F" w:rsidRDefault="00813AB0" w:rsidP="005929DC">
            <w:pPr>
              <w:spacing w:after="0"/>
              <w:rPr>
                <w:rFonts w:ascii="Times New Roman" w:hAnsi="Times New Roman" w:cs="Times New Roman"/>
                <w:b/>
                <w:bCs/>
                <w:sz w:val="20"/>
                <w:szCs w:val="20"/>
                <w:lang w:val="ro-MD"/>
              </w:rPr>
            </w:pPr>
            <w:r w:rsidRPr="0080251F">
              <w:rPr>
                <w:rFonts w:ascii="Times New Roman" w:hAnsi="Times New Roman" w:cs="Times New Roman"/>
                <w:b/>
                <w:bCs/>
                <w:sz w:val="20"/>
                <w:szCs w:val="20"/>
                <w:lang w:val="ro-MD"/>
              </w:rPr>
              <w:t>Total</w:t>
            </w:r>
          </w:p>
        </w:tc>
        <w:tc>
          <w:tcPr>
            <w:tcW w:w="1276" w:type="dxa"/>
            <w:vAlign w:val="center"/>
          </w:tcPr>
          <w:p w14:paraId="4A16CFB7" w14:textId="7BEF4F69" w:rsidR="00813AB0" w:rsidRPr="0080251F" w:rsidRDefault="00813AB0" w:rsidP="005929DC">
            <w:pPr>
              <w:spacing w:after="0"/>
              <w:jc w:val="right"/>
              <w:rPr>
                <w:rFonts w:ascii="Times New Roman" w:hAnsi="Times New Roman" w:cs="Times New Roman"/>
                <w:b/>
                <w:bCs/>
                <w:sz w:val="20"/>
                <w:szCs w:val="20"/>
                <w:lang w:val="ro-MD"/>
              </w:rPr>
            </w:pPr>
            <w:r w:rsidRPr="0080251F">
              <w:rPr>
                <w:rFonts w:ascii="Times New Roman" w:hAnsi="Times New Roman" w:cs="Times New Roman"/>
                <w:b/>
                <w:color w:val="000000"/>
                <w:sz w:val="20"/>
                <w:szCs w:val="20"/>
                <w:lang w:val="ro-MD"/>
              </w:rPr>
              <w:t>185</w:t>
            </w:r>
            <w:r w:rsidR="00EB724F" w:rsidRPr="0080251F">
              <w:rPr>
                <w:rFonts w:ascii="Times New Roman" w:hAnsi="Times New Roman" w:cs="Times New Roman"/>
                <w:b/>
                <w:color w:val="000000"/>
                <w:sz w:val="20"/>
                <w:szCs w:val="20"/>
                <w:lang w:val="ro-MD"/>
              </w:rPr>
              <w:t>.</w:t>
            </w:r>
            <w:r w:rsidRPr="0080251F">
              <w:rPr>
                <w:rFonts w:ascii="Times New Roman" w:hAnsi="Times New Roman" w:cs="Times New Roman"/>
                <w:b/>
                <w:color w:val="000000"/>
                <w:sz w:val="20"/>
                <w:szCs w:val="20"/>
                <w:lang w:val="ro-MD"/>
              </w:rPr>
              <w:t>163</w:t>
            </w:r>
            <w:r w:rsidR="00EB724F" w:rsidRPr="0080251F">
              <w:rPr>
                <w:rFonts w:ascii="Times New Roman" w:hAnsi="Times New Roman" w:cs="Times New Roman"/>
                <w:b/>
                <w:color w:val="000000"/>
                <w:sz w:val="20"/>
                <w:szCs w:val="20"/>
                <w:lang w:val="ro-MD"/>
              </w:rPr>
              <w:t>,4</w:t>
            </w:r>
          </w:p>
        </w:tc>
        <w:tc>
          <w:tcPr>
            <w:tcW w:w="1275" w:type="dxa"/>
            <w:vAlign w:val="center"/>
          </w:tcPr>
          <w:p w14:paraId="682B865B" w14:textId="6D4895DF" w:rsidR="00813AB0" w:rsidRPr="0080251F" w:rsidRDefault="00813AB0" w:rsidP="005929DC">
            <w:pPr>
              <w:spacing w:after="0"/>
              <w:jc w:val="right"/>
              <w:rPr>
                <w:rFonts w:ascii="Times New Roman" w:hAnsi="Times New Roman" w:cs="Times New Roman"/>
                <w:b/>
                <w:bCs/>
                <w:sz w:val="20"/>
                <w:szCs w:val="20"/>
                <w:lang w:val="ro-MD"/>
              </w:rPr>
            </w:pPr>
            <w:r w:rsidRPr="0080251F">
              <w:rPr>
                <w:rFonts w:ascii="Times New Roman" w:hAnsi="Times New Roman" w:cs="Times New Roman"/>
                <w:b/>
                <w:color w:val="000000"/>
                <w:sz w:val="20"/>
                <w:szCs w:val="20"/>
                <w:lang w:val="ro-MD"/>
              </w:rPr>
              <w:t>206</w:t>
            </w:r>
            <w:r w:rsidR="00EB724F" w:rsidRPr="0080251F">
              <w:rPr>
                <w:rFonts w:ascii="Times New Roman" w:hAnsi="Times New Roman" w:cs="Times New Roman"/>
                <w:b/>
                <w:color w:val="000000"/>
                <w:sz w:val="20"/>
                <w:szCs w:val="20"/>
                <w:lang w:val="ro-MD"/>
              </w:rPr>
              <w:t>.</w:t>
            </w:r>
            <w:r w:rsidRPr="0080251F">
              <w:rPr>
                <w:rFonts w:ascii="Times New Roman" w:hAnsi="Times New Roman" w:cs="Times New Roman"/>
                <w:b/>
                <w:color w:val="000000"/>
                <w:sz w:val="20"/>
                <w:szCs w:val="20"/>
                <w:lang w:val="ro-MD"/>
              </w:rPr>
              <w:t>107</w:t>
            </w:r>
            <w:r w:rsidR="00EB724F" w:rsidRPr="0080251F">
              <w:rPr>
                <w:rFonts w:ascii="Times New Roman" w:hAnsi="Times New Roman" w:cs="Times New Roman"/>
                <w:b/>
                <w:color w:val="000000"/>
                <w:sz w:val="20"/>
                <w:szCs w:val="20"/>
                <w:lang w:val="ro-MD"/>
              </w:rPr>
              <w:t>,9</w:t>
            </w:r>
          </w:p>
        </w:tc>
      </w:tr>
    </w:tbl>
    <w:p w14:paraId="37728957" w14:textId="77777777" w:rsidR="003C43BE" w:rsidRPr="0080251F" w:rsidRDefault="003C43BE" w:rsidP="003C43BE">
      <w:pPr>
        <w:spacing w:after="240"/>
        <w:jc w:val="both"/>
        <w:rPr>
          <w:rFonts w:ascii="Times New Roman" w:hAnsi="Times New Roman" w:cs="Times New Roman"/>
          <w:bCs/>
          <w:i/>
          <w:sz w:val="20"/>
          <w:szCs w:val="20"/>
          <w:lang w:val="ro-MD"/>
        </w:rPr>
      </w:pPr>
      <w:r w:rsidRPr="0080251F">
        <w:rPr>
          <w:rFonts w:ascii="Times New Roman" w:hAnsi="Times New Roman" w:cs="Times New Roman"/>
          <w:b/>
          <w:bCs/>
          <w:i/>
          <w:sz w:val="20"/>
          <w:szCs w:val="20"/>
          <w:lang w:val="ro-MD"/>
        </w:rPr>
        <w:t>Sursă:</w:t>
      </w:r>
      <w:r w:rsidRPr="0080251F">
        <w:rPr>
          <w:rFonts w:ascii="Times New Roman" w:hAnsi="Times New Roman" w:cs="Times New Roman"/>
          <w:bCs/>
          <w:i/>
          <w:sz w:val="20"/>
          <w:szCs w:val="20"/>
          <w:lang w:val="ro-MD"/>
        </w:rPr>
        <w:t xml:space="preserve"> Datele evidenței contabile pentru anii 2021-2022.</w:t>
      </w:r>
    </w:p>
    <w:p w14:paraId="3EC9C055" w14:textId="79FF6977" w:rsidR="003C2D85" w:rsidRPr="009A4350" w:rsidRDefault="003C2D85" w:rsidP="003C43BE">
      <w:pPr>
        <w:spacing w:after="0"/>
        <w:ind w:firstLine="709"/>
        <w:jc w:val="both"/>
        <w:rPr>
          <w:rFonts w:ascii="Times New Roman" w:hAnsi="Times New Roman" w:cs="Times New Roman"/>
          <w:bCs/>
          <w:i/>
          <w:sz w:val="20"/>
          <w:szCs w:val="20"/>
          <w:lang w:val="ro-MD"/>
        </w:rPr>
      </w:pPr>
      <w:r w:rsidRPr="0080251F">
        <w:rPr>
          <w:rFonts w:ascii="Times New Roman" w:hAnsi="Times New Roman" w:cs="Times New Roman"/>
          <w:bCs/>
          <w:sz w:val="24"/>
          <w:szCs w:val="24"/>
          <w:lang w:val="ro-MD"/>
        </w:rPr>
        <w:t>Datoriile comerciale cu termen</w:t>
      </w:r>
      <w:r w:rsidR="00DB57C0" w:rsidRPr="0080251F">
        <w:rPr>
          <w:rFonts w:ascii="Times New Roman" w:hAnsi="Times New Roman" w:cs="Times New Roman"/>
          <w:bCs/>
          <w:sz w:val="24"/>
          <w:szCs w:val="24"/>
          <w:lang w:val="ro-MD"/>
        </w:rPr>
        <w:t>ul</w:t>
      </w:r>
      <w:r w:rsidRPr="0080251F">
        <w:rPr>
          <w:rFonts w:ascii="Times New Roman" w:hAnsi="Times New Roman" w:cs="Times New Roman"/>
          <w:bCs/>
          <w:sz w:val="24"/>
          <w:szCs w:val="24"/>
          <w:lang w:val="ro-MD"/>
        </w:rPr>
        <w:t xml:space="preserve"> de formare de la 1 până la 3 ani au </w:t>
      </w:r>
      <w:r w:rsidRPr="009A4350">
        <w:rPr>
          <w:rFonts w:ascii="Times New Roman" w:hAnsi="Times New Roman" w:cs="Times New Roman"/>
          <w:bCs/>
          <w:sz w:val="24"/>
          <w:szCs w:val="24"/>
          <w:lang w:val="ro-MD"/>
        </w:rPr>
        <w:t xml:space="preserve">constituit: </w:t>
      </w:r>
      <w:r w:rsidR="004F562F" w:rsidRPr="009A4350">
        <w:rPr>
          <w:rFonts w:ascii="Times New Roman" w:hAnsi="Times New Roman" w:cs="Times New Roman"/>
          <w:bCs/>
          <w:sz w:val="24"/>
          <w:szCs w:val="24"/>
          <w:lang w:val="ro-MD"/>
        </w:rPr>
        <w:t>Î</w:t>
      </w:r>
      <w:r w:rsidRPr="009A4350">
        <w:rPr>
          <w:rFonts w:ascii="Times New Roman" w:hAnsi="Times New Roman" w:cs="Times New Roman"/>
          <w:bCs/>
          <w:sz w:val="24"/>
          <w:szCs w:val="24"/>
          <w:lang w:val="ro-MD"/>
        </w:rPr>
        <w:t>M</w:t>
      </w:r>
      <w:r w:rsidR="00C242C2" w:rsidRPr="009A4350">
        <w:rPr>
          <w:rFonts w:ascii="Times New Roman" w:hAnsi="Times New Roman" w:cs="Times New Roman"/>
          <w:bCs/>
          <w:sz w:val="24"/>
          <w:szCs w:val="24"/>
          <w:lang w:val="ro-MD"/>
        </w:rPr>
        <w:t xml:space="preserve"> </w:t>
      </w:r>
      <w:r w:rsidRPr="009A4350">
        <w:rPr>
          <w:rFonts w:ascii="Times New Roman" w:hAnsi="Times New Roman" w:cs="Times New Roman"/>
          <w:bCs/>
          <w:sz w:val="24"/>
          <w:szCs w:val="24"/>
          <w:lang w:val="ro-MD"/>
        </w:rPr>
        <w:t>„Regia Apă-Canal</w:t>
      </w:r>
      <w:r w:rsidR="003641A5" w:rsidRPr="009A4350">
        <w:rPr>
          <w:rFonts w:ascii="Times New Roman" w:hAnsi="Times New Roman" w:cs="Times New Roman"/>
          <w:bCs/>
          <w:sz w:val="24"/>
          <w:szCs w:val="24"/>
          <w:lang w:val="ro-MD"/>
        </w:rPr>
        <w:t xml:space="preserve"> Bălți</w:t>
      </w:r>
      <w:r w:rsidRPr="009A4350">
        <w:rPr>
          <w:rFonts w:ascii="Times New Roman" w:hAnsi="Times New Roman" w:cs="Times New Roman"/>
          <w:bCs/>
          <w:sz w:val="24"/>
          <w:szCs w:val="24"/>
          <w:lang w:val="ro-MD"/>
        </w:rPr>
        <w:t>” – 60</w:t>
      </w:r>
      <w:r w:rsidR="00A3368D" w:rsidRPr="009A4350">
        <w:rPr>
          <w:rFonts w:ascii="Times New Roman" w:hAnsi="Times New Roman" w:cs="Times New Roman"/>
          <w:bCs/>
          <w:sz w:val="24"/>
          <w:szCs w:val="24"/>
          <w:lang w:val="ro-MD"/>
        </w:rPr>
        <w:t>,6 mii</w:t>
      </w:r>
      <w:r w:rsidRPr="009A4350">
        <w:rPr>
          <w:rFonts w:ascii="Times New Roman" w:hAnsi="Times New Roman" w:cs="Times New Roman"/>
          <w:bCs/>
          <w:sz w:val="24"/>
          <w:szCs w:val="24"/>
          <w:lang w:val="ro-MD"/>
        </w:rPr>
        <w:t xml:space="preserve"> lei (din total</w:t>
      </w:r>
      <w:r w:rsidR="00DB57C0" w:rsidRPr="009A4350">
        <w:rPr>
          <w:rFonts w:ascii="Times New Roman" w:hAnsi="Times New Roman" w:cs="Times New Roman"/>
          <w:bCs/>
          <w:sz w:val="24"/>
          <w:szCs w:val="24"/>
          <w:lang w:val="ro-MD"/>
        </w:rPr>
        <w:t>ul de</w:t>
      </w:r>
      <w:r w:rsidRPr="009A4350">
        <w:rPr>
          <w:rFonts w:ascii="Times New Roman" w:hAnsi="Times New Roman" w:cs="Times New Roman"/>
          <w:bCs/>
          <w:sz w:val="24"/>
          <w:szCs w:val="24"/>
          <w:lang w:val="ro-MD"/>
        </w:rPr>
        <w:t xml:space="preserve"> 139</w:t>
      </w:r>
      <w:r w:rsidR="00A3368D" w:rsidRPr="009A4350">
        <w:rPr>
          <w:rFonts w:ascii="Times New Roman" w:hAnsi="Times New Roman" w:cs="Times New Roman"/>
          <w:bCs/>
          <w:sz w:val="24"/>
          <w:szCs w:val="24"/>
          <w:lang w:val="ro-MD"/>
        </w:rPr>
        <w:t>,1 mii</w:t>
      </w:r>
      <w:r w:rsidRPr="009A4350">
        <w:rPr>
          <w:rFonts w:ascii="Times New Roman" w:hAnsi="Times New Roman" w:cs="Times New Roman"/>
          <w:bCs/>
          <w:sz w:val="24"/>
          <w:szCs w:val="24"/>
          <w:lang w:val="ro-MD"/>
        </w:rPr>
        <w:t xml:space="preserve"> lei); ÎS „Moldtranselectro” – 26</w:t>
      </w:r>
      <w:r w:rsidR="00A3368D" w:rsidRPr="009A4350">
        <w:rPr>
          <w:rFonts w:ascii="Times New Roman" w:hAnsi="Times New Roman" w:cs="Times New Roman"/>
          <w:bCs/>
          <w:sz w:val="24"/>
          <w:szCs w:val="24"/>
          <w:lang w:val="ro-MD"/>
        </w:rPr>
        <w:t>,3 mii</w:t>
      </w:r>
      <w:r w:rsidRPr="009A4350">
        <w:rPr>
          <w:rFonts w:ascii="Times New Roman" w:hAnsi="Times New Roman" w:cs="Times New Roman"/>
          <w:bCs/>
          <w:sz w:val="24"/>
          <w:szCs w:val="24"/>
          <w:lang w:val="ro-MD"/>
        </w:rPr>
        <w:t xml:space="preserve"> lei (din total</w:t>
      </w:r>
      <w:r w:rsidR="00871F1D" w:rsidRPr="009A4350">
        <w:rPr>
          <w:rFonts w:ascii="Times New Roman" w:hAnsi="Times New Roman" w:cs="Times New Roman"/>
          <w:bCs/>
          <w:sz w:val="24"/>
          <w:szCs w:val="24"/>
          <w:lang w:val="ro-MD"/>
        </w:rPr>
        <w:t>ul de</w:t>
      </w:r>
      <w:r w:rsidRPr="009A4350">
        <w:rPr>
          <w:rFonts w:ascii="Times New Roman" w:hAnsi="Times New Roman" w:cs="Times New Roman"/>
          <w:bCs/>
          <w:sz w:val="24"/>
          <w:szCs w:val="24"/>
          <w:lang w:val="ro-MD"/>
        </w:rPr>
        <w:t xml:space="preserve"> 130</w:t>
      </w:r>
      <w:r w:rsidR="00A3368D" w:rsidRPr="009A4350">
        <w:rPr>
          <w:rFonts w:ascii="Times New Roman" w:hAnsi="Times New Roman" w:cs="Times New Roman"/>
          <w:bCs/>
          <w:sz w:val="24"/>
          <w:szCs w:val="24"/>
          <w:lang w:val="ro-MD"/>
        </w:rPr>
        <w:t>,8 mii</w:t>
      </w:r>
      <w:r w:rsidRPr="009A4350">
        <w:rPr>
          <w:rFonts w:ascii="Times New Roman" w:hAnsi="Times New Roman" w:cs="Times New Roman"/>
          <w:bCs/>
          <w:sz w:val="24"/>
          <w:szCs w:val="24"/>
          <w:lang w:val="ro-MD"/>
        </w:rPr>
        <w:t xml:space="preserve"> lei</w:t>
      </w:r>
      <w:r w:rsidR="004E1AA1" w:rsidRPr="009A4350">
        <w:rPr>
          <w:rFonts w:ascii="Times New Roman" w:hAnsi="Times New Roman" w:cs="Times New Roman"/>
          <w:bCs/>
          <w:sz w:val="24"/>
          <w:szCs w:val="24"/>
          <w:lang w:val="ro-MD"/>
        </w:rPr>
        <w:t>, datorii istorice în scadență din anul 2000</w:t>
      </w:r>
      <w:r w:rsidRPr="009A4350">
        <w:rPr>
          <w:rFonts w:ascii="Times New Roman" w:hAnsi="Times New Roman" w:cs="Times New Roman"/>
          <w:bCs/>
          <w:sz w:val="24"/>
          <w:szCs w:val="24"/>
          <w:lang w:val="ro-MD"/>
        </w:rPr>
        <w:t>). Datoria cu termen</w:t>
      </w:r>
      <w:r w:rsidR="00871F1D" w:rsidRPr="009A4350">
        <w:rPr>
          <w:rFonts w:ascii="Times New Roman" w:hAnsi="Times New Roman" w:cs="Times New Roman"/>
          <w:bCs/>
          <w:sz w:val="24"/>
          <w:szCs w:val="24"/>
          <w:lang w:val="ro-MD"/>
        </w:rPr>
        <w:t>ul</w:t>
      </w:r>
      <w:r w:rsidRPr="009A4350">
        <w:rPr>
          <w:rFonts w:ascii="Times New Roman" w:hAnsi="Times New Roman" w:cs="Times New Roman"/>
          <w:bCs/>
          <w:sz w:val="24"/>
          <w:szCs w:val="24"/>
          <w:lang w:val="ro-MD"/>
        </w:rPr>
        <w:t xml:space="preserve"> de peste 3 ani față de ÎS „Moldtranselectro” a constituit 104</w:t>
      </w:r>
      <w:r w:rsidR="00A3368D" w:rsidRPr="009A4350">
        <w:rPr>
          <w:rFonts w:ascii="Times New Roman" w:hAnsi="Times New Roman" w:cs="Times New Roman"/>
          <w:bCs/>
          <w:sz w:val="24"/>
          <w:szCs w:val="24"/>
          <w:lang w:val="ro-MD"/>
        </w:rPr>
        <w:t>,6 mii</w:t>
      </w:r>
      <w:r w:rsidRPr="009A4350">
        <w:rPr>
          <w:rFonts w:ascii="Times New Roman" w:hAnsi="Times New Roman" w:cs="Times New Roman"/>
          <w:bCs/>
          <w:sz w:val="24"/>
          <w:szCs w:val="24"/>
          <w:lang w:val="ro-MD"/>
        </w:rPr>
        <w:t xml:space="preserve"> lei. Deoarece </w:t>
      </w:r>
      <w:r w:rsidR="009C05E4" w:rsidRPr="009A4350">
        <w:rPr>
          <w:rFonts w:ascii="Times New Roman" w:hAnsi="Times New Roman" w:cs="Times New Roman"/>
          <w:bCs/>
          <w:sz w:val="24"/>
          <w:szCs w:val="24"/>
          <w:lang w:val="ro-MD"/>
        </w:rPr>
        <w:t>Î</w:t>
      </w:r>
      <w:r w:rsidRPr="009A4350">
        <w:rPr>
          <w:rFonts w:ascii="Times New Roman" w:hAnsi="Times New Roman" w:cs="Times New Roman"/>
          <w:bCs/>
          <w:sz w:val="24"/>
          <w:szCs w:val="24"/>
          <w:lang w:val="ro-MD"/>
        </w:rPr>
        <w:t>M „Regia Apă-Cana</w:t>
      </w:r>
      <w:r w:rsidR="00C242C2" w:rsidRPr="009A4350">
        <w:rPr>
          <w:rFonts w:ascii="Times New Roman" w:hAnsi="Times New Roman" w:cs="Times New Roman"/>
          <w:bCs/>
          <w:sz w:val="24"/>
          <w:szCs w:val="24"/>
          <w:lang w:val="ro-MD"/>
        </w:rPr>
        <w:t>l Bălți</w:t>
      </w:r>
      <w:r w:rsidRPr="009A4350">
        <w:rPr>
          <w:rFonts w:ascii="Times New Roman" w:hAnsi="Times New Roman" w:cs="Times New Roman"/>
          <w:bCs/>
          <w:sz w:val="24"/>
          <w:szCs w:val="24"/>
          <w:lang w:val="ro-MD"/>
        </w:rPr>
        <w:t>” și ÎS „Moldtranselectro” se află în procedură de insolvabilitate, S.A. „R</w:t>
      </w:r>
      <w:r w:rsidR="00871F1D" w:rsidRPr="009A4350">
        <w:rPr>
          <w:rFonts w:ascii="Times New Roman" w:hAnsi="Times New Roman" w:cs="Times New Roman"/>
          <w:bCs/>
          <w:sz w:val="24"/>
          <w:szCs w:val="24"/>
          <w:lang w:val="ro-MD"/>
        </w:rPr>
        <w:t>ED</w:t>
      </w:r>
      <w:r w:rsidRPr="009A4350">
        <w:rPr>
          <w:rFonts w:ascii="Times New Roman" w:hAnsi="Times New Roman" w:cs="Times New Roman"/>
          <w:bCs/>
          <w:sz w:val="24"/>
          <w:szCs w:val="24"/>
          <w:lang w:val="ro-MD"/>
        </w:rPr>
        <w:t>-Nord” închide datoriile date prin intermediul actelor/contractelor de decontare reciprocă sau cesiune de creanță.</w:t>
      </w:r>
    </w:p>
    <w:p w14:paraId="3DD4E47C" w14:textId="4B6D14B6" w:rsidR="00E85D4F" w:rsidRPr="0080251F" w:rsidRDefault="00E85D4F" w:rsidP="009A4350">
      <w:pPr>
        <w:tabs>
          <w:tab w:val="left" w:pos="567"/>
          <w:tab w:val="left" w:pos="709"/>
          <w:tab w:val="left" w:pos="851"/>
        </w:tabs>
        <w:spacing w:after="0" w:line="276" w:lineRule="auto"/>
        <w:ind w:firstLine="709"/>
        <w:jc w:val="both"/>
        <w:rPr>
          <w:rFonts w:ascii="Times New Roman" w:hAnsi="Times New Roman" w:cs="Times New Roman"/>
          <w:bCs/>
          <w:sz w:val="24"/>
          <w:szCs w:val="24"/>
          <w:lang w:val="ro-MD"/>
        </w:rPr>
      </w:pPr>
      <w:r w:rsidRPr="009A4350">
        <w:rPr>
          <w:rFonts w:ascii="Times New Roman" w:hAnsi="Times New Roman" w:cs="Times New Roman"/>
          <w:bCs/>
          <w:sz w:val="24"/>
          <w:szCs w:val="24"/>
          <w:lang w:val="ro-MD"/>
        </w:rPr>
        <w:t>De menționat că în componența creanțelor și datoriilor sunt reflectate și d</w:t>
      </w:r>
      <w:r w:rsidR="005D5AA0" w:rsidRPr="009A4350">
        <w:rPr>
          <w:rFonts w:ascii="Times New Roman" w:hAnsi="Times New Roman" w:cs="Times New Roman"/>
          <w:bCs/>
          <w:sz w:val="24"/>
          <w:szCs w:val="24"/>
          <w:lang w:val="ro-MD"/>
        </w:rPr>
        <w:t>evierile tarifare</w:t>
      </w:r>
      <w:r w:rsidRPr="009A4350">
        <w:rPr>
          <w:rFonts w:ascii="Times New Roman" w:hAnsi="Times New Roman" w:cs="Times New Roman"/>
          <w:bCs/>
          <w:sz w:val="24"/>
          <w:szCs w:val="24"/>
          <w:lang w:val="ro-MD"/>
        </w:rPr>
        <w:t xml:space="preserve"> </w:t>
      </w:r>
      <w:r w:rsidR="005D5AA0" w:rsidRPr="009A4350">
        <w:rPr>
          <w:rFonts w:ascii="Times New Roman" w:hAnsi="Times New Roman" w:cs="Times New Roman"/>
          <w:bCs/>
          <w:sz w:val="24"/>
          <w:szCs w:val="24"/>
          <w:lang w:val="ro-MD"/>
        </w:rPr>
        <w:t xml:space="preserve">constatate ca rezultat al diferențelor între parametrii estimați la determinarea tarifelor pentru anul de activitate și cei reali obținuți în anul respectiv. </w:t>
      </w:r>
      <w:r w:rsidRPr="009A4350">
        <w:rPr>
          <w:rFonts w:ascii="Times New Roman" w:hAnsi="Times New Roman" w:cs="Times New Roman"/>
          <w:bCs/>
          <w:sz w:val="24"/>
          <w:szCs w:val="24"/>
          <w:lang w:val="ro-MD"/>
        </w:rPr>
        <w:t xml:space="preserve">Astfel, </w:t>
      </w:r>
      <w:r w:rsidR="005D5AA0" w:rsidRPr="009A4350">
        <w:rPr>
          <w:rFonts w:ascii="Times New Roman" w:hAnsi="Times New Roman" w:cs="Times New Roman"/>
          <w:bCs/>
          <w:sz w:val="24"/>
          <w:szCs w:val="24"/>
          <w:lang w:val="ro-MD"/>
        </w:rPr>
        <w:t>devierile tarifare negative</w:t>
      </w:r>
      <w:r w:rsidRPr="009A4350">
        <w:rPr>
          <w:rFonts w:ascii="Times New Roman" w:hAnsi="Times New Roman" w:cs="Times New Roman"/>
          <w:bCs/>
          <w:sz w:val="24"/>
          <w:szCs w:val="24"/>
          <w:lang w:val="ro-MD"/>
        </w:rPr>
        <w:t xml:space="preserve"> se reflectă în componen</w:t>
      </w:r>
      <w:r w:rsidR="009C05E4" w:rsidRPr="009A4350">
        <w:rPr>
          <w:rFonts w:ascii="Times New Roman" w:hAnsi="Times New Roman" w:cs="Times New Roman"/>
          <w:bCs/>
          <w:sz w:val="24"/>
          <w:szCs w:val="24"/>
          <w:lang w:val="ro-MD"/>
        </w:rPr>
        <w:t>ț</w:t>
      </w:r>
      <w:r w:rsidRPr="009A4350">
        <w:rPr>
          <w:rFonts w:ascii="Times New Roman" w:hAnsi="Times New Roman" w:cs="Times New Roman"/>
          <w:bCs/>
          <w:sz w:val="24"/>
          <w:szCs w:val="24"/>
          <w:lang w:val="ro-MD"/>
        </w:rPr>
        <w:t>a cr</w:t>
      </w:r>
      <w:r w:rsidR="002D6E7C" w:rsidRPr="009A4350">
        <w:rPr>
          <w:rFonts w:ascii="Times New Roman" w:hAnsi="Times New Roman" w:cs="Times New Roman"/>
          <w:bCs/>
          <w:sz w:val="24"/>
          <w:szCs w:val="24"/>
          <w:lang w:val="ro-MD"/>
        </w:rPr>
        <w:t>eanțelor preliminare (c</w:t>
      </w:r>
      <w:r w:rsidR="009E0928" w:rsidRPr="009A4350">
        <w:rPr>
          <w:rFonts w:ascii="Times New Roman" w:hAnsi="Times New Roman" w:cs="Times New Roman"/>
          <w:bCs/>
          <w:sz w:val="24"/>
          <w:szCs w:val="24"/>
          <w:lang w:val="ro-MD"/>
        </w:rPr>
        <w:t xml:space="preserve">ontul </w:t>
      </w:r>
      <w:r w:rsidR="002D6E7C" w:rsidRPr="009A4350">
        <w:rPr>
          <w:rFonts w:ascii="Times New Roman" w:hAnsi="Times New Roman" w:cs="Times New Roman"/>
          <w:bCs/>
          <w:sz w:val="24"/>
          <w:szCs w:val="24"/>
          <w:lang w:val="ro-MD"/>
        </w:rPr>
        <w:t xml:space="preserve">232), iar cele pozitive </w:t>
      </w:r>
      <w:r w:rsidR="009C05E4" w:rsidRPr="009A4350">
        <w:rPr>
          <w:rFonts w:ascii="Times New Roman" w:hAnsi="Times New Roman" w:cs="Times New Roman"/>
          <w:bCs/>
          <w:sz w:val="24"/>
          <w:szCs w:val="24"/>
          <w:lang w:val="ro-MD"/>
        </w:rPr>
        <w:t xml:space="preserve">- </w:t>
      </w:r>
      <w:r w:rsidR="002D6E7C" w:rsidRPr="009A4350">
        <w:rPr>
          <w:rFonts w:ascii="Times New Roman" w:hAnsi="Times New Roman" w:cs="Times New Roman"/>
          <w:bCs/>
          <w:sz w:val="24"/>
          <w:szCs w:val="24"/>
          <w:lang w:val="ro-MD"/>
        </w:rPr>
        <w:t>la venituril</w:t>
      </w:r>
      <w:r w:rsidR="009C05E4" w:rsidRPr="009A4350">
        <w:rPr>
          <w:rFonts w:ascii="Times New Roman" w:hAnsi="Times New Roman" w:cs="Times New Roman"/>
          <w:bCs/>
          <w:sz w:val="24"/>
          <w:szCs w:val="24"/>
          <w:lang w:val="ro-MD"/>
        </w:rPr>
        <w:t>e</w:t>
      </w:r>
      <w:r w:rsidR="002D6E7C" w:rsidRPr="009A4350">
        <w:rPr>
          <w:rFonts w:ascii="Times New Roman" w:hAnsi="Times New Roman" w:cs="Times New Roman"/>
          <w:bCs/>
          <w:sz w:val="24"/>
          <w:szCs w:val="24"/>
          <w:lang w:val="ro-MD"/>
        </w:rPr>
        <w:t xml:space="preserve"> anticipate (c</w:t>
      </w:r>
      <w:r w:rsidR="009E0928" w:rsidRPr="009A4350">
        <w:rPr>
          <w:rFonts w:ascii="Times New Roman" w:hAnsi="Times New Roman" w:cs="Times New Roman"/>
          <w:bCs/>
          <w:sz w:val="24"/>
          <w:szCs w:val="24"/>
          <w:lang w:val="ro-MD"/>
        </w:rPr>
        <w:t xml:space="preserve">ontul </w:t>
      </w:r>
      <w:r w:rsidR="002D6E7C" w:rsidRPr="009A4350">
        <w:rPr>
          <w:rFonts w:ascii="Times New Roman" w:hAnsi="Times New Roman" w:cs="Times New Roman"/>
          <w:bCs/>
          <w:sz w:val="24"/>
          <w:szCs w:val="24"/>
          <w:lang w:val="ro-MD"/>
        </w:rPr>
        <w:t xml:space="preserve">535). </w:t>
      </w:r>
      <w:r w:rsidRPr="009A4350">
        <w:rPr>
          <w:rFonts w:ascii="Times New Roman" w:hAnsi="Times New Roman" w:cs="Times New Roman"/>
          <w:bCs/>
          <w:sz w:val="24"/>
          <w:szCs w:val="24"/>
          <w:lang w:val="ro-MD"/>
        </w:rPr>
        <w:t xml:space="preserve">Conform datelor prezentate de S.A. </w:t>
      </w:r>
      <w:r w:rsidR="00D617AA" w:rsidRPr="009A4350">
        <w:rPr>
          <w:rFonts w:ascii="Times New Roman" w:hAnsi="Times New Roman" w:cs="Times New Roman"/>
          <w:bCs/>
          <w:sz w:val="24"/>
          <w:szCs w:val="24"/>
          <w:lang w:val="ro-MD"/>
        </w:rPr>
        <w:t>„</w:t>
      </w:r>
      <w:r w:rsidRPr="009A4350">
        <w:rPr>
          <w:rFonts w:ascii="Times New Roman" w:hAnsi="Times New Roman" w:cs="Times New Roman"/>
          <w:bCs/>
          <w:sz w:val="24"/>
          <w:szCs w:val="24"/>
          <w:lang w:val="ro-MD"/>
        </w:rPr>
        <w:t>RED-Nord</w:t>
      </w:r>
      <w:r w:rsidR="00D617AA" w:rsidRPr="009A4350">
        <w:rPr>
          <w:rFonts w:ascii="Times New Roman" w:hAnsi="Times New Roman" w:cs="Times New Roman"/>
          <w:bCs/>
          <w:sz w:val="24"/>
          <w:szCs w:val="24"/>
          <w:lang w:val="ro-MD"/>
        </w:rPr>
        <w:t>”</w:t>
      </w:r>
      <w:r w:rsidR="009C05E4" w:rsidRPr="009A4350">
        <w:rPr>
          <w:rFonts w:ascii="Times New Roman" w:hAnsi="Times New Roman" w:cs="Times New Roman"/>
          <w:bCs/>
          <w:sz w:val="24"/>
          <w:szCs w:val="24"/>
          <w:lang w:val="ro-MD"/>
        </w:rPr>
        <w:t xml:space="preserve">, </w:t>
      </w:r>
      <w:r w:rsidR="00E35A6C" w:rsidRPr="009A4350">
        <w:rPr>
          <w:rFonts w:ascii="Times New Roman" w:hAnsi="Times New Roman" w:cs="Times New Roman"/>
          <w:bCs/>
          <w:sz w:val="24"/>
          <w:szCs w:val="24"/>
          <w:lang w:val="ro-MD"/>
        </w:rPr>
        <w:t>la finele anului 2021 au fost înregistrate devieri tarifare pozitive în mărime de 40</w:t>
      </w:r>
      <w:r w:rsidR="00C242C2" w:rsidRPr="009A4350">
        <w:rPr>
          <w:rFonts w:ascii="Times New Roman" w:hAnsi="Times New Roman" w:cs="Times New Roman"/>
          <w:bCs/>
          <w:sz w:val="24"/>
          <w:szCs w:val="24"/>
          <w:lang w:val="ro-MD"/>
        </w:rPr>
        <w:t>,1 mil. lei și la finele anului</w:t>
      </w:r>
      <w:r w:rsidR="009C05E4" w:rsidRPr="009A4350">
        <w:rPr>
          <w:rFonts w:ascii="Times New Roman" w:hAnsi="Times New Roman" w:cs="Times New Roman"/>
          <w:bCs/>
          <w:sz w:val="24"/>
          <w:szCs w:val="24"/>
          <w:lang w:val="ro-MD"/>
        </w:rPr>
        <w:t xml:space="preserve"> 2022 </w:t>
      </w:r>
      <w:r w:rsidR="00E35A6C" w:rsidRPr="009A4350">
        <w:rPr>
          <w:rFonts w:ascii="Times New Roman" w:hAnsi="Times New Roman" w:cs="Times New Roman"/>
          <w:bCs/>
          <w:sz w:val="24"/>
          <w:szCs w:val="24"/>
          <w:lang w:val="ro-MD"/>
        </w:rPr>
        <w:t>–</w:t>
      </w:r>
      <w:r w:rsidR="00EF2CEC" w:rsidRPr="009A4350">
        <w:rPr>
          <w:rFonts w:ascii="Times New Roman" w:hAnsi="Times New Roman" w:cs="Times New Roman"/>
          <w:bCs/>
          <w:sz w:val="24"/>
          <w:szCs w:val="24"/>
          <w:lang w:val="ro-MD"/>
        </w:rPr>
        <w:t xml:space="preserve"> devieri tarifare negative</w:t>
      </w:r>
      <w:r w:rsidR="00E35A6C" w:rsidRPr="0080251F">
        <w:rPr>
          <w:rFonts w:ascii="Times New Roman" w:hAnsi="Times New Roman" w:cs="Times New Roman"/>
          <w:bCs/>
          <w:sz w:val="24"/>
          <w:szCs w:val="24"/>
          <w:lang w:val="ro-MD"/>
        </w:rPr>
        <w:t xml:space="preserve"> în mărime de 70,4 mil. lei.</w:t>
      </w:r>
    </w:p>
    <w:p w14:paraId="4971F846" w14:textId="61F18A04" w:rsidR="00787D88" w:rsidRPr="0080251F" w:rsidRDefault="00787D88" w:rsidP="00D1440C">
      <w:pPr>
        <w:pStyle w:val="1"/>
        <w:spacing w:before="200" w:line="276" w:lineRule="auto"/>
        <w:jc w:val="both"/>
        <w:rPr>
          <w:rFonts w:ascii="Times New Roman" w:hAnsi="Times New Roman" w:cs="Times New Roman"/>
          <w:b/>
          <w:bCs/>
          <w:iCs/>
          <w:sz w:val="24"/>
          <w:szCs w:val="24"/>
          <w:shd w:val="clear" w:color="auto" w:fill="FFFFFF"/>
          <w:lang w:val="ro-MD"/>
        </w:rPr>
      </w:pPr>
      <w:bookmarkStart w:id="20" w:name="_Toc157882650"/>
      <w:bookmarkStart w:id="21" w:name="_Toc161169695"/>
      <w:r w:rsidRPr="0080251F">
        <w:rPr>
          <w:rStyle w:val="af1"/>
          <w:rFonts w:ascii="Times New Roman" w:hAnsi="Times New Roman" w:cs="Times New Roman"/>
          <w:sz w:val="24"/>
          <w:szCs w:val="24"/>
          <w:shd w:val="clear" w:color="auto" w:fill="FFFFFF"/>
          <w:lang w:val="ro-MD"/>
        </w:rPr>
        <w:t>4</w:t>
      </w:r>
      <w:r w:rsidR="00490E93" w:rsidRPr="0080251F">
        <w:rPr>
          <w:rStyle w:val="af1"/>
          <w:rFonts w:ascii="Times New Roman" w:hAnsi="Times New Roman" w:cs="Times New Roman"/>
          <w:sz w:val="24"/>
          <w:szCs w:val="24"/>
          <w:shd w:val="clear" w:color="auto" w:fill="FFFFFF"/>
          <w:lang w:val="ro-MD"/>
        </w:rPr>
        <w:t>.4</w:t>
      </w:r>
      <w:r w:rsidRPr="0080251F">
        <w:rPr>
          <w:rStyle w:val="af1"/>
          <w:rFonts w:ascii="Times New Roman" w:hAnsi="Times New Roman" w:cs="Times New Roman"/>
          <w:sz w:val="24"/>
          <w:szCs w:val="24"/>
          <w:shd w:val="clear" w:color="auto" w:fill="FFFFFF"/>
          <w:lang w:val="ro-MD"/>
        </w:rPr>
        <w:t xml:space="preserve">. </w:t>
      </w:r>
      <w:r w:rsidR="00490E93" w:rsidRPr="0080251F">
        <w:rPr>
          <w:rFonts w:ascii="Times New Roman" w:hAnsi="Times New Roman" w:cs="Times New Roman"/>
          <w:b/>
          <w:iCs/>
          <w:sz w:val="24"/>
          <w:szCs w:val="24"/>
          <w:lang w:val="ro-MD"/>
        </w:rPr>
        <w:t xml:space="preserve">Plățile salariale la S.A. </w:t>
      </w:r>
      <w:r w:rsidR="00CA4664" w:rsidRPr="0080251F">
        <w:rPr>
          <w:rFonts w:ascii="Times New Roman" w:hAnsi="Times New Roman" w:cs="Times New Roman"/>
          <w:b/>
          <w:iCs/>
          <w:sz w:val="24"/>
          <w:szCs w:val="24"/>
          <w:lang w:val="ro-MD"/>
        </w:rPr>
        <w:t>„</w:t>
      </w:r>
      <w:r w:rsidR="00490E93" w:rsidRPr="0080251F">
        <w:rPr>
          <w:rFonts w:ascii="Times New Roman" w:hAnsi="Times New Roman" w:cs="Times New Roman"/>
          <w:b/>
          <w:iCs/>
          <w:sz w:val="24"/>
          <w:szCs w:val="24"/>
          <w:lang w:val="ro-MD"/>
        </w:rPr>
        <w:t>RED-Nord</w:t>
      </w:r>
      <w:r w:rsidR="00CA4664" w:rsidRPr="0080251F">
        <w:rPr>
          <w:rFonts w:ascii="Times New Roman" w:hAnsi="Times New Roman" w:cs="Times New Roman"/>
          <w:b/>
          <w:iCs/>
          <w:sz w:val="24"/>
          <w:szCs w:val="24"/>
          <w:lang w:val="ro-MD"/>
        </w:rPr>
        <w:t>”</w:t>
      </w:r>
      <w:r w:rsidR="00490E93" w:rsidRPr="0080251F">
        <w:rPr>
          <w:rFonts w:ascii="Times New Roman" w:hAnsi="Times New Roman" w:cs="Times New Roman"/>
          <w:b/>
          <w:iCs/>
          <w:sz w:val="24"/>
          <w:szCs w:val="24"/>
          <w:lang w:val="ro-MD"/>
        </w:rPr>
        <w:t xml:space="preserve"> au fost determinate și achitate în conformitate cu cadrul normativ</w:t>
      </w:r>
      <w:r w:rsidRPr="0080251F">
        <w:rPr>
          <w:rFonts w:ascii="Times New Roman" w:hAnsi="Times New Roman" w:cs="Times New Roman"/>
          <w:b/>
          <w:bCs/>
          <w:iCs/>
          <w:sz w:val="24"/>
          <w:szCs w:val="24"/>
          <w:shd w:val="clear" w:color="auto" w:fill="FFFFFF"/>
          <w:lang w:val="ro-MD"/>
        </w:rPr>
        <w:t>?</w:t>
      </w:r>
      <w:bookmarkEnd w:id="20"/>
      <w:bookmarkEnd w:id="21"/>
    </w:p>
    <w:p w14:paraId="7813DEFB" w14:textId="1A1F5B93" w:rsidR="00E53A7A" w:rsidRPr="0080251F" w:rsidRDefault="00E53A7A" w:rsidP="00C320E4">
      <w:pPr>
        <w:tabs>
          <w:tab w:val="left" w:pos="709"/>
        </w:tabs>
        <w:spacing w:after="0" w:line="276" w:lineRule="auto"/>
        <w:ind w:firstLine="709"/>
        <w:jc w:val="both"/>
        <w:rPr>
          <w:rFonts w:ascii="Times New Roman" w:hAnsi="Times New Roman" w:cs="Times New Roman"/>
          <w:b/>
          <w:bCs/>
          <w:i/>
          <w:sz w:val="24"/>
          <w:szCs w:val="24"/>
          <w:lang w:val="ro-MD"/>
        </w:rPr>
      </w:pPr>
      <w:r w:rsidRPr="0080251F">
        <w:rPr>
          <w:rFonts w:ascii="Times New Roman" w:hAnsi="Times New Roman" w:cs="Times New Roman"/>
          <w:b/>
          <w:bCs/>
          <w:i/>
          <w:sz w:val="24"/>
          <w:szCs w:val="24"/>
          <w:lang w:val="ro-MD"/>
        </w:rPr>
        <w:t>Aplicarea neconformă a prevederilor cadrului normativ în vigoare și lipsa unui control riguros din partea Consiliului societății a</w:t>
      </w:r>
      <w:r w:rsidR="009C05E4" w:rsidRPr="0080251F">
        <w:rPr>
          <w:rFonts w:ascii="Times New Roman" w:hAnsi="Times New Roman" w:cs="Times New Roman"/>
          <w:b/>
          <w:bCs/>
          <w:i/>
          <w:sz w:val="24"/>
          <w:szCs w:val="24"/>
          <w:lang w:val="ro-MD"/>
        </w:rPr>
        <w:t>u</w:t>
      </w:r>
      <w:r w:rsidRPr="0080251F">
        <w:rPr>
          <w:rFonts w:ascii="Times New Roman" w:hAnsi="Times New Roman" w:cs="Times New Roman"/>
          <w:b/>
          <w:bCs/>
          <w:i/>
          <w:sz w:val="24"/>
          <w:szCs w:val="24"/>
          <w:lang w:val="ro-MD"/>
        </w:rPr>
        <w:t xml:space="preserve"> condiționat</w:t>
      </w:r>
      <w:r w:rsidRPr="0080251F">
        <w:rPr>
          <w:rFonts w:ascii="Times New Roman" w:hAnsi="Times New Roman" w:cs="Times New Roman"/>
          <w:b/>
          <w:bCs/>
          <w:i/>
          <w:iCs/>
          <w:sz w:val="24"/>
          <w:szCs w:val="24"/>
          <w:lang w:val="ro-MD"/>
        </w:rPr>
        <w:t xml:space="preserve"> majorarea neregulamentară a cheltuielilor de salarizare cu</w:t>
      </w:r>
      <w:r w:rsidRPr="0080251F">
        <w:rPr>
          <w:rFonts w:ascii="Times New Roman" w:hAnsi="Times New Roman" w:cs="Times New Roman"/>
          <w:b/>
          <w:bCs/>
          <w:i/>
          <w:sz w:val="24"/>
          <w:szCs w:val="24"/>
          <w:lang w:val="ro-MD"/>
        </w:rPr>
        <w:t xml:space="preserve"> </w:t>
      </w:r>
      <w:r w:rsidR="00BE6E72" w:rsidRPr="0080251F">
        <w:rPr>
          <w:rFonts w:ascii="Times New Roman" w:hAnsi="Times New Roman" w:cs="Times New Roman"/>
          <w:b/>
          <w:bCs/>
          <w:i/>
          <w:sz w:val="24"/>
          <w:szCs w:val="24"/>
          <w:lang w:val="ro-MD"/>
        </w:rPr>
        <w:t>2,5</w:t>
      </w:r>
      <w:r w:rsidRPr="0080251F">
        <w:rPr>
          <w:rFonts w:ascii="Times New Roman" w:hAnsi="Times New Roman" w:cs="Times New Roman"/>
          <w:b/>
          <w:bCs/>
          <w:i/>
          <w:sz w:val="24"/>
          <w:szCs w:val="24"/>
          <w:lang w:val="ro-MD"/>
        </w:rPr>
        <w:t xml:space="preserve"> mil. lei</w:t>
      </w:r>
      <w:r w:rsidRPr="0080251F">
        <w:rPr>
          <w:rFonts w:ascii="Times New Roman" w:hAnsi="Times New Roman" w:cs="Times New Roman"/>
          <w:b/>
          <w:bCs/>
          <w:i/>
          <w:sz w:val="24"/>
          <w:szCs w:val="24"/>
          <w:vertAlign w:val="superscript"/>
          <w:lang w:val="ro-MD"/>
        </w:rPr>
        <w:footnoteReference w:id="55"/>
      </w:r>
    </w:p>
    <w:p w14:paraId="2AAB167A" w14:textId="481C61A9" w:rsidR="008B5C01" w:rsidRPr="0080251F" w:rsidRDefault="0069578F" w:rsidP="00C247BA">
      <w:pPr>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sz w:val="24"/>
          <w:szCs w:val="24"/>
          <w:lang w:val="ro-MD"/>
        </w:rPr>
        <w:t xml:space="preserve">Retribuirea muncii personalului se realizează </w:t>
      </w:r>
      <w:r w:rsidRPr="0080251F">
        <w:rPr>
          <w:rFonts w:ascii="Times New Roman" w:eastAsia="Times New Roman" w:hAnsi="Times New Roman" w:cs="Times New Roman"/>
          <w:sz w:val="24"/>
          <w:szCs w:val="24"/>
          <w:lang w:val="ro-MD" w:eastAsia="ru-RU"/>
        </w:rPr>
        <w:t>î</w:t>
      </w:r>
      <w:r w:rsidRPr="0080251F">
        <w:rPr>
          <w:rFonts w:ascii="Times New Roman" w:eastAsia="Times New Roman" w:hAnsi="Times New Roman" w:cs="Times New Roman"/>
          <w:spacing w:val="-3"/>
          <w:sz w:val="24"/>
          <w:szCs w:val="24"/>
          <w:lang w:val="ro-MD" w:eastAsia="ru-RU"/>
        </w:rPr>
        <w:t>n baza prevederilor cadrului legal-normativ</w:t>
      </w:r>
      <w:r w:rsidRPr="0080251F">
        <w:rPr>
          <w:rFonts w:ascii="Times New Roman" w:eastAsia="Times New Roman" w:hAnsi="Times New Roman" w:cs="Times New Roman"/>
          <w:spacing w:val="-3"/>
          <w:sz w:val="24"/>
          <w:szCs w:val="24"/>
          <w:vertAlign w:val="superscript"/>
          <w:lang w:val="ro-MD" w:eastAsia="ru-RU"/>
        </w:rPr>
        <w:footnoteReference w:id="56"/>
      </w:r>
      <w:r w:rsidRPr="0080251F">
        <w:rPr>
          <w:rFonts w:ascii="Times New Roman" w:hAnsi="Times New Roman" w:cs="Times New Roman"/>
          <w:sz w:val="24"/>
          <w:szCs w:val="24"/>
          <w:lang w:val="ro-MD"/>
        </w:rPr>
        <w:t xml:space="preserve"> și ale Contractului colectiv de muncă pentru anii 2021-2026, prin care s-a</w:t>
      </w:r>
      <w:r w:rsidR="00061402" w:rsidRPr="0080251F">
        <w:rPr>
          <w:rFonts w:ascii="Times New Roman" w:hAnsi="Times New Roman" w:cs="Times New Roman"/>
          <w:sz w:val="24"/>
          <w:szCs w:val="24"/>
          <w:lang w:val="ro-MD"/>
        </w:rPr>
        <w:t>u</w:t>
      </w:r>
      <w:r w:rsidRPr="0080251F">
        <w:rPr>
          <w:rFonts w:ascii="Times New Roman" w:hAnsi="Times New Roman" w:cs="Times New Roman"/>
          <w:sz w:val="24"/>
          <w:szCs w:val="24"/>
          <w:lang w:val="ro-MD"/>
        </w:rPr>
        <w:t xml:space="preserve"> stabilit modul, condițiile și cuantumul de acordare a salariului ca formă de remunerare pentru cantitatea, calitatea, complexitatea muncii și performanțele individuale ale angajatului.</w:t>
      </w:r>
      <w:r w:rsidR="00C247BA" w:rsidRPr="0080251F">
        <w:rPr>
          <w:rFonts w:ascii="Times New Roman" w:hAnsi="Times New Roman" w:cs="Times New Roman"/>
          <w:bCs/>
          <w:sz w:val="24"/>
          <w:szCs w:val="24"/>
          <w:lang w:val="ro-MD"/>
        </w:rPr>
        <w:t xml:space="preserve"> </w:t>
      </w:r>
    </w:p>
    <w:p w14:paraId="2B5292DE" w14:textId="6E5EE917" w:rsidR="0069578F" w:rsidRPr="0080251F" w:rsidRDefault="00C247BA" w:rsidP="008B5C01">
      <w:pPr>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Fondul de remunerare a muncii pentru anul 2022 a constituit suma de 246,5 mil. lei, fiind în creștere cu 3,9% față de anul 2021 (236,9 mil. lei) și cu 16,1% față de anul 2020 (206,7 mil. lei). Majorarea cheltuielilor pentru salarizarea personalului a fost determinată</w:t>
      </w:r>
      <w:r w:rsidR="00061402"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în special</w:t>
      </w:r>
      <w:r w:rsidR="00061402"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de majorarea salariilor de bază în an</w:t>
      </w:r>
      <w:r w:rsidR="00061402" w:rsidRPr="0080251F">
        <w:rPr>
          <w:rFonts w:ascii="Times New Roman" w:hAnsi="Times New Roman" w:cs="Times New Roman"/>
          <w:bCs/>
          <w:sz w:val="24"/>
          <w:szCs w:val="24"/>
          <w:lang w:val="ro-MD"/>
        </w:rPr>
        <w:t>ii</w:t>
      </w:r>
      <w:r w:rsidRPr="0080251F">
        <w:rPr>
          <w:rFonts w:ascii="Times New Roman" w:hAnsi="Times New Roman" w:cs="Times New Roman"/>
          <w:bCs/>
          <w:sz w:val="24"/>
          <w:szCs w:val="24"/>
          <w:lang w:val="ro-MD"/>
        </w:rPr>
        <w:t xml:space="preserve"> 2021 și 2022. </w:t>
      </w:r>
    </w:p>
    <w:p w14:paraId="1B1F32F1" w14:textId="0888934F" w:rsidR="002B55B8" w:rsidRPr="0080251F" w:rsidRDefault="00F97613" w:rsidP="0032112A">
      <w:pPr>
        <w:tabs>
          <w:tab w:val="left" w:pos="709"/>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La situația din 31.12.2022, în cadrul S.A. „RED-Nord” activau 1</w:t>
      </w:r>
      <w:r w:rsidR="00107B10"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555 </w:t>
      </w:r>
      <w:r w:rsidR="00061402" w:rsidRPr="0080251F">
        <w:rPr>
          <w:rFonts w:ascii="Times New Roman" w:hAnsi="Times New Roman" w:cs="Times New Roman"/>
          <w:bCs/>
          <w:sz w:val="24"/>
          <w:szCs w:val="24"/>
          <w:lang w:val="ro-MD"/>
        </w:rPr>
        <w:t xml:space="preserve">de </w:t>
      </w:r>
      <w:r w:rsidRPr="0080251F">
        <w:rPr>
          <w:rFonts w:ascii="Times New Roman" w:hAnsi="Times New Roman" w:cs="Times New Roman"/>
          <w:bCs/>
          <w:sz w:val="24"/>
          <w:szCs w:val="24"/>
          <w:lang w:val="ro-MD"/>
        </w:rPr>
        <w:t>persoane. În anul de gestiune au demisionat 160 de persoane, ulterior fiind angajate același număr de persoane. Numărul mediu scriptic al personalului angajat în anul 2022 a constituit 1</w:t>
      </w:r>
      <w:r w:rsidR="00107B10"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481,9 persoane, în anul 2021 – 1522,9 persoane</w:t>
      </w:r>
      <w:r w:rsidR="00061402"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și în anul 2020 – 1</w:t>
      </w:r>
      <w:r w:rsidR="00107B10"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547,4 persoane. </w:t>
      </w:r>
      <w:r w:rsidR="002B55B8" w:rsidRPr="0080251F">
        <w:rPr>
          <w:rFonts w:ascii="Times New Roman" w:hAnsi="Times New Roman" w:cs="Times New Roman"/>
          <w:bCs/>
          <w:sz w:val="24"/>
          <w:szCs w:val="24"/>
          <w:lang w:val="ro-MD"/>
        </w:rPr>
        <w:t>Reieșind din datele prezentate, constatăm că salariul mediu lunar achitat unui angajat în anul 2021 la S.A.„RED-Nord” a constituit 13,0 mii lei, sau 4,4 salarii minime în sectorul real</w:t>
      </w:r>
      <w:r w:rsidR="002B55B8" w:rsidRPr="0080251F">
        <w:rPr>
          <w:rFonts w:ascii="Times New Roman" w:hAnsi="Times New Roman" w:cs="Times New Roman"/>
          <w:bCs/>
          <w:sz w:val="24"/>
          <w:szCs w:val="24"/>
          <w:vertAlign w:val="superscript"/>
          <w:lang w:val="ro-MD"/>
        </w:rPr>
        <w:footnoteReference w:id="57"/>
      </w:r>
      <w:r w:rsidR="002B55B8" w:rsidRPr="0080251F">
        <w:rPr>
          <w:rFonts w:ascii="Times New Roman" w:hAnsi="Times New Roman" w:cs="Times New Roman"/>
          <w:bCs/>
          <w:sz w:val="24"/>
          <w:szCs w:val="24"/>
          <w:lang w:val="ro-MD"/>
        </w:rPr>
        <w:t>, iar pentru personalul de conducere (4 directori) - cca 15,2</w:t>
      </w:r>
      <w:r w:rsidR="00FA645E" w:rsidRPr="0080251F">
        <w:rPr>
          <w:rFonts w:ascii="Times New Roman" w:hAnsi="Times New Roman" w:cs="Times New Roman"/>
          <w:bCs/>
          <w:sz w:val="24"/>
          <w:szCs w:val="24"/>
          <w:lang w:val="ro-MD"/>
        </w:rPr>
        <w:t xml:space="preserve"> salarii minime</w:t>
      </w:r>
      <w:r w:rsidR="00061402" w:rsidRPr="0080251F">
        <w:rPr>
          <w:rFonts w:ascii="Times New Roman" w:hAnsi="Times New Roman" w:cs="Times New Roman"/>
          <w:bCs/>
          <w:sz w:val="24"/>
          <w:szCs w:val="24"/>
          <w:lang w:val="ro-MD"/>
        </w:rPr>
        <w:t>,</w:t>
      </w:r>
      <w:r w:rsidR="00FA645E" w:rsidRPr="0080251F">
        <w:rPr>
          <w:rFonts w:ascii="Times New Roman" w:hAnsi="Times New Roman" w:cs="Times New Roman"/>
          <w:bCs/>
          <w:sz w:val="24"/>
          <w:szCs w:val="24"/>
          <w:lang w:val="ro-MD"/>
        </w:rPr>
        <w:t xml:space="preserve"> și</w:t>
      </w:r>
      <w:r w:rsidR="002B55B8" w:rsidRPr="0080251F">
        <w:rPr>
          <w:rFonts w:ascii="Times New Roman" w:hAnsi="Times New Roman" w:cs="Times New Roman"/>
          <w:bCs/>
          <w:sz w:val="24"/>
          <w:szCs w:val="24"/>
          <w:lang w:val="ro-MD"/>
        </w:rPr>
        <w:t xml:space="preserve"> în anul 2022, respectiv, a constituit 13,9 mii lei</w:t>
      </w:r>
      <w:r w:rsidR="00FD0BE2" w:rsidRPr="0080251F">
        <w:rPr>
          <w:rFonts w:ascii="Times New Roman" w:hAnsi="Times New Roman" w:cs="Times New Roman"/>
          <w:bCs/>
          <w:sz w:val="24"/>
          <w:szCs w:val="24"/>
          <w:lang w:val="ro-MD"/>
        </w:rPr>
        <w:t xml:space="preserve"> pentru un angajat</w:t>
      </w:r>
      <w:r w:rsidR="002B55B8" w:rsidRPr="0080251F">
        <w:rPr>
          <w:rFonts w:ascii="Times New Roman" w:hAnsi="Times New Roman" w:cs="Times New Roman"/>
          <w:bCs/>
          <w:sz w:val="24"/>
          <w:szCs w:val="24"/>
          <w:lang w:val="ro-MD"/>
        </w:rPr>
        <w:t>, sau 4,0 salarii minime în sectorul real</w:t>
      </w:r>
      <w:r w:rsidR="002B55B8" w:rsidRPr="0080251F">
        <w:rPr>
          <w:rFonts w:ascii="Times New Roman" w:hAnsi="Times New Roman" w:cs="Times New Roman"/>
          <w:bCs/>
          <w:sz w:val="24"/>
          <w:szCs w:val="24"/>
          <w:vertAlign w:val="superscript"/>
          <w:lang w:val="ro-MD"/>
        </w:rPr>
        <w:footnoteReference w:id="58"/>
      </w:r>
      <w:r w:rsidR="002B55B8" w:rsidRPr="0080251F">
        <w:rPr>
          <w:rFonts w:ascii="Times New Roman" w:hAnsi="Times New Roman" w:cs="Times New Roman"/>
          <w:bCs/>
          <w:sz w:val="24"/>
          <w:szCs w:val="24"/>
          <w:lang w:val="ro-MD"/>
        </w:rPr>
        <w:t>, iar pentru personalul de conducere -  cca 12,3 salarii minime.</w:t>
      </w:r>
    </w:p>
    <w:p w14:paraId="0385D633" w14:textId="4F04FCF2" w:rsidR="008B5C01" w:rsidRPr="0080251F" w:rsidRDefault="008B5C01" w:rsidP="008B5C01">
      <w:pPr>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 xml:space="preserve">Salariul mediu al directorului general </w:t>
      </w:r>
      <w:r w:rsidR="00061402" w:rsidRPr="0080251F">
        <w:rPr>
          <w:rFonts w:ascii="Times New Roman" w:hAnsi="Times New Roman" w:cs="Times New Roman"/>
          <w:bCs/>
          <w:sz w:val="24"/>
          <w:szCs w:val="24"/>
          <w:lang w:val="ro-MD"/>
        </w:rPr>
        <w:t>în</w:t>
      </w:r>
      <w:r w:rsidRPr="0080251F">
        <w:rPr>
          <w:rFonts w:ascii="Times New Roman" w:hAnsi="Times New Roman" w:cs="Times New Roman"/>
          <w:bCs/>
          <w:sz w:val="24"/>
          <w:szCs w:val="24"/>
          <w:lang w:val="ro-MD"/>
        </w:rPr>
        <w:t xml:space="preserve"> anul 2021 a constituit </w:t>
      </w:r>
      <w:r w:rsidR="00086D72" w:rsidRPr="0080251F">
        <w:rPr>
          <w:rFonts w:ascii="Times New Roman" w:hAnsi="Times New Roman" w:cs="Times New Roman"/>
          <w:bCs/>
          <w:sz w:val="24"/>
          <w:szCs w:val="24"/>
          <w:lang w:val="ro-MD"/>
        </w:rPr>
        <w:t>46,1</w:t>
      </w:r>
      <w:r w:rsidRPr="0080251F">
        <w:rPr>
          <w:rFonts w:ascii="Times New Roman" w:hAnsi="Times New Roman" w:cs="Times New Roman"/>
          <w:bCs/>
          <w:sz w:val="24"/>
          <w:szCs w:val="24"/>
          <w:lang w:val="ro-MD"/>
        </w:rPr>
        <w:t xml:space="preserve"> mii lei, iar </w:t>
      </w:r>
      <w:r w:rsidR="00061402" w:rsidRPr="0080251F">
        <w:rPr>
          <w:rFonts w:ascii="Times New Roman" w:hAnsi="Times New Roman" w:cs="Times New Roman"/>
          <w:bCs/>
          <w:sz w:val="24"/>
          <w:szCs w:val="24"/>
          <w:lang w:val="ro-MD"/>
        </w:rPr>
        <w:t>în</w:t>
      </w:r>
      <w:r w:rsidRPr="0080251F">
        <w:rPr>
          <w:rFonts w:ascii="Times New Roman" w:hAnsi="Times New Roman" w:cs="Times New Roman"/>
          <w:bCs/>
          <w:sz w:val="24"/>
          <w:szCs w:val="24"/>
          <w:lang w:val="ro-MD"/>
        </w:rPr>
        <w:t xml:space="preserve"> anul 2022 – </w:t>
      </w:r>
      <w:r w:rsidR="00086D72" w:rsidRPr="0080251F">
        <w:rPr>
          <w:rFonts w:ascii="Times New Roman" w:hAnsi="Times New Roman" w:cs="Times New Roman"/>
          <w:bCs/>
          <w:sz w:val="24"/>
          <w:szCs w:val="24"/>
          <w:lang w:val="ro-MD"/>
        </w:rPr>
        <w:t xml:space="preserve">36,9 </w:t>
      </w:r>
      <w:r w:rsidRPr="0080251F">
        <w:rPr>
          <w:rFonts w:ascii="Times New Roman" w:hAnsi="Times New Roman" w:cs="Times New Roman"/>
          <w:bCs/>
          <w:sz w:val="24"/>
          <w:szCs w:val="24"/>
          <w:lang w:val="ro-MD"/>
        </w:rPr>
        <w:t>mii lei.</w:t>
      </w:r>
    </w:p>
    <w:p w14:paraId="36B485F8" w14:textId="4CDD131B" w:rsidR="0069578F" w:rsidRPr="0080251F" w:rsidRDefault="0016710A" w:rsidP="00D1440C">
      <w:pPr>
        <w:spacing w:after="0" w:line="276" w:lineRule="auto"/>
        <w:jc w:val="right"/>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Tabelul nr.</w:t>
      </w:r>
      <w:r w:rsidR="008B5C01" w:rsidRPr="0080251F">
        <w:rPr>
          <w:rFonts w:ascii="Times New Roman" w:hAnsi="Times New Roman" w:cs="Times New Roman"/>
          <w:b/>
          <w:bCs/>
          <w:sz w:val="24"/>
          <w:szCs w:val="24"/>
          <w:lang w:val="ro-MD"/>
        </w:rPr>
        <w:t>8</w:t>
      </w:r>
    </w:p>
    <w:p w14:paraId="46844559" w14:textId="0D68B73E" w:rsidR="0069578F" w:rsidRPr="0080251F" w:rsidRDefault="0069578F" w:rsidP="00D1440C">
      <w:pPr>
        <w:spacing w:after="0" w:line="276" w:lineRule="auto"/>
        <w:jc w:val="center"/>
        <w:rPr>
          <w:rFonts w:ascii="Times New Roman" w:hAnsi="Times New Roman" w:cs="Times New Roman"/>
          <w:b/>
          <w:sz w:val="24"/>
          <w:szCs w:val="24"/>
          <w:lang w:val="ro-MD"/>
        </w:rPr>
      </w:pPr>
      <w:r w:rsidRPr="0080251F">
        <w:rPr>
          <w:rFonts w:ascii="Times New Roman" w:hAnsi="Times New Roman" w:cs="Times New Roman"/>
          <w:b/>
          <w:sz w:val="24"/>
          <w:szCs w:val="24"/>
          <w:lang w:val="ro-MD"/>
        </w:rPr>
        <w:t xml:space="preserve">Informația privind cheltuielile pentru remunerarea muncii, numărul mediu de personal și salariul mediu lunar </w:t>
      </w:r>
      <w:r w:rsidR="00061402" w:rsidRPr="0080251F">
        <w:rPr>
          <w:rFonts w:ascii="Times New Roman" w:hAnsi="Times New Roman" w:cs="Times New Roman"/>
          <w:b/>
          <w:sz w:val="24"/>
          <w:szCs w:val="24"/>
          <w:lang w:val="ro-MD"/>
        </w:rPr>
        <w:t>în</w:t>
      </w:r>
      <w:r w:rsidRPr="0080251F">
        <w:rPr>
          <w:rFonts w:ascii="Times New Roman" w:hAnsi="Times New Roman" w:cs="Times New Roman"/>
          <w:b/>
          <w:sz w:val="24"/>
          <w:szCs w:val="24"/>
          <w:lang w:val="ro-MD"/>
        </w:rPr>
        <w:t xml:space="preserve"> anii 2021-2022 (fără recompensele pentru organele de conducere și control ale societății) </w:t>
      </w:r>
    </w:p>
    <w:tbl>
      <w:tblPr>
        <w:tblW w:w="9816" w:type="dxa"/>
        <w:tblInd w:w="-5" w:type="dxa"/>
        <w:tblLook w:val="04A0" w:firstRow="1" w:lastRow="0" w:firstColumn="1" w:lastColumn="0" w:noHBand="0" w:noVBand="1"/>
      </w:tblPr>
      <w:tblGrid>
        <w:gridCol w:w="3544"/>
        <w:gridCol w:w="1016"/>
        <w:gridCol w:w="1134"/>
        <w:gridCol w:w="993"/>
        <w:gridCol w:w="1016"/>
        <w:gridCol w:w="993"/>
        <w:gridCol w:w="1144"/>
      </w:tblGrid>
      <w:tr w:rsidR="0069578F" w:rsidRPr="0080251F" w14:paraId="0B3AD212" w14:textId="77777777" w:rsidTr="0081037D">
        <w:trPr>
          <w:trHeight w:val="54"/>
        </w:trPr>
        <w:tc>
          <w:tcPr>
            <w:tcW w:w="354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B654165"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Indicatori</w:t>
            </w:r>
          </w:p>
        </w:tc>
        <w:tc>
          <w:tcPr>
            <w:tcW w:w="3119"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68AA644"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Anul 2021, mii lei</w:t>
            </w:r>
          </w:p>
        </w:tc>
        <w:tc>
          <w:tcPr>
            <w:tcW w:w="3153"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0197218"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Anul 2022, mii lei</w:t>
            </w:r>
          </w:p>
        </w:tc>
      </w:tr>
      <w:tr w:rsidR="0069578F" w:rsidRPr="0080251F" w14:paraId="541176A9" w14:textId="77777777" w:rsidTr="0081037D">
        <w:trPr>
          <w:trHeight w:val="54"/>
        </w:trPr>
        <w:tc>
          <w:tcPr>
            <w:tcW w:w="3544" w:type="dxa"/>
            <w:vMerge/>
            <w:tcBorders>
              <w:top w:val="single" w:sz="4" w:space="0" w:color="auto"/>
              <w:left w:val="single" w:sz="4" w:space="0" w:color="auto"/>
              <w:bottom w:val="single" w:sz="4" w:space="0" w:color="000000"/>
              <w:right w:val="single" w:sz="4" w:space="0" w:color="auto"/>
            </w:tcBorders>
            <w:vAlign w:val="center"/>
            <w:hideMark/>
          </w:tcPr>
          <w:p w14:paraId="6A99BDB9"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p>
        </w:tc>
        <w:tc>
          <w:tcPr>
            <w:tcW w:w="992" w:type="dxa"/>
            <w:tcBorders>
              <w:top w:val="nil"/>
              <w:left w:val="nil"/>
              <w:bottom w:val="single" w:sz="4" w:space="0" w:color="auto"/>
              <w:right w:val="single" w:sz="4" w:space="0" w:color="auto"/>
            </w:tcBorders>
            <w:shd w:val="clear" w:color="000000" w:fill="D9D9D9"/>
            <w:vAlign w:val="center"/>
            <w:hideMark/>
          </w:tcPr>
          <w:p w14:paraId="27106376"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Efectiv</w:t>
            </w:r>
          </w:p>
        </w:tc>
        <w:tc>
          <w:tcPr>
            <w:tcW w:w="1134" w:type="dxa"/>
            <w:tcBorders>
              <w:top w:val="nil"/>
              <w:left w:val="nil"/>
              <w:bottom w:val="single" w:sz="4" w:space="0" w:color="auto"/>
              <w:right w:val="single" w:sz="4" w:space="0" w:color="auto"/>
            </w:tcBorders>
            <w:shd w:val="clear" w:color="000000" w:fill="D9D9D9"/>
            <w:vAlign w:val="center"/>
            <w:hideMark/>
          </w:tcPr>
          <w:p w14:paraId="3AC46602"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Nr. mediu de personal</w:t>
            </w:r>
          </w:p>
        </w:tc>
        <w:tc>
          <w:tcPr>
            <w:tcW w:w="993" w:type="dxa"/>
            <w:tcBorders>
              <w:top w:val="nil"/>
              <w:left w:val="nil"/>
              <w:bottom w:val="single" w:sz="4" w:space="0" w:color="auto"/>
              <w:right w:val="single" w:sz="4" w:space="0" w:color="auto"/>
            </w:tcBorders>
            <w:shd w:val="clear" w:color="000000" w:fill="D9D9D9"/>
            <w:vAlign w:val="center"/>
            <w:hideMark/>
          </w:tcPr>
          <w:p w14:paraId="1B8A20C9"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Salariul mediu lunar</w:t>
            </w:r>
          </w:p>
        </w:tc>
        <w:tc>
          <w:tcPr>
            <w:tcW w:w="1016" w:type="dxa"/>
            <w:tcBorders>
              <w:top w:val="nil"/>
              <w:left w:val="nil"/>
              <w:bottom w:val="single" w:sz="4" w:space="0" w:color="auto"/>
              <w:right w:val="single" w:sz="4" w:space="0" w:color="auto"/>
            </w:tcBorders>
            <w:shd w:val="clear" w:color="000000" w:fill="D9D9D9"/>
            <w:noWrap/>
            <w:vAlign w:val="center"/>
            <w:hideMark/>
          </w:tcPr>
          <w:p w14:paraId="1D18927E"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Efectiv</w:t>
            </w:r>
          </w:p>
        </w:tc>
        <w:tc>
          <w:tcPr>
            <w:tcW w:w="993" w:type="dxa"/>
            <w:tcBorders>
              <w:top w:val="nil"/>
              <w:left w:val="nil"/>
              <w:bottom w:val="single" w:sz="4" w:space="0" w:color="auto"/>
              <w:right w:val="single" w:sz="4" w:space="0" w:color="auto"/>
            </w:tcBorders>
            <w:shd w:val="clear" w:color="000000" w:fill="D9D9D9"/>
            <w:vAlign w:val="center"/>
            <w:hideMark/>
          </w:tcPr>
          <w:p w14:paraId="52B8AC96"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Nr. mediu de personal</w:t>
            </w:r>
          </w:p>
        </w:tc>
        <w:tc>
          <w:tcPr>
            <w:tcW w:w="1144" w:type="dxa"/>
            <w:tcBorders>
              <w:top w:val="nil"/>
              <w:left w:val="nil"/>
              <w:bottom w:val="single" w:sz="4" w:space="0" w:color="auto"/>
              <w:right w:val="single" w:sz="4" w:space="0" w:color="auto"/>
            </w:tcBorders>
            <w:shd w:val="clear" w:color="000000" w:fill="D9D9D9"/>
            <w:vAlign w:val="center"/>
            <w:hideMark/>
          </w:tcPr>
          <w:p w14:paraId="11C1D4E8" w14:textId="77777777" w:rsidR="0069578F" w:rsidRPr="0080251F" w:rsidRDefault="0069578F" w:rsidP="002020E5">
            <w:pPr>
              <w:spacing w:after="0"/>
              <w:jc w:val="center"/>
              <w:rPr>
                <w:rFonts w:ascii="Times New Roman" w:eastAsia="Times New Roman" w:hAnsi="Times New Roman" w:cs="Times New Roman"/>
                <w:b/>
                <w:color w:val="000000"/>
                <w:sz w:val="20"/>
                <w:szCs w:val="20"/>
                <w:lang w:val="ro-MD"/>
              </w:rPr>
            </w:pPr>
            <w:r w:rsidRPr="0080251F">
              <w:rPr>
                <w:rFonts w:ascii="Times New Roman" w:eastAsia="Times New Roman" w:hAnsi="Times New Roman" w:cs="Times New Roman"/>
                <w:b/>
                <w:color w:val="000000"/>
                <w:sz w:val="20"/>
                <w:szCs w:val="20"/>
                <w:lang w:val="ro-MD"/>
              </w:rPr>
              <w:t>Salariul mediu lunar</w:t>
            </w:r>
          </w:p>
        </w:tc>
      </w:tr>
      <w:tr w:rsidR="0069578F" w:rsidRPr="0080251F" w14:paraId="193A3F2F" w14:textId="77777777" w:rsidTr="003C69CF">
        <w:trPr>
          <w:trHeight w:val="21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D021BF1" w14:textId="77777777" w:rsidR="0069578F" w:rsidRPr="0080251F" w:rsidRDefault="0069578F" w:rsidP="002020E5">
            <w:pPr>
              <w:spacing w:after="0"/>
              <w:jc w:val="center"/>
              <w:rPr>
                <w:rFonts w:ascii="Times New Roman" w:eastAsia="Times New Roman" w:hAnsi="Times New Roman" w:cs="Times New Roman"/>
                <w:b/>
                <w:color w:val="000000"/>
                <w:sz w:val="16"/>
                <w:szCs w:val="16"/>
                <w:lang w:val="ro-MD"/>
              </w:rPr>
            </w:pPr>
            <w:r w:rsidRPr="0080251F">
              <w:rPr>
                <w:rFonts w:ascii="Times New Roman" w:eastAsia="Times New Roman" w:hAnsi="Times New Roman" w:cs="Times New Roman"/>
                <w:b/>
                <w:color w:val="000000"/>
                <w:sz w:val="16"/>
                <w:szCs w:val="16"/>
                <w:lang w:val="ro-MD"/>
              </w:rPr>
              <w:t>0</w:t>
            </w:r>
          </w:p>
        </w:tc>
        <w:tc>
          <w:tcPr>
            <w:tcW w:w="992" w:type="dxa"/>
            <w:tcBorders>
              <w:top w:val="nil"/>
              <w:left w:val="nil"/>
              <w:bottom w:val="single" w:sz="4" w:space="0" w:color="auto"/>
              <w:right w:val="single" w:sz="4" w:space="0" w:color="auto"/>
            </w:tcBorders>
            <w:shd w:val="clear" w:color="auto" w:fill="auto"/>
            <w:noWrap/>
            <w:vAlign w:val="bottom"/>
            <w:hideMark/>
          </w:tcPr>
          <w:p w14:paraId="14F6D1A2" w14:textId="77777777" w:rsidR="0069578F" w:rsidRPr="0080251F" w:rsidRDefault="0069578F" w:rsidP="002020E5">
            <w:pPr>
              <w:spacing w:after="0"/>
              <w:jc w:val="center"/>
              <w:rPr>
                <w:rFonts w:ascii="Times New Roman" w:eastAsia="Times New Roman" w:hAnsi="Times New Roman" w:cs="Times New Roman"/>
                <w:b/>
                <w:color w:val="000000"/>
                <w:sz w:val="16"/>
                <w:szCs w:val="16"/>
                <w:lang w:val="ro-MD"/>
              </w:rPr>
            </w:pPr>
            <w:r w:rsidRPr="0080251F">
              <w:rPr>
                <w:rFonts w:ascii="Times New Roman" w:eastAsia="Times New Roman" w:hAnsi="Times New Roman" w:cs="Times New Roman"/>
                <w:b/>
                <w:color w:val="000000"/>
                <w:sz w:val="16"/>
                <w:szCs w:val="16"/>
                <w:lang w:val="ro-MD"/>
              </w:rPr>
              <w:t>1</w:t>
            </w:r>
          </w:p>
        </w:tc>
        <w:tc>
          <w:tcPr>
            <w:tcW w:w="1134" w:type="dxa"/>
            <w:tcBorders>
              <w:top w:val="nil"/>
              <w:left w:val="nil"/>
              <w:bottom w:val="single" w:sz="4" w:space="0" w:color="auto"/>
              <w:right w:val="single" w:sz="4" w:space="0" w:color="auto"/>
            </w:tcBorders>
            <w:shd w:val="clear" w:color="auto" w:fill="auto"/>
            <w:noWrap/>
            <w:vAlign w:val="bottom"/>
            <w:hideMark/>
          </w:tcPr>
          <w:p w14:paraId="5BD4E89A" w14:textId="77777777" w:rsidR="0069578F" w:rsidRPr="0080251F" w:rsidRDefault="0069578F" w:rsidP="002020E5">
            <w:pPr>
              <w:spacing w:after="0"/>
              <w:jc w:val="center"/>
              <w:rPr>
                <w:rFonts w:ascii="Times New Roman" w:eastAsia="Times New Roman" w:hAnsi="Times New Roman" w:cs="Times New Roman"/>
                <w:b/>
                <w:color w:val="000000"/>
                <w:sz w:val="16"/>
                <w:szCs w:val="16"/>
                <w:lang w:val="ro-MD"/>
              </w:rPr>
            </w:pPr>
            <w:r w:rsidRPr="0080251F">
              <w:rPr>
                <w:rFonts w:ascii="Times New Roman" w:eastAsia="Times New Roman" w:hAnsi="Times New Roman" w:cs="Times New Roman"/>
                <w:b/>
                <w:color w:val="000000"/>
                <w:sz w:val="16"/>
                <w:szCs w:val="16"/>
                <w:lang w:val="ro-MD"/>
              </w:rPr>
              <w:t>2</w:t>
            </w:r>
          </w:p>
        </w:tc>
        <w:tc>
          <w:tcPr>
            <w:tcW w:w="993" w:type="dxa"/>
            <w:tcBorders>
              <w:top w:val="nil"/>
              <w:left w:val="nil"/>
              <w:bottom w:val="single" w:sz="4" w:space="0" w:color="auto"/>
              <w:right w:val="single" w:sz="4" w:space="0" w:color="auto"/>
            </w:tcBorders>
            <w:shd w:val="clear" w:color="auto" w:fill="auto"/>
            <w:noWrap/>
            <w:vAlign w:val="bottom"/>
            <w:hideMark/>
          </w:tcPr>
          <w:p w14:paraId="11EC30FE" w14:textId="77777777" w:rsidR="0069578F" w:rsidRPr="0080251F" w:rsidRDefault="0069578F" w:rsidP="002020E5">
            <w:pPr>
              <w:spacing w:after="0"/>
              <w:jc w:val="center"/>
              <w:rPr>
                <w:rFonts w:ascii="Times New Roman" w:eastAsia="Times New Roman" w:hAnsi="Times New Roman" w:cs="Times New Roman"/>
                <w:b/>
                <w:color w:val="000000"/>
                <w:sz w:val="16"/>
                <w:szCs w:val="16"/>
                <w:lang w:val="ro-MD"/>
              </w:rPr>
            </w:pPr>
            <w:r w:rsidRPr="0080251F">
              <w:rPr>
                <w:rFonts w:ascii="Times New Roman" w:eastAsia="Times New Roman" w:hAnsi="Times New Roman" w:cs="Times New Roman"/>
                <w:b/>
                <w:color w:val="000000"/>
                <w:sz w:val="16"/>
                <w:szCs w:val="16"/>
                <w:lang w:val="ro-MD"/>
              </w:rPr>
              <w:t>3=1/2/12</w:t>
            </w:r>
          </w:p>
        </w:tc>
        <w:tc>
          <w:tcPr>
            <w:tcW w:w="1016" w:type="dxa"/>
            <w:tcBorders>
              <w:top w:val="nil"/>
              <w:left w:val="nil"/>
              <w:bottom w:val="single" w:sz="4" w:space="0" w:color="auto"/>
              <w:right w:val="single" w:sz="4" w:space="0" w:color="auto"/>
            </w:tcBorders>
            <w:shd w:val="clear" w:color="auto" w:fill="auto"/>
            <w:noWrap/>
            <w:vAlign w:val="bottom"/>
            <w:hideMark/>
          </w:tcPr>
          <w:p w14:paraId="2D2039F8" w14:textId="77777777" w:rsidR="0069578F" w:rsidRPr="0080251F" w:rsidRDefault="0069578F" w:rsidP="002020E5">
            <w:pPr>
              <w:spacing w:after="0"/>
              <w:jc w:val="center"/>
              <w:rPr>
                <w:rFonts w:ascii="Times New Roman" w:eastAsia="Times New Roman" w:hAnsi="Times New Roman" w:cs="Times New Roman"/>
                <w:b/>
                <w:color w:val="000000"/>
                <w:sz w:val="16"/>
                <w:szCs w:val="16"/>
                <w:lang w:val="ro-MD"/>
              </w:rPr>
            </w:pPr>
            <w:r w:rsidRPr="0080251F">
              <w:rPr>
                <w:rFonts w:ascii="Times New Roman" w:eastAsia="Times New Roman" w:hAnsi="Times New Roman" w:cs="Times New Roman"/>
                <w:b/>
                <w:color w:val="000000"/>
                <w:sz w:val="16"/>
                <w:szCs w:val="16"/>
                <w:lang w:val="ro-MD"/>
              </w:rPr>
              <w:t>4</w:t>
            </w:r>
          </w:p>
        </w:tc>
        <w:tc>
          <w:tcPr>
            <w:tcW w:w="993" w:type="dxa"/>
            <w:tcBorders>
              <w:top w:val="nil"/>
              <w:left w:val="nil"/>
              <w:bottom w:val="single" w:sz="4" w:space="0" w:color="auto"/>
              <w:right w:val="single" w:sz="4" w:space="0" w:color="auto"/>
            </w:tcBorders>
            <w:shd w:val="clear" w:color="auto" w:fill="auto"/>
            <w:noWrap/>
            <w:vAlign w:val="bottom"/>
            <w:hideMark/>
          </w:tcPr>
          <w:p w14:paraId="485CB3B0" w14:textId="77777777" w:rsidR="0069578F" w:rsidRPr="0080251F" w:rsidRDefault="0069578F" w:rsidP="002020E5">
            <w:pPr>
              <w:spacing w:after="0"/>
              <w:jc w:val="center"/>
              <w:rPr>
                <w:rFonts w:ascii="Times New Roman" w:eastAsia="Times New Roman" w:hAnsi="Times New Roman" w:cs="Times New Roman"/>
                <w:b/>
                <w:color w:val="000000"/>
                <w:sz w:val="16"/>
                <w:szCs w:val="16"/>
                <w:lang w:val="ro-MD"/>
              </w:rPr>
            </w:pPr>
            <w:r w:rsidRPr="0080251F">
              <w:rPr>
                <w:rFonts w:ascii="Times New Roman" w:eastAsia="Times New Roman" w:hAnsi="Times New Roman" w:cs="Times New Roman"/>
                <w:b/>
                <w:color w:val="000000"/>
                <w:sz w:val="16"/>
                <w:szCs w:val="16"/>
                <w:lang w:val="ro-MD"/>
              </w:rPr>
              <w:t>5</w:t>
            </w:r>
          </w:p>
        </w:tc>
        <w:tc>
          <w:tcPr>
            <w:tcW w:w="1144" w:type="dxa"/>
            <w:tcBorders>
              <w:top w:val="nil"/>
              <w:left w:val="nil"/>
              <w:bottom w:val="single" w:sz="4" w:space="0" w:color="auto"/>
              <w:right w:val="single" w:sz="4" w:space="0" w:color="auto"/>
            </w:tcBorders>
            <w:shd w:val="clear" w:color="auto" w:fill="auto"/>
            <w:noWrap/>
            <w:vAlign w:val="bottom"/>
            <w:hideMark/>
          </w:tcPr>
          <w:p w14:paraId="2766438D" w14:textId="77777777" w:rsidR="0069578F" w:rsidRPr="0080251F" w:rsidRDefault="0069578F" w:rsidP="002020E5">
            <w:pPr>
              <w:spacing w:after="0"/>
              <w:jc w:val="center"/>
              <w:rPr>
                <w:rFonts w:ascii="Times New Roman" w:eastAsia="Times New Roman" w:hAnsi="Times New Roman" w:cs="Times New Roman"/>
                <w:b/>
                <w:color w:val="000000"/>
                <w:sz w:val="16"/>
                <w:szCs w:val="16"/>
                <w:lang w:val="ro-MD"/>
              </w:rPr>
            </w:pPr>
            <w:r w:rsidRPr="0080251F">
              <w:rPr>
                <w:rFonts w:ascii="Times New Roman" w:eastAsia="Times New Roman" w:hAnsi="Times New Roman" w:cs="Times New Roman"/>
                <w:b/>
                <w:color w:val="000000"/>
                <w:sz w:val="16"/>
                <w:szCs w:val="16"/>
                <w:lang w:val="ro-MD"/>
              </w:rPr>
              <w:t>6=4/5/12</w:t>
            </w:r>
          </w:p>
        </w:tc>
      </w:tr>
      <w:tr w:rsidR="0069578F" w:rsidRPr="0080251F" w14:paraId="59A07F37" w14:textId="77777777" w:rsidTr="0081037D">
        <w:trPr>
          <w:trHeight w:val="12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A96A212" w14:textId="77777777" w:rsidR="0069578F" w:rsidRPr="0080251F" w:rsidRDefault="0069578F" w:rsidP="002020E5">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b/>
                <w:color w:val="000000"/>
                <w:sz w:val="20"/>
                <w:szCs w:val="20"/>
                <w:lang w:val="ro-MD"/>
              </w:rPr>
              <w:t xml:space="preserve">Total </w:t>
            </w:r>
            <w:r w:rsidRPr="0080251F">
              <w:rPr>
                <w:rFonts w:ascii="Times New Roman" w:eastAsia="Times New Roman" w:hAnsi="Times New Roman" w:cs="Times New Roman"/>
                <w:color w:val="000000"/>
                <w:sz w:val="20"/>
                <w:szCs w:val="20"/>
                <w:lang w:val="ro-MD"/>
              </w:rPr>
              <w:t>S.A. „RED-Nord”, inclusiv:</w:t>
            </w:r>
          </w:p>
        </w:tc>
        <w:tc>
          <w:tcPr>
            <w:tcW w:w="992" w:type="dxa"/>
            <w:tcBorders>
              <w:top w:val="nil"/>
              <w:left w:val="nil"/>
              <w:bottom w:val="single" w:sz="4" w:space="0" w:color="auto"/>
              <w:right w:val="single" w:sz="4" w:space="0" w:color="auto"/>
            </w:tcBorders>
            <w:shd w:val="clear" w:color="auto" w:fill="auto"/>
            <w:noWrap/>
            <w:vAlign w:val="center"/>
            <w:hideMark/>
          </w:tcPr>
          <w:p w14:paraId="2FD48EFE" w14:textId="6576CCCC" w:rsidR="0069578F" w:rsidRPr="0080251F" w:rsidRDefault="0069578F" w:rsidP="002020E5">
            <w:pPr>
              <w:spacing w:after="0"/>
              <w:jc w:val="right"/>
              <w:rPr>
                <w:rFonts w:ascii="Times New Roman" w:eastAsia="Times New Roman" w:hAnsi="Times New Roman" w:cs="Times New Roman"/>
                <w:b/>
                <w:bCs/>
                <w:color w:val="000000"/>
                <w:sz w:val="20"/>
                <w:szCs w:val="20"/>
                <w:lang w:val="ro-MD"/>
              </w:rPr>
            </w:pPr>
            <w:r w:rsidRPr="0080251F">
              <w:rPr>
                <w:rFonts w:ascii="Times New Roman" w:eastAsia="Times New Roman" w:hAnsi="Times New Roman" w:cs="Times New Roman"/>
                <w:b/>
                <w:bCs/>
                <w:color w:val="000000"/>
                <w:sz w:val="20"/>
                <w:szCs w:val="20"/>
                <w:lang w:val="ro-MD"/>
              </w:rPr>
              <w:t>236</w:t>
            </w:r>
            <w:r w:rsidR="000F2B8B" w:rsidRPr="0080251F">
              <w:rPr>
                <w:rFonts w:ascii="Times New Roman" w:eastAsia="Times New Roman" w:hAnsi="Times New Roman" w:cs="Times New Roman"/>
                <w:b/>
                <w:bCs/>
                <w:color w:val="000000"/>
                <w:sz w:val="20"/>
                <w:szCs w:val="20"/>
                <w:lang w:val="ro-MD"/>
              </w:rPr>
              <w:t>.</w:t>
            </w:r>
            <w:r w:rsidRPr="0080251F">
              <w:rPr>
                <w:rFonts w:ascii="Times New Roman" w:eastAsia="Times New Roman" w:hAnsi="Times New Roman" w:cs="Times New Roman"/>
                <w:b/>
                <w:bCs/>
                <w:color w:val="000000"/>
                <w:sz w:val="20"/>
                <w:szCs w:val="20"/>
                <w:lang w:val="ro-MD"/>
              </w:rPr>
              <w:t>991,5</w:t>
            </w:r>
          </w:p>
        </w:tc>
        <w:tc>
          <w:tcPr>
            <w:tcW w:w="1134" w:type="dxa"/>
            <w:tcBorders>
              <w:top w:val="nil"/>
              <w:left w:val="nil"/>
              <w:bottom w:val="single" w:sz="4" w:space="0" w:color="auto"/>
              <w:right w:val="single" w:sz="4" w:space="0" w:color="auto"/>
            </w:tcBorders>
            <w:shd w:val="clear" w:color="auto" w:fill="auto"/>
            <w:noWrap/>
            <w:vAlign w:val="center"/>
            <w:hideMark/>
          </w:tcPr>
          <w:p w14:paraId="087E62D2" w14:textId="417122D0" w:rsidR="0069578F" w:rsidRPr="0080251F" w:rsidRDefault="0069578F" w:rsidP="002020E5">
            <w:pPr>
              <w:spacing w:after="0"/>
              <w:jc w:val="right"/>
              <w:rPr>
                <w:rFonts w:ascii="Times New Roman" w:eastAsia="Times New Roman" w:hAnsi="Times New Roman" w:cs="Times New Roman"/>
                <w:b/>
                <w:bCs/>
                <w:color w:val="000000"/>
                <w:sz w:val="20"/>
                <w:szCs w:val="20"/>
                <w:lang w:val="ro-MD"/>
              </w:rPr>
            </w:pPr>
            <w:r w:rsidRPr="0080251F">
              <w:rPr>
                <w:rFonts w:ascii="Times New Roman" w:eastAsia="Times New Roman" w:hAnsi="Times New Roman" w:cs="Times New Roman"/>
                <w:b/>
                <w:bCs/>
                <w:color w:val="000000"/>
                <w:sz w:val="20"/>
                <w:szCs w:val="20"/>
                <w:lang w:val="ro-MD"/>
              </w:rPr>
              <w:t>1</w:t>
            </w:r>
            <w:r w:rsidR="000F2B8B" w:rsidRPr="0080251F">
              <w:rPr>
                <w:rFonts w:ascii="Times New Roman" w:eastAsia="Times New Roman" w:hAnsi="Times New Roman" w:cs="Times New Roman"/>
                <w:b/>
                <w:bCs/>
                <w:color w:val="000000"/>
                <w:sz w:val="20"/>
                <w:szCs w:val="20"/>
                <w:lang w:val="ro-MD"/>
              </w:rPr>
              <w:t>.</w:t>
            </w:r>
            <w:r w:rsidRPr="0080251F">
              <w:rPr>
                <w:rFonts w:ascii="Times New Roman" w:eastAsia="Times New Roman" w:hAnsi="Times New Roman" w:cs="Times New Roman"/>
                <w:b/>
                <w:bCs/>
                <w:color w:val="000000"/>
                <w:sz w:val="20"/>
                <w:szCs w:val="20"/>
                <w:lang w:val="ro-MD"/>
              </w:rPr>
              <w:t>522,9</w:t>
            </w:r>
          </w:p>
        </w:tc>
        <w:tc>
          <w:tcPr>
            <w:tcW w:w="993" w:type="dxa"/>
            <w:tcBorders>
              <w:top w:val="nil"/>
              <w:left w:val="nil"/>
              <w:bottom w:val="single" w:sz="4" w:space="0" w:color="auto"/>
              <w:right w:val="single" w:sz="4" w:space="0" w:color="auto"/>
            </w:tcBorders>
            <w:shd w:val="clear" w:color="auto" w:fill="auto"/>
            <w:noWrap/>
            <w:vAlign w:val="center"/>
            <w:hideMark/>
          </w:tcPr>
          <w:p w14:paraId="73A1BCC5" w14:textId="77777777" w:rsidR="0069578F" w:rsidRPr="0080251F" w:rsidRDefault="0069578F" w:rsidP="002020E5">
            <w:pPr>
              <w:spacing w:after="0"/>
              <w:jc w:val="right"/>
              <w:rPr>
                <w:rFonts w:ascii="Times New Roman" w:eastAsia="Times New Roman" w:hAnsi="Times New Roman" w:cs="Times New Roman"/>
                <w:b/>
                <w:bCs/>
                <w:color w:val="000000"/>
                <w:sz w:val="20"/>
                <w:szCs w:val="20"/>
                <w:lang w:val="ro-MD"/>
              </w:rPr>
            </w:pPr>
            <w:r w:rsidRPr="0080251F">
              <w:rPr>
                <w:rFonts w:ascii="Times New Roman" w:eastAsia="Times New Roman" w:hAnsi="Times New Roman" w:cs="Times New Roman"/>
                <w:b/>
                <w:bCs/>
                <w:color w:val="000000"/>
                <w:sz w:val="20"/>
                <w:szCs w:val="20"/>
                <w:lang w:val="ro-MD"/>
              </w:rPr>
              <w:t>13,0</w:t>
            </w:r>
          </w:p>
        </w:tc>
        <w:tc>
          <w:tcPr>
            <w:tcW w:w="1016" w:type="dxa"/>
            <w:tcBorders>
              <w:top w:val="nil"/>
              <w:left w:val="nil"/>
              <w:bottom w:val="single" w:sz="4" w:space="0" w:color="auto"/>
              <w:right w:val="single" w:sz="4" w:space="0" w:color="auto"/>
            </w:tcBorders>
            <w:shd w:val="clear" w:color="auto" w:fill="auto"/>
            <w:noWrap/>
            <w:vAlign w:val="center"/>
            <w:hideMark/>
          </w:tcPr>
          <w:p w14:paraId="1ED3D165" w14:textId="77829887" w:rsidR="0069578F" w:rsidRPr="0080251F" w:rsidRDefault="0069578F" w:rsidP="002020E5">
            <w:pPr>
              <w:spacing w:after="0"/>
              <w:jc w:val="right"/>
              <w:rPr>
                <w:rFonts w:ascii="Times New Roman" w:eastAsia="Times New Roman" w:hAnsi="Times New Roman" w:cs="Times New Roman"/>
                <w:b/>
                <w:bCs/>
                <w:color w:val="000000"/>
                <w:sz w:val="20"/>
                <w:szCs w:val="20"/>
                <w:lang w:val="ro-MD"/>
              </w:rPr>
            </w:pPr>
            <w:r w:rsidRPr="0080251F">
              <w:rPr>
                <w:rFonts w:ascii="Times New Roman" w:eastAsia="Times New Roman" w:hAnsi="Times New Roman" w:cs="Times New Roman"/>
                <w:b/>
                <w:bCs/>
                <w:color w:val="000000"/>
                <w:sz w:val="20"/>
                <w:szCs w:val="20"/>
                <w:lang w:val="ro-MD"/>
              </w:rPr>
              <w:t>246</w:t>
            </w:r>
            <w:r w:rsidR="000F2B8B" w:rsidRPr="0080251F">
              <w:rPr>
                <w:rFonts w:ascii="Times New Roman" w:eastAsia="Times New Roman" w:hAnsi="Times New Roman" w:cs="Times New Roman"/>
                <w:b/>
                <w:bCs/>
                <w:color w:val="000000"/>
                <w:sz w:val="20"/>
                <w:szCs w:val="20"/>
                <w:lang w:val="ro-MD"/>
              </w:rPr>
              <w:t>.</w:t>
            </w:r>
            <w:r w:rsidRPr="0080251F">
              <w:rPr>
                <w:rFonts w:ascii="Times New Roman" w:eastAsia="Times New Roman" w:hAnsi="Times New Roman" w:cs="Times New Roman"/>
                <w:b/>
                <w:bCs/>
                <w:color w:val="000000"/>
                <w:sz w:val="20"/>
                <w:szCs w:val="20"/>
                <w:lang w:val="ro-MD"/>
              </w:rPr>
              <w:t>478,1</w:t>
            </w:r>
          </w:p>
        </w:tc>
        <w:tc>
          <w:tcPr>
            <w:tcW w:w="993" w:type="dxa"/>
            <w:tcBorders>
              <w:top w:val="nil"/>
              <w:left w:val="nil"/>
              <w:bottom w:val="single" w:sz="4" w:space="0" w:color="auto"/>
              <w:right w:val="single" w:sz="4" w:space="0" w:color="auto"/>
            </w:tcBorders>
            <w:shd w:val="clear" w:color="auto" w:fill="auto"/>
            <w:noWrap/>
            <w:vAlign w:val="center"/>
            <w:hideMark/>
          </w:tcPr>
          <w:p w14:paraId="3F14E509" w14:textId="11E54B8B" w:rsidR="0069578F" w:rsidRPr="0080251F" w:rsidRDefault="0069578F" w:rsidP="002020E5">
            <w:pPr>
              <w:spacing w:after="0"/>
              <w:jc w:val="right"/>
              <w:rPr>
                <w:rFonts w:ascii="Times New Roman" w:eastAsia="Times New Roman" w:hAnsi="Times New Roman" w:cs="Times New Roman"/>
                <w:b/>
                <w:bCs/>
                <w:color w:val="000000"/>
                <w:sz w:val="20"/>
                <w:szCs w:val="20"/>
                <w:lang w:val="ro-MD"/>
              </w:rPr>
            </w:pPr>
            <w:r w:rsidRPr="0080251F">
              <w:rPr>
                <w:rFonts w:ascii="Times New Roman" w:eastAsia="Times New Roman" w:hAnsi="Times New Roman" w:cs="Times New Roman"/>
                <w:b/>
                <w:bCs/>
                <w:color w:val="000000"/>
                <w:sz w:val="20"/>
                <w:szCs w:val="20"/>
                <w:lang w:val="ro-MD"/>
              </w:rPr>
              <w:t>1</w:t>
            </w:r>
            <w:r w:rsidR="000F2B8B" w:rsidRPr="0080251F">
              <w:rPr>
                <w:rFonts w:ascii="Times New Roman" w:eastAsia="Times New Roman" w:hAnsi="Times New Roman" w:cs="Times New Roman"/>
                <w:b/>
                <w:bCs/>
                <w:color w:val="000000"/>
                <w:sz w:val="20"/>
                <w:szCs w:val="20"/>
                <w:lang w:val="ro-MD"/>
              </w:rPr>
              <w:t>.</w:t>
            </w:r>
            <w:r w:rsidRPr="0080251F">
              <w:rPr>
                <w:rFonts w:ascii="Times New Roman" w:eastAsia="Times New Roman" w:hAnsi="Times New Roman" w:cs="Times New Roman"/>
                <w:b/>
                <w:bCs/>
                <w:color w:val="000000"/>
                <w:sz w:val="20"/>
                <w:szCs w:val="20"/>
                <w:lang w:val="ro-MD"/>
              </w:rPr>
              <w:t>481,9</w:t>
            </w:r>
          </w:p>
        </w:tc>
        <w:tc>
          <w:tcPr>
            <w:tcW w:w="1144" w:type="dxa"/>
            <w:tcBorders>
              <w:top w:val="nil"/>
              <w:left w:val="nil"/>
              <w:bottom w:val="single" w:sz="4" w:space="0" w:color="auto"/>
              <w:right w:val="single" w:sz="4" w:space="0" w:color="auto"/>
            </w:tcBorders>
            <w:shd w:val="clear" w:color="auto" w:fill="auto"/>
            <w:noWrap/>
            <w:vAlign w:val="center"/>
            <w:hideMark/>
          </w:tcPr>
          <w:p w14:paraId="1FA35FD7" w14:textId="77777777" w:rsidR="0069578F" w:rsidRPr="0080251F" w:rsidRDefault="0069578F" w:rsidP="002020E5">
            <w:pPr>
              <w:spacing w:after="0"/>
              <w:jc w:val="right"/>
              <w:rPr>
                <w:rFonts w:ascii="Times New Roman" w:eastAsia="Times New Roman" w:hAnsi="Times New Roman" w:cs="Times New Roman"/>
                <w:b/>
                <w:bCs/>
                <w:color w:val="000000"/>
                <w:sz w:val="20"/>
                <w:szCs w:val="20"/>
                <w:lang w:val="ro-MD"/>
              </w:rPr>
            </w:pPr>
            <w:r w:rsidRPr="0080251F">
              <w:rPr>
                <w:rFonts w:ascii="Times New Roman" w:eastAsia="Times New Roman" w:hAnsi="Times New Roman" w:cs="Times New Roman"/>
                <w:b/>
                <w:bCs/>
                <w:color w:val="000000"/>
                <w:sz w:val="20"/>
                <w:szCs w:val="20"/>
                <w:lang w:val="ro-MD"/>
              </w:rPr>
              <w:t>13,9</w:t>
            </w:r>
          </w:p>
        </w:tc>
      </w:tr>
      <w:tr w:rsidR="0069578F" w:rsidRPr="0080251F" w14:paraId="0F009229" w14:textId="77777777" w:rsidTr="0081037D">
        <w:trPr>
          <w:trHeight w:val="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D3D3F16" w14:textId="77777777" w:rsidR="0069578F" w:rsidRPr="0080251F" w:rsidRDefault="0069578F" w:rsidP="002020E5">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Organul executiv de conducere (directorul general și directorii subordonați)</w:t>
            </w:r>
          </w:p>
        </w:tc>
        <w:tc>
          <w:tcPr>
            <w:tcW w:w="992" w:type="dxa"/>
            <w:tcBorders>
              <w:top w:val="nil"/>
              <w:left w:val="nil"/>
              <w:bottom w:val="single" w:sz="4" w:space="0" w:color="auto"/>
              <w:right w:val="single" w:sz="4" w:space="0" w:color="auto"/>
            </w:tcBorders>
            <w:shd w:val="clear" w:color="auto" w:fill="auto"/>
            <w:noWrap/>
            <w:vAlign w:val="center"/>
            <w:hideMark/>
          </w:tcPr>
          <w:p w14:paraId="31AA3497" w14:textId="0DB1BCE9"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2</w:t>
            </w:r>
            <w:r w:rsidR="000F2B8B" w:rsidRPr="0080251F">
              <w:rPr>
                <w:rFonts w:ascii="Times New Roman" w:eastAsia="Times New Roman" w:hAnsi="Times New Roman" w:cs="Times New Roman"/>
                <w:color w:val="000000"/>
                <w:sz w:val="20"/>
                <w:szCs w:val="20"/>
                <w:lang w:val="ro-MD"/>
              </w:rPr>
              <w:t>.</w:t>
            </w:r>
            <w:r w:rsidRPr="0080251F">
              <w:rPr>
                <w:rFonts w:ascii="Times New Roman" w:eastAsia="Times New Roman" w:hAnsi="Times New Roman" w:cs="Times New Roman"/>
                <w:color w:val="000000"/>
                <w:sz w:val="20"/>
                <w:szCs w:val="20"/>
                <w:lang w:val="ro-MD"/>
              </w:rPr>
              <w:t>146,4</w:t>
            </w:r>
          </w:p>
        </w:tc>
        <w:tc>
          <w:tcPr>
            <w:tcW w:w="1134" w:type="dxa"/>
            <w:tcBorders>
              <w:top w:val="nil"/>
              <w:left w:val="nil"/>
              <w:bottom w:val="single" w:sz="4" w:space="0" w:color="auto"/>
              <w:right w:val="single" w:sz="4" w:space="0" w:color="auto"/>
            </w:tcBorders>
            <w:shd w:val="clear" w:color="auto" w:fill="auto"/>
            <w:noWrap/>
            <w:vAlign w:val="center"/>
            <w:hideMark/>
          </w:tcPr>
          <w:p w14:paraId="69B05999" w14:textId="77777777"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4</w:t>
            </w:r>
          </w:p>
        </w:tc>
        <w:tc>
          <w:tcPr>
            <w:tcW w:w="993" w:type="dxa"/>
            <w:tcBorders>
              <w:top w:val="nil"/>
              <w:left w:val="nil"/>
              <w:bottom w:val="single" w:sz="4" w:space="0" w:color="auto"/>
              <w:right w:val="single" w:sz="4" w:space="0" w:color="auto"/>
            </w:tcBorders>
            <w:shd w:val="clear" w:color="auto" w:fill="auto"/>
            <w:noWrap/>
            <w:vAlign w:val="center"/>
            <w:hideMark/>
          </w:tcPr>
          <w:p w14:paraId="2D6A2D22" w14:textId="77777777"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44,7</w:t>
            </w:r>
          </w:p>
        </w:tc>
        <w:tc>
          <w:tcPr>
            <w:tcW w:w="1016" w:type="dxa"/>
            <w:tcBorders>
              <w:top w:val="nil"/>
              <w:left w:val="nil"/>
              <w:bottom w:val="single" w:sz="4" w:space="0" w:color="auto"/>
              <w:right w:val="single" w:sz="4" w:space="0" w:color="auto"/>
            </w:tcBorders>
            <w:shd w:val="clear" w:color="auto" w:fill="auto"/>
            <w:noWrap/>
            <w:vAlign w:val="center"/>
            <w:hideMark/>
          </w:tcPr>
          <w:p w14:paraId="5D523011" w14:textId="404EB5BD"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2</w:t>
            </w:r>
            <w:r w:rsidR="000F2B8B" w:rsidRPr="0080251F">
              <w:rPr>
                <w:rFonts w:ascii="Times New Roman" w:eastAsia="Times New Roman" w:hAnsi="Times New Roman" w:cs="Times New Roman"/>
                <w:color w:val="000000"/>
                <w:sz w:val="20"/>
                <w:szCs w:val="20"/>
                <w:lang w:val="ro-MD"/>
              </w:rPr>
              <w:t>.</w:t>
            </w:r>
            <w:r w:rsidRPr="0080251F">
              <w:rPr>
                <w:rFonts w:ascii="Times New Roman" w:eastAsia="Times New Roman" w:hAnsi="Times New Roman" w:cs="Times New Roman"/>
                <w:color w:val="000000"/>
                <w:sz w:val="20"/>
                <w:szCs w:val="20"/>
                <w:lang w:val="ro-MD"/>
              </w:rPr>
              <w:t>068,6</w:t>
            </w:r>
          </w:p>
        </w:tc>
        <w:tc>
          <w:tcPr>
            <w:tcW w:w="993" w:type="dxa"/>
            <w:tcBorders>
              <w:top w:val="nil"/>
              <w:left w:val="nil"/>
              <w:bottom w:val="single" w:sz="4" w:space="0" w:color="auto"/>
              <w:right w:val="single" w:sz="4" w:space="0" w:color="auto"/>
            </w:tcBorders>
            <w:shd w:val="clear" w:color="auto" w:fill="auto"/>
            <w:noWrap/>
            <w:vAlign w:val="center"/>
            <w:hideMark/>
          </w:tcPr>
          <w:p w14:paraId="350AD74A" w14:textId="77777777"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4</w:t>
            </w:r>
          </w:p>
        </w:tc>
        <w:tc>
          <w:tcPr>
            <w:tcW w:w="1144" w:type="dxa"/>
            <w:tcBorders>
              <w:top w:val="nil"/>
              <w:left w:val="nil"/>
              <w:bottom w:val="single" w:sz="4" w:space="0" w:color="auto"/>
              <w:right w:val="single" w:sz="4" w:space="0" w:color="auto"/>
            </w:tcBorders>
            <w:shd w:val="clear" w:color="auto" w:fill="auto"/>
            <w:noWrap/>
            <w:vAlign w:val="center"/>
            <w:hideMark/>
          </w:tcPr>
          <w:p w14:paraId="7BF206EC" w14:textId="77777777"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43,1</w:t>
            </w:r>
          </w:p>
        </w:tc>
      </w:tr>
      <w:tr w:rsidR="0069578F" w:rsidRPr="0080251F" w14:paraId="0623216F" w14:textId="77777777" w:rsidTr="0081037D">
        <w:trPr>
          <w:trHeight w:val="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3F3DD47" w14:textId="77777777" w:rsidR="0069578F" w:rsidRPr="0080251F" w:rsidRDefault="0069578F" w:rsidP="002020E5">
            <w:pPr>
              <w:spacing w:after="0"/>
              <w:jc w:val="both"/>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Personal administrativ și muncitorii</w:t>
            </w:r>
          </w:p>
        </w:tc>
        <w:tc>
          <w:tcPr>
            <w:tcW w:w="992" w:type="dxa"/>
            <w:tcBorders>
              <w:top w:val="nil"/>
              <w:left w:val="nil"/>
              <w:bottom w:val="single" w:sz="4" w:space="0" w:color="auto"/>
              <w:right w:val="single" w:sz="4" w:space="0" w:color="auto"/>
            </w:tcBorders>
            <w:shd w:val="clear" w:color="auto" w:fill="auto"/>
            <w:noWrap/>
            <w:vAlign w:val="center"/>
            <w:hideMark/>
          </w:tcPr>
          <w:p w14:paraId="5D7CB0FA" w14:textId="3D8BE07E"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234</w:t>
            </w:r>
            <w:r w:rsidR="000F2B8B" w:rsidRPr="0080251F">
              <w:rPr>
                <w:rFonts w:ascii="Times New Roman" w:eastAsia="Times New Roman" w:hAnsi="Times New Roman" w:cs="Times New Roman"/>
                <w:color w:val="000000"/>
                <w:sz w:val="20"/>
                <w:szCs w:val="20"/>
                <w:lang w:val="ro-MD"/>
              </w:rPr>
              <w:t>.</w:t>
            </w:r>
            <w:r w:rsidRPr="0080251F">
              <w:rPr>
                <w:rFonts w:ascii="Times New Roman" w:eastAsia="Times New Roman" w:hAnsi="Times New Roman" w:cs="Times New Roman"/>
                <w:color w:val="000000"/>
                <w:sz w:val="20"/>
                <w:szCs w:val="20"/>
                <w:lang w:val="ro-MD"/>
              </w:rPr>
              <w:t>845,1</w:t>
            </w:r>
          </w:p>
        </w:tc>
        <w:tc>
          <w:tcPr>
            <w:tcW w:w="1134" w:type="dxa"/>
            <w:tcBorders>
              <w:top w:val="nil"/>
              <w:left w:val="nil"/>
              <w:bottom w:val="single" w:sz="4" w:space="0" w:color="auto"/>
              <w:right w:val="single" w:sz="4" w:space="0" w:color="auto"/>
            </w:tcBorders>
            <w:shd w:val="clear" w:color="auto" w:fill="auto"/>
            <w:noWrap/>
            <w:vAlign w:val="center"/>
            <w:hideMark/>
          </w:tcPr>
          <w:p w14:paraId="139E4BE7" w14:textId="4245237F"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w:t>
            </w:r>
            <w:r w:rsidR="000F2B8B" w:rsidRPr="0080251F">
              <w:rPr>
                <w:rFonts w:ascii="Times New Roman" w:eastAsia="Times New Roman" w:hAnsi="Times New Roman" w:cs="Times New Roman"/>
                <w:color w:val="000000"/>
                <w:sz w:val="20"/>
                <w:szCs w:val="20"/>
                <w:lang w:val="ro-MD"/>
              </w:rPr>
              <w:t>.</w:t>
            </w:r>
            <w:r w:rsidRPr="0080251F">
              <w:rPr>
                <w:rFonts w:ascii="Times New Roman" w:eastAsia="Times New Roman" w:hAnsi="Times New Roman" w:cs="Times New Roman"/>
                <w:color w:val="000000"/>
                <w:sz w:val="20"/>
                <w:szCs w:val="20"/>
                <w:lang w:val="ro-MD"/>
              </w:rPr>
              <w:t>518,9</w:t>
            </w:r>
          </w:p>
        </w:tc>
        <w:tc>
          <w:tcPr>
            <w:tcW w:w="993" w:type="dxa"/>
            <w:tcBorders>
              <w:top w:val="nil"/>
              <w:left w:val="nil"/>
              <w:bottom w:val="single" w:sz="4" w:space="0" w:color="auto"/>
              <w:right w:val="single" w:sz="4" w:space="0" w:color="auto"/>
            </w:tcBorders>
            <w:shd w:val="clear" w:color="auto" w:fill="auto"/>
            <w:noWrap/>
            <w:vAlign w:val="center"/>
            <w:hideMark/>
          </w:tcPr>
          <w:p w14:paraId="3AD291AB" w14:textId="77777777"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12.9</w:t>
            </w:r>
          </w:p>
        </w:tc>
        <w:tc>
          <w:tcPr>
            <w:tcW w:w="1016" w:type="dxa"/>
            <w:tcBorders>
              <w:top w:val="nil"/>
              <w:left w:val="nil"/>
              <w:bottom w:val="single" w:sz="4" w:space="0" w:color="auto"/>
              <w:right w:val="single" w:sz="4" w:space="0" w:color="auto"/>
            </w:tcBorders>
            <w:shd w:val="clear" w:color="auto" w:fill="auto"/>
            <w:noWrap/>
            <w:vAlign w:val="center"/>
            <w:hideMark/>
          </w:tcPr>
          <w:p w14:paraId="3B2B222A" w14:textId="726A107F"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244</w:t>
            </w:r>
            <w:r w:rsidR="000F2B8B" w:rsidRPr="0080251F">
              <w:rPr>
                <w:rFonts w:ascii="Times New Roman" w:eastAsia="Times New Roman" w:hAnsi="Times New Roman" w:cs="Times New Roman"/>
                <w:color w:val="000000"/>
                <w:sz w:val="20"/>
                <w:szCs w:val="20"/>
                <w:lang w:val="ro-MD"/>
              </w:rPr>
              <w:t>.</w:t>
            </w:r>
            <w:r w:rsidRPr="0080251F">
              <w:rPr>
                <w:rFonts w:ascii="Times New Roman" w:eastAsia="Times New Roman" w:hAnsi="Times New Roman" w:cs="Times New Roman"/>
                <w:color w:val="000000"/>
                <w:sz w:val="20"/>
                <w:szCs w:val="20"/>
                <w:lang w:val="ro-MD"/>
              </w:rPr>
              <w:t>409,5</w:t>
            </w:r>
          </w:p>
        </w:tc>
        <w:tc>
          <w:tcPr>
            <w:tcW w:w="993" w:type="dxa"/>
            <w:tcBorders>
              <w:top w:val="nil"/>
              <w:left w:val="nil"/>
              <w:bottom w:val="single" w:sz="4" w:space="0" w:color="auto"/>
              <w:right w:val="single" w:sz="4" w:space="0" w:color="auto"/>
            </w:tcBorders>
            <w:shd w:val="clear" w:color="auto" w:fill="auto"/>
            <w:noWrap/>
            <w:vAlign w:val="center"/>
            <w:hideMark/>
          </w:tcPr>
          <w:p w14:paraId="00CA8552" w14:textId="7D94CE4E"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w:t>
            </w:r>
            <w:r w:rsidR="000F2B8B" w:rsidRPr="0080251F">
              <w:rPr>
                <w:rFonts w:ascii="Times New Roman" w:eastAsia="Times New Roman" w:hAnsi="Times New Roman" w:cs="Times New Roman"/>
                <w:color w:val="000000"/>
                <w:sz w:val="20"/>
                <w:szCs w:val="20"/>
                <w:lang w:val="ro-MD"/>
              </w:rPr>
              <w:t>.</w:t>
            </w:r>
            <w:r w:rsidRPr="0080251F">
              <w:rPr>
                <w:rFonts w:ascii="Times New Roman" w:eastAsia="Times New Roman" w:hAnsi="Times New Roman" w:cs="Times New Roman"/>
                <w:color w:val="000000"/>
                <w:sz w:val="20"/>
                <w:szCs w:val="20"/>
                <w:lang w:val="ro-MD"/>
              </w:rPr>
              <w:t>477,9</w:t>
            </w:r>
          </w:p>
        </w:tc>
        <w:tc>
          <w:tcPr>
            <w:tcW w:w="1144" w:type="dxa"/>
            <w:tcBorders>
              <w:top w:val="nil"/>
              <w:left w:val="nil"/>
              <w:bottom w:val="single" w:sz="4" w:space="0" w:color="auto"/>
              <w:right w:val="single" w:sz="4" w:space="0" w:color="auto"/>
            </w:tcBorders>
            <w:shd w:val="clear" w:color="auto" w:fill="auto"/>
            <w:noWrap/>
            <w:vAlign w:val="center"/>
            <w:hideMark/>
          </w:tcPr>
          <w:p w14:paraId="74694904" w14:textId="77777777" w:rsidR="0069578F" w:rsidRPr="0080251F" w:rsidRDefault="0069578F" w:rsidP="002020E5">
            <w:pPr>
              <w:spacing w:after="0"/>
              <w:jc w:val="right"/>
              <w:rPr>
                <w:rFonts w:ascii="Times New Roman" w:eastAsia="Times New Roman" w:hAnsi="Times New Roman" w:cs="Times New Roman"/>
                <w:color w:val="000000"/>
                <w:sz w:val="20"/>
                <w:szCs w:val="20"/>
                <w:lang w:val="ro-MD"/>
              </w:rPr>
            </w:pPr>
            <w:r w:rsidRPr="0080251F">
              <w:rPr>
                <w:rFonts w:ascii="Times New Roman" w:eastAsia="Times New Roman" w:hAnsi="Times New Roman" w:cs="Times New Roman"/>
                <w:color w:val="000000"/>
                <w:sz w:val="20"/>
                <w:szCs w:val="20"/>
                <w:lang w:val="ro-MD"/>
              </w:rPr>
              <w:t>13,8</w:t>
            </w:r>
          </w:p>
        </w:tc>
      </w:tr>
    </w:tbl>
    <w:p w14:paraId="0CC64B76" w14:textId="054A8B83" w:rsidR="0069578F" w:rsidRPr="0080251F" w:rsidRDefault="0069578F" w:rsidP="0069578F">
      <w:pPr>
        <w:jc w:val="both"/>
        <w:rPr>
          <w:rFonts w:ascii="Times New Roman" w:hAnsi="Times New Roman" w:cs="Times New Roman"/>
          <w:b/>
          <w:bCs/>
          <w:i/>
          <w:iCs/>
          <w:sz w:val="20"/>
          <w:szCs w:val="20"/>
          <w:lang w:val="ro-MD"/>
        </w:rPr>
      </w:pPr>
      <w:r w:rsidRPr="0080251F">
        <w:rPr>
          <w:rFonts w:ascii="Times New Roman" w:hAnsi="Times New Roman" w:cs="Times New Roman"/>
          <w:b/>
          <w:bCs/>
          <w:i/>
          <w:iCs/>
          <w:sz w:val="20"/>
          <w:szCs w:val="20"/>
          <w:lang w:val="ro-MD"/>
        </w:rPr>
        <w:t>Notă:</w:t>
      </w:r>
      <w:r w:rsidRPr="0080251F">
        <w:rPr>
          <w:rFonts w:ascii="Times New Roman" w:hAnsi="Times New Roman" w:cs="Times New Roman"/>
          <w:bCs/>
          <w:i/>
          <w:iCs/>
          <w:sz w:val="20"/>
          <w:szCs w:val="20"/>
          <w:lang w:val="ro-MD"/>
        </w:rPr>
        <w:t xml:space="preserve"> Informați</w:t>
      </w:r>
      <w:r w:rsidR="00061402" w:rsidRPr="0080251F">
        <w:rPr>
          <w:rFonts w:ascii="Times New Roman" w:hAnsi="Times New Roman" w:cs="Times New Roman"/>
          <w:bCs/>
          <w:i/>
          <w:iCs/>
          <w:sz w:val="20"/>
          <w:szCs w:val="20"/>
          <w:lang w:val="ro-MD"/>
        </w:rPr>
        <w:t>il</w:t>
      </w:r>
      <w:r w:rsidRPr="0080251F">
        <w:rPr>
          <w:rFonts w:ascii="Times New Roman" w:hAnsi="Times New Roman" w:cs="Times New Roman"/>
          <w:bCs/>
          <w:i/>
          <w:iCs/>
          <w:sz w:val="20"/>
          <w:szCs w:val="20"/>
          <w:lang w:val="ro-MD"/>
        </w:rPr>
        <w:t xml:space="preserve">e prezentate privind statele de personal și </w:t>
      </w:r>
      <w:r w:rsidR="00061402" w:rsidRPr="0080251F">
        <w:rPr>
          <w:rFonts w:ascii="Times New Roman" w:hAnsi="Times New Roman" w:cs="Times New Roman"/>
          <w:bCs/>
          <w:i/>
          <w:iCs/>
          <w:sz w:val="20"/>
          <w:szCs w:val="20"/>
          <w:lang w:val="ro-MD"/>
        </w:rPr>
        <w:t>R</w:t>
      </w:r>
      <w:r w:rsidRPr="0080251F">
        <w:rPr>
          <w:rFonts w:ascii="Times New Roman" w:hAnsi="Times New Roman" w:cs="Times New Roman"/>
          <w:bCs/>
          <w:i/>
          <w:iCs/>
          <w:sz w:val="20"/>
          <w:szCs w:val="20"/>
          <w:lang w:val="ro-MD"/>
        </w:rPr>
        <w:t xml:space="preserve">egistrul salariului pentru </w:t>
      </w:r>
      <w:r w:rsidR="00061402" w:rsidRPr="0080251F">
        <w:rPr>
          <w:rFonts w:ascii="Times New Roman" w:hAnsi="Times New Roman" w:cs="Times New Roman"/>
          <w:bCs/>
          <w:i/>
          <w:iCs/>
          <w:sz w:val="20"/>
          <w:szCs w:val="20"/>
          <w:lang w:val="ro-MD"/>
        </w:rPr>
        <w:t xml:space="preserve">anii </w:t>
      </w:r>
      <w:r w:rsidRPr="0080251F">
        <w:rPr>
          <w:rFonts w:ascii="Times New Roman" w:hAnsi="Times New Roman" w:cs="Times New Roman"/>
          <w:bCs/>
          <w:i/>
          <w:iCs/>
          <w:sz w:val="20"/>
          <w:szCs w:val="20"/>
          <w:lang w:val="ro-MD"/>
        </w:rPr>
        <w:t>2021-2022.</w:t>
      </w:r>
    </w:p>
    <w:p w14:paraId="2E49A0D2" w14:textId="0D08DCAB" w:rsidR="0069578F" w:rsidRPr="0080251F" w:rsidRDefault="0076333F" w:rsidP="00D1440C">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Din totalul cheltuielilor privind remunerarea muncii pentru anul 2022 (246,5 mil. lei), 72,1% (177,7 mil. lei) au constituit plățile pentru salariul de bază</w:t>
      </w:r>
      <w:r w:rsidRPr="0080251F">
        <w:rPr>
          <w:rFonts w:ascii="Times New Roman" w:hAnsi="Times New Roman" w:cs="Times New Roman"/>
          <w:sz w:val="24"/>
          <w:szCs w:val="24"/>
          <w:vertAlign w:val="superscript"/>
          <w:lang w:val="ro-MD"/>
        </w:rPr>
        <w:footnoteReference w:id="59"/>
      </w:r>
      <w:r w:rsidRPr="0080251F">
        <w:rPr>
          <w:rFonts w:ascii="Times New Roman" w:hAnsi="Times New Roman" w:cs="Times New Roman"/>
          <w:sz w:val="24"/>
          <w:szCs w:val="24"/>
          <w:lang w:val="ro-MD"/>
        </w:rPr>
        <w:t>, 13,6% (33,6 mil. lei) – premiile</w:t>
      </w:r>
      <w:r w:rsidRPr="0080251F">
        <w:rPr>
          <w:rFonts w:ascii="Times New Roman" w:hAnsi="Times New Roman" w:cs="Times New Roman"/>
          <w:sz w:val="24"/>
          <w:szCs w:val="24"/>
          <w:vertAlign w:val="superscript"/>
          <w:lang w:val="ro-MD"/>
        </w:rPr>
        <w:footnoteReference w:id="60"/>
      </w:r>
      <w:r w:rsidRPr="0080251F">
        <w:rPr>
          <w:rFonts w:ascii="Times New Roman" w:hAnsi="Times New Roman" w:cs="Times New Roman"/>
          <w:sz w:val="24"/>
          <w:szCs w:val="24"/>
          <w:lang w:val="ro-MD"/>
        </w:rPr>
        <w:t>, 5,4% (13,3 mil. lei) – ajutorul material</w:t>
      </w:r>
      <w:r w:rsidRPr="0080251F">
        <w:rPr>
          <w:rFonts w:ascii="Times New Roman" w:hAnsi="Times New Roman" w:cs="Times New Roman"/>
          <w:sz w:val="24"/>
          <w:szCs w:val="24"/>
          <w:vertAlign w:val="superscript"/>
          <w:lang w:val="ro-MD"/>
        </w:rPr>
        <w:footnoteReference w:id="61"/>
      </w:r>
      <w:r w:rsidRPr="0080251F">
        <w:rPr>
          <w:rFonts w:ascii="Times New Roman" w:hAnsi="Times New Roman" w:cs="Times New Roman"/>
          <w:sz w:val="24"/>
          <w:szCs w:val="24"/>
          <w:lang w:val="ro-MD"/>
        </w:rPr>
        <w:t>, 8,7% (21,4 mil. lei) – concediul de bază și cel suplimentar</w:t>
      </w:r>
      <w:r w:rsidRPr="0080251F">
        <w:rPr>
          <w:rFonts w:ascii="Times New Roman" w:hAnsi="Times New Roman" w:cs="Times New Roman"/>
          <w:sz w:val="24"/>
          <w:szCs w:val="24"/>
          <w:vertAlign w:val="superscript"/>
          <w:lang w:val="ro-MD"/>
        </w:rPr>
        <w:footnoteReference w:id="62"/>
      </w:r>
      <w:r w:rsidRPr="0080251F">
        <w:rPr>
          <w:rFonts w:ascii="Times New Roman" w:hAnsi="Times New Roman" w:cs="Times New Roman"/>
          <w:sz w:val="24"/>
          <w:szCs w:val="24"/>
          <w:lang w:val="ro-MD"/>
        </w:rPr>
        <w:t>, 0,2% (0,4 mil. lei) – indemnizația de eliberare din serviciu</w:t>
      </w:r>
      <w:r w:rsidR="0069578F" w:rsidRPr="0080251F">
        <w:rPr>
          <w:rFonts w:ascii="Times New Roman" w:hAnsi="Times New Roman" w:cs="Times New Roman"/>
          <w:sz w:val="24"/>
          <w:szCs w:val="24"/>
          <w:lang w:val="ro-MD"/>
        </w:rPr>
        <w:t>.</w:t>
      </w:r>
    </w:p>
    <w:p w14:paraId="59AB5F8B" w14:textId="1E55EECC" w:rsidR="0069578F" w:rsidRPr="0080251F" w:rsidRDefault="0016710A" w:rsidP="00D1440C">
      <w:pPr>
        <w:spacing w:after="0" w:line="276" w:lineRule="auto"/>
        <w:jc w:val="right"/>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Tabelul nr.</w:t>
      </w:r>
      <w:r w:rsidR="0076333F" w:rsidRPr="0080251F">
        <w:rPr>
          <w:rFonts w:ascii="Times New Roman" w:hAnsi="Times New Roman" w:cs="Times New Roman"/>
          <w:b/>
          <w:bCs/>
          <w:sz w:val="24"/>
          <w:szCs w:val="24"/>
          <w:lang w:val="ro-MD"/>
        </w:rPr>
        <w:t>9</w:t>
      </w:r>
      <w:r w:rsidR="0069578F" w:rsidRPr="0080251F">
        <w:rPr>
          <w:rFonts w:ascii="Times New Roman" w:hAnsi="Times New Roman" w:cs="Times New Roman"/>
          <w:b/>
          <w:bCs/>
          <w:sz w:val="24"/>
          <w:szCs w:val="24"/>
          <w:lang w:val="ro-MD"/>
        </w:rPr>
        <w:t xml:space="preserve"> </w:t>
      </w:r>
    </w:p>
    <w:p w14:paraId="1E7D4DBC" w14:textId="17D6C6BB" w:rsidR="0069578F" w:rsidRPr="0080251F" w:rsidRDefault="0069578F" w:rsidP="00D1440C">
      <w:pPr>
        <w:spacing w:after="0" w:line="276" w:lineRule="auto"/>
        <w:jc w:val="center"/>
        <w:rPr>
          <w:rFonts w:ascii="Times New Roman" w:hAnsi="Times New Roman" w:cs="Times New Roman"/>
          <w:b/>
          <w:sz w:val="24"/>
          <w:szCs w:val="24"/>
          <w:lang w:val="ro-MD"/>
        </w:rPr>
      </w:pPr>
      <w:r w:rsidRPr="0080251F">
        <w:rPr>
          <w:rFonts w:ascii="Times New Roman" w:hAnsi="Times New Roman" w:cs="Times New Roman"/>
          <w:b/>
          <w:sz w:val="24"/>
          <w:szCs w:val="24"/>
          <w:lang w:val="ro-MD"/>
        </w:rPr>
        <w:t xml:space="preserve">Informația privind structura plăților </w:t>
      </w:r>
      <w:r w:rsidR="002B58D6" w:rsidRPr="0080251F">
        <w:rPr>
          <w:rFonts w:ascii="Times New Roman" w:hAnsi="Times New Roman" w:cs="Times New Roman"/>
          <w:b/>
          <w:sz w:val="24"/>
          <w:szCs w:val="24"/>
          <w:lang w:val="ro-MD"/>
        </w:rPr>
        <w:t xml:space="preserve">salariale </w:t>
      </w:r>
      <w:r w:rsidR="00061402" w:rsidRPr="0080251F">
        <w:rPr>
          <w:rFonts w:ascii="Times New Roman" w:hAnsi="Times New Roman" w:cs="Times New Roman"/>
          <w:b/>
          <w:sz w:val="24"/>
          <w:szCs w:val="24"/>
          <w:lang w:val="ro-MD"/>
        </w:rPr>
        <w:t>în</w:t>
      </w:r>
      <w:r w:rsidR="002B58D6" w:rsidRPr="0080251F">
        <w:rPr>
          <w:rFonts w:ascii="Times New Roman" w:hAnsi="Times New Roman" w:cs="Times New Roman"/>
          <w:b/>
          <w:sz w:val="24"/>
          <w:szCs w:val="24"/>
          <w:lang w:val="ro-MD"/>
        </w:rPr>
        <w:t xml:space="preserve"> anii 2021-2022</w:t>
      </w:r>
    </w:p>
    <w:tbl>
      <w:tblPr>
        <w:tblW w:w="9688" w:type="dxa"/>
        <w:tblInd w:w="-5" w:type="dxa"/>
        <w:tblLook w:val="04A0" w:firstRow="1" w:lastRow="0" w:firstColumn="1" w:lastColumn="0" w:noHBand="0" w:noVBand="1"/>
      </w:tblPr>
      <w:tblGrid>
        <w:gridCol w:w="4111"/>
        <w:gridCol w:w="1276"/>
        <w:gridCol w:w="1417"/>
        <w:gridCol w:w="1418"/>
        <w:gridCol w:w="1466"/>
      </w:tblGrid>
      <w:tr w:rsidR="0069578F" w:rsidRPr="0080251F" w14:paraId="2DCF9E13" w14:textId="77777777" w:rsidTr="002B58D6">
        <w:trPr>
          <w:trHeight w:val="230"/>
        </w:trPr>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1BF0E6" w14:textId="77777777" w:rsidR="0069578F" w:rsidRPr="0080251F" w:rsidRDefault="0069578F" w:rsidP="00E52BB4">
            <w:pPr>
              <w:spacing w:after="0"/>
              <w:jc w:val="both"/>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 xml:space="preserve">Indicatorul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72F58BF5" w14:textId="77777777" w:rsidR="0069578F" w:rsidRPr="0080251F" w:rsidRDefault="0069578F" w:rsidP="00E52BB4">
            <w:pPr>
              <w:spacing w:after="0"/>
              <w:jc w:val="center"/>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2021, mii lei</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51071F21" w14:textId="77777777" w:rsidR="0069578F" w:rsidRPr="0080251F" w:rsidRDefault="0069578F" w:rsidP="00E52BB4">
            <w:pPr>
              <w:spacing w:after="0"/>
              <w:jc w:val="center"/>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Ponderea, %</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194208D6" w14:textId="77777777" w:rsidR="0069578F" w:rsidRPr="0080251F" w:rsidRDefault="0069578F" w:rsidP="00E52BB4">
            <w:pPr>
              <w:spacing w:after="0"/>
              <w:jc w:val="center"/>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2022, mii lei</w:t>
            </w:r>
          </w:p>
        </w:tc>
        <w:tc>
          <w:tcPr>
            <w:tcW w:w="1466" w:type="dxa"/>
            <w:tcBorders>
              <w:top w:val="single" w:sz="4" w:space="0" w:color="auto"/>
              <w:left w:val="nil"/>
              <w:bottom w:val="single" w:sz="4" w:space="0" w:color="auto"/>
              <w:right w:val="single" w:sz="4" w:space="0" w:color="auto"/>
            </w:tcBorders>
            <w:shd w:val="clear" w:color="000000" w:fill="D9D9D9"/>
            <w:noWrap/>
            <w:vAlign w:val="bottom"/>
            <w:hideMark/>
          </w:tcPr>
          <w:p w14:paraId="1559B709" w14:textId="77777777" w:rsidR="0069578F" w:rsidRPr="0080251F" w:rsidRDefault="0069578F" w:rsidP="00E52BB4">
            <w:pPr>
              <w:spacing w:after="0"/>
              <w:jc w:val="center"/>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Ponderea, %</w:t>
            </w:r>
          </w:p>
        </w:tc>
      </w:tr>
      <w:tr w:rsidR="0069578F" w:rsidRPr="0080251F" w14:paraId="43C527ED" w14:textId="77777777" w:rsidTr="00996A54">
        <w:trPr>
          <w:trHeight w:val="23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10F01586" w14:textId="77777777" w:rsidR="0069578F" w:rsidRPr="0080251F" w:rsidRDefault="0069578F" w:rsidP="00E52BB4">
            <w:pPr>
              <w:spacing w:after="0"/>
              <w:jc w:val="both"/>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Salariul de bază</w:t>
            </w:r>
          </w:p>
        </w:tc>
        <w:tc>
          <w:tcPr>
            <w:tcW w:w="1276" w:type="dxa"/>
            <w:tcBorders>
              <w:top w:val="nil"/>
              <w:left w:val="nil"/>
              <w:bottom w:val="single" w:sz="4" w:space="0" w:color="auto"/>
              <w:right w:val="single" w:sz="4" w:space="0" w:color="auto"/>
            </w:tcBorders>
            <w:shd w:val="clear" w:color="auto" w:fill="auto"/>
            <w:noWrap/>
            <w:vAlign w:val="center"/>
            <w:hideMark/>
          </w:tcPr>
          <w:p w14:paraId="65766841" w14:textId="5B294BB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166</w:t>
            </w:r>
            <w:r w:rsidR="0076333F" w:rsidRPr="0080251F">
              <w:rPr>
                <w:rFonts w:ascii="Times New Roman" w:eastAsia="Times New Roman" w:hAnsi="Times New Roman" w:cs="Times New Roman"/>
                <w:sz w:val="20"/>
                <w:szCs w:val="20"/>
                <w:lang w:val="ro-MD"/>
              </w:rPr>
              <w:t>.</w:t>
            </w:r>
            <w:r w:rsidRPr="0080251F">
              <w:rPr>
                <w:rFonts w:ascii="Times New Roman" w:eastAsia="Times New Roman" w:hAnsi="Times New Roman" w:cs="Times New Roman"/>
                <w:sz w:val="20"/>
                <w:szCs w:val="20"/>
                <w:lang w:val="ro-MD"/>
              </w:rPr>
              <w:t>419,5</w:t>
            </w:r>
          </w:p>
        </w:tc>
        <w:tc>
          <w:tcPr>
            <w:tcW w:w="1417" w:type="dxa"/>
            <w:tcBorders>
              <w:top w:val="nil"/>
              <w:left w:val="nil"/>
              <w:bottom w:val="single" w:sz="4" w:space="0" w:color="auto"/>
              <w:right w:val="single" w:sz="4" w:space="0" w:color="auto"/>
            </w:tcBorders>
            <w:shd w:val="clear" w:color="auto" w:fill="auto"/>
            <w:noWrap/>
            <w:vAlign w:val="center"/>
            <w:hideMark/>
          </w:tcPr>
          <w:p w14:paraId="0A8A76C2"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70,22</w:t>
            </w:r>
          </w:p>
        </w:tc>
        <w:tc>
          <w:tcPr>
            <w:tcW w:w="1418" w:type="dxa"/>
            <w:tcBorders>
              <w:top w:val="nil"/>
              <w:left w:val="nil"/>
              <w:bottom w:val="single" w:sz="4" w:space="0" w:color="auto"/>
              <w:right w:val="single" w:sz="4" w:space="0" w:color="auto"/>
            </w:tcBorders>
            <w:shd w:val="clear" w:color="auto" w:fill="auto"/>
            <w:noWrap/>
            <w:vAlign w:val="center"/>
            <w:hideMark/>
          </w:tcPr>
          <w:p w14:paraId="7CFAAE97" w14:textId="785D0C41" w:rsidR="0069578F" w:rsidRPr="0080251F" w:rsidRDefault="0076333F" w:rsidP="00E52BB4">
            <w:pPr>
              <w:spacing w:after="0"/>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 xml:space="preserve">        </w:t>
            </w:r>
            <w:r w:rsidR="0069578F" w:rsidRPr="0080251F">
              <w:rPr>
                <w:rFonts w:ascii="Times New Roman" w:eastAsia="Times New Roman" w:hAnsi="Times New Roman" w:cs="Times New Roman"/>
                <w:sz w:val="20"/>
                <w:szCs w:val="20"/>
                <w:lang w:val="ro-MD"/>
              </w:rPr>
              <w:t>177</w:t>
            </w:r>
            <w:r w:rsidRPr="0080251F">
              <w:rPr>
                <w:rFonts w:ascii="Times New Roman" w:eastAsia="Times New Roman" w:hAnsi="Times New Roman" w:cs="Times New Roman"/>
                <w:sz w:val="20"/>
                <w:szCs w:val="20"/>
                <w:lang w:val="ro-MD"/>
              </w:rPr>
              <w:t>.</w:t>
            </w:r>
            <w:r w:rsidR="0069578F" w:rsidRPr="0080251F">
              <w:rPr>
                <w:rFonts w:ascii="Times New Roman" w:eastAsia="Times New Roman" w:hAnsi="Times New Roman" w:cs="Times New Roman"/>
                <w:sz w:val="20"/>
                <w:szCs w:val="20"/>
                <w:lang w:val="ro-MD"/>
              </w:rPr>
              <w:t>720,2</w:t>
            </w:r>
          </w:p>
        </w:tc>
        <w:tc>
          <w:tcPr>
            <w:tcW w:w="1466" w:type="dxa"/>
            <w:tcBorders>
              <w:top w:val="nil"/>
              <w:left w:val="nil"/>
              <w:bottom w:val="single" w:sz="4" w:space="0" w:color="auto"/>
              <w:right w:val="single" w:sz="4" w:space="0" w:color="auto"/>
            </w:tcBorders>
            <w:shd w:val="clear" w:color="auto" w:fill="auto"/>
            <w:noWrap/>
            <w:vAlign w:val="center"/>
            <w:hideMark/>
          </w:tcPr>
          <w:p w14:paraId="3808C6F3"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72,11</w:t>
            </w:r>
          </w:p>
        </w:tc>
      </w:tr>
      <w:tr w:rsidR="0069578F" w:rsidRPr="0080251F" w14:paraId="14A98860" w14:textId="77777777" w:rsidTr="00996A54">
        <w:trPr>
          <w:trHeight w:val="23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7D998C28" w14:textId="77777777" w:rsidR="0069578F" w:rsidRPr="0080251F" w:rsidRDefault="0069578F" w:rsidP="00E52BB4">
            <w:pPr>
              <w:spacing w:after="0"/>
              <w:jc w:val="both"/>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Premii</w:t>
            </w:r>
          </w:p>
        </w:tc>
        <w:tc>
          <w:tcPr>
            <w:tcW w:w="1276" w:type="dxa"/>
            <w:tcBorders>
              <w:top w:val="nil"/>
              <w:left w:val="nil"/>
              <w:bottom w:val="single" w:sz="4" w:space="0" w:color="auto"/>
              <w:right w:val="single" w:sz="4" w:space="0" w:color="auto"/>
            </w:tcBorders>
            <w:shd w:val="clear" w:color="auto" w:fill="auto"/>
            <w:noWrap/>
            <w:vAlign w:val="center"/>
            <w:hideMark/>
          </w:tcPr>
          <w:p w14:paraId="06A2CB4D" w14:textId="3E54F4DE"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35</w:t>
            </w:r>
            <w:r w:rsidR="0076333F" w:rsidRPr="0080251F">
              <w:rPr>
                <w:rFonts w:ascii="Times New Roman" w:eastAsia="Times New Roman" w:hAnsi="Times New Roman" w:cs="Times New Roman"/>
                <w:sz w:val="20"/>
                <w:szCs w:val="20"/>
                <w:lang w:val="ro-MD"/>
              </w:rPr>
              <w:t>.</w:t>
            </w:r>
            <w:r w:rsidRPr="0080251F">
              <w:rPr>
                <w:rFonts w:ascii="Times New Roman" w:eastAsia="Times New Roman" w:hAnsi="Times New Roman" w:cs="Times New Roman"/>
                <w:sz w:val="20"/>
                <w:szCs w:val="20"/>
                <w:lang w:val="ro-MD"/>
              </w:rPr>
              <w:t>985,5</w:t>
            </w:r>
          </w:p>
        </w:tc>
        <w:tc>
          <w:tcPr>
            <w:tcW w:w="1417" w:type="dxa"/>
            <w:tcBorders>
              <w:top w:val="nil"/>
              <w:left w:val="nil"/>
              <w:bottom w:val="single" w:sz="4" w:space="0" w:color="auto"/>
              <w:right w:val="single" w:sz="4" w:space="0" w:color="auto"/>
            </w:tcBorders>
            <w:shd w:val="clear" w:color="auto" w:fill="auto"/>
            <w:noWrap/>
            <w:vAlign w:val="center"/>
            <w:hideMark/>
          </w:tcPr>
          <w:p w14:paraId="2E5E0AB0"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15,18</w:t>
            </w:r>
          </w:p>
        </w:tc>
        <w:tc>
          <w:tcPr>
            <w:tcW w:w="1418" w:type="dxa"/>
            <w:tcBorders>
              <w:top w:val="nil"/>
              <w:left w:val="nil"/>
              <w:bottom w:val="single" w:sz="4" w:space="0" w:color="auto"/>
              <w:right w:val="single" w:sz="4" w:space="0" w:color="auto"/>
            </w:tcBorders>
            <w:shd w:val="clear" w:color="auto" w:fill="auto"/>
            <w:noWrap/>
            <w:vAlign w:val="center"/>
            <w:hideMark/>
          </w:tcPr>
          <w:p w14:paraId="68CCC0E0" w14:textId="210C35C5"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33</w:t>
            </w:r>
            <w:r w:rsidR="0076333F" w:rsidRPr="0080251F">
              <w:rPr>
                <w:rFonts w:ascii="Times New Roman" w:eastAsia="Times New Roman" w:hAnsi="Times New Roman" w:cs="Times New Roman"/>
                <w:sz w:val="20"/>
                <w:szCs w:val="20"/>
                <w:lang w:val="ro-MD"/>
              </w:rPr>
              <w:t>.</w:t>
            </w:r>
            <w:r w:rsidRPr="0080251F">
              <w:rPr>
                <w:rFonts w:ascii="Times New Roman" w:eastAsia="Times New Roman" w:hAnsi="Times New Roman" w:cs="Times New Roman"/>
                <w:sz w:val="20"/>
                <w:szCs w:val="20"/>
                <w:lang w:val="ro-MD"/>
              </w:rPr>
              <w:t>617,7</w:t>
            </w:r>
          </w:p>
        </w:tc>
        <w:tc>
          <w:tcPr>
            <w:tcW w:w="1466" w:type="dxa"/>
            <w:tcBorders>
              <w:top w:val="nil"/>
              <w:left w:val="nil"/>
              <w:bottom w:val="single" w:sz="4" w:space="0" w:color="auto"/>
              <w:right w:val="single" w:sz="4" w:space="0" w:color="auto"/>
            </w:tcBorders>
            <w:shd w:val="clear" w:color="auto" w:fill="auto"/>
            <w:noWrap/>
            <w:vAlign w:val="center"/>
            <w:hideMark/>
          </w:tcPr>
          <w:p w14:paraId="12104165"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13,63</w:t>
            </w:r>
          </w:p>
        </w:tc>
      </w:tr>
      <w:tr w:rsidR="0069578F" w:rsidRPr="0080251F" w14:paraId="0739A32A" w14:textId="77777777" w:rsidTr="002252C5">
        <w:trPr>
          <w:trHeight w:val="44"/>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46E185B2" w14:textId="77777777" w:rsidR="0069578F" w:rsidRPr="0080251F" w:rsidRDefault="0069578F" w:rsidP="00E52BB4">
            <w:pPr>
              <w:spacing w:after="0"/>
              <w:jc w:val="both"/>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Ajutor material</w:t>
            </w:r>
          </w:p>
        </w:tc>
        <w:tc>
          <w:tcPr>
            <w:tcW w:w="1276" w:type="dxa"/>
            <w:tcBorders>
              <w:top w:val="nil"/>
              <w:left w:val="nil"/>
              <w:bottom w:val="single" w:sz="4" w:space="0" w:color="auto"/>
              <w:right w:val="single" w:sz="4" w:space="0" w:color="auto"/>
            </w:tcBorders>
            <w:shd w:val="clear" w:color="auto" w:fill="auto"/>
            <w:noWrap/>
            <w:vAlign w:val="center"/>
            <w:hideMark/>
          </w:tcPr>
          <w:p w14:paraId="54D2C7B1" w14:textId="58EF373E"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13</w:t>
            </w:r>
            <w:r w:rsidR="0076333F" w:rsidRPr="0080251F">
              <w:rPr>
                <w:rFonts w:ascii="Times New Roman" w:eastAsia="Times New Roman" w:hAnsi="Times New Roman" w:cs="Times New Roman"/>
                <w:sz w:val="20"/>
                <w:szCs w:val="20"/>
                <w:lang w:val="ro-MD"/>
              </w:rPr>
              <w:t>.</w:t>
            </w:r>
            <w:r w:rsidRPr="0080251F">
              <w:rPr>
                <w:rFonts w:ascii="Times New Roman" w:eastAsia="Times New Roman" w:hAnsi="Times New Roman" w:cs="Times New Roman"/>
                <w:sz w:val="20"/>
                <w:szCs w:val="20"/>
                <w:lang w:val="ro-MD"/>
              </w:rPr>
              <w:t>145,1</w:t>
            </w:r>
          </w:p>
        </w:tc>
        <w:tc>
          <w:tcPr>
            <w:tcW w:w="1417" w:type="dxa"/>
            <w:tcBorders>
              <w:top w:val="nil"/>
              <w:left w:val="nil"/>
              <w:bottom w:val="single" w:sz="4" w:space="0" w:color="auto"/>
              <w:right w:val="single" w:sz="4" w:space="0" w:color="auto"/>
            </w:tcBorders>
            <w:shd w:val="clear" w:color="auto" w:fill="auto"/>
            <w:noWrap/>
            <w:vAlign w:val="center"/>
            <w:hideMark/>
          </w:tcPr>
          <w:p w14:paraId="3543BCD3"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5,54</w:t>
            </w:r>
          </w:p>
        </w:tc>
        <w:tc>
          <w:tcPr>
            <w:tcW w:w="1418" w:type="dxa"/>
            <w:tcBorders>
              <w:top w:val="nil"/>
              <w:left w:val="nil"/>
              <w:bottom w:val="single" w:sz="4" w:space="0" w:color="auto"/>
              <w:right w:val="single" w:sz="4" w:space="0" w:color="auto"/>
            </w:tcBorders>
            <w:shd w:val="clear" w:color="auto" w:fill="auto"/>
            <w:noWrap/>
            <w:vAlign w:val="center"/>
            <w:hideMark/>
          </w:tcPr>
          <w:p w14:paraId="02AFB73C" w14:textId="3DC7CEF3"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13</w:t>
            </w:r>
            <w:r w:rsidR="0076333F" w:rsidRPr="0080251F">
              <w:rPr>
                <w:rFonts w:ascii="Times New Roman" w:eastAsia="Times New Roman" w:hAnsi="Times New Roman" w:cs="Times New Roman"/>
                <w:sz w:val="20"/>
                <w:szCs w:val="20"/>
                <w:lang w:val="ro-MD"/>
              </w:rPr>
              <w:t>.</w:t>
            </w:r>
            <w:r w:rsidRPr="0080251F">
              <w:rPr>
                <w:rFonts w:ascii="Times New Roman" w:eastAsia="Times New Roman" w:hAnsi="Times New Roman" w:cs="Times New Roman"/>
                <w:sz w:val="20"/>
                <w:szCs w:val="20"/>
                <w:lang w:val="ro-MD"/>
              </w:rPr>
              <w:t>329,6</w:t>
            </w:r>
          </w:p>
        </w:tc>
        <w:tc>
          <w:tcPr>
            <w:tcW w:w="1466" w:type="dxa"/>
            <w:tcBorders>
              <w:top w:val="nil"/>
              <w:left w:val="nil"/>
              <w:bottom w:val="single" w:sz="4" w:space="0" w:color="auto"/>
              <w:right w:val="single" w:sz="4" w:space="0" w:color="auto"/>
            </w:tcBorders>
            <w:shd w:val="clear" w:color="auto" w:fill="auto"/>
            <w:noWrap/>
            <w:vAlign w:val="center"/>
            <w:hideMark/>
          </w:tcPr>
          <w:p w14:paraId="2A151E56"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5,40</w:t>
            </w:r>
          </w:p>
        </w:tc>
      </w:tr>
      <w:tr w:rsidR="0069578F" w:rsidRPr="0080251F" w14:paraId="789501BA" w14:textId="77777777" w:rsidTr="00996A54">
        <w:trPr>
          <w:trHeight w:val="230"/>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4935252D" w14:textId="77777777" w:rsidR="0069578F" w:rsidRPr="0080251F" w:rsidRDefault="0069578F" w:rsidP="00E52BB4">
            <w:pPr>
              <w:spacing w:after="0"/>
              <w:jc w:val="both"/>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Concediul de bază și suplimentar (inclusiv cel nefolosit)</w:t>
            </w:r>
          </w:p>
        </w:tc>
        <w:tc>
          <w:tcPr>
            <w:tcW w:w="1276" w:type="dxa"/>
            <w:tcBorders>
              <w:top w:val="nil"/>
              <w:left w:val="nil"/>
              <w:bottom w:val="single" w:sz="4" w:space="0" w:color="auto"/>
              <w:right w:val="single" w:sz="4" w:space="0" w:color="auto"/>
            </w:tcBorders>
            <w:shd w:val="clear" w:color="auto" w:fill="auto"/>
            <w:noWrap/>
            <w:vAlign w:val="center"/>
          </w:tcPr>
          <w:p w14:paraId="16DFFB8D" w14:textId="645697F3"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21</w:t>
            </w:r>
            <w:r w:rsidR="0076333F" w:rsidRPr="0080251F">
              <w:rPr>
                <w:rFonts w:ascii="Times New Roman" w:eastAsia="Times New Roman" w:hAnsi="Times New Roman" w:cs="Times New Roman"/>
                <w:sz w:val="20"/>
                <w:szCs w:val="20"/>
                <w:lang w:val="ro-MD"/>
              </w:rPr>
              <w:t>.</w:t>
            </w:r>
            <w:r w:rsidRPr="0080251F">
              <w:rPr>
                <w:rFonts w:ascii="Times New Roman" w:eastAsia="Times New Roman" w:hAnsi="Times New Roman" w:cs="Times New Roman"/>
                <w:sz w:val="20"/>
                <w:szCs w:val="20"/>
                <w:lang w:val="ro-MD"/>
              </w:rPr>
              <w:t>073,5</w:t>
            </w:r>
          </w:p>
        </w:tc>
        <w:tc>
          <w:tcPr>
            <w:tcW w:w="1417" w:type="dxa"/>
            <w:tcBorders>
              <w:top w:val="nil"/>
              <w:left w:val="nil"/>
              <w:bottom w:val="single" w:sz="4" w:space="0" w:color="auto"/>
              <w:right w:val="single" w:sz="4" w:space="0" w:color="auto"/>
            </w:tcBorders>
            <w:shd w:val="clear" w:color="auto" w:fill="auto"/>
            <w:noWrap/>
            <w:vAlign w:val="center"/>
          </w:tcPr>
          <w:p w14:paraId="29C21FA6"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8,90</w:t>
            </w:r>
          </w:p>
        </w:tc>
        <w:tc>
          <w:tcPr>
            <w:tcW w:w="1418" w:type="dxa"/>
            <w:tcBorders>
              <w:top w:val="nil"/>
              <w:left w:val="nil"/>
              <w:bottom w:val="single" w:sz="4" w:space="0" w:color="auto"/>
              <w:right w:val="single" w:sz="4" w:space="0" w:color="auto"/>
            </w:tcBorders>
            <w:shd w:val="clear" w:color="auto" w:fill="auto"/>
            <w:noWrap/>
            <w:vAlign w:val="center"/>
          </w:tcPr>
          <w:p w14:paraId="1744EB77" w14:textId="3CCACF44"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21</w:t>
            </w:r>
            <w:r w:rsidR="0076333F" w:rsidRPr="0080251F">
              <w:rPr>
                <w:rFonts w:ascii="Times New Roman" w:eastAsia="Times New Roman" w:hAnsi="Times New Roman" w:cs="Times New Roman"/>
                <w:sz w:val="20"/>
                <w:szCs w:val="20"/>
                <w:lang w:val="ro-MD"/>
              </w:rPr>
              <w:t>.</w:t>
            </w:r>
            <w:r w:rsidRPr="0080251F">
              <w:rPr>
                <w:rFonts w:ascii="Times New Roman" w:eastAsia="Times New Roman" w:hAnsi="Times New Roman" w:cs="Times New Roman"/>
                <w:sz w:val="20"/>
                <w:szCs w:val="20"/>
                <w:lang w:val="ro-MD"/>
              </w:rPr>
              <w:t>388,6</w:t>
            </w:r>
          </w:p>
        </w:tc>
        <w:tc>
          <w:tcPr>
            <w:tcW w:w="1466" w:type="dxa"/>
            <w:tcBorders>
              <w:top w:val="nil"/>
              <w:left w:val="nil"/>
              <w:bottom w:val="single" w:sz="4" w:space="0" w:color="auto"/>
              <w:right w:val="single" w:sz="4" w:space="0" w:color="auto"/>
            </w:tcBorders>
            <w:shd w:val="clear" w:color="auto" w:fill="auto"/>
            <w:noWrap/>
            <w:vAlign w:val="center"/>
          </w:tcPr>
          <w:p w14:paraId="4A09E4A2"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8,68</w:t>
            </w:r>
          </w:p>
        </w:tc>
      </w:tr>
      <w:tr w:rsidR="0069578F" w:rsidRPr="0080251F" w14:paraId="29CB2C30" w14:textId="77777777" w:rsidTr="00996A54">
        <w:trPr>
          <w:trHeight w:val="230"/>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07702579" w14:textId="77777777" w:rsidR="0069578F" w:rsidRPr="0080251F" w:rsidRDefault="0069578F" w:rsidP="00E52BB4">
            <w:pPr>
              <w:spacing w:after="0"/>
              <w:jc w:val="both"/>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Indemnizația de eliberare din serviciu</w:t>
            </w:r>
          </w:p>
        </w:tc>
        <w:tc>
          <w:tcPr>
            <w:tcW w:w="1276" w:type="dxa"/>
            <w:tcBorders>
              <w:top w:val="nil"/>
              <w:left w:val="nil"/>
              <w:bottom w:val="single" w:sz="4" w:space="0" w:color="auto"/>
              <w:right w:val="single" w:sz="4" w:space="0" w:color="auto"/>
            </w:tcBorders>
            <w:shd w:val="clear" w:color="auto" w:fill="auto"/>
            <w:noWrap/>
            <w:vAlign w:val="center"/>
          </w:tcPr>
          <w:p w14:paraId="745A51D2"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367,9</w:t>
            </w:r>
          </w:p>
        </w:tc>
        <w:tc>
          <w:tcPr>
            <w:tcW w:w="1417" w:type="dxa"/>
            <w:tcBorders>
              <w:top w:val="nil"/>
              <w:left w:val="nil"/>
              <w:bottom w:val="single" w:sz="4" w:space="0" w:color="auto"/>
              <w:right w:val="single" w:sz="4" w:space="0" w:color="auto"/>
            </w:tcBorders>
            <w:shd w:val="clear" w:color="auto" w:fill="auto"/>
            <w:noWrap/>
            <w:vAlign w:val="center"/>
          </w:tcPr>
          <w:p w14:paraId="4801CE57"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0,16</w:t>
            </w:r>
          </w:p>
        </w:tc>
        <w:tc>
          <w:tcPr>
            <w:tcW w:w="1418" w:type="dxa"/>
            <w:tcBorders>
              <w:top w:val="nil"/>
              <w:left w:val="nil"/>
              <w:bottom w:val="single" w:sz="4" w:space="0" w:color="auto"/>
              <w:right w:val="single" w:sz="4" w:space="0" w:color="auto"/>
            </w:tcBorders>
            <w:shd w:val="clear" w:color="auto" w:fill="auto"/>
            <w:noWrap/>
            <w:vAlign w:val="center"/>
          </w:tcPr>
          <w:p w14:paraId="0855AC90"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422,0</w:t>
            </w:r>
          </w:p>
        </w:tc>
        <w:tc>
          <w:tcPr>
            <w:tcW w:w="1466" w:type="dxa"/>
            <w:tcBorders>
              <w:top w:val="nil"/>
              <w:left w:val="nil"/>
              <w:bottom w:val="single" w:sz="4" w:space="0" w:color="auto"/>
              <w:right w:val="single" w:sz="4" w:space="0" w:color="auto"/>
            </w:tcBorders>
            <w:shd w:val="clear" w:color="auto" w:fill="auto"/>
            <w:noWrap/>
            <w:vAlign w:val="center"/>
          </w:tcPr>
          <w:p w14:paraId="59C9B254" w14:textId="77777777" w:rsidR="0069578F" w:rsidRPr="0080251F" w:rsidRDefault="0069578F" w:rsidP="00E52BB4">
            <w:pPr>
              <w:spacing w:after="0"/>
              <w:jc w:val="right"/>
              <w:rPr>
                <w:rFonts w:ascii="Times New Roman" w:eastAsia="Times New Roman" w:hAnsi="Times New Roman" w:cs="Times New Roman"/>
                <w:sz w:val="20"/>
                <w:szCs w:val="20"/>
                <w:lang w:val="ro-MD"/>
              </w:rPr>
            </w:pPr>
            <w:r w:rsidRPr="0080251F">
              <w:rPr>
                <w:rFonts w:ascii="Times New Roman" w:eastAsia="Times New Roman" w:hAnsi="Times New Roman" w:cs="Times New Roman"/>
                <w:sz w:val="20"/>
                <w:szCs w:val="20"/>
                <w:lang w:val="ro-MD"/>
              </w:rPr>
              <w:t>0,18</w:t>
            </w:r>
          </w:p>
        </w:tc>
      </w:tr>
      <w:tr w:rsidR="0069578F" w:rsidRPr="0080251F" w14:paraId="6BF08018" w14:textId="77777777" w:rsidTr="00152BC3">
        <w:trPr>
          <w:trHeight w:val="23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726B07F3" w14:textId="77777777" w:rsidR="0069578F" w:rsidRPr="0080251F" w:rsidRDefault="0069578F" w:rsidP="00E52BB4">
            <w:pPr>
              <w:spacing w:after="0"/>
              <w:jc w:val="both"/>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 xml:space="preserve">Total </w:t>
            </w:r>
          </w:p>
        </w:tc>
        <w:tc>
          <w:tcPr>
            <w:tcW w:w="1276" w:type="dxa"/>
            <w:tcBorders>
              <w:top w:val="nil"/>
              <w:left w:val="nil"/>
              <w:bottom w:val="single" w:sz="4" w:space="0" w:color="auto"/>
              <w:right w:val="single" w:sz="4" w:space="0" w:color="auto"/>
            </w:tcBorders>
            <w:shd w:val="clear" w:color="auto" w:fill="auto"/>
            <w:noWrap/>
            <w:vAlign w:val="center"/>
            <w:hideMark/>
          </w:tcPr>
          <w:p w14:paraId="0F1CDF4E" w14:textId="781D9480" w:rsidR="0069578F" w:rsidRPr="0080251F" w:rsidRDefault="0069578F" w:rsidP="00E52BB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236</w:t>
            </w:r>
            <w:r w:rsidR="0076333F" w:rsidRPr="0080251F">
              <w:rPr>
                <w:rFonts w:ascii="Times New Roman" w:eastAsia="Times New Roman" w:hAnsi="Times New Roman" w:cs="Times New Roman"/>
                <w:b/>
                <w:bCs/>
                <w:sz w:val="20"/>
                <w:szCs w:val="20"/>
                <w:lang w:val="ro-MD"/>
              </w:rPr>
              <w:t>.</w:t>
            </w:r>
            <w:r w:rsidRPr="0080251F">
              <w:rPr>
                <w:rFonts w:ascii="Times New Roman" w:eastAsia="Times New Roman" w:hAnsi="Times New Roman" w:cs="Times New Roman"/>
                <w:b/>
                <w:bCs/>
                <w:sz w:val="20"/>
                <w:szCs w:val="20"/>
                <w:lang w:val="ro-MD"/>
              </w:rPr>
              <w:t>991,5</w:t>
            </w:r>
          </w:p>
        </w:tc>
        <w:tc>
          <w:tcPr>
            <w:tcW w:w="1417" w:type="dxa"/>
            <w:tcBorders>
              <w:top w:val="nil"/>
              <w:left w:val="nil"/>
              <w:bottom w:val="single" w:sz="4" w:space="0" w:color="auto"/>
              <w:right w:val="single" w:sz="4" w:space="0" w:color="auto"/>
            </w:tcBorders>
            <w:shd w:val="clear" w:color="auto" w:fill="auto"/>
            <w:noWrap/>
            <w:vAlign w:val="center"/>
            <w:hideMark/>
          </w:tcPr>
          <w:p w14:paraId="61AF67B6" w14:textId="77777777" w:rsidR="0069578F" w:rsidRPr="0080251F" w:rsidRDefault="0069578F" w:rsidP="00E52BB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212A89AF" w14:textId="2D69DCCA" w:rsidR="0069578F" w:rsidRPr="0080251F" w:rsidRDefault="0069578F" w:rsidP="00E52BB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246</w:t>
            </w:r>
            <w:r w:rsidR="0076333F" w:rsidRPr="0080251F">
              <w:rPr>
                <w:rFonts w:ascii="Times New Roman" w:eastAsia="Times New Roman" w:hAnsi="Times New Roman" w:cs="Times New Roman"/>
                <w:b/>
                <w:bCs/>
                <w:sz w:val="20"/>
                <w:szCs w:val="20"/>
                <w:lang w:val="ro-MD"/>
              </w:rPr>
              <w:t>.</w:t>
            </w:r>
            <w:r w:rsidRPr="0080251F">
              <w:rPr>
                <w:rFonts w:ascii="Times New Roman" w:eastAsia="Times New Roman" w:hAnsi="Times New Roman" w:cs="Times New Roman"/>
                <w:b/>
                <w:bCs/>
                <w:sz w:val="20"/>
                <w:szCs w:val="20"/>
                <w:lang w:val="ro-MD"/>
              </w:rPr>
              <w:t>478,1</w:t>
            </w:r>
          </w:p>
        </w:tc>
        <w:tc>
          <w:tcPr>
            <w:tcW w:w="1466" w:type="dxa"/>
            <w:tcBorders>
              <w:top w:val="nil"/>
              <w:left w:val="nil"/>
              <w:bottom w:val="single" w:sz="4" w:space="0" w:color="auto"/>
              <w:right w:val="single" w:sz="4" w:space="0" w:color="auto"/>
            </w:tcBorders>
            <w:shd w:val="clear" w:color="auto" w:fill="auto"/>
            <w:noWrap/>
            <w:vAlign w:val="center"/>
            <w:hideMark/>
          </w:tcPr>
          <w:p w14:paraId="77F0CCDF" w14:textId="77777777" w:rsidR="0069578F" w:rsidRPr="0080251F" w:rsidRDefault="0069578F" w:rsidP="00E52BB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100,00</w:t>
            </w:r>
          </w:p>
        </w:tc>
      </w:tr>
    </w:tbl>
    <w:p w14:paraId="6836C8A5" w14:textId="6DFFE3D6" w:rsidR="0069578F" w:rsidRPr="0080251F" w:rsidRDefault="0069578F" w:rsidP="009C2EE2">
      <w:pPr>
        <w:rPr>
          <w:rFonts w:ascii="Times New Roman" w:hAnsi="Times New Roman" w:cs="Times New Roman"/>
          <w:sz w:val="20"/>
          <w:szCs w:val="20"/>
          <w:lang w:val="ro-MD"/>
        </w:rPr>
      </w:pPr>
      <w:r w:rsidRPr="0080251F">
        <w:rPr>
          <w:rFonts w:ascii="Times New Roman" w:hAnsi="Times New Roman" w:cs="Times New Roman"/>
          <w:b/>
          <w:i/>
          <w:sz w:val="20"/>
          <w:szCs w:val="20"/>
          <w:lang w:val="ro-MD"/>
        </w:rPr>
        <w:t>Sursa:</w:t>
      </w:r>
      <w:r w:rsidRPr="0080251F">
        <w:rPr>
          <w:rFonts w:ascii="Times New Roman" w:hAnsi="Times New Roman" w:cs="Times New Roman"/>
          <w:i/>
          <w:sz w:val="20"/>
          <w:szCs w:val="20"/>
          <w:lang w:val="ro-MD"/>
        </w:rPr>
        <w:t xml:space="preserve"> Informațiile extrase din </w:t>
      </w:r>
      <w:r w:rsidR="009C2EE2" w:rsidRPr="0080251F">
        <w:rPr>
          <w:rFonts w:ascii="Times New Roman" w:hAnsi="Times New Roman" w:cs="Times New Roman"/>
          <w:i/>
          <w:sz w:val="20"/>
          <w:szCs w:val="20"/>
          <w:lang w:val="ro-MD"/>
        </w:rPr>
        <w:t>Registrul</w:t>
      </w:r>
      <w:r w:rsidRPr="0080251F">
        <w:rPr>
          <w:rFonts w:ascii="Times New Roman" w:hAnsi="Times New Roman" w:cs="Times New Roman"/>
          <w:i/>
          <w:sz w:val="20"/>
          <w:szCs w:val="20"/>
          <w:lang w:val="ro-MD"/>
        </w:rPr>
        <w:t xml:space="preserve"> salariu</w:t>
      </w:r>
      <w:r w:rsidR="009C2EE2" w:rsidRPr="0080251F">
        <w:rPr>
          <w:rFonts w:ascii="Times New Roman" w:hAnsi="Times New Roman" w:cs="Times New Roman"/>
          <w:i/>
          <w:sz w:val="20"/>
          <w:szCs w:val="20"/>
          <w:lang w:val="ro-MD"/>
        </w:rPr>
        <w:t>lui</w:t>
      </w:r>
      <w:r w:rsidRPr="0080251F">
        <w:rPr>
          <w:rFonts w:ascii="Times New Roman" w:hAnsi="Times New Roman" w:cs="Times New Roman"/>
          <w:i/>
          <w:sz w:val="20"/>
          <w:szCs w:val="20"/>
          <w:lang w:val="ro-MD"/>
        </w:rPr>
        <w:t>.</w:t>
      </w:r>
    </w:p>
    <w:p w14:paraId="3E991278" w14:textId="506E3F79" w:rsidR="0081099D" w:rsidRPr="0080251F" w:rsidRDefault="002C2AE7" w:rsidP="00D1440C">
      <w:pPr>
        <w:tabs>
          <w:tab w:val="left" w:pos="0"/>
        </w:tabs>
        <w:spacing w:after="0" w:line="276" w:lineRule="auto"/>
        <w:jc w:val="both"/>
        <w:rPr>
          <w:rFonts w:ascii="Times New Roman" w:eastAsia="Times New Roman" w:hAnsi="Times New Roman" w:cs="Times New Roman"/>
          <w:b/>
          <w:bCs/>
          <w:i/>
          <w:sz w:val="24"/>
          <w:szCs w:val="24"/>
          <w:lang w:val="ro-MD" w:eastAsia="ru-RU"/>
        </w:rPr>
      </w:pPr>
      <w:r w:rsidRPr="0080251F">
        <w:rPr>
          <w:rFonts w:ascii="Times New Roman" w:eastAsia="Times New Roman" w:hAnsi="Times New Roman" w:cs="Times New Roman"/>
          <w:b/>
          <w:bCs/>
          <w:i/>
          <w:iCs/>
          <w:sz w:val="24"/>
          <w:szCs w:val="24"/>
          <w:lang w:val="ro-MD" w:eastAsia="ru-RU"/>
        </w:rPr>
        <w:t>4.4.1</w:t>
      </w:r>
      <w:r w:rsidR="00D94025" w:rsidRPr="0080251F">
        <w:rPr>
          <w:rFonts w:ascii="Times New Roman" w:eastAsia="Times New Roman" w:hAnsi="Times New Roman" w:cs="Times New Roman"/>
          <w:b/>
          <w:bCs/>
          <w:i/>
          <w:iCs/>
          <w:sz w:val="24"/>
          <w:szCs w:val="24"/>
          <w:lang w:val="ro-MD" w:eastAsia="ru-RU"/>
        </w:rPr>
        <w:t xml:space="preserve">. </w:t>
      </w:r>
      <w:r w:rsidR="0081099D" w:rsidRPr="0080251F">
        <w:rPr>
          <w:rFonts w:ascii="Times New Roman" w:eastAsia="Times New Roman" w:hAnsi="Times New Roman" w:cs="Times New Roman"/>
          <w:b/>
          <w:i/>
          <w:sz w:val="24"/>
          <w:szCs w:val="24"/>
          <w:lang w:val="ro-MD" w:eastAsia="ru-RU"/>
        </w:rPr>
        <w:t>La aprobarea statelor de personal pentru anii 2021</w:t>
      </w:r>
      <w:r w:rsidR="00A50F81" w:rsidRPr="0080251F">
        <w:rPr>
          <w:rFonts w:ascii="Times New Roman" w:eastAsia="Times New Roman" w:hAnsi="Times New Roman" w:cs="Times New Roman"/>
          <w:b/>
          <w:i/>
          <w:sz w:val="24"/>
          <w:szCs w:val="24"/>
          <w:lang w:val="ro-MD" w:eastAsia="ru-RU"/>
        </w:rPr>
        <w:t>-</w:t>
      </w:r>
      <w:r w:rsidR="0081099D" w:rsidRPr="0080251F">
        <w:rPr>
          <w:rFonts w:ascii="Times New Roman" w:eastAsia="Times New Roman" w:hAnsi="Times New Roman" w:cs="Times New Roman"/>
          <w:b/>
          <w:i/>
          <w:sz w:val="24"/>
          <w:szCs w:val="24"/>
          <w:lang w:val="ro-MD" w:eastAsia="ru-RU"/>
        </w:rPr>
        <w:t xml:space="preserve">2022, </w:t>
      </w:r>
      <w:r w:rsidR="0081099D" w:rsidRPr="0080251F">
        <w:rPr>
          <w:rFonts w:ascii="Times New Roman" w:eastAsia="Times New Roman" w:hAnsi="Times New Roman" w:cs="Times New Roman"/>
          <w:b/>
          <w:bCs/>
          <w:i/>
          <w:sz w:val="24"/>
          <w:szCs w:val="24"/>
          <w:lang w:val="ro-MD" w:eastAsia="ru-RU"/>
        </w:rPr>
        <w:t>S.A. „RED-Nord” nu a avut elaborate și nu s-a condus de normativele de muncă locale</w:t>
      </w:r>
      <w:r w:rsidR="0081099D" w:rsidRPr="0080251F">
        <w:rPr>
          <w:rFonts w:ascii="Times New Roman" w:eastAsia="Times New Roman" w:hAnsi="Times New Roman" w:cs="Times New Roman"/>
          <w:b/>
          <w:bCs/>
          <w:i/>
          <w:sz w:val="24"/>
          <w:szCs w:val="24"/>
          <w:vertAlign w:val="superscript"/>
          <w:lang w:val="ro-MD" w:eastAsia="ru-RU"/>
        </w:rPr>
        <w:footnoteReference w:id="63"/>
      </w:r>
      <w:r w:rsidR="0081099D" w:rsidRPr="0080251F">
        <w:rPr>
          <w:rFonts w:ascii="Times New Roman" w:eastAsia="Times New Roman" w:hAnsi="Times New Roman" w:cs="Times New Roman"/>
          <w:b/>
          <w:bCs/>
          <w:i/>
          <w:sz w:val="24"/>
          <w:szCs w:val="24"/>
          <w:lang w:val="ro-MD" w:eastAsia="ru-RU"/>
        </w:rPr>
        <w:t xml:space="preserve">, care, conform prevederilor pct.9 din Regulamentul aprobat prin </w:t>
      </w:r>
      <w:r w:rsidR="00986C18" w:rsidRPr="0080251F">
        <w:rPr>
          <w:rFonts w:ascii="Times New Roman" w:eastAsia="Times New Roman" w:hAnsi="Times New Roman" w:cs="Times New Roman"/>
          <w:b/>
          <w:bCs/>
          <w:i/>
          <w:sz w:val="24"/>
          <w:szCs w:val="24"/>
          <w:lang w:val="ro-MD" w:eastAsia="ru-RU"/>
        </w:rPr>
        <w:t>H</w:t>
      </w:r>
      <w:r w:rsidR="008B61C5" w:rsidRPr="0080251F">
        <w:rPr>
          <w:rFonts w:ascii="Times New Roman" w:eastAsia="Times New Roman" w:hAnsi="Times New Roman" w:cs="Times New Roman"/>
          <w:b/>
          <w:bCs/>
          <w:i/>
          <w:sz w:val="24"/>
          <w:szCs w:val="24"/>
          <w:lang w:val="ro-MD" w:eastAsia="ru-RU"/>
        </w:rPr>
        <w:t>G</w:t>
      </w:r>
      <w:r w:rsidR="00986C18" w:rsidRPr="0080251F">
        <w:rPr>
          <w:rFonts w:ascii="Times New Roman" w:eastAsia="Times New Roman" w:hAnsi="Times New Roman" w:cs="Times New Roman"/>
          <w:b/>
          <w:bCs/>
          <w:i/>
          <w:sz w:val="24"/>
          <w:szCs w:val="24"/>
          <w:lang w:val="ro-MD" w:eastAsia="ru-RU"/>
        </w:rPr>
        <w:t xml:space="preserve"> </w:t>
      </w:r>
      <w:r w:rsidR="0081099D" w:rsidRPr="0080251F">
        <w:rPr>
          <w:rFonts w:ascii="Times New Roman" w:eastAsia="Times New Roman" w:hAnsi="Times New Roman" w:cs="Times New Roman"/>
          <w:b/>
          <w:bCs/>
          <w:i/>
          <w:sz w:val="24"/>
          <w:szCs w:val="24"/>
          <w:lang w:val="ro-MD" w:eastAsia="ru-RU"/>
        </w:rPr>
        <w:t>nr.98 din 04.02.2013</w:t>
      </w:r>
      <w:r w:rsidR="0081099D" w:rsidRPr="0080251F">
        <w:rPr>
          <w:rFonts w:ascii="Times New Roman" w:eastAsia="Calibri" w:hAnsi="Times New Roman" w:cs="Times New Roman"/>
          <w:b/>
          <w:bCs/>
          <w:i/>
          <w:sz w:val="24"/>
          <w:szCs w:val="24"/>
          <w:vertAlign w:val="superscript"/>
          <w:lang w:val="ro-MD"/>
        </w:rPr>
        <w:footnoteReference w:id="64"/>
      </w:r>
      <w:r w:rsidR="0081099D" w:rsidRPr="0080251F">
        <w:rPr>
          <w:rFonts w:ascii="Times New Roman" w:eastAsia="Times New Roman" w:hAnsi="Times New Roman" w:cs="Times New Roman"/>
          <w:b/>
          <w:bCs/>
          <w:i/>
          <w:sz w:val="24"/>
          <w:szCs w:val="24"/>
          <w:lang w:val="ro-MD" w:eastAsia="ru-RU"/>
        </w:rPr>
        <w:t xml:space="preserve">, urmau a fi elaborate nemijlocit de către societatea economică, la acele </w:t>
      </w:r>
      <w:r w:rsidR="00A50F81" w:rsidRPr="0080251F">
        <w:rPr>
          <w:rFonts w:ascii="Times New Roman" w:eastAsia="Times New Roman" w:hAnsi="Times New Roman" w:cs="Times New Roman"/>
          <w:b/>
          <w:bCs/>
          <w:i/>
          <w:sz w:val="24"/>
          <w:szCs w:val="24"/>
          <w:lang w:val="ro-MD" w:eastAsia="ru-RU"/>
        </w:rPr>
        <w:t>tip</w:t>
      </w:r>
      <w:r w:rsidR="0081099D" w:rsidRPr="0080251F">
        <w:rPr>
          <w:rFonts w:ascii="Times New Roman" w:eastAsia="Times New Roman" w:hAnsi="Times New Roman" w:cs="Times New Roman"/>
          <w:b/>
          <w:bCs/>
          <w:i/>
          <w:sz w:val="24"/>
          <w:szCs w:val="24"/>
          <w:lang w:val="ro-MD" w:eastAsia="ru-RU"/>
        </w:rPr>
        <w:t xml:space="preserve">uri de lucrări care sunt specifice pentru unitate și pentru care lipsesc norme interramurale sau ramurale. </w:t>
      </w:r>
    </w:p>
    <w:p w14:paraId="6A3322D5" w14:textId="3085D249" w:rsidR="0081099D" w:rsidRPr="0080251F" w:rsidRDefault="0081099D" w:rsidP="00D1440C">
      <w:pPr>
        <w:tabs>
          <w:tab w:val="left" w:pos="0"/>
          <w:tab w:val="left" w:pos="567"/>
        </w:tabs>
        <w:spacing w:after="0" w:line="276" w:lineRule="auto"/>
        <w:ind w:firstLine="709"/>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bCs/>
          <w:sz w:val="24"/>
          <w:szCs w:val="24"/>
          <w:lang w:val="ro-MD" w:eastAsia="ru-RU"/>
        </w:rPr>
        <w:t xml:space="preserve">Potrivit prevederilor art.167 din Codul </w:t>
      </w:r>
      <w:r w:rsidR="00A50F81" w:rsidRPr="0080251F">
        <w:rPr>
          <w:rFonts w:ascii="Times New Roman" w:eastAsia="Times New Roman" w:hAnsi="Times New Roman" w:cs="Times New Roman"/>
          <w:bCs/>
          <w:sz w:val="24"/>
          <w:szCs w:val="24"/>
          <w:lang w:val="ro-MD" w:eastAsia="ru-RU"/>
        </w:rPr>
        <w:t>m</w:t>
      </w:r>
      <w:r w:rsidRPr="0080251F">
        <w:rPr>
          <w:rFonts w:ascii="Times New Roman" w:eastAsia="Times New Roman" w:hAnsi="Times New Roman" w:cs="Times New Roman"/>
          <w:bCs/>
          <w:sz w:val="24"/>
          <w:szCs w:val="24"/>
          <w:lang w:val="ro-MD" w:eastAsia="ru-RU"/>
        </w:rPr>
        <w:t xml:space="preserve">uncii, prin </w:t>
      </w:r>
      <w:r w:rsidRPr="0080251F">
        <w:rPr>
          <w:rFonts w:ascii="Times New Roman" w:eastAsia="Times New Roman" w:hAnsi="Times New Roman" w:cs="Times New Roman"/>
          <w:bCs/>
          <w:iCs/>
          <w:sz w:val="24"/>
          <w:szCs w:val="24"/>
          <w:lang w:val="ro-MD" w:eastAsia="ru-RU"/>
        </w:rPr>
        <w:t>norme de muncă</w:t>
      </w:r>
      <w:r w:rsidRPr="0080251F">
        <w:rPr>
          <w:rFonts w:ascii="Times New Roman" w:eastAsia="Times New Roman" w:hAnsi="Times New Roman" w:cs="Times New Roman"/>
          <w:bCs/>
          <w:sz w:val="24"/>
          <w:szCs w:val="24"/>
          <w:lang w:val="ro-MD" w:eastAsia="ru-RU"/>
        </w:rPr>
        <w:t xml:space="preserve"> se înțeleg normele de producție, de timp, de deservire, de personal</w:t>
      </w:r>
      <w:r w:rsidR="00A50F81"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 xml:space="preserve"> care se stabilesc de către angajator pentru salariați în concordanță cu nivelul atins al tehnicii și tehnologiei, al organizării producției și a muncii, astfel încât să corespundă condițiilor concrete din unitate și să nu conducă la suprasolicitarea salariaților.</w:t>
      </w:r>
    </w:p>
    <w:p w14:paraId="46CC2B82" w14:textId="0AB2034F" w:rsidR="0081099D" w:rsidRPr="0080251F" w:rsidRDefault="0081099D" w:rsidP="00D1440C">
      <w:pPr>
        <w:tabs>
          <w:tab w:val="left" w:pos="0"/>
          <w:tab w:val="left" w:pos="567"/>
        </w:tabs>
        <w:spacing w:after="0" w:line="276" w:lineRule="auto"/>
        <w:ind w:firstLine="709"/>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bCs/>
          <w:sz w:val="24"/>
          <w:szCs w:val="24"/>
          <w:lang w:val="ro-MD" w:eastAsia="ru-RU"/>
        </w:rPr>
        <w:t>În acest context, se menționează că la moment normativele de muncă ramurale</w:t>
      </w:r>
      <w:r w:rsidRPr="0080251F">
        <w:rPr>
          <w:rFonts w:ascii="Times New Roman" w:eastAsia="Times New Roman" w:hAnsi="Times New Roman" w:cs="Times New Roman"/>
          <w:bCs/>
          <w:sz w:val="24"/>
          <w:szCs w:val="24"/>
          <w:vertAlign w:val="superscript"/>
          <w:lang w:val="ro-MD" w:eastAsia="ru-RU"/>
        </w:rPr>
        <w:footnoteReference w:id="65"/>
      </w:r>
      <w:r w:rsidRPr="0080251F">
        <w:rPr>
          <w:rFonts w:ascii="Times New Roman" w:eastAsia="Times New Roman" w:hAnsi="Times New Roman" w:cs="Times New Roman"/>
          <w:bCs/>
          <w:sz w:val="24"/>
          <w:szCs w:val="24"/>
          <w:lang w:val="ro-MD" w:eastAsia="ru-RU"/>
        </w:rPr>
        <w:t xml:space="preserve">, conform prevederilor pct.18 din Regulamentul aprobat prin </w:t>
      </w:r>
      <w:r w:rsidR="00E52BB4" w:rsidRPr="0080251F">
        <w:rPr>
          <w:rFonts w:ascii="Times New Roman" w:eastAsia="Times New Roman" w:hAnsi="Times New Roman" w:cs="Times New Roman"/>
          <w:bCs/>
          <w:sz w:val="24"/>
          <w:szCs w:val="24"/>
          <w:lang w:val="ro-MD" w:eastAsia="ru-RU"/>
        </w:rPr>
        <w:t>H</w:t>
      </w:r>
      <w:r w:rsidR="00594D47" w:rsidRPr="0080251F">
        <w:rPr>
          <w:rFonts w:ascii="Times New Roman" w:eastAsia="Times New Roman" w:hAnsi="Times New Roman" w:cs="Times New Roman"/>
          <w:bCs/>
          <w:sz w:val="24"/>
          <w:szCs w:val="24"/>
          <w:lang w:val="ro-MD" w:eastAsia="ru-RU"/>
        </w:rPr>
        <w:t>G</w:t>
      </w:r>
      <w:r w:rsidR="0052676B" w:rsidRPr="0080251F">
        <w:rPr>
          <w:rFonts w:ascii="Times New Roman" w:eastAsia="Times New Roman" w:hAnsi="Times New Roman" w:cs="Times New Roman"/>
          <w:b/>
          <w:bCs/>
          <w:i/>
          <w:sz w:val="24"/>
          <w:szCs w:val="24"/>
          <w:lang w:val="ro-MD" w:eastAsia="ru-RU"/>
        </w:rPr>
        <w:t xml:space="preserve"> </w:t>
      </w:r>
      <w:r w:rsidRPr="0080251F">
        <w:rPr>
          <w:rFonts w:ascii="Times New Roman" w:eastAsia="Times New Roman" w:hAnsi="Times New Roman" w:cs="Times New Roman"/>
          <w:bCs/>
          <w:sz w:val="24"/>
          <w:szCs w:val="24"/>
          <w:lang w:val="ro-MD" w:eastAsia="ru-RU"/>
        </w:rPr>
        <w:t xml:space="preserve">nr.98 din 04.02.2013, nu au fost elaborate de către ministerul de ramură. </w:t>
      </w:r>
      <w:r w:rsidR="00A50F81" w:rsidRPr="0080251F">
        <w:rPr>
          <w:rFonts w:ascii="Times New Roman" w:eastAsia="Times New Roman" w:hAnsi="Times New Roman" w:cs="Times New Roman"/>
          <w:bCs/>
          <w:sz w:val="24"/>
          <w:szCs w:val="24"/>
          <w:lang w:val="ro-MD" w:eastAsia="ru-RU"/>
        </w:rPr>
        <w:t>De</w:t>
      </w:r>
      <w:r w:rsidRPr="0080251F">
        <w:rPr>
          <w:rFonts w:ascii="Times New Roman" w:eastAsia="Times New Roman" w:hAnsi="Times New Roman" w:cs="Times New Roman"/>
          <w:bCs/>
          <w:sz w:val="24"/>
          <w:szCs w:val="24"/>
          <w:lang w:val="ro-MD" w:eastAsia="ru-RU"/>
        </w:rPr>
        <w:t xml:space="preserve"> exemplu, pentru ramura de distribuție a gazelor, prin </w:t>
      </w:r>
      <w:r w:rsidR="00A50F81" w:rsidRPr="0080251F">
        <w:rPr>
          <w:rFonts w:ascii="Times New Roman" w:eastAsia="Times New Roman" w:hAnsi="Times New Roman" w:cs="Times New Roman"/>
          <w:bCs/>
          <w:sz w:val="24"/>
          <w:szCs w:val="24"/>
          <w:lang w:val="ro-MD" w:eastAsia="ru-RU"/>
        </w:rPr>
        <w:t>O</w:t>
      </w:r>
      <w:r w:rsidRPr="0080251F">
        <w:rPr>
          <w:rFonts w:ascii="Times New Roman" w:eastAsia="Times New Roman" w:hAnsi="Times New Roman" w:cs="Times New Roman"/>
          <w:bCs/>
          <w:sz w:val="24"/>
          <w:szCs w:val="24"/>
          <w:lang w:val="ro-MD" w:eastAsia="ru-RU"/>
        </w:rPr>
        <w:t>rdinul Ministerului Economiei și Comerțului nr.135 din 14.09.2006</w:t>
      </w:r>
      <w:r w:rsidRPr="0080251F">
        <w:rPr>
          <w:rFonts w:ascii="Times New Roman" w:eastAsia="Times New Roman" w:hAnsi="Times New Roman" w:cs="Times New Roman"/>
          <w:sz w:val="24"/>
          <w:szCs w:val="24"/>
          <w:vertAlign w:val="superscript"/>
          <w:lang w:val="ro-MD" w:eastAsia="ru-RU"/>
        </w:rPr>
        <w:footnoteReference w:id="66"/>
      </w:r>
      <w:r w:rsidR="00A50F81"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sz w:val="24"/>
          <w:szCs w:val="24"/>
          <w:lang w:val="ro-MD" w:eastAsia="ru-RU"/>
        </w:rPr>
        <w:t xml:space="preserve"> au fost aprobate normele de timp necesare pentru deservirea tehnică și reparația rețelelor de distribuție a gazelor și lista efectivului de lucrători/muncitori pentru activitatea de bază/reglementată prin tarif (distribuirea gazelor).</w:t>
      </w:r>
    </w:p>
    <w:p w14:paraId="21ADE3CF" w14:textId="1EC1094E" w:rsidR="0081099D" w:rsidRPr="0080251F" w:rsidRDefault="0081099D" w:rsidP="00D1440C">
      <w:pPr>
        <w:tabs>
          <w:tab w:val="left" w:pos="0"/>
          <w:tab w:val="left" w:pos="567"/>
        </w:tabs>
        <w:spacing w:after="0" w:line="276" w:lineRule="auto"/>
        <w:ind w:firstLine="709"/>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sz w:val="24"/>
          <w:szCs w:val="24"/>
          <w:lang w:val="ro-MD" w:eastAsia="ru-RU"/>
        </w:rPr>
        <w:t>În activitatea de elaborare și aprobare a statelor de personal,</w:t>
      </w:r>
      <w:r w:rsidRPr="0080251F">
        <w:rPr>
          <w:rFonts w:ascii="Times New Roman" w:eastAsia="Times New Roman" w:hAnsi="Times New Roman" w:cs="Times New Roman"/>
          <w:bCs/>
          <w:sz w:val="24"/>
          <w:szCs w:val="24"/>
          <w:lang w:val="ro-MD" w:eastAsia="ru-RU"/>
        </w:rPr>
        <w:t xml:space="preserve"> S.A. „RED-Nord”, în special în cazul reducerii numărului de angajați sau instituirii unei funcții noi, se bazează pe analize și estimări proprii</w:t>
      </w:r>
      <w:r w:rsidR="008262D8"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 xml:space="preserve"> prin care se argumentează necesarul de angajați din anumite subdiviziuni concrete, dar acest proces nu poate fi considerat drept unul de bază pentru a reglementa și </w:t>
      </w:r>
      <w:r w:rsidR="008262D8" w:rsidRPr="0080251F">
        <w:rPr>
          <w:rFonts w:ascii="Times New Roman" w:eastAsia="Times New Roman" w:hAnsi="Times New Roman" w:cs="Times New Roman"/>
          <w:bCs/>
          <w:sz w:val="24"/>
          <w:szCs w:val="24"/>
          <w:lang w:val="ro-MD" w:eastAsia="ru-RU"/>
        </w:rPr>
        <w:t xml:space="preserve">a </w:t>
      </w:r>
      <w:r w:rsidRPr="0080251F">
        <w:rPr>
          <w:rFonts w:ascii="Times New Roman" w:eastAsia="Times New Roman" w:hAnsi="Times New Roman" w:cs="Times New Roman"/>
          <w:bCs/>
          <w:sz w:val="24"/>
          <w:szCs w:val="24"/>
          <w:lang w:val="ro-MD" w:eastAsia="ru-RU"/>
        </w:rPr>
        <w:t>determina normativele de muncă locale la nivel de întreprindere.</w:t>
      </w:r>
    </w:p>
    <w:p w14:paraId="72F60F7D" w14:textId="26D6C8A0" w:rsidR="00A723A0" w:rsidRPr="0080251F" w:rsidRDefault="00F9687C" w:rsidP="00BB4D5B">
      <w:pPr>
        <w:tabs>
          <w:tab w:val="left" w:pos="0"/>
          <w:tab w:val="left" w:pos="567"/>
        </w:tabs>
        <w:spacing w:after="0" w:line="276" w:lineRule="auto"/>
        <w:ind w:firstLine="709"/>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bCs/>
          <w:sz w:val="24"/>
          <w:szCs w:val="24"/>
          <w:lang w:val="ro-MD" w:eastAsia="ru-RU"/>
        </w:rPr>
        <w:t xml:space="preserve">Menționăm că, prin </w:t>
      </w:r>
      <w:r w:rsidR="008262D8" w:rsidRPr="0080251F">
        <w:rPr>
          <w:rFonts w:ascii="Times New Roman" w:eastAsia="Times New Roman" w:hAnsi="Times New Roman" w:cs="Times New Roman"/>
          <w:bCs/>
          <w:sz w:val="24"/>
          <w:szCs w:val="24"/>
          <w:lang w:val="ro-MD" w:eastAsia="ru-RU"/>
        </w:rPr>
        <w:t>O</w:t>
      </w:r>
      <w:r w:rsidRPr="0080251F">
        <w:rPr>
          <w:rFonts w:ascii="Times New Roman" w:eastAsia="Times New Roman" w:hAnsi="Times New Roman" w:cs="Times New Roman"/>
          <w:bCs/>
          <w:sz w:val="24"/>
          <w:szCs w:val="24"/>
          <w:lang w:val="ro-MD" w:eastAsia="ru-RU"/>
        </w:rPr>
        <w:t>rdinul directorului</w:t>
      </w:r>
      <w:r w:rsidR="00505DBC" w:rsidRPr="0080251F">
        <w:rPr>
          <w:rFonts w:ascii="Times New Roman" w:eastAsia="Times New Roman" w:hAnsi="Times New Roman" w:cs="Times New Roman"/>
          <w:bCs/>
          <w:sz w:val="24"/>
          <w:szCs w:val="24"/>
          <w:lang w:val="ro-MD" w:eastAsia="ru-RU"/>
        </w:rPr>
        <w:t xml:space="preserve"> general</w:t>
      </w:r>
      <w:r w:rsidRPr="0080251F">
        <w:rPr>
          <w:rFonts w:ascii="Times New Roman" w:eastAsia="Times New Roman" w:hAnsi="Times New Roman" w:cs="Times New Roman"/>
          <w:bCs/>
          <w:sz w:val="24"/>
          <w:szCs w:val="24"/>
          <w:lang w:val="ro-MD" w:eastAsia="ru-RU"/>
        </w:rPr>
        <w:t xml:space="preserve"> nr.34-I din 05.03.2024</w:t>
      </w:r>
      <w:r w:rsidR="001B13CC" w:rsidRPr="0080251F">
        <w:rPr>
          <w:rStyle w:val="a5"/>
          <w:rFonts w:ascii="Times New Roman" w:eastAsia="Times New Roman" w:hAnsi="Times New Roman" w:cs="Times New Roman"/>
          <w:bCs/>
          <w:sz w:val="24"/>
          <w:szCs w:val="24"/>
          <w:lang w:val="ro-MD" w:eastAsia="ru-RU"/>
        </w:rPr>
        <w:footnoteReference w:id="67"/>
      </w:r>
      <w:r w:rsidRPr="0080251F">
        <w:rPr>
          <w:rFonts w:ascii="Times New Roman" w:eastAsia="Times New Roman" w:hAnsi="Times New Roman" w:cs="Times New Roman"/>
          <w:bCs/>
          <w:sz w:val="24"/>
          <w:szCs w:val="24"/>
          <w:lang w:val="ro-MD" w:eastAsia="ru-RU"/>
        </w:rPr>
        <w:t xml:space="preserve">, </w:t>
      </w:r>
      <w:r w:rsidR="00A723A0" w:rsidRPr="0080251F">
        <w:rPr>
          <w:rFonts w:ascii="Times New Roman" w:eastAsia="Times New Roman" w:hAnsi="Times New Roman" w:cs="Times New Roman"/>
          <w:bCs/>
          <w:sz w:val="24"/>
          <w:szCs w:val="24"/>
          <w:lang w:val="ro-MD" w:eastAsia="ru-RU"/>
        </w:rPr>
        <w:t>pe parcursul misiunii de audit a fost creat</w:t>
      </w:r>
      <w:r w:rsidRPr="0080251F">
        <w:rPr>
          <w:rFonts w:ascii="Times New Roman" w:eastAsia="Times New Roman" w:hAnsi="Times New Roman" w:cs="Times New Roman"/>
          <w:bCs/>
          <w:sz w:val="24"/>
          <w:szCs w:val="24"/>
          <w:lang w:val="ro-MD" w:eastAsia="ru-RU"/>
        </w:rPr>
        <w:t xml:space="preserve"> </w:t>
      </w:r>
      <w:r w:rsidR="00A723A0" w:rsidRPr="0080251F">
        <w:rPr>
          <w:rFonts w:ascii="Times New Roman" w:eastAsia="Times New Roman" w:hAnsi="Times New Roman" w:cs="Times New Roman"/>
          <w:bCs/>
          <w:sz w:val="24"/>
          <w:szCs w:val="24"/>
          <w:lang w:val="ro-MD" w:eastAsia="ru-RU"/>
        </w:rPr>
        <w:t>grupul de lucru</w:t>
      </w:r>
      <w:r w:rsidR="00BB4D5B" w:rsidRPr="0080251F">
        <w:rPr>
          <w:rFonts w:ascii="Times New Roman" w:eastAsia="Times New Roman" w:hAnsi="Times New Roman" w:cs="Times New Roman"/>
          <w:bCs/>
          <w:sz w:val="24"/>
          <w:szCs w:val="24"/>
          <w:lang w:val="ro-MD" w:eastAsia="ru-RU"/>
        </w:rPr>
        <w:t xml:space="preserve"> și s-au stabilit termen</w:t>
      </w:r>
      <w:r w:rsidR="008262D8" w:rsidRPr="0080251F">
        <w:rPr>
          <w:rFonts w:ascii="Times New Roman" w:eastAsia="Times New Roman" w:hAnsi="Times New Roman" w:cs="Times New Roman"/>
          <w:bCs/>
          <w:sz w:val="24"/>
          <w:szCs w:val="24"/>
          <w:lang w:val="ro-MD" w:eastAsia="ru-RU"/>
        </w:rPr>
        <w:t>ele</w:t>
      </w:r>
      <w:r w:rsidR="00BB4D5B" w:rsidRPr="0080251F">
        <w:rPr>
          <w:rFonts w:ascii="Times New Roman" w:eastAsia="Times New Roman" w:hAnsi="Times New Roman" w:cs="Times New Roman"/>
          <w:bCs/>
          <w:sz w:val="24"/>
          <w:szCs w:val="24"/>
          <w:lang w:val="ro-MD" w:eastAsia="ru-RU"/>
        </w:rPr>
        <w:t xml:space="preserve"> pentru elaborarea normativelor de muncă locale.</w:t>
      </w:r>
    </w:p>
    <w:p w14:paraId="12806AAA" w14:textId="74D57CAD" w:rsidR="00C77EEE" w:rsidRPr="0080251F" w:rsidRDefault="00E80725" w:rsidP="00364726">
      <w:pPr>
        <w:pStyle w:val="a6"/>
        <w:tabs>
          <w:tab w:val="left" w:pos="0"/>
          <w:tab w:val="left" w:pos="567"/>
        </w:tabs>
        <w:spacing w:after="0" w:line="276" w:lineRule="auto"/>
        <w:ind w:left="0"/>
        <w:jc w:val="both"/>
        <w:rPr>
          <w:rFonts w:ascii="Times New Roman" w:eastAsia="Times New Roman" w:hAnsi="Times New Roman" w:cs="Times New Roman"/>
          <w:b/>
          <w:bCs/>
          <w:i/>
          <w:sz w:val="24"/>
          <w:szCs w:val="24"/>
          <w:lang w:val="ro-MD" w:eastAsia="ru-RU"/>
        </w:rPr>
      </w:pPr>
      <w:r w:rsidRPr="0080251F">
        <w:rPr>
          <w:rFonts w:ascii="Times New Roman" w:eastAsia="Times New Roman" w:hAnsi="Times New Roman" w:cs="Times New Roman"/>
          <w:b/>
          <w:bCs/>
          <w:i/>
          <w:sz w:val="24"/>
          <w:szCs w:val="24"/>
          <w:lang w:val="ro-MD" w:eastAsia="ru-RU"/>
        </w:rPr>
        <w:t>4.4</w:t>
      </w:r>
      <w:r w:rsidR="00367600" w:rsidRPr="0080251F">
        <w:rPr>
          <w:rFonts w:ascii="Times New Roman" w:eastAsia="Times New Roman" w:hAnsi="Times New Roman" w:cs="Times New Roman"/>
          <w:b/>
          <w:bCs/>
          <w:i/>
          <w:sz w:val="24"/>
          <w:szCs w:val="24"/>
          <w:lang w:val="ro-MD" w:eastAsia="ru-RU"/>
        </w:rPr>
        <w:t>.2. Potrivit</w:t>
      </w:r>
      <w:r w:rsidR="0081099D" w:rsidRPr="0080251F">
        <w:rPr>
          <w:rFonts w:ascii="Times New Roman" w:eastAsia="Times New Roman" w:hAnsi="Times New Roman" w:cs="Times New Roman"/>
          <w:b/>
          <w:bCs/>
          <w:i/>
          <w:sz w:val="24"/>
          <w:szCs w:val="24"/>
          <w:lang w:val="ro-MD" w:eastAsia="ru-RU"/>
        </w:rPr>
        <w:t xml:space="preserve"> prevederilor art.19 din Legea nr.229 din 23.09.2010</w:t>
      </w:r>
      <w:r w:rsidR="0081099D" w:rsidRPr="0080251F">
        <w:rPr>
          <w:rFonts w:ascii="Times New Roman" w:eastAsia="Times New Roman" w:hAnsi="Times New Roman" w:cs="Times New Roman"/>
          <w:b/>
          <w:bCs/>
          <w:i/>
          <w:sz w:val="24"/>
          <w:szCs w:val="24"/>
          <w:vertAlign w:val="superscript"/>
          <w:lang w:val="ro-MD" w:eastAsia="ru-RU"/>
        </w:rPr>
        <w:footnoteReference w:id="68"/>
      </w:r>
      <w:r w:rsidR="0081099D" w:rsidRPr="0080251F">
        <w:rPr>
          <w:rFonts w:ascii="Times New Roman" w:eastAsia="Times New Roman" w:hAnsi="Times New Roman" w:cs="Times New Roman"/>
          <w:b/>
          <w:bCs/>
          <w:i/>
          <w:sz w:val="24"/>
          <w:szCs w:val="24"/>
          <w:lang w:val="ro-MD" w:eastAsia="ru-RU"/>
        </w:rPr>
        <w:t>,</w:t>
      </w:r>
      <w:r w:rsidR="00367600" w:rsidRPr="0080251F">
        <w:rPr>
          <w:rFonts w:ascii="Times New Roman" w:eastAsia="Times New Roman" w:hAnsi="Times New Roman" w:cs="Times New Roman"/>
          <w:b/>
          <w:bCs/>
          <w:i/>
          <w:sz w:val="24"/>
          <w:szCs w:val="24"/>
          <w:lang w:val="ro-MD" w:eastAsia="ru-RU"/>
        </w:rPr>
        <w:t xml:space="preserve"> S.A. „RED-Nord” </w:t>
      </w:r>
      <w:r w:rsidR="00C77EEE" w:rsidRPr="0080251F">
        <w:rPr>
          <w:rFonts w:ascii="Times New Roman" w:eastAsia="Times New Roman" w:hAnsi="Times New Roman" w:cs="Times New Roman"/>
          <w:b/>
          <w:bCs/>
          <w:i/>
          <w:sz w:val="24"/>
          <w:szCs w:val="24"/>
          <w:lang w:val="ro-MD" w:eastAsia="ru-RU"/>
        </w:rPr>
        <w:t xml:space="preserve">nu a asigurat pentru funcția de conducător al </w:t>
      </w:r>
      <w:r w:rsidR="0081099D" w:rsidRPr="0080251F">
        <w:rPr>
          <w:rFonts w:ascii="Times New Roman" w:eastAsia="Times New Roman" w:hAnsi="Times New Roman" w:cs="Times New Roman"/>
          <w:b/>
          <w:bCs/>
          <w:i/>
          <w:sz w:val="24"/>
          <w:szCs w:val="24"/>
          <w:lang w:val="ro-MD" w:eastAsia="ru-RU"/>
        </w:rPr>
        <w:t xml:space="preserve">subdiviziunii de audit intern </w:t>
      </w:r>
      <w:r w:rsidR="00C77EEE" w:rsidRPr="0080251F">
        <w:rPr>
          <w:rFonts w:ascii="Times New Roman" w:eastAsia="Times New Roman" w:hAnsi="Times New Roman" w:cs="Times New Roman"/>
          <w:b/>
          <w:bCs/>
          <w:i/>
          <w:sz w:val="24"/>
          <w:szCs w:val="24"/>
          <w:lang w:val="ro-MD" w:eastAsia="ru-RU"/>
        </w:rPr>
        <w:t>deținerea</w:t>
      </w:r>
      <w:r w:rsidR="0081099D" w:rsidRPr="0080251F">
        <w:rPr>
          <w:rFonts w:ascii="Times New Roman" w:eastAsia="Times New Roman" w:hAnsi="Times New Roman" w:cs="Times New Roman"/>
          <w:b/>
          <w:bCs/>
          <w:i/>
          <w:sz w:val="24"/>
          <w:szCs w:val="24"/>
          <w:lang w:val="ro-MD" w:eastAsia="ru-RU"/>
        </w:rPr>
        <w:t xml:space="preserve"> certificat</w:t>
      </w:r>
      <w:r w:rsidR="00C77EEE" w:rsidRPr="0080251F">
        <w:rPr>
          <w:rFonts w:ascii="Times New Roman" w:eastAsia="Times New Roman" w:hAnsi="Times New Roman" w:cs="Times New Roman"/>
          <w:b/>
          <w:bCs/>
          <w:i/>
          <w:sz w:val="24"/>
          <w:szCs w:val="24"/>
          <w:lang w:val="ro-MD" w:eastAsia="ru-RU"/>
        </w:rPr>
        <w:t>ului</w:t>
      </w:r>
      <w:r w:rsidR="0081099D" w:rsidRPr="0080251F">
        <w:rPr>
          <w:rFonts w:ascii="Times New Roman" w:eastAsia="Times New Roman" w:hAnsi="Times New Roman" w:cs="Times New Roman"/>
          <w:b/>
          <w:bCs/>
          <w:i/>
          <w:sz w:val="24"/>
          <w:szCs w:val="24"/>
          <w:lang w:val="ro-MD" w:eastAsia="ru-RU"/>
        </w:rPr>
        <w:t xml:space="preserve"> de calificare profesională în domeniul auditului intern în sectorul public, eliberat de către Ministerul Finanțelor, sau </w:t>
      </w:r>
      <w:r w:rsidR="00F937E8" w:rsidRPr="0080251F">
        <w:rPr>
          <w:rFonts w:ascii="Times New Roman" w:eastAsia="Times New Roman" w:hAnsi="Times New Roman" w:cs="Times New Roman"/>
          <w:b/>
          <w:bCs/>
          <w:i/>
          <w:sz w:val="24"/>
          <w:szCs w:val="24"/>
          <w:lang w:val="ro-MD" w:eastAsia="ru-RU"/>
        </w:rPr>
        <w:t xml:space="preserve">a </w:t>
      </w:r>
      <w:r w:rsidR="0081099D" w:rsidRPr="0080251F">
        <w:rPr>
          <w:rFonts w:ascii="Times New Roman" w:eastAsia="Times New Roman" w:hAnsi="Times New Roman" w:cs="Times New Roman"/>
          <w:b/>
          <w:bCs/>
          <w:i/>
          <w:sz w:val="24"/>
          <w:szCs w:val="24"/>
          <w:lang w:val="ro-MD" w:eastAsia="ru-RU"/>
        </w:rPr>
        <w:t>certificat</w:t>
      </w:r>
      <w:r w:rsidR="00F937E8" w:rsidRPr="0080251F">
        <w:rPr>
          <w:rFonts w:ascii="Times New Roman" w:eastAsia="Times New Roman" w:hAnsi="Times New Roman" w:cs="Times New Roman"/>
          <w:b/>
          <w:bCs/>
          <w:i/>
          <w:sz w:val="24"/>
          <w:szCs w:val="24"/>
          <w:lang w:val="ro-MD" w:eastAsia="ru-RU"/>
        </w:rPr>
        <w:t>ului</w:t>
      </w:r>
      <w:r w:rsidR="0081099D" w:rsidRPr="0080251F">
        <w:rPr>
          <w:rFonts w:ascii="Times New Roman" w:eastAsia="Times New Roman" w:hAnsi="Times New Roman" w:cs="Times New Roman"/>
          <w:b/>
          <w:bCs/>
          <w:i/>
          <w:sz w:val="24"/>
          <w:szCs w:val="24"/>
          <w:lang w:val="ro-MD" w:eastAsia="ru-RU"/>
        </w:rPr>
        <w:t xml:space="preserve"> de calificare cu recunoaștere internațională în domeniul auditului intern. </w:t>
      </w:r>
    </w:p>
    <w:p w14:paraId="3D1ED8A1" w14:textId="1F2AD76B" w:rsidR="000F708F" w:rsidRPr="0080251F" w:rsidRDefault="00C77EEE" w:rsidP="002252C5">
      <w:pPr>
        <w:pStyle w:val="a6"/>
        <w:tabs>
          <w:tab w:val="left" w:pos="0"/>
          <w:tab w:val="left" w:pos="567"/>
        </w:tabs>
        <w:spacing w:after="0" w:line="276" w:lineRule="auto"/>
        <w:ind w:left="0" w:firstLine="709"/>
        <w:contextualSpacing w:val="0"/>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bCs/>
          <w:sz w:val="24"/>
          <w:szCs w:val="24"/>
          <w:lang w:val="ro-MD" w:eastAsia="ru-RU"/>
        </w:rPr>
        <w:t xml:space="preserve">Astfel, </w:t>
      </w:r>
      <w:r w:rsidR="0081099D" w:rsidRPr="0080251F">
        <w:rPr>
          <w:rFonts w:ascii="Times New Roman" w:eastAsia="Times New Roman" w:hAnsi="Times New Roman" w:cs="Times New Roman"/>
          <w:bCs/>
          <w:sz w:val="24"/>
          <w:szCs w:val="24"/>
          <w:lang w:val="ro-MD" w:eastAsia="ru-RU"/>
        </w:rPr>
        <w:t>în an</w:t>
      </w:r>
      <w:r w:rsidR="00F937E8" w:rsidRPr="0080251F">
        <w:rPr>
          <w:rFonts w:ascii="Times New Roman" w:eastAsia="Times New Roman" w:hAnsi="Times New Roman" w:cs="Times New Roman"/>
          <w:bCs/>
          <w:sz w:val="24"/>
          <w:szCs w:val="24"/>
          <w:lang w:val="ro-MD" w:eastAsia="ru-RU"/>
        </w:rPr>
        <w:t>ii</w:t>
      </w:r>
      <w:r w:rsidR="0081099D" w:rsidRPr="0080251F">
        <w:rPr>
          <w:rFonts w:ascii="Times New Roman" w:eastAsia="Times New Roman" w:hAnsi="Times New Roman" w:cs="Times New Roman"/>
          <w:bCs/>
          <w:sz w:val="24"/>
          <w:szCs w:val="24"/>
          <w:lang w:val="ro-MD" w:eastAsia="ru-RU"/>
        </w:rPr>
        <w:t xml:space="preserve"> 2021</w:t>
      </w:r>
      <w:r w:rsidR="00F937E8" w:rsidRPr="001F1689">
        <w:rPr>
          <w:rFonts w:ascii="Times New Roman" w:eastAsia="Times New Roman" w:hAnsi="Times New Roman" w:cs="Times New Roman"/>
          <w:bCs/>
          <w:sz w:val="24"/>
          <w:szCs w:val="24"/>
          <w:lang w:val="ro-MD" w:eastAsia="ru-RU"/>
        </w:rPr>
        <w:t>-</w:t>
      </w:r>
      <w:r w:rsidR="0081099D" w:rsidRPr="001F1689">
        <w:rPr>
          <w:rFonts w:ascii="Times New Roman" w:eastAsia="Times New Roman" w:hAnsi="Times New Roman" w:cs="Times New Roman"/>
          <w:bCs/>
          <w:sz w:val="24"/>
          <w:szCs w:val="24"/>
          <w:lang w:val="ro-MD" w:eastAsia="ru-RU"/>
        </w:rPr>
        <w:t>20</w:t>
      </w:r>
      <w:r w:rsidR="00C242C2" w:rsidRPr="001F1689">
        <w:rPr>
          <w:rFonts w:ascii="Times New Roman" w:eastAsia="Times New Roman" w:hAnsi="Times New Roman" w:cs="Times New Roman"/>
          <w:bCs/>
          <w:sz w:val="24"/>
          <w:szCs w:val="24"/>
          <w:lang w:val="ro-MD" w:eastAsia="ru-RU"/>
        </w:rPr>
        <w:t>22</w:t>
      </w:r>
      <w:r w:rsidR="0081099D" w:rsidRPr="001F1689">
        <w:rPr>
          <w:rFonts w:ascii="Times New Roman" w:eastAsia="Times New Roman" w:hAnsi="Times New Roman" w:cs="Times New Roman"/>
          <w:bCs/>
          <w:sz w:val="24"/>
          <w:szCs w:val="24"/>
          <w:lang w:val="ro-MD" w:eastAsia="ru-RU"/>
        </w:rPr>
        <w:t>, conducătorul</w:t>
      </w:r>
      <w:r w:rsidR="0081099D" w:rsidRPr="0080251F">
        <w:rPr>
          <w:rFonts w:ascii="Times New Roman" w:eastAsia="Times New Roman" w:hAnsi="Times New Roman" w:cs="Times New Roman"/>
          <w:bCs/>
          <w:sz w:val="24"/>
          <w:szCs w:val="24"/>
          <w:lang w:val="ro-MD" w:eastAsia="ru-RU"/>
        </w:rPr>
        <w:t xml:space="preserve"> Serviciului de audit intern</w:t>
      </w:r>
      <w:r w:rsidR="002252C5" w:rsidRPr="0080251F">
        <w:rPr>
          <w:rStyle w:val="a5"/>
          <w:rFonts w:ascii="Times New Roman" w:eastAsia="Times New Roman" w:hAnsi="Times New Roman" w:cs="Times New Roman"/>
          <w:bCs/>
          <w:sz w:val="24"/>
          <w:szCs w:val="24"/>
          <w:lang w:val="ro-MD" w:eastAsia="ru-RU"/>
        </w:rPr>
        <w:footnoteReference w:id="69"/>
      </w:r>
      <w:r w:rsidR="00463950" w:rsidRPr="0080251F">
        <w:rPr>
          <w:rFonts w:ascii="Times New Roman" w:eastAsia="Times New Roman" w:hAnsi="Times New Roman" w:cs="Times New Roman"/>
          <w:bCs/>
          <w:sz w:val="24"/>
          <w:szCs w:val="24"/>
          <w:lang w:val="ro-MD" w:eastAsia="ru-RU"/>
        </w:rPr>
        <w:t xml:space="preserve"> </w:t>
      </w:r>
      <w:r w:rsidR="002252C5" w:rsidRPr="0080251F">
        <w:rPr>
          <w:rFonts w:ascii="Times New Roman" w:eastAsia="Times New Roman" w:hAnsi="Times New Roman" w:cs="Times New Roman"/>
          <w:bCs/>
          <w:sz w:val="24"/>
          <w:szCs w:val="24"/>
          <w:lang w:val="ro-MD" w:eastAsia="ru-RU"/>
        </w:rPr>
        <w:t>al</w:t>
      </w:r>
      <w:r w:rsidR="0081099D" w:rsidRPr="0080251F">
        <w:rPr>
          <w:rFonts w:ascii="Times New Roman" w:eastAsia="Times New Roman" w:hAnsi="Times New Roman" w:cs="Times New Roman"/>
          <w:bCs/>
          <w:sz w:val="24"/>
          <w:szCs w:val="24"/>
          <w:lang w:val="ro-MD" w:eastAsia="ru-RU"/>
        </w:rPr>
        <w:t xml:space="preserve"> S.A. „RED-Nord” nu a deținut certificat de calificare profesională în domeniul auditului intern în sectorul public</w:t>
      </w:r>
      <w:r w:rsidR="00E80725" w:rsidRPr="0080251F">
        <w:rPr>
          <w:rFonts w:ascii="Times New Roman" w:eastAsia="Times New Roman" w:hAnsi="Times New Roman" w:cs="Times New Roman"/>
          <w:bCs/>
          <w:sz w:val="24"/>
          <w:szCs w:val="24"/>
          <w:lang w:val="ro-MD" w:eastAsia="ru-RU"/>
        </w:rPr>
        <w:t xml:space="preserve"> </w:t>
      </w:r>
      <w:r w:rsidR="00503380" w:rsidRPr="0080251F">
        <w:rPr>
          <w:rFonts w:ascii="Times New Roman" w:eastAsia="Times New Roman" w:hAnsi="Times New Roman" w:cs="Times New Roman"/>
          <w:bCs/>
          <w:sz w:val="24"/>
          <w:szCs w:val="24"/>
          <w:lang w:val="ro-MD" w:eastAsia="ru-RU"/>
        </w:rPr>
        <w:t xml:space="preserve">și a fost salarizat, în situația când a </w:t>
      </w:r>
      <w:r w:rsidR="00463950" w:rsidRPr="0080251F">
        <w:rPr>
          <w:rFonts w:ascii="Times New Roman" w:eastAsia="Times New Roman" w:hAnsi="Times New Roman" w:cs="Times New Roman"/>
          <w:bCs/>
          <w:sz w:val="24"/>
          <w:szCs w:val="24"/>
          <w:lang w:val="ro-MD" w:eastAsia="ru-RU"/>
        </w:rPr>
        <w:t xml:space="preserve">exercitat </w:t>
      </w:r>
      <w:r w:rsidR="00503380" w:rsidRPr="0080251F">
        <w:rPr>
          <w:rFonts w:ascii="Times New Roman" w:eastAsia="Times New Roman" w:hAnsi="Times New Roman" w:cs="Times New Roman"/>
          <w:bCs/>
          <w:sz w:val="24"/>
          <w:szCs w:val="24"/>
          <w:lang w:val="ro-MD" w:eastAsia="ru-RU"/>
        </w:rPr>
        <w:t xml:space="preserve">funcția </w:t>
      </w:r>
      <w:r w:rsidR="00463950" w:rsidRPr="0080251F">
        <w:rPr>
          <w:rFonts w:ascii="Times New Roman" w:eastAsia="Times New Roman" w:hAnsi="Times New Roman" w:cs="Times New Roman"/>
          <w:bCs/>
          <w:sz w:val="24"/>
          <w:szCs w:val="24"/>
          <w:lang w:val="ro-MD" w:eastAsia="ru-RU"/>
        </w:rPr>
        <w:t>fără a fi certificat</w:t>
      </w:r>
      <w:r w:rsidR="00B9236E" w:rsidRPr="0080251F">
        <w:rPr>
          <w:rStyle w:val="a5"/>
          <w:rFonts w:ascii="Times New Roman" w:eastAsia="Times New Roman" w:hAnsi="Times New Roman" w:cs="Times New Roman"/>
          <w:bCs/>
          <w:sz w:val="24"/>
          <w:szCs w:val="24"/>
          <w:lang w:val="ro-MD" w:eastAsia="ru-RU"/>
        </w:rPr>
        <w:footnoteReference w:id="70"/>
      </w:r>
      <w:r w:rsidR="00503380" w:rsidRPr="0080251F">
        <w:rPr>
          <w:rFonts w:ascii="Times New Roman" w:eastAsia="Times New Roman" w:hAnsi="Times New Roman" w:cs="Times New Roman"/>
          <w:bCs/>
          <w:sz w:val="24"/>
          <w:szCs w:val="24"/>
          <w:lang w:val="ro-MD" w:eastAsia="ru-RU"/>
        </w:rPr>
        <w:t xml:space="preserve">, </w:t>
      </w:r>
      <w:r w:rsidR="00E80725" w:rsidRPr="0080251F">
        <w:rPr>
          <w:rFonts w:ascii="Times New Roman" w:eastAsia="Times New Roman" w:hAnsi="Times New Roman" w:cs="Times New Roman"/>
          <w:bCs/>
          <w:sz w:val="24"/>
          <w:szCs w:val="24"/>
          <w:lang w:val="ro-MD" w:eastAsia="ru-RU"/>
        </w:rPr>
        <w:t xml:space="preserve">în anul 2021 </w:t>
      </w:r>
      <w:r w:rsidR="00A7453A" w:rsidRPr="0080251F">
        <w:rPr>
          <w:rFonts w:ascii="Times New Roman" w:eastAsia="Times New Roman" w:hAnsi="Times New Roman" w:cs="Times New Roman"/>
          <w:bCs/>
          <w:sz w:val="24"/>
          <w:szCs w:val="24"/>
          <w:lang w:val="ro-MD" w:eastAsia="ru-RU"/>
        </w:rPr>
        <w:t>cu</w:t>
      </w:r>
      <w:r w:rsidR="00E80725" w:rsidRPr="0080251F">
        <w:rPr>
          <w:rFonts w:ascii="Times New Roman" w:eastAsia="Times New Roman" w:hAnsi="Times New Roman" w:cs="Times New Roman"/>
          <w:bCs/>
          <w:sz w:val="24"/>
          <w:szCs w:val="24"/>
          <w:lang w:val="ro-MD" w:eastAsia="ru-RU"/>
        </w:rPr>
        <w:t xml:space="preserve"> sum</w:t>
      </w:r>
      <w:r w:rsidR="00A7453A" w:rsidRPr="0080251F">
        <w:rPr>
          <w:rFonts w:ascii="Times New Roman" w:eastAsia="Times New Roman" w:hAnsi="Times New Roman" w:cs="Times New Roman"/>
          <w:bCs/>
          <w:sz w:val="24"/>
          <w:szCs w:val="24"/>
          <w:lang w:val="ro-MD" w:eastAsia="ru-RU"/>
        </w:rPr>
        <w:t>a</w:t>
      </w:r>
      <w:r w:rsidR="00E80725" w:rsidRPr="0080251F">
        <w:rPr>
          <w:rFonts w:ascii="Times New Roman" w:eastAsia="Times New Roman" w:hAnsi="Times New Roman" w:cs="Times New Roman"/>
          <w:bCs/>
          <w:sz w:val="24"/>
          <w:szCs w:val="24"/>
          <w:lang w:val="ro-MD" w:eastAsia="ru-RU"/>
        </w:rPr>
        <w:t xml:space="preserve"> de </w:t>
      </w:r>
      <w:r w:rsidR="00E80725" w:rsidRPr="0080251F">
        <w:rPr>
          <w:rFonts w:ascii="Times New Roman" w:eastAsia="Times New Roman" w:hAnsi="Times New Roman" w:cs="Times New Roman"/>
          <w:b/>
          <w:bCs/>
          <w:sz w:val="24"/>
          <w:szCs w:val="24"/>
          <w:lang w:val="ro-MD" w:eastAsia="ru-RU"/>
        </w:rPr>
        <w:t>317,4 mii lei</w:t>
      </w:r>
      <w:r w:rsidR="00E80725" w:rsidRPr="0080251F">
        <w:rPr>
          <w:rFonts w:ascii="Times New Roman" w:eastAsia="Times New Roman" w:hAnsi="Times New Roman" w:cs="Times New Roman"/>
          <w:bCs/>
          <w:sz w:val="24"/>
          <w:szCs w:val="24"/>
          <w:lang w:val="ro-MD" w:eastAsia="ru-RU"/>
        </w:rPr>
        <w:t xml:space="preserve"> și în anul 2022 – </w:t>
      </w:r>
      <w:r w:rsidR="00A7453A" w:rsidRPr="0080251F">
        <w:rPr>
          <w:rFonts w:ascii="Times New Roman" w:eastAsia="Times New Roman" w:hAnsi="Times New Roman" w:cs="Times New Roman"/>
          <w:bCs/>
          <w:sz w:val="24"/>
          <w:szCs w:val="24"/>
          <w:lang w:val="ro-MD" w:eastAsia="ru-RU"/>
        </w:rPr>
        <w:t xml:space="preserve">cu </w:t>
      </w:r>
      <w:r w:rsidR="00E80725" w:rsidRPr="0080251F">
        <w:rPr>
          <w:rFonts w:ascii="Times New Roman" w:eastAsia="Times New Roman" w:hAnsi="Times New Roman" w:cs="Times New Roman"/>
          <w:b/>
          <w:bCs/>
          <w:sz w:val="24"/>
          <w:szCs w:val="24"/>
          <w:lang w:val="ro-MD" w:eastAsia="ru-RU"/>
        </w:rPr>
        <w:t>324,9 mii lei</w:t>
      </w:r>
      <w:r w:rsidR="00503380" w:rsidRPr="0080251F">
        <w:rPr>
          <w:rFonts w:ascii="Times New Roman" w:eastAsia="Times New Roman" w:hAnsi="Times New Roman" w:cs="Times New Roman"/>
          <w:bCs/>
          <w:sz w:val="24"/>
          <w:szCs w:val="24"/>
          <w:lang w:val="ro-MD" w:eastAsia="ru-RU"/>
        </w:rPr>
        <w:t>.</w:t>
      </w:r>
    </w:p>
    <w:p w14:paraId="68DC8912" w14:textId="6B9EC845" w:rsidR="001751C7" w:rsidRPr="0080251F" w:rsidRDefault="001751C7" w:rsidP="00364726">
      <w:pPr>
        <w:pStyle w:val="a6"/>
        <w:tabs>
          <w:tab w:val="left" w:pos="0"/>
        </w:tabs>
        <w:spacing w:after="0" w:line="276" w:lineRule="auto"/>
        <w:ind w:left="0"/>
        <w:contextualSpacing w:val="0"/>
        <w:jc w:val="both"/>
        <w:rPr>
          <w:rFonts w:ascii="Times New Roman" w:eastAsia="Times New Roman" w:hAnsi="Times New Roman" w:cs="Times New Roman"/>
          <w:b/>
          <w:bCs/>
          <w:i/>
          <w:sz w:val="24"/>
          <w:szCs w:val="24"/>
          <w:lang w:val="ro-MD" w:eastAsia="ru-RU"/>
        </w:rPr>
      </w:pPr>
      <w:r w:rsidRPr="0080251F">
        <w:rPr>
          <w:rFonts w:ascii="Times New Roman" w:eastAsia="Times New Roman" w:hAnsi="Times New Roman" w:cs="Times New Roman"/>
          <w:b/>
          <w:bCs/>
          <w:i/>
          <w:sz w:val="24"/>
          <w:szCs w:val="24"/>
          <w:lang w:val="ro-MD" w:eastAsia="ru-RU"/>
        </w:rPr>
        <w:t>4.4</w:t>
      </w:r>
      <w:r w:rsidR="000F708F" w:rsidRPr="0080251F">
        <w:rPr>
          <w:rFonts w:ascii="Times New Roman" w:eastAsia="Times New Roman" w:hAnsi="Times New Roman" w:cs="Times New Roman"/>
          <w:b/>
          <w:bCs/>
          <w:i/>
          <w:sz w:val="24"/>
          <w:szCs w:val="24"/>
          <w:lang w:val="ro-MD" w:eastAsia="ru-RU"/>
        </w:rPr>
        <w:t xml:space="preserve">.3. </w:t>
      </w:r>
      <w:r w:rsidRPr="0080251F">
        <w:rPr>
          <w:rFonts w:ascii="Times New Roman" w:eastAsia="Times New Roman" w:hAnsi="Times New Roman" w:cs="Times New Roman"/>
          <w:b/>
          <w:bCs/>
          <w:i/>
          <w:sz w:val="24"/>
          <w:szCs w:val="24"/>
          <w:lang w:val="ro-MD" w:eastAsia="ru-RU"/>
        </w:rPr>
        <w:t>În anii 2021-2022, unele drepturi salariale</w:t>
      </w:r>
      <w:r w:rsidRPr="0080251F">
        <w:rPr>
          <w:rFonts w:ascii="Times New Roman" w:eastAsia="Times New Roman" w:hAnsi="Times New Roman" w:cs="Times New Roman"/>
          <w:b/>
          <w:bCs/>
          <w:i/>
          <w:sz w:val="24"/>
          <w:szCs w:val="24"/>
          <w:vertAlign w:val="superscript"/>
          <w:lang w:val="ro-MD" w:eastAsia="ru-RU"/>
        </w:rPr>
        <w:footnoteReference w:id="71"/>
      </w:r>
      <w:r w:rsidRPr="0080251F">
        <w:rPr>
          <w:rFonts w:ascii="Times New Roman" w:eastAsia="Times New Roman" w:hAnsi="Times New Roman" w:cs="Times New Roman"/>
          <w:b/>
          <w:bCs/>
          <w:i/>
          <w:sz w:val="24"/>
          <w:szCs w:val="24"/>
          <w:lang w:val="ro-MD" w:eastAsia="ru-RU"/>
        </w:rPr>
        <w:t xml:space="preserve"> s-au stabilit și acordat cu </w:t>
      </w:r>
      <w:r w:rsidR="00B24F87" w:rsidRPr="0080251F">
        <w:rPr>
          <w:rFonts w:ascii="Times New Roman" w:eastAsia="Times New Roman" w:hAnsi="Times New Roman" w:cs="Times New Roman"/>
          <w:b/>
          <w:bCs/>
          <w:i/>
          <w:sz w:val="24"/>
          <w:szCs w:val="24"/>
          <w:lang w:val="ro-MD" w:eastAsia="ru-RU"/>
        </w:rPr>
        <w:t>abatere</w:t>
      </w:r>
      <w:r w:rsidRPr="0080251F">
        <w:rPr>
          <w:rFonts w:ascii="Times New Roman" w:eastAsia="Times New Roman" w:hAnsi="Times New Roman" w:cs="Times New Roman"/>
          <w:b/>
          <w:bCs/>
          <w:i/>
          <w:sz w:val="24"/>
          <w:szCs w:val="24"/>
          <w:lang w:val="ro-MD" w:eastAsia="ru-RU"/>
        </w:rPr>
        <w:t xml:space="preserve"> de la prevederile normative, ceea ce a condiționat</w:t>
      </w:r>
      <w:r w:rsidRPr="0080251F">
        <w:rPr>
          <w:rFonts w:ascii="Times New Roman" w:eastAsia="Times New Roman" w:hAnsi="Times New Roman" w:cs="Times New Roman"/>
          <w:b/>
          <w:bCs/>
          <w:i/>
          <w:iCs/>
          <w:sz w:val="24"/>
          <w:szCs w:val="24"/>
          <w:lang w:val="ro-MD" w:eastAsia="ru-RU"/>
        </w:rPr>
        <w:t xml:space="preserve"> majorarea neregulamentară a cheltuielilor de salarizare cu</w:t>
      </w:r>
      <w:r w:rsidR="009A29D6" w:rsidRPr="0080251F">
        <w:rPr>
          <w:rFonts w:ascii="Times New Roman" w:eastAsia="Times New Roman" w:hAnsi="Times New Roman" w:cs="Times New Roman"/>
          <w:b/>
          <w:bCs/>
          <w:i/>
          <w:sz w:val="24"/>
          <w:szCs w:val="24"/>
          <w:lang w:val="ro-MD" w:eastAsia="ru-RU"/>
        </w:rPr>
        <w:t xml:space="preserve"> sumă totală de circa 2,5</w:t>
      </w:r>
      <w:r w:rsidRPr="0080251F">
        <w:rPr>
          <w:rFonts w:ascii="Times New Roman" w:eastAsia="Times New Roman" w:hAnsi="Times New Roman" w:cs="Times New Roman"/>
          <w:b/>
          <w:bCs/>
          <w:i/>
          <w:sz w:val="24"/>
          <w:szCs w:val="24"/>
          <w:lang w:val="ro-MD" w:eastAsia="ru-RU"/>
        </w:rPr>
        <w:t xml:space="preserve"> mil. lei</w:t>
      </w:r>
      <w:r w:rsidR="00550EDB" w:rsidRPr="0080251F">
        <w:rPr>
          <w:rStyle w:val="a5"/>
          <w:rFonts w:ascii="Times New Roman" w:eastAsia="Times New Roman" w:hAnsi="Times New Roman" w:cs="Times New Roman"/>
          <w:b/>
          <w:bCs/>
          <w:i/>
          <w:sz w:val="24"/>
          <w:szCs w:val="24"/>
          <w:lang w:val="ro-MD" w:eastAsia="ru-RU"/>
        </w:rPr>
        <w:footnoteReference w:id="72"/>
      </w:r>
      <w:r w:rsidRPr="0080251F">
        <w:rPr>
          <w:rFonts w:ascii="Times New Roman" w:eastAsia="Times New Roman" w:hAnsi="Times New Roman" w:cs="Times New Roman"/>
          <w:b/>
          <w:bCs/>
          <w:i/>
          <w:sz w:val="24"/>
          <w:szCs w:val="24"/>
          <w:lang w:val="ro-MD" w:eastAsia="ru-RU"/>
        </w:rPr>
        <w:t>.</w:t>
      </w:r>
    </w:p>
    <w:p w14:paraId="7BDD6A34" w14:textId="578EF844" w:rsidR="00364726" w:rsidRPr="0080251F" w:rsidRDefault="001751C7" w:rsidP="00364726">
      <w:pPr>
        <w:pStyle w:val="a6"/>
        <w:numPr>
          <w:ilvl w:val="0"/>
          <w:numId w:val="31"/>
        </w:numPr>
        <w:tabs>
          <w:tab w:val="left" w:pos="993"/>
        </w:tabs>
        <w:spacing w:after="0" w:line="276" w:lineRule="auto"/>
        <w:ind w:left="0" w:firstLine="709"/>
        <w:contextualSpacing w:val="0"/>
        <w:jc w:val="both"/>
        <w:rPr>
          <w:rFonts w:ascii="Times New Roman" w:hAnsi="Times New Roman" w:cs="Times New Roman"/>
          <w:bCs/>
          <w:i/>
          <w:sz w:val="24"/>
          <w:szCs w:val="24"/>
          <w:u w:val="single"/>
          <w:lang w:val="ro-MD"/>
        </w:rPr>
      </w:pPr>
      <w:r w:rsidRPr="0080251F">
        <w:rPr>
          <w:rFonts w:ascii="Times New Roman" w:hAnsi="Times New Roman" w:cs="Times New Roman"/>
          <w:bCs/>
          <w:i/>
          <w:sz w:val="24"/>
          <w:szCs w:val="24"/>
          <w:u w:val="single"/>
          <w:lang w:val="ro-MD"/>
        </w:rPr>
        <w:t>Stabilirea neconformă a salariul</w:t>
      </w:r>
      <w:r w:rsidR="00A7453A" w:rsidRPr="0080251F">
        <w:rPr>
          <w:rFonts w:ascii="Times New Roman" w:hAnsi="Times New Roman" w:cs="Times New Roman"/>
          <w:bCs/>
          <w:i/>
          <w:sz w:val="24"/>
          <w:szCs w:val="24"/>
          <w:u w:val="single"/>
          <w:lang w:val="ro-MD"/>
        </w:rPr>
        <w:t>ui</w:t>
      </w:r>
      <w:r w:rsidRPr="0080251F">
        <w:rPr>
          <w:rFonts w:ascii="Times New Roman" w:hAnsi="Times New Roman" w:cs="Times New Roman"/>
          <w:bCs/>
          <w:i/>
          <w:sz w:val="24"/>
          <w:szCs w:val="24"/>
          <w:u w:val="single"/>
          <w:lang w:val="ro-MD"/>
        </w:rPr>
        <w:t xml:space="preserve"> de bază/tarifar a condiționat majorarea neregulamentară a cheltuielilor privind retribuirea muncii cu </w:t>
      </w:r>
      <w:r w:rsidRPr="0080251F">
        <w:rPr>
          <w:rFonts w:ascii="Times New Roman" w:hAnsi="Times New Roman" w:cs="Times New Roman"/>
          <w:b/>
          <w:bCs/>
          <w:i/>
          <w:sz w:val="24"/>
          <w:szCs w:val="24"/>
          <w:u w:val="single"/>
          <w:lang w:val="ro-MD"/>
        </w:rPr>
        <w:t>1,0 mil. lei</w:t>
      </w:r>
      <w:r w:rsidRPr="0080251F">
        <w:rPr>
          <w:rFonts w:ascii="Times New Roman" w:hAnsi="Times New Roman" w:cs="Times New Roman"/>
          <w:bCs/>
          <w:i/>
          <w:sz w:val="24"/>
          <w:szCs w:val="24"/>
          <w:u w:val="single"/>
          <w:lang w:val="ro-MD"/>
        </w:rPr>
        <w:t>.</w:t>
      </w:r>
    </w:p>
    <w:p w14:paraId="18C7DF81" w14:textId="78E0E7CF" w:rsidR="0033039B" w:rsidRPr="0080251F" w:rsidRDefault="00364726" w:rsidP="00290653">
      <w:pPr>
        <w:tabs>
          <w:tab w:val="left" w:pos="993"/>
        </w:tabs>
        <w:spacing w:after="0" w:line="276" w:lineRule="auto"/>
        <w:jc w:val="both"/>
        <w:rPr>
          <w:rFonts w:ascii="Times New Roman" w:hAnsi="Times New Roman" w:cs="Times New Roman"/>
          <w:bCs/>
          <w:i/>
          <w:sz w:val="24"/>
          <w:szCs w:val="24"/>
          <w:u w:val="single"/>
          <w:lang w:val="ro-MD"/>
        </w:rPr>
      </w:pPr>
      <w:r w:rsidRPr="0080251F">
        <w:rPr>
          <w:rFonts w:ascii="Times New Roman" w:hAnsi="Times New Roman" w:cs="Times New Roman"/>
          <w:bCs/>
          <w:sz w:val="24"/>
          <w:szCs w:val="24"/>
          <w:lang w:val="ro-MD"/>
        </w:rPr>
        <w:tab/>
      </w:r>
      <w:r w:rsidR="003A3F45" w:rsidRPr="0080251F">
        <w:rPr>
          <w:rFonts w:ascii="Times New Roman" w:hAnsi="Times New Roman" w:cs="Times New Roman"/>
          <w:bCs/>
          <w:sz w:val="24"/>
          <w:szCs w:val="24"/>
          <w:lang w:val="ro-MD"/>
        </w:rPr>
        <w:t>C</w:t>
      </w:r>
      <w:r w:rsidR="0024667A" w:rsidRPr="0080251F">
        <w:rPr>
          <w:rFonts w:ascii="Times New Roman" w:hAnsi="Times New Roman" w:cs="Times New Roman"/>
          <w:bCs/>
          <w:sz w:val="24"/>
          <w:szCs w:val="24"/>
          <w:lang w:val="ro-MD"/>
        </w:rPr>
        <w:t>onform prevederilor Clasificatorului ocupațiilor din Republica Moldova (CORM 006-14</w:t>
      </w:r>
      <w:r w:rsidR="0024667A" w:rsidRPr="0080251F">
        <w:rPr>
          <w:vertAlign w:val="superscript"/>
          <w:lang w:val="ro-MD"/>
        </w:rPr>
        <w:footnoteReference w:id="73"/>
      </w:r>
      <w:r w:rsidR="0024667A" w:rsidRPr="0080251F">
        <w:rPr>
          <w:rFonts w:ascii="Times New Roman" w:hAnsi="Times New Roman" w:cs="Times New Roman"/>
          <w:bCs/>
          <w:sz w:val="24"/>
          <w:szCs w:val="24"/>
          <w:lang w:val="ro-MD"/>
        </w:rPr>
        <w:t xml:space="preserve"> și CORM 006-2021</w:t>
      </w:r>
      <w:r w:rsidR="0024667A" w:rsidRPr="0080251F">
        <w:rPr>
          <w:vertAlign w:val="superscript"/>
          <w:lang w:val="ro-MD"/>
        </w:rPr>
        <w:footnoteReference w:id="74"/>
      </w:r>
      <w:r w:rsidR="0024667A" w:rsidRPr="0080251F">
        <w:rPr>
          <w:rFonts w:ascii="Times New Roman" w:hAnsi="Times New Roman" w:cs="Times New Roman"/>
          <w:bCs/>
          <w:sz w:val="24"/>
          <w:szCs w:val="24"/>
          <w:lang w:val="ro-MD"/>
        </w:rPr>
        <w:t xml:space="preserve">) și Anexei nr.4 din </w:t>
      </w:r>
      <w:r w:rsidR="004C62B9" w:rsidRPr="0080251F">
        <w:rPr>
          <w:rFonts w:ascii="Times New Roman" w:hAnsi="Times New Roman" w:cs="Times New Roman"/>
          <w:bCs/>
          <w:sz w:val="24"/>
          <w:szCs w:val="24"/>
          <w:lang w:val="ro-MD"/>
        </w:rPr>
        <w:t>HG</w:t>
      </w:r>
      <w:r w:rsidR="0056735D" w:rsidRPr="0080251F">
        <w:rPr>
          <w:rFonts w:ascii="Times New Roman" w:hAnsi="Times New Roman" w:cs="Times New Roman"/>
          <w:b/>
          <w:bCs/>
          <w:i/>
          <w:sz w:val="24"/>
          <w:szCs w:val="24"/>
          <w:lang w:val="ro-MD"/>
        </w:rPr>
        <w:t xml:space="preserve"> </w:t>
      </w:r>
      <w:r w:rsidR="0024667A" w:rsidRPr="0080251F">
        <w:rPr>
          <w:rFonts w:ascii="Times New Roman" w:hAnsi="Times New Roman" w:cs="Times New Roman"/>
          <w:bCs/>
          <w:sz w:val="24"/>
          <w:szCs w:val="24"/>
          <w:lang w:val="ro-MD"/>
        </w:rPr>
        <w:t>nr.743 din 11.06.2002</w:t>
      </w:r>
      <w:r w:rsidR="0024667A" w:rsidRPr="0080251F">
        <w:rPr>
          <w:vertAlign w:val="superscript"/>
          <w:lang w:val="ro-MD"/>
        </w:rPr>
        <w:footnoteReference w:id="75"/>
      </w:r>
      <w:r w:rsidR="0024667A" w:rsidRPr="0080251F">
        <w:rPr>
          <w:rFonts w:ascii="Times New Roman" w:hAnsi="Times New Roman" w:cs="Times New Roman"/>
          <w:bCs/>
          <w:sz w:val="24"/>
          <w:szCs w:val="24"/>
          <w:lang w:val="ro-MD"/>
        </w:rPr>
        <w:t>, funcția de Consilier al conducătorului, reieșind din atribuțiile de funcție efectiv deținute, urma a fi raportată la categoria de specialist cu studii superioare universitare, iar la stabilirea salariului de bază/tarifar urma a fi aplicat coeficientul de multiplicare în mărime maximă de 4,50</w:t>
      </w:r>
      <w:r w:rsidR="0024667A" w:rsidRPr="0080251F">
        <w:rPr>
          <w:vertAlign w:val="superscript"/>
          <w:lang w:val="ro-MD"/>
        </w:rPr>
        <w:footnoteReference w:id="76"/>
      </w:r>
      <w:r w:rsidR="0024667A" w:rsidRPr="0080251F">
        <w:rPr>
          <w:rFonts w:ascii="Times New Roman" w:hAnsi="Times New Roman" w:cs="Times New Roman"/>
          <w:bCs/>
          <w:sz w:val="24"/>
          <w:szCs w:val="24"/>
          <w:lang w:val="ro-MD"/>
        </w:rPr>
        <w:t xml:space="preserve">. </w:t>
      </w:r>
      <w:r w:rsidR="00A7453A" w:rsidRPr="0080251F">
        <w:rPr>
          <w:rFonts w:ascii="Times New Roman" w:hAnsi="Times New Roman" w:cs="Times New Roman"/>
          <w:bCs/>
          <w:sz w:val="24"/>
          <w:szCs w:val="24"/>
          <w:lang w:val="ro-MD"/>
        </w:rPr>
        <w:t>De</w:t>
      </w:r>
      <w:r w:rsidR="0024667A" w:rsidRPr="0080251F">
        <w:rPr>
          <w:rFonts w:ascii="Times New Roman" w:hAnsi="Times New Roman" w:cs="Times New Roman"/>
          <w:bCs/>
          <w:sz w:val="24"/>
          <w:szCs w:val="24"/>
          <w:lang w:val="ro-MD"/>
        </w:rPr>
        <w:t xml:space="preserve"> exemplu, în raport cu salariul de bază/tarifar stabilit (22</w:t>
      </w:r>
      <w:r w:rsidR="003A3F45" w:rsidRPr="0080251F">
        <w:rPr>
          <w:rFonts w:ascii="Times New Roman" w:hAnsi="Times New Roman" w:cs="Times New Roman"/>
          <w:bCs/>
          <w:sz w:val="24"/>
          <w:szCs w:val="24"/>
          <w:lang w:val="ro-MD"/>
        </w:rPr>
        <w:t>,</w:t>
      </w:r>
      <w:r w:rsidR="00B2797A" w:rsidRPr="0080251F">
        <w:rPr>
          <w:rFonts w:ascii="Times New Roman" w:hAnsi="Times New Roman" w:cs="Times New Roman"/>
          <w:bCs/>
          <w:sz w:val="24"/>
          <w:szCs w:val="24"/>
          <w:lang w:val="ro-MD"/>
        </w:rPr>
        <w:t>0</w:t>
      </w:r>
      <w:r w:rsidR="003A3F45" w:rsidRPr="0080251F">
        <w:rPr>
          <w:rFonts w:ascii="Times New Roman" w:hAnsi="Times New Roman" w:cs="Times New Roman"/>
          <w:bCs/>
          <w:sz w:val="24"/>
          <w:szCs w:val="24"/>
          <w:lang w:val="ro-MD"/>
        </w:rPr>
        <w:t xml:space="preserve"> mii lei</w:t>
      </w:r>
      <w:r w:rsidR="0024667A" w:rsidRPr="0080251F">
        <w:rPr>
          <w:rFonts w:ascii="Times New Roman" w:hAnsi="Times New Roman" w:cs="Times New Roman"/>
          <w:bCs/>
          <w:sz w:val="24"/>
          <w:szCs w:val="24"/>
          <w:lang w:val="ro-MD"/>
        </w:rPr>
        <w:t>), cel efectiv, conform prevederilor legale, urma să constituie pentru anul 2021 suma de 17</w:t>
      </w:r>
      <w:r w:rsidR="003A3F45" w:rsidRPr="0080251F">
        <w:rPr>
          <w:rFonts w:ascii="Times New Roman" w:hAnsi="Times New Roman" w:cs="Times New Roman"/>
          <w:bCs/>
          <w:sz w:val="24"/>
          <w:szCs w:val="24"/>
          <w:lang w:val="ro-MD"/>
        </w:rPr>
        <w:t>,8 mii</w:t>
      </w:r>
      <w:r w:rsidR="0024667A" w:rsidRPr="0080251F">
        <w:rPr>
          <w:rFonts w:ascii="Times New Roman" w:hAnsi="Times New Roman" w:cs="Times New Roman"/>
          <w:bCs/>
          <w:sz w:val="24"/>
          <w:szCs w:val="24"/>
          <w:lang w:val="ro-MD"/>
        </w:rPr>
        <w:t xml:space="preserve"> lei</w:t>
      </w:r>
      <w:r w:rsidR="003A3F45" w:rsidRPr="0080251F">
        <w:rPr>
          <w:rFonts w:ascii="Times New Roman" w:hAnsi="Times New Roman" w:cs="Times New Roman"/>
          <w:bCs/>
          <w:sz w:val="24"/>
          <w:szCs w:val="24"/>
          <w:lang w:val="ro-MD"/>
        </w:rPr>
        <w:t xml:space="preserve"> (2.935,00 x 4,50 x 1,35), sau cu 4,2 mii lei mai puțin.</w:t>
      </w:r>
      <w:r w:rsidR="00290653" w:rsidRPr="0080251F">
        <w:rPr>
          <w:rFonts w:ascii="Times New Roman" w:hAnsi="Times New Roman" w:cs="Times New Roman"/>
          <w:bCs/>
          <w:sz w:val="24"/>
          <w:szCs w:val="24"/>
          <w:lang w:val="ro-MD"/>
        </w:rPr>
        <w:t xml:space="preserve"> </w:t>
      </w:r>
      <w:r w:rsidR="0033039B" w:rsidRPr="0080251F">
        <w:rPr>
          <w:rFonts w:ascii="Times New Roman" w:hAnsi="Times New Roman" w:cs="Times New Roman"/>
          <w:bCs/>
          <w:sz w:val="24"/>
          <w:szCs w:val="24"/>
          <w:lang w:val="ro-MD"/>
        </w:rPr>
        <w:t>Prin urmare, plățile neconforme efectuate de S.A</w:t>
      </w:r>
      <w:r w:rsidR="00B66BEB" w:rsidRPr="0080251F">
        <w:rPr>
          <w:rFonts w:ascii="Times New Roman" w:hAnsi="Times New Roman" w:cs="Times New Roman"/>
          <w:bCs/>
          <w:sz w:val="24"/>
          <w:szCs w:val="24"/>
          <w:lang w:val="ro-MD"/>
        </w:rPr>
        <w:t>.</w:t>
      </w:r>
      <w:r w:rsidR="0033039B" w:rsidRPr="0080251F">
        <w:rPr>
          <w:rFonts w:ascii="Times New Roman" w:hAnsi="Times New Roman" w:cs="Times New Roman"/>
          <w:bCs/>
          <w:sz w:val="24"/>
          <w:szCs w:val="24"/>
          <w:lang w:val="ro-MD"/>
        </w:rPr>
        <w:t xml:space="preserve"> „RED-Nord” în ani</w:t>
      </w:r>
      <w:r w:rsidR="00204FEC" w:rsidRPr="0080251F">
        <w:rPr>
          <w:rFonts w:ascii="Times New Roman" w:hAnsi="Times New Roman" w:cs="Times New Roman"/>
          <w:bCs/>
          <w:sz w:val="24"/>
          <w:szCs w:val="24"/>
          <w:lang w:val="ro-MD"/>
        </w:rPr>
        <w:t>i</w:t>
      </w:r>
      <w:r w:rsidR="0033039B" w:rsidRPr="0080251F">
        <w:rPr>
          <w:rFonts w:ascii="Times New Roman" w:hAnsi="Times New Roman" w:cs="Times New Roman"/>
          <w:bCs/>
          <w:sz w:val="24"/>
          <w:szCs w:val="24"/>
          <w:lang w:val="ro-MD"/>
        </w:rPr>
        <w:t xml:space="preserve"> 2021-2022 </w:t>
      </w:r>
      <w:r w:rsidR="0033039B" w:rsidRPr="0080251F">
        <w:rPr>
          <w:rFonts w:ascii="Times New Roman" w:hAnsi="Times New Roman" w:cs="Times New Roman"/>
          <w:bCs/>
          <w:iCs/>
          <w:sz w:val="24"/>
          <w:szCs w:val="24"/>
          <w:lang w:val="ro-MD"/>
        </w:rPr>
        <w:t>au constituit</w:t>
      </w:r>
      <w:r w:rsidR="0033039B" w:rsidRPr="0080251F">
        <w:rPr>
          <w:rFonts w:ascii="Times New Roman" w:hAnsi="Times New Roman" w:cs="Times New Roman"/>
          <w:b/>
          <w:bCs/>
          <w:iCs/>
          <w:sz w:val="24"/>
          <w:szCs w:val="24"/>
          <w:lang w:val="ro-MD"/>
        </w:rPr>
        <w:t xml:space="preserve"> </w:t>
      </w:r>
      <w:r w:rsidR="0033039B" w:rsidRPr="0080251F">
        <w:rPr>
          <w:rFonts w:ascii="Times New Roman" w:hAnsi="Times New Roman" w:cs="Times New Roman"/>
          <w:bCs/>
          <w:iCs/>
          <w:sz w:val="24"/>
          <w:szCs w:val="24"/>
          <w:lang w:val="ro-MD"/>
        </w:rPr>
        <w:t>circa</w:t>
      </w:r>
      <w:r w:rsidR="0033039B" w:rsidRPr="0080251F">
        <w:rPr>
          <w:rFonts w:ascii="Times New Roman" w:hAnsi="Times New Roman" w:cs="Times New Roman"/>
          <w:bCs/>
          <w:iCs/>
          <w:sz w:val="24"/>
          <w:szCs w:val="24"/>
          <w:vertAlign w:val="superscript"/>
          <w:lang w:val="ro-MD"/>
        </w:rPr>
        <w:footnoteReference w:id="77"/>
      </w:r>
      <w:r w:rsidR="0033039B" w:rsidRPr="0080251F">
        <w:rPr>
          <w:rFonts w:ascii="Times New Roman" w:hAnsi="Times New Roman" w:cs="Times New Roman"/>
          <w:b/>
          <w:bCs/>
          <w:iCs/>
          <w:sz w:val="24"/>
          <w:szCs w:val="24"/>
          <w:lang w:val="ro-MD"/>
        </w:rPr>
        <w:t xml:space="preserve"> 226,7 mii lei</w:t>
      </w:r>
      <w:r w:rsidR="0033039B" w:rsidRPr="0080251F">
        <w:rPr>
          <w:rFonts w:ascii="Times New Roman" w:hAnsi="Times New Roman" w:cs="Times New Roman"/>
          <w:bCs/>
          <w:iCs/>
          <w:sz w:val="24"/>
          <w:szCs w:val="24"/>
          <w:vertAlign w:val="superscript"/>
          <w:lang w:val="ro-MD"/>
        </w:rPr>
        <w:footnoteReference w:id="78"/>
      </w:r>
      <w:r w:rsidR="0033039B" w:rsidRPr="0080251F">
        <w:rPr>
          <w:rFonts w:ascii="Times New Roman" w:hAnsi="Times New Roman" w:cs="Times New Roman"/>
          <w:bCs/>
          <w:iCs/>
          <w:sz w:val="24"/>
          <w:szCs w:val="24"/>
          <w:lang w:val="ro-MD"/>
        </w:rPr>
        <w:t>.</w:t>
      </w:r>
    </w:p>
    <w:p w14:paraId="30ACF0F0" w14:textId="1CA3B822" w:rsidR="00290653" w:rsidRPr="0080251F" w:rsidRDefault="00290653" w:rsidP="00290653">
      <w:pPr>
        <w:pStyle w:val="a6"/>
        <w:spacing w:after="0" w:line="276" w:lineRule="auto"/>
        <w:ind w:left="0"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Atribuțiile generale ale funcției, conform fișei postului, sunt: organizarea și supravegherea îndeplinirii planului privind protecția civilă și situații</w:t>
      </w:r>
      <w:r w:rsidR="00204FEC" w:rsidRPr="0080251F">
        <w:rPr>
          <w:rFonts w:ascii="Times New Roman" w:hAnsi="Times New Roman" w:cs="Times New Roman"/>
          <w:bCs/>
          <w:sz w:val="24"/>
          <w:szCs w:val="24"/>
          <w:lang w:val="ro-MD"/>
        </w:rPr>
        <w:t>le</w:t>
      </w:r>
      <w:r w:rsidRPr="0080251F">
        <w:rPr>
          <w:rFonts w:ascii="Times New Roman" w:hAnsi="Times New Roman" w:cs="Times New Roman"/>
          <w:bCs/>
          <w:sz w:val="24"/>
          <w:szCs w:val="24"/>
          <w:lang w:val="ro-MD"/>
        </w:rPr>
        <w:t xml:space="preserve"> excepționale; monitorizarea activității de prevenire și intervenție în situații de urgență; prezentarea informațiilor și rapoartelor cu privire la realizarea măsurilor de protecție civilă și apărare împotriva incendiilor; verificarea executării serviciului pază la întreprindere; consilierea în situații excepționale și de urgență a directorului general și a conducătorilor de servicii și oficii.</w:t>
      </w:r>
    </w:p>
    <w:p w14:paraId="182182DA" w14:textId="00CD41EF" w:rsidR="001713BF" w:rsidRPr="0080251F" w:rsidRDefault="001713BF" w:rsidP="001713BF">
      <w:pPr>
        <w:pStyle w:val="a6"/>
        <w:spacing w:after="0" w:line="276" w:lineRule="auto"/>
        <w:ind w:left="0" w:firstLine="709"/>
        <w:jc w:val="both"/>
        <w:rPr>
          <w:rFonts w:ascii="Times New Roman" w:hAnsi="Times New Roman" w:cs="Times New Roman"/>
          <w:bCs/>
          <w:iCs/>
          <w:sz w:val="24"/>
          <w:szCs w:val="24"/>
          <w:lang w:val="ro-MD"/>
        </w:rPr>
      </w:pPr>
      <w:r w:rsidRPr="0080251F">
        <w:rPr>
          <w:rFonts w:ascii="Times New Roman" w:hAnsi="Times New Roman" w:cs="Times New Roman"/>
          <w:bCs/>
          <w:iCs/>
          <w:sz w:val="24"/>
          <w:szCs w:val="24"/>
          <w:lang w:val="ro-MD"/>
        </w:rPr>
        <w:t>De asemenea, neregulamentar a fost aplicat coeficientul de multiplicare în mărime de 7,386 și în cazul Directorului tehnic, care, conform</w:t>
      </w:r>
      <w:r w:rsidR="00866E9D" w:rsidRPr="0080251F">
        <w:rPr>
          <w:rFonts w:ascii="Times New Roman" w:hAnsi="Times New Roman" w:cs="Times New Roman"/>
          <w:bCs/>
          <w:iCs/>
          <w:sz w:val="24"/>
          <w:szCs w:val="24"/>
          <w:lang w:val="ro-MD"/>
        </w:rPr>
        <w:t xml:space="preserve"> prevederilor Anexei nr.4 din HG</w:t>
      </w:r>
      <w:r w:rsidRPr="0080251F">
        <w:rPr>
          <w:rFonts w:ascii="Times New Roman" w:hAnsi="Times New Roman" w:cs="Times New Roman"/>
          <w:b/>
          <w:bCs/>
          <w:i/>
          <w:iCs/>
          <w:sz w:val="24"/>
          <w:szCs w:val="24"/>
          <w:lang w:val="ro-MD"/>
        </w:rPr>
        <w:t xml:space="preserve"> </w:t>
      </w:r>
      <w:r w:rsidRPr="0080251F">
        <w:rPr>
          <w:rFonts w:ascii="Times New Roman" w:hAnsi="Times New Roman" w:cs="Times New Roman"/>
          <w:bCs/>
          <w:iCs/>
          <w:sz w:val="24"/>
          <w:szCs w:val="24"/>
          <w:lang w:val="ro-MD"/>
        </w:rPr>
        <w:t>nr.743 din 11.06.2002</w:t>
      </w:r>
      <w:r w:rsidRPr="0080251F">
        <w:rPr>
          <w:rFonts w:ascii="Times New Roman" w:hAnsi="Times New Roman" w:cs="Times New Roman"/>
          <w:bCs/>
          <w:iCs/>
          <w:sz w:val="24"/>
          <w:szCs w:val="24"/>
          <w:vertAlign w:val="superscript"/>
          <w:lang w:val="ro-MD"/>
        </w:rPr>
        <w:footnoteReference w:id="79"/>
      </w:r>
      <w:r w:rsidRPr="0080251F">
        <w:rPr>
          <w:rFonts w:ascii="Times New Roman" w:hAnsi="Times New Roman" w:cs="Times New Roman"/>
          <w:bCs/>
          <w:iCs/>
          <w:sz w:val="24"/>
          <w:szCs w:val="24"/>
          <w:lang w:val="ro-MD"/>
        </w:rPr>
        <w:t xml:space="preserve">, </w:t>
      </w:r>
      <w:r w:rsidR="0035540B" w:rsidRPr="0080251F">
        <w:rPr>
          <w:rFonts w:ascii="Times New Roman" w:hAnsi="Times New Roman" w:cs="Times New Roman"/>
          <w:bCs/>
          <w:iCs/>
          <w:sz w:val="24"/>
          <w:szCs w:val="24"/>
          <w:lang w:val="ro-MD"/>
        </w:rPr>
        <w:t>urma a</w:t>
      </w:r>
      <w:r w:rsidRPr="0080251F">
        <w:rPr>
          <w:rFonts w:ascii="Times New Roman" w:hAnsi="Times New Roman" w:cs="Times New Roman"/>
          <w:bCs/>
          <w:iCs/>
          <w:sz w:val="24"/>
          <w:szCs w:val="24"/>
          <w:lang w:val="ro-MD"/>
        </w:rPr>
        <w:t xml:space="preserve"> fi aplicat pentru categoria respectivă de angajat în mărime maximă a diapazonului de până la 7,00</w:t>
      </w:r>
      <w:r w:rsidRPr="0080251F">
        <w:rPr>
          <w:rFonts w:ascii="Times New Roman" w:hAnsi="Times New Roman" w:cs="Times New Roman"/>
          <w:bCs/>
          <w:iCs/>
          <w:sz w:val="24"/>
          <w:szCs w:val="24"/>
          <w:vertAlign w:val="superscript"/>
          <w:lang w:val="ro-MD"/>
        </w:rPr>
        <w:footnoteReference w:id="80"/>
      </w:r>
      <w:r w:rsidRPr="0080251F">
        <w:rPr>
          <w:rFonts w:ascii="Times New Roman" w:hAnsi="Times New Roman" w:cs="Times New Roman"/>
          <w:bCs/>
          <w:iCs/>
          <w:sz w:val="24"/>
          <w:szCs w:val="24"/>
          <w:lang w:val="ro-MD"/>
        </w:rPr>
        <w:t xml:space="preserve">. </w:t>
      </w:r>
      <w:r w:rsidR="00204FEC" w:rsidRPr="0080251F">
        <w:rPr>
          <w:rFonts w:ascii="Times New Roman" w:hAnsi="Times New Roman" w:cs="Times New Roman"/>
          <w:bCs/>
          <w:iCs/>
          <w:sz w:val="24"/>
          <w:szCs w:val="24"/>
          <w:lang w:val="ro-MD"/>
        </w:rPr>
        <w:t>De</w:t>
      </w:r>
      <w:r w:rsidRPr="0080251F">
        <w:rPr>
          <w:rFonts w:ascii="Times New Roman" w:hAnsi="Times New Roman" w:cs="Times New Roman"/>
          <w:bCs/>
          <w:iCs/>
          <w:sz w:val="24"/>
          <w:szCs w:val="24"/>
          <w:lang w:val="ro-MD"/>
        </w:rPr>
        <w:t xml:space="preserve"> exemplu, în raport cu salariul de bază/tarifar stabilit (29</w:t>
      </w:r>
      <w:r w:rsidR="00B2797A" w:rsidRPr="0080251F">
        <w:rPr>
          <w:rFonts w:ascii="Times New Roman" w:hAnsi="Times New Roman" w:cs="Times New Roman"/>
          <w:bCs/>
          <w:iCs/>
          <w:sz w:val="24"/>
          <w:szCs w:val="24"/>
          <w:lang w:val="ro-MD"/>
        </w:rPr>
        <w:t>,2 mii</w:t>
      </w:r>
      <w:r w:rsidRPr="0080251F">
        <w:rPr>
          <w:rFonts w:ascii="Times New Roman" w:hAnsi="Times New Roman" w:cs="Times New Roman"/>
          <w:bCs/>
          <w:iCs/>
          <w:sz w:val="24"/>
          <w:szCs w:val="24"/>
          <w:lang w:val="ro-MD"/>
        </w:rPr>
        <w:t xml:space="preserve"> lei), cel </w:t>
      </w:r>
      <w:r w:rsidR="0035540B" w:rsidRPr="0080251F">
        <w:rPr>
          <w:rFonts w:ascii="Times New Roman" w:hAnsi="Times New Roman" w:cs="Times New Roman"/>
          <w:bCs/>
          <w:iCs/>
          <w:sz w:val="24"/>
          <w:szCs w:val="24"/>
          <w:lang w:val="ro-MD"/>
        </w:rPr>
        <w:t>regulamentar</w:t>
      </w:r>
      <w:r w:rsidRPr="0080251F">
        <w:rPr>
          <w:rFonts w:ascii="Times New Roman" w:hAnsi="Times New Roman" w:cs="Times New Roman"/>
          <w:bCs/>
          <w:iCs/>
          <w:sz w:val="24"/>
          <w:szCs w:val="24"/>
          <w:lang w:val="ro-MD"/>
        </w:rPr>
        <w:t>, conform prevederilor legale, urma să constituie pentru anul 2021 suma de 27,7 mii lei (2.935,00 x 7,00 x 1,35)</w:t>
      </w:r>
      <w:r w:rsidR="00204FEC" w:rsidRPr="0080251F">
        <w:rPr>
          <w:rFonts w:ascii="Times New Roman" w:hAnsi="Times New Roman" w:cs="Times New Roman"/>
          <w:bCs/>
          <w:iCs/>
          <w:sz w:val="24"/>
          <w:szCs w:val="24"/>
          <w:lang w:val="ro-MD"/>
        </w:rPr>
        <w:t>,</w:t>
      </w:r>
      <w:r w:rsidRPr="0080251F">
        <w:rPr>
          <w:rFonts w:ascii="Times New Roman" w:hAnsi="Times New Roman" w:cs="Times New Roman"/>
          <w:bCs/>
          <w:iCs/>
          <w:sz w:val="24"/>
          <w:szCs w:val="24"/>
          <w:lang w:val="ro-MD"/>
        </w:rPr>
        <w:t xml:space="preserve"> sau cu </w:t>
      </w:r>
      <w:r w:rsidR="00B2797A" w:rsidRPr="0080251F">
        <w:rPr>
          <w:rFonts w:ascii="Times New Roman" w:hAnsi="Times New Roman" w:cs="Times New Roman"/>
          <w:bCs/>
          <w:iCs/>
          <w:sz w:val="24"/>
          <w:szCs w:val="24"/>
          <w:lang w:val="ro-MD"/>
        </w:rPr>
        <w:t>1,5</w:t>
      </w:r>
      <w:r w:rsidRPr="0080251F">
        <w:rPr>
          <w:rFonts w:ascii="Times New Roman" w:hAnsi="Times New Roman" w:cs="Times New Roman"/>
          <w:bCs/>
          <w:iCs/>
          <w:sz w:val="24"/>
          <w:szCs w:val="24"/>
          <w:lang w:val="ro-MD"/>
        </w:rPr>
        <w:t xml:space="preserve"> mii lei mai puțin. În acest context</w:t>
      </w:r>
      <w:r w:rsidR="007B5112" w:rsidRPr="0080251F">
        <w:rPr>
          <w:rFonts w:ascii="Times New Roman" w:hAnsi="Times New Roman" w:cs="Times New Roman"/>
          <w:bCs/>
          <w:iCs/>
          <w:sz w:val="24"/>
          <w:szCs w:val="24"/>
          <w:lang w:val="ro-MD"/>
        </w:rPr>
        <w:t>,</w:t>
      </w:r>
      <w:r w:rsidRPr="0080251F">
        <w:rPr>
          <w:rFonts w:ascii="Times New Roman" w:hAnsi="Times New Roman" w:cs="Times New Roman"/>
          <w:bCs/>
          <w:iCs/>
          <w:sz w:val="24"/>
          <w:szCs w:val="24"/>
          <w:lang w:val="ro-MD"/>
        </w:rPr>
        <w:t xml:space="preserve"> se menționează că reglementarea coeficienților de multiplicitate recomandați prin </w:t>
      </w:r>
      <w:r w:rsidR="004D5B00" w:rsidRPr="0080251F">
        <w:rPr>
          <w:rFonts w:ascii="Times New Roman" w:hAnsi="Times New Roman" w:cs="Times New Roman"/>
          <w:bCs/>
          <w:iCs/>
          <w:sz w:val="24"/>
          <w:szCs w:val="24"/>
          <w:lang w:val="ro-MD"/>
        </w:rPr>
        <w:t xml:space="preserve">Anexa nr.4 din </w:t>
      </w:r>
      <w:r w:rsidRPr="0080251F">
        <w:rPr>
          <w:rFonts w:ascii="Times New Roman" w:hAnsi="Times New Roman" w:cs="Times New Roman"/>
          <w:bCs/>
          <w:iCs/>
          <w:sz w:val="24"/>
          <w:szCs w:val="24"/>
          <w:lang w:val="ro-MD"/>
        </w:rPr>
        <w:t xml:space="preserve">HG nr.743 din 11.06.2002 pentru stabilirea salariilor de funcție ale personalului încadrat nu prezumă depășirea coeficientului maxim din diapazonul coeficienților stabiliți pentru anumite categorii de angajați – </w:t>
      </w:r>
      <w:r w:rsidR="007B5112" w:rsidRPr="0080251F">
        <w:rPr>
          <w:rFonts w:ascii="Times New Roman" w:hAnsi="Times New Roman" w:cs="Times New Roman"/>
          <w:bCs/>
          <w:iCs/>
          <w:sz w:val="24"/>
          <w:szCs w:val="24"/>
          <w:lang w:val="ro-MD"/>
        </w:rPr>
        <w:t>de</w:t>
      </w:r>
      <w:r w:rsidRPr="0080251F">
        <w:rPr>
          <w:rFonts w:ascii="Times New Roman" w:hAnsi="Times New Roman" w:cs="Times New Roman"/>
          <w:bCs/>
          <w:iCs/>
          <w:sz w:val="24"/>
          <w:szCs w:val="24"/>
          <w:lang w:val="ro-MD"/>
        </w:rPr>
        <w:t xml:space="preserve"> exemplu, pentru specialiști șefi (care au în subordine personal), directori de subdiviziuni și filiale, adjuncți ai conducătorului de unitate diapazonul coeficienților este 3,00 – 7,00. Prin urmare, la stabilirea salariilor de funcție pentru personalul încadrat, entitatea urma să asigure păstrarea ierarhiei categoriilor de angajați și a diapazonului coeficienților de multiplicare propriu pentru fiecare categorie de angajați. Deși, potrivit prevederilor pct.3 din HG</w:t>
      </w:r>
      <w:r w:rsidRPr="0080251F">
        <w:rPr>
          <w:rFonts w:ascii="Times New Roman" w:hAnsi="Times New Roman" w:cs="Times New Roman"/>
          <w:b/>
          <w:bCs/>
          <w:i/>
          <w:iCs/>
          <w:sz w:val="24"/>
          <w:szCs w:val="24"/>
          <w:lang w:val="ro-MD"/>
        </w:rPr>
        <w:t xml:space="preserve"> </w:t>
      </w:r>
      <w:r w:rsidRPr="0080251F">
        <w:rPr>
          <w:rFonts w:ascii="Times New Roman" w:hAnsi="Times New Roman" w:cs="Times New Roman"/>
          <w:bCs/>
          <w:iCs/>
          <w:sz w:val="24"/>
          <w:szCs w:val="24"/>
          <w:lang w:val="ro-MD"/>
        </w:rPr>
        <w:t>nr.743 din 11.06.2002, evaluarea complexității lucrărilor executate și a performanțelor individuale pentru stabilirea salariului de funcție în raport proporțional cu cuantumul minim garantat al salariului în sectorul real sau al salariului tarifar pentru categoria I de calificare stabilit la unitate se efectuează de către angajator, S.A. „RED-Nord” nu a avut elaborate/documentate criterii prin care s-ar justifica majorarea coeficientului de multiplicare peste limita diapazonului reglementat pentru unele fu</w:t>
      </w:r>
      <w:r w:rsidR="00EB6BB2" w:rsidRPr="0080251F">
        <w:rPr>
          <w:rFonts w:ascii="Times New Roman" w:hAnsi="Times New Roman" w:cs="Times New Roman"/>
          <w:bCs/>
          <w:iCs/>
          <w:sz w:val="24"/>
          <w:szCs w:val="24"/>
          <w:lang w:val="ro-MD"/>
        </w:rPr>
        <w:t>ncții din cadrul întreprinderii</w:t>
      </w:r>
      <w:r w:rsidRPr="0080251F">
        <w:rPr>
          <w:rFonts w:ascii="Times New Roman" w:hAnsi="Times New Roman" w:cs="Times New Roman"/>
          <w:bCs/>
          <w:iCs/>
          <w:sz w:val="24"/>
          <w:szCs w:val="24"/>
          <w:lang w:val="ro-MD"/>
        </w:rPr>
        <w:t>.</w:t>
      </w:r>
    </w:p>
    <w:p w14:paraId="7E4F7015" w14:textId="556D3B90" w:rsidR="00877C86" w:rsidRPr="0080251F" w:rsidRDefault="00877C86" w:rsidP="00877C86">
      <w:pPr>
        <w:pStyle w:val="a6"/>
        <w:spacing w:line="276" w:lineRule="auto"/>
        <w:ind w:left="0" w:firstLine="709"/>
        <w:jc w:val="both"/>
        <w:rPr>
          <w:rFonts w:ascii="Times New Roman" w:hAnsi="Times New Roman" w:cs="Times New Roman"/>
          <w:bCs/>
          <w:iCs/>
          <w:sz w:val="24"/>
          <w:szCs w:val="24"/>
          <w:lang w:val="ro-MD"/>
        </w:rPr>
      </w:pPr>
      <w:r w:rsidRPr="0080251F">
        <w:rPr>
          <w:rFonts w:ascii="Times New Roman" w:hAnsi="Times New Roman" w:cs="Times New Roman"/>
          <w:bCs/>
          <w:iCs/>
          <w:sz w:val="24"/>
          <w:szCs w:val="24"/>
          <w:lang w:val="ro-MD"/>
        </w:rPr>
        <w:t>Astfel, plățile neconforme pentru ani</w:t>
      </w:r>
      <w:r w:rsidR="007B5112" w:rsidRPr="0080251F">
        <w:rPr>
          <w:rFonts w:ascii="Times New Roman" w:hAnsi="Times New Roman" w:cs="Times New Roman"/>
          <w:bCs/>
          <w:iCs/>
          <w:sz w:val="24"/>
          <w:szCs w:val="24"/>
          <w:lang w:val="ro-MD"/>
        </w:rPr>
        <w:t>i</w:t>
      </w:r>
      <w:r w:rsidRPr="0080251F">
        <w:rPr>
          <w:rFonts w:ascii="Times New Roman" w:hAnsi="Times New Roman" w:cs="Times New Roman"/>
          <w:bCs/>
          <w:iCs/>
          <w:sz w:val="24"/>
          <w:szCs w:val="24"/>
          <w:lang w:val="ro-MD"/>
        </w:rPr>
        <w:t xml:space="preserve"> 2021-2022 au constituit</w:t>
      </w:r>
      <w:r w:rsidRPr="0080251F">
        <w:rPr>
          <w:rFonts w:ascii="Times New Roman" w:hAnsi="Times New Roman" w:cs="Times New Roman"/>
          <w:b/>
          <w:bCs/>
          <w:iCs/>
          <w:sz w:val="24"/>
          <w:szCs w:val="24"/>
          <w:lang w:val="ro-MD"/>
        </w:rPr>
        <w:t xml:space="preserve"> </w:t>
      </w:r>
      <w:r w:rsidRPr="0080251F">
        <w:rPr>
          <w:rFonts w:ascii="Times New Roman" w:hAnsi="Times New Roman" w:cs="Times New Roman"/>
          <w:bCs/>
          <w:iCs/>
          <w:sz w:val="24"/>
          <w:szCs w:val="24"/>
          <w:lang w:val="ro-MD"/>
        </w:rPr>
        <w:t>circa</w:t>
      </w:r>
      <w:r w:rsidRPr="0080251F">
        <w:rPr>
          <w:rFonts w:ascii="Times New Roman" w:hAnsi="Times New Roman" w:cs="Times New Roman"/>
          <w:bCs/>
          <w:iCs/>
          <w:sz w:val="24"/>
          <w:szCs w:val="24"/>
          <w:vertAlign w:val="superscript"/>
          <w:lang w:val="ro-MD"/>
        </w:rPr>
        <w:footnoteReference w:id="81"/>
      </w:r>
      <w:r w:rsidRPr="0080251F">
        <w:rPr>
          <w:rFonts w:ascii="Times New Roman" w:hAnsi="Times New Roman" w:cs="Times New Roman"/>
          <w:b/>
          <w:bCs/>
          <w:iCs/>
          <w:sz w:val="24"/>
          <w:szCs w:val="24"/>
          <w:lang w:val="ro-MD"/>
        </w:rPr>
        <w:t xml:space="preserve"> 282,4 mii lei</w:t>
      </w:r>
      <w:r w:rsidRPr="0080251F">
        <w:rPr>
          <w:rFonts w:ascii="Times New Roman" w:hAnsi="Times New Roman" w:cs="Times New Roman"/>
          <w:bCs/>
          <w:iCs/>
          <w:sz w:val="24"/>
          <w:szCs w:val="24"/>
          <w:vertAlign w:val="superscript"/>
          <w:lang w:val="ro-MD"/>
        </w:rPr>
        <w:footnoteReference w:id="82"/>
      </w:r>
      <w:r w:rsidRPr="0080251F">
        <w:rPr>
          <w:rFonts w:ascii="Times New Roman" w:hAnsi="Times New Roman" w:cs="Times New Roman"/>
          <w:bCs/>
          <w:iCs/>
          <w:sz w:val="24"/>
          <w:szCs w:val="24"/>
          <w:lang w:val="ro-MD"/>
        </w:rPr>
        <w:t xml:space="preserve">. </w:t>
      </w:r>
    </w:p>
    <w:p w14:paraId="20BBC0F0" w14:textId="527E9D34" w:rsidR="00877C86" w:rsidRPr="0080251F" w:rsidRDefault="007B5112" w:rsidP="00946792">
      <w:pPr>
        <w:pStyle w:val="a6"/>
        <w:spacing w:after="0" w:line="276" w:lineRule="auto"/>
        <w:ind w:left="0" w:firstLine="709"/>
        <w:jc w:val="both"/>
        <w:rPr>
          <w:rFonts w:ascii="Times New Roman" w:hAnsi="Times New Roman" w:cs="Times New Roman"/>
          <w:bCs/>
          <w:iCs/>
          <w:sz w:val="24"/>
          <w:szCs w:val="24"/>
          <w:lang w:val="ro-MD"/>
        </w:rPr>
      </w:pPr>
      <w:r w:rsidRPr="0080251F">
        <w:rPr>
          <w:rFonts w:ascii="Times New Roman" w:hAnsi="Times New Roman" w:cs="Times New Roman"/>
          <w:bCs/>
          <w:iCs/>
          <w:sz w:val="24"/>
          <w:szCs w:val="24"/>
          <w:lang w:val="ro-MD"/>
        </w:rPr>
        <w:t>O s</w:t>
      </w:r>
      <w:r w:rsidR="00877C86" w:rsidRPr="0080251F">
        <w:rPr>
          <w:rFonts w:ascii="Times New Roman" w:hAnsi="Times New Roman" w:cs="Times New Roman"/>
          <w:bCs/>
          <w:iCs/>
          <w:sz w:val="24"/>
          <w:szCs w:val="24"/>
          <w:lang w:val="ro-MD"/>
        </w:rPr>
        <w:t xml:space="preserve">ituație analogică s-a constatat și la stabilirea salariului de funcție pentru inginerul electrician coordonator (coeficientul efectiv aplicat 4,878 - coeficientul maxim din diapazonul reglementat 4,50), jurisconsultul coordonator și inginerul coordonator la transporturi (coeficientul efectiv 4,732 - coeficientul maxim 4,50) și funcționarul informații clienți (coeficientul efectiv  2,496 - coeficientul maxim 2,00). Prin urmare, plățile neconforme au constituit </w:t>
      </w:r>
      <w:r w:rsidRPr="0080251F">
        <w:rPr>
          <w:rFonts w:ascii="Times New Roman" w:hAnsi="Times New Roman" w:cs="Times New Roman"/>
          <w:bCs/>
          <w:iCs/>
          <w:sz w:val="24"/>
          <w:szCs w:val="24"/>
          <w:lang w:val="ro-MD"/>
        </w:rPr>
        <w:t>în</w:t>
      </w:r>
      <w:r w:rsidR="00877C86" w:rsidRPr="0080251F">
        <w:rPr>
          <w:rFonts w:ascii="Times New Roman" w:hAnsi="Times New Roman" w:cs="Times New Roman"/>
          <w:bCs/>
          <w:iCs/>
          <w:sz w:val="24"/>
          <w:szCs w:val="24"/>
          <w:lang w:val="ro-MD"/>
        </w:rPr>
        <w:t xml:space="preserve"> ani</w:t>
      </w:r>
      <w:r w:rsidRPr="0080251F">
        <w:rPr>
          <w:rFonts w:ascii="Times New Roman" w:hAnsi="Times New Roman" w:cs="Times New Roman"/>
          <w:bCs/>
          <w:iCs/>
          <w:sz w:val="24"/>
          <w:szCs w:val="24"/>
          <w:lang w:val="ro-MD"/>
        </w:rPr>
        <w:t xml:space="preserve">i </w:t>
      </w:r>
      <w:r w:rsidR="00877C86" w:rsidRPr="0080251F">
        <w:rPr>
          <w:rFonts w:ascii="Times New Roman" w:hAnsi="Times New Roman" w:cs="Times New Roman"/>
          <w:bCs/>
          <w:iCs/>
          <w:sz w:val="24"/>
          <w:szCs w:val="24"/>
          <w:lang w:val="ro-MD"/>
        </w:rPr>
        <w:t xml:space="preserve">2021-2022: pentru inginerul electrician coordonator – circa </w:t>
      </w:r>
      <w:r w:rsidR="00877C86" w:rsidRPr="0080251F">
        <w:rPr>
          <w:rFonts w:ascii="Times New Roman" w:hAnsi="Times New Roman" w:cs="Times New Roman"/>
          <w:b/>
          <w:bCs/>
          <w:iCs/>
          <w:sz w:val="24"/>
          <w:szCs w:val="24"/>
          <w:lang w:val="ro-MD"/>
        </w:rPr>
        <w:t>232,9 mii lei</w:t>
      </w:r>
      <w:r w:rsidR="00877C86" w:rsidRPr="0080251F">
        <w:rPr>
          <w:rFonts w:ascii="Times New Roman" w:hAnsi="Times New Roman" w:cs="Times New Roman"/>
          <w:bCs/>
          <w:iCs/>
          <w:sz w:val="24"/>
          <w:szCs w:val="24"/>
          <w:vertAlign w:val="superscript"/>
          <w:lang w:val="ro-MD"/>
        </w:rPr>
        <w:footnoteReference w:id="83"/>
      </w:r>
      <w:r w:rsidR="00877C86" w:rsidRPr="0080251F">
        <w:rPr>
          <w:rFonts w:ascii="Times New Roman" w:hAnsi="Times New Roman" w:cs="Times New Roman"/>
          <w:bCs/>
          <w:iCs/>
          <w:sz w:val="24"/>
          <w:szCs w:val="24"/>
          <w:lang w:val="ro-MD"/>
        </w:rPr>
        <w:t xml:space="preserve">; pentru jurisconsultul coordonator – circa </w:t>
      </w:r>
      <w:r w:rsidR="00877C86" w:rsidRPr="0080251F">
        <w:rPr>
          <w:rFonts w:ascii="Times New Roman" w:hAnsi="Times New Roman" w:cs="Times New Roman"/>
          <w:b/>
          <w:bCs/>
          <w:iCs/>
          <w:sz w:val="24"/>
          <w:szCs w:val="24"/>
          <w:lang w:val="ro-MD"/>
        </w:rPr>
        <w:t>100,5 mii lei</w:t>
      </w:r>
      <w:r w:rsidR="00877C86" w:rsidRPr="0080251F">
        <w:rPr>
          <w:rFonts w:ascii="Times New Roman" w:hAnsi="Times New Roman" w:cs="Times New Roman"/>
          <w:bCs/>
          <w:iCs/>
          <w:sz w:val="24"/>
          <w:szCs w:val="24"/>
          <w:vertAlign w:val="superscript"/>
          <w:lang w:val="ro-MD"/>
        </w:rPr>
        <w:footnoteReference w:id="84"/>
      </w:r>
      <w:r w:rsidR="00877C86" w:rsidRPr="0080251F">
        <w:rPr>
          <w:rFonts w:ascii="Times New Roman" w:hAnsi="Times New Roman" w:cs="Times New Roman"/>
          <w:bCs/>
          <w:iCs/>
          <w:sz w:val="24"/>
          <w:szCs w:val="24"/>
          <w:lang w:val="ro-MD"/>
        </w:rPr>
        <w:t xml:space="preserve">; pentru inginerul coordonator la transporturi – circa </w:t>
      </w:r>
      <w:r w:rsidR="00877C86" w:rsidRPr="0080251F">
        <w:rPr>
          <w:rFonts w:ascii="Times New Roman" w:hAnsi="Times New Roman" w:cs="Times New Roman"/>
          <w:b/>
          <w:bCs/>
          <w:iCs/>
          <w:sz w:val="24"/>
          <w:szCs w:val="24"/>
          <w:lang w:val="ro-MD"/>
        </w:rPr>
        <w:t>108,7 mii lei</w:t>
      </w:r>
      <w:r w:rsidR="00877C86" w:rsidRPr="0080251F">
        <w:rPr>
          <w:rFonts w:ascii="Times New Roman" w:hAnsi="Times New Roman" w:cs="Times New Roman"/>
          <w:bCs/>
          <w:iCs/>
          <w:sz w:val="24"/>
          <w:szCs w:val="24"/>
          <w:vertAlign w:val="superscript"/>
          <w:lang w:val="ro-MD"/>
        </w:rPr>
        <w:footnoteReference w:id="85"/>
      </w:r>
      <w:r w:rsidR="00877C86" w:rsidRPr="0080251F">
        <w:rPr>
          <w:rFonts w:ascii="Times New Roman" w:hAnsi="Times New Roman" w:cs="Times New Roman"/>
          <w:bCs/>
          <w:iCs/>
          <w:sz w:val="24"/>
          <w:szCs w:val="24"/>
          <w:lang w:val="ro-MD"/>
        </w:rPr>
        <w:t xml:space="preserve">; pentru funcționarul informații clienți – circa </w:t>
      </w:r>
      <w:r w:rsidR="00877C86" w:rsidRPr="0080251F">
        <w:rPr>
          <w:rFonts w:ascii="Times New Roman" w:hAnsi="Times New Roman" w:cs="Times New Roman"/>
          <w:b/>
          <w:bCs/>
          <w:iCs/>
          <w:sz w:val="24"/>
          <w:szCs w:val="24"/>
          <w:lang w:val="ro-MD"/>
        </w:rPr>
        <w:t>48,9 mii lei</w:t>
      </w:r>
      <w:r w:rsidR="00877C86" w:rsidRPr="0080251F">
        <w:rPr>
          <w:rFonts w:ascii="Times New Roman" w:hAnsi="Times New Roman" w:cs="Times New Roman"/>
          <w:bCs/>
          <w:iCs/>
          <w:sz w:val="24"/>
          <w:szCs w:val="24"/>
          <w:vertAlign w:val="superscript"/>
          <w:lang w:val="ro-MD"/>
        </w:rPr>
        <w:footnoteReference w:id="86"/>
      </w:r>
      <w:r w:rsidR="00877C86" w:rsidRPr="0080251F">
        <w:rPr>
          <w:rFonts w:ascii="Times New Roman" w:hAnsi="Times New Roman" w:cs="Times New Roman"/>
          <w:bCs/>
          <w:iCs/>
          <w:sz w:val="24"/>
          <w:szCs w:val="24"/>
          <w:lang w:val="ro-MD"/>
        </w:rPr>
        <w:t>.</w:t>
      </w:r>
    </w:p>
    <w:p w14:paraId="6D76C5C5" w14:textId="5E61B393" w:rsidR="00200BFE" w:rsidRPr="0080251F" w:rsidRDefault="00A544D3" w:rsidP="00200BFE">
      <w:pPr>
        <w:pStyle w:val="a6"/>
        <w:tabs>
          <w:tab w:val="left" w:pos="709"/>
        </w:tabs>
        <w:spacing w:after="0" w:line="276" w:lineRule="auto"/>
        <w:ind w:left="0" w:firstLine="709"/>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bCs/>
          <w:sz w:val="24"/>
          <w:szCs w:val="24"/>
          <w:lang w:val="ro-MD" w:eastAsia="ru-RU"/>
        </w:rPr>
        <w:t>Menționăm că pe parcursul misiunii de audit S</w:t>
      </w:r>
      <w:r w:rsidR="00200BFE"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A</w:t>
      </w:r>
      <w:r w:rsidR="00200BFE"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 xml:space="preserve"> </w:t>
      </w:r>
      <w:r w:rsidR="00200BFE"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RED-Nord</w:t>
      </w:r>
      <w:r w:rsidR="00200BFE" w:rsidRPr="0080251F">
        <w:rPr>
          <w:rFonts w:ascii="Times New Roman" w:eastAsia="Times New Roman" w:hAnsi="Times New Roman" w:cs="Times New Roman"/>
          <w:bCs/>
          <w:sz w:val="24"/>
          <w:szCs w:val="24"/>
          <w:lang w:val="ro-MD" w:eastAsia="ru-RU"/>
        </w:rPr>
        <w:t>”, în contextul modificărilor ulterioare la HG</w:t>
      </w:r>
      <w:r w:rsidR="00200BFE" w:rsidRPr="0080251F">
        <w:rPr>
          <w:rFonts w:ascii="Times New Roman" w:eastAsia="Times New Roman" w:hAnsi="Times New Roman" w:cs="Times New Roman"/>
          <w:b/>
          <w:bCs/>
          <w:i/>
          <w:sz w:val="24"/>
          <w:szCs w:val="24"/>
          <w:lang w:val="ro-MD" w:eastAsia="ru-RU"/>
        </w:rPr>
        <w:t xml:space="preserve"> </w:t>
      </w:r>
      <w:r w:rsidR="00200BFE" w:rsidRPr="0080251F">
        <w:rPr>
          <w:rFonts w:ascii="Times New Roman" w:eastAsia="Times New Roman" w:hAnsi="Times New Roman" w:cs="Times New Roman"/>
          <w:bCs/>
          <w:sz w:val="24"/>
          <w:szCs w:val="24"/>
          <w:lang w:val="ro-MD" w:eastAsia="ru-RU"/>
        </w:rPr>
        <w:t xml:space="preserve">nr.743 din 11.06.2002, a revizuit și </w:t>
      </w:r>
      <w:r w:rsidR="007B5112" w:rsidRPr="0080251F">
        <w:rPr>
          <w:rFonts w:ascii="Times New Roman" w:eastAsia="Times New Roman" w:hAnsi="Times New Roman" w:cs="Times New Roman"/>
          <w:bCs/>
          <w:sz w:val="24"/>
          <w:szCs w:val="24"/>
          <w:lang w:val="ro-MD" w:eastAsia="ru-RU"/>
        </w:rPr>
        <w:t xml:space="preserve">a </w:t>
      </w:r>
      <w:r w:rsidR="00200BFE" w:rsidRPr="0080251F">
        <w:rPr>
          <w:rFonts w:ascii="Times New Roman" w:eastAsia="Times New Roman" w:hAnsi="Times New Roman" w:cs="Times New Roman"/>
          <w:bCs/>
          <w:sz w:val="24"/>
          <w:szCs w:val="24"/>
          <w:lang w:val="ro-MD" w:eastAsia="ru-RU"/>
        </w:rPr>
        <w:t>aprobat</w:t>
      </w:r>
      <w:r w:rsidR="001E6185" w:rsidRPr="0080251F">
        <w:rPr>
          <w:rStyle w:val="a5"/>
          <w:rFonts w:ascii="Times New Roman" w:eastAsia="Times New Roman" w:hAnsi="Times New Roman" w:cs="Times New Roman"/>
          <w:bCs/>
          <w:sz w:val="24"/>
          <w:szCs w:val="24"/>
          <w:lang w:val="ro-MD" w:eastAsia="ru-RU"/>
        </w:rPr>
        <w:footnoteReference w:id="87"/>
      </w:r>
      <w:r w:rsidR="00200BFE" w:rsidRPr="0080251F">
        <w:rPr>
          <w:rFonts w:ascii="Times New Roman" w:eastAsia="Times New Roman" w:hAnsi="Times New Roman" w:cs="Times New Roman"/>
          <w:bCs/>
          <w:sz w:val="24"/>
          <w:szCs w:val="24"/>
          <w:lang w:val="ro-MD" w:eastAsia="ru-RU"/>
        </w:rPr>
        <w:t xml:space="preserve"> </w:t>
      </w:r>
      <w:r w:rsidRPr="0080251F">
        <w:rPr>
          <w:rFonts w:ascii="Times New Roman" w:eastAsia="Times New Roman" w:hAnsi="Times New Roman" w:cs="Times New Roman"/>
          <w:bCs/>
          <w:sz w:val="24"/>
          <w:szCs w:val="24"/>
          <w:lang w:val="ro-MD" w:eastAsia="ru-RU"/>
        </w:rPr>
        <w:t xml:space="preserve">salariile de funcție </w:t>
      </w:r>
      <w:r w:rsidR="001E6185" w:rsidRPr="0080251F">
        <w:rPr>
          <w:rFonts w:ascii="Times New Roman" w:eastAsia="Times New Roman" w:hAnsi="Times New Roman" w:cs="Times New Roman"/>
          <w:bCs/>
          <w:sz w:val="24"/>
          <w:szCs w:val="24"/>
          <w:lang w:val="ro-MD" w:eastAsia="ru-RU"/>
        </w:rPr>
        <w:t>pentru</w:t>
      </w:r>
      <w:r w:rsidR="00200BFE" w:rsidRPr="0080251F">
        <w:rPr>
          <w:rFonts w:ascii="Times New Roman" w:eastAsia="Times New Roman" w:hAnsi="Times New Roman" w:cs="Times New Roman"/>
          <w:bCs/>
          <w:sz w:val="24"/>
          <w:szCs w:val="24"/>
          <w:lang w:val="ro-MD" w:eastAsia="ru-RU"/>
        </w:rPr>
        <w:t xml:space="preserve"> angajați</w:t>
      </w:r>
      <w:r w:rsidR="001E6185" w:rsidRPr="0080251F">
        <w:rPr>
          <w:rFonts w:ascii="Times New Roman" w:eastAsia="Times New Roman" w:hAnsi="Times New Roman" w:cs="Times New Roman"/>
          <w:bCs/>
          <w:sz w:val="24"/>
          <w:szCs w:val="24"/>
          <w:lang w:val="ro-MD" w:eastAsia="ru-RU"/>
        </w:rPr>
        <w:t>i</w:t>
      </w:r>
      <w:r w:rsidR="00200BFE" w:rsidRPr="0080251F">
        <w:rPr>
          <w:rFonts w:ascii="Times New Roman" w:eastAsia="Times New Roman" w:hAnsi="Times New Roman" w:cs="Times New Roman"/>
          <w:bCs/>
          <w:sz w:val="24"/>
          <w:szCs w:val="24"/>
          <w:lang w:val="ro-MD" w:eastAsia="ru-RU"/>
        </w:rPr>
        <w:t xml:space="preserve"> întreprinderii</w:t>
      </w:r>
      <w:r w:rsidR="001E6185" w:rsidRPr="0080251F">
        <w:rPr>
          <w:rFonts w:ascii="Times New Roman" w:eastAsia="Times New Roman" w:hAnsi="Times New Roman" w:cs="Times New Roman"/>
          <w:bCs/>
          <w:sz w:val="24"/>
          <w:szCs w:val="24"/>
          <w:lang w:val="ro-MD" w:eastAsia="ru-RU"/>
        </w:rPr>
        <w:t xml:space="preserve"> în conformitate cu cadrul normativ în vigoare,</w:t>
      </w:r>
      <w:r w:rsidR="00200BFE" w:rsidRPr="0080251F">
        <w:rPr>
          <w:rFonts w:ascii="Times New Roman" w:eastAsia="Times New Roman" w:hAnsi="Times New Roman" w:cs="Times New Roman"/>
          <w:bCs/>
          <w:sz w:val="24"/>
          <w:szCs w:val="24"/>
          <w:lang w:val="ro-MD" w:eastAsia="ru-RU"/>
        </w:rPr>
        <w:t xml:space="preserve"> inclusiv, pentru cele 6 funcții nominalizate în </w:t>
      </w:r>
      <w:r w:rsidR="007B5112" w:rsidRPr="0080251F">
        <w:rPr>
          <w:rFonts w:ascii="Times New Roman" w:eastAsia="Times New Roman" w:hAnsi="Times New Roman" w:cs="Times New Roman"/>
          <w:bCs/>
          <w:sz w:val="24"/>
          <w:szCs w:val="24"/>
          <w:lang w:val="ro-MD" w:eastAsia="ru-RU"/>
        </w:rPr>
        <w:t>R</w:t>
      </w:r>
      <w:r w:rsidR="00200BFE" w:rsidRPr="0080251F">
        <w:rPr>
          <w:rFonts w:ascii="Times New Roman" w:eastAsia="Times New Roman" w:hAnsi="Times New Roman" w:cs="Times New Roman"/>
          <w:bCs/>
          <w:sz w:val="24"/>
          <w:szCs w:val="24"/>
          <w:lang w:val="ro-MD" w:eastAsia="ru-RU"/>
        </w:rPr>
        <w:t>aportul de audit</w:t>
      </w:r>
      <w:r w:rsidR="001E6185" w:rsidRPr="0080251F">
        <w:rPr>
          <w:rFonts w:ascii="Times New Roman" w:eastAsia="Times New Roman" w:hAnsi="Times New Roman" w:cs="Times New Roman"/>
          <w:bCs/>
          <w:sz w:val="24"/>
          <w:szCs w:val="24"/>
          <w:lang w:val="ro-MD" w:eastAsia="ru-RU"/>
        </w:rPr>
        <w:t>.</w:t>
      </w:r>
    </w:p>
    <w:p w14:paraId="4CCDDF43" w14:textId="69FE7717" w:rsidR="00946792" w:rsidRPr="0080251F" w:rsidRDefault="00946792" w:rsidP="00E3262D">
      <w:pPr>
        <w:numPr>
          <w:ilvl w:val="0"/>
          <w:numId w:val="31"/>
        </w:numPr>
        <w:tabs>
          <w:tab w:val="left" w:pos="567"/>
          <w:tab w:val="left" w:pos="851"/>
          <w:tab w:val="left" w:pos="993"/>
        </w:tabs>
        <w:spacing w:after="0" w:line="276" w:lineRule="auto"/>
        <w:ind w:left="0" w:firstLine="709"/>
        <w:contextualSpacing/>
        <w:jc w:val="both"/>
        <w:rPr>
          <w:rFonts w:ascii="Times New Roman" w:hAnsi="Times New Roman" w:cs="Times New Roman"/>
          <w:bCs/>
          <w:i/>
          <w:sz w:val="24"/>
          <w:szCs w:val="24"/>
          <w:u w:val="single"/>
          <w:lang w:val="ro-MD"/>
        </w:rPr>
      </w:pPr>
      <w:r w:rsidRPr="0080251F">
        <w:rPr>
          <w:rFonts w:ascii="Times New Roman" w:hAnsi="Times New Roman" w:cs="Times New Roman"/>
          <w:bCs/>
          <w:i/>
          <w:sz w:val="24"/>
          <w:szCs w:val="24"/>
          <w:u w:val="single"/>
          <w:lang w:val="ro-MD"/>
        </w:rPr>
        <w:t>Stabilirea neconformă a premiilor lunare curente a condiționat majorarea neregulamentară a cheltuielilor pr</w:t>
      </w:r>
      <w:r w:rsidR="00461C54" w:rsidRPr="0080251F">
        <w:rPr>
          <w:rFonts w:ascii="Times New Roman" w:hAnsi="Times New Roman" w:cs="Times New Roman"/>
          <w:bCs/>
          <w:i/>
          <w:sz w:val="24"/>
          <w:szCs w:val="24"/>
          <w:u w:val="single"/>
          <w:lang w:val="ro-MD"/>
        </w:rPr>
        <w:t xml:space="preserve">ivind retribuirea muncii cu </w:t>
      </w:r>
      <w:r w:rsidR="004C62B9" w:rsidRPr="0080251F">
        <w:rPr>
          <w:rFonts w:ascii="Times New Roman" w:hAnsi="Times New Roman" w:cs="Times New Roman"/>
          <w:b/>
          <w:bCs/>
          <w:i/>
          <w:iCs/>
          <w:sz w:val="24"/>
          <w:szCs w:val="24"/>
          <w:u w:val="single"/>
          <w:lang w:val="ro-MD"/>
        </w:rPr>
        <w:t>686,8 mii lei</w:t>
      </w:r>
      <w:r w:rsidRPr="0080251F">
        <w:rPr>
          <w:rFonts w:ascii="Times New Roman" w:hAnsi="Times New Roman" w:cs="Times New Roman"/>
          <w:bCs/>
          <w:i/>
          <w:sz w:val="24"/>
          <w:szCs w:val="24"/>
          <w:u w:val="single"/>
          <w:lang w:val="ro-MD"/>
        </w:rPr>
        <w:t>.</w:t>
      </w:r>
    </w:p>
    <w:p w14:paraId="1E429559" w14:textId="1CDB004D" w:rsidR="00033141" w:rsidRPr="0080251F" w:rsidRDefault="007B5112" w:rsidP="00D1440C">
      <w:pPr>
        <w:tabs>
          <w:tab w:val="left" w:pos="567"/>
          <w:tab w:val="left" w:pos="851"/>
        </w:tabs>
        <w:spacing w:after="0" w:line="276" w:lineRule="auto"/>
        <w:ind w:firstLine="709"/>
        <w:contextualSpacing/>
        <w:jc w:val="both"/>
        <w:rPr>
          <w:rFonts w:ascii="Times New Roman" w:eastAsia="Times New Roman" w:hAnsi="Times New Roman" w:cs="Times New Roman"/>
          <w:sz w:val="24"/>
          <w:szCs w:val="24"/>
          <w:lang w:val="ro-MD" w:eastAsia="ru-RU"/>
        </w:rPr>
      </w:pPr>
      <w:r w:rsidRPr="0080251F">
        <w:rPr>
          <w:rFonts w:ascii="Times New Roman" w:eastAsia="Calibri" w:hAnsi="Times New Roman" w:cs="Times New Roman"/>
          <w:bCs/>
          <w:sz w:val="24"/>
          <w:szCs w:val="24"/>
          <w:lang w:val="ro-MD" w:eastAsia="ru-RU"/>
        </w:rPr>
        <w:t>Potrivit</w:t>
      </w:r>
      <w:r w:rsidR="00033141" w:rsidRPr="0080251F">
        <w:rPr>
          <w:rFonts w:ascii="Times New Roman" w:eastAsia="Calibri" w:hAnsi="Times New Roman" w:cs="Times New Roman"/>
          <w:bCs/>
          <w:sz w:val="24"/>
          <w:szCs w:val="24"/>
          <w:lang w:val="ro-MD" w:eastAsia="ru-RU"/>
        </w:rPr>
        <w:t xml:space="preserve"> prevederilor Regulamentului intern cu privire la premierea curentă a salariaților S.A. „R</w:t>
      </w:r>
      <w:r w:rsidRPr="0080251F">
        <w:rPr>
          <w:rFonts w:ascii="Times New Roman" w:eastAsia="Calibri" w:hAnsi="Times New Roman" w:cs="Times New Roman"/>
          <w:bCs/>
          <w:sz w:val="24"/>
          <w:szCs w:val="24"/>
          <w:lang w:val="ro-MD" w:eastAsia="ru-RU"/>
        </w:rPr>
        <w:t>ED</w:t>
      </w:r>
      <w:r w:rsidR="00033141" w:rsidRPr="0080251F">
        <w:rPr>
          <w:rFonts w:ascii="Times New Roman" w:eastAsia="Calibri" w:hAnsi="Times New Roman" w:cs="Times New Roman"/>
          <w:bCs/>
          <w:sz w:val="24"/>
          <w:szCs w:val="24"/>
          <w:lang w:val="ro-MD" w:eastAsia="ru-RU"/>
        </w:rPr>
        <w:t>-Nord” în conformitate cu rezultatele activității de producere (Anexa nr.3</w:t>
      </w:r>
      <w:r w:rsidR="00033141" w:rsidRPr="0080251F">
        <w:rPr>
          <w:rFonts w:ascii="Times New Roman" w:eastAsia="Calibri" w:hAnsi="Times New Roman" w:cs="Times New Roman"/>
          <w:bCs/>
          <w:lang w:val="ro-MD"/>
        </w:rPr>
        <w:t xml:space="preserve"> </w:t>
      </w:r>
      <w:r w:rsidR="00033141" w:rsidRPr="0080251F">
        <w:rPr>
          <w:rFonts w:ascii="Times New Roman" w:eastAsia="Calibri" w:hAnsi="Times New Roman" w:cs="Times New Roman"/>
          <w:bCs/>
          <w:sz w:val="24"/>
          <w:szCs w:val="24"/>
          <w:lang w:val="ro-MD" w:eastAsia="ru-RU"/>
        </w:rPr>
        <w:t>la Contractul colectiv de muncă), s-a stabilit că p</w:t>
      </w:r>
      <w:r w:rsidR="00033141" w:rsidRPr="0080251F">
        <w:rPr>
          <w:rFonts w:ascii="Times New Roman" w:eastAsia="Calibri" w:hAnsi="Times New Roman" w:cs="Times New Roman"/>
          <w:sz w:val="24"/>
          <w:szCs w:val="24"/>
          <w:lang w:val="ro-MD" w:eastAsia="ru-RU"/>
        </w:rPr>
        <w:t>remiul lunar curent poate fi majorat în următoarele cazuri: pentru executarea volumului de muncă mărit; pentru extinderea zonelor de deservire în lipsa unui lucrător; pentru intensitatea muncii și pentru îndeplinirea unor sarcini de importanță majoră sau de urgență.</w:t>
      </w:r>
    </w:p>
    <w:p w14:paraId="52A65926" w14:textId="735E811F" w:rsidR="00BF034D" w:rsidRPr="0080251F" w:rsidRDefault="00033141" w:rsidP="006D605B">
      <w:pPr>
        <w:tabs>
          <w:tab w:val="left" w:pos="0"/>
          <w:tab w:val="left" w:pos="567"/>
        </w:tabs>
        <w:spacing w:after="0" w:line="276" w:lineRule="auto"/>
        <w:ind w:firstLine="709"/>
        <w:contextualSpacing/>
        <w:jc w:val="both"/>
        <w:rPr>
          <w:rFonts w:ascii="Times New Roman" w:eastAsia="Calibri" w:hAnsi="Times New Roman" w:cs="Times New Roman"/>
          <w:bCs/>
          <w:iCs/>
          <w:sz w:val="24"/>
          <w:szCs w:val="24"/>
          <w:lang w:val="ro-MD"/>
        </w:rPr>
      </w:pPr>
      <w:r w:rsidRPr="0080251F">
        <w:rPr>
          <w:rFonts w:ascii="Times New Roman" w:eastAsia="Calibri" w:hAnsi="Times New Roman" w:cs="Times New Roman"/>
          <w:sz w:val="24"/>
          <w:szCs w:val="24"/>
          <w:lang w:val="ro-MD"/>
        </w:rPr>
        <w:t>Condițiile de majorare a premiilor lunare pentru</w:t>
      </w:r>
      <w:r w:rsidRPr="0080251F">
        <w:rPr>
          <w:rFonts w:ascii="Times New Roman" w:eastAsia="Calibri" w:hAnsi="Times New Roman" w:cs="Times New Roman"/>
          <w:bCs/>
          <w:sz w:val="24"/>
          <w:szCs w:val="24"/>
          <w:lang w:val="ro-MD"/>
        </w:rPr>
        <w:t xml:space="preserve"> executarea volumului de muncă mărit și pentru extinderea zonelor de deservire în lipsa unui lucrător</w:t>
      </w:r>
      <w:r w:rsidRPr="0080251F">
        <w:rPr>
          <w:rFonts w:ascii="Times New Roman" w:eastAsia="Calibri" w:hAnsi="Times New Roman" w:cs="Times New Roman"/>
          <w:sz w:val="24"/>
          <w:szCs w:val="24"/>
          <w:lang w:val="ro-MD"/>
        </w:rPr>
        <w:t xml:space="preserve"> </w:t>
      </w:r>
      <w:r w:rsidRPr="0080251F">
        <w:rPr>
          <w:rFonts w:ascii="Times New Roman" w:eastAsia="Calibri" w:hAnsi="Times New Roman" w:cs="Times New Roman"/>
          <w:bCs/>
          <w:sz w:val="24"/>
          <w:szCs w:val="24"/>
          <w:lang w:val="ro-MD"/>
        </w:rPr>
        <w:t>contra</w:t>
      </w:r>
      <w:r w:rsidR="001046AE" w:rsidRPr="0080251F">
        <w:rPr>
          <w:rFonts w:ascii="Times New Roman" w:eastAsia="Calibri" w:hAnsi="Times New Roman" w:cs="Times New Roman"/>
          <w:bCs/>
          <w:sz w:val="24"/>
          <w:szCs w:val="24"/>
          <w:lang w:val="ro-MD"/>
        </w:rPr>
        <w:t>vin</w:t>
      </w:r>
      <w:r w:rsidRPr="0080251F">
        <w:rPr>
          <w:rFonts w:ascii="Times New Roman" w:eastAsia="Calibri" w:hAnsi="Times New Roman" w:cs="Times New Roman"/>
          <w:bCs/>
          <w:sz w:val="24"/>
          <w:szCs w:val="24"/>
          <w:lang w:val="ro-MD"/>
        </w:rPr>
        <w:t xml:space="preserve"> prevederil</w:t>
      </w:r>
      <w:r w:rsidR="001046AE" w:rsidRPr="0080251F">
        <w:rPr>
          <w:rFonts w:ascii="Times New Roman" w:eastAsia="Calibri" w:hAnsi="Times New Roman" w:cs="Times New Roman"/>
          <w:bCs/>
          <w:sz w:val="24"/>
          <w:szCs w:val="24"/>
          <w:lang w:val="ro-MD"/>
        </w:rPr>
        <w:t>or</w:t>
      </w:r>
      <w:r w:rsidRPr="0080251F">
        <w:rPr>
          <w:rFonts w:ascii="Times New Roman" w:eastAsia="Calibri" w:hAnsi="Times New Roman" w:cs="Times New Roman"/>
          <w:bCs/>
          <w:sz w:val="24"/>
          <w:szCs w:val="24"/>
          <w:lang w:val="ro-MD"/>
        </w:rPr>
        <w:t xml:space="preserve"> Anexei nr.6 din</w:t>
      </w:r>
      <w:r w:rsidRPr="0080251F">
        <w:rPr>
          <w:rFonts w:ascii="Times New Roman" w:eastAsia="Times New Roman" w:hAnsi="Times New Roman" w:cs="Times New Roman"/>
          <w:bCs/>
          <w:sz w:val="24"/>
          <w:szCs w:val="24"/>
          <w:lang w:val="ro-MD" w:eastAsia="ru-RU"/>
        </w:rPr>
        <w:t xml:space="preserve"> </w:t>
      </w:r>
      <w:r w:rsidR="002E6F8F" w:rsidRPr="0080251F">
        <w:rPr>
          <w:rFonts w:ascii="Times New Roman" w:eastAsia="Calibri" w:hAnsi="Times New Roman" w:cs="Times New Roman"/>
          <w:bCs/>
          <w:sz w:val="24"/>
          <w:szCs w:val="24"/>
          <w:lang w:val="ro-MD"/>
        </w:rPr>
        <w:t>H</w:t>
      </w:r>
      <w:r w:rsidR="004C62B9" w:rsidRPr="0080251F">
        <w:rPr>
          <w:rFonts w:ascii="Times New Roman" w:eastAsia="Calibri" w:hAnsi="Times New Roman" w:cs="Times New Roman"/>
          <w:bCs/>
          <w:sz w:val="24"/>
          <w:szCs w:val="24"/>
          <w:lang w:val="ro-MD"/>
        </w:rPr>
        <w:t>G</w:t>
      </w:r>
      <w:r w:rsidR="00BF034D" w:rsidRPr="0080251F">
        <w:rPr>
          <w:rFonts w:ascii="Times New Roman" w:eastAsia="Calibri" w:hAnsi="Times New Roman" w:cs="Times New Roman"/>
          <w:bCs/>
          <w:sz w:val="24"/>
          <w:szCs w:val="24"/>
          <w:lang w:val="ro-MD"/>
        </w:rPr>
        <w:t xml:space="preserve"> </w:t>
      </w:r>
      <w:r w:rsidRPr="0080251F">
        <w:rPr>
          <w:rFonts w:ascii="Times New Roman" w:eastAsia="Calibri" w:hAnsi="Times New Roman" w:cs="Times New Roman"/>
          <w:bCs/>
          <w:sz w:val="24"/>
          <w:szCs w:val="24"/>
          <w:lang w:val="ro-MD"/>
        </w:rPr>
        <w:t>nr.743 din 11.06.2002 și Anexei nr.5 la Contractul colectiv de muncă „Lista adaosurilor și sporurilor la salariu acordate angajaților S.A. „R</w:t>
      </w:r>
      <w:r w:rsidR="001046AE" w:rsidRPr="0080251F">
        <w:rPr>
          <w:rFonts w:ascii="Times New Roman" w:eastAsia="Calibri" w:hAnsi="Times New Roman" w:cs="Times New Roman"/>
          <w:bCs/>
          <w:sz w:val="24"/>
          <w:szCs w:val="24"/>
          <w:lang w:val="ro-MD"/>
        </w:rPr>
        <w:t>ED</w:t>
      </w:r>
      <w:r w:rsidRPr="0080251F">
        <w:rPr>
          <w:rFonts w:ascii="Times New Roman" w:eastAsia="Calibri" w:hAnsi="Times New Roman" w:cs="Times New Roman"/>
          <w:bCs/>
          <w:sz w:val="24"/>
          <w:szCs w:val="24"/>
          <w:lang w:val="ro-MD"/>
        </w:rPr>
        <w:t>-Nord””, prin care se reglementează că aceste criterii de stimulare se aplică pentru stabilirea sporurilor și adaosurilor angajaților la salariul de bază</w:t>
      </w:r>
      <w:r w:rsidRPr="0080251F">
        <w:rPr>
          <w:rFonts w:ascii="Times New Roman" w:eastAsia="Calibri" w:hAnsi="Times New Roman" w:cs="Times New Roman"/>
          <w:bCs/>
          <w:sz w:val="24"/>
          <w:szCs w:val="24"/>
          <w:vertAlign w:val="superscript"/>
          <w:lang w:val="ro-MD"/>
        </w:rPr>
        <w:footnoteReference w:id="88"/>
      </w:r>
      <w:r w:rsidRPr="0080251F">
        <w:rPr>
          <w:rFonts w:ascii="Times New Roman" w:hAnsi="Times New Roman" w:cs="Times New Roman"/>
          <w:bCs/>
          <w:sz w:val="18"/>
          <w:szCs w:val="18"/>
          <w:lang w:val="ro-MD"/>
        </w:rPr>
        <w:t xml:space="preserve"> </w:t>
      </w:r>
      <w:r w:rsidRPr="0080251F">
        <w:rPr>
          <w:rFonts w:ascii="Times New Roman" w:hAnsi="Times New Roman" w:cs="Times New Roman"/>
          <w:bCs/>
          <w:sz w:val="24"/>
          <w:szCs w:val="24"/>
          <w:lang w:val="ro-MD"/>
        </w:rPr>
        <w:t xml:space="preserve">și care se achită din </w:t>
      </w:r>
      <w:r w:rsidRPr="0080251F">
        <w:rPr>
          <w:rFonts w:ascii="Times New Roman" w:eastAsia="Calibri" w:hAnsi="Times New Roman" w:cs="Times New Roman"/>
          <w:bCs/>
          <w:sz w:val="24"/>
          <w:szCs w:val="24"/>
          <w:lang w:val="ro-MD"/>
        </w:rPr>
        <w:t>economia fondului de salari</w:t>
      </w:r>
      <w:r w:rsidR="00543F58" w:rsidRPr="0080251F">
        <w:rPr>
          <w:rFonts w:ascii="Times New Roman" w:eastAsia="Calibri" w:hAnsi="Times New Roman" w:cs="Times New Roman"/>
          <w:bCs/>
          <w:sz w:val="24"/>
          <w:szCs w:val="24"/>
          <w:lang w:val="ro-MD"/>
        </w:rPr>
        <w:t>i</w:t>
      </w:r>
      <w:r w:rsidRPr="0080251F">
        <w:rPr>
          <w:rFonts w:ascii="Times New Roman" w:eastAsia="Calibri" w:hAnsi="Times New Roman" w:cs="Times New Roman"/>
          <w:bCs/>
          <w:sz w:val="24"/>
          <w:szCs w:val="24"/>
          <w:lang w:val="ro-MD"/>
        </w:rPr>
        <w:t>, obținută de la disponibilizarea personalului, adică pentru o funcție vacantă</w:t>
      </w:r>
      <w:r w:rsidRPr="0080251F">
        <w:rPr>
          <w:rFonts w:ascii="Times New Roman" w:eastAsia="Calibri" w:hAnsi="Times New Roman" w:cs="Times New Roman"/>
          <w:bCs/>
          <w:sz w:val="24"/>
          <w:szCs w:val="24"/>
          <w:vertAlign w:val="superscript"/>
          <w:lang w:val="ro-MD"/>
        </w:rPr>
        <w:footnoteReference w:id="89"/>
      </w:r>
      <w:r w:rsidRPr="0080251F">
        <w:rPr>
          <w:rFonts w:ascii="Times New Roman" w:hAnsi="Times New Roman" w:cs="Times New Roman"/>
          <w:sz w:val="24"/>
          <w:szCs w:val="24"/>
          <w:lang w:val="ro-MD"/>
        </w:rPr>
        <w:t xml:space="preserve"> sau în lipsa temporară</w:t>
      </w:r>
      <w:r w:rsidRPr="0080251F">
        <w:rPr>
          <w:rFonts w:ascii="Times New Roman" w:hAnsi="Times New Roman" w:cs="Times New Roman"/>
          <w:sz w:val="24"/>
          <w:szCs w:val="24"/>
          <w:vertAlign w:val="superscript"/>
          <w:lang w:val="ro-MD"/>
        </w:rPr>
        <w:footnoteReference w:id="90"/>
      </w:r>
      <w:r w:rsidRPr="0080251F">
        <w:rPr>
          <w:rFonts w:ascii="Times New Roman" w:hAnsi="Times New Roman" w:cs="Times New Roman"/>
          <w:sz w:val="24"/>
          <w:szCs w:val="24"/>
          <w:lang w:val="ro-MD"/>
        </w:rPr>
        <w:t xml:space="preserve"> a unui lucrător.</w:t>
      </w:r>
      <w:r w:rsidRPr="0080251F">
        <w:rPr>
          <w:rFonts w:ascii="Times New Roman" w:hAnsi="Times New Roman" w:cs="Times New Roman"/>
          <w:lang w:val="ro-MD"/>
        </w:rPr>
        <w:t xml:space="preserve"> </w:t>
      </w:r>
      <w:r w:rsidRPr="0080251F">
        <w:rPr>
          <w:rFonts w:ascii="Times New Roman" w:eastAsia="Calibri" w:hAnsi="Times New Roman" w:cs="Times New Roman"/>
          <w:bCs/>
          <w:sz w:val="24"/>
          <w:szCs w:val="24"/>
          <w:lang w:val="ro-MD"/>
        </w:rPr>
        <w:t>În baza acestor criterii</w:t>
      </w:r>
      <w:r w:rsidR="001046AE" w:rsidRPr="0080251F">
        <w:rPr>
          <w:rFonts w:ascii="Times New Roman" w:eastAsia="Calibri" w:hAnsi="Times New Roman" w:cs="Times New Roman"/>
          <w:bCs/>
          <w:sz w:val="24"/>
          <w:szCs w:val="24"/>
          <w:lang w:val="ro-MD"/>
        </w:rPr>
        <w:t>,</w:t>
      </w:r>
      <w:r w:rsidRPr="0080251F">
        <w:rPr>
          <w:rFonts w:ascii="Times New Roman" w:eastAsia="Calibri" w:hAnsi="Times New Roman" w:cs="Times New Roman"/>
          <w:bCs/>
          <w:sz w:val="24"/>
          <w:szCs w:val="24"/>
          <w:lang w:val="ro-MD"/>
        </w:rPr>
        <w:t xml:space="preserve"> </w:t>
      </w:r>
      <w:r w:rsidR="006D605B" w:rsidRPr="0080251F">
        <w:rPr>
          <w:rFonts w:ascii="Times New Roman" w:eastAsia="Calibri" w:hAnsi="Times New Roman" w:cs="Times New Roman"/>
          <w:bCs/>
          <w:sz w:val="24"/>
          <w:szCs w:val="24"/>
          <w:lang w:val="ro-MD"/>
        </w:rPr>
        <w:t>c</w:t>
      </w:r>
      <w:r w:rsidR="001046AE" w:rsidRPr="0080251F">
        <w:rPr>
          <w:rFonts w:ascii="Times New Roman" w:eastAsia="Calibri" w:hAnsi="Times New Roman" w:cs="Times New Roman"/>
          <w:bCs/>
          <w:sz w:val="24"/>
          <w:szCs w:val="24"/>
          <w:lang w:val="ro-MD"/>
        </w:rPr>
        <w:t>ar</w:t>
      </w:r>
      <w:r w:rsidR="006D605B" w:rsidRPr="0080251F">
        <w:rPr>
          <w:rFonts w:ascii="Times New Roman" w:eastAsia="Calibri" w:hAnsi="Times New Roman" w:cs="Times New Roman"/>
          <w:bCs/>
          <w:sz w:val="24"/>
          <w:szCs w:val="24"/>
          <w:lang w:val="ro-MD"/>
        </w:rPr>
        <w:t>e nu corespund</w:t>
      </w:r>
      <w:r w:rsidR="006D760F" w:rsidRPr="0080251F">
        <w:rPr>
          <w:rFonts w:ascii="Times New Roman" w:eastAsia="Calibri" w:hAnsi="Times New Roman" w:cs="Times New Roman"/>
          <w:bCs/>
          <w:sz w:val="24"/>
          <w:szCs w:val="24"/>
          <w:lang w:val="ro-MD"/>
        </w:rPr>
        <w:t xml:space="preserve"> prevederil</w:t>
      </w:r>
      <w:r w:rsidR="006D605B" w:rsidRPr="0080251F">
        <w:rPr>
          <w:rFonts w:ascii="Times New Roman" w:eastAsia="Calibri" w:hAnsi="Times New Roman" w:cs="Times New Roman"/>
          <w:bCs/>
          <w:sz w:val="24"/>
          <w:szCs w:val="24"/>
          <w:lang w:val="ro-MD"/>
        </w:rPr>
        <w:t xml:space="preserve">or </w:t>
      </w:r>
      <w:r w:rsidR="006D760F" w:rsidRPr="0080251F">
        <w:rPr>
          <w:rFonts w:ascii="Times New Roman" w:eastAsia="Calibri" w:hAnsi="Times New Roman" w:cs="Times New Roman"/>
          <w:bCs/>
          <w:sz w:val="24"/>
          <w:szCs w:val="24"/>
          <w:lang w:val="ro-MD"/>
        </w:rPr>
        <w:t>Anexei nr.6 din HG nr.743 din 11.06.2002</w:t>
      </w:r>
      <w:r w:rsidRPr="0080251F">
        <w:rPr>
          <w:rFonts w:ascii="Times New Roman" w:eastAsia="Calibri" w:hAnsi="Times New Roman" w:cs="Times New Roman"/>
          <w:bCs/>
          <w:sz w:val="24"/>
          <w:szCs w:val="24"/>
          <w:lang w:val="ro-MD"/>
        </w:rPr>
        <w:t xml:space="preserve">, </w:t>
      </w:r>
      <w:r w:rsidR="00955727" w:rsidRPr="0080251F">
        <w:rPr>
          <w:rFonts w:ascii="Times New Roman" w:eastAsia="Calibri" w:hAnsi="Times New Roman" w:cs="Times New Roman"/>
          <w:bCs/>
          <w:sz w:val="24"/>
          <w:szCs w:val="24"/>
          <w:lang w:val="ro-MD"/>
        </w:rPr>
        <w:t>premiul</w:t>
      </w:r>
      <w:r w:rsidR="00BA5560" w:rsidRPr="0080251F">
        <w:rPr>
          <w:rFonts w:ascii="Times New Roman" w:eastAsia="Calibri" w:hAnsi="Times New Roman" w:cs="Times New Roman"/>
          <w:bCs/>
          <w:sz w:val="24"/>
          <w:szCs w:val="24"/>
          <w:lang w:val="ro-MD"/>
        </w:rPr>
        <w:t xml:space="preserve"> lunar</w:t>
      </w:r>
      <w:r w:rsidR="00955727" w:rsidRPr="0080251F">
        <w:rPr>
          <w:rFonts w:ascii="Times New Roman" w:eastAsia="Calibri" w:hAnsi="Times New Roman" w:cs="Times New Roman"/>
          <w:bCs/>
          <w:sz w:val="24"/>
          <w:szCs w:val="24"/>
          <w:lang w:val="ro-MD"/>
        </w:rPr>
        <w:t xml:space="preserve"> </w:t>
      </w:r>
      <w:r w:rsidRPr="0080251F">
        <w:rPr>
          <w:rFonts w:ascii="Times New Roman" w:eastAsia="Calibri" w:hAnsi="Times New Roman" w:cs="Times New Roman"/>
          <w:bCs/>
          <w:sz w:val="24"/>
          <w:szCs w:val="24"/>
          <w:lang w:val="ro-MD"/>
        </w:rPr>
        <w:t>pentru unii lucrători a fost majorat până la 50,0</w:t>
      </w:r>
      <w:r w:rsidR="00BF034D" w:rsidRPr="0080251F">
        <w:rPr>
          <w:rFonts w:ascii="Times New Roman" w:eastAsia="Calibri" w:hAnsi="Times New Roman" w:cs="Times New Roman"/>
          <w:bCs/>
          <w:sz w:val="24"/>
          <w:szCs w:val="24"/>
          <w:lang w:val="ro-MD"/>
        </w:rPr>
        <w:t xml:space="preserve">% în raport cu salariul tarifar, fiind efectuate plăți neconforme </w:t>
      </w:r>
      <w:r w:rsidR="001046AE" w:rsidRPr="0080251F">
        <w:rPr>
          <w:rFonts w:ascii="Times New Roman" w:eastAsia="Calibri" w:hAnsi="Times New Roman" w:cs="Times New Roman"/>
          <w:bCs/>
          <w:sz w:val="24"/>
          <w:szCs w:val="24"/>
          <w:lang w:val="ro-MD"/>
        </w:rPr>
        <w:t>în</w:t>
      </w:r>
      <w:r w:rsidR="00BF034D" w:rsidRPr="0080251F">
        <w:rPr>
          <w:rFonts w:ascii="Times New Roman" w:eastAsia="Calibri" w:hAnsi="Times New Roman" w:cs="Times New Roman"/>
          <w:bCs/>
          <w:sz w:val="24"/>
          <w:szCs w:val="24"/>
          <w:lang w:val="ro-MD"/>
        </w:rPr>
        <w:t xml:space="preserve"> perioada 2021-2022 în mărime de </w:t>
      </w:r>
      <w:r w:rsidR="00BF034D" w:rsidRPr="0080251F">
        <w:rPr>
          <w:rFonts w:ascii="Times New Roman" w:eastAsia="Calibri" w:hAnsi="Times New Roman" w:cs="Times New Roman"/>
          <w:b/>
          <w:bCs/>
          <w:iCs/>
          <w:sz w:val="24"/>
          <w:szCs w:val="24"/>
          <w:lang w:val="ro-MD"/>
        </w:rPr>
        <w:t>686,8 mii lei</w:t>
      </w:r>
      <w:r w:rsidR="00BF034D" w:rsidRPr="0080251F">
        <w:rPr>
          <w:rFonts w:ascii="Times New Roman" w:eastAsia="Calibri" w:hAnsi="Times New Roman" w:cs="Times New Roman"/>
          <w:bCs/>
          <w:iCs/>
          <w:sz w:val="24"/>
          <w:szCs w:val="24"/>
          <w:vertAlign w:val="superscript"/>
          <w:lang w:val="ro-MD"/>
        </w:rPr>
        <w:footnoteReference w:id="91"/>
      </w:r>
      <w:r w:rsidR="00BF034D" w:rsidRPr="0080251F">
        <w:rPr>
          <w:rFonts w:ascii="Times New Roman" w:eastAsia="Calibri" w:hAnsi="Times New Roman" w:cs="Times New Roman"/>
          <w:bCs/>
          <w:iCs/>
          <w:sz w:val="24"/>
          <w:szCs w:val="24"/>
          <w:lang w:val="ro-MD"/>
        </w:rPr>
        <w:t>.</w:t>
      </w:r>
      <w:r w:rsidR="00BA5560" w:rsidRPr="0080251F">
        <w:rPr>
          <w:rFonts w:ascii="Times New Roman" w:eastAsia="Calibri" w:hAnsi="Times New Roman" w:cs="Times New Roman"/>
          <w:bCs/>
          <w:iCs/>
          <w:sz w:val="24"/>
          <w:szCs w:val="24"/>
          <w:lang w:val="ro-MD"/>
        </w:rPr>
        <w:t xml:space="preserve"> </w:t>
      </w:r>
    </w:p>
    <w:p w14:paraId="4CE56F86" w14:textId="0B8C8889" w:rsidR="00E07223" w:rsidRPr="0080251F" w:rsidRDefault="00E07223" w:rsidP="00E07223">
      <w:pPr>
        <w:pStyle w:val="a6"/>
        <w:tabs>
          <w:tab w:val="left" w:pos="0"/>
        </w:tabs>
        <w:spacing w:after="0" w:line="276" w:lineRule="auto"/>
        <w:ind w:left="0" w:firstLine="709"/>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bCs/>
          <w:sz w:val="24"/>
          <w:szCs w:val="24"/>
          <w:lang w:val="ro-MD" w:eastAsia="ru-RU"/>
        </w:rPr>
        <w:t xml:space="preserve">Menționăm că, prin </w:t>
      </w:r>
      <w:r w:rsidR="001046AE" w:rsidRPr="0080251F">
        <w:rPr>
          <w:rFonts w:ascii="Times New Roman" w:eastAsia="Times New Roman" w:hAnsi="Times New Roman" w:cs="Times New Roman"/>
          <w:bCs/>
          <w:sz w:val="24"/>
          <w:szCs w:val="24"/>
          <w:lang w:val="ro-MD" w:eastAsia="ru-RU"/>
        </w:rPr>
        <w:t>D</w:t>
      </w:r>
      <w:r w:rsidRPr="0080251F">
        <w:rPr>
          <w:rFonts w:ascii="Times New Roman" w:eastAsia="Times New Roman" w:hAnsi="Times New Roman" w:cs="Times New Roman"/>
          <w:bCs/>
          <w:sz w:val="24"/>
          <w:szCs w:val="24"/>
          <w:lang w:val="ro-MD" w:eastAsia="ru-RU"/>
        </w:rPr>
        <w:t>ispoziția directorului financiar nr.20 din 07.02.2024, pe parcursul misiunii de audit s-au modificat condițiile de acordare a premiului majorat și s-a reglementat că la acordarea sporului la salariu pentru îndeplinirea unui volum de lucru majorat se va lua în considerație doar economia fondului de salariu, obținută de la disponibilizarea personalului, concediul neplătit, concediul medical și funcțiile vacante</w:t>
      </w:r>
      <w:r w:rsidRPr="0080251F">
        <w:rPr>
          <w:lang w:val="ro-MD"/>
        </w:rPr>
        <w:t>.</w:t>
      </w:r>
    </w:p>
    <w:p w14:paraId="603D34C1" w14:textId="00B60ECC" w:rsidR="00E526B0" w:rsidRPr="0080251F" w:rsidRDefault="00E526B0" w:rsidP="00E3262D">
      <w:pPr>
        <w:numPr>
          <w:ilvl w:val="0"/>
          <w:numId w:val="31"/>
        </w:numPr>
        <w:tabs>
          <w:tab w:val="left" w:pos="0"/>
          <w:tab w:val="left" w:pos="993"/>
        </w:tabs>
        <w:spacing w:after="0" w:line="276" w:lineRule="auto"/>
        <w:ind w:left="0" w:firstLine="709"/>
        <w:jc w:val="both"/>
        <w:rPr>
          <w:rFonts w:ascii="Times New Roman" w:eastAsia="Times New Roman" w:hAnsi="Times New Roman" w:cs="Times New Roman"/>
          <w:bCs/>
          <w:i/>
          <w:sz w:val="24"/>
          <w:szCs w:val="24"/>
          <w:u w:val="single"/>
          <w:lang w:val="ro-MD" w:eastAsia="ru-RU"/>
        </w:rPr>
      </w:pPr>
      <w:r w:rsidRPr="0080251F">
        <w:rPr>
          <w:rFonts w:ascii="Times New Roman" w:eastAsia="Times New Roman" w:hAnsi="Times New Roman" w:cs="Times New Roman"/>
          <w:bCs/>
          <w:i/>
          <w:sz w:val="24"/>
          <w:szCs w:val="24"/>
          <w:u w:val="single"/>
          <w:lang w:val="ro-MD" w:eastAsia="ru-RU"/>
        </w:rPr>
        <w:t>Stabilirea neconformă a premiilor unice a condiționat majorarea neregulamentară a cheltuielilor pr</w:t>
      </w:r>
      <w:r w:rsidR="00461C54" w:rsidRPr="0080251F">
        <w:rPr>
          <w:rFonts w:ascii="Times New Roman" w:eastAsia="Times New Roman" w:hAnsi="Times New Roman" w:cs="Times New Roman"/>
          <w:bCs/>
          <w:i/>
          <w:sz w:val="24"/>
          <w:szCs w:val="24"/>
          <w:u w:val="single"/>
          <w:lang w:val="ro-MD" w:eastAsia="ru-RU"/>
        </w:rPr>
        <w:t xml:space="preserve">ivind retribuirea muncii cu </w:t>
      </w:r>
      <w:r w:rsidR="001C339B" w:rsidRPr="0080251F">
        <w:rPr>
          <w:rFonts w:ascii="Times New Roman" w:eastAsia="Times New Roman" w:hAnsi="Times New Roman" w:cs="Times New Roman"/>
          <w:b/>
          <w:bCs/>
          <w:i/>
          <w:sz w:val="24"/>
          <w:szCs w:val="24"/>
          <w:u w:val="single"/>
          <w:lang w:val="ro-MD" w:eastAsia="ru-RU"/>
        </w:rPr>
        <w:t>343,5 mii lei</w:t>
      </w:r>
      <w:r w:rsidRPr="0080251F">
        <w:rPr>
          <w:rFonts w:ascii="Times New Roman" w:eastAsia="Times New Roman" w:hAnsi="Times New Roman" w:cs="Times New Roman"/>
          <w:bCs/>
          <w:sz w:val="24"/>
          <w:szCs w:val="24"/>
          <w:lang w:val="ro-MD" w:eastAsia="ru-RU"/>
        </w:rPr>
        <w:t>.</w:t>
      </w:r>
    </w:p>
    <w:p w14:paraId="69E7A9C8" w14:textId="6304112B" w:rsidR="00033141" w:rsidRPr="0080251F" w:rsidRDefault="00033141" w:rsidP="00CE707A">
      <w:pPr>
        <w:tabs>
          <w:tab w:val="left" w:pos="0"/>
          <w:tab w:val="left" w:pos="567"/>
        </w:tabs>
        <w:spacing w:after="0" w:line="276" w:lineRule="auto"/>
        <w:ind w:firstLine="709"/>
        <w:contextualSpacing/>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sz w:val="24"/>
          <w:szCs w:val="24"/>
          <w:lang w:val="ro-MD" w:eastAsia="ru-RU"/>
        </w:rPr>
        <w:t xml:space="preserve">Deși cuantumul premiului lunar curent și </w:t>
      </w:r>
      <w:r w:rsidR="00914C62" w:rsidRPr="0080251F">
        <w:rPr>
          <w:rFonts w:ascii="Times New Roman" w:eastAsia="Times New Roman" w:hAnsi="Times New Roman" w:cs="Times New Roman"/>
          <w:sz w:val="24"/>
          <w:szCs w:val="24"/>
          <w:lang w:val="ro-MD" w:eastAsia="ru-RU"/>
        </w:rPr>
        <w:t xml:space="preserve">al </w:t>
      </w:r>
      <w:r w:rsidRPr="0080251F">
        <w:rPr>
          <w:rFonts w:ascii="Times New Roman" w:eastAsia="Times New Roman" w:hAnsi="Times New Roman" w:cs="Times New Roman"/>
          <w:sz w:val="24"/>
          <w:szCs w:val="24"/>
          <w:lang w:val="ro-MD" w:eastAsia="ru-RU"/>
        </w:rPr>
        <w:t>p</w:t>
      </w:r>
      <w:r w:rsidRPr="0080251F">
        <w:rPr>
          <w:rFonts w:ascii="Times New Roman" w:eastAsia="Times New Roman" w:hAnsi="Times New Roman" w:cs="Times New Roman"/>
          <w:bCs/>
          <w:sz w:val="24"/>
          <w:szCs w:val="24"/>
          <w:lang w:val="ro-MD" w:eastAsia="ru-RU"/>
        </w:rPr>
        <w:t>remiilor unice (anul 2021 - 35985,4 mii lei</w:t>
      </w:r>
      <w:r w:rsidR="00914C62" w:rsidRPr="0080251F">
        <w:rPr>
          <w:rFonts w:ascii="Times New Roman" w:eastAsia="Times New Roman" w:hAnsi="Times New Roman" w:cs="Times New Roman"/>
          <w:bCs/>
          <w:sz w:val="24"/>
          <w:szCs w:val="24"/>
          <w:lang w:val="ro-MD" w:eastAsia="ru-RU"/>
        </w:rPr>
        <w:t xml:space="preserve">, </w:t>
      </w:r>
      <w:r w:rsidRPr="0080251F">
        <w:rPr>
          <w:rFonts w:ascii="Times New Roman" w:eastAsia="Times New Roman" w:hAnsi="Times New Roman" w:cs="Times New Roman"/>
          <w:bCs/>
          <w:sz w:val="24"/>
          <w:szCs w:val="24"/>
          <w:lang w:val="ro-MD" w:eastAsia="ru-RU"/>
        </w:rPr>
        <w:t>sau 21,8%, anul 2022 – 33617,7 mii lei</w:t>
      </w:r>
      <w:r w:rsidR="00914C62"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 xml:space="preserve"> sau 19,1%) nu a depășit, conform prevederilor pct.6 din </w:t>
      </w:r>
      <w:r w:rsidR="001C339B" w:rsidRPr="0080251F">
        <w:rPr>
          <w:rFonts w:ascii="Times New Roman" w:eastAsia="Times New Roman" w:hAnsi="Times New Roman" w:cs="Times New Roman"/>
          <w:bCs/>
          <w:sz w:val="24"/>
          <w:szCs w:val="24"/>
          <w:lang w:val="ro-MD" w:eastAsia="ru-RU"/>
        </w:rPr>
        <w:t>HG</w:t>
      </w:r>
      <w:r w:rsidR="00924863" w:rsidRPr="0080251F">
        <w:rPr>
          <w:rFonts w:ascii="Times New Roman" w:eastAsia="Times New Roman" w:hAnsi="Times New Roman" w:cs="Times New Roman"/>
          <w:bCs/>
          <w:sz w:val="24"/>
          <w:szCs w:val="24"/>
          <w:lang w:val="ro-MD" w:eastAsia="ru-RU"/>
        </w:rPr>
        <w:t xml:space="preserve"> </w:t>
      </w:r>
      <w:r w:rsidRPr="0080251F">
        <w:rPr>
          <w:rFonts w:ascii="Times New Roman" w:eastAsia="Times New Roman" w:hAnsi="Times New Roman" w:cs="Times New Roman"/>
          <w:bCs/>
          <w:sz w:val="24"/>
          <w:szCs w:val="24"/>
          <w:lang w:val="ro-MD" w:eastAsia="ru-RU"/>
        </w:rPr>
        <w:t xml:space="preserve">nr.743 din 11.06.2002, valoarea de 100% din salariile tarifare/de funcție ale personalului angajat, ținând cont </w:t>
      </w:r>
      <w:r w:rsidRPr="005208BB">
        <w:rPr>
          <w:rFonts w:ascii="Times New Roman" w:eastAsia="Times New Roman" w:hAnsi="Times New Roman" w:cs="Times New Roman"/>
          <w:bCs/>
          <w:sz w:val="24"/>
          <w:szCs w:val="24"/>
          <w:lang w:val="ro-MD" w:eastAsia="ru-RU"/>
        </w:rPr>
        <w:t>de sporurile și suplimentele prevăzute de legislație</w:t>
      </w:r>
      <w:r w:rsidRPr="005208BB">
        <w:rPr>
          <w:rFonts w:ascii="Times New Roman" w:eastAsia="Times New Roman" w:hAnsi="Times New Roman" w:cs="Times New Roman"/>
          <w:bCs/>
          <w:sz w:val="24"/>
          <w:szCs w:val="24"/>
          <w:vertAlign w:val="superscript"/>
          <w:lang w:val="ro-MD" w:eastAsia="ru-RU"/>
        </w:rPr>
        <w:footnoteReference w:id="92"/>
      </w:r>
      <w:r w:rsidRPr="005208BB">
        <w:rPr>
          <w:rFonts w:ascii="Times New Roman" w:eastAsia="Times New Roman" w:hAnsi="Times New Roman" w:cs="Times New Roman"/>
          <w:bCs/>
          <w:sz w:val="24"/>
          <w:szCs w:val="24"/>
          <w:lang w:val="ro-MD" w:eastAsia="ru-RU"/>
        </w:rPr>
        <w:t xml:space="preserve">, unele premii unice au fost acordate cu </w:t>
      </w:r>
      <w:r w:rsidR="00137AA3" w:rsidRPr="005208BB">
        <w:rPr>
          <w:rFonts w:ascii="Times New Roman" w:eastAsia="Times New Roman" w:hAnsi="Times New Roman" w:cs="Times New Roman"/>
          <w:bCs/>
          <w:sz w:val="24"/>
          <w:szCs w:val="24"/>
          <w:lang w:val="ro-MD" w:eastAsia="ru-RU"/>
        </w:rPr>
        <w:t>abatere</w:t>
      </w:r>
      <w:r w:rsidRPr="005208BB">
        <w:rPr>
          <w:rFonts w:ascii="Times New Roman" w:eastAsia="Times New Roman" w:hAnsi="Times New Roman" w:cs="Times New Roman"/>
          <w:bCs/>
          <w:sz w:val="24"/>
          <w:szCs w:val="24"/>
          <w:lang w:val="ro-MD" w:eastAsia="ru-RU"/>
        </w:rPr>
        <w:t xml:space="preserve"> de la prevederile</w:t>
      </w:r>
      <w:r w:rsidRPr="0080251F">
        <w:rPr>
          <w:rFonts w:ascii="Times New Roman" w:eastAsia="Times New Roman" w:hAnsi="Times New Roman" w:cs="Times New Roman"/>
          <w:bCs/>
          <w:sz w:val="24"/>
          <w:szCs w:val="24"/>
          <w:lang w:val="ro-MD" w:eastAsia="ru-RU"/>
        </w:rPr>
        <w:t xml:space="preserve"> normative.</w:t>
      </w:r>
    </w:p>
    <w:p w14:paraId="77695623" w14:textId="7D132058" w:rsidR="00033141" w:rsidRPr="0080251F" w:rsidRDefault="00033141" w:rsidP="00CE707A">
      <w:pPr>
        <w:spacing w:after="0" w:line="276" w:lineRule="auto"/>
        <w:ind w:firstLine="709"/>
        <w:jc w:val="both"/>
        <w:rPr>
          <w:rFonts w:ascii="Times New Roman" w:eastAsia="Times New Roman" w:hAnsi="Times New Roman" w:cs="Times New Roman"/>
          <w:sz w:val="24"/>
          <w:szCs w:val="24"/>
          <w:lang w:val="ro-MD" w:eastAsia="ru-RU"/>
        </w:rPr>
      </w:pPr>
      <w:r w:rsidRPr="0080251F">
        <w:rPr>
          <w:rFonts w:ascii="Times New Roman" w:eastAsia="Times New Roman" w:hAnsi="Times New Roman" w:cs="Times New Roman"/>
          <w:sz w:val="24"/>
          <w:szCs w:val="24"/>
          <w:lang w:val="ro-MD" w:eastAsia="ru-RU"/>
        </w:rPr>
        <w:t>Astfel, conform preved</w:t>
      </w:r>
      <w:r w:rsidR="009A34BA" w:rsidRPr="0080251F">
        <w:rPr>
          <w:rFonts w:ascii="Times New Roman" w:eastAsia="Times New Roman" w:hAnsi="Times New Roman" w:cs="Times New Roman"/>
          <w:sz w:val="24"/>
          <w:szCs w:val="24"/>
          <w:lang w:val="ro-MD" w:eastAsia="ru-RU"/>
        </w:rPr>
        <w:t>erilor art.4 din Legea nr.847</w:t>
      </w:r>
      <w:r w:rsidRPr="0080251F">
        <w:rPr>
          <w:rFonts w:ascii="Times New Roman" w:eastAsia="Times New Roman" w:hAnsi="Times New Roman" w:cs="Times New Roman"/>
          <w:sz w:val="24"/>
          <w:szCs w:val="24"/>
          <w:lang w:val="ro-MD" w:eastAsia="ru-RU"/>
        </w:rPr>
        <w:t xml:space="preserve"> din 14.02.2002, </w:t>
      </w:r>
      <w:r w:rsidRPr="0080251F">
        <w:rPr>
          <w:rFonts w:ascii="Times New Roman" w:hAnsi="Times New Roman" w:cs="Times New Roman"/>
          <w:sz w:val="24"/>
          <w:szCs w:val="24"/>
          <w:lang w:val="ro-MD"/>
        </w:rPr>
        <w:t>în sistemul tarifar salariul include salariul de bază (salariul tarifar), salariul suplimentar (adaosurile și sporurile la salariul de bază) și alte plăți de stimulare și compensare.</w:t>
      </w:r>
      <w:r w:rsidRPr="0080251F">
        <w:rPr>
          <w:rFonts w:ascii="Times New Roman" w:eastAsia="Times New Roman" w:hAnsi="Times New Roman" w:cs="Times New Roman"/>
          <w:sz w:val="24"/>
          <w:szCs w:val="24"/>
          <w:lang w:val="ro-MD" w:eastAsia="ru-RU"/>
        </w:rPr>
        <w:t xml:space="preserve"> Salariul suplimentar</w:t>
      </w:r>
      <w:r w:rsidRPr="0080251F">
        <w:rPr>
          <w:rFonts w:ascii="Times New Roman" w:eastAsia="Times New Roman" w:hAnsi="Times New Roman" w:cs="Times New Roman"/>
          <w:sz w:val="24"/>
          <w:szCs w:val="24"/>
          <w:vertAlign w:val="superscript"/>
          <w:lang w:val="ro-MD" w:eastAsia="ru-RU"/>
        </w:rPr>
        <w:footnoteReference w:id="93"/>
      </w:r>
      <w:r w:rsidRPr="0080251F">
        <w:rPr>
          <w:rFonts w:ascii="Times New Roman" w:eastAsia="Times New Roman" w:hAnsi="Times New Roman" w:cs="Times New Roman"/>
          <w:sz w:val="24"/>
          <w:szCs w:val="24"/>
          <w:lang w:val="ro-MD" w:eastAsia="ru-RU"/>
        </w:rPr>
        <w:t xml:space="preserve"> reprezintă o recompensă pentru munca peste normele stabilite, pentru muncă eficientă și inventivitate și pentru condiț</w:t>
      </w:r>
      <w:r w:rsidR="00924863" w:rsidRPr="0080251F">
        <w:rPr>
          <w:rFonts w:ascii="Times New Roman" w:eastAsia="Times New Roman" w:hAnsi="Times New Roman" w:cs="Times New Roman"/>
          <w:sz w:val="24"/>
          <w:szCs w:val="24"/>
          <w:lang w:val="ro-MD" w:eastAsia="ru-RU"/>
        </w:rPr>
        <w:t>ii deosebite de muncă. Alte plăț</w:t>
      </w:r>
      <w:r w:rsidRPr="0080251F">
        <w:rPr>
          <w:rFonts w:ascii="Times New Roman" w:eastAsia="Times New Roman" w:hAnsi="Times New Roman" w:cs="Times New Roman"/>
          <w:sz w:val="24"/>
          <w:szCs w:val="24"/>
          <w:lang w:val="ro-MD" w:eastAsia="ru-RU"/>
        </w:rPr>
        <w:t>i de stimulare și compensare includ recompensele conform rezultatelor activității anuale, premiile potrivit sistemelor și regulamentelor speciale, plățile de compensare, precum și alte plă</w:t>
      </w:r>
      <w:r w:rsidR="00914C62" w:rsidRPr="0080251F">
        <w:rPr>
          <w:rFonts w:ascii="Times New Roman" w:eastAsia="Times New Roman" w:hAnsi="Times New Roman" w:cs="Times New Roman"/>
          <w:sz w:val="24"/>
          <w:szCs w:val="24"/>
          <w:lang w:val="ro-MD" w:eastAsia="ru-RU"/>
        </w:rPr>
        <w:t>ț</w:t>
      </w:r>
      <w:r w:rsidRPr="0080251F">
        <w:rPr>
          <w:rFonts w:ascii="Times New Roman" w:eastAsia="Times New Roman" w:hAnsi="Times New Roman" w:cs="Times New Roman"/>
          <w:sz w:val="24"/>
          <w:szCs w:val="24"/>
          <w:lang w:val="ro-MD" w:eastAsia="ru-RU"/>
        </w:rPr>
        <w:t>i neprevăzute de legislație care nu contravin acesteia.</w:t>
      </w:r>
    </w:p>
    <w:p w14:paraId="5766034F" w14:textId="0A7D4C99" w:rsidR="0024667A" w:rsidRPr="0080251F" w:rsidRDefault="00033141" w:rsidP="00CE707A">
      <w:pPr>
        <w:pStyle w:val="a6"/>
        <w:tabs>
          <w:tab w:val="left" w:pos="0"/>
        </w:tabs>
        <w:spacing w:after="0" w:line="276" w:lineRule="auto"/>
        <w:ind w:left="0" w:firstLine="709"/>
        <w:jc w:val="both"/>
        <w:rPr>
          <w:rFonts w:ascii="Times New Roman" w:eastAsia="Times New Roman" w:hAnsi="Times New Roman" w:cs="Times New Roman"/>
          <w:sz w:val="24"/>
          <w:szCs w:val="24"/>
          <w:lang w:val="ro-MD" w:eastAsia="ru-RU"/>
        </w:rPr>
      </w:pPr>
      <w:r w:rsidRPr="0080251F">
        <w:rPr>
          <w:rFonts w:ascii="Times New Roman" w:eastAsia="Times New Roman" w:hAnsi="Times New Roman" w:cs="Times New Roman"/>
          <w:sz w:val="24"/>
          <w:szCs w:val="24"/>
          <w:lang w:val="ro-MD" w:eastAsia="ru-RU"/>
        </w:rPr>
        <w:t>În acest context</w:t>
      </w:r>
      <w:r w:rsidR="00914C62" w:rsidRPr="0080251F">
        <w:rPr>
          <w:rFonts w:ascii="Times New Roman" w:eastAsia="Times New Roman" w:hAnsi="Times New Roman" w:cs="Times New Roman"/>
          <w:sz w:val="24"/>
          <w:szCs w:val="24"/>
          <w:lang w:val="ro-MD" w:eastAsia="ru-RU"/>
        </w:rPr>
        <w:t>,</w:t>
      </w:r>
      <w:r w:rsidRPr="0080251F">
        <w:rPr>
          <w:rFonts w:ascii="Times New Roman" w:eastAsia="Times New Roman" w:hAnsi="Times New Roman" w:cs="Times New Roman"/>
          <w:sz w:val="24"/>
          <w:szCs w:val="24"/>
          <w:lang w:val="ro-MD" w:eastAsia="ru-RU"/>
        </w:rPr>
        <w:t xml:space="preserve"> se constată că premiile acordate în anul 2021 în baza ordinului conducerii  pentru participarea la competiții profesionale</w:t>
      </w:r>
      <w:r w:rsidR="00914C62" w:rsidRPr="0080251F">
        <w:rPr>
          <w:rFonts w:ascii="Times New Roman" w:eastAsia="Times New Roman" w:hAnsi="Times New Roman" w:cs="Times New Roman"/>
          <w:sz w:val="24"/>
          <w:szCs w:val="24"/>
          <w:lang w:val="ro-MD" w:eastAsia="ru-RU"/>
        </w:rPr>
        <w:t>,</w:t>
      </w:r>
      <w:r w:rsidRPr="0080251F">
        <w:rPr>
          <w:rFonts w:ascii="Times New Roman" w:eastAsia="Times New Roman" w:hAnsi="Times New Roman" w:cs="Times New Roman"/>
          <w:sz w:val="24"/>
          <w:szCs w:val="24"/>
          <w:lang w:val="ro-MD" w:eastAsia="ru-RU"/>
        </w:rPr>
        <w:t xml:space="preserve"> în sumă totală de </w:t>
      </w:r>
      <w:r w:rsidRPr="0080251F">
        <w:rPr>
          <w:rFonts w:ascii="Times New Roman" w:eastAsia="Times New Roman" w:hAnsi="Times New Roman" w:cs="Times New Roman"/>
          <w:b/>
          <w:sz w:val="24"/>
          <w:szCs w:val="24"/>
          <w:lang w:val="ro-MD" w:eastAsia="ru-RU"/>
        </w:rPr>
        <w:t>343,5 mii lei</w:t>
      </w:r>
      <w:r w:rsidRPr="0080251F">
        <w:rPr>
          <w:rFonts w:ascii="Times New Roman" w:eastAsia="Times New Roman" w:hAnsi="Times New Roman" w:cs="Times New Roman"/>
          <w:sz w:val="24"/>
          <w:szCs w:val="24"/>
          <w:lang w:val="ro-MD" w:eastAsia="ru-RU"/>
        </w:rPr>
        <w:t>, nu au fost reglementate prin Contractul colectiv de muncă, Convenția colectivă</w:t>
      </w:r>
      <w:r w:rsidRPr="0080251F">
        <w:rPr>
          <w:rFonts w:ascii="Times New Roman" w:eastAsia="Times New Roman" w:hAnsi="Times New Roman" w:cs="Times New Roman"/>
          <w:sz w:val="24"/>
          <w:szCs w:val="24"/>
          <w:vertAlign w:val="superscript"/>
          <w:lang w:val="ro-MD" w:eastAsia="ru-RU"/>
        </w:rPr>
        <w:footnoteReference w:id="94"/>
      </w:r>
      <w:r w:rsidRPr="0080251F">
        <w:rPr>
          <w:rFonts w:ascii="Times New Roman" w:eastAsia="Times New Roman" w:hAnsi="Times New Roman" w:cs="Times New Roman"/>
          <w:sz w:val="24"/>
          <w:szCs w:val="24"/>
          <w:lang w:val="ro-MD" w:eastAsia="ru-RU"/>
        </w:rPr>
        <w:t xml:space="preserve"> și de legislația în vigoare</w:t>
      </w:r>
      <w:r w:rsidR="00914C62" w:rsidRPr="0080251F">
        <w:rPr>
          <w:rFonts w:ascii="Times New Roman" w:eastAsia="Times New Roman" w:hAnsi="Times New Roman" w:cs="Times New Roman"/>
          <w:sz w:val="24"/>
          <w:szCs w:val="24"/>
          <w:lang w:val="ro-MD" w:eastAsia="ru-RU"/>
        </w:rPr>
        <w:t xml:space="preserve">, </w:t>
      </w:r>
      <w:r w:rsidRPr="0080251F">
        <w:rPr>
          <w:rFonts w:ascii="Times New Roman" w:eastAsia="Times New Roman" w:hAnsi="Times New Roman" w:cs="Times New Roman"/>
          <w:sz w:val="24"/>
          <w:szCs w:val="24"/>
          <w:lang w:val="ro-MD" w:eastAsia="ru-RU"/>
        </w:rPr>
        <w:t>ne</w:t>
      </w:r>
      <w:r w:rsidR="00914C62" w:rsidRPr="0080251F">
        <w:rPr>
          <w:rFonts w:ascii="Times New Roman" w:eastAsia="Times New Roman" w:hAnsi="Times New Roman" w:cs="Times New Roman"/>
          <w:sz w:val="24"/>
          <w:szCs w:val="24"/>
          <w:lang w:val="ro-MD" w:eastAsia="ru-RU"/>
        </w:rPr>
        <w:t xml:space="preserve">fiind </w:t>
      </w:r>
      <w:r w:rsidRPr="0080251F">
        <w:rPr>
          <w:rFonts w:ascii="Times New Roman" w:eastAsia="Times New Roman" w:hAnsi="Times New Roman" w:cs="Times New Roman"/>
          <w:sz w:val="24"/>
          <w:szCs w:val="24"/>
          <w:lang w:val="ro-MD" w:eastAsia="ru-RU"/>
        </w:rPr>
        <w:t>conforme cu sistemul de remunerare</w:t>
      </w:r>
      <w:r w:rsidR="00914C62" w:rsidRPr="0080251F">
        <w:rPr>
          <w:rFonts w:ascii="Times New Roman" w:eastAsia="Times New Roman" w:hAnsi="Times New Roman" w:cs="Times New Roman"/>
          <w:sz w:val="24"/>
          <w:szCs w:val="24"/>
          <w:lang w:val="ro-MD" w:eastAsia="ru-RU"/>
        </w:rPr>
        <w:t xml:space="preserve"> </w:t>
      </w:r>
      <w:r w:rsidRPr="0080251F">
        <w:rPr>
          <w:rFonts w:ascii="Times New Roman" w:eastAsia="Times New Roman" w:hAnsi="Times New Roman" w:cs="Times New Roman"/>
          <w:sz w:val="24"/>
          <w:szCs w:val="24"/>
          <w:lang w:val="ro-MD" w:eastAsia="ru-RU"/>
        </w:rPr>
        <w:t>a muncii existent în sectorul real al economiei. În același timp</w:t>
      </w:r>
      <w:r w:rsidR="00914C62" w:rsidRPr="0080251F">
        <w:rPr>
          <w:rFonts w:ascii="Times New Roman" w:eastAsia="Times New Roman" w:hAnsi="Times New Roman" w:cs="Times New Roman"/>
          <w:sz w:val="24"/>
          <w:szCs w:val="24"/>
          <w:lang w:val="ro-MD" w:eastAsia="ru-RU"/>
        </w:rPr>
        <w:t>,</w:t>
      </w:r>
      <w:r w:rsidRPr="0080251F">
        <w:rPr>
          <w:rFonts w:ascii="Times New Roman" w:eastAsia="Times New Roman" w:hAnsi="Times New Roman" w:cs="Times New Roman"/>
          <w:sz w:val="24"/>
          <w:szCs w:val="24"/>
          <w:lang w:val="ro-MD" w:eastAsia="ru-RU"/>
        </w:rPr>
        <w:t xml:space="preserve"> nu este justificată oportunitatea acordării acestor premii, în cazul în care</w:t>
      </w:r>
      <w:r w:rsidR="00914C62" w:rsidRPr="0080251F">
        <w:rPr>
          <w:rFonts w:ascii="Times New Roman" w:eastAsia="Times New Roman" w:hAnsi="Times New Roman" w:cs="Times New Roman"/>
          <w:sz w:val="24"/>
          <w:szCs w:val="24"/>
          <w:lang w:val="ro-MD" w:eastAsia="ru-RU"/>
        </w:rPr>
        <w:t>,</w:t>
      </w:r>
      <w:r w:rsidRPr="0080251F">
        <w:rPr>
          <w:rFonts w:ascii="Times New Roman" w:eastAsia="Times New Roman" w:hAnsi="Times New Roman" w:cs="Times New Roman"/>
          <w:sz w:val="24"/>
          <w:szCs w:val="24"/>
          <w:lang w:val="ro-MD" w:eastAsia="ru-RU"/>
        </w:rPr>
        <w:t xml:space="preserve"> pentru ziua competițiilor</w:t>
      </w:r>
      <w:r w:rsidR="00914C62" w:rsidRPr="0080251F">
        <w:rPr>
          <w:rFonts w:ascii="Times New Roman" w:eastAsia="Times New Roman" w:hAnsi="Times New Roman" w:cs="Times New Roman"/>
          <w:sz w:val="24"/>
          <w:szCs w:val="24"/>
          <w:lang w:val="ro-MD" w:eastAsia="ru-RU"/>
        </w:rPr>
        <w:t>,</w:t>
      </w:r>
      <w:r w:rsidRPr="0080251F">
        <w:rPr>
          <w:rFonts w:ascii="Times New Roman" w:eastAsia="Times New Roman" w:hAnsi="Times New Roman" w:cs="Times New Roman"/>
          <w:sz w:val="24"/>
          <w:szCs w:val="24"/>
          <w:lang w:val="ro-MD" w:eastAsia="ru-RU"/>
        </w:rPr>
        <w:t xml:space="preserve"> lucrătorului i-a fost păstrat salariul la locul de muncă,</w:t>
      </w:r>
      <w:r w:rsidRPr="0080251F">
        <w:rPr>
          <w:rFonts w:ascii="Times New Roman" w:hAnsi="Times New Roman" w:cs="Times New Roman"/>
          <w:sz w:val="24"/>
          <w:szCs w:val="24"/>
          <w:lang w:val="ro-MD"/>
        </w:rPr>
        <w:t xml:space="preserve"> </w:t>
      </w:r>
      <w:r w:rsidRPr="0080251F">
        <w:rPr>
          <w:rFonts w:ascii="Times New Roman" w:eastAsia="Times New Roman" w:hAnsi="Times New Roman" w:cs="Times New Roman"/>
          <w:sz w:val="24"/>
          <w:szCs w:val="24"/>
          <w:lang w:val="ro-MD" w:eastAsia="ru-RU"/>
        </w:rPr>
        <w:t>iar posedarea și menținerea abilităților profesionale este o condiție de bază pentru angajarea salariatului și pentru executarea conformă a atribuțiilor de serviciu</w:t>
      </w:r>
      <w:r w:rsidR="00060876" w:rsidRPr="0080251F">
        <w:rPr>
          <w:rFonts w:ascii="Times New Roman" w:eastAsia="Times New Roman" w:hAnsi="Times New Roman" w:cs="Times New Roman"/>
          <w:sz w:val="24"/>
          <w:szCs w:val="24"/>
          <w:lang w:val="ro-MD" w:eastAsia="ru-RU"/>
        </w:rPr>
        <w:t>.</w:t>
      </w:r>
    </w:p>
    <w:p w14:paraId="0ED5630D" w14:textId="74D7373D" w:rsidR="00924863" w:rsidRPr="0080251F" w:rsidRDefault="00924863" w:rsidP="00E3262D">
      <w:pPr>
        <w:numPr>
          <w:ilvl w:val="0"/>
          <w:numId w:val="31"/>
        </w:numPr>
        <w:tabs>
          <w:tab w:val="left" w:pos="567"/>
          <w:tab w:val="left" w:pos="851"/>
        </w:tabs>
        <w:spacing w:after="0" w:line="276" w:lineRule="auto"/>
        <w:ind w:left="0" w:firstLine="567"/>
        <w:jc w:val="both"/>
        <w:rPr>
          <w:rFonts w:ascii="Times New Roman" w:eastAsia="Times New Roman" w:hAnsi="Times New Roman" w:cs="Times New Roman"/>
          <w:i/>
          <w:sz w:val="24"/>
          <w:szCs w:val="24"/>
          <w:u w:val="single"/>
          <w:lang w:val="ro-MD" w:eastAsia="ru-RU"/>
        </w:rPr>
      </w:pPr>
      <w:r w:rsidRPr="0080251F">
        <w:rPr>
          <w:rFonts w:ascii="Times New Roman" w:eastAsia="Times New Roman" w:hAnsi="Times New Roman" w:cs="Times New Roman"/>
          <w:bCs/>
          <w:i/>
          <w:sz w:val="24"/>
          <w:szCs w:val="24"/>
          <w:u w:val="single"/>
          <w:lang w:val="ro-MD" w:eastAsia="ru-RU"/>
        </w:rPr>
        <w:t xml:space="preserve">Stabilirea neconformă a </w:t>
      </w:r>
      <w:r w:rsidRPr="0080251F">
        <w:rPr>
          <w:rFonts w:ascii="Times New Roman" w:eastAsia="Times New Roman" w:hAnsi="Times New Roman" w:cs="Times New Roman"/>
          <w:i/>
          <w:sz w:val="24"/>
          <w:szCs w:val="24"/>
          <w:u w:val="single"/>
          <w:lang w:val="ro-MD" w:eastAsia="ru-RU"/>
        </w:rPr>
        <w:t>sporului la salariu pentru lucrul în condiții vătămătoare</w:t>
      </w:r>
      <w:r w:rsidRPr="0080251F">
        <w:rPr>
          <w:rFonts w:ascii="Times New Roman" w:eastAsia="Times New Roman" w:hAnsi="Times New Roman" w:cs="Times New Roman"/>
          <w:bCs/>
          <w:i/>
          <w:sz w:val="24"/>
          <w:szCs w:val="24"/>
          <w:u w:val="single"/>
          <w:lang w:val="ro-MD" w:eastAsia="ru-RU"/>
        </w:rPr>
        <w:t xml:space="preserve"> a condiționat majorarea neregulamentară a cheltuielilor privind retribuirea muncii cu </w:t>
      </w:r>
      <w:r w:rsidR="001C339B" w:rsidRPr="0080251F">
        <w:rPr>
          <w:rFonts w:ascii="Times New Roman" w:eastAsia="Times New Roman" w:hAnsi="Times New Roman" w:cs="Times New Roman"/>
          <w:b/>
          <w:bCs/>
          <w:i/>
          <w:iCs/>
          <w:sz w:val="24"/>
          <w:szCs w:val="24"/>
          <w:u w:val="single"/>
          <w:lang w:val="ro-MD" w:eastAsia="ru-RU"/>
        </w:rPr>
        <w:t>550,3 mii lei</w:t>
      </w:r>
      <w:r w:rsidRPr="0080251F">
        <w:rPr>
          <w:rFonts w:ascii="Times New Roman" w:eastAsia="Times New Roman" w:hAnsi="Times New Roman" w:cs="Times New Roman"/>
          <w:i/>
          <w:sz w:val="24"/>
          <w:szCs w:val="24"/>
          <w:u w:val="single"/>
          <w:lang w:val="ro-MD" w:eastAsia="ru-RU"/>
        </w:rPr>
        <w:t>.</w:t>
      </w:r>
    </w:p>
    <w:p w14:paraId="6C0C3202" w14:textId="3940EEE4" w:rsidR="009F63F4" w:rsidRPr="0080251F" w:rsidRDefault="009C36F3" w:rsidP="00CE707A">
      <w:pPr>
        <w:tabs>
          <w:tab w:val="left" w:pos="567"/>
        </w:tabs>
        <w:spacing w:after="0" w:line="276" w:lineRule="auto"/>
        <w:ind w:firstLine="709"/>
        <w:jc w:val="both"/>
        <w:rPr>
          <w:rFonts w:ascii="Times New Roman" w:eastAsia="Times New Roman" w:hAnsi="Times New Roman" w:cs="Times New Roman"/>
          <w:bCs/>
          <w:sz w:val="24"/>
          <w:szCs w:val="24"/>
          <w:lang w:val="ro-MD"/>
        </w:rPr>
      </w:pPr>
      <w:r w:rsidRPr="0080251F">
        <w:rPr>
          <w:rFonts w:ascii="Times New Roman" w:eastAsia="Times New Roman" w:hAnsi="Times New Roman" w:cs="Times New Roman"/>
          <w:bCs/>
          <w:sz w:val="24"/>
          <w:szCs w:val="24"/>
          <w:lang w:val="ro-MD"/>
        </w:rPr>
        <w:t>Conform prevede</w:t>
      </w:r>
      <w:r w:rsidR="009A34BA" w:rsidRPr="0080251F">
        <w:rPr>
          <w:rFonts w:ascii="Times New Roman" w:eastAsia="Times New Roman" w:hAnsi="Times New Roman" w:cs="Times New Roman"/>
          <w:bCs/>
          <w:sz w:val="24"/>
          <w:szCs w:val="24"/>
          <w:lang w:val="ro-MD"/>
        </w:rPr>
        <w:t>rilor art.15 din Legea nr.847</w:t>
      </w:r>
      <w:r w:rsidRPr="0080251F">
        <w:rPr>
          <w:rFonts w:ascii="Times New Roman" w:eastAsia="Times New Roman" w:hAnsi="Times New Roman" w:cs="Times New Roman"/>
          <w:bCs/>
          <w:sz w:val="24"/>
          <w:szCs w:val="24"/>
          <w:lang w:val="ro-MD"/>
        </w:rPr>
        <w:t xml:space="preserve"> din 14.02.2002</w:t>
      </w:r>
      <w:r w:rsidRPr="0080251F">
        <w:rPr>
          <w:rFonts w:ascii="Times New Roman" w:eastAsia="Times New Roman" w:hAnsi="Times New Roman" w:cs="Times New Roman"/>
          <w:bCs/>
          <w:sz w:val="24"/>
          <w:szCs w:val="24"/>
          <w:vertAlign w:val="superscript"/>
          <w:lang w:val="ro-MD"/>
        </w:rPr>
        <w:footnoteReference w:id="95"/>
      </w:r>
      <w:r w:rsidRPr="0080251F">
        <w:rPr>
          <w:rFonts w:ascii="Times New Roman" w:eastAsia="Times New Roman" w:hAnsi="Times New Roman" w:cs="Times New Roman"/>
          <w:bCs/>
          <w:sz w:val="24"/>
          <w:szCs w:val="24"/>
          <w:lang w:val="ro-MD"/>
        </w:rPr>
        <w:t xml:space="preserve">, este reglementat că mărimea concretă a sporurilor de compensare pentru munca prestată în condiții nefavorabile se stabilește în funcție de greutate și nocivitate, în limitele negociate de partenerii sociali și aprobate prin </w:t>
      </w:r>
      <w:r w:rsidR="00864F0E" w:rsidRPr="0080251F">
        <w:rPr>
          <w:rFonts w:ascii="Times New Roman" w:eastAsia="Times New Roman" w:hAnsi="Times New Roman" w:cs="Times New Roman"/>
          <w:bCs/>
          <w:sz w:val="24"/>
          <w:szCs w:val="24"/>
          <w:lang w:val="ro-MD"/>
        </w:rPr>
        <w:t>C</w:t>
      </w:r>
      <w:r w:rsidRPr="0080251F">
        <w:rPr>
          <w:rFonts w:ascii="Times New Roman" w:eastAsia="Times New Roman" w:hAnsi="Times New Roman" w:cs="Times New Roman"/>
          <w:bCs/>
          <w:sz w:val="24"/>
          <w:szCs w:val="24"/>
          <w:lang w:val="ro-MD"/>
        </w:rPr>
        <w:t xml:space="preserve">onvenția </w:t>
      </w:r>
      <w:r w:rsidR="00864F0E" w:rsidRPr="0080251F">
        <w:rPr>
          <w:rFonts w:ascii="Times New Roman" w:eastAsia="Times New Roman" w:hAnsi="Times New Roman" w:cs="Times New Roman"/>
          <w:bCs/>
          <w:sz w:val="24"/>
          <w:szCs w:val="24"/>
          <w:lang w:val="ro-MD"/>
        </w:rPr>
        <w:t>c</w:t>
      </w:r>
      <w:r w:rsidRPr="0080251F">
        <w:rPr>
          <w:rFonts w:ascii="Times New Roman" w:eastAsia="Times New Roman" w:hAnsi="Times New Roman" w:cs="Times New Roman"/>
          <w:bCs/>
          <w:sz w:val="24"/>
          <w:szCs w:val="24"/>
          <w:lang w:val="ro-MD"/>
        </w:rPr>
        <w:t>olectivă la nivel național și ram</w:t>
      </w:r>
      <w:r w:rsidR="008C4E7F" w:rsidRPr="0080251F">
        <w:rPr>
          <w:rFonts w:ascii="Times New Roman" w:eastAsia="Times New Roman" w:hAnsi="Times New Roman" w:cs="Times New Roman"/>
          <w:bCs/>
          <w:sz w:val="24"/>
          <w:szCs w:val="24"/>
          <w:lang w:val="ro-MD"/>
        </w:rPr>
        <w:t xml:space="preserve">ural. Prevederile pct.4.4. din </w:t>
      </w:r>
      <w:r w:rsidRPr="0080251F">
        <w:rPr>
          <w:rFonts w:ascii="Times New Roman" w:eastAsia="Times New Roman" w:hAnsi="Times New Roman" w:cs="Times New Roman"/>
          <w:bCs/>
          <w:sz w:val="24"/>
          <w:szCs w:val="24"/>
          <w:lang w:val="ro-MD"/>
        </w:rPr>
        <w:t>Convenția colectivă stipulează că pentru salariații care activează în condiții de muncă nefavorabile se stabilesc, în funcție de starea reală a condițiilor de muncă, sporuri de compensare în mărimile prevăzute de Convenția colectivă (nivel național) nr.1 din 3 februarie 2004 „Salarizarea angajaților aflați în relații de muncă în baza contractelor individuale de muncă”</w:t>
      </w:r>
      <w:r w:rsidR="009F63F4" w:rsidRPr="0080251F">
        <w:rPr>
          <w:rFonts w:ascii="Times New Roman" w:eastAsia="Times New Roman" w:hAnsi="Times New Roman" w:cs="Times New Roman"/>
          <w:bCs/>
          <w:sz w:val="24"/>
          <w:szCs w:val="24"/>
          <w:vertAlign w:val="superscript"/>
          <w:lang w:val="ro-MD"/>
        </w:rPr>
        <w:footnoteReference w:id="96"/>
      </w:r>
      <w:r w:rsidRPr="0080251F">
        <w:rPr>
          <w:rFonts w:ascii="Times New Roman" w:eastAsia="Times New Roman" w:hAnsi="Times New Roman" w:cs="Times New Roman"/>
          <w:bCs/>
          <w:sz w:val="24"/>
          <w:szCs w:val="24"/>
          <w:lang w:val="ro-MD"/>
        </w:rPr>
        <w:t>. Astfel, conform prevederilor pct.2 din Convenția colectivă (nivel național)</w:t>
      </w:r>
      <w:r w:rsidR="008C4E7F" w:rsidRPr="0080251F">
        <w:rPr>
          <w:rFonts w:ascii="Times New Roman" w:eastAsia="Times New Roman" w:hAnsi="Times New Roman" w:cs="Times New Roman"/>
          <w:bCs/>
          <w:sz w:val="24"/>
          <w:szCs w:val="24"/>
          <w:lang w:val="ro-MD"/>
        </w:rPr>
        <w:t xml:space="preserve"> nr.1</w:t>
      </w:r>
      <w:r w:rsidRPr="0080251F">
        <w:rPr>
          <w:rFonts w:ascii="Times New Roman" w:eastAsia="Times New Roman" w:hAnsi="Times New Roman" w:cs="Times New Roman"/>
          <w:bCs/>
          <w:sz w:val="24"/>
          <w:szCs w:val="24"/>
          <w:lang w:val="ro-MD"/>
        </w:rPr>
        <w:t>, s-a stabilit că mărimea sporurilor de compensare pentru munca prestată în condiții nefavorabile constituie 100, 120, 140, 160, 180 și 200 lei pentru gradele de nocivitate 2, 4, 6, 8, 10 și, respectiv, peste 10.</w:t>
      </w:r>
    </w:p>
    <w:p w14:paraId="2619F77E" w14:textId="5D47426C" w:rsidR="00A910D2" w:rsidRPr="0080251F" w:rsidRDefault="002953B7" w:rsidP="00254B0C">
      <w:pPr>
        <w:tabs>
          <w:tab w:val="left" w:pos="567"/>
        </w:tabs>
        <w:spacing w:after="0" w:line="276" w:lineRule="auto"/>
        <w:ind w:firstLine="709"/>
        <w:jc w:val="both"/>
        <w:rPr>
          <w:rFonts w:ascii="Times New Roman" w:eastAsia="Times New Roman" w:hAnsi="Times New Roman" w:cs="Times New Roman"/>
          <w:bCs/>
          <w:sz w:val="24"/>
          <w:szCs w:val="24"/>
          <w:lang w:val="ro-MD"/>
        </w:rPr>
      </w:pPr>
      <w:r w:rsidRPr="0080251F">
        <w:rPr>
          <w:rFonts w:ascii="Times New Roman" w:eastAsia="Times New Roman" w:hAnsi="Times New Roman" w:cs="Times New Roman"/>
          <w:bCs/>
          <w:sz w:val="24"/>
          <w:szCs w:val="24"/>
          <w:lang w:val="ro-MD"/>
        </w:rPr>
        <w:t>P</w:t>
      </w:r>
      <w:r w:rsidR="009F63F4" w:rsidRPr="0080251F">
        <w:rPr>
          <w:rFonts w:ascii="Times New Roman" w:eastAsia="Times New Roman" w:hAnsi="Times New Roman" w:cs="Times New Roman"/>
          <w:bCs/>
          <w:sz w:val="24"/>
          <w:szCs w:val="24"/>
          <w:lang w:val="ro-MD"/>
        </w:rPr>
        <w:t>otrivit prevederilor Anexei nr.18 din Contractul colectiv de muncă, S.A. „R</w:t>
      </w:r>
      <w:r w:rsidR="00864F0E" w:rsidRPr="0080251F">
        <w:rPr>
          <w:rFonts w:ascii="Times New Roman" w:eastAsia="Times New Roman" w:hAnsi="Times New Roman" w:cs="Times New Roman"/>
          <w:bCs/>
          <w:sz w:val="24"/>
          <w:szCs w:val="24"/>
          <w:lang w:val="ro-MD"/>
        </w:rPr>
        <w:t>ED</w:t>
      </w:r>
      <w:r w:rsidR="009F63F4" w:rsidRPr="0080251F">
        <w:rPr>
          <w:rFonts w:ascii="Times New Roman" w:eastAsia="Times New Roman" w:hAnsi="Times New Roman" w:cs="Times New Roman"/>
          <w:bCs/>
          <w:sz w:val="24"/>
          <w:szCs w:val="24"/>
          <w:lang w:val="ro-MD"/>
        </w:rPr>
        <w:t>-Nord” a stabilit acest spor în mărime procentuală din salariul minim pe țară (1</w:t>
      </w:r>
      <w:r w:rsidR="009A34BA"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000,0 lei</w:t>
      </w:r>
      <w:r w:rsidR="009F63F4" w:rsidRPr="0080251F">
        <w:rPr>
          <w:rFonts w:ascii="Times New Roman" w:eastAsia="Times New Roman" w:hAnsi="Times New Roman" w:cs="Times New Roman"/>
          <w:bCs/>
          <w:sz w:val="24"/>
          <w:szCs w:val="24"/>
          <w:vertAlign w:val="superscript"/>
          <w:lang w:val="ro-MD"/>
        </w:rPr>
        <w:footnoteReference w:id="97"/>
      </w:r>
      <w:r w:rsidR="009F63F4" w:rsidRPr="0080251F">
        <w:rPr>
          <w:rFonts w:ascii="Times New Roman" w:eastAsia="Times New Roman" w:hAnsi="Times New Roman" w:cs="Times New Roman"/>
          <w:bCs/>
          <w:sz w:val="24"/>
          <w:szCs w:val="24"/>
          <w:lang w:val="ro-MD"/>
        </w:rPr>
        <w:t xml:space="preserve"> pentru anul 2021 și ianuarie-august 2022; 3</w:t>
      </w:r>
      <w:r w:rsidR="009A34BA"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500,0 lei</w:t>
      </w:r>
      <w:r w:rsidR="009F63F4" w:rsidRPr="0080251F">
        <w:rPr>
          <w:rFonts w:ascii="Times New Roman" w:eastAsia="Times New Roman" w:hAnsi="Times New Roman" w:cs="Times New Roman"/>
          <w:bCs/>
          <w:sz w:val="24"/>
          <w:szCs w:val="24"/>
          <w:vertAlign w:val="superscript"/>
          <w:lang w:val="ro-MD"/>
        </w:rPr>
        <w:footnoteReference w:id="98"/>
      </w:r>
      <w:r w:rsidR="009F63F4" w:rsidRPr="0080251F">
        <w:rPr>
          <w:rFonts w:ascii="Times New Roman" w:eastAsia="Times New Roman" w:hAnsi="Times New Roman" w:cs="Times New Roman"/>
          <w:bCs/>
          <w:sz w:val="24"/>
          <w:szCs w:val="24"/>
          <w:lang w:val="ro-MD"/>
        </w:rPr>
        <w:t xml:space="preserve"> pentru septembrie-decembrie 2022) în funcție de gradul de nocivitate, după cum urmează: 25,0% pentru gradul de nocivitate până la 2 puncte</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sau 250 lei și</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respectiv</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875 lei; 30,0% </w:t>
      </w:r>
      <w:r w:rsidR="00204E3D" w:rsidRPr="0080251F">
        <w:rPr>
          <w:rFonts w:ascii="Times New Roman" w:eastAsia="Times New Roman" w:hAnsi="Times New Roman" w:cs="Times New Roman"/>
          <w:bCs/>
          <w:sz w:val="24"/>
          <w:szCs w:val="24"/>
          <w:lang w:val="ro-MD"/>
        </w:rPr>
        <w:t xml:space="preserve"> pentru</w:t>
      </w:r>
      <w:r w:rsidR="009F63F4" w:rsidRPr="0080251F">
        <w:rPr>
          <w:rFonts w:ascii="Times New Roman" w:eastAsia="Times New Roman" w:hAnsi="Times New Roman" w:cs="Times New Roman"/>
          <w:bCs/>
          <w:sz w:val="24"/>
          <w:szCs w:val="24"/>
          <w:lang w:val="ro-MD"/>
        </w:rPr>
        <w:t xml:space="preserve"> gradul de nocivitate - 4 puncte</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sau 200 lei și</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respectiv</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1</w:t>
      </w:r>
      <w:r w:rsidR="009A34BA"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050 lei</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și 35,0% </w:t>
      </w:r>
      <w:r w:rsidR="00204E3D" w:rsidRPr="0080251F">
        <w:rPr>
          <w:rFonts w:ascii="Times New Roman" w:eastAsia="Times New Roman" w:hAnsi="Times New Roman" w:cs="Times New Roman"/>
          <w:bCs/>
          <w:sz w:val="24"/>
          <w:szCs w:val="24"/>
          <w:lang w:val="ro-MD"/>
        </w:rPr>
        <w:t xml:space="preserve"> pentru</w:t>
      </w:r>
      <w:r w:rsidR="009F63F4" w:rsidRPr="0080251F">
        <w:rPr>
          <w:rFonts w:ascii="Times New Roman" w:eastAsia="Times New Roman" w:hAnsi="Times New Roman" w:cs="Times New Roman"/>
          <w:bCs/>
          <w:sz w:val="24"/>
          <w:szCs w:val="24"/>
          <w:lang w:val="ro-MD"/>
        </w:rPr>
        <w:t xml:space="preserve"> gradul de nocivitate - 6 puncte</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sau 350 lei și</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respectiv</w:t>
      </w:r>
      <w:r w:rsidR="00204E3D" w:rsidRPr="0080251F">
        <w:rPr>
          <w:rFonts w:ascii="Times New Roman" w:eastAsia="Times New Roman" w:hAnsi="Times New Roman" w:cs="Times New Roman"/>
          <w:bCs/>
          <w:sz w:val="24"/>
          <w:szCs w:val="24"/>
          <w:lang w:val="ro-MD"/>
        </w:rPr>
        <w:t xml:space="preserve">, </w:t>
      </w:r>
      <w:r w:rsidR="009F63F4" w:rsidRPr="0080251F">
        <w:rPr>
          <w:rFonts w:ascii="Times New Roman" w:eastAsia="Times New Roman" w:hAnsi="Times New Roman" w:cs="Times New Roman"/>
          <w:bCs/>
          <w:sz w:val="24"/>
          <w:szCs w:val="24"/>
          <w:lang w:val="ro-MD"/>
        </w:rPr>
        <w:t>1</w:t>
      </w:r>
      <w:r w:rsidR="009A34BA"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225 lei. Prin urmare, mărimea sporului pentru condiții nefavorabile</w:t>
      </w:r>
      <w:r w:rsidR="00204E3D" w:rsidRPr="0080251F">
        <w:rPr>
          <w:rFonts w:ascii="Times New Roman" w:eastAsia="Times New Roman" w:hAnsi="Times New Roman" w:cs="Times New Roman"/>
          <w:bCs/>
          <w:sz w:val="24"/>
          <w:szCs w:val="24"/>
          <w:lang w:val="ro-MD"/>
        </w:rPr>
        <w:t>,</w:t>
      </w:r>
      <w:r w:rsidR="009F63F4" w:rsidRPr="0080251F">
        <w:rPr>
          <w:rFonts w:ascii="Times New Roman" w:eastAsia="Times New Roman" w:hAnsi="Times New Roman" w:cs="Times New Roman"/>
          <w:bCs/>
          <w:sz w:val="24"/>
          <w:szCs w:val="24"/>
          <w:lang w:val="ro-MD"/>
        </w:rPr>
        <w:t xml:space="preserve"> stabilit în Contractul colectiv de muncă a</w:t>
      </w:r>
      <w:r w:rsidR="00204E3D" w:rsidRPr="0080251F">
        <w:rPr>
          <w:rFonts w:ascii="Times New Roman" w:eastAsia="Times New Roman" w:hAnsi="Times New Roman" w:cs="Times New Roman"/>
          <w:bCs/>
          <w:sz w:val="24"/>
          <w:szCs w:val="24"/>
          <w:lang w:val="ro-MD"/>
        </w:rPr>
        <w:t>l</w:t>
      </w:r>
      <w:r w:rsidR="009F63F4" w:rsidRPr="0080251F">
        <w:rPr>
          <w:rFonts w:ascii="Times New Roman" w:eastAsia="Times New Roman" w:hAnsi="Times New Roman" w:cs="Times New Roman"/>
          <w:bCs/>
          <w:sz w:val="24"/>
          <w:szCs w:val="24"/>
          <w:lang w:val="ro-MD"/>
        </w:rPr>
        <w:t xml:space="preserve"> S.A.„RED-Nord”</w:t>
      </w:r>
      <w:r w:rsidR="00204E3D" w:rsidRPr="0080251F">
        <w:rPr>
          <w:rFonts w:ascii="Times New Roman" w:eastAsia="Times New Roman" w:hAnsi="Times New Roman" w:cs="Times New Roman"/>
          <w:bCs/>
          <w:sz w:val="24"/>
          <w:szCs w:val="24"/>
          <w:lang w:val="ro-MD"/>
        </w:rPr>
        <w:t xml:space="preserve">, </w:t>
      </w:r>
      <w:r w:rsidR="009F63F4" w:rsidRPr="0080251F">
        <w:rPr>
          <w:rFonts w:ascii="Times New Roman" w:eastAsia="Times New Roman" w:hAnsi="Times New Roman" w:cs="Times New Roman"/>
          <w:bCs/>
          <w:sz w:val="24"/>
          <w:szCs w:val="24"/>
          <w:lang w:val="ro-MD"/>
        </w:rPr>
        <w:t xml:space="preserve"> este în contradicție cu cadrul normativ menționat, </w:t>
      </w:r>
      <w:r w:rsidR="00204E3D" w:rsidRPr="0080251F">
        <w:rPr>
          <w:rFonts w:ascii="Times New Roman" w:eastAsia="Times New Roman" w:hAnsi="Times New Roman" w:cs="Times New Roman"/>
          <w:bCs/>
          <w:sz w:val="24"/>
          <w:szCs w:val="24"/>
          <w:lang w:val="ro-MD"/>
        </w:rPr>
        <w:t xml:space="preserve">astfel </w:t>
      </w:r>
      <w:r w:rsidR="009F63F4" w:rsidRPr="0080251F">
        <w:rPr>
          <w:rFonts w:ascii="Times New Roman" w:eastAsia="Times New Roman" w:hAnsi="Times New Roman" w:cs="Times New Roman"/>
          <w:bCs/>
          <w:sz w:val="24"/>
          <w:szCs w:val="24"/>
          <w:lang w:val="ro-MD"/>
        </w:rPr>
        <w:t xml:space="preserve">suportându-se </w:t>
      </w:r>
      <w:r w:rsidR="00204E3D" w:rsidRPr="0080251F">
        <w:rPr>
          <w:rFonts w:ascii="Times New Roman" w:eastAsia="Times New Roman" w:hAnsi="Times New Roman" w:cs="Times New Roman"/>
          <w:bCs/>
          <w:sz w:val="24"/>
          <w:szCs w:val="24"/>
          <w:lang w:val="ro-MD"/>
        </w:rPr>
        <w:t xml:space="preserve">în </w:t>
      </w:r>
      <w:r w:rsidR="009F63F4" w:rsidRPr="0080251F">
        <w:rPr>
          <w:rFonts w:ascii="Times New Roman" w:eastAsia="Times New Roman" w:hAnsi="Times New Roman" w:cs="Times New Roman"/>
          <w:bCs/>
          <w:sz w:val="24"/>
          <w:szCs w:val="24"/>
          <w:lang w:val="ro-MD"/>
        </w:rPr>
        <w:t>ani</w:t>
      </w:r>
      <w:r w:rsidR="00204E3D" w:rsidRPr="0080251F">
        <w:rPr>
          <w:rFonts w:ascii="Times New Roman" w:eastAsia="Times New Roman" w:hAnsi="Times New Roman" w:cs="Times New Roman"/>
          <w:bCs/>
          <w:sz w:val="24"/>
          <w:szCs w:val="24"/>
          <w:lang w:val="ro-MD"/>
        </w:rPr>
        <w:t>i</w:t>
      </w:r>
      <w:r w:rsidR="009F63F4" w:rsidRPr="0080251F">
        <w:rPr>
          <w:rFonts w:ascii="Times New Roman" w:eastAsia="Times New Roman" w:hAnsi="Times New Roman" w:cs="Times New Roman"/>
          <w:bCs/>
          <w:sz w:val="24"/>
          <w:szCs w:val="24"/>
          <w:lang w:val="ro-MD"/>
        </w:rPr>
        <w:t xml:space="preserve"> 2021-2022 cheltuieli neregulamentare în mărime de </w:t>
      </w:r>
      <w:r w:rsidR="009F63F4" w:rsidRPr="0080251F">
        <w:rPr>
          <w:rFonts w:ascii="Times New Roman" w:eastAsia="Times New Roman" w:hAnsi="Times New Roman" w:cs="Times New Roman"/>
          <w:bCs/>
          <w:iCs/>
          <w:sz w:val="24"/>
          <w:szCs w:val="24"/>
          <w:lang w:val="ro-MD"/>
        </w:rPr>
        <w:t>circa</w:t>
      </w:r>
      <w:r w:rsidR="009F63F4" w:rsidRPr="0080251F">
        <w:rPr>
          <w:rFonts w:ascii="Times New Roman" w:eastAsia="Times New Roman" w:hAnsi="Times New Roman" w:cs="Times New Roman"/>
          <w:bCs/>
          <w:iCs/>
          <w:sz w:val="24"/>
          <w:szCs w:val="24"/>
          <w:vertAlign w:val="superscript"/>
          <w:lang w:val="ro-MD"/>
        </w:rPr>
        <w:footnoteReference w:id="99"/>
      </w:r>
      <w:r w:rsidR="009F63F4" w:rsidRPr="0080251F">
        <w:rPr>
          <w:rFonts w:ascii="Times New Roman" w:eastAsia="Times New Roman" w:hAnsi="Times New Roman" w:cs="Times New Roman"/>
          <w:b/>
          <w:bCs/>
          <w:iCs/>
          <w:sz w:val="24"/>
          <w:szCs w:val="24"/>
          <w:lang w:val="ro-MD"/>
        </w:rPr>
        <w:t xml:space="preserve"> 550,3 mii lei</w:t>
      </w:r>
      <w:r w:rsidR="009F63F4" w:rsidRPr="0080251F">
        <w:rPr>
          <w:rFonts w:ascii="Times New Roman" w:eastAsia="Times New Roman" w:hAnsi="Times New Roman" w:cs="Times New Roman"/>
          <w:bCs/>
          <w:iCs/>
          <w:sz w:val="24"/>
          <w:szCs w:val="24"/>
          <w:vertAlign w:val="superscript"/>
          <w:lang w:val="ro-MD"/>
        </w:rPr>
        <w:footnoteReference w:id="100"/>
      </w:r>
      <w:r w:rsidR="009F63F4" w:rsidRPr="0080251F">
        <w:rPr>
          <w:rFonts w:ascii="Times New Roman" w:eastAsia="Times New Roman" w:hAnsi="Times New Roman" w:cs="Times New Roman"/>
          <w:bCs/>
          <w:iCs/>
          <w:sz w:val="24"/>
          <w:szCs w:val="24"/>
          <w:lang w:val="ro-MD"/>
        </w:rPr>
        <w:t>.</w:t>
      </w:r>
      <w:r w:rsidR="009F63F4" w:rsidRPr="0080251F">
        <w:rPr>
          <w:rFonts w:ascii="Times New Roman" w:eastAsia="Times New Roman" w:hAnsi="Times New Roman" w:cs="Times New Roman"/>
          <w:bCs/>
          <w:sz w:val="24"/>
          <w:szCs w:val="24"/>
          <w:lang w:val="ro-MD"/>
        </w:rPr>
        <w:t xml:space="preserve"> </w:t>
      </w:r>
    </w:p>
    <w:p w14:paraId="33682E93" w14:textId="01C5C991" w:rsidR="00E07223" w:rsidRPr="0080251F" w:rsidRDefault="00F2580F" w:rsidP="00D96FCC">
      <w:pPr>
        <w:tabs>
          <w:tab w:val="left" w:pos="567"/>
        </w:tabs>
        <w:spacing w:after="0" w:line="276" w:lineRule="auto"/>
        <w:ind w:firstLine="709"/>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bCs/>
          <w:sz w:val="24"/>
          <w:szCs w:val="24"/>
          <w:lang w:val="ro-MD" w:eastAsia="ru-RU"/>
        </w:rPr>
        <w:t>Menționăm că</w:t>
      </w:r>
      <w:r w:rsidR="00D96FCC" w:rsidRPr="0080251F">
        <w:rPr>
          <w:rFonts w:ascii="Times New Roman" w:eastAsia="Times New Roman" w:hAnsi="Times New Roman" w:cs="Times New Roman"/>
          <w:bCs/>
          <w:sz w:val="24"/>
          <w:szCs w:val="24"/>
          <w:lang w:val="ro-MD" w:eastAsia="ru-RU"/>
        </w:rPr>
        <w:t xml:space="preserve"> </w:t>
      </w:r>
      <w:r w:rsidR="00E07223" w:rsidRPr="0080251F">
        <w:rPr>
          <w:rFonts w:ascii="Times New Roman" w:eastAsia="Times New Roman" w:hAnsi="Times New Roman" w:cs="Times New Roman"/>
          <w:bCs/>
          <w:sz w:val="24"/>
          <w:szCs w:val="24"/>
          <w:lang w:val="ro-MD" w:eastAsia="ru-RU"/>
        </w:rPr>
        <w:t>A</w:t>
      </w:r>
      <w:r w:rsidR="00D96FCC" w:rsidRPr="0080251F">
        <w:rPr>
          <w:rFonts w:ascii="Times New Roman" w:eastAsia="Times New Roman" w:hAnsi="Times New Roman" w:cs="Times New Roman"/>
          <w:bCs/>
          <w:sz w:val="24"/>
          <w:szCs w:val="24"/>
          <w:lang w:val="ro-MD" w:eastAsia="ru-RU"/>
        </w:rPr>
        <w:t>nexa</w:t>
      </w:r>
      <w:r w:rsidR="00E07223" w:rsidRPr="0080251F">
        <w:rPr>
          <w:rFonts w:ascii="Times New Roman" w:eastAsia="Times New Roman" w:hAnsi="Times New Roman" w:cs="Times New Roman"/>
          <w:bCs/>
          <w:sz w:val="24"/>
          <w:szCs w:val="24"/>
          <w:lang w:val="ro-MD" w:eastAsia="ru-RU"/>
        </w:rPr>
        <w:t xml:space="preserve"> nr.</w:t>
      </w:r>
      <w:r w:rsidR="00D96FCC" w:rsidRPr="0080251F">
        <w:rPr>
          <w:rFonts w:ascii="Times New Roman" w:eastAsia="Times New Roman" w:hAnsi="Times New Roman" w:cs="Times New Roman"/>
          <w:bCs/>
          <w:sz w:val="24"/>
          <w:szCs w:val="24"/>
          <w:lang w:val="ro-MD" w:eastAsia="ru-RU"/>
        </w:rPr>
        <w:t>18 la C</w:t>
      </w:r>
      <w:r w:rsidR="00E07223" w:rsidRPr="0080251F">
        <w:rPr>
          <w:rFonts w:ascii="Times New Roman" w:eastAsia="Times New Roman" w:hAnsi="Times New Roman" w:cs="Times New Roman"/>
          <w:bCs/>
          <w:sz w:val="24"/>
          <w:szCs w:val="24"/>
          <w:lang w:val="ro-MD" w:eastAsia="ru-RU"/>
        </w:rPr>
        <w:t xml:space="preserve">ontractul colectiv de muncă </w:t>
      </w:r>
      <w:r w:rsidR="00D96FCC" w:rsidRPr="0080251F">
        <w:rPr>
          <w:rFonts w:ascii="Times New Roman" w:eastAsia="Times New Roman" w:hAnsi="Times New Roman" w:cs="Times New Roman"/>
          <w:bCs/>
          <w:sz w:val="24"/>
          <w:szCs w:val="24"/>
          <w:lang w:val="ro-MD" w:eastAsia="ru-RU"/>
        </w:rPr>
        <w:t xml:space="preserve">a fost modificată </w:t>
      </w:r>
      <w:r w:rsidR="00E07223" w:rsidRPr="0080251F">
        <w:rPr>
          <w:rFonts w:ascii="Times New Roman" w:eastAsia="Times New Roman" w:hAnsi="Times New Roman" w:cs="Times New Roman"/>
          <w:bCs/>
          <w:sz w:val="24"/>
          <w:szCs w:val="24"/>
          <w:lang w:val="ro-MD" w:eastAsia="ru-RU"/>
        </w:rPr>
        <w:t xml:space="preserve">în data de 29.02.2024, </w:t>
      </w:r>
      <w:r w:rsidR="00D96FCC" w:rsidRPr="0080251F">
        <w:rPr>
          <w:rFonts w:ascii="Times New Roman" w:eastAsia="Times New Roman" w:hAnsi="Times New Roman" w:cs="Times New Roman"/>
          <w:bCs/>
          <w:sz w:val="24"/>
          <w:szCs w:val="24"/>
          <w:lang w:val="ro-MD" w:eastAsia="ru-RU"/>
        </w:rPr>
        <w:t>după care sporul la salariu pentru lucrul în condiții vătămătoare s-a stabilit în mărimile reglementate prin Convenția colectivă la nivel ramural.</w:t>
      </w:r>
    </w:p>
    <w:p w14:paraId="729EFBE4" w14:textId="11CC210C" w:rsidR="00423920" w:rsidRPr="0080251F" w:rsidRDefault="00351188" w:rsidP="00E3262D">
      <w:pPr>
        <w:spacing w:after="0" w:line="276" w:lineRule="auto"/>
        <w:jc w:val="both"/>
        <w:rPr>
          <w:rFonts w:ascii="Times New Roman" w:eastAsia="Times New Roman" w:hAnsi="Times New Roman" w:cs="Times New Roman"/>
          <w:b/>
          <w:bCs/>
          <w:i/>
          <w:sz w:val="24"/>
          <w:szCs w:val="24"/>
          <w:lang w:val="ro-MD" w:eastAsia="ru-RU"/>
        </w:rPr>
      </w:pPr>
      <w:r w:rsidRPr="0080251F">
        <w:rPr>
          <w:rFonts w:ascii="Times New Roman" w:eastAsia="Times New Roman" w:hAnsi="Times New Roman" w:cs="Times New Roman"/>
          <w:b/>
          <w:bCs/>
          <w:i/>
          <w:sz w:val="24"/>
          <w:szCs w:val="24"/>
          <w:lang w:val="ro-MD" w:eastAsia="ru-RU"/>
        </w:rPr>
        <w:t>4</w:t>
      </w:r>
      <w:r w:rsidR="00E03A8F" w:rsidRPr="0080251F">
        <w:rPr>
          <w:rFonts w:ascii="Times New Roman" w:eastAsia="Times New Roman" w:hAnsi="Times New Roman" w:cs="Times New Roman"/>
          <w:b/>
          <w:bCs/>
          <w:i/>
          <w:sz w:val="24"/>
          <w:szCs w:val="24"/>
          <w:lang w:val="ro-MD" w:eastAsia="ru-RU"/>
        </w:rPr>
        <w:t>.4</w:t>
      </w:r>
      <w:r w:rsidR="00D9138C" w:rsidRPr="0080251F">
        <w:rPr>
          <w:rFonts w:ascii="Times New Roman" w:eastAsia="Times New Roman" w:hAnsi="Times New Roman" w:cs="Times New Roman"/>
          <w:b/>
          <w:bCs/>
          <w:i/>
          <w:sz w:val="24"/>
          <w:szCs w:val="24"/>
          <w:lang w:val="ro-MD" w:eastAsia="ru-RU"/>
        </w:rPr>
        <w:t xml:space="preserve">.4. </w:t>
      </w:r>
      <w:r w:rsidR="00D9138C" w:rsidRPr="0080251F">
        <w:rPr>
          <w:rFonts w:ascii="Times New Roman" w:eastAsia="Times New Roman" w:hAnsi="Times New Roman" w:cs="Times New Roman"/>
          <w:b/>
          <w:i/>
          <w:sz w:val="24"/>
          <w:szCs w:val="24"/>
          <w:lang w:val="ro-MD" w:eastAsia="ru-RU"/>
        </w:rPr>
        <w:t xml:space="preserve">Lipsa reglementărilor normative privind metodicile de evaluare/documentare a eforturilor psiho-emoționale sporite determină existența factorului de subiectivism și nejustificare la stabilirea locurilor de muncă cu efort psiho-emoțional sporit în cadrul uneia sau mai multor ramuri ale economiei naționale. </w:t>
      </w:r>
    </w:p>
    <w:p w14:paraId="05798232" w14:textId="657A720E" w:rsidR="00423920" w:rsidRPr="0080251F" w:rsidRDefault="00423920" w:rsidP="00CE707A">
      <w:pPr>
        <w:tabs>
          <w:tab w:val="left" w:pos="567"/>
        </w:tabs>
        <w:spacing w:after="0" w:line="276" w:lineRule="auto"/>
        <w:ind w:firstLine="709"/>
        <w:jc w:val="both"/>
        <w:rPr>
          <w:rFonts w:ascii="Times New Roman" w:eastAsia="Times New Roman" w:hAnsi="Times New Roman" w:cs="Times New Roman"/>
          <w:b/>
          <w:bCs/>
          <w:iCs/>
          <w:sz w:val="24"/>
          <w:szCs w:val="24"/>
          <w:lang w:val="ro-MD" w:eastAsia="ru-RU"/>
        </w:rPr>
      </w:pPr>
      <w:r w:rsidRPr="0080251F">
        <w:rPr>
          <w:rFonts w:ascii="Times New Roman" w:eastAsia="Times New Roman" w:hAnsi="Times New Roman" w:cs="Times New Roman"/>
          <w:sz w:val="24"/>
          <w:szCs w:val="24"/>
          <w:lang w:val="ro-MD" w:eastAsia="ru-RU"/>
        </w:rPr>
        <w:t xml:space="preserve">Deși prin art.121 alin.(5) din Codul </w:t>
      </w:r>
      <w:r w:rsidR="00864F0E" w:rsidRPr="0080251F">
        <w:rPr>
          <w:rFonts w:ascii="Times New Roman" w:eastAsia="Times New Roman" w:hAnsi="Times New Roman" w:cs="Times New Roman"/>
          <w:sz w:val="24"/>
          <w:szCs w:val="24"/>
          <w:lang w:val="ro-MD" w:eastAsia="ru-RU"/>
        </w:rPr>
        <w:t>m</w:t>
      </w:r>
      <w:r w:rsidRPr="0080251F">
        <w:rPr>
          <w:rFonts w:ascii="Times New Roman" w:eastAsia="Times New Roman" w:hAnsi="Times New Roman" w:cs="Times New Roman"/>
          <w:sz w:val="24"/>
          <w:szCs w:val="24"/>
          <w:lang w:val="ro-MD" w:eastAsia="ru-RU"/>
        </w:rPr>
        <w:t>uncii se reglementează că în Contractele colective de muncă pot fi prevăzute și alte categorii de salariați cărora li se acordă concedii de odihnă anuale suplimentare plătite, nu există un act normativ cu prevederi exhaustive în temeiul căruia s-ar determina clar criteriile de evaluare și apreciere a condițiilor de muncă cu efort psiho-emoțional</w:t>
      </w:r>
      <w:r w:rsidRPr="0080251F">
        <w:rPr>
          <w:rFonts w:ascii="Times New Roman" w:eastAsia="Times New Roman" w:hAnsi="Times New Roman" w:cs="Times New Roman"/>
          <w:sz w:val="24"/>
          <w:szCs w:val="24"/>
          <w:vertAlign w:val="superscript"/>
          <w:lang w:val="ro-MD" w:eastAsia="ru-RU"/>
        </w:rPr>
        <w:footnoteReference w:id="101"/>
      </w:r>
      <w:r w:rsidRPr="0080251F">
        <w:rPr>
          <w:rFonts w:ascii="Times New Roman" w:eastAsia="Times New Roman" w:hAnsi="Times New Roman" w:cs="Times New Roman"/>
          <w:sz w:val="24"/>
          <w:szCs w:val="24"/>
          <w:lang w:val="ro-MD" w:eastAsia="ru-RU"/>
        </w:rPr>
        <w:t xml:space="preserve"> sporit, și anume: ramura/sectorul de activitate din economia națională; categoriile de posturi/funcții; condițiile de muncă cu eforturi psiho-emoționale normale; condițiile de muncă cu eforturi psiho-emoționale sporite/extranormative; metodicile de evaluare/documentare a eforturilor psiho-emoționale sporite. </w:t>
      </w:r>
      <w:r w:rsidR="00D9138C" w:rsidRPr="0080251F">
        <w:rPr>
          <w:rFonts w:ascii="Times New Roman" w:eastAsia="Times New Roman" w:hAnsi="Times New Roman" w:cs="Times New Roman"/>
          <w:sz w:val="24"/>
          <w:szCs w:val="24"/>
          <w:lang w:val="ro-MD" w:eastAsia="ru-RU"/>
        </w:rPr>
        <w:t>Pe lângă aceasta, reacțiile afective</w:t>
      </w:r>
      <w:r w:rsidR="00204E3D" w:rsidRPr="0080251F">
        <w:rPr>
          <w:rFonts w:ascii="Times New Roman" w:eastAsia="Times New Roman" w:hAnsi="Times New Roman" w:cs="Times New Roman"/>
          <w:sz w:val="24"/>
          <w:szCs w:val="24"/>
          <w:lang w:val="ro-MD" w:eastAsia="ru-RU"/>
        </w:rPr>
        <w:t>,</w:t>
      </w:r>
      <w:r w:rsidR="00D9138C" w:rsidRPr="0080251F">
        <w:rPr>
          <w:rFonts w:ascii="Times New Roman" w:eastAsia="Times New Roman" w:hAnsi="Times New Roman" w:cs="Times New Roman"/>
          <w:sz w:val="24"/>
          <w:szCs w:val="24"/>
          <w:lang w:val="ro-MD" w:eastAsia="ru-RU"/>
        </w:rPr>
        <w:t xml:space="preserve"> precum </w:t>
      </w:r>
      <w:r w:rsidR="00D9138C" w:rsidRPr="0080251F">
        <w:rPr>
          <w:rFonts w:ascii="Times New Roman" w:eastAsia="Times New Roman" w:hAnsi="Times New Roman" w:cs="Times New Roman"/>
          <w:iCs/>
          <w:sz w:val="24"/>
          <w:szCs w:val="24"/>
          <w:lang w:val="ro-MD" w:eastAsia="ru-RU"/>
        </w:rPr>
        <w:t>spaima, mânia, neliniștea</w:t>
      </w:r>
      <w:r w:rsidR="00D9138C" w:rsidRPr="0080251F">
        <w:rPr>
          <w:rFonts w:ascii="Times New Roman" w:eastAsia="Times New Roman" w:hAnsi="Times New Roman" w:cs="Times New Roman"/>
          <w:bCs/>
          <w:iCs/>
          <w:sz w:val="24"/>
          <w:szCs w:val="24"/>
          <w:lang w:val="ro-MD" w:eastAsia="ru-RU"/>
        </w:rPr>
        <w:t> </w:t>
      </w:r>
      <w:r w:rsidR="00D9138C" w:rsidRPr="0080251F">
        <w:rPr>
          <w:rFonts w:ascii="Times New Roman" w:eastAsia="Times New Roman" w:hAnsi="Times New Roman" w:cs="Times New Roman"/>
          <w:iCs/>
          <w:sz w:val="24"/>
          <w:szCs w:val="24"/>
          <w:lang w:val="ro-MD" w:eastAsia="ru-RU"/>
        </w:rPr>
        <w:t>și </w:t>
      </w:r>
      <w:r w:rsidR="00D9138C" w:rsidRPr="0080251F">
        <w:rPr>
          <w:rFonts w:ascii="Times New Roman" w:eastAsia="Times New Roman" w:hAnsi="Times New Roman" w:cs="Times New Roman"/>
          <w:bCs/>
          <w:iCs/>
          <w:sz w:val="24"/>
          <w:szCs w:val="24"/>
          <w:lang w:val="ro-MD" w:eastAsia="ru-RU"/>
        </w:rPr>
        <w:t>bucuria sunt stări emoționale proprii oricărui individ, nu pot fi negate sau suprimate și depind în mare măsură de reacția individuală a fiecărei persoane la afecțiunile realității sau mediului ambiant.</w:t>
      </w:r>
    </w:p>
    <w:p w14:paraId="06818436" w14:textId="4C4FF9CF" w:rsidR="00DB511C" w:rsidRPr="0080251F" w:rsidRDefault="00E03A8F" w:rsidP="00E03A8F">
      <w:pPr>
        <w:pStyle w:val="a6"/>
        <w:spacing w:line="276" w:lineRule="auto"/>
        <w:ind w:left="0" w:firstLine="567"/>
        <w:jc w:val="both"/>
        <w:rPr>
          <w:rFonts w:ascii="Times New Roman" w:eastAsia="Times New Roman" w:hAnsi="Times New Roman" w:cs="Times New Roman"/>
          <w:bCs/>
          <w:iCs/>
          <w:sz w:val="24"/>
          <w:szCs w:val="24"/>
          <w:lang w:val="ro-MD" w:eastAsia="ru-RU"/>
        </w:rPr>
      </w:pPr>
      <w:r w:rsidRPr="0080251F">
        <w:rPr>
          <w:rFonts w:ascii="Times New Roman" w:eastAsia="Times New Roman" w:hAnsi="Times New Roman" w:cs="Times New Roman"/>
          <w:bCs/>
          <w:iCs/>
          <w:sz w:val="24"/>
          <w:szCs w:val="24"/>
          <w:lang w:val="ro-MD" w:eastAsia="ru-RU"/>
        </w:rPr>
        <w:t>În anul 2021, suma</w:t>
      </w:r>
      <w:r w:rsidR="009B5E78" w:rsidRPr="0080251F">
        <w:rPr>
          <w:rFonts w:ascii="Times New Roman" w:eastAsia="Times New Roman" w:hAnsi="Times New Roman" w:cs="Times New Roman"/>
          <w:bCs/>
          <w:iCs/>
          <w:sz w:val="24"/>
          <w:szCs w:val="24"/>
          <w:lang w:val="ro-MD" w:eastAsia="ru-RU"/>
        </w:rPr>
        <w:t xml:space="preserve"> pentru </w:t>
      </w:r>
      <w:r w:rsidRPr="0080251F">
        <w:rPr>
          <w:rFonts w:ascii="Times New Roman" w:eastAsia="Times New Roman" w:hAnsi="Times New Roman" w:cs="Times New Roman"/>
          <w:bCs/>
          <w:iCs/>
          <w:sz w:val="24"/>
          <w:szCs w:val="24"/>
          <w:lang w:val="ro-MD" w:eastAsia="ru-RU"/>
        </w:rPr>
        <w:t>concediul suplimentar plătit, acordat pentru munca prestată în condiții cu efort psiho-emoțional sporit</w:t>
      </w:r>
      <w:r w:rsidR="000315CF" w:rsidRPr="0080251F">
        <w:rPr>
          <w:rStyle w:val="a5"/>
          <w:rFonts w:ascii="Times New Roman" w:eastAsia="Times New Roman" w:hAnsi="Times New Roman" w:cs="Times New Roman"/>
          <w:bCs/>
          <w:iCs/>
          <w:sz w:val="24"/>
          <w:szCs w:val="24"/>
          <w:lang w:val="ro-MD" w:eastAsia="ru-RU"/>
        </w:rPr>
        <w:footnoteReference w:id="102"/>
      </w:r>
      <w:r w:rsidRPr="0080251F">
        <w:rPr>
          <w:rFonts w:ascii="Times New Roman" w:eastAsia="Times New Roman" w:hAnsi="Times New Roman" w:cs="Times New Roman"/>
          <w:bCs/>
          <w:iCs/>
          <w:sz w:val="24"/>
          <w:szCs w:val="24"/>
          <w:lang w:val="ro-MD" w:eastAsia="ru-RU"/>
        </w:rPr>
        <w:t xml:space="preserve"> (7 zile calendaristice), a constituit circa</w:t>
      </w:r>
      <w:r w:rsidRPr="0080251F">
        <w:rPr>
          <w:rFonts w:ascii="Times New Roman" w:eastAsia="Times New Roman" w:hAnsi="Times New Roman" w:cs="Times New Roman"/>
          <w:bCs/>
          <w:iCs/>
          <w:sz w:val="24"/>
          <w:szCs w:val="24"/>
          <w:vertAlign w:val="superscript"/>
          <w:lang w:val="ro-MD" w:eastAsia="ru-RU"/>
        </w:rPr>
        <w:footnoteReference w:id="103"/>
      </w:r>
      <w:r w:rsidRPr="0080251F">
        <w:rPr>
          <w:rFonts w:ascii="Times New Roman" w:eastAsia="Times New Roman" w:hAnsi="Times New Roman" w:cs="Times New Roman"/>
          <w:b/>
          <w:bCs/>
          <w:iCs/>
          <w:sz w:val="24"/>
          <w:szCs w:val="24"/>
          <w:lang w:val="ro-MD" w:eastAsia="ru-RU"/>
        </w:rPr>
        <w:t xml:space="preserve"> 1,5 mil. lei </w:t>
      </w:r>
      <w:r w:rsidRPr="0080251F">
        <w:rPr>
          <w:rFonts w:ascii="Times New Roman" w:eastAsia="Times New Roman" w:hAnsi="Times New Roman" w:cs="Times New Roman"/>
          <w:bCs/>
          <w:iCs/>
          <w:sz w:val="24"/>
          <w:szCs w:val="24"/>
          <w:lang w:val="ro-MD" w:eastAsia="ru-RU"/>
        </w:rPr>
        <w:t xml:space="preserve">(386 </w:t>
      </w:r>
      <w:r w:rsidR="00204E3D" w:rsidRPr="0080251F">
        <w:rPr>
          <w:rFonts w:ascii="Times New Roman" w:eastAsia="Times New Roman" w:hAnsi="Times New Roman" w:cs="Times New Roman"/>
          <w:bCs/>
          <w:iCs/>
          <w:sz w:val="24"/>
          <w:szCs w:val="24"/>
          <w:lang w:val="ro-MD" w:eastAsia="ru-RU"/>
        </w:rPr>
        <w:t xml:space="preserve">de </w:t>
      </w:r>
      <w:r w:rsidRPr="0080251F">
        <w:rPr>
          <w:rFonts w:ascii="Times New Roman" w:eastAsia="Times New Roman" w:hAnsi="Times New Roman" w:cs="Times New Roman"/>
          <w:bCs/>
          <w:iCs/>
          <w:sz w:val="24"/>
          <w:szCs w:val="24"/>
          <w:lang w:val="ro-MD" w:eastAsia="ru-RU"/>
        </w:rPr>
        <w:t>angajați)</w:t>
      </w:r>
      <w:r w:rsidRPr="0080251F">
        <w:rPr>
          <w:rFonts w:ascii="Times New Roman" w:eastAsia="Times New Roman" w:hAnsi="Times New Roman" w:cs="Times New Roman"/>
          <w:b/>
          <w:bCs/>
          <w:iCs/>
          <w:sz w:val="24"/>
          <w:szCs w:val="24"/>
          <w:lang w:val="ro-MD" w:eastAsia="ru-RU"/>
        </w:rPr>
        <w:t xml:space="preserve"> </w:t>
      </w:r>
      <w:r w:rsidRPr="0080251F">
        <w:rPr>
          <w:rFonts w:ascii="Times New Roman" w:eastAsia="Times New Roman" w:hAnsi="Times New Roman" w:cs="Times New Roman"/>
          <w:bCs/>
          <w:iCs/>
          <w:sz w:val="24"/>
          <w:szCs w:val="24"/>
          <w:lang w:val="ro-MD" w:eastAsia="ru-RU"/>
        </w:rPr>
        <w:t>și în anul 2022 – circa</w:t>
      </w:r>
      <w:r w:rsidRPr="0080251F">
        <w:rPr>
          <w:rFonts w:ascii="Times New Roman" w:eastAsia="Times New Roman" w:hAnsi="Times New Roman" w:cs="Times New Roman"/>
          <w:b/>
          <w:bCs/>
          <w:iCs/>
          <w:sz w:val="24"/>
          <w:szCs w:val="24"/>
          <w:lang w:val="ro-MD" w:eastAsia="ru-RU"/>
        </w:rPr>
        <w:t xml:space="preserve"> 1,6 mil</w:t>
      </w:r>
      <w:r w:rsidR="00204E3D" w:rsidRPr="0080251F">
        <w:rPr>
          <w:rFonts w:ascii="Times New Roman" w:eastAsia="Times New Roman" w:hAnsi="Times New Roman" w:cs="Times New Roman"/>
          <w:b/>
          <w:bCs/>
          <w:iCs/>
          <w:sz w:val="24"/>
          <w:szCs w:val="24"/>
          <w:lang w:val="ro-MD" w:eastAsia="ru-RU"/>
        </w:rPr>
        <w:t>.</w:t>
      </w:r>
      <w:r w:rsidRPr="0080251F">
        <w:rPr>
          <w:rFonts w:ascii="Times New Roman" w:eastAsia="Times New Roman" w:hAnsi="Times New Roman" w:cs="Times New Roman"/>
          <w:b/>
          <w:bCs/>
          <w:iCs/>
          <w:sz w:val="24"/>
          <w:szCs w:val="24"/>
          <w:lang w:val="ro-MD" w:eastAsia="ru-RU"/>
        </w:rPr>
        <w:t xml:space="preserve"> lei </w:t>
      </w:r>
      <w:r w:rsidRPr="0080251F">
        <w:rPr>
          <w:rFonts w:ascii="Times New Roman" w:eastAsia="Times New Roman" w:hAnsi="Times New Roman" w:cs="Times New Roman"/>
          <w:bCs/>
          <w:iCs/>
          <w:sz w:val="24"/>
          <w:szCs w:val="24"/>
          <w:lang w:val="ro-MD" w:eastAsia="ru-RU"/>
        </w:rPr>
        <w:t xml:space="preserve">(372 </w:t>
      </w:r>
      <w:r w:rsidR="00204E3D" w:rsidRPr="0080251F">
        <w:rPr>
          <w:rFonts w:ascii="Times New Roman" w:eastAsia="Times New Roman" w:hAnsi="Times New Roman" w:cs="Times New Roman"/>
          <w:bCs/>
          <w:iCs/>
          <w:sz w:val="24"/>
          <w:szCs w:val="24"/>
          <w:lang w:val="ro-MD" w:eastAsia="ru-RU"/>
        </w:rPr>
        <w:t xml:space="preserve">de </w:t>
      </w:r>
      <w:r w:rsidRPr="0080251F">
        <w:rPr>
          <w:rFonts w:ascii="Times New Roman" w:eastAsia="Times New Roman" w:hAnsi="Times New Roman" w:cs="Times New Roman"/>
          <w:bCs/>
          <w:iCs/>
          <w:sz w:val="24"/>
          <w:szCs w:val="24"/>
          <w:lang w:val="ro-MD" w:eastAsia="ru-RU"/>
        </w:rPr>
        <w:t>angajați).</w:t>
      </w:r>
    </w:p>
    <w:p w14:paraId="6CA1A046" w14:textId="7D7E3B02" w:rsidR="008850E7" w:rsidRPr="0080251F" w:rsidRDefault="008850E7" w:rsidP="00CE707A">
      <w:pPr>
        <w:pStyle w:val="1"/>
        <w:spacing w:before="200" w:line="276" w:lineRule="auto"/>
        <w:jc w:val="both"/>
        <w:rPr>
          <w:rStyle w:val="af1"/>
          <w:rFonts w:ascii="Times New Roman" w:hAnsi="Times New Roman" w:cs="Times New Roman"/>
          <w:sz w:val="24"/>
          <w:szCs w:val="24"/>
          <w:shd w:val="clear" w:color="auto" w:fill="FFFFFF"/>
          <w:lang w:val="ro-MD"/>
        </w:rPr>
      </w:pPr>
      <w:bookmarkStart w:id="22" w:name="_Toc161169696"/>
      <w:r w:rsidRPr="0080251F">
        <w:rPr>
          <w:rStyle w:val="af1"/>
          <w:rFonts w:ascii="Times New Roman" w:hAnsi="Times New Roman" w:cs="Times New Roman"/>
          <w:sz w:val="24"/>
          <w:szCs w:val="24"/>
          <w:shd w:val="clear" w:color="auto" w:fill="FFFFFF"/>
          <w:lang w:val="ro-MD"/>
        </w:rPr>
        <w:t>4</w:t>
      </w:r>
      <w:r w:rsidR="00FA6EF8" w:rsidRPr="0080251F">
        <w:rPr>
          <w:rStyle w:val="af1"/>
          <w:rFonts w:ascii="Times New Roman" w:hAnsi="Times New Roman" w:cs="Times New Roman"/>
          <w:sz w:val="24"/>
          <w:szCs w:val="24"/>
          <w:shd w:val="clear" w:color="auto" w:fill="FFFFFF"/>
          <w:lang w:val="ro-MD"/>
        </w:rPr>
        <w:t>.5</w:t>
      </w:r>
      <w:r w:rsidRPr="0080251F">
        <w:rPr>
          <w:rStyle w:val="af1"/>
          <w:rFonts w:ascii="Times New Roman" w:hAnsi="Times New Roman" w:cs="Times New Roman"/>
          <w:sz w:val="24"/>
          <w:szCs w:val="24"/>
          <w:shd w:val="clear" w:color="auto" w:fill="FFFFFF"/>
          <w:lang w:val="ro-MD"/>
        </w:rPr>
        <w:t xml:space="preserve">. </w:t>
      </w:r>
      <w:r w:rsidR="00FA6EF8" w:rsidRPr="0080251F">
        <w:rPr>
          <w:rFonts w:ascii="Times New Roman" w:hAnsi="Times New Roman" w:cs="Times New Roman"/>
          <w:b/>
          <w:iCs/>
          <w:sz w:val="24"/>
          <w:szCs w:val="24"/>
          <w:lang w:val="ro-MD"/>
        </w:rPr>
        <w:t xml:space="preserve">S.A. </w:t>
      </w:r>
      <w:r w:rsidR="00D7475B" w:rsidRPr="0080251F">
        <w:rPr>
          <w:rFonts w:ascii="Times New Roman" w:hAnsi="Times New Roman" w:cs="Times New Roman"/>
          <w:b/>
          <w:iCs/>
          <w:sz w:val="24"/>
          <w:szCs w:val="24"/>
          <w:lang w:val="ro-MD"/>
        </w:rPr>
        <w:t>„</w:t>
      </w:r>
      <w:r w:rsidR="00FA6EF8" w:rsidRPr="0080251F">
        <w:rPr>
          <w:rFonts w:ascii="Times New Roman" w:hAnsi="Times New Roman" w:cs="Times New Roman"/>
          <w:b/>
          <w:iCs/>
          <w:sz w:val="24"/>
          <w:szCs w:val="24"/>
          <w:lang w:val="ro-MD"/>
        </w:rPr>
        <w:t>RED-Nord</w:t>
      </w:r>
      <w:r w:rsidR="00D7475B" w:rsidRPr="0080251F">
        <w:rPr>
          <w:rFonts w:ascii="Times New Roman" w:hAnsi="Times New Roman" w:cs="Times New Roman"/>
          <w:b/>
          <w:iCs/>
          <w:sz w:val="24"/>
          <w:szCs w:val="24"/>
          <w:lang w:val="ro-MD"/>
        </w:rPr>
        <w:t>”</w:t>
      </w:r>
      <w:r w:rsidR="00FA6EF8" w:rsidRPr="0080251F">
        <w:rPr>
          <w:rFonts w:ascii="Times New Roman" w:hAnsi="Times New Roman" w:cs="Times New Roman"/>
          <w:b/>
          <w:iCs/>
          <w:sz w:val="24"/>
          <w:szCs w:val="24"/>
          <w:lang w:val="ro-MD"/>
        </w:rPr>
        <w:t xml:space="preserve"> a respectat prevederile cadrului normativ la executare</w:t>
      </w:r>
      <w:r w:rsidR="00F217CD" w:rsidRPr="0080251F">
        <w:rPr>
          <w:rFonts w:ascii="Times New Roman" w:hAnsi="Times New Roman" w:cs="Times New Roman"/>
          <w:b/>
          <w:iCs/>
          <w:sz w:val="24"/>
          <w:szCs w:val="24"/>
          <w:lang w:val="ro-MD"/>
        </w:rPr>
        <w:t>a</w:t>
      </w:r>
      <w:r w:rsidR="00FA6EF8" w:rsidRPr="0080251F">
        <w:rPr>
          <w:rFonts w:ascii="Times New Roman" w:hAnsi="Times New Roman" w:cs="Times New Roman"/>
          <w:b/>
          <w:iCs/>
          <w:sz w:val="24"/>
          <w:szCs w:val="24"/>
          <w:lang w:val="ro-MD"/>
        </w:rPr>
        <w:t xml:space="preserve"> procedurilor privind achiziționarea bunurilor, serviciilor și lucrărilor</w:t>
      </w:r>
      <w:r w:rsidR="00FA6EF8" w:rsidRPr="0080251F">
        <w:rPr>
          <w:rFonts w:ascii="Times New Roman" w:hAnsi="Times New Roman" w:cs="Times New Roman"/>
          <w:b/>
          <w:bCs/>
          <w:iCs/>
          <w:sz w:val="24"/>
          <w:szCs w:val="24"/>
          <w:lang w:val="ro-MD"/>
        </w:rPr>
        <w:t>?</w:t>
      </w:r>
      <w:bookmarkEnd w:id="22"/>
    </w:p>
    <w:p w14:paraId="05DD3F7A" w14:textId="2FA55FD2" w:rsidR="002815D4" w:rsidRPr="0080251F" w:rsidRDefault="00DF198D" w:rsidP="00B94E03">
      <w:pPr>
        <w:tabs>
          <w:tab w:val="left" w:pos="567"/>
          <w:tab w:val="left" w:pos="709"/>
        </w:tabs>
        <w:spacing w:after="0" w:line="276" w:lineRule="auto"/>
        <w:ind w:firstLine="709"/>
        <w:jc w:val="both"/>
        <w:rPr>
          <w:rFonts w:ascii="Times New Roman" w:eastAsia="Times New Roman" w:hAnsi="Times New Roman" w:cs="Times New Roman"/>
          <w:b/>
          <w:bCs/>
          <w:i/>
          <w:sz w:val="24"/>
          <w:szCs w:val="24"/>
          <w:lang w:val="ro-MD"/>
        </w:rPr>
      </w:pPr>
      <w:r w:rsidRPr="0080251F">
        <w:rPr>
          <w:rFonts w:ascii="Times New Roman" w:eastAsia="Times New Roman" w:hAnsi="Times New Roman" w:cs="Times New Roman"/>
          <w:b/>
          <w:bCs/>
          <w:i/>
          <w:sz w:val="24"/>
          <w:szCs w:val="24"/>
          <w:lang w:val="ro-MD"/>
        </w:rPr>
        <w:t>P</w:t>
      </w:r>
      <w:r w:rsidR="002815D4" w:rsidRPr="0080251F">
        <w:rPr>
          <w:rFonts w:ascii="Times New Roman" w:eastAsia="Times New Roman" w:hAnsi="Times New Roman" w:cs="Times New Roman"/>
          <w:b/>
          <w:bCs/>
          <w:i/>
          <w:sz w:val="24"/>
          <w:szCs w:val="24"/>
          <w:lang w:val="ro-MD"/>
        </w:rPr>
        <w:t>roceduril</w:t>
      </w:r>
      <w:r w:rsidRPr="0080251F">
        <w:rPr>
          <w:rFonts w:ascii="Times New Roman" w:eastAsia="Times New Roman" w:hAnsi="Times New Roman" w:cs="Times New Roman"/>
          <w:b/>
          <w:bCs/>
          <w:i/>
          <w:sz w:val="24"/>
          <w:szCs w:val="24"/>
          <w:lang w:val="ro-MD"/>
        </w:rPr>
        <w:t>e</w:t>
      </w:r>
      <w:r w:rsidR="002815D4" w:rsidRPr="0080251F">
        <w:rPr>
          <w:rFonts w:ascii="Times New Roman" w:eastAsia="Times New Roman" w:hAnsi="Times New Roman" w:cs="Times New Roman"/>
          <w:b/>
          <w:bCs/>
          <w:i/>
          <w:sz w:val="24"/>
          <w:szCs w:val="24"/>
          <w:lang w:val="ro-MD"/>
        </w:rPr>
        <w:t xml:space="preserve"> privind achiziționarea bunurilor, serviciilor și lucrărilor </w:t>
      </w:r>
      <w:r w:rsidRPr="0080251F">
        <w:rPr>
          <w:rFonts w:ascii="Times New Roman" w:eastAsia="Times New Roman" w:hAnsi="Times New Roman" w:cs="Times New Roman"/>
          <w:b/>
          <w:bCs/>
          <w:i/>
          <w:sz w:val="24"/>
          <w:szCs w:val="24"/>
          <w:lang w:val="ro-MD"/>
        </w:rPr>
        <w:t xml:space="preserve">s-au executat </w:t>
      </w:r>
      <w:r w:rsidR="002815D4" w:rsidRPr="0080251F">
        <w:rPr>
          <w:rFonts w:ascii="Times New Roman" w:eastAsia="Times New Roman" w:hAnsi="Times New Roman" w:cs="Times New Roman"/>
          <w:b/>
          <w:bCs/>
          <w:i/>
          <w:sz w:val="24"/>
          <w:szCs w:val="24"/>
          <w:lang w:val="ro-MD"/>
        </w:rPr>
        <w:t>de către S.A. „RED-Nord”</w:t>
      </w:r>
      <w:r w:rsidR="00F217CD" w:rsidRPr="0080251F">
        <w:rPr>
          <w:rFonts w:ascii="Times New Roman" w:eastAsia="Times New Roman" w:hAnsi="Times New Roman" w:cs="Times New Roman"/>
          <w:b/>
          <w:bCs/>
          <w:i/>
          <w:sz w:val="24"/>
          <w:szCs w:val="24"/>
          <w:lang w:val="ro-MD"/>
        </w:rPr>
        <w:t>,</w:t>
      </w:r>
      <w:r w:rsidR="002815D4" w:rsidRPr="0080251F">
        <w:rPr>
          <w:rFonts w:ascii="Times New Roman" w:eastAsia="Times New Roman" w:hAnsi="Times New Roman" w:cs="Times New Roman"/>
          <w:b/>
          <w:bCs/>
          <w:i/>
          <w:sz w:val="24"/>
          <w:szCs w:val="24"/>
          <w:lang w:val="ro-MD"/>
        </w:rPr>
        <w:t xml:space="preserve"> în unele cazuri</w:t>
      </w:r>
      <w:r w:rsidR="00F217CD" w:rsidRPr="0080251F">
        <w:rPr>
          <w:rFonts w:ascii="Times New Roman" w:eastAsia="Times New Roman" w:hAnsi="Times New Roman" w:cs="Times New Roman"/>
          <w:b/>
          <w:bCs/>
          <w:i/>
          <w:sz w:val="24"/>
          <w:szCs w:val="24"/>
          <w:lang w:val="ro-MD"/>
        </w:rPr>
        <w:t>,</w:t>
      </w:r>
      <w:r w:rsidR="002815D4" w:rsidRPr="0080251F">
        <w:rPr>
          <w:rFonts w:ascii="Times New Roman" w:eastAsia="Times New Roman" w:hAnsi="Times New Roman" w:cs="Times New Roman"/>
          <w:b/>
          <w:bCs/>
          <w:i/>
          <w:sz w:val="24"/>
          <w:szCs w:val="24"/>
          <w:lang w:val="ro-MD"/>
        </w:rPr>
        <w:t xml:space="preserve"> cu abateri de la cadrul </w:t>
      </w:r>
      <w:r w:rsidR="00B94E03" w:rsidRPr="0080251F">
        <w:rPr>
          <w:rFonts w:ascii="Times New Roman" w:eastAsia="Times New Roman" w:hAnsi="Times New Roman" w:cs="Times New Roman"/>
          <w:b/>
          <w:bCs/>
          <w:i/>
          <w:sz w:val="24"/>
          <w:szCs w:val="24"/>
          <w:lang w:val="ro-MD"/>
        </w:rPr>
        <w:t>normativ</w:t>
      </w:r>
      <w:r w:rsidR="002815D4" w:rsidRPr="0080251F">
        <w:rPr>
          <w:rFonts w:ascii="Times New Roman" w:eastAsia="Times New Roman" w:hAnsi="Times New Roman" w:cs="Times New Roman"/>
          <w:b/>
          <w:bCs/>
          <w:i/>
          <w:sz w:val="24"/>
          <w:szCs w:val="24"/>
          <w:lang w:val="ro-MD"/>
        </w:rPr>
        <w:t xml:space="preserve">, </w:t>
      </w:r>
      <w:r w:rsidR="002815D4" w:rsidRPr="0080251F">
        <w:rPr>
          <w:rFonts w:ascii="Times New Roman" w:hAnsi="Times New Roman" w:cs="Times New Roman"/>
          <w:b/>
          <w:i/>
          <w:iCs/>
          <w:sz w:val="24"/>
          <w:szCs w:val="24"/>
          <w:lang w:val="ro-MD" w:eastAsia="ro-MD"/>
        </w:rPr>
        <w:t>admi</w:t>
      </w:r>
      <w:r w:rsidRPr="0080251F">
        <w:rPr>
          <w:rFonts w:ascii="Times New Roman" w:hAnsi="Times New Roman" w:cs="Times New Roman"/>
          <w:b/>
          <w:i/>
          <w:iCs/>
          <w:sz w:val="24"/>
          <w:szCs w:val="24"/>
          <w:lang w:val="ro-MD" w:eastAsia="ro-MD"/>
        </w:rPr>
        <w:t>țând</w:t>
      </w:r>
      <w:r w:rsidR="002815D4" w:rsidRPr="0080251F">
        <w:rPr>
          <w:rFonts w:ascii="Times New Roman" w:hAnsi="Times New Roman" w:cs="Times New Roman"/>
          <w:b/>
          <w:i/>
          <w:iCs/>
          <w:sz w:val="24"/>
          <w:szCs w:val="24"/>
          <w:lang w:val="ro-MD" w:eastAsia="ro-MD"/>
        </w:rPr>
        <w:t xml:space="preserve"> un</w:t>
      </w:r>
      <w:r w:rsidRPr="0080251F">
        <w:rPr>
          <w:rFonts w:ascii="Times New Roman" w:hAnsi="Times New Roman" w:cs="Times New Roman"/>
          <w:b/>
          <w:i/>
          <w:iCs/>
          <w:sz w:val="24"/>
          <w:szCs w:val="24"/>
          <w:lang w:val="ro-MD" w:eastAsia="ro-MD"/>
        </w:rPr>
        <w:t>ele</w:t>
      </w:r>
      <w:r w:rsidR="002815D4" w:rsidRPr="0080251F">
        <w:rPr>
          <w:rFonts w:ascii="Times New Roman" w:hAnsi="Times New Roman" w:cs="Times New Roman"/>
          <w:b/>
          <w:i/>
          <w:iCs/>
          <w:sz w:val="24"/>
          <w:szCs w:val="24"/>
          <w:lang w:val="ro-MD" w:eastAsia="ro-MD"/>
        </w:rPr>
        <w:t xml:space="preserve"> neconformități la organizarea achizițiilor,</w:t>
      </w:r>
      <w:r w:rsidR="002815D4" w:rsidRPr="0080251F">
        <w:rPr>
          <w:rFonts w:ascii="Times New Roman" w:eastAsia="Times New Roman" w:hAnsi="Times New Roman" w:cs="Times New Roman"/>
          <w:b/>
          <w:bCs/>
          <w:i/>
          <w:sz w:val="24"/>
          <w:szCs w:val="24"/>
          <w:lang w:val="ro-MD"/>
        </w:rPr>
        <w:t xml:space="preserve"> </w:t>
      </w:r>
      <w:r w:rsidR="002815D4" w:rsidRPr="0080251F">
        <w:rPr>
          <w:rFonts w:ascii="Times New Roman" w:hAnsi="Times New Roman" w:cs="Times New Roman"/>
          <w:b/>
          <w:i/>
          <w:iCs/>
          <w:sz w:val="24"/>
          <w:szCs w:val="24"/>
          <w:lang w:val="ro-MD" w:eastAsia="ro-MD"/>
        </w:rPr>
        <w:t xml:space="preserve">adjudecarea ofertelor și </w:t>
      </w:r>
      <w:r w:rsidR="00F217CD" w:rsidRPr="0080251F">
        <w:rPr>
          <w:rFonts w:ascii="Times New Roman" w:hAnsi="Times New Roman" w:cs="Times New Roman"/>
          <w:b/>
          <w:i/>
          <w:iCs/>
          <w:sz w:val="24"/>
          <w:szCs w:val="24"/>
          <w:lang w:val="ro-MD" w:eastAsia="ro-MD"/>
        </w:rPr>
        <w:t xml:space="preserve">la </w:t>
      </w:r>
      <w:r w:rsidR="002815D4" w:rsidRPr="0080251F">
        <w:rPr>
          <w:rFonts w:ascii="Times New Roman" w:hAnsi="Times New Roman" w:cs="Times New Roman"/>
          <w:b/>
          <w:i/>
          <w:iCs/>
          <w:sz w:val="24"/>
          <w:szCs w:val="24"/>
          <w:lang w:val="ro-MD" w:eastAsia="ro-MD"/>
        </w:rPr>
        <w:t>aplicarea garanțiilor de bună execuție a contractelor.</w:t>
      </w:r>
      <w:r w:rsidR="002815D4" w:rsidRPr="0080251F">
        <w:rPr>
          <w:rFonts w:ascii="Times New Roman" w:eastAsia="Times New Roman" w:hAnsi="Times New Roman" w:cs="Times New Roman"/>
          <w:b/>
          <w:bCs/>
          <w:i/>
          <w:sz w:val="24"/>
          <w:szCs w:val="24"/>
          <w:lang w:val="ro-MD"/>
        </w:rPr>
        <w:t xml:space="preserve"> Au fost identificate unele cazuri cu efecte economice nefavorabile pentru entitate, în raport cu situațiile existente pe piața de achiziții.</w:t>
      </w:r>
    </w:p>
    <w:p w14:paraId="13D8E458" w14:textId="5FF3077E" w:rsidR="002815D4" w:rsidRPr="0080251F" w:rsidRDefault="002815D4" w:rsidP="008D792B">
      <w:pPr>
        <w:tabs>
          <w:tab w:val="left" w:pos="567"/>
        </w:tabs>
        <w:spacing w:after="0" w:line="276" w:lineRule="auto"/>
        <w:ind w:firstLine="709"/>
        <w:jc w:val="both"/>
        <w:rPr>
          <w:rFonts w:ascii="Times New Roman" w:eastAsia="Times New Roman" w:hAnsi="Times New Roman" w:cs="Times New Roman"/>
          <w:iCs/>
          <w:sz w:val="24"/>
          <w:szCs w:val="24"/>
          <w:lang w:val="ro-MD"/>
        </w:rPr>
      </w:pPr>
      <w:r w:rsidRPr="0080251F">
        <w:rPr>
          <w:rFonts w:ascii="Times New Roman" w:hAnsi="Times New Roman" w:cs="Times New Roman"/>
          <w:spacing w:val="-6"/>
          <w:sz w:val="24"/>
          <w:szCs w:val="24"/>
          <w:lang w:val="ro-MD"/>
        </w:rPr>
        <w:t xml:space="preserve">În perioada auditată, valoarea totală a procurărilor efectuate de către S.A. „RED-Nord”, potrivit datelor din </w:t>
      </w:r>
      <w:r w:rsidR="00F217CD" w:rsidRPr="0080251F">
        <w:rPr>
          <w:rFonts w:ascii="Times New Roman" w:hAnsi="Times New Roman" w:cs="Times New Roman"/>
          <w:spacing w:val="-6"/>
          <w:sz w:val="24"/>
          <w:szCs w:val="24"/>
          <w:lang w:val="ro-MD"/>
        </w:rPr>
        <w:t>R</w:t>
      </w:r>
      <w:r w:rsidRPr="0080251F">
        <w:rPr>
          <w:rFonts w:ascii="Times New Roman" w:hAnsi="Times New Roman" w:cs="Times New Roman"/>
          <w:spacing w:val="-6"/>
          <w:sz w:val="24"/>
          <w:szCs w:val="24"/>
          <w:lang w:val="ro-MD"/>
        </w:rPr>
        <w:t>egistru</w:t>
      </w:r>
      <w:r w:rsidR="00F217CD" w:rsidRPr="0080251F">
        <w:rPr>
          <w:rFonts w:ascii="Times New Roman" w:hAnsi="Times New Roman" w:cs="Times New Roman"/>
          <w:spacing w:val="-6"/>
          <w:sz w:val="24"/>
          <w:szCs w:val="24"/>
          <w:lang w:val="ro-MD"/>
        </w:rPr>
        <w:t>l</w:t>
      </w:r>
      <w:r w:rsidRPr="0080251F">
        <w:rPr>
          <w:rFonts w:ascii="Times New Roman" w:hAnsi="Times New Roman" w:cs="Times New Roman"/>
          <w:spacing w:val="-6"/>
          <w:sz w:val="24"/>
          <w:szCs w:val="24"/>
          <w:lang w:val="ro-MD"/>
        </w:rPr>
        <w:t xml:space="preserve"> procurărilor (fără TVA), a constituit 399,8 mil. lei în anul 2021 și 364,4 mil. lei în anul 2022</w:t>
      </w:r>
      <w:r w:rsidRPr="0080251F">
        <w:rPr>
          <w:rFonts w:ascii="Times New Roman" w:hAnsi="Times New Roman" w:cs="Times New Roman"/>
          <w:spacing w:val="-6"/>
          <w:sz w:val="24"/>
          <w:szCs w:val="24"/>
          <w:vertAlign w:val="superscript"/>
          <w:lang w:val="ro-MD"/>
        </w:rPr>
        <w:t xml:space="preserve"> </w:t>
      </w:r>
      <w:r w:rsidRPr="0080251F">
        <w:rPr>
          <w:rFonts w:ascii="Times New Roman" w:hAnsi="Times New Roman" w:cs="Times New Roman"/>
          <w:spacing w:val="-6"/>
          <w:sz w:val="24"/>
          <w:szCs w:val="24"/>
          <w:lang w:val="ro-MD"/>
        </w:rPr>
        <w:t xml:space="preserve">. </w:t>
      </w:r>
      <w:r w:rsidR="00F217CD" w:rsidRPr="0080251F">
        <w:rPr>
          <w:rFonts w:ascii="Times New Roman" w:hAnsi="Times New Roman" w:cs="Times New Roman"/>
          <w:bCs/>
          <w:sz w:val="24"/>
          <w:szCs w:val="24"/>
          <w:lang w:val="ro-MD"/>
        </w:rPr>
        <w:t>Pentru unele d</w:t>
      </w:r>
      <w:r w:rsidRPr="0080251F">
        <w:rPr>
          <w:rFonts w:ascii="Times New Roman" w:hAnsi="Times New Roman" w:cs="Times New Roman"/>
          <w:bCs/>
          <w:sz w:val="24"/>
          <w:szCs w:val="24"/>
          <w:lang w:val="ro-MD"/>
        </w:rPr>
        <w:t xml:space="preserve">in </w:t>
      </w:r>
      <w:r w:rsidR="00F217CD" w:rsidRPr="0080251F">
        <w:rPr>
          <w:rFonts w:ascii="Times New Roman" w:hAnsi="Times New Roman" w:cs="Times New Roman"/>
          <w:bCs/>
          <w:sz w:val="24"/>
          <w:szCs w:val="24"/>
          <w:lang w:val="ro-MD"/>
        </w:rPr>
        <w:t>acestea</w:t>
      </w:r>
      <w:r w:rsidRPr="0080251F">
        <w:rPr>
          <w:rFonts w:ascii="Times New Roman" w:hAnsi="Times New Roman" w:cs="Times New Roman"/>
          <w:bCs/>
          <w:sz w:val="24"/>
          <w:szCs w:val="24"/>
          <w:lang w:val="ro-MD"/>
        </w:rPr>
        <w:t>,</w:t>
      </w:r>
      <w:r w:rsidRPr="0080251F">
        <w:rPr>
          <w:rFonts w:ascii="Times New Roman" w:hAnsi="Times New Roman" w:cs="Times New Roman"/>
          <w:sz w:val="24"/>
          <w:szCs w:val="24"/>
          <w:lang w:val="ro-MD"/>
        </w:rPr>
        <w:t xml:space="preserve"> </w:t>
      </w:r>
      <w:r w:rsidR="00BD0189" w:rsidRPr="0080251F">
        <w:rPr>
          <w:rFonts w:ascii="Times New Roman" w:hAnsi="Times New Roman" w:cs="Times New Roman"/>
          <w:sz w:val="24"/>
          <w:szCs w:val="24"/>
          <w:lang w:val="ro-MD"/>
        </w:rPr>
        <w:t>prin licitație publică</w:t>
      </w:r>
      <w:r w:rsidRPr="0080251F">
        <w:rPr>
          <w:rFonts w:ascii="Times New Roman" w:hAnsi="Times New Roman" w:cs="Times New Roman"/>
          <w:sz w:val="24"/>
          <w:szCs w:val="24"/>
          <w:lang w:val="ro-MD"/>
        </w:rPr>
        <w:t xml:space="preserve">, în anul 2021 </w:t>
      </w:r>
      <w:r w:rsidRPr="0080251F">
        <w:rPr>
          <w:rFonts w:ascii="Times New Roman" w:eastAsia="Times New Roman" w:hAnsi="Times New Roman" w:cs="Times New Roman"/>
          <w:iCs/>
          <w:sz w:val="24"/>
          <w:szCs w:val="24"/>
          <w:lang w:val="ro-MD"/>
        </w:rPr>
        <w:t>au fost încheiate 124 contracte privind achiziționarea de bunuri, lucrări și servicii</w:t>
      </w:r>
      <w:r w:rsidR="00F217CD" w:rsidRPr="0080251F">
        <w:rPr>
          <w:rFonts w:ascii="Times New Roman" w:eastAsia="Times New Roman" w:hAnsi="Times New Roman" w:cs="Times New Roman"/>
          <w:iCs/>
          <w:sz w:val="24"/>
          <w:szCs w:val="24"/>
          <w:lang w:val="ro-MD"/>
        </w:rPr>
        <w:t>,</w:t>
      </w:r>
      <w:r w:rsidRPr="0080251F">
        <w:rPr>
          <w:rFonts w:ascii="Times New Roman" w:eastAsia="Times New Roman" w:hAnsi="Times New Roman" w:cs="Times New Roman"/>
          <w:iCs/>
          <w:sz w:val="24"/>
          <w:szCs w:val="24"/>
          <w:lang w:val="ro-MD"/>
        </w:rPr>
        <w:t xml:space="preserve"> în </w:t>
      </w:r>
      <w:r w:rsidR="00DF198D" w:rsidRPr="0080251F">
        <w:rPr>
          <w:rFonts w:ascii="Times New Roman" w:eastAsia="Times New Roman" w:hAnsi="Times New Roman" w:cs="Times New Roman"/>
          <w:iCs/>
          <w:sz w:val="24"/>
          <w:szCs w:val="24"/>
          <w:lang w:val="ro-MD"/>
        </w:rPr>
        <w:t>sumă</w:t>
      </w:r>
      <w:r w:rsidRPr="0080251F">
        <w:rPr>
          <w:rFonts w:ascii="Times New Roman" w:eastAsia="Times New Roman" w:hAnsi="Times New Roman" w:cs="Times New Roman"/>
          <w:iCs/>
          <w:sz w:val="24"/>
          <w:szCs w:val="24"/>
          <w:lang w:val="ro-MD"/>
        </w:rPr>
        <w:t xml:space="preserve"> de 355,7 mil. lei</w:t>
      </w:r>
      <w:r w:rsidR="00F217CD" w:rsidRPr="0080251F">
        <w:rPr>
          <w:rFonts w:ascii="Times New Roman" w:eastAsia="Times New Roman" w:hAnsi="Times New Roman" w:cs="Times New Roman"/>
          <w:iCs/>
          <w:sz w:val="24"/>
          <w:szCs w:val="24"/>
          <w:lang w:val="ro-MD"/>
        </w:rPr>
        <w:t>,</w:t>
      </w:r>
      <w:r w:rsidRPr="0080251F">
        <w:rPr>
          <w:rFonts w:ascii="Times New Roman" w:eastAsia="Times New Roman" w:hAnsi="Times New Roman" w:cs="Times New Roman"/>
          <w:iCs/>
          <w:sz w:val="24"/>
          <w:szCs w:val="24"/>
          <w:lang w:val="ro-MD"/>
        </w:rPr>
        <w:t xml:space="preserve"> și în anul 2022 – 113 contracte</w:t>
      </w:r>
      <w:r w:rsidR="00DF198D" w:rsidRPr="0080251F">
        <w:rPr>
          <w:rFonts w:ascii="Times New Roman" w:eastAsia="Times New Roman" w:hAnsi="Times New Roman" w:cs="Times New Roman"/>
          <w:iCs/>
          <w:sz w:val="24"/>
          <w:szCs w:val="24"/>
          <w:lang w:val="ro-MD"/>
        </w:rPr>
        <w:t>,</w:t>
      </w:r>
      <w:r w:rsidRPr="0080251F">
        <w:rPr>
          <w:rFonts w:ascii="Times New Roman" w:eastAsia="Times New Roman" w:hAnsi="Times New Roman" w:cs="Times New Roman"/>
          <w:iCs/>
          <w:sz w:val="24"/>
          <w:szCs w:val="24"/>
          <w:lang w:val="ro-MD"/>
        </w:rPr>
        <w:t xml:space="preserve"> în </w:t>
      </w:r>
      <w:r w:rsidR="00DF198D" w:rsidRPr="0080251F">
        <w:rPr>
          <w:rFonts w:ascii="Times New Roman" w:eastAsia="Times New Roman" w:hAnsi="Times New Roman" w:cs="Times New Roman"/>
          <w:iCs/>
          <w:sz w:val="24"/>
          <w:szCs w:val="24"/>
          <w:lang w:val="ro-MD"/>
        </w:rPr>
        <w:t>sumă</w:t>
      </w:r>
      <w:r w:rsidRPr="0080251F">
        <w:rPr>
          <w:rFonts w:ascii="Times New Roman" w:eastAsia="Times New Roman" w:hAnsi="Times New Roman" w:cs="Times New Roman"/>
          <w:iCs/>
          <w:sz w:val="24"/>
          <w:szCs w:val="24"/>
          <w:lang w:val="ro-MD"/>
        </w:rPr>
        <w:t xml:space="preserve"> de 341</w:t>
      </w:r>
      <w:r w:rsidR="006B796C" w:rsidRPr="0080251F">
        <w:rPr>
          <w:rFonts w:ascii="Times New Roman" w:eastAsia="Times New Roman" w:hAnsi="Times New Roman" w:cs="Times New Roman"/>
          <w:iCs/>
          <w:sz w:val="24"/>
          <w:szCs w:val="24"/>
          <w:lang w:val="ro-MD"/>
        </w:rPr>
        <w:t>,2 mil.</w:t>
      </w:r>
      <w:r w:rsidRPr="0080251F">
        <w:rPr>
          <w:rFonts w:ascii="Times New Roman" w:eastAsia="Times New Roman" w:hAnsi="Times New Roman" w:cs="Times New Roman"/>
          <w:iCs/>
          <w:sz w:val="24"/>
          <w:szCs w:val="24"/>
          <w:lang w:val="ro-MD"/>
        </w:rPr>
        <w:t xml:space="preserve"> lei. </w:t>
      </w:r>
    </w:p>
    <w:p w14:paraId="02BCC037" w14:textId="1E012ED1" w:rsidR="002815D4" w:rsidRPr="0080251F" w:rsidRDefault="002815D4" w:rsidP="008D792B">
      <w:pPr>
        <w:tabs>
          <w:tab w:val="left" w:pos="567"/>
        </w:tabs>
        <w:spacing w:after="0" w:line="276" w:lineRule="auto"/>
        <w:ind w:firstLine="709"/>
        <w:jc w:val="both"/>
        <w:rPr>
          <w:rFonts w:ascii="Times New Roman" w:eastAsia="Times New Roman" w:hAnsi="Times New Roman" w:cs="Times New Roman"/>
          <w:iCs/>
          <w:sz w:val="24"/>
          <w:szCs w:val="24"/>
          <w:lang w:val="ro-MD"/>
        </w:rPr>
      </w:pPr>
      <w:r w:rsidRPr="0080251F">
        <w:rPr>
          <w:rFonts w:ascii="Times New Roman" w:hAnsi="Times New Roman" w:cs="Times New Roman"/>
          <w:sz w:val="24"/>
          <w:szCs w:val="24"/>
          <w:lang w:val="ro-MD"/>
        </w:rPr>
        <w:t xml:space="preserve">Analizând modul de </w:t>
      </w:r>
      <w:r w:rsidR="00565B1D" w:rsidRPr="0080251F">
        <w:rPr>
          <w:rFonts w:ascii="Times New Roman" w:hAnsi="Times New Roman" w:cs="Times New Roman"/>
          <w:sz w:val="24"/>
          <w:szCs w:val="24"/>
          <w:lang w:val="ro-MD"/>
        </w:rPr>
        <w:t>organizare</w:t>
      </w:r>
      <w:r w:rsidRPr="0080251F">
        <w:rPr>
          <w:rFonts w:ascii="Times New Roman" w:hAnsi="Times New Roman" w:cs="Times New Roman"/>
          <w:sz w:val="24"/>
          <w:szCs w:val="24"/>
          <w:lang w:val="ro-MD"/>
        </w:rPr>
        <w:t xml:space="preserve"> a procedurilor de achiziții la S</w:t>
      </w:r>
      <w:r w:rsidR="00DF198D"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A</w:t>
      </w:r>
      <w:r w:rsidR="00DF198D"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„RED-Nord”,</w:t>
      </w:r>
      <w:r w:rsidR="00565B1D" w:rsidRPr="0080251F">
        <w:rPr>
          <w:rFonts w:ascii="Times New Roman" w:hAnsi="Times New Roman" w:cs="Times New Roman"/>
          <w:sz w:val="24"/>
          <w:szCs w:val="24"/>
          <w:lang w:val="ro-MD"/>
        </w:rPr>
        <w:t xml:space="preserve"> auditul a constatat</w:t>
      </w:r>
      <w:r w:rsidR="00E85719" w:rsidRPr="0080251F">
        <w:rPr>
          <w:rFonts w:ascii="Times New Roman" w:hAnsi="Times New Roman" w:cs="Times New Roman"/>
          <w:sz w:val="24"/>
          <w:szCs w:val="24"/>
          <w:lang w:val="ro-MD"/>
        </w:rPr>
        <w:t xml:space="preserve"> următoarele</w:t>
      </w:r>
      <w:r w:rsidRPr="0080251F">
        <w:rPr>
          <w:rFonts w:ascii="Times New Roman" w:hAnsi="Times New Roman" w:cs="Times New Roman"/>
          <w:sz w:val="24"/>
          <w:szCs w:val="24"/>
          <w:lang w:val="ro-MD"/>
        </w:rPr>
        <w:t>.</w:t>
      </w:r>
    </w:p>
    <w:p w14:paraId="1E26B2F5" w14:textId="031A9843" w:rsidR="002815D4" w:rsidRPr="0080251F" w:rsidRDefault="002E0121" w:rsidP="008D792B">
      <w:pPr>
        <w:tabs>
          <w:tab w:val="left" w:pos="567"/>
        </w:tabs>
        <w:spacing w:after="0" w:line="276" w:lineRule="auto"/>
        <w:ind w:firstLine="709"/>
        <w:jc w:val="both"/>
        <w:rPr>
          <w:rFonts w:ascii="Times New Roman" w:hAnsi="Times New Roman" w:cs="Times New Roman"/>
          <w:i/>
          <w:iCs/>
          <w:sz w:val="24"/>
          <w:szCs w:val="24"/>
          <w:lang w:val="ro-MD" w:eastAsia="ro-MD"/>
        </w:rPr>
      </w:pPr>
      <w:r w:rsidRPr="0080251F">
        <w:rPr>
          <w:rFonts w:ascii="Times New Roman" w:hAnsi="Times New Roman" w:cs="Times New Roman"/>
          <w:i/>
          <w:iCs/>
          <w:sz w:val="24"/>
          <w:szCs w:val="24"/>
          <w:lang w:val="ro-MD" w:eastAsia="ro-MD"/>
        </w:rPr>
        <w:t>L</w:t>
      </w:r>
      <w:r w:rsidR="002815D4" w:rsidRPr="0080251F">
        <w:rPr>
          <w:rFonts w:ascii="Times New Roman" w:hAnsi="Times New Roman" w:cs="Times New Roman"/>
          <w:i/>
          <w:iCs/>
          <w:sz w:val="24"/>
          <w:szCs w:val="24"/>
          <w:lang w:val="ro-MD" w:eastAsia="ro-MD"/>
        </w:rPr>
        <w:t xml:space="preserve">a organizarea achizițiilor publice entitatea nu aplică, reieșind din prevederile pct.15, Anexa nr.3 din </w:t>
      </w:r>
      <w:r w:rsidR="002815D4" w:rsidRPr="0080251F">
        <w:rPr>
          <w:rFonts w:ascii="Times New Roman" w:hAnsi="Times New Roman" w:cs="Times New Roman"/>
          <w:bCs/>
          <w:i/>
          <w:iCs/>
          <w:sz w:val="24"/>
          <w:szCs w:val="24"/>
          <w:lang w:val="ro-MD" w:eastAsia="ro-MD"/>
        </w:rPr>
        <w:t>Legea nr.74 din 21.05.2020</w:t>
      </w:r>
      <w:r w:rsidR="001F5C25" w:rsidRPr="0080251F">
        <w:rPr>
          <w:rStyle w:val="a5"/>
          <w:rFonts w:ascii="Times New Roman" w:hAnsi="Times New Roman" w:cs="Times New Roman"/>
          <w:bCs/>
          <w:i/>
          <w:iCs/>
          <w:sz w:val="24"/>
          <w:szCs w:val="24"/>
          <w:lang w:val="ro-MD" w:eastAsia="ro-MD"/>
        </w:rPr>
        <w:footnoteReference w:id="104"/>
      </w:r>
      <w:r w:rsidR="002815D4" w:rsidRPr="0080251F">
        <w:rPr>
          <w:rFonts w:ascii="Times New Roman" w:hAnsi="Times New Roman" w:cs="Times New Roman"/>
          <w:bCs/>
          <w:i/>
          <w:iCs/>
          <w:sz w:val="24"/>
          <w:szCs w:val="24"/>
          <w:lang w:val="ro-MD" w:eastAsia="ro-MD"/>
        </w:rPr>
        <w:t xml:space="preserve">, </w:t>
      </w:r>
      <w:r w:rsidR="002815D4" w:rsidRPr="0080251F">
        <w:rPr>
          <w:rFonts w:ascii="Times New Roman" w:hAnsi="Times New Roman" w:cs="Times New Roman"/>
          <w:i/>
          <w:iCs/>
          <w:sz w:val="24"/>
          <w:szCs w:val="24"/>
          <w:lang w:val="ro-MD" w:eastAsia="ro-MD"/>
        </w:rPr>
        <w:t xml:space="preserve">dreptul său de a cere de la ofertanți depunerea </w:t>
      </w:r>
      <w:r w:rsidR="002815D4" w:rsidRPr="0080251F">
        <w:rPr>
          <w:rFonts w:ascii="Times New Roman" w:hAnsi="Times New Roman" w:cs="Times New Roman"/>
          <w:bCs/>
          <w:i/>
          <w:iCs/>
          <w:sz w:val="24"/>
          <w:szCs w:val="24"/>
          <w:lang w:val="ro-MD" w:eastAsia="ro-MD"/>
        </w:rPr>
        <w:t>garanției pentru ofertă</w:t>
      </w:r>
      <w:r w:rsidR="002815D4" w:rsidRPr="0080251F">
        <w:rPr>
          <w:rFonts w:ascii="Times New Roman" w:hAnsi="Times New Roman" w:cs="Times New Roman"/>
          <w:i/>
          <w:iCs/>
          <w:sz w:val="24"/>
          <w:szCs w:val="24"/>
          <w:lang w:val="ro-MD" w:eastAsia="ro-MD"/>
        </w:rPr>
        <w:t>, aceasta fiind o condiție care ar putea asigura o concurență mai mare între ofertanți sau riscuri financiare mai mici la organizarea noilor proceduri de achiziții, după eșuarea celor anterioare ca urmare a retragerii ofertelor depuse.</w:t>
      </w:r>
    </w:p>
    <w:p w14:paraId="4DAC2497" w14:textId="7C6B823B" w:rsidR="002815D4" w:rsidRPr="0080251F" w:rsidRDefault="00565B1D" w:rsidP="000F1110">
      <w:pPr>
        <w:tabs>
          <w:tab w:val="left" w:pos="567"/>
        </w:tabs>
        <w:spacing w:after="0" w:line="276" w:lineRule="auto"/>
        <w:ind w:firstLine="709"/>
        <w:jc w:val="both"/>
        <w:rPr>
          <w:rFonts w:ascii="Times New Roman" w:hAnsi="Times New Roman" w:cs="Times New Roman"/>
          <w:b/>
          <w:iCs/>
          <w:sz w:val="24"/>
          <w:szCs w:val="24"/>
          <w:lang w:val="ro-MD" w:eastAsia="ro-MD"/>
        </w:rPr>
      </w:pPr>
      <w:r w:rsidRPr="0080251F">
        <w:rPr>
          <w:rFonts w:ascii="Times New Roman" w:hAnsi="Times New Roman" w:cs="Times New Roman"/>
          <w:iCs/>
          <w:sz w:val="24"/>
          <w:szCs w:val="24"/>
          <w:lang w:val="ro-MD" w:eastAsia="ro-MD"/>
        </w:rPr>
        <w:t xml:space="preserve">Deficiențele constatate ce țin de executarea procedurilor de achiziție publică </w:t>
      </w:r>
      <w:r w:rsidR="00A10BDF" w:rsidRPr="0080251F">
        <w:rPr>
          <w:rFonts w:ascii="Times New Roman" w:hAnsi="Times New Roman" w:cs="Times New Roman"/>
          <w:bCs/>
          <w:iCs/>
          <w:sz w:val="24"/>
          <w:szCs w:val="24"/>
          <w:lang w:val="ro-MD" w:eastAsia="ro-MD"/>
        </w:rPr>
        <w:t>și unele efecte economice nefavorabile</w:t>
      </w:r>
      <w:r w:rsidR="00A10BDF" w:rsidRPr="0080251F">
        <w:rPr>
          <w:rFonts w:ascii="Times New Roman" w:hAnsi="Times New Roman" w:cs="Times New Roman"/>
          <w:iCs/>
          <w:sz w:val="24"/>
          <w:szCs w:val="24"/>
          <w:lang w:val="ro-MD" w:eastAsia="ro-MD"/>
        </w:rPr>
        <w:t xml:space="preserve"> </w:t>
      </w:r>
      <w:r w:rsidRPr="0080251F">
        <w:rPr>
          <w:rFonts w:ascii="Times New Roman" w:hAnsi="Times New Roman" w:cs="Times New Roman"/>
          <w:iCs/>
          <w:sz w:val="24"/>
          <w:szCs w:val="24"/>
          <w:lang w:val="ro-MD" w:eastAsia="ro-MD"/>
        </w:rPr>
        <w:t>se referă la</w:t>
      </w:r>
      <w:r w:rsidR="002815D4" w:rsidRPr="0080251F">
        <w:rPr>
          <w:rFonts w:ascii="Times New Roman" w:hAnsi="Times New Roman" w:cs="Times New Roman"/>
          <w:iCs/>
          <w:sz w:val="24"/>
          <w:szCs w:val="24"/>
          <w:lang w:val="ro-MD" w:eastAsia="ro-MD"/>
        </w:rPr>
        <w:t xml:space="preserve"> </w:t>
      </w:r>
      <w:r w:rsidR="00C25031" w:rsidRPr="0080251F">
        <w:rPr>
          <w:rFonts w:ascii="Times New Roman" w:hAnsi="Times New Roman" w:cs="Times New Roman"/>
          <w:iCs/>
          <w:sz w:val="24"/>
          <w:szCs w:val="24"/>
          <w:lang w:val="ro-MD" w:eastAsia="ro-MD"/>
        </w:rPr>
        <w:t>situațiile expuse în continuare.</w:t>
      </w:r>
    </w:p>
    <w:p w14:paraId="60049F8D" w14:textId="09274901" w:rsidR="002815D4" w:rsidRPr="0080251F" w:rsidRDefault="002815D4" w:rsidP="008D792B">
      <w:pPr>
        <w:tabs>
          <w:tab w:val="left" w:pos="567"/>
        </w:tabs>
        <w:spacing w:after="0" w:line="276" w:lineRule="auto"/>
        <w:ind w:firstLine="709"/>
        <w:jc w:val="both"/>
        <w:rPr>
          <w:rFonts w:ascii="Times New Roman" w:hAnsi="Times New Roman" w:cs="Times New Roman"/>
          <w:iCs/>
          <w:sz w:val="24"/>
          <w:lang w:val="ro-MD" w:eastAsia="ro-MD"/>
        </w:rPr>
      </w:pPr>
      <w:r w:rsidRPr="0080251F">
        <w:rPr>
          <w:rFonts w:ascii="Times New Roman" w:hAnsi="Times New Roman" w:cs="Times New Roman"/>
          <w:iCs/>
          <w:sz w:val="24"/>
          <w:szCs w:val="24"/>
          <w:lang w:val="ro-MD" w:eastAsia="ro-MD"/>
        </w:rPr>
        <w:t xml:space="preserve">La achiziția </w:t>
      </w:r>
      <w:r w:rsidRPr="0080251F">
        <w:rPr>
          <w:rFonts w:ascii="Times New Roman" w:hAnsi="Times New Roman" w:cs="Times New Roman"/>
          <w:i/>
          <w:iCs/>
          <w:sz w:val="24"/>
          <w:szCs w:val="24"/>
          <w:lang w:val="ro-MD" w:eastAsia="ro-MD"/>
        </w:rPr>
        <w:t>serviciilor de verificare metrologică</w:t>
      </w:r>
      <w:r w:rsidRPr="0080251F">
        <w:rPr>
          <w:rFonts w:ascii="Times New Roman" w:hAnsi="Times New Roman" w:cs="Times New Roman"/>
          <w:iCs/>
          <w:sz w:val="24"/>
          <w:szCs w:val="24"/>
          <w:lang w:val="ro-MD" w:eastAsia="ro-MD"/>
        </w:rPr>
        <w:t>, în baza contractului nr.229 din 11.05.2021, semnat cu ÎS „Centrul de Metrologie Aplicată și Certificare (ÎS „CMAC”), urmau a fi executate serviciile de verificare metrologică a aparatelor de</w:t>
      </w:r>
      <w:r w:rsidRPr="0080251F">
        <w:rPr>
          <w:rFonts w:ascii="Times New Roman" w:hAnsi="Times New Roman" w:cs="Times New Roman"/>
          <w:sz w:val="24"/>
          <w:szCs w:val="24"/>
          <w:lang w:val="ro-MD"/>
        </w:rPr>
        <w:t xml:space="preserve"> </w:t>
      </w:r>
      <w:r w:rsidRPr="0080251F">
        <w:rPr>
          <w:rFonts w:ascii="Times New Roman" w:hAnsi="Times New Roman" w:cs="Times New Roman"/>
          <w:iCs/>
          <w:sz w:val="24"/>
          <w:szCs w:val="24"/>
          <w:lang w:val="ro-MD" w:eastAsia="ro-MD"/>
        </w:rPr>
        <w:t>evidență a energiei electrice și trans</w:t>
      </w:r>
      <w:r w:rsidR="00983EEF" w:rsidRPr="0080251F">
        <w:rPr>
          <w:rFonts w:ascii="Times New Roman" w:hAnsi="Times New Roman" w:cs="Times New Roman"/>
          <w:iCs/>
          <w:sz w:val="24"/>
          <w:szCs w:val="24"/>
          <w:lang w:val="ro-MD" w:eastAsia="ro-MD"/>
        </w:rPr>
        <w:t>formatoarelor în sumă de 1,3 mil.</w:t>
      </w:r>
      <w:r w:rsidRPr="0080251F">
        <w:rPr>
          <w:rFonts w:ascii="Times New Roman" w:hAnsi="Times New Roman" w:cs="Times New Roman"/>
          <w:iCs/>
          <w:sz w:val="24"/>
          <w:szCs w:val="24"/>
          <w:lang w:val="ro-MD" w:eastAsia="ro-MD"/>
        </w:rPr>
        <w:t xml:space="preserve"> lei (cu TVA).</w:t>
      </w:r>
      <w:r w:rsidRPr="0080251F">
        <w:rPr>
          <w:rFonts w:ascii="Times New Roman" w:hAnsi="Times New Roman" w:cs="Times New Roman"/>
          <w:sz w:val="24"/>
          <w:szCs w:val="24"/>
          <w:lang w:val="ro-MD"/>
        </w:rPr>
        <w:t xml:space="preserve"> Efectiv, </w:t>
      </w:r>
      <w:r w:rsidRPr="0080251F">
        <w:rPr>
          <w:rFonts w:ascii="Times New Roman" w:hAnsi="Times New Roman" w:cs="Times New Roman"/>
          <w:iCs/>
          <w:sz w:val="24"/>
          <w:szCs w:val="24"/>
          <w:lang w:val="ro-MD" w:eastAsia="ro-MD"/>
        </w:rPr>
        <w:t>ÎS „CMAC” nu a îndeplinit integral obligația asumată</w:t>
      </w:r>
      <w:r w:rsidRPr="0080251F">
        <w:rPr>
          <w:rFonts w:ascii="Times New Roman" w:hAnsi="Times New Roman" w:cs="Times New Roman"/>
          <w:iCs/>
          <w:sz w:val="24"/>
          <w:lang w:val="ro-MD" w:eastAsia="ro-MD"/>
        </w:rPr>
        <w:t xml:space="preserve"> prin contract și nu a executat servicii în sumă de 365,5 mii lei</w:t>
      </w:r>
      <w:r w:rsidRPr="0080251F">
        <w:rPr>
          <w:rFonts w:ascii="Times New Roman" w:hAnsi="Times New Roman" w:cs="Times New Roman"/>
          <w:iCs/>
          <w:sz w:val="24"/>
          <w:vertAlign w:val="superscript"/>
          <w:lang w:val="ro-MD" w:eastAsia="ro-MD"/>
        </w:rPr>
        <w:footnoteReference w:id="105"/>
      </w:r>
      <w:r w:rsidRPr="0080251F">
        <w:rPr>
          <w:rFonts w:ascii="Times New Roman" w:hAnsi="Times New Roman" w:cs="Times New Roman"/>
          <w:iCs/>
          <w:sz w:val="24"/>
          <w:lang w:val="ro-MD" w:eastAsia="ro-MD"/>
        </w:rPr>
        <w:t>. Totodată, S.A. „RED-Nord” nu a aplicat dreptul său contractual și nu a reținut garanția de bună execuție a contractului</w:t>
      </w:r>
      <w:r w:rsidR="009B5E78" w:rsidRPr="0080251F">
        <w:rPr>
          <w:rFonts w:ascii="Times New Roman" w:hAnsi="Times New Roman" w:cs="Times New Roman"/>
          <w:iCs/>
          <w:sz w:val="24"/>
          <w:lang w:val="ro-MD" w:eastAsia="ro-MD"/>
        </w:rPr>
        <w:t>,</w:t>
      </w:r>
      <w:r w:rsidRPr="0080251F">
        <w:rPr>
          <w:rFonts w:ascii="Times New Roman" w:hAnsi="Times New Roman" w:cs="Times New Roman"/>
          <w:iCs/>
          <w:sz w:val="24"/>
          <w:lang w:val="ro-MD" w:eastAsia="ro-MD"/>
        </w:rPr>
        <w:t xml:space="preserve"> în sumă de </w:t>
      </w:r>
      <w:r w:rsidRPr="0080251F">
        <w:rPr>
          <w:rFonts w:ascii="Times New Roman" w:hAnsi="Times New Roman" w:cs="Times New Roman"/>
          <w:b/>
          <w:iCs/>
          <w:sz w:val="24"/>
          <w:lang w:val="ro-MD" w:eastAsia="ro-MD"/>
        </w:rPr>
        <w:t>18,3 mii lei</w:t>
      </w:r>
      <w:r w:rsidRPr="0080251F">
        <w:rPr>
          <w:rFonts w:ascii="Times New Roman" w:hAnsi="Times New Roman" w:cs="Times New Roman"/>
          <w:iCs/>
          <w:sz w:val="24"/>
          <w:lang w:val="ro-MD" w:eastAsia="ro-MD"/>
        </w:rPr>
        <w:t>, de la valoarea serviciilor neprestare (365,5 mii lei).</w:t>
      </w:r>
    </w:p>
    <w:p w14:paraId="2C69D73D" w14:textId="1EC7FC5B" w:rsidR="002815D4" w:rsidRPr="0080251F" w:rsidRDefault="002815D4" w:rsidP="008D792B">
      <w:pPr>
        <w:tabs>
          <w:tab w:val="left" w:pos="567"/>
        </w:tabs>
        <w:spacing w:after="0" w:line="276" w:lineRule="auto"/>
        <w:ind w:firstLine="709"/>
        <w:jc w:val="both"/>
        <w:rPr>
          <w:rFonts w:ascii="Times New Roman" w:hAnsi="Times New Roman" w:cs="Times New Roman"/>
          <w:iCs/>
          <w:sz w:val="24"/>
          <w:lang w:val="ro-MD" w:eastAsia="ro-MD"/>
        </w:rPr>
      </w:pPr>
      <w:r w:rsidRPr="0080251F">
        <w:rPr>
          <w:rFonts w:ascii="Times New Roman" w:hAnsi="Times New Roman" w:cs="Times New Roman"/>
          <w:iCs/>
          <w:sz w:val="24"/>
          <w:lang w:val="ro-MD" w:eastAsia="ro-MD"/>
        </w:rPr>
        <w:t>Deși S.A. „RED-Nord” a acționat în anul 2022 în instanța de judecată ÎS „CMAC” pentru faptul neexecutării contractului,  la data de 12.09.2022 a semnat cu același operator economic un nou contract de prestare a serviciilor de verificare m</w:t>
      </w:r>
      <w:r w:rsidR="00983EEF" w:rsidRPr="0080251F">
        <w:rPr>
          <w:rFonts w:ascii="Times New Roman" w:hAnsi="Times New Roman" w:cs="Times New Roman"/>
          <w:iCs/>
          <w:sz w:val="24"/>
          <w:lang w:val="ro-MD" w:eastAsia="ro-MD"/>
        </w:rPr>
        <w:t>etrologică</w:t>
      </w:r>
      <w:r w:rsidR="00AC201A" w:rsidRPr="0080251F">
        <w:rPr>
          <w:rFonts w:ascii="Times New Roman" w:hAnsi="Times New Roman" w:cs="Times New Roman"/>
          <w:iCs/>
          <w:sz w:val="24"/>
          <w:lang w:val="ro-MD" w:eastAsia="ro-MD"/>
        </w:rPr>
        <w:t>,</w:t>
      </w:r>
      <w:r w:rsidR="00983EEF" w:rsidRPr="0080251F">
        <w:rPr>
          <w:rFonts w:ascii="Times New Roman" w:hAnsi="Times New Roman" w:cs="Times New Roman"/>
          <w:iCs/>
          <w:sz w:val="24"/>
          <w:lang w:val="ro-MD" w:eastAsia="ro-MD"/>
        </w:rPr>
        <w:t xml:space="preserve"> în </w:t>
      </w:r>
      <w:r w:rsidR="00AC201A" w:rsidRPr="0080251F">
        <w:rPr>
          <w:rFonts w:ascii="Times New Roman" w:hAnsi="Times New Roman" w:cs="Times New Roman"/>
          <w:iCs/>
          <w:sz w:val="24"/>
          <w:lang w:val="ro-MD" w:eastAsia="ro-MD"/>
        </w:rPr>
        <w:t>sumă</w:t>
      </w:r>
      <w:r w:rsidR="00983EEF" w:rsidRPr="0080251F">
        <w:rPr>
          <w:rFonts w:ascii="Times New Roman" w:hAnsi="Times New Roman" w:cs="Times New Roman"/>
          <w:iCs/>
          <w:sz w:val="24"/>
          <w:lang w:val="ro-MD" w:eastAsia="ro-MD"/>
        </w:rPr>
        <w:t xml:space="preserve"> de 1,1 mil.</w:t>
      </w:r>
      <w:r w:rsidRPr="0080251F">
        <w:rPr>
          <w:rFonts w:ascii="Times New Roman" w:hAnsi="Times New Roman" w:cs="Times New Roman"/>
          <w:iCs/>
          <w:sz w:val="24"/>
          <w:lang w:val="ro-MD" w:eastAsia="ro-MD"/>
        </w:rPr>
        <w:t xml:space="preserve"> lei</w:t>
      </w:r>
      <w:r w:rsidRPr="0080251F">
        <w:rPr>
          <w:rFonts w:ascii="Times New Roman" w:hAnsi="Times New Roman" w:cs="Times New Roman"/>
          <w:iCs/>
          <w:sz w:val="24"/>
          <w:vertAlign w:val="superscript"/>
          <w:lang w:val="ro-MD" w:eastAsia="ro-MD"/>
        </w:rPr>
        <w:footnoteReference w:id="106"/>
      </w:r>
      <w:r w:rsidRPr="0080251F">
        <w:rPr>
          <w:rFonts w:ascii="Times New Roman" w:hAnsi="Times New Roman" w:cs="Times New Roman"/>
          <w:iCs/>
          <w:sz w:val="24"/>
          <w:lang w:val="ro-MD" w:eastAsia="ro-MD"/>
        </w:rPr>
        <w:t xml:space="preserve"> (nr. 419 din </w:t>
      </w:r>
      <w:r w:rsidRPr="0080251F">
        <w:rPr>
          <w:rFonts w:ascii="Times New Roman" w:hAnsi="Times New Roman" w:cs="Times New Roman"/>
          <w:sz w:val="24"/>
          <w:szCs w:val="24"/>
          <w:lang w:val="ro-MD"/>
        </w:rPr>
        <w:t>12.09.2022</w:t>
      </w:r>
      <w:r w:rsidRPr="0080251F">
        <w:rPr>
          <w:rFonts w:ascii="Times New Roman" w:hAnsi="Times New Roman" w:cs="Times New Roman"/>
          <w:iCs/>
          <w:sz w:val="24"/>
          <w:lang w:val="ro-MD" w:eastAsia="ro-MD"/>
        </w:rPr>
        <w:t>). Totodată, pentru verificarea a 11</w:t>
      </w:r>
      <w:r w:rsidR="00745FEA" w:rsidRPr="0080251F">
        <w:rPr>
          <w:rFonts w:ascii="Times New Roman" w:hAnsi="Times New Roman" w:cs="Times New Roman"/>
          <w:iCs/>
          <w:sz w:val="24"/>
          <w:lang w:val="ro-MD" w:eastAsia="ro-MD"/>
        </w:rPr>
        <w:t>.</w:t>
      </w:r>
      <w:r w:rsidRPr="0080251F">
        <w:rPr>
          <w:rFonts w:ascii="Times New Roman" w:hAnsi="Times New Roman" w:cs="Times New Roman"/>
          <w:iCs/>
          <w:sz w:val="24"/>
          <w:lang w:val="ro-MD" w:eastAsia="ro-MD"/>
        </w:rPr>
        <w:t>870 contoare de energie electrică activă monofazate, suplimentar a fost semnat contractul de achiziții cu SRL „Tehlabservicii”</w:t>
      </w:r>
      <w:r w:rsidR="00AC201A" w:rsidRPr="0080251F">
        <w:rPr>
          <w:rFonts w:ascii="Times New Roman" w:hAnsi="Times New Roman" w:cs="Times New Roman"/>
          <w:iCs/>
          <w:sz w:val="24"/>
          <w:lang w:val="ro-MD" w:eastAsia="ro-MD"/>
        </w:rPr>
        <w:t>,</w:t>
      </w:r>
      <w:r w:rsidRPr="0080251F">
        <w:rPr>
          <w:rFonts w:ascii="Times New Roman" w:hAnsi="Times New Roman" w:cs="Times New Roman"/>
          <w:iCs/>
          <w:sz w:val="24"/>
          <w:lang w:val="ro-MD" w:eastAsia="ro-MD"/>
        </w:rPr>
        <w:t xml:space="preserve"> în sumă de 754,9 mii lei, la preț</w:t>
      </w:r>
      <w:r w:rsidR="00AC201A" w:rsidRPr="0080251F">
        <w:rPr>
          <w:rFonts w:ascii="Times New Roman" w:hAnsi="Times New Roman" w:cs="Times New Roman"/>
          <w:iCs/>
          <w:sz w:val="24"/>
          <w:lang w:val="ro-MD" w:eastAsia="ro-MD"/>
        </w:rPr>
        <w:t>ul</w:t>
      </w:r>
      <w:r w:rsidRPr="0080251F">
        <w:rPr>
          <w:rFonts w:ascii="Times New Roman" w:hAnsi="Times New Roman" w:cs="Times New Roman"/>
          <w:iCs/>
          <w:sz w:val="24"/>
          <w:lang w:val="ro-MD" w:eastAsia="ro-MD"/>
        </w:rPr>
        <w:t xml:space="preserve"> de 53,00 lei pentru verificarea unui contor, fără TVA (contractul nr.430 din 12.09.2022).</w:t>
      </w:r>
    </w:p>
    <w:p w14:paraId="73731207" w14:textId="7928FE68" w:rsidR="002815D4" w:rsidRPr="0080251F" w:rsidRDefault="002815D4" w:rsidP="008D792B">
      <w:pPr>
        <w:tabs>
          <w:tab w:val="left" w:pos="567"/>
        </w:tabs>
        <w:spacing w:after="0" w:line="276" w:lineRule="auto"/>
        <w:ind w:firstLine="709"/>
        <w:jc w:val="both"/>
        <w:rPr>
          <w:rFonts w:ascii="Times New Roman" w:hAnsi="Times New Roman" w:cs="Times New Roman"/>
          <w:iCs/>
          <w:sz w:val="24"/>
          <w:lang w:val="ro-MD" w:eastAsia="ro-MD"/>
        </w:rPr>
      </w:pPr>
      <w:r w:rsidRPr="0080251F">
        <w:rPr>
          <w:rFonts w:ascii="Times New Roman" w:hAnsi="Times New Roman" w:cs="Times New Roman"/>
          <w:iCs/>
          <w:sz w:val="24"/>
          <w:lang w:val="ro-MD" w:eastAsia="ro-MD"/>
        </w:rPr>
        <w:t>Reieșind din condițiile contractuale (nr.419 din 12.09.2022), se constată că pr</w:t>
      </w:r>
      <w:r w:rsidR="002E0121" w:rsidRPr="0080251F">
        <w:rPr>
          <w:rFonts w:ascii="Times New Roman" w:hAnsi="Times New Roman" w:cs="Times New Roman"/>
          <w:iCs/>
          <w:sz w:val="24"/>
          <w:lang w:val="ro-MD" w:eastAsia="ro-MD"/>
        </w:rPr>
        <w:t>ețurile fixate în noul contract</w:t>
      </w:r>
      <w:r w:rsidRPr="0080251F">
        <w:rPr>
          <w:rFonts w:ascii="Times New Roman" w:hAnsi="Times New Roman" w:cs="Times New Roman"/>
          <w:iCs/>
          <w:sz w:val="24"/>
          <w:lang w:val="ro-MD" w:eastAsia="ro-MD"/>
        </w:rPr>
        <w:t xml:space="preserve"> sunt cu mult mai mari în raport cu cele fixate în contractul neexecutat. </w:t>
      </w:r>
      <w:r w:rsidR="005E6802" w:rsidRPr="0080251F">
        <w:rPr>
          <w:rFonts w:ascii="Times New Roman" w:hAnsi="Times New Roman" w:cs="Times New Roman"/>
          <w:iCs/>
          <w:sz w:val="24"/>
          <w:lang w:val="ro-MD" w:eastAsia="ro-MD"/>
        </w:rPr>
        <w:t>De</w:t>
      </w:r>
      <w:r w:rsidRPr="0080251F">
        <w:rPr>
          <w:rFonts w:ascii="Times New Roman" w:hAnsi="Times New Roman" w:cs="Times New Roman"/>
          <w:iCs/>
          <w:sz w:val="24"/>
          <w:lang w:val="ro-MD" w:eastAsia="ro-MD"/>
        </w:rPr>
        <w:t xml:space="preserve"> exemplu, costul pentru serviciul de verificare a unui contor de energie electrică monofazat cu inducție s-a majorat de la 12,45 lei până la 53,40 lei (fără TVA), sau cu o creștere de 4 ori. </w:t>
      </w:r>
    </w:p>
    <w:p w14:paraId="208792B4" w14:textId="34B4C355" w:rsidR="002815D4" w:rsidRPr="0080251F" w:rsidRDefault="002815D4" w:rsidP="008D792B">
      <w:pPr>
        <w:tabs>
          <w:tab w:val="left" w:pos="567"/>
        </w:tabs>
        <w:spacing w:after="0" w:line="276" w:lineRule="auto"/>
        <w:ind w:firstLine="709"/>
        <w:jc w:val="both"/>
        <w:rPr>
          <w:rFonts w:ascii="Times New Roman" w:hAnsi="Times New Roman" w:cs="Times New Roman"/>
          <w:iCs/>
          <w:sz w:val="24"/>
          <w:lang w:val="ro-MD" w:eastAsia="ro-MD"/>
        </w:rPr>
      </w:pPr>
      <w:r w:rsidRPr="0080251F">
        <w:rPr>
          <w:rFonts w:ascii="Times New Roman" w:hAnsi="Times New Roman" w:cs="Times New Roman"/>
          <w:iCs/>
          <w:sz w:val="24"/>
          <w:lang w:val="ro-MD" w:eastAsia="ro-MD"/>
        </w:rPr>
        <w:t xml:space="preserve">Efectul economic de la neexecutarea contractului de prestare a serviciilor de verificare metrologică din anul 2021 (contractul nr.229), în comparație cu noul contract semnat în anul 2022 (contractul nr. 419) și costurile pentru serviciile similare, s-a exprimat prin efectuarea cheltuielilor majorate în sumă de </w:t>
      </w:r>
      <w:r w:rsidRPr="0080251F">
        <w:rPr>
          <w:rFonts w:ascii="Times New Roman" w:hAnsi="Times New Roman" w:cs="Times New Roman"/>
          <w:b/>
          <w:iCs/>
          <w:sz w:val="24"/>
          <w:lang w:val="ro-MD" w:eastAsia="ro-MD"/>
        </w:rPr>
        <w:t>748,5 mii lei</w:t>
      </w:r>
      <w:r w:rsidR="002E0121" w:rsidRPr="0080251F">
        <w:rPr>
          <w:rFonts w:ascii="Times New Roman" w:hAnsi="Times New Roman" w:cs="Times New Roman"/>
          <w:iCs/>
          <w:sz w:val="24"/>
          <w:lang w:val="ro-MD" w:eastAsia="ro-MD"/>
        </w:rPr>
        <w:t>.</w:t>
      </w:r>
    </w:p>
    <w:p w14:paraId="7E0F3389" w14:textId="55AD41D6" w:rsidR="00FC5DDE" w:rsidRPr="0080251F" w:rsidRDefault="002815D4" w:rsidP="00FC5DDE">
      <w:pPr>
        <w:tabs>
          <w:tab w:val="left" w:pos="567"/>
        </w:tabs>
        <w:spacing w:after="0" w:line="276" w:lineRule="auto"/>
        <w:ind w:firstLine="709"/>
        <w:jc w:val="both"/>
        <w:rPr>
          <w:rFonts w:asciiTheme="majorHAnsi" w:hAnsiTheme="majorHAnsi" w:cstheme="majorHAnsi"/>
          <w:sz w:val="24"/>
          <w:szCs w:val="24"/>
          <w:lang w:val="ro-MD"/>
        </w:rPr>
      </w:pPr>
      <w:r w:rsidRPr="0080251F">
        <w:rPr>
          <w:rFonts w:ascii="Times New Roman" w:hAnsi="Times New Roman" w:cs="Times New Roman"/>
          <w:iCs/>
          <w:sz w:val="24"/>
          <w:lang w:val="ro-MD" w:eastAsia="ro-MD"/>
        </w:rPr>
        <w:t>Analizând evoluția prețurilor pentru serviciile de verificare metrolog</w:t>
      </w:r>
      <w:r w:rsidR="00D5248F" w:rsidRPr="0080251F">
        <w:rPr>
          <w:rFonts w:ascii="Times New Roman" w:hAnsi="Times New Roman" w:cs="Times New Roman"/>
          <w:iCs/>
          <w:sz w:val="24"/>
          <w:lang w:val="ro-MD" w:eastAsia="ro-MD"/>
        </w:rPr>
        <w:t xml:space="preserve">ică contractate în anul </w:t>
      </w:r>
      <w:r w:rsidRPr="0080251F">
        <w:rPr>
          <w:rFonts w:ascii="Times New Roman" w:hAnsi="Times New Roman" w:cs="Times New Roman"/>
          <w:iCs/>
          <w:sz w:val="24"/>
          <w:lang w:val="ro-MD" w:eastAsia="ro-MD"/>
        </w:rPr>
        <w:t>2022</w:t>
      </w:r>
      <w:r w:rsidRPr="0080251F">
        <w:rPr>
          <w:rFonts w:ascii="Times New Roman" w:hAnsi="Times New Roman" w:cs="Times New Roman"/>
          <w:iCs/>
          <w:sz w:val="24"/>
          <w:vertAlign w:val="superscript"/>
          <w:lang w:val="ro-MD" w:eastAsia="ro-MD"/>
        </w:rPr>
        <w:footnoteReference w:id="107"/>
      </w:r>
      <w:r w:rsidRPr="0080251F">
        <w:rPr>
          <w:rFonts w:ascii="Times New Roman" w:hAnsi="Times New Roman" w:cs="Times New Roman"/>
          <w:iCs/>
          <w:sz w:val="24"/>
          <w:lang w:val="ro-MD" w:eastAsia="ro-MD"/>
        </w:rPr>
        <w:t xml:space="preserve">, </w:t>
      </w:r>
      <w:r w:rsidR="00D5248F" w:rsidRPr="0080251F">
        <w:rPr>
          <w:rFonts w:ascii="Times New Roman" w:hAnsi="Times New Roman" w:cs="Times New Roman"/>
          <w:iCs/>
          <w:sz w:val="24"/>
          <w:lang w:val="ro-MD" w:eastAsia="ro-MD"/>
        </w:rPr>
        <w:t xml:space="preserve">în comparație cu cele contractate în anii 2020 - 2021, </w:t>
      </w:r>
      <w:r w:rsidRPr="0080251F">
        <w:rPr>
          <w:rFonts w:ascii="Times New Roman" w:hAnsi="Times New Roman" w:cs="Times New Roman"/>
          <w:iCs/>
          <w:sz w:val="24"/>
          <w:lang w:val="ro-MD" w:eastAsia="ro-MD"/>
        </w:rPr>
        <w:t xml:space="preserve">se constată o majorare semnificativă a costurilor pentru verificarea aparatelor de evidență a energiei electrice </w:t>
      </w:r>
      <w:r w:rsidR="005E6802" w:rsidRPr="0080251F">
        <w:rPr>
          <w:rFonts w:ascii="Times New Roman" w:hAnsi="Times New Roman" w:cs="Times New Roman"/>
          <w:iCs/>
          <w:sz w:val="24"/>
          <w:lang w:val="ro-MD" w:eastAsia="ro-MD"/>
        </w:rPr>
        <w:t xml:space="preserve">- </w:t>
      </w:r>
      <w:r w:rsidRPr="0080251F">
        <w:rPr>
          <w:rFonts w:ascii="Times New Roman" w:hAnsi="Times New Roman" w:cs="Times New Roman"/>
          <w:iCs/>
          <w:sz w:val="24"/>
          <w:lang w:val="ro-MD" w:eastAsia="ro-MD"/>
        </w:rPr>
        <w:t>de la 132,0% până la 1</w:t>
      </w:r>
      <w:r w:rsidR="00745FEA" w:rsidRPr="0080251F">
        <w:rPr>
          <w:rFonts w:ascii="Times New Roman" w:hAnsi="Times New Roman" w:cs="Times New Roman"/>
          <w:iCs/>
          <w:sz w:val="24"/>
          <w:lang w:val="ro-MD" w:eastAsia="ro-MD"/>
        </w:rPr>
        <w:t>.</w:t>
      </w:r>
      <w:r w:rsidRPr="0080251F">
        <w:rPr>
          <w:rFonts w:ascii="Times New Roman" w:hAnsi="Times New Roman" w:cs="Times New Roman"/>
          <w:iCs/>
          <w:sz w:val="24"/>
          <w:lang w:val="ro-MD" w:eastAsia="ro-MD"/>
        </w:rPr>
        <w:t>020,0%, deși serviciile date sunt executate cu utilizarea gratuită a utilajelor din laboratorul S.A. „RED-Nord”</w:t>
      </w:r>
      <w:r w:rsidR="00FE425A" w:rsidRPr="0080251F">
        <w:rPr>
          <w:rFonts w:ascii="Times New Roman" w:hAnsi="Times New Roman" w:cs="Times New Roman"/>
          <w:iCs/>
          <w:sz w:val="24"/>
          <w:lang w:val="ro-MD" w:eastAsia="ro-MD"/>
        </w:rPr>
        <w:t>,</w:t>
      </w:r>
      <w:r w:rsidRPr="0080251F">
        <w:rPr>
          <w:rFonts w:ascii="Times New Roman" w:hAnsi="Times New Roman" w:cs="Times New Roman"/>
          <w:iCs/>
          <w:sz w:val="24"/>
          <w:lang w:val="ro-MD" w:eastAsia="ro-MD"/>
        </w:rPr>
        <w:t xml:space="preserve"> iar prestatorul de servicii suportă cheltuieli doar pentru remunerarea personalului, pentru eliberarea certificatului autorizat și pentru atașarea sigiliului.</w:t>
      </w:r>
      <w:r w:rsidRPr="0080251F">
        <w:rPr>
          <w:rFonts w:asciiTheme="majorHAnsi" w:hAnsiTheme="majorHAnsi" w:cstheme="majorHAnsi"/>
          <w:sz w:val="24"/>
          <w:szCs w:val="24"/>
          <w:lang w:val="ro-MD"/>
        </w:rPr>
        <w:t xml:space="preserve"> </w:t>
      </w:r>
      <w:r w:rsidR="00FC5DDE" w:rsidRPr="0080251F">
        <w:rPr>
          <w:rFonts w:ascii="Times New Roman" w:hAnsi="Times New Roman" w:cs="Times New Roman"/>
          <w:sz w:val="24"/>
          <w:szCs w:val="24"/>
          <w:lang w:val="ro-MD"/>
        </w:rPr>
        <w:t>În cadrul auditului a fost comparat fondul de salari</w:t>
      </w:r>
      <w:r w:rsidR="005E6802" w:rsidRPr="0080251F">
        <w:rPr>
          <w:rFonts w:ascii="Times New Roman" w:hAnsi="Times New Roman" w:cs="Times New Roman"/>
          <w:sz w:val="24"/>
          <w:szCs w:val="24"/>
          <w:lang w:val="ro-MD"/>
        </w:rPr>
        <w:t>i</w:t>
      </w:r>
      <w:r w:rsidR="00FC5DDE" w:rsidRPr="0080251F">
        <w:rPr>
          <w:rFonts w:ascii="Times New Roman" w:hAnsi="Times New Roman" w:cs="Times New Roman"/>
          <w:sz w:val="24"/>
          <w:szCs w:val="24"/>
          <w:lang w:val="ro-MD"/>
        </w:rPr>
        <w:t xml:space="preserve"> la </w:t>
      </w:r>
      <w:r w:rsidR="00FC5DDE" w:rsidRPr="0080251F">
        <w:rPr>
          <w:rFonts w:ascii="Times New Roman" w:hAnsi="Times New Roman" w:cs="Times New Roman"/>
          <w:iCs/>
          <w:sz w:val="24"/>
          <w:szCs w:val="24"/>
          <w:lang w:val="ro-MD"/>
        </w:rPr>
        <w:t xml:space="preserve">SRL „Tehlabservicii” </w:t>
      </w:r>
      <w:r w:rsidR="00FC5DDE" w:rsidRPr="0080251F">
        <w:rPr>
          <w:rFonts w:ascii="Times New Roman" w:hAnsi="Times New Roman" w:cs="Times New Roman"/>
          <w:sz w:val="24"/>
          <w:szCs w:val="24"/>
          <w:lang w:val="ro-MD"/>
        </w:rPr>
        <w:t xml:space="preserve">și </w:t>
      </w:r>
      <w:r w:rsidR="005E6802" w:rsidRPr="0080251F">
        <w:rPr>
          <w:rFonts w:ascii="Times New Roman" w:hAnsi="Times New Roman" w:cs="Times New Roman"/>
          <w:sz w:val="24"/>
          <w:szCs w:val="24"/>
          <w:lang w:val="ro-MD"/>
        </w:rPr>
        <w:t xml:space="preserve">la </w:t>
      </w:r>
      <w:r w:rsidR="00FC5DDE" w:rsidRPr="0080251F">
        <w:rPr>
          <w:rFonts w:ascii="Times New Roman" w:hAnsi="Times New Roman" w:cs="Times New Roman"/>
          <w:iCs/>
          <w:sz w:val="24"/>
          <w:szCs w:val="24"/>
          <w:lang w:val="ro-MD"/>
        </w:rPr>
        <w:t xml:space="preserve">ÎS „CMAC” </w:t>
      </w:r>
      <w:r w:rsidR="00FC5DDE" w:rsidRPr="0080251F">
        <w:rPr>
          <w:rFonts w:ascii="Times New Roman" w:hAnsi="Times New Roman" w:cs="Times New Roman"/>
          <w:sz w:val="24"/>
          <w:szCs w:val="24"/>
          <w:lang w:val="ro-MD"/>
        </w:rPr>
        <w:t>pentru anii 2020 - 2022 și s-a constat</w:t>
      </w:r>
      <w:r w:rsidR="005E6802" w:rsidRPr="0080251F">
        <w:rPr>
          <w:rFonts w:ascii="Times New Roman" w:hAnsi="Times New Roman" w:cs="Times New Roman"/>
          <w:sz w:val="24"/>
          <w:szCs w:val="24"/>
          <w:lang w:val="ro-MD"/>
        </w:rPr>
        <w:t xml:space="preserve">at </w:t>
      </w:r>
      <w:r w:rsidR="00FC5DDE" w:rsidRPr="0080251F">
        <w:rPr>
          <w:rFonts w:ascii="Times New Roman" w:hAnsi="Times New Roman" w:cs="Times New Roman"/>
          <w:sz w:val="24"/>
          <w:szCs w:val="24"/>
          <w:lang w:val="ro-MD"/>
        </w:rPr>
        <w:t xml:space="preserve"> că fondul de salari</w:t>
      </w:r>
      <w:r w:rsidR="005E6802" w:rsidRPr="0080251F">
        <w:rPr>
          <w:rFonts w:ascii="Times New Roman" w:hAnsi="Times New Roman" w:cs="Times New Roman"/>
          <w:sz w:val="24"/>
          <w:szCs w:val="24"/>
          <w:lang w:val="ro-MD"/>
        </w:rPr>
        <w:t>i</w:t>
      </w:r>
      <w:r w:rsidR="00FC5DDE" w:rsidRPr="0080251F">
        <w:rPr>
          <w:rFonts w:ascii="Times New Roman" w:hAnsi="Times New Roman" w:cs="Times New Roman"/>
          <w:sz w:val="24"/>
          <w:szCs w:val="24"/>
          <w:lang w:val="ro-MD"/>
        </w:rPr>
        <w:t xml:space="preserve"> la </w:t>
      </w:r>
      <w:r w:rsidR="00FC5DDE" w:rsidRPr="0080251F">
        <w:rPr>
          <w:rFonts w:ascii="Times New Roman" w:hAnsi="Times New Roman" w:cs="Times New Roman"/>
          <w:iCs/>
          <w:sz w:val="24"/>
          <w:szCs w:val="24"/>
          <w:lang w:val="ro-MD"/>
        </w:rPr>
        <w:t xml:space="preserve">SRL „Tehlabservicii” </w:t>
      </w:r>
      <w:r w:rsidR="00FC5DDE" w:rsidRPr="0080251F">
        <w:rPr>
          <w:rFonts w:ascii="Times New Roman" w:hAnsi="Times New Roman" w:cs="Times New Roman"/>
          <w:sz w:val="24"/>
          <w:szCs w:val="24"/>
          <w:lang w:val="ro-MD"/>
        </w:rPr>
        <w:t>a crescut cu 80%</w:t>
      </w:r>
      <w:r w:rsidR="005E6802" w:rsidRPr="0080251F">
        <w:rPr>
          <w:rFonts w:ascii="Times New Roman" w:hAnsi="Times New Roman" w:cs="Times New Roman"/>
          <w:sz w:val="24"/>
          <w:szCs w:val="24"/>
          <w:lang w:val="ro-MD"/>
        </w:rPr>
        <w:t>,</w:t>
      </w:r>
      <w:r w:rsidR="00FC5DDE" w:rsidRPr="0080251F">
        <w:rPr>
          <w:rFonts w:ascii="Times New Roman" w:hAnsi="Times New Roman" w:cs="Times New Roman"/>
          <w:sz w:val="24"/>
          <w:szCs w:val="24"/>
          <w:lang w:val="ro-MD"/>
        </w:rPr>
        <w:t xml:space="preserve"> iar la </w:t>
      </w:r>
      <w:r w:rsidR="00FC5DDE" w:rsidRPr="0080251F">
        <w:rPr>
          <w:rFonts w:ascii="Times New Roman" w:hAnsi="Times New Roman" w:cs="Times New Roman"/>
          <w:iCs/>
          <w:sz w:val="24"/>
          <w:szCs w:val="24"/>
          <w:lang w:val="ro-MD"/>
        </w:rPr>
        <w:t xml:space="preserve">ÎS „CMAC” </w:t>
      </w:r>
      <w:r w:rsidR="00FC5DDE" w:rsidRPr="0080251F">
        <w:rPr>
          <w:rFonts w:ascii="Times New Roman" w:hAnsi="Times New Roman" w:cs="Times New Roman"/>
          <w:sz w:val="24"/>
          <w:szCs w:val="24"/>
          <w:lang w:val="ro-MD"/>
        </w:rPr>
        <w:t>se observă o micșorare a fondului de salari</w:t>
      </w:r>
      <w:r w:rsidR="00B346B6" w:rsidRPr="0080251F">
        <w:rPr>
          <w:rFonts w:ascii="Times New Roman" w:hAnsi="Times New Roman" w:cs="Times New Roman"/>
          <w:sz w:val="24"/>
          <w:szCs w:val="24"/>
          <w:lang w:val="ro-MD"/>
        </w:rPr>
        <w:t xml:space="preserve">i </w:t>
      </w:r>
      <w:r w:rsidR="00FC5DDE" w:rsidRPr="0080251F">
        <w:rPr>
          <w:rFonts w:ascii="Times New Roman" w:hAnsi="Times New Roman" w:cs="Times New Roman"/>
          <w:sz w:val="24"/>
          <w:szCs w:val="24"/>
          <w:lang w:val="ro-MD"/>
        </w:rPr>
        <w:t>cu 11,0 %.</w:t>
      </w:r>
    </w:p>
    <w:p w14:paraId="796C1BFB" w14:textId="3DE73681" w:rsidR="002815D4" w:rsidRPr="0080251F" w:rsidRDefault="002815D4" w:rsidP="00B94E03">
      <w:pPr>
        <w:tabs>
          <w:tab w:val="left" w:pos="567"/>
        </w:tabs>
        <w:spacing w:after="0" w:line="276" w:lineRule="auto"/>
        <w:ind w:firstLine="709"/>
        <w:jc w:val="both"/>
        <w:rPr>
          <w:rFonts w:ascii="Times New Roman" w:hAnsi="Times New Roman" w:cs="Times New Roman"/>
          <w:iCs/>
          <w:sz w:val="24"/>
          <w:lang w:val="ro-MD"/>
        </w:rPr>
      </w:pPr>
      <w:r w:rsidRPr="0080251F">
        <w:rPr>
          <w:rFonts w:ascii="Times New Roman" w:hAnsi="Times New Roman" w:cs="Times New Roman"/>
          <w:iCs/>
          <w:sz w:val="24"/>
          <w:lang w:val="ro-MD"/>
        </w:rPr>
        <w:t xml:space="preserve">La </w:t>
      </w:r>
      <w:r w:rsidRPr="0080251F">
        <w:rPr>
          <w:rFonts w:ascii="Times New Roman" w:hAnsi="Times New Roman" w:cs="Times New Roman"/>
          <w:i/>
          <w:iCs/>
          <w:sz w:val="24"/>
          <w:lang w:val="ro-MD"/>
        </w:rPr>
        <w:t>achiziționarea automacaralei</w:t>
      </w:r>
      <w:r w:rsidRPr="0080251F">
        <w:rPr>
          <w:rFonts w:ascii="Times New Roman" w:hAnsi="Times New Roman" w:cs="Times New Roman"/>
          <w:iCs/>
          <w:sz w:val="24"/>
          <w:lang w:val="ro-MD"/>
        </w:rPr>
        <w:t xml:space="preserve"> în anul 2021, grupul de lucru pentru achiziții, nerespectând prevederile pct.178</w:t>
      </w:r>
      <w:r w:rsidRPr="0080251F">
        <w:rPr>
          <w:rFonts w:ascii="Times New Roman" w:hAnsi="Times New Roman" w:cs="Times New Roman"/>
          <w:iCs/>
          <w:sz w:val="24"/>
          <w:vertAlign w:val="superscript"/>
          <w:lang w:val="ro-MD"/>
        </w:rPr>
        <w:footnoteReference w:id="108"/>
      </w:r>
      <w:r w:rsidRPr="0080251F">
        <w:rPr>
          <w:rFonts w:ascii="Times New Roman" w:hAnsi="Times New Roman" w:cs="Times New Roman"/>
          <w:iCs/>
          <w:sz w:val="24"/>
          <w:lang w:val="ro-MD"/>
        </w:rPr>
        <w:t xml:space="preserve"> din Regulamentul aprobat prin </w:t>
      </w:r>
      <w:r w:rsidR="0034404F" w:rsidRPr="0080251F">
        <w:rPr>
          <w:rFonts w:ascii="Times New Roman" w:hAnsi="Times New Roman" w:cs="Times New Roman"/>
          <w:iCs/>
          <w:sz w:val="24"/>
          <w:lang w:val="ro-MD"/>
        </w:rPr>
        <w:t>H</w:t>
      </w:r>
      <w:r w:rsidRPr="0080251F">
        <w:rPr>
          <w:rFonts w:ascii="Times New Roman" w:hAnsi="Times New Roman" w:cs="Times New Roman"/>
          <w:iCs/>
          <w:sz w:val="24"/>
          <w:lang w:val="ro-MD"/>
        </w:rPr>
        <w:t>ANRE</w:t>
      </w:r>
      <w:r w:rsidRPr="0080251F">
        <w:rPr>
          <w:rFonts w:ascii="Times New Roman" w:hAnsi="Times New Roman" w:cs="Times New Roman"/>
          <w:bCs/>
          <w:lang w:val="ro-MD"/>
        </w:rPr>
        <w:t xml:space="preserve"> </w:t>
      </w:r>
      <w:r w:rsidRPr="0080251F">
        <w:rPr>
          <w:rFonts w:ascii="Times New Roman" w:hAnsi="Times New Roman" w:cs="Times New Roman"/>
          <w:bCs/>
          <w:iCs/>
          <w:sz w:val="24"/>
          <w:lang w:val="ro-MD"/>
        </w:rPr>
        <w:t>nr.24/2017 din 26.01.2017</w:t>
      </w:r>
      <w:r w:rsidRPr="0080251F">
        <w:rPr>
          <w:rFonts w:ascii="Times New Roman" w:hAnsi="Times New Roman" w:cs="Times New Roman"/>
          <w:iCs/>
          <w:sz w:val="24"/>
          <w:vertAlign w:val="superscript"/>
          <w:lang w:val="ro-MD"/>
        </w:rPr>
        <w:footnoteReference w:id="109"/>
      </w:r>
      <w:r w:rsidRPr="0080251F">
        <w:rPr>
          <w:rFonts w:ascii="Times New Roman" w:hAnsi="Times New Roman" w:cs="Times New Roman"/>
          <w:iCs/>
          <w:sz w:val="24"/>
          <w:lang w:val="ro-MD"/>
        </w:rPr>
        <w:t>, nu a descalificat toți ofertanții (4) care au depus oferte necorespunzătoare în raport cu cerințele din documentația de atribuire și cu criteriile de calificare</w:t>
      </w:r>
      <w:r w:rsidR="00D74F8E" w:rsidRPr="0080251F">
        <w:rPr>
          <w:rFonts w:ascii="Times New Roman" w:hAnsi="Times New Roman" w:cs="Times New Roman"/>
          <w:iCs/>
          <w:sz w:val="24"/>
          <w:lang w:val="ro-MD"/>
        </w:rPr>
        <w:t>, precum</w:t>
      </w:r>
      <w:r w:rsidRPr="0080251F">
        <w:rPr>
          <w:rFonts w:ascii="Times New Roman" w:hAnsi="Times New Roman" w:cs="Times New Roman"/>
          <w:iCs/>
          <w:sz w:val="24"/>
          <w:lang w:val="ro-MD"/>
        </w:rPr>
        <w:t xml:space="preserve"> și nu a anulat procedura de achiziție pentru a organiza o altă procedură valabilă. </w:t>
      </w:r>
    </w:p>
    <w:p w14:paraId="437A621F" w14:textId="51AC35B0" w:rsidR="002815D4" w:rsidRPr="0080251F" w:rsidRDefault="002815D4" w:rsidP="008D792B">
      <w:pPr>
        <w:tabs>
          <w:tab w:val="left" w:pos="567"/>
        </w:tabs>
        <w:spacing w:after="0" w:line="276" w:lineRule="auto"/>
        <w:ind w:firstLine="709"/>
        <w:jc w:val="both"/>
        <w:rPr>
          <w:rFonts w:ascii="Times New Roman" w:hAnsi="Times New Roman" w:cs="Times New Roman"/>
          <w:iCs/>
          <w:sz w:val="24"/>
          <w:lang w:val="ro-MD"/>
        </w:rPr>
      </w:pPr>
      <w:r w:rsidRPr="0080251F">
        <w:rPr>
          <w:rFonts w:ascii="Times New Roman" w:hAnsi="Times New Roman" w:cs="Times New Roman"/>
          <w:iCs/>
          <w:sz w:val="24"/>
          <w:lang w:val="ro-MD"/>
        </w:rPr>
        <w:t>Criteriul de adjudecare a ofertelor la procedura dată de achiziție a fost oferta cea mai avantajoasă din punct de vedere tehnico-economic. Efectiv, din 4 ofertanți a fost calificat candidatul care a propus cel mai mic preț</w:t>
      </w:r>
      <w:r w:rsidRPr="0080251F">
        <w:rPr>
          <w:rFonts w:ascii="Times New Roman" w:hAnsi="Times New Roman" w:cs="Times New Roman"/>
          <w:iCs/>
          <w:sz w:val="24"/>
          <w:vertAlign w:val="superscript"/>
          <w:lang w:val="ro-MD"/>
        </w:rPr>
        <w:footnoteReference w:id="110"/>
      </w:r>
      <w:r w:rsidR="00D74F8E"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cu care </w:t>
      </w:r>
      <w:r w:rsidR="00D74F8E" w:rsidRPr="0080251F">
        <w:rPr>
          <w:rFonts w:ascii="Times New Roman" w:hAnsi="Times New Roman" w:cs="Times New Roman"/>
          <w:iCs/>
          <w:sz w:val="24"/>
          <w:lang w:val="ro-MD"/>
        </w:rPr>
        <w:t>s-</w:t>
      </w:r>
      <w:r w:rsidRPr="0080251F">
        <w:rPr>
          <w:rFonts w:ascii="Times New Roman" w:hAnsi="Times New Roman" w:cs="Times New Roman"/>
          <w:iCs/>
          <w:sz w:val="24"/>
          <w:lang w:val="ro-MD"/>
        </w:rPr>
        <w:t>a încheiat contractul nr.125/09/21 din 13.05.2021, dar care nu a respectat condițiile tehnice</w:t>
      </w:r>
      <w:r w:rsidRPr="0080251F">
        <w:rPr>
          <w:rFonts w:ascii="Times New Roman" w:hAnsi="Times New Roman" w:cs="Times New Roman"/>
          <w:iCs/>
          <w:sz w:val="24"/>
          <w:vertAlign w:val="superscript"/>
          <w:lang w:val="ro-MD"/>
        </w:rPr>
        <w:footnoteReference w:id="111"/>
      </w:r>
      <w:r w:rsidRPr="0080251F">
        <w:rPr>
          <w:rFonts w:ascii="Times New Roman" w:hAnsi="Times New Roman" w:cs="Times New Roman"/>
          <w:iCs/>
          <w:sz w:val="24"/>
          <w:lang w:val="ro-MD"/>
        </w:rPr>
        <w:t xml:space="preserve"> din caietul de sarcini pentru marfa propusă (</w:t>
      </w:r>
      <w:r w:rsidRPr="0080251F">
        <w:rPr>
          <w:rFonts w:ascii="Times New Roman" w:hAnsi="Times New Roman" w:cs="Times New Roman"/>
          <w:sz w:val="24"/>
          <w:lang w:val="ro-MD"/>
        </w:rPr>
        <w:t>SRL „CBS Motors”</w:t>
      </w:r>
      <w:r w:rsidRPr="0080251F">
        <w:rPr>
          <w:rFonts w:ascii="Times New Roman" w:hAnsi="Times New Roman" w:cs="Times New Roman"/>
          <w:iCs/>
          <w:sz w:val="24"/>
          <w:lang w:val="ro-MD"/>
        </w:rPr>
        <w:t>), și anume: diapazonul de lucru a</w:t>
      </w:r>
      <w:r w:rsidR="00D74F8E" w:rsidRPr="0080251F">
        <w:rPr>
          <w:rFonts w:ascii="Times New Roman" w:hAnsi="Times New Roman" w:cs="Times New Roman"/>
          <w:iCs/>
          <w:sz w:val="24"/>
          <w:lang w:val="ro-MD"/>
        </w:rPr>
        <w:t>l</w:t>
      </w:r>
      <w:r w:rsidRPr="0080251F">
        <w:rPr>
          <w:rFonts w:ascii="Times New Roman" w:hAnsi="Times New Roman" w:cs="Times New Roman"/>
          <w:iCs/>
          <w:sz w:val="24"/>
          <w:lang w:val="ro-MD"/>
        </w:rPr>
        <w:t xml:space="preserve"> macaralei </w:t>
      </w:r>
      <w:r w:rsidR="00B23742" w:rsidRPr="0080251F">
        <w:rPr>
          <w:rFonts w:ascii="Times New Roman" w:hAnsi="Times New Roman" w:cs="Times New Roman"/>
          <w:iCs/>
          <w:sz w:val="24"/>
          <w:lang w:val="ro-MD"/>
        </w:rPr>
        <w:t xml:space="preserve">urma </w:t>
      </w:r>
      <w:r w:rsidRPr="0080251F">
        <w:rPr>
          <w:rFonts w:ascii="Times New Roman" w:hAnsi="Times New Roman" w:cs="Times New Roman"/>
          <w:iCs/>
          <w:sz w:val="24"/>
          <w:lang w:val="ro-MD"/>
        </w:rPr>
        <w:t xml:space="preserve">să fie de 270 grade, dar s-a contractat </w:t>
      </w:r>
      <w:r w:rsidR="00D74F8E" w:rsidRPr="0080251F">
        <w:rPr>
          <w:rFonts w:ascii="Times New Roman" w:hAnsi="Times New Roman" w:cs="Times New Roman"/>
          <w:iCs/>
          <w:sz w:val="24"/>
          <w:lang w:val="ro-MD"/>
        </w:rPr>
        <w:t xml:space="preserve">pentru </w:t>
      </w:r>
      <w:r w:rsidRPr="0080251F">
        <w:rPr>
          <w:rFonts w:ascii="Times New Roman" w:hAnsi="Times New Roman" w:cs="Times New Roman"/>
          <w:iCs/>
          <w:sz w:val="24"/>
          <w:lang w:val="ro-MD"/>
        </w:rPr>
        <w:t xml:space="preserve"> diapazonul de 240 grade; masa totală a macaralei </w:t>
      </w:r>
      <w:r w:rsidR="00B23742" w:rsidRPr="0080251F">
        <w:rPr>
          <w:rFonts w:ascii="Times New Roman" w:hAnsi="Times New Roman" w:cs="Times New Roman"/>
          <w:iCs/>
          <w:sz w:val="24"/>
          <w:lang w:val="ro-MD"/>
        </w:rPr>
        <w:t xml:space="preserve">urma </w:t>
      </w:r>
      <w:r w:rsidRPr="0080251F">
        <w:rPr>
          <w:rFonts w:ascii="Times New Roman" w:hAnsi="Times New Roman" w:cs="Times New Roman"/>
          <w:iCs/>
          <w:sz w:val="24"/>
          <w:lang w:val="ro-MD"/>
        </w:rPr>
        <w:t xml:space="preserve">să fie de 17,0 tone, </w:t>
      </w:r>
      <w:r w:rsidR="00B23742" w:rsidRPr="0080251F">
        <w:rPr>
          <w:rFonts w:ascii="Times New Roman" w:hAnsi="Times New Roman" w:cs="Times New Roman"/>
          <w:iCs/>
          <w:sz w:val="24"/>
          <w:lang w:val="ro-MD"/>
        </w:rPr>
        <w:t xml:space="preserve">dar s-a contractat </w:t>
      </w:r>
      <w:r w:rsidR="00D74F8E" w:rsidRPr="0080251F">
        <w:rPr>
          <w:rFonts w:ascii="Times New Roman" w:hAnsi="Times New Roman" w:cs="Times New Roman"/>
          <w:iCs/>
          <w:sz w:val="24"/>
          <w:lang w:val="ro-MD"/>
        </w:rPr>
        <w:t xml:space="preserve">pentru </w:t>
      </w:r>
      <w:r w:rsidR="00B23742" w:rsidRPr="0080251F">
        <w:rPr>
          <w:rFonts w:ascii="Times New Roman" w:hAnsi="Times New Roman" w:cs="Times New Roman"/>
          <w:iCs/>
          <w:sz w:val="24"/>
          <w:lang w:val="ro-MD"/>
        </w:rPr>
        <w:t>macaraua cu masa de</w:t>
      </w:r>
      <w:r w:rsidRPr="0080251F">
        <w:rPr>
          <w:rFonts w:ascii="Times New Roman" w:hAnsi="Times New Roman" w:cs="Times New Roman"/>
          <w:iCs/>
          <w:sz w:val="24"/>
          <w:lang w:val="ro-MD"/>
        </w:rPr>
        <w:t xml:space="preserve"> 17,5 tone.</w:t>
      </w:r>
    </w:p>
    <w:p w14:paraId="5E6CAEA0" w14:textId="2B451D94" w:rsidR="00054A02" w:rsidRPr="0080251F" w:rsidRDefault="00054A02" w:rsidP="00054A02">
      <w:pPr>
        <w:tabs>
          <w:tab w:val="left" w:pos="567"/>
        </w:tabs>
        <w:spacing w:after="0" w:line="276" w:lineRule="auto"/>
        <w:ind w:firstLine="567"/>
        <w:jc w:val="both"/>
        <w:rPr>
          <w:rFonts w:ascii="Times New Roman" w:hAnsi="Times New Roman" w:cs="Times New Roman"/>
          <w:iCs/>
          <w:sz w:val="24"/>
          <w:lang w:val="ro-MD"/>
        </w:rPr>
      </w:pPr>
      <w:r w:rsidRPr="0080251F">
        <w:rPr>
          <w:lang w:val="ro-MD"/>
        </w:rPr>
        <w:t xml:space="preserve">  </w:t>
      </w:r>
      <w:r w:rsidR="005826DD" w:rsidRPr="0080251F">
        <w:rPr>
          <w:lang w:val="ro-MD"/>
        </w:rPr>
        <w:t xml:space="preserve">  </w:t>
      </w:r>
      <w:r w:rsidRPr="0080251F">
        <w:rPr>
          <w:rFonts w:ascii="Times New Roman" w:hAnsi="Times New Roman" w:cs="Times New Roman"/>
          <w:i/>
          <w:iCs/>
          <w:sz w:val="24"/>
          <w:lang w:val="ro-MD"/>
        </w:rPr>
        <w:t>La</w:t>
      </w:r>
      <w:r w:rsidRPr="0080251F">
        <w:rPr>
          <w:rFonts w:ascii="Times New Roman" w:hAnsi="Times New Roman" w:cs="Times New Roman"/>
          <w:iCs/>
          <w:sz w:val="24"/>
          <w:lang w:val="ro-MD"/>
        </w:rPr>
        <w:t xml:space="preserve"> </w:t>
      </w:r>
      <w:r w:rsidRPr="0080251F">
        <w:rPr>
          <w:rFonts w:ascii="Times New Roman" w:hAnsi="Times New Roman" w:cs="Times New Roman"/>
          <w:i/>
          <w:iCs/>
          <w:sz w:val="24"/>
          <w:lang w:val="ro-MD"/>
        </w:rPr>
        <w:t>achiziționarea a 3 microbuze cu 8 locuri în anul 2021</w:t>
      </w:r>
      <w:r w:rsidRPr="0080251F">
        <w:rPr>
          <w:rFonts w:ascii="Times New Roman" w:hAnsi="Times New Roman" w:cs="Times New Roman"/>
          <w:iCs/>
          <w:sz w:val="24"/>
          <w:lang w:val="ro-MD"/>
        </w:rPr>
        <w:t>, S.A. „RED-Nord” a semnat contractul nr.341 din 28.06.2021 cu SRL „EST Test”</w:t>
      </w:r>
      <w:r w:rsidR="005826DD"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în sumă totală de 1,6 mil. lei (cu prețul de 524,9 mii lei pentru o unitate de transport). </w:t>
      </w:r>
    </w:p>
    <w:p w14:paraId="0A74271D" w14:textId="56948F9B" w:rsidR="00054A02" w:rsidRPr="0080251F" w:rsidRDefault="00054A02" w:rsidP="00054A02">
      <w:pPr>
        <w:tabs>
          <w:tab w:val="left" w:pos="567"/>
        </w:tabs>
        <w:spacing w:after="0" w:line="276" w:lineRule="auto"/>
        <w:ind w:firstLine="709"/>
        <w:jc w:val="both"/>
        <w:rPr>
          <w:rFonts w:ascii="Times New Roman" w:hAnsi="Times New Roman" w:cs="Times New Roman"/>
          <w:iCs/>
          <w:sz w:val="24"/>
          <w:lang w:val="ro-MD"/>
        </w:rPr>
      </w:pPr>
      <w:r w:rsidRPr="0080251F">
        <w:rPr>
          <w:rFonts w:ascii="Times New Roman" w:hAnsi="Times New Roman" w:cs="Times New Roman"/>
          <w:iCs/>
          <w:sz w:val="24"/>
          <w:lang w:val="ro-MD"/>
        </w:rPr>
        <w:t xml:space="preserve"> Auditul menționează că operatorul economic nu a asigurat îndeplinirea conformă a contractului – livrarea a 3 unități de transport în termen de 90 zile de la încheierea contractului, acesta fiind prelungit până la data de 30.12.2021. Astfel, la situația din februarie anul 2024, au fost livrate doar 2 microbuze</w:t>
      </w:r>
      <w:r w:rsidR="005826DD" w:rsidRPr="0080251F">
        <w:rPr>
          <w:rFonts w:ascii="Times New Roman" w:hAnsi="Times New Roman" w:cs="Times New Roman"/>
          <w:iCs/>
          <w:sz w:val="24"/>
          <w:lang w:val="ro-MD"/>
        </w:rPr>
        <w:t xml:space="preserve"> (</w:t>
      </w:r>
      <w:r w:rsidRPr="0080251F">
        <w:rPr>
          <w:rFonts w:ascii="Times New Roman" w:hAnsi="Times New Roman" w:cs="Times New Roman"/>
          <w:iCs/>
          <w:sz w:val="24"/>
          <w:lang w:val="ro-MD"/>
        </w:rPr>
        <w:t>din 3 contractate</w:t>
      </w:r>
      <w:r w:rsidR="005826DD"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în sumă totală de 1,0 mil. lei, nefiind livrat până în prezent al treilea microbuz în valoare de 524,9 mii lei. Totodată, S.A. „RED-Nord” nu a aplicat dreptul său contractual și nu a inițiat procedura de încasare a penalității</w:t>
      </w:r>
      <w:r w:rsidRPr="0080251F">
        <w:rPr>
          <w:rFonts w:ascii="Times New Roman" w:hAnsi="Times New Roman" w:cs="Times New Roman"/>
          <w:iCs/>
          <w:sz w:val="24"/>
          <w:vertAlign w:val="superscript"/>
          <w:lang w:val="ro-MD"/>
        </w:rPr>
        <w:footnoteReference w:id="112"/>
      </w:r>
      <w:r w:rsidRPr="0080251F">
        <w:rPr>
          <w:rFonts w:ascii="Times New Roman" w:hAnsi="Times New Roman" w:cs="Times New Roman"/>
          <w:iCs/>
          <w:sz w:val="24"/>
          <w:lang w:val="ro-MD"/>
        </w:rPr>
        <w:t xml:space="preserve"> în sumă de </w:t>
      </w:r>
      <w:r w:rsidRPr="0080251F">
        <w:rPr>
          <w:rFonts w:ascii="Times New Roman" w:hAnsi="Times New Roman" w:cs="Times New Roman"/>
          <w:b/>
          <w:iCs/>
          <w:sz w:val="24"/>
          <w:lang w:val="ro-MD"/>
        </w:rPr>
        <w:t>26,2 mii lei</w:t>
      </w:r>
      <w:r w:rsidRPr="0080251F">
        <w:rPr>
          <w:rFonts w:ascii="Times New Roman" w:hAnsi="Times New Roman" w:cs="Times New Roman"/>
          <w:iCs/>
          <w:sz w:val="24"/>
          <w:lang w:val="ro-MD"/>
        </w:rPr>
        <w:t xml:space="preserve"> de la valoarea mărfii nelivrate (524,9 mii lei). </w:t>
      </w:r>
    </w:p>
    <w:p w14:paraId="7947FF72" w14:textId="77777777" w:rsidR="002815D4" w:rsidRPr="0080251F" w:rsidRDefault="002815D4" w:rsidP="008D792B">
      <w:pPr>
        <w:tabs>
          <w:tab w:val="left" w:pos="567"/>
        </w:tabs>
        <w:spacing w:after="0" w:line="276" w:lineRule="auto"/>
        <w:ind w:firstLine="709"/>
        <w:jc w:val="both"/>
        <w:rPr>
          <w:rFonts w:ascii="Times New Roman" w:hAnsi="Times New Roman" w:cs="Times New Roman"/>
          <w:iCs/>
          <w:sz w:val="24"/>
          <w:lang w:val="ro-MD"/>
        </w:rPr>
      </w:pPr>
      <w:r w:rsidRPr="0080251F">
        <w:rPr>
          <w:rFonts w:ascii="Times New Roman" w:hAnsi="Times New Roman" w:cs="Times New Roman"/>
          <w:iCs/>
          <w:sz w:val="24"/>
          <w:lang w:val="ro-MD"/>
        </w:rPr>
        <w:t xml:space="preserve">La achiziționarea în anul 2022 </w:t>
      </w:r>
      <w:r w:rsidRPr="0080251F">
        <w:rPr>
          <w:rFonts w:ascii="Times New Roman" w:hAnsi="Times New Roman" w:cs="Times New Roman"/>
          <w:i/>
          <w:iCs/>
          <w:sz w:val="24"/>
          <w:lang w:val="ro-MD"/>
        </w:rPr>
        <w:t>a 3 autovehicule cu 9 locuri,</w:t>
      </w:r>
      <w:r w:rsidRPr="0080251F">
        <w:rPr>
          <w:rFonts w:ascii="Times New Roman" w:hAnsi="Times New Roman" w:cs="Times New Roman"/>
          <w:iCs/>
          <w:sz w:val="24"/>
          <w:lang w:val="ro-MD"/>
        </w:rPr>
        <w:t xml:space="preserve"> grupul de lucru pentru achiziții a adjudecat o ofertă care nu a fost conformă cu cerințele din caietul de sarcini</w:t>
      </w:r>
      <w:r w:rsidRPr="0080251F">
        <w:rPr>
          <w:rFonts w:ascii="Times New Roman" w:hAnsi="Times New Roman" w:cs="Times New Roman"/>
          <w:iCs/>
          <w:sz w:val="24"/>
          <w:vertAlign w:val="superscript"/>
          <w:lang w:val="ro-MD"/>
        </w:rPr>
        <w:footnoteReference w:id="113"/>
      </w:r>
      <w:r w:rsidRPr="0080251F">
        <w:rPr>
          <w:rFonts w:ascii="Times New Roman" w:hAnsi="Times New Roman" w:cs="Times New Roman"/>
          <w:iCs/>
          <w:sz w:val="24"/>
          <w:lang w:val="ro-MD"/>
        </w:rPr>
        <w:t xml:space="preserve"> și cadrul normativ în vigoare</w:t>
      </w:r>
      <w:r w:rsidRPr="0080251F">
        <w:rPr>
          <w:rFonts w:ascii="Times New Roman" w:hAnsi="Times New Roman" w:cs="Times New Roman"/>
          <w:iCs/>
          <w:sz w:val="24"/>
          <w:vertAlign w:val="superscript"/>
          <w:lang w:val="ro-MD"/>
        </w:rPr>
        <w:footnoteReference w:id="114"/>
      </w:r>
      <w:r w:rsidRPr="0080251F">
        <w:rPr>
          <w:rFonts w:ascii="Times New Roman" w:hAnsi="Times New Roman" w:cs="Times New Roman"/>
          <w:iCs/>
          <w:sz w:val="24"/>
          <w:lang w:val="ro-MD"/>
        </w:rPr>
        <w:t xml:space="preserve"> și, drept urmare, a procurat 3 vehicule</w:t>
      </w:r>
      <w:r w:rsidRPr="0080251F">
        <w:rPr>
          <w:rFonts w:ascii="Times New Roman" w:hAnsi="Times New Roman" w:cs="Times New Roman"/>
          <w:iCs/>
          <w:sz w:val="24"/>
          <w:vertAlign w:val="superscript"/>
          <w:lang w:val="ro-MD"/>
        </w:rPr>
        <w:footnoteReference w:id="115"/>
      </w:r>
      <w:r w:rsidRPr="0080251F">
        <w:rPr>
          <w:rFonts w:ascii="Times New Roman" w:hAnsi="Times New Roman" w:cs="Times New Roman"/>
          <w:iCs/>
          <w:sz w:val="24"/>
          <w:lang w:val="ro-MD"/>
        </w:rPr>
        <w:t xml:space="preserve"> reutilate neautorizat</w:t>
      </w:r>
      <w:r w:rsidRPr="0080251F">
        <w:rPr>
          <w:rFonts w:ascii="Times New Roman" w:hAnsi="Times New Roman" w:cs="Times New Roman"/>
          <w:iCs/>
          <w:sz w:val="24"/>
          <w:vertAlign w:val="superscript"/>
          <w:lang w:val="ro-MD"/>
        </w:rPr>
        <w:footnoteReference w:id="116"/>
      </w:r>
      <w:r w:rsidRPr="0080251F">
        <w:rPr>
          <w:rFonts w:ascii="Times New Roman" w:hAnsi="Times New Roman" w:cs="Times New Roman"/>
          <w:iCs/>
          <w:sz w:val="24"/>
          <w:lang w:val="ro-MD"/>
        </w:rPr>
        <w:t xml:space="preserve">.  </w:t>
      </w:r>
    </w:p>
    <w:p w14:paraId="5A1FC115" w14:textId="19AA9D57" w:rsidR="002815D4" w:rsidRPr="0080251F" w:rsidRDefault="002815D4" w:rsidP="008D792B">
      <w:pPr>
        <w:tabs>
          <w:tab w:val="left" w:pos="567"/>
        </w:tabs>
        <w:spacing w:after="0" w:line="276" w:lineRule="auto"/>
        <w:ind w:firstLine="709"/>
        <w:jc w:val="both"/>
        <w:rPr>
          <w:rFonts w:ascii="Times New Roman" w:hAnsi="Times New Roman" w:cs="Times New Roman"/>
          <w:iCs/>
          <w:sz w:val="24"/>
          <w:lang w:val="ro-MD"/>
        </w:rPr>
      </w:pPr>
      <w:r w:rsidRPr="0080251F">
        <w:rPr>
          <w:rFonts w:ascii="Times New Roman" w:hAnsi="Times New Roman" w:cs="Times New Roman"/>
          <w:iCs/>
          <w:sz w:val="24"/>
          <w:lang w:val="ro-MD"/>
        </w:rPr>
        <w:t xml:space="preserve">Cu toate că S.A. „RED-Nord” a solicitat 3 autovehicule cu 9 locuri, a fost încheiat </w:t>
      </w:r>
      <w:r w:rsidR="008F7030" w:rsidRPr="0080251F">
        <w:rPr>
          <w:rFonts w:ascii="Times New Roman" w:hAnsi="Times New Roman" w:cs="Times New Roman"/>
          <w:iCs/>
          <w:sz w:val="24"/>
          <w:lang w:val="ro-MD"/>
        </w:rPr>
        <w:t>c</w:t>
      </w:r>
      <w:r w:rsidRPr="0080251F">
        <w:rPr>
          <w:rFonts w:ascii="Times New Roman" w:hAnsi="Times New Roman" w:cs="Times New Roman"/>
          <w:iCs/>
          <w:sz w:val="24"/>
          <w:lang w:val="ro-MD"/>
        </w:rPr>
        <w:t>ontractul</w:t>
      </w:r>
      <w:r w:rsidR="008F7030" w:rsidRPr="0080251F">
        <w:rPr>
          <w:rFonts w:ascii="Times New Roman" w:hAnsi="Times New Roman" w:cs="Times New Roman"/>
          <w:iCs/>
          <w:sz w:val="24"/>
          <w:lang w:val="ro-MD"/>
        </w:rPr>
        <w:t xml:space="preserve"> nr.76/09/22 din 02.08.2022</w:t>
      </w:r>
      <w:r w:rsidRPr="0080251F">
        <w:rPr>
          <w:rFonts w:ascii="Times New Roman" w:hAnsi="Times New Roman" w:cs="Times New Roman"/>
          <w:iCs/>
          <w:sz w:val="24"/>
          <w:lang w:val="ro-MD"/>
        </w:rPr>
        <w:t xml:space="preserve"> cu SRL „ES</w:t>
      </w:r>
      <w:r w:rsidR="00E72C88" w:rsidRPr="0080251F">
        <w:rPr>
          <w:rFonts w:ascii="Times New Roman" w:hAnsi="Times New Roman" w:cs="Times New Roman"/>
          <w:iCs/>
          <w:sz w:val="24"/>
          <w:lang w:val="ro-MD"/>
        </w:rPr>
        <w:t>T-Test”</w:t>
      </w:r>
      <w:r w:rsidR="005826DD" w:rsidRPr="0080251F">
        <w:rPr>
          <w:rFonts w:ascii="Times New Roman" w:hAnsi="Times New Roman" w:cs="Times New Roman"/>
          <w:iCs/>
          <w:sz w:val="24"/>
          <w:lang w:val="ro-MD"/>
        </w:rPr>
        <w:t>,</w:t>
      </w:r>
      <w:r w:rsidR="00E72C88" w:rsidRPr="0080251F">
        <w:rPr>
          <w:rFonts w:ascii="Times New Roman" w:hAnsi="Times New Roman" w:cs="Times New Roman"/>
          <w:iCs/>
          <w:sz w:val="24"/>
          <w:lang w:val="ro-MD"/>
        </w:rPr>
        <w:t xml:space="preserve"> în sumă totală de 1,8 mil.</w:t>
      </w:r>
      <w:r w:rsidRPr="0080251F">
        <w:rPr>
          <w:rFonts w:ascii="Times New Roman" w:hAnsi="Times New Roman" w:cs="Times New Roman"/>
          <w:iCs/>
          <w:sz w:val="24"/>
          <w:lang w:val="ro-MD"/>
        </w:rPr>
        <w:t xml:space="preserve"> lei, fiind livrate de către operatorul câștigător 3 autovehicule cu 7 locuri și plus 2 locuri reutilate neautorizat pentru</w:t>
      </w:r>
      <w:r w:rsidR="00B23742" w:rsidRPr="0080251F">
        <w:rPr>
          <w:rFonts w:ascii="Times New Roman" w:hAnsi="Times New Roman" w:cs="Times New Roman"/>
          <w:iCs/>
          <w:sz w:val="24"/>
          <w:lang w:val="ro-MD"/>
        </w:rPr>
        <w:t xml:space="preserve"> fiecare unitate de transport (p</w:t>
      </w:r>
      <w:r w:rsidRPr="0080251F">
        <w:rPr>
          <w:rFonts w:ascii="Times New Roman" w:hAnsi="Times New Roman" w:cs="Times New Roman"/>
          <w:iCs/>
          <w:sz w:val="24"/>
          <w:lang w:val="ro-MD"/>
        </w:rPr>
        <w:t>așapoartele</w:t>
      </w:r>
      <w:r w:rsidR="009F7F72" w:rsidRPr="0080251F">
        <w:rPr>
          <w:rFonts w:ascii="Times New Roman" w:hAnsi="Times New Roman" w:cs="Times New Roman"/>
          <w:iCs/>
          <w:sz w:val="24"/>
          <w:lang w:val="ro-MD"/>
        </w:rPr>
        <w:t xml:space="preserve"> tehnice ale autovehiculelor</w:t>
      </w:r>
      <w:r w:rsidRPr="0080251F">
        <w:rPr>
          <w:rFonts w:ascii="Times New Roman" w:hAnsi="Times New Roman" w:cs="Times New Roman"/>
          <w:iCs/>
          <w:sz w:val="24"/>
          <w:lang w:val="ro-MD"/>
        </w:rPr>
        <w:t xml:space="preserve"> livrate indică categoria N1 - autovehicul conceput și construit</w:t>
      </w:r>
      <w:r w:rsidR="005826DD"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în principal</w:t>
      </w:r>
      <w:r w:rsidR="005826DD"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pentru transporturi de mărfuri</w:t>
      </w:r>
      <w:r w:rsidR="005826DD"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având o masă ce nu depășește 3,5 tone; numărul de locuri este 7, inclusiv șoferul). Astfel, aceste unități de transport nu pot fi utilizate legal în circulația rutieră</w:t>
      </w:r>
      <w:r w:rsidR="009F7F72"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pentru a îndeplini sarcina </w:t>
      </w:r>
      <w:r w:rsidR="009F7F72" w:rsidRPr="0080251F">
        <w:rPr>
          <w:rFonts w:ascii="Times New Roman" w:hAnsi="Times New Roman" w:cs="Times New Roman"/>
          <w:iCs/>
          <w:sz w:val="24"/>
          <w:lang w:val="ro-MD"/>
        </w:rPr>
        <w:t>de transportare</w:t>
      </w:r>
      <w:r w:rsidRPr="0080251F">
        <w:rPr>
          <w:rFonts w:ascii="Times New Roman" w:hAnsi="Times New Roman" w:cs="Times New Roman"/>
          <w:iCs/>
          <w:sz w:val="24"/>
          <w:lang w:val="ro-MD"/>
        </w:rPr>
        <w:t xml:space="preserve"> a 9 persoane. </w:t>
      </w:r>
    </w:p>
    <w:p w14:paraId="0F3F2876" w14:textId="359071B5" w:rsidR="002815D4" w:rsidRPr="0080251F" w:rsidRDefault="002815D4" w:rsidP="007B0581">
      <w:pPr>
        <w:tabs>
          <w:tab w:val="left" w:pos="567"/>
        </w:tabs>
        <w:spacing w:after="0" w:line="276" w:lineRule="auto"/>
        <w:ind w:firstLine="709"/>
        <w:jc w:val="both"/>
        <w:rPr>
          <w:rFonts w:ascii="Times New Roman" w:hAnsi="Times New Roman" w:cs="Times New Roman"/>
          <w:iCs/>
          <w:sz w:val="24"/>
          <w:lang w:val="ro-MD"/>
        </w:rPr>
      </w:pPr>
      <w:r w:rsidRPr="0080251F">
        <w:rPr>
          <w:rFonts w:ascii="Times New Roman" w:hAnsi="Times New Roman" w:cs="Times New Roman"/>
          <w:iCs/>
          <w:sz w:val="24"/>
          <w:lang w:val="ro-MD"/>
        </w:rPr>
        <w:t>În rezultatul desfășu</w:t>
      </w:r>
      <w:r w:rsidR="009F7F72" w:rsidRPr="0080251F">
        <w:rPr>
          <w:rFonts w:ascii="Times New Roman" w:hAnsi="Times New Roman" w:cs="Times New Roman"/>
          <w:iCs/>
          <w:sz w:val="24"/>
          <w:lang w:val="ro-MD"/>
        </w:rPr>
        <w:t>rării procedurii de licitație în</w:t>
      </w:r>
      <w:r w:rsidRPr="0080251F">
        <w:rPr>
          <w:rFonts w:ascii="Times New Roman" w:hAnsi="Times New Roman" w:cs="Times New Roman"/>
          <w:iCs/>
          <w:sz w:val="24"/>
          <w:lang w:val="ro-MD"/>
        </w:rPr>
        <w:t xml:space="preserve"> data de 23.08.20</w:t>
      </w:r>
      <w:r w:rsidR="009F7F72" w:rsidRPr="0080251F">
        <w:rPr>
          <w:rFonts w:ascii="Times New Roman" w:hAnsi="Times New Roman" w:cs="Times New Roman"/>
          <w:iCs/>
          <w:sz w:val="24"/>
          <w:lang w:val="ro-MD"/>
        </w:rPr>
        <w:t>19, a fost semnat contractul nr.</w:t>
      </w:r>
      <w:r w:rsidRPr="0080251F">
        <w:rPr>
          <w:rFonts w:ascii="Times New Roman" w:hAnsi="Times New Roman" w:cs="Times New Roman"/>
          <w:iCs/>
          <w:sz w:val="24"/>
          <w:lang w:val="ro-MD"/>
        </w:rPr>
        <w:t>VD191565</w:t>
      </w:r>
      <w:r w:rsidR="005826DD"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în </w:t>
      </w:r>
      <w:r w:rsidR="005826DD" w:rsidRPr="0080251F">
        <w:rPr>
          <w:rFonts w:ascii="Times New Roman" w:hAnsi="Times New Roman" w:cs="Times New Roman"/>
          <w:iCs/>
          <w:sz w:val="24"/>
          <w:lang w:val="ro-MD"/>
        </w:rPr>
        <w:t>sumă</w:t>
      </w:r>
      <w:r w:rsidRPr="0080251F">
        <w:rPr>
          <w:rFonts w:ascii="Times New Roman" w:hAnsi="Times New Roman" w:cs="Times New Roman"/>
          <w:iCs/>
          <w:sz w:val="24"/>
          <w:lang w:val="ro-MD"/>
        </w:rPr>
        <w:t xml:space="preserve"> de 1</w:t>
      </w:r>
      <w:r w:rsidR="00122034" w:rsidRPr="0080251F">
        <w:rPr>
          <w:rFonts w:ascii="Times New Roman" w:hAnsi="Times New Roman" w:cs="Times New Roman"/>
          <w:iCs/>
          <w:sz w:val="24"/>
          <w:lang w:val="ro-MD"/>
        </w:rPr>
        <w:t>,</w:t>
      </w:r>
      <w:r w:rsidRPr="0080251F">
        <w:rPr>
          <w:rFonts w:ascii="Times New Roman" w:hAnsi="Times New Roman" w:cs="Times New Roman"/>
          <w:iCs/>
          <w:sz w:val="24"/>
          <w:lang w:val="ro-MD"/>
        </w:rPr>
        <w:t>8</w:t>
      </w:r>
      <w:r w:rsidR="00122034" w:rsidRPr="0080251F">
        <w:rPr>
          <w:rFonts w:ascii="Times New Roman" w:hAnsi="Times New Roman" w:cs="Times New Roman"/>
          <w:iCs/>
          <w:sz w:val="24"/>
          <w:lang w:val="ro-MD"/>
        </w:rPr>
        <w:t>5</w:t>
      </w:r>
      <w:r w:rsidRPr="0080251F">
        <w:rPr>
          <w:rFonts w:ascii="Times New Roman" w:hAnsi="Times New Roman" w:cs="Times New Roman"/>
          <w:iCs/>
          <w:sz w:val="24"/>
          <w:lang w:val="ro-MD"/>
        </w:rPr>
        <w:t xml:space="preserve"> mi</w:t>
      </w:r>
      <w:r w:rsidR="00122034" w:rsidRPr="0080251F">
        <w:rPr>
          <w:rFonts w:ascii="Times New Roman" w:hAnsi="Times New Roman" w:cs="Times New Roman"/>
          <w:iCs/>
          <w:sz w:val="24"/>
          <w:lang w:val="ro-MD"/>
        </w:rPr>
        <w:t>l.</w:t>
      </w:r>
      <w:r w:rsidRPr="0080251F">
        <w:rPr>
          <w:rFonts w:ascii="Times New Roman" w:hAnsi="Times New Roman" w:cs="Times New Roman"/>
          <w:iCs/>
          <w:sz w:val="24"/>
          <w:lang w:val="ro-MD"/>
        </w:rPr>
        <w:t xml:space="preserve"> lei (inclusiv TVA)</w:t>
      </w:r>
      <w:r w:rsidR="005826DD"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cu SRL „Business Logic”</w:t>
      </w:r>
      <w:r w:rsidR="005826DD"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w:t>
      </w:r>
      <w:r w:rsidRPr="0080251F">
        <w:rPr>
          <w:rFonts w:ascii="Times New Roman" w:hAnsi="Times New Roman" w:cs="Times New Roman"/>
          <w:i/>
          <w:iCs/>
          <w:sz w:val="24"/>
          <w:lang w:val="ro-MD"/>
        </w:rPr>
        <w:t>pentru achiziția sistemului informatic integrat financiar contabil</w:t>
      </w:r>
      <w:r w:rsidRPr="0080251F">
        <w:rPr>
          <w:rFonts w:ascii="Times New Roman" w:hAnsi="Times New Roman" w:cs="Times New Roman"/>
          <w:iCs/>
          <w:sz w:val="24"/>
          <w:lang w:val="ro-MD"/>
        </w:rPr>
        <w:t>. În conformitate cu clauzele contractuale</w:t>
      </w:r>
      <w:r w:rsidR="009F7F72"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operatorul economic </w:t>
      </w:r>
      <w:r w:rsidR="009F7F72" w:rsidRPr="0080251F">
        <w:rPr>
          <w:rFonts w:ascii="Times New Roman" w:hAnsi="Times New Roman" w:cs="Times New Roman"/>
          <w:iCs/>
          <w:sz w:val="24"/>
          <w:lang w:val="ro-MD"/>
        </w:rPr>
        <w:t>urmează</w:t>
      </w:r>
      <w:r w:rsidRPr="0080251F">
        <w:rPr>
          <w:rFonts w:ascii="Times New Roman" w:hAnsi="Times New Roman" w:cs="Times New Roman"/>
          <w:iCs/>
          <w:sz w:val="24"/>
          <w:lang w:val="ro-MD"/>
        </w:rPr>
        <w:t xml:space="preserve"> să livreze software-ul licențiat 1C </w:t>
      </w:r>
      <w:r w:rsidRPr="005208BB">
        <w:rPr>
          <w:rFonts w:ascii="Times New Roman" w:hAnsi="Times New Roman" w:cs="Times New Roman"/>
          <w:iCs/>
          <w:sz w:val="24"/>
          <w:lang w:val="ro-MD"/>
        </w:rPr>
        <w:t>în sumă de 343,4 mii lei și</w:t>
      </w:r>
      <w:r w:rsidRPr="0080251F">
        <w:rPr>
          <w:rFonts w:ascii="Times New Roman" w:hAnsi="Times New Roman" w:cs="Times New Roman"/>
          <w:iCs/>
          <w:sz w:val="24"/>
          <w:lang w:val="ro-MD"/>
        </w:rPr>
        <w:t xml:space="preserve"> </w:t>
      </w:r>
      <w:r w:rsidR="009F7F72" w:rsidRPr="0080251F">
        <w:rPr>
          <w:rFonts w:ascii="Times New Roman" w:hAnsi="Times New Roman" w:cs="Times New Roman"/>
          <w:iCs/>
          <w:sz w:val="24"/>
          <w:lang w:val="ro-MD"/>
        </w:rPr>
        <w:t>să execute lucrările</w:t>
      </w:r>
      <w:r w:rsidRPr="0080251F">
        <w:rPr>
          <w:rFonts w:ascii="Times New Roman" w:hAnsi="Times New Roman" w:cs="Times New Roman"/>
          <w:iCs/>
          <w:sz w:val="24"/>
          <w:lang w:val="ro-MD"/>
        </w:rPr>
        <w:t xml:space="preserve"> de d</w:t>
      </w:r>
      <w:r w:rsidR="00A83E4A" w:rsidRPr="0080251F">
        <w:rPr>
          <w:rFonts w:ascii="Times New Roman" w:hAnsi="Times New Roman" w:cs="Times New Roman"/>
          <w:iCs/>
          <w:sz w:val="24"/>
          <w:lang w:val="ro-MD"/>
        </w:rPr>
        <w:t>ezvoltare</w:t>
      </w:r>
      <w:r w:rsidRPr="0080251F">
        <w:rPr>
          <w:rFonts w:ascii="Times New Roman" w:hAnsi="Times New Roman" w:cs="Times New Roman"/>
          <w:iCs/>
          <w:sz w:val="24"/>
          <w:lang w:val="ro-MD"/>
        </w:rPr>
        <w:t xml:space="preserve"> și implementare a config</w:t>
      </w:r>
      <w:r w:rsidR="00E72C88" w:rsidRPr="0080251F">
        <w:rPr>
          <w:rFonts w:ascii="Times New Roman" w:hAnsi="Times New Roman" w:cs="Times New Roman"/>
          <w:iCs/>
          <w:sz w:val="24"/>
          <w:lang w:val="ro-MD"/>
        </w:rPr>
        <w:t xml:space="preserve">urației </w:t>
      </w:r>
      <w:r w:rsidR="009F7F72" w:rsidRPr="0080251F">
        <w:rPr>
          <w:rFonts w:ascii="Times New Roman" w:hAnsi="Times New Roman" w:cs="Times New Roman"/>
          <w:iCs/>
          <w:sz w:val="24"/>
          <w:lang w:val="ro-MD"/>
        </w:rPr>
        <w:t xml:space="preserve">programului </w:t>
      </w:r>
      <w:r w:rsidR="00E72C88" w:rsidRPr="0080251F">
        <w:rPr>
          <w:rFonts w:ascii="Times New Roman" w:hAnsi="Times New Roman" w:cs="Times New Roman"/>
          <w:iCs/>
          <w:sz w:val="24"/>
          <w:lang w:val="ro-MD"/>
        </w:rPr>
        <w:t>1C în valoare de 1,5 mil.</w:t>
      </w:r>
      <w:r w:rsidRPr="0080251F">
        <w:rPr>
          <w:rFonts w:ascii="Times New Roman" w:hAnsi="Times New Roman" w:cs="Times New Roman"/>
          <w:iCs/>
          <w:sz w:val="24"/>
          <w:lang w:val="ro-MD"/>
        </w:rPr>
        <w:t xml:space="preserve"> lei. Termenul de executare  a fost de 145 zile lucrătoare de la semnarea contractului (până la 15 ianuarie 2020). Până în prezent</w:t>
      </w:r>
      <w:r w:rsidR="009F7F72" w:rsidRPr="0080251F">
        <w:rPr>
          <w:rFonts w:ascii="Times New Roman" w:hAnsi="Times New Roman" w:cs="Times New Roman"/>
          <w:iCs/>
          <w:sz w:val="24"/>
          <w:lang w:val="ro-MD"/>
        </w:rPr>
        <w:t xml:space="preserve"> a</w:t>
      </w:r>
      <w:r w:rsidR="007B0581" w:rsidRPr="0080251F">
        <w:rPr>
          <w:rFonts w:ascii="Times New Roman" w:hAnsi="Times New Roman" w:cs="Times New Roman"/>
          <w:iCs/>
          <w:sz w:val="24"/>
          <w:lang w:val="ro-MD"/>
        </w:rPr>
        <w:t>u</w:t>
      </w:r>
      <w:r w:rsidR="009F7F72" w:rsidRPr="0080251F">
        <w:rPr>
          <w:rFonts w:ascii="Times New Roman" w:hAnsi="Times New Roman" w:cs="Times New Roman"/>
          <w:iCs/>
          <w:sz w:val="24"/>
          <w:lang w:val="ro-MD"/>
        </w:rPr>
        <w:t xml:space="preserve"> fost </w:t>
      </w:r>
      <w:r w:rsidR="007B0581" w:rsidRPr="0080251F">
        <w:rPr>
          <w:rFonts w:ascii="Times New Roman" w:hAnsi="Times New Roman" w:cs="Times New Roman"/>
          <w:iCs/>
          <w:sz w:val="24"/>
          <w:lang w:val="ro-MD"/>
        </w:rPr>
        <w:t xml:space="preserve">executate lucrări în valoare de </w:t>
      </w:r>
      <w:r w:rsidR="00E72C88" w:rsidRPr="0080251F">
        <w:rPr>
          <w:rFonts w:ascii="Times New Roman" w:hAnsi="Times New Roman" w:cs="Times New Roman"/>
          <w:iCs/>
          <w:sz w:val="24"/>
          <w:lang w:val="ro-MD"/>
        </w:rPr>
        <w:t>756,0 mii lei</w:t>
      </w:r>
      <w:r w:rsidR="007B0581" w:rsidRPr="0080251F">
        <w:rPr>
          <w:rStyle w:val="a5"/>
          <w:rFonts w:ascii="Times New Roman" w:hAnsi="Times New Roman" w:cs="Times New Roman"/>
          <w:iCs/>
          <w:sz w:val="24"/>
          <w:lang w:val="ro-MD"/>
        </w:rPr>
        <w:footnoteReference w:id="117"/>
      </w:r>
      <w:r w:rsidR="00E72C88"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w:t>
      </w:r>
      <w:r w:rsidR="00503306" w:rsidRPr="0080251F">
        <w:rPr>
          <w:rFonts w:ascii="Times New Roman" w:hAnsi="Times New Roman" w:cs="Times New Roman"/>
          <w:iCs/>
          <w:sz w:val="24"/>
          <w:lang w:val="ro-MD"/>
        </w:rPr>
        <w:t>dar s-au</w:t>
      </w:r>
      <w:r w:rsidRPr="0080251F">
        <w:rPr>
          <w:rFonts w:ascii="Times New Roman" w:hAnsi="Times New Roman" w:cs="Times New Roman"/>
          <w:iCs/>
          <w:sz w:val="24"/>
          <w:lang w:val="ro-MD"/>
        </w:rPr>
        <w:t xml:space="preserve"> achitat 681,1 mii lei. </w:t>
      </w:r>
    </w:p>
    <w:p w14:paraId="3250CCD9" w14:textId="66146F5F" w:rsidR="002853B1" w:rsidRPr="0080251F" w:rsidRDefault="002815D4" w:rsidP="00C01478">
      <w:pPr>
        <w:tabs>
          <w:tab w:val="left" w:pos="0"/>
          <w:tab w:val="left" w:pos="709"/>
        </w:tabs>
        <w:spacing w:after="0" w:line="276" w:lineRule="auto"/>
        <w:ind w:firstLine="709"/>
        <w:jc w:val="both"/>
        <w:rPr>
          <w:rFonts w:ascii="Times New Roman" w:hAnsi="Times New Roman" w:cs="Times New Roman"/>
          <w:iCs/>
          <w:sz w:val="24"/>
          <w:lang w:val="ro-MD"/>
        </w:rPr>
      </w:pPr>
      <w:r w:rsidRPr="0080251F">
        <w:rPr>
          <w:rFonts w:ascii="Times New Roman" w:hAnsi="Times New Roman" w:cs="Times New Roman"/>
          <w:iCs/>
          <w:sz w:val="24"/>
          <w:lang w:val="ro-MD"/>
        </w:rPr>
        <w:tab/>
      </w:r>
      <w:r w:rsidR="009F7F72" w:rsidRPr="0080251F">
        <w:rPr>
          <w:rFonts w:ascii="Times New Roman" w:hAnsi="Times New Roman" w:cs="Times New Roman"/>
          <w:iCs/>
          <w:sz w:val="24"/>
          <w:lang w:val="ro-MD"/>
        </w:rPr>
        <w:t>P</w:t>
      </w:r>
      <w:r w:rsidRPr="0080251F">
        <w:rPr>
          <w:rFonts w:ascii="Times New Roman" w:hAnsi="Times New Roman" w:cs="Times New Roman"/>
          <w:iCs/>
          <w:sz w:val="24"/>
          <w:lang w:val="ro-MD"/>
        </w:rPr>
        <w:t>e parcursul anilor 2021-2023</w:t>
      </w:r>
      <w:r w:rsidR="009F7F72"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S</w:t>
      </w:r>
      <w:r w:rsidR="009663E5" w:rsidRPr="0080251F">
        <w:rPr>
          <w:rFonts w:ascii="Times New Roman" w:hAnsi="Times New Roman" w:cs="Times New Roman"/>
          <w:iCs/>
          <w:sz w:val="24"/>
          <w:lang w:val="ro-MD"/>
        </w:rPr>
        <w:t>.</w:t>
      </w:r>
      <w:r w:rsidRPr="0080251F">
        <w:rPr>
          <w:rFonts w:ascii="Times New Roman" w:hAnsi="Times New Roman" w:cs="Times New Roman"/>
          <w:iCs/>
          <w:sz w:val="24"/>
          <w:lang w:val="ro-MD"/>
        </w:rPr>
        <w:t>A</w:t>
      </w:r>
      <w:r w:rsidR="009663E5"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„RED-Nord” a înaintat un șir de demersuri către SRL „Business Logistic” privind neexecutarea obligațiunilor contractuale. </w:t>
      </w:r>
      <w:r w:rsidR="00A83E4A" w:rsidRPr="0080251F">
        <w:rPr>
          <w:rFonts w:ascii="Times New Roman" w:hAnsi="Times New Roman" w:cs="Times New Roman"/>
          <w:iCs/>
          <w:sz w:val="24"/>
          <w:lang w:val="ro-MD"/>
        </w:rPr>
        <w:t xml:space="preserve">Ulterior, </w:t>
      </w:r>
      <w:r w:rsidRPr="0080251F">
        <w:rPr>
          <w:rFonts w:ascii="Times New Roman" w:hAnsi="Times New Roman" w:cs="Times New Roman"/>
          <w:iCs/>
          <w:sz w:val="24"/>
          <w:lang w:val="ro-MD"/>
        </w:rPr>
        <w:t>părți</w:t>
      </w:r>
      <w:r w:rsidR="00A83E4A" w:rsidRPr="0080251F">
        <w:rPr>
          <w:rFonts w:ascii="Times New Roman" w:hAnsi="Times New Roman" w:cs="Times New Roman"/>
          <w:iCs/>
          <w:sz w:val="24"/>
          <w:lang w:val="ro-MD"/>
        </w:rPr>
        <w:t>le contract</w:t>
      </w:r>
      <w:r w:rsidR="009F761B" w:rsidRPr="0080251F">
        <w:rPr>
          <w:rFonts w:ascii="Times New Roman" w:hAnsi="Times New Roman" w:cs="Times New Roman"/>
          <w:iCs/>
          <w:sz w:val="24"/>
          <w:lang w:val="ro-MD"/>
        </w:rPr>
        <w:t>ant</w:t>
      </w:r>
      <w:r w:rsidR="00A83E4A" w:rsidRPr="0080251F">
        <w:rPr>
          <w:rFonts w:ascii="Times New Roman" w:hAnsi="Times New Roman" w:cs="Times New Roman"/>
          <w:iCs/>
          <w:sz w:val="24"/>
          <w:lang w:val="ro-MD"/>
        </w:rPr>
        <w:t>e</w:t>
      </w:r>
      <w:r w:rsidRPr="0080251F">
        <w:rPr>
          <w:rFonts w:ascii="Times New Roman" w:hAnsi="Times New Roman" w:cs="Times New Roman"/>
          <w:iCs/>
          <w:sz w:val="24"/>
          <w:lang w:val="ro-MD"/>
        </w:rPr>
        <w:t xml:space="preserve"> </w:t>
      </w:r>
      <w:r w:rsidR="00A83E4A" w:rsidRPr="0080251F">
        <w:rPr>
          <w:rFonts w:ascii="Times New Roman" w:hAnsi="Times New Roman" w:cs="Times New Roman"/>
          <w:iCs/>
          <w:sz w:val="24"/>
          <w:lang w:val="ro-MD"/>
        </w:rPr>
        <w:t>au</w:t>
      </w:r>
      <w:r w:rsidRPr="0080251F">
        <w:rPr>
          <w:rFonts w:ascii="Times New Roman" w:hAnsi="Times New Roman" w:cs="Times New Roman"/>
          <w:iCs/>
          <w:sz w:val="24"/>
          <w:lang w:val="ro-MD"/>
        </w:rPr>
        <w:t xml:space="preserve"> încheiat 3 acorduri</w:t>
      </w:r>
      <w:r w:rsidR="00A83E4A" w:rsidRPr="0080251F">
        <w:rPr>
          <w:rFonts w:ascii="Times New Roman" w:hAnsi="Times New Roman" w:cs="Times New Roman"/>
          <w:iCs/>
          <w:sz w:val="24"/>
          <w:lang w:val="ro-MD"/>
        </w:rPr>
        <w:t xml:space="preserve"> adiționale</w:t>
      </w:r>
      <w:r w:rsidR="00A83E4A" w:rsidRPr="0080251F">
        <w:rPr>
          <w:rStyle w:val="a5"/>
          <w:rFonts w:ascii="Times New Roman" w:hAnsi="Times New Roman" w:cs="Times New Roman"/>
          <w:iCs/>
          <w:sz w:val="24"/>
          <w:lang w:val="ro-MD"/>
        </w:rPr>
        <w:footnoteReference w:id="118"/>
      </w:r>
      <w:r w:rsidR="009F761B" w:rsidRPr="0080251F">
        <w:rPr>
          <w:rFonts w:ascii="Times New Roman" w:hAnsi="Times New Roman" w:cs="Times New Roman"/>
          <w:iCs/>
          <w:sz w:val="24"/>
          <w:lang w:val="ro-MD"/>
        </w:rPr>
        <w:t>,</w:t>
      </w:r>
      <w:r w:rsidRPr="0080251F">
        <w:rPr>
          <w:rFonts w:ascii="Times New Roman" w:hAnsi="Times New Roman" w:cs="Times New Roman"/>
          <w:iCs/>
          <w:sz w:val="24"/>
          <w:lang w:val="ro-MD"/>
        </w:rPr>
        <w:t xml:space="preserve"> </w:t>
      </w:r>
      <w:r w:rsidR="00A83E4A" w:rsidRPr="0080251F">
        <w:rPr>
          <w:rFonts w:ascii="Times New Roman" w:hAnsi="Times New Roman" w:cs="Times New Roman"/>
          <w:iCs/>
          <w:sz w:val="24"/>
          <w:lang w:val="ro-MD"/>
        </w:rPr>
        <w:t>prin care a fost</w:t>
      </w:r>
      <w:r w:rsidRPr="0080251F">
        <w:rPr>
          <w:rFonts w:ascii="Times New Roman" w:hAnsi="Times New Roman" w:cs="Times New Roman"/>
          <w:iCs/>
          <w:sz w:val="24"/>
          <w:lang w:val="ro-MD"/>
        </w:rPr>
        <w:t xml:space="preserve"> prelungi</w:t>
      </w:r>
      <w:r w:rsidR="009F761B" w:rsidRPr="0080251F">
        <w:rPr>
          <w:rFonts w:ascii="Times New Roman" w:hAnsi="Times New Roman" w:cs="Times New Roman"/>
          <w:iCs/>
          <w:sz w:val="24"/>
          <w:lang w:val="ro-MD"/>
        </w:rPr>
        <w:t>t</w:t>
      </w:r>
      <w:r w:rsidRPr="0080251F">
        <w:rPr>
          <w:rFonts w:ascii="Times New Roman" w:hAnsi="Times New Roman" w:cs="Times New Roman"/>
          <w:iCs/>
          <w:sz w:val="24"/>
          <w:lang w:val="ro-MD"/>
        </w:rPr>
        <w:t xml:space="preserve"> termenul</w:t>
      </w:r>
      <w:r w:rsidR="009F761B" w:rsidRPr="0080251F">
        <w:rPr>
          <w:rFonts w:ascii="Times New Roman" w:hAnsi="Times New Roman" w:cs="Times New Roman"/>
          <w:iCs/>
          <w:sz w:val="24"/>
          <w:lang w:val="ro-MD"/>
        </w:rPr>
        <w:t xml:space="preserve"> </w:t>
      </w:r>
      <w:r w:rsidRPr="0080251F">
        <w:rPr>
          <w:rFonts w:ascii="Times New Roman" w:hAnsi="Times New Roman" w:cs="Times New Roman"/>
          <w:iCs/>
          <w:sz w:val="24"/>
          <w:lang w:val="ro-MD"/>
        </w:rPr>
        <w:t>contractului până la 31.12.2024. Astfel, cu toate că au fost cheltuite de către societate mijloace financiare în sumă totală de 681,1 mii lei, sistemul informatic integrat financiar contabil 1C nu poate fi utilizat de către entitate până în prezent</w:t>
      </w:r>
      <w:r w:rsidR="00FB7093" w:rsidRPr="0080251F">
        <w:rPr>
          <w:rFonts w:ascii="Times New Roman" w:hAnsi="Times New Roman" w:cs="Times New Roman"/>
          <w:iCs/>
          <w:sz w:val="24"/>
          <w:lang w:val="ro-MD"/>
        </w:rPr>
        <w:t>.</w:t>
      </w:r>
    </w:p>
    <w:p w14:paraId="6E952CFB" w14:textId="52220FC7" w:rsidR="00A42945" w:rsidRPr="0080251F" w:rsidRDefault="00661F11" w:rsidP="00DB77AE">
      <w:pPr>
        <w:pStyle w:val="1"/>
        <w:spacing w:before="200" w:line="276" w:lineRule="auto"/>
        <w:jc w:val="both"/>
        <w:rPr>
          <w:rStyle w:val="af1"/>
          <w:rFonts w:ascii="Times New Roman" w:hAnsi="Times New Roman" w:cs="Times New Roman"/>
          <w:sz w:val="24"/>
          <w:szCs w:val="24"/>
          <w:shd w:val="clear" w:color="auto" w:fill="FFFFFF"/>
          <w:lang w:val="ro-MD"/>
        </w:rPr>
      </w:pPr>
      <w:bookmarkStart w:id="23" w:name="_Toc161169697"/>
      <w:r w:rsidRPr="0080251F">
        <w:rPr>
          <w:rStyle w:val="af1"/>
          <w:rFonts w:ascii="Times New Roman" w:hAnsi="Times New Roman" w:cs="Times New Roman"/>
          <w:sz w:val="24"/>
          <w:szCs w:val="24"/>
          <w:shd w:val="clear" w:color="auto" w:fill="FFFFFF"/>
          <w:lang w:val="ro-MD"/>
        </w:rPr>
        <w:t>4.6</w:t>
      </w:r>
      <w:r w:rsidR="00A42945" w:rsidRPr="0080251F">
        <w:rPr>
          <w:rStyle w:val="af1"/>
          <w:rFonts w:ascii="Times New Roman" w:hAnsi="Times New Roman" w:cs="Times New Roman"/>
          <w:sz w:val="24"/>
          <w:szCs w:val="24"/>
          <w:shd w:val="clear" w:color="auto" w:fill="FFFFFF"/>
          <w:lang w:val="ro-MD"/>
        </w:rPr>
        <w:t xml:space="preserve">. </w:t>
      </w:r>
      <w:r w:rsidR="00BB7E16" w:rsidRPr="0080251F">
        <w:rPr>
          <w:rFonts w:ascii="Times New Roman" w:hAnsi="Times New Roman" w:cs="Times New Roman"/>
          <w:b/>
          <w:bCs/>
          <w:iCs/>
          <w:sz w:val="24"/>
          <w:szCs w:val="24"/>
          <w:lang w:val="ro-MD"/>
        </w:rPr>
        <w:t xml:space="preserve">S.A. </w:t>
      </w:r>
      <w:r w:rsidR="001E1116" w:rsidRPr="0080251F">
        <w:rPr>
          <w:rFonts w:ascii="Times New Roman" w:hAnsi="Times New Roman" w:cs="Times New Roman"/>
          <w:b/>
          <w:bCs/>
          <w:iCs/>
          <w:sz w:val="24"/>
          <w:szCs w:val="24"/>
          <w:lang w:val="ro-MD"/>
        </w:rPr>
        <w:t>„</w:t>
      </w:r>
      <w:r w:rsidR="00BB7E16" w:rsidRPr="0080251F">
        <w:rPr>
          <w:rFonts w:ascii="Times New Roman" w:hAnsi="Times New Roman" w:cs="Times New Roman"/>
          <w:b/>
          <w:bCs/>
          <w:iCs/>
          <w:sz w:val="24"/>
          <w:szCs w:val="24"/>
          <w:lang w:val="ro-MD"/>
        </w:rPr>
        <w:t>RED-Nord</w:t>
      </w:r>
      <w:r w:rsidR="009F761B" w:rsidRPr="0080251F">
        <w:rPr>
          <w:rFonts w:ascii="Times New Roman" w:hAnsi="Times New Roman" w:cs="Times New Roman"/>
          <w:b/>
          <w:bCs/>
          <w:iCs/>
          <w:sz w:val="24"/>
          <w:szCs w:val="24"/>
          <w:lang w:val="ro-MD"/>
        </w:rPr>
        <w:t>”</w:t>
      </w:r>
      <w:r w:rsidR="00BB7E16" w:rsidRPr="0080251F">
        <w:rPr>
          <w:rFonts w:ascii="Times New Roman" w:hAnsi="Times New Roman" w:cs="Times New Roman"/>
          <w:b/>
          <w:bCs/>
          <w:iCs/>
          <w:sz w:val="24"/>
          <w:szCs w:val="24"/>
          <w:lang w:val="ro-MD"/>
        </w:rPr>
        <w:t xml:space="preserve"> a asigurat planificarea și executarea conformă a investițiilor?</w:t>
      </w:r>
      <w:bookmarkEnd w:id="23"/>
    </w:p>
    <w:p w14:paraId="69375DA3" w14:textId="54A13DCC" w:rsidR="003C5C43" w:rsidRPr="0080251F" w:rsidRDefault="003C5C43" w:rsidP="007C734F">
      <w:pPr>
        <w:tabs>
          <w:tab w:val="left" w:pos="567"/>
        </w:tabs>
        <w:spacing w:after="0" w:line="276" w:lineRule="auto"/>
        <w:ind w:firstLine="709"/>
        <w:jc w:val="both"/>
        <w:rPr>
          <w:rFonts w:ascii="Times New Roman" w:eastAsia="Times New Roman" w:hAnsi="Times New Roman" w:cs="Times New Roman"/>
          <w:b/>
          <w:bCs/>
          <w:i/>
          <w:iCs/>
          <w:sz w:val="24"/>
          <w:szCs w:val="24"/>
          <w:lang w:val="ro-MD"/>
        </w:rPr>
      </w:pPr>
      <w:r w:rsidRPr="0080251F">
        <w:rPr>
          <w:rFonts w:ascii="Times New Roman" w:hAnsi="Times New Roman" w:cs="Times New Roman"/>
          <w:b/>
          <w:bCs/>
          <w:i/>
          <w:iCs/>
          <w:sz w:val="24"/>
          <w:lang w:val="ro-MD"/>
        </w:rPr>
        <w:t>În ani</w:t>
      </w:r>
      <w:r w:rsidR="009F761B" w:rsidRPr="0080251F">
        <w:rPr>
          <w:rFonts w:ascii="Times New Roman" w:hAnsi="Times New Roman" w:cs="Times New Roman"/>
          <w:b/>
          <w:bCs/>
          <w:i/>
          <w:iCs/>
          <w:sz w:val="24"/>
          <w:lang w:val="ro-MD"/>
        </w:rPr>
        <w:t>i</w:t>
      </w:r>
      <w:r w:rsidRPr="0080251F">
        <w:rPr>
          <w:rFonts w:ascii="Times New Roman" w:hAnsi="Times New Roman" w:cs="Times New Roman"/>
          <w:b/>
          <w:bCs/>
          <w:i/>
          <w:iCs/>
          <w:sz w:val="24"/>
          <w:lang w:val="ro-MD"/>
        </w:rPr>
        <w:t xml:space="preserve"> 2021–2022</w:t>
      </w:r>
      <w:r w:rsidR="009F761B" w:rsidRPr="0080251F">
        <w:rPr>
          <w:rFonts w:ascii="Times New Roman" w:hAnsi="Times New Roman" w:cs="Times New Roman"/>
          <w:b/>
          <w:bCs/>
          <w:i/>
          <w:iCs/>
          <w:sz w:val="24"/>
          <w:lang w:val="ro-MD"/>
        </w:rPr>
        <w:t>,</w:t>
      </w:r>
      <w:r w:rsidRPr="0080251F">
        <w:rPr>
          <w:rFonts w:ascii="Times New Roman" w:hAnsi="Times New Roman" w:cs="Times New Roman"/>
          <w:b/>
          <w:bCs/>
          <w:i/>
          <w:iCs/>
          <w:sz w:val="24"/>
          <w:lang w:val="ro-MD"/>
        </w:rPr>
        <w:t xml:space="preserve"> S.A. „RED-Nord” nu a asigurat o executare conformă a planurilor anuale de investiții în obiectele de infrastructură, ce</w:t>
      </w:r>
      <w:r w:rsidR="00BF5E36" w:rsidRPr="0080251F">
        <w:rPr>
          <w:rFonts w:ascii="Times New Roman" w:hAnsi="Times New Roman" w:cs="Times New Roman"/>
          <w:b/>
          <w:bCs/>
          <w:i/>
          <w:iCs/>
          <w:sz w:val="24"/>
          <w:lang w:val="ro-MD"/>
        </w:rPr>
        <w:t>e</w:t>
      </w:r>
      <w:r w:rsidRPr="0080251F">
        <w:rPr>
          <w:rFonts w:ascii="Times New Roman" w:hAnsi="Times New Roman" w:cs="Times New Roman"/>
          <w:b/>
          <w:bCs/>
          <w:i/>
          <w:iCs/>
          <w:sz w:val="24"/>
          <w:lang w:val="ro-MD"/>
        </w:rPr>
        <w:t>a ce a determinat neacceptarea de către ANRE</w:t>
      </w:r>
      <w:r w:rsidR="009F761B" w:rsidRPr="0080251F">
        <w:rPr>
          <w:rFonts w:ascii="Times New Roman" w:hAnsi="Times New Roman" w:cs="Times New Roman"/>
          <w:b/>
          <w:bCs/>
          <w:i/>
          <w:iCs/>
          <w:sz w:val="24"/>
          <w:lang w:val="ro-MD"/>
        </w:rPr>
        <w:t>,</w:t>
      </w:r>
      <w:r w:rsidRPr="0080251F">
        <w:rPr>
          <w:rFonts w:ascii="Times New Roman" w:hAnsi="Times New Roman" w:cs="Times New Roman"/>
          <w:b/>
          <w:bCs/>
          <w:i/>
          <w:iCs/>
          <w:sz w:val="24"/>
          <w:lang w:val="ro-MD"/>
        </w:rPr>
        <w:t xml:space="preserve"> în scopul recuperării prin tarif</w:t>
      </w:r>
      <w:r w:rsidR="002D1BAE" w:rsidRPr="0080251F">
        <w:rPr>
          <w:rFonts w:ascii="Times New Roman" w:hAnsi="Times New Roman" w:cs="Times New Roman"/>
          <w:b/>
          <w:bCs/>
          <w:i/>
          <w:iCs/>
          <w:sz w:val="24"/>
          <w:lang w:val="ro-MD"/>
        </w:rPr>
        <w:t>,</w:t>
      </w:r>
      <w:r w:rsidRPr="0080251F">
        <w:rPr>
          <w:rFonts w:ascii="Times New Roman" w:hAnsi="Times New Roman" w:cs="Times New Roman"/>
          <w:b/>
          <w:bCs/>
          <w:i/>
          <w:iCs/>
          <w:sz w:val="24"/>
          <w:lang w:val="ro-MD"/>
        </w:rPr>
        <w:t xml:space="preserve"> a </w:t>
      </w:r>
      <w:r w:rsidR="007C6E8C" w:rsidRPr="0080251F">
        <w:rPr>
          <w:rFonts w:ascii="Times New Roman" w:hAnsi="Times New Roman" w:cs="Times New Roman"/>
          <w:b/>
          <w:bCs/>
          <w:i/>
          <w:iCs/>
          <w:sz w:val="24"/>
          <w:lang w:val="ro-MD"/>
        </w:rPr>
        <w:t>investițiilor</w:t>
      </w:r>
      <w:r w:rsidRPr="0080251F">
        <w:rPr>
          <w:rFonts w:ascii="Times New Roman" w:hAnsi="Times New Roman" w:cs="Times New Roman"/>
          <w:b/>
          <w:bCs/>
          <w:i/>
          <w:iCs/>
          <w:sz w:val="24"/>
          <w:lang w:val="ro-MD"/>
        </w:rPr>
        <w:t xml:space="preserve"> în sumă totală de 5</w:t>
      </w:r>
      <w:r w:rsidR="00565B1D" w:rsidRPr="0080251F">
        <w:rPr>
          <w:rFonts w:ascii="Times New Roman" w:hAnsi="Times New Roman" w:cs="Times New Roman"/>
          <w:b/>
          <w:bCs/>
          <w:i/>
          <w:iCs/>
          <w:sz w:val="24"/>
          <w:lang w:val="ro-MD"/>
        </w:rPr>
        <w:t>,5 mil</w:t>
      </w:r>
      <w:r w:rsidR="00A5272D" w:rsidRPr="0080251F">
        <w:rPr>
          <w:rFonts w:ascii="Times New Roman" w:hAnsi="Times New Roman" w:cs="Times New Roman"/>
          <w:b/>
          <w:bCs/>
          <w:i/>
          <w:iCs/>
          <w:sz w:val="24"/>
          <w:lang w:val="ro-MD"/>
        </w:rPr>
        <w:t>.</w:t>
      </w:r>
      <w:r w:rsidRPr="0080251F">
        <w:rPr>
          <w:rFonts w:ascii="Times New Roman" w:hAnsi="Times New Roman" w:cs="Times New Roman"/>
          <w:b/>
          <w:bCs/>
          <w:i/>
          <w:iCs/>
          <w:sz w:val="24"/>
          <w:lang w:val="ro-MD"/>
        </w:rPr>
        <w:t xml:space="preserve"> lei. </w:t>
      </w:r>
    </w:p>
    <w:p w14:paraId="0C102E2E" w14:textId="6CB85FC7" w:rsidR="003C5C43" w:rsidRPr="0080251F" w:rsidRDefault="003C5C43" w:rsidP="00AE13AF">
      <w:pPr>
        <w:tabs>
          <w:tab w:val="left" w:pos="567"/>
        </w:tabs>
        <w:spacing w:after="0" w:line="276" w:lineRule="auto"/>
        <w:ind w:firstLine="709"/>
        <w:jc w:val="both"/>
        <w:rPr>
          <w:rFonts w:ascii="Times New Roman" w:eastAsia="Times New Roman" w:hAnsi="Times New Roman" w:cs="Times New Roman"/>
          <w:bCs/>
          <w:sz w:val="24"/>
          <w:szCs w:val="24"/>
          <w:lang w:val="ro-MD"/>
        </w:rPr>
      </w:pPr>
      <w:r w:rsidRPr="0080251F">
        <w:rPr>
          <w:rFonts w:ascii="Times New Roman" w:eastAsia="Times New Roman" w:hAnsi="Times New Roman" w:cs="Times New Roman"/>
          <w:bCs/>
          <w:sz w:val="24"/>
          <w:szCs w:val="24"/>
          <w:lang w:val="ro-MD"/>
        </w:rPr>
        <w:t>Pentru a asigura calitatea (nivelul de uzură, pierderile de rețea</w:t>
      </w:r>
      <w:r w:rsidR="006C289F" w:rsidRPr="0080251F">
        <w:rPr>
          <w:rStyle w:val="a5"/>
          <w:rFonts w:ascii="Times New Roman" w:eastAsia="Times New Roman" w:hAnsi="Times New Roman" w:cs="Times New Roman"/>
          <w:bCs/>
          <w:sz w:val="24"/>
          <w:szCs w:val="24"/>
          <w:lang w:val="ro-MD"/>
        </w:rPr>
        <w:footnoteReference w:id="119"/>
      </w:r>
      <w:r w:rsidRPr="0080251F">
        <w:rPr>
          <w:rFonts w:ascii="Times New Roman" w:eastAsia="Times New Roman" w:hAnsi="Times New Roman" w:cs="Times New Roman"/>
          <w:bCs/>
          <w:sz w:val="24"/>
          <w:szCs w:val="24"/>
          <w:lang w:val="ro-MD"/>
        </w:rPr>
        <w:t>) și continuitatea distribuției de energie electrică (numărul de consumatori</w:t>
      </w:r>
      <w:r w:rsidR="0023248E" w:rsidRPr="0080251F">
        <w:rPr>
          <w:rStyle w:val="a5"/>
          <w:rFonts w:ascii="Times New Roman" w:eastAsia="Times New Roman" w:hAnsi="Times New Roman" w:cs="Times New Roman"/>
          <w:bCs/>
          <w:sz w:val="24"/>
          <w:szCs w:val="24"/>
          <w:lang w:val="ro-MD"/>
        </w:rPr>
        <w:footnoteReference w:id="120"/>
      </w:r>
      <w:r w:rsidRPr="0080251F">
        <w:rPr>
          <w:rFonts w:ascii="Times New Roman" w:eastAsia="Times New Roman" w:hAnsi="Times New Roman" w:cs="Times New Roman"/>
          <w:bCs/>
          <w:sz w:val="24"/>
          <w:szCs w:val="24"/>
          <w:lang w:val="ro-MD"/>
        </w:rPr>
        <w:t>), S.A. „RED-Nord”, anual, aprobă și execută planul de investiții în rețelele electrice. Planificarea, aprobarea și efectuarea investițiilor se efectuează în baza prevederilor Legii nr.107 din 27.05.2016</w:t>
      </w:r>
      <w:r w:rsidRPr="0080251F">
        <w:rPr>
          <w:rFonts w:ascii="Times New Roman" w:eastAsia="Times New Roman" w:hAnsi="Times New Roman" w:cs="Times New Roman"/>
          <w:bCs/>
          <w:sz w:val="24"/>
          <w:szCs w:val="24"/>
          <w:vertAlign w:val="superscript"/>
          <w:lang w:val="ro-MD"/>
        </w:rPr>
        <w:footnoteReference w:id="121"/>
      </w:r>
      <w:r w:rsidRPr="0080251F">
        <w:rPr>
          <w:rFonts w:ascii="Times New Roman" w:eastAsia="Times New Roman" w:hAnsi="Times New Roman" w:cs="Times New Roman"/>
          <w:bCs/>
          <w:sz w:val="24"/>
          <w:szCs w:val="24"/>
          <w:lang w:val="ro-MD"/>
        </w:rPr>
        <w:t xml:space="preserve"> </w:t>
      </w:r>
      <w:r w:rsidR="00565B1D" w:rsidRPr="0080251F">
        <w:rPr>
          <w:rFonts w:ascii="Times New Roman" w:eastAsia="Times New Roman" w:hAnsi="Times New Roman" w:cs="Times New Roman"/>
          <w:bCs/>
          <w:sz w:val="24"/>
          <w:szCs w:val="24"/>
          <w:lang w:val="ro-MD"/>
        </w:rPr>
        <w:t>și Regulamentului aprobat prin H</w:t>
      </w:r>
      <w:r w:rsidRPr="0080251F">
        <w:rPr>
          <w:rFonts w:ascii="Times New Roman" w:eastAsia="Times New Roman" w:hAnsi="Times New Roman" w:cs="Times New Roman"/>
          <w:bCs/>
          <w:sz w:val="24"/>
          <w:szCs w:val="24"/>
          <w:lang w:val="ro-MD"/>
        </w:rPr>
        <w:t>ANRE nr.283/2016 din 15.11.2016</w:t>
      </w:r>
      <w:r w:rsidRPr="0080251F">
        <w:rPr>
          <w:rFonts w:ascii="Times New Roman" w:eastAsia="Times New Roman" w:hAnsi="Times New Roman" w:cs="Times New Roman"/>
          <w:bCs/>
          <w:sz w:val="24"/>
          <w:szCs w:val="24"/>
          <w:vertAlign w:val="superscript"/>
          <w:lang w:val="ro-MD"/>
        </w:rPr>
        <w:footnoteReference w:id="122"/>
      </w:r>
      <w:r w:rsidRPr="0080251F">
        <w:rPr>
          <w:rFonts w:ascii="Times New Roman" w:eastAsia="Times New Roman" w:hAnsi="Times New Roman" w:cs="Times New Roman"/>
          <w:bCs/>
          <w:sz w:val="24"/>
          <w:szCs w:val="24"/>
          <w:lang w:val="ro-MD"/>
        </w:rPr>
        <w:t>.</w:t>
      </w:r>
      <w:r w:rsidRPr="0080251F">
        <w:rPr>
          <w:rFonts w:asciiTheme="majorHAnsi" w:hAnsiTheme="majorHAnsi" w:cs="Calibri Light"/>
          <w:bCs/>
          <w:sz w:val="24"/>
          <w:szCs w:val="24"/>
          <w:lang w:val="ro-MD"/>
        </w:rPr>
        <w:t xml:space="preserve"> </w:t>
      </w:r>
      <w:r w:rsidRPr="0080251F">
        <w:rPr>
          <w:rFonts w:ascii="Times New Roman" w:eastAsia="Times New Roman" w:hAnsi="Times New Roman" w:cs="Times New Roman"/>
          <w:bCs/>
          <w:sz w:val="24"/>
          <w:szCs w:val="24"/>
          <w:lang w:val="ro-MD"/>
        </w:rPr>
        <w:t xml:space="preserve">Planul de investiții, prezentat anual ANRE spre aprobare, este însoțit de o </w:t>
      </w:r>
      <w:r w:rsidRPr="0080251F">
        <w:rPr>
          <w:rFonts w:ascii="Times New Roman" w:eastAsia="Times New Roman" w:hAnsi="Times New Roman" w:cs="Times New Roman"/>
          <w:bCs/>
          <w:iCs/>
          <w:sz w:val="24"/>
          <w:szCs w:val="24"/>
          <w:lang w:val="ro-MD"/>
        </w:rPr>
        <w:t>notă informativă</w:t>
      </w:r>
      <w:r w:rsidRPr="0080251F">
        <w:rPr>
          <w:rFonts w:ascii="Times New Roman" w:eastAsia="Times New Roman" w:hAnsi="Times New Roman" w:cs="Times New Roman"/>
          <w:bCs/>
          <w:sz w:val="24"/>
          <w:szCs w:val="24"/>
          <w:lang w:val="ro-MD"/>
        </w:rPr>
        <w:t xml:space="preserve"> privind obiectivele acestuia, sursa de finanțare și calculele impactului planului anual de investiții asupra tarifelor/prețurilor reglementate la energia electrică.</w:t>
      </w:r>
    </w:p>
    <w:p w14:paraId="0262A759" w14:textId="5D550A29" w:rsidR="00D1586A" w:rsidRPr="0080251F" w:rsidRDefault="00D1586A" w:rsidP="005276E4">
      <w:pPr>
        <w:tabs>
          <w:tab w:val="left" w:pos="567"/>
        </w:tabs>
        <w:spacing w:after="0" w:line="276" w:lineRule="auto"/>
        <w:ind w:firstLine="709"/>
        <w:jc w:val="both"/>
        <w:rPr>
          <w:rFonts w:ascii="Times New Roman" w:eastAsia="Times New Roman" w:hAnsi="Times New Roman" w:cs="Times New Roman"/>
          <w:bCs/>
          <w:sz w:val="24"/>
          <w:szCs w:val="24"/>
          <w:lang w:val="ro-MD"/>
        </w:rPr>
      </w:pPr>
      <w:r w:rsidRPr="0080251F">
        <w:rPr>
          <w:rFonts w:ascii="Times New Roman" w:hAnsi="Times New Roman" w:cs="Times New Roman"/>
          <w:sz w:val="24"/>
          <w:szCs w:val="24"/>
          <w:lang w:val="ro-MD"/>
        </w:rPr>
        <w:t xml:space="preserve">Cea mai mare parte a investițiilor planificate </w:t>
      </w:r>
      <w:r w:rsidR="00A5272D" w:rsidRPr="0080251F">
        <w:rPr>
          <w:rFonts w:ascii="Times New Roman" w:hAnsi="Times New Roman" w:cs="Times New Roman"/>
          <w:sz w:val="24"/>
          <w:szCs w:val="24"/>
          <w:lang w:val="ro-MD"/>
        </w:rPr>
        <w:t>pentru</w:t>
      </w:r>
      <w:r w:rsidRPr="0080251F">
        <w:rPr>
          <w:rFonts w:ascii="Times New Roman" w:hAnsi="Times New Roman" w:cs="Times New Roman"/>
          <w:sz w:val="24"/>
          <w:szCs w:val="24"/>
          <w:lang w:val="ro-MD"/>
        </w:rPr>
        <w:t xml:space="preserve"> an</w:t>
      </w:r>
      <w:r w:rsidR="002D1BAE" w:rsidRPr="0080251F">
        <w:rPr>
          <w:rFonts w:ascii="Times New Roman" w:hAnsi="Times New Roman" w:cs="Times New Roman"/>
          <w:sz w:val="24"/>
          <w:szCs w:val="24"/>
          <w:lang w:val="ro-MD"/>
        </w:rPr>
        <w:t>ii</w:t>
      </w:r>
      <w:r w:rsidRPr="0080251F">
        <w:rPr>
          <w:rFonts w:ascii="Times New Roman" w:hAnsi="Times New Roman" w:cs="Times New Roman"/>
          <w:sz w:val="24"/>
          <w:szCs w:val="24"/>
          <w:lang w:val="ro-MD"/>
        </w:rPr>
        <w:t xml:space="preserve"> 2021-2022 a fost destinată </w:t>
      </w:r>
      <w:r w:rsidR="00A5272D"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reconstrucți</w:t>
      </w:r>
      <w:r w:rsidR="00A5272D" w:rsidRPr="0080251F">
        <w:rPr>
          <w:rFonts w:ascii="Times New Roman" w:hAnsi="Times New Roman" w:cs="Times New Roman"/>
          <w:sz w:val="24"/>
          <w:szCs w:val="24"/>
          <w:lang w:val="ro-MD"/>
        </w:rPr>
        <w:t>ei</w:t>
      </w:r>
      <w:r w:rsidRPr="0080251F">
        <w:rPr>
          <w:rFonts w:ascii="Times New Roman" w:hAnsi="Times New Roman" w:cs="Times New Roman"/>
          <w:sz w:val="24"/>
          <w:szCs w:val="24"/>
          <w:lang w:val="ro-MD"/>
        </w:rPr>
        <w:t xml:space="preserve"> rețelelor electrice, care </w:t>
      </w:r>
      <w:r w:rsidR="00A5272D" w:rsidRPr="0080251F">
        <w:rPr>
          <w:rFonts w:ascii="Times New Roman" w:hAnsi="Times New Roman" w:cs="Times New Roman"/>
          <w:sz w:val="24"/>
          <w:szCs w:val="24"/>
          <w:lang w:val="ro-MD"/>
        </w:rPr>
        <w:t>s-</w:t>
      </w:r>
      <w:r w:rsidRPr="0080251F">
        <w:rPr>
          <w:rFonts w:ascii="Times New Roman" w:hAnsi="Times New Roman" w:cs="Times New Roman"/>
          <w:sz w:val="24"/>
          <w:szCs w:val="24"/>
          <w:lang w:val="ro-MD"/>
        </w:rPr>
        <w:t xml:space="preserve">au construit la începutul anilor 70 </w:t>
      </w:r>
      <w:r w:rsidR="00A5272D" w:rsidRPr="0080251F">
        <w:rPr>
          <w:rFonts w:ascii="Times New Roman" w:hAnsi="Times New Roman" w:cs="Times New Roman"/>
          <w:sz w:val="24"/>
          <w:szCs w:val="24"/>
          <w:lang w:val="ro-MD"/>
        </w:rPr>
        <w:t>ai</w:t>
      </w:r>
      <w:r w:rsidRPr="0080251F">
        <w:rPr>
          <w:rFonts w:ascii="Times New Roman" w:hAnsi="Times New Roman" w:cs="Times New Roman"/>
          <w:sz w:val="24"/>
          <w:szCs w:val="24"/>
          <w:lang w:val="ro-MD"/>
        </w:rPr>
        <w:t xml:space="preserve"> secolul</w:t>
      </w:r>
      <w:r w:rsidR="00A5272D" w:rsidRPr="0080251F">
        <w:rPr>
          <w:rFonts w:ascii="Times New Roman" w:hAnsi="Times New Roman" w:cs="Times New Roman"/>
          <w:sz w:val="24"/>
          <w:szCs w:val="24"/>
          <w:lang w:val="ro-MD"/>
        </w:rPr>
        <w:t>ui</w:t>
      </w:r>
      <w:r w:rsidRPr="0080251F">
        <w:rPr>
          <w:rFonts w:ascii="Times New Roman" w:hAnsi="Times New Roman" w:cs="Times New Roman"/>
          <w:sz w:val="24"/>
          <w:szCs w:val="24"/>
          <w:lang w:val="ro-MD"/>
        </w:rPr>
        <w:t xml:space="preserve"> trecut și au avut un grad de uzur</w:t>
      </w:r>
      <w:r w:rsidR="00A5272D" w:rsidRPr="0080251F">
        <w:rPr>
          <w:rFonts w:ascii="Times New Roman" w:hAnsi="Times New Roman" w:cs="Times New Roman"/>
          <w:sz w:val="24"/>
          <w:szCs w:val="24"/>
          <w:lang w:val="ro-MD"/>
        </w:rPr>
        <w:t>ă</w:t>
      </w:r>
      <w:r w:rsidRPr="0080251F">
        <w:rPr>
          <w:rFonts w:ascii="Times New Roman" w:hAnsi="Times New Roman" w:cs="Times New Roman"/>
          <w:sz w:val="24"/>
          <w:szCs w:val="24"/>
          <w:lang w:val="ro-MD"/>
        </w:rPr>
        <w:t xml:space="preserve"> avansată. Din suma totală a investițiilor planificate pentru anul 2021 (</w:t>
      </w:r>
      <w:r w:rsidR="000A6901" w:rsidRPr="0080251F">
        <w:rPr>
          <w:rFonts w:ascii="Times New Roman" w:hAnsi="Times New Roman" w:cs="Times New Roman"/>
          <w:sz w:val="24"/>
          <w:szCs w:val="24"/>
          <w:lang w:val="ro-MD"/>
        </w:rPr>
        <w:t>297,1 mil. lei),</w:t>
      </w:r>
      <w:r w:rsidRPr="0080251F">
        <w:rPr>
          <w:rFonts w:ascii="Times New Roman" w:hAnsi="Times New Roman" w:cs="Times New Roman"/>
          <w:sz w:val="24"/>
          <w:szCs w:val="24"/>
          <w:lang w:val="ro-MD"/>
        </w:rPr>
        <w:t xml:space="preserve"> 171,7 mil. lei (sau 58</w:t>
      </w:r>
      <w:r w:rsidR="005276E4" w:rsidRPr="0080251F">
        <w:rPr>
          <w:rFonts w:ascii="Times New Roman" w:hAnsi="Times New Roman" w:cs="Times New Roman"/>
          <w:sz w:val="24"/>
          <w:szCs w:val="24"/>
          <w:lang w:val="ro-MD"/>
        </w:rPr>
        <w:t>,0</w:t>
      </w:r>
      <w:r w:rsidR="000A6901" w:rsidRPr="0080251F">
        <w:rPr>
          <w:rFonts w:ascii="Times New Roman" w:hAnsi="Times New Roman" w:cs="Times New Roman"/>
          <w:sz w:val="24"/>
          <w:szCs w:val="24"/>
          <w:lang w:val="ro-MD"/>
        </w:rPr>
        <w:t>%) au fost preconizate</w:t>
      </w:r>
      <w:r w:rsidRPr="0080251F">
        <w:rPr>
          <w:rFonts w:ascii="Times New Roman" w:hAnsi="Times New Roman" w:cs="Times New Roman"/>
          <w:sz w:val="24"/>
          <w:szCs w:val="24"/>
          <w:lang w:val="ro-MD"/>
        </w:rPr>
        <w:t xml:space="preserve"> pentru reconstrucția/renovarea a 647,47</w:t>
      </w:r>
      <w:r w:rsidR="000A6901" w:rsidRPr="0080251F">
        <w:rPr>
          <w:rFonts w:ascii="Times New Roman" w:hAnsi="Times New Roman" w:cs="Times New Roman"/>
          <w:sz w:val="24"/>
          <w:szCs w:val="24"/>
          <w:lang w:val="ro-MD"/>
        </w:rPr>
        <w:t xml:space="preserve"> km de linii electrice, </w:t>
      </w:r>
      <w:r w:rsidRPr="0080251F">
        <w:rPr>
          <w:rFonts w:ascii="Times New Roman" w:hAnsi="Times New Roman" w:cs="Times New Roman"/>
          <w:sz w:val="24"/>
          <w:szCs w:val="24"/>
          <w:lang w:val="ro-MD"/>
        </w:rPr>
        <w:t>1,5 mil. lei (sau 0,5%)</w:t>
      </w:r>
      <w:r w:rsidR="000A6901"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 xml:space="preserve"> pentru construcția a 5,51 km de rețele electrice noi (extindere),</w:t>
      </w:r>
      <w:r w:rsidR="000A6901" w:rsidRPr="0080251F">
        <w:rPr>
          <w:rFonts w:ascii="Times New Roman" w:hAnsi="Times New Roman" w:cs="Times New Roman"/>
          <w:sz w:val="24"/>
          <w:szCs w:val="24"/>
          <w:lang w:val="ro-MD"/>
        </w:rPr>
        <w:t xml:space="preserve"> 28,1 mil. lei (sau 9,5%) -</w:t>
      </w:r>
      <w:r w:rsidRPr="0080251F">
        <w:rPr>
          <w:rFonts w:ascii="Times New Roman" w:hAnsi="Times New Roman" w:cs="Times New Roman"/>
          <w:sz w:val="24"/>
          <w:szCs w:val="24"/>
          <w:lang w:val="ro-MD"/>
        </w:rPr>
        <w:t xml:space="preserve"> pentru reconstrucția </w:t>
      </w:r>
      <w:r w:rsidR="000A6901" w:rsidRPr="0080251F">
        <w:rPr>
          <w:rFonts w:ascii="Times New Roman" w:hAnsi="Times New Roman" w:cs="Times New Roman"/>
          <w:sz w:val="24"/>
          <w:szCs w:val="24"/>
          <w:lang w:val="ro-MD"/>
        </w:rPr>
        <w:t>branșamentelor (</w:t>
      </w:r>
      <w:r w:rsidRPr="0080251F">
        <w:rPr>
          <w:rFonts w:ascii="Times New Roman" w:hAnsi="Times New Roman" w:cs="Times New Roman"/>
          <w:sz w:val="24"/>
          <w:szCs w:val="24"/>
          <w:lang w:val="ro-MD"/>
        </w:rPr>
        <w:t>18.326 unități</w:t>
      </w:r>
      <w:r w:rsidR="000A6901" w:rsidRPr="0080251F">
        <w:rPr>
          <w:rFonts w:ascii="Times New Roman" w:hAnsi="Times New Roman" w:cs="Times New Roman"/>
          <w:sz w:val="24"/>
          <w:szCs w:val="24"/>
          <w:lang w:val="ro-MD"/>
        </w:rPr>
        <w:t>), 73,4 mil. lei (sau 24,5%))</w:t>
      </w:r>
      <w:r w:rsidRPr="0080251F">
        <w:rPr>
          <w:rFonts w:ascii="Times New Roman" w:hAnsi="Times New Roman" w:cs="Times New Roman"/>
          <w:sz w:val="24"/>
          <w:szCs w:val="24"/>
          <w:lang w:val="ro-MD"/>
        </w:rPr>
        <w:t xml:space="preserve"> </w:t>
      </w:r>
      <w:r w:rsidR="000A6901"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investiții în utilaj 10 – 0,4 kV și sistem de evidență</w:t>
      </w:r>
      <w:r w:rsidR="00A5272D"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22,4 mil. lei (sau 7,5%) </w:t>
      </w:r>
      <w:r w:rsidR="000A6901"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alte investiții (transport, mecanisme, clădiri și construcții, tehnic</w:t>
      </w:r>
      <w:r w:rsidR="00A5272D" w:rsidRPr="0080251F">
        <w:rPr>
          <w:rFonts w:ascii="Times New Roman" w:hAnsi="Times New Roman" w:cs="Times New Roman"/>
          <w:sz w:val="24"/>
          <w:szCs w:val="24"/>
          <w:lang w:val="ro-MD"/>
        </w:rPr>
        <w:t>ă</w:t>
      </w:r>
      <w:r w:rsidRPr="0080251F">
        <w:rPr>
          <w:rFonts w:ascii="Times New Roman" w:hAnsi="Times New Roman" w:cs="Times New Roman"/>
          <w:sz w:val="24"/>
          <w:szCs w:val="24"/>
          <w:lang w:val="ro-MD"/>
        </w:rPr>
        <w:t xml:space="preserve"> de calcul și tele-radio comunicații, imobilizări necorporale). Din suma totală a investițiilor planificate pentru anul 2022 (</w:t>
      </w:r>
      <w:r w:rsidR="005276E4" w:rsidRPr="0080251F">
        <w:rPr>
          <w:rFonts w:ascii="Times New Roman" w:hAnsi="Times New Roman" w:cs="Times New Roman"/>
          <w:sz w:val="24"/>
          <w:szCs w:val="24"/>
          <w:lang w:val="ro-MD"/>
        </w:rPr>
        <w:t>204,3 mil. lei), 141,9</w:t>
      </w:r>
      <w:r w:rsidRPr="0080251F">
        <w:rPr>
          <w:rFonts w:ascii="Times New Roman" w:hAnsi="Times New Roman" w:cs="Times New Roman"/>
          <w:sz w:val="24"/>
          <w:szCs w:val="24"/>
          <w:lang w:val="ro-MD"/>
        </w:rPr>
        <w:t xml:space="preserve"> mil. lei (sau 69</w:t>
      </w:r>
      <w:r w:rsidR="005276E4" w:rsidRPr="0080251F">
        <w:rPr>
          <w:rFonts w:ascii="Times New Roman" w:hAnsi="Times New Roman" w:cs="Times New Roman"/>
          <w:sz w:val="24"/>
          <w:szCs w:val="24"/>
          <w:lang w:val="ro-MD"/>
        </w:rPr>
        <w:t>,0</w:t>
      </w:r>
      <w:r w:rsidRPr="0080251F">
        <w:rPr>
          <w:rFonts w:ascii="Times New Roman" w:hAnsi="Times New Roman" w:cs="Times New Roman"/>
          <w:sz w:val="24"/>
          <w:szCs w:val="24"/>
          <w:lang w:val="ro-MD"/>
        </w:rPr>
        <w:t xml:space="preserve">%) au fost preconizate pentru </w:t>
      </w:r>
      <w:r w:rsidR="005276E4" w:rsidRPr="0080251F">
        <w:rPr>
          <w:rFonts w:ascii="Times New Roman" w:hAnsi="Times New Roman" w:cs="Times New Roman"/>
          <w:sz w:val="24"/>
          <w:szCs w:val="24"/>
          <w:lang w:val="ro-MD"/>
        </w:rPr>
        <w:t>reconstrucția</w:t>
      </w:r>
      <w:r w:rsidRPr="0080251F">
        <w:rPr>
          <w:rFonts w:ascii="Times New Roman" w:hAnsi="Times New Roman" w:cs="Times New Roman"/>
          <w:sz w:val="24"/>
          <w:szCs w:val="24"/>
          <w:lang w:val="ro-MD"/>
        </w:rPr>
        <w:t xml:space="preserve">/renovarea </w:t>
      </w:r>
      <w:r w:rsidR="00A5272D" w:rsidRPr="0080251F">
        <w:rPr>
          <w:rFonts w:ascii="Times New Roman" w:hAnsi="Times New Roman" w:cs="Times New Roman"/>
          <w:sz w:val="24"/>
          <w:szCs w:val="24"/>
          <w:lang w:val="ro-MD"/>
        </w:rPr>
        <w:t xml:space="preserve">a </w:t>
      </w:r>
      <w:r w:rsidRPr="0080251F">
        <w:rPr>
          <w:rFonts w:ascii="Times New Roman" w:hAnsi="Times New Roman" w:cs="Times New Roman"/>
          <w:sz w:val="24"/>
          <w:szCs w:val="24"/>
          <w:lang w:val="ro-MD"/>
        </w:rPr>
        <w:t xml:space="preserve">415,6 km de linii electrice, </w:t>
      </w:r>
      <w:r w:rsidR="000A6901" w:rsidRPr="0080251F">
        <w:rPr>
          <w:rFonts w:ascii="Times New Roman" w:hAnsi="Times New Roman" w:cs="Times New Roman"/>
          <w:sz w:val="24"/>
          <w:szCs w:val="24"/>
          <w:lang w:val="ro-MD"/>
        </w:rPr>
        <w:t xml:space="preserve">13,4 mil. lei (sau 7,0%) - </w:t>
      </w:r>
      <w:r w:rsidRPr="0080251F">
        <w:rPr>
          <w:rFonts w:ascii="Times New Roman" w:hAnsi="Times New Roman" w:cs="Times New Roman"/>
          <w:sz w:val="24"/>
          <w:szCs w:val="24"/>
          <w:lang w:val="ro-MD"/>
        </w:rPr>
        <w:t xml:space="preserve">pentru reconstrucția branșamentelor </w:t>
      </w:r>
      <w:r w:rsidR="000A6901"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8</w:t>
      </w:r>
      <w:r w:rsidR="005276E4" w:rsidRPr="0080251F">
        <w:rPr>
          <w:rFonts w:ascii="Times New Roman" w:hAnsi="Times New Roman" w:cs="Times New Roman"/>
          <w:sz w:val="24"/>
          <w:szCs w:val="24"/>
          <w:lang w:val="ro-MD"/>
        </w:rPr>
        <w:t>.737 unități</w:t>
      </w:r>
      <w:r w:rsidR="000A6901"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w:t>
      </w:r>
      <w:r w:rsidR="000A6901" w:rsidRPr="0080251F">
        <w:rPr>
          <w:rFonts w:ascii="Times New Roman" w:hAnsi="Times New Roman" w:cs="Times New Roman"/>
          <w:sz w:val="24"/>
          <w:szCs w:val="24"/>
          <w:lang w:val="ro-MD"/>
        </w:rPr>
        <w:t>37,6 mil. lei (sau 19,0%) -</w:t>
      </w:r>
      <w:r w:rsidRPr="0080251F">
        <w:rPr>
          <w:rFonts w:ascii="Times New Roman" w:hAnsi="Times New Roman" w:cs="Times New Roman"/>
          <w:sz w:val="24"/>
          <w:szCs w:val="24"/>
          <w:lang w:val="ro-MD"/>
        </w:rPr>
        <w:t xml:space="preserve"> investiții în utilaj 10 – 0,4 kV și sistem de evidență</w:t>
      </w:r>
      <w:r w:rsidR="00A5272D"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și 11,4 mil. lei (sau 5</w:t>
      </w:r>
      <w:r w:rsidR="005276E4" w:rsidRPr="0080251F">
        <w:rPr>
          <w:rFonts w:ascii="Times New Roman" w:hAnsi="Times New Roman" w:cs="Times New Roman"/>
          <w:sz w:val="24"/>
          <w:szCs w:val="24"/>
          <w:lang w:val="ro-MD"/>
        </w:rPr>
        <w:t>,0</w:t>
      </w:r>
      <w:r w:rsidRPr="0080251F">
        <w:rPr>
          <w:rFonts w:ascii="Times New Roman" w:hAnsi="Times New Roman" w:cs="Times New Roman"/>
          <w:sz w:val="24"/>
          <w:szCs w:val="24"/>
          <w:lang w:val="ro-MD"/>
        </w:rPr>
        <w:t>%)</w:t>
      </w:r>
      <w:r w:rsidR="000A6901" w:rsidRPr="0080251F">
        <w:rPr>
          <w:rFonts w:ascii="Times New Roman" w:hAnsi="Times New Roman" w:cs="Times New Roman"/>
          <w:sz w:val="24"/>
          <w:szCs w:val="24"/>
          <w:lang w:val="ro-MD"/>
        </w:rPr>
        <w:t xml:space="preserve"> - </w:t>
      </w:r>
      <w:r w:rsidRPr="0080251F">
        <w:rPr>
          <w:rFonts w:ascii="Times New Roman" w:hAnsi="Times New Roman" w:cs="Times New Roman"/>
          <w:sz w:val="24"/>
          <w:szCs w:val="24"/>
          <w:lang w:val="ro-MD"/>
        </w:rPr>
        <w:t>alte investiții (transport, mecanisme, clădiri și construcții, tehnic</w:t>
      </w:r>
      <w:r w:rsidR="00A5272D" w:rsidRPr="0080251F">
        <w:rPr>
          <w:rFonts w:ascii="Times New Roman" w:hAnsi="Times New Roman" w:cs="Times New Roman"/>
          <w:sz w:val="24"/>
          <w:szCs w:val="24"/>
          <w:lang w:val="ro-MD"/>
        </w:rPr>
        <w:t>ă</w:t>
      </w:r>
      <w:r w:rsidRPr="0080251F">
        <w:rPr>
          <w:rFonts w:ascii="Times New Roman" w:hAnsi="Times New Roman" w:cs="Times New Roman"/>
          <w:sz w:val="24"/>
          <w:szCs w:val="24"/>
          <w:lang w:val="ro-MD"/>
        </w:rPr>
        <w:t xml:space="preserve"> de calcul și tele-radio comunicații, imobilizări necorporale).  </w:t>
      </w:r>
    </w:p>
    <w:p w14:paraId="154FC5EA" w14:textId="2273BE55" w:rsidR="003C5C43" w:rsidRPr="0080251F" w:rsidRDefault="003C5C43" w:rsidP="0070406F">
      <w:pPr>
        <w:tabs>
          <w:tab w:val="left" w:pos="567"/>
          <w:tab w:val="left" w:pos="709"/>
        </w:tabs>
        <w:spacing w:after="0" w:line="276" w:lineRule="auto"/>
        <w:ind w:firstLine="709"/>
        <w:jc w:val="both"/>
        <w:rPr>
          <w:rFonts w:ascii="Times New Roman" w:hAnsi="Times New Roman" w:cs="Times New Roman"/>
          <w:color w:val="000000" w:themeColor="text1"/>
          <w:sz w:val="24"/>
          <w:lang w:val="ro-MD"/>
        </w:rPr>
      </w:pPr>
      <w:r w:rsidRPr="0080251F">
        <w:rPr>
          <w:rFonts w:ascii="Times New Roman" w:hAnsi="Times New Roman" w:cs="Times New Roman"/>
          <w:bCs/>
          <w:color w:val="000000" w:themeColor="text1"/>
          <w:sz w:val="24"/>
          <w:lang w:val="ro-MD"/>
        </w:rPr>
        <w:t>Pentru anul 2021, ANRE a aprobat planul de investiții în sumă de 297,1 mil. lei</w:t>
      </w:r>
      <w:r w:rsidRPr="0080251F">
        <w:rPr>
          <w:rFonts w:ascii="Times New Roman" w:hAnsi="Times New Roman" w:cs="Times New Roman"/>
          <w:bCs/>
          <w:color w:val="000000" w:themeColor="text1"/>
          <w:sz w:val="24"/>
          <w:vertAlign w:val="superscript"/>
          <w:lang w:val="ro-MD"/>
        </w:rPr>
        <w:footnoteReference w:id="123"/>
      </w:r>
      <w:r w:rsidRPr="0080251F">
        <w:rPr>
          <w:rFonts w:ascii="Times New Roman" w:hAnsi="Times New Roman" w:cs="Times New Roman"/>
          <w:bCs/>
          <w:color w:val="000000" w:themeColor="text1"/>
          <w:sz w:val="24"/>
          <w:lang w:val="ro-MD"/>
        </w:rPr>
        <w:t xml:space="preserve">, </w:t>
      </w:r>
      <w:r w:rsidR="00A5272D" w:rsidRPr="0080251F">
        <w:rPr>
          <w:rFonts w:ascii="Times New Roman" w:hAnsi="Times New Roman" w:cs="Times New Roman"/>
          <w:bCs/>
          <w:color w:val="000000" w:themeColor="text1"/>
          <w:sz w:val="24"/>
          <w:lang w:val="ro-MD"/>
        </w:rPr>
        <w:t xml:space="preserve">acesta </w:t>
      </w:r>
      <w:r w:rsidRPr="0080251F">
        <w:rPr>
          <w:rFonts w:ascii="Times New Roman" w:hAnsi="Times New Roman" w:cs="Times New Roman"/>
          <w:bCs/>
          <w:color w:val="000000" w:themeColor="text1"/>
          <w:sz w:val="24"/>
          <w:lang w:val="ro-MD"/>
        </w:rPr>
        <w:t>fiind executat de către S.A. „RED-Nord” la nivel de 273,9 mil. lei (sau 92,2%)</w:t>
      </w:r>
      <w:r w:rsidRPr="0080251F">
        <w:rPr>
          <w:rFonts w:ascii="Times New Roman" w:hAnsi="Times New Roman" w:cs="Times New Roman"/>
          <w:bCs/>
          <w:color w:val="000000" w:themeColor="text1"/>
          <w:sz w:val="24"/>
          <w:vertAlign w:val="superscript"/>
          <w:lang w:val="ro-MD"/>
        </w:rPr>
        <w:footnoteReference w:id="124"/>
      </w:r>
      <w:r w:rsidRPr="0080251F">
        <w:rPr>
          <w:rFonts w:ascii="Times New Roman" w:hAnsi="Times New Roman" w:cs="Times New Roman"/>
          <w:bCs/>
          <w:color w:val="000000" w:themeColor="text1"/>
          <w:sz w:val="24"/>
          <w:lang w:val="ro-MD"/>
        </w:rPr>
        <w:t>. Investițiile nevalorificate au constituit suma de 23,2 mil. lei (sau 7,8%), fapt</w:t>
      </w:r>
      <w:r w:rsidR="00471275" w:rsidRPr="0080251F">
        <w:rPr>
          <w:rFonts w:ascii="Times New Roman" w:hAnsi="Times New Roman" w:cs="Times New Roman"/>
          <w:bCs/>
          <w:color w:val="000000" w:themeColor="text1"/>
          <w:sz w:val="24"/>
          <w:lang w:val="ro-MD"/>
        </w:rPr>
        <w:t xml:space="preserve"> </w:t>
      </w:r>
      <w:r w:rsidRPr="0080251F">
        <w:rPr>
          <w:rFonts w:ascii="Times New Roman" w:hAnsi="Times New Roman" w:cs="Times New Roman"/>
          <w:bCs/>
          <w:color w:val="000000" w:themeColor="text1"/>
          <w:sz w:val="24"/>
          <w:lang w:val="ro-MD"/>
        </w:rPr>
        <w:t xml:space="preserve">determinat de următorii factori: existența proiectelor neexecutate – 13,9 mil. lei; formarea economiilor de la achiziția </w:t>
      </w:r>
      <w:r w:rsidR="002B7271" w:rsidRPr="0080251F">
        <w:rPr>
          <w:rFonts w:ascii="Times New Roman" w:hAnsi="Times New Roman" w:cs="Times New Roman"/>
          <w:bCs/>
          <w:color w:val="000000" w:themeColor="text1"/>
          <w:sz w:val="24"/>
          <w:lang w:val="ro-MD"/>
        </w:rPr>
        <w:t>materialelor și lucrărilor – 9,3</w:t>
      </w:r>
      <w:r w:rsidRPr="0080251F">
        <w:rPr>
          <w:rFonts w:ascii="Times New Roman" w:hAnsi="Times New Roman" w:cs="Times New Roman"/>
          <w:bCs/>
          <w:color w:val="000000" w:themeColor="text1"/>
          <w:sz w:val="24"/>
          <w:lang w:val="ro-MD"/>
        </w:rPr>
        <w:t xml:space="preserve"> mil. lei. Investițiile neexecutate în anul 2021 au fost incluse în planul de investiții pentru anul următor doar la valoarea de 7,3 mil. lei. Costul rămas al proiectelor de investiții neexecutate (6,6 mil. lei) nu a fost inclus în planul anual de investiții pentru anul următor, deoarece s-au modificat soluțiile constructiv-tehnice (înlocuirea unor materiale cu alte</w:t>
      </w:r>
      <w:r w:rsidR="00471275" w:rsidRPr="0080251F">
        <w:rPr>
          <w:rFonts w:ascii="Times New Roman" w:hAnsi="Times New Roman" w:cs="Times New Roman"/>
          <w:bCs/>
          <w:color w:val="000000" w:themeColor="text1"/>
          <w:sz w:val="24"/>
          <w:lang w:val="ro-MD"/>
        </w:rPr>
        <w:t>le</w:t>
      </w:r>
      <w:r w:rsidRPr="0080251F">
        <w:rPr>
          <w:rFonts w:ascii="Times New Roman" w:hAnsi="Times New Roman" w:cs="Times New Roman"/>
          <w:bCs/>
          <w:color w:val="000000" w:themeColor="text1"/>
          <w:sz w:val="24"/>
          <w:lang w:val="ro-MD"/>
        </w:rPr>
        <w:t xml:space="preserve"> analogice).</w:t>
      </w:r>
    </w:p>
    <w:p w14:paraId="1355884E" w14:textId="47D9A57C" w:rsidR="002D1BAE" w:rsidRPr="0080251F" w:rsidRDefault="003C5C43" w:rsidP="00C64009">
      <w:pPr>
        <w:tabs>
          <w:tab w:val="left" w:pos="567"/>
        </w:tabs>
        <w:spacing w:after="0" w:line="276" w:lineRule="auto"/>
        <w:ind w:firstLine="709"/>
        <w:jc w:val="both"/>
        <w:rPr>
          <w:rFonts w:ascii="Times New Roman" w:hAnsi="Times New Roman" w:cs="Times New Roman"/>
          <w:bCs/>
          <w:sz w:val="24"/>
          <w:lang w:val="ro-MD"/>
        </w:rPr>
      </w:pPr>
      <w:r w:rsidRPr="0080251F">
        <w:rPr>
          <w:rFonts w:ascii="Times New Roman" w:hAnsi="Times New Roman" w:cs="Times New Roman"/>
          <w:bCs/>
          <w:sz w:val="24"/>
          <w:lang w:val="ro-MD"/>
        </w:rPr>
        <w:t xml:space="preserve">Prin HANRE nr.789 din 12.10.2022, în scopul recuperării prin tarif, s-au acceptat investițiile executate în valoare de 270,4 mil. lei (sau 98,7%), nefiind acceptate unele investiții în sumă de </w:t>
      </w:r>
      <w:r w:rsidRPr="0080251F">
        <w:rPr>
          <w:rFonts w:ascii="Times New Roman" w:hAnsi="Times New Roman" w:cs="Times New Roman"/>
          <w:b/>
          <w:bCs/>
          <w:sz w:val="24"/>
          <w:lang w:val="ro-MD"/>
        </w:rPr>
        <w:t>3</w:t>
      </w:r>
      <w:r w:rsidR="002B7271" w:rsidRPr="0080251F">
        <w:rPr>
          <w:rFonts w:ascii="Times New Roman" w:hAnsi="Times New Roman" w:cs="Times New Roman"/>
          <w:b/>
          <w:bCs/>
          <w:sz w:val="24"/>
          <w:lang w:val="ro-MD"/>
        </w:rPr>
        <w:t>,5 mil.</w:t>
      </w:r>
      <w:r w:rsidRPr="0080251F">
        <w:rPr>
          <w:rFonts w:ascii="Times New Roman" w:hAnsi="Times New Roman" w:cs="Times New Roman"/>
          <w:b/>
          <w:bCs/>
          <w:sz w:val="24"/>
          <w:lang w:val="ro-MD"/>
        </w:rPr>
        <w:t xml:space="preserve"> lei</w:t>
      </w:r>
      <w:r w:rsidRPr="0080251F">
        <w:rPr>
          <w:rFonts w:ascii="Times New Roman" w:hAnsi="Times New Roman" w:cs="Times New Roman"/>
          <w:bCs/>
          <w:sz w:val="24"/>
          <w:lang w:val="ro-MD"/>
        </w:rPr>
        <w:t xml:space="preserve"> (sau 1,3%), argument</w:t>
      </w:r>
      <w:r w:rsidR="0022401E" w:rsidRPr="0080251F">
        <w:rPr>
          <w:rFonts w:ascii="Times New Roman" w:hAnsi="Times New Roman" w:cs="Times New Roman"/>
          <w:bCs/>
          <w:sz w:val="24"/>
          <w:lang w:val="ro-MD"/>
        </w:rPr>
        <w:t>ându-se cu</w:t>
      </w:r>
      <w:r w:rsidRPr="0080251F">
        <w:rPr>
          <w:rFonts w:ascii="Times New Roman" w:hAnsi="Times New Roman" w:cs="Times New Roman"/>
          <w:bCs/>
          <w:sz w:val="24"/>
          <w:lang w:val="ro-MD"/>
        </w:rPr>
        <w:t xml:space="preserve"> depășirea valorii aprobate prin planul de investiții.</w:t>
      </w:r>
    </w:p>
    <w:p w14:paraId="31393E77" w14:textId="7254578B" w:rsidR="003C5C43" w:rsidRPr="0080251F" w:rsidRDefault="007C734F" w:rsidP="007C734F">
      <w:pPr>
        <w:tabs>
          <w:tab w:val="left" w:pos="851"/>
        </w:tabs>
        <w:spacing w:after="0" w:line="276" w:lineRule="auto"/>
        <w:ind w:firstLine="567"/>
        <w:contextualSpacing/>
        <w:jc w:val="right"/>
        <w:rPr>
          <w:rFonts w:ascii="Times New Roman" w:eastAsia="Calibri" w:hAnsi="Times New Roman" w:cs="Times New Roman"/>
          <w:b/>
          <w:bCs/>
          <w:sz w:val="24"/>
          <w:szCs w:val="24"/>
          <w:lang w:val="ro-MD"/>
        </w:rPr>
      </w:pPr>
      <w:r w:rsidRPr="0080251F">
        <w:rPr>
          <w:rFonts w:ascii="Times New Roman" w:eastAsia="Calibri" w:hAnsi="Times New Roman" w:cs="Times New Roman"/>
          <w:b/>
          <w:bCs/>
          <w:sz w:val="24"/>
          <w:szCs w:val="24"/>
          <w:lang w:val="ro-MD"/>
        </w:rPr>
        <w:t>Tabelul nr.10</w:t>
      </w:r>
    </w:p>
    <w:p w14:paraId="2C4BB7B5" w14:textId="406D56F8" w:rsidR="003C5C43" w:rsidRPr="0080251F" w:rsidRDefault="003C5C43" w:rsidP="009F6572">
      <w:pPr>
        <w:tabs>
          <w:tab w:val="left" w:pos="851"/>
        </w:tabs>
        <w:spacing w:after="0" w:line="276" w:lineRule="auto"/>
        <w:contextualSpacing/>
        <w:jc w:val="center"/>
        <w:rPr>
          <w:rFonts w:ascii="Times New Roman" w:eastAsia="Calibri" w:hAnsi="Times New Roman" w:cs="Times New Roman"/>
          <w:b/>
          <w:sz w:val="24"/>
          <w:szCs w:val="24"/>
          <w:u w:val="single"/>
          <w:lang w:val="ro-MD"/>
        </w:rPr>
      </w:pPr>
      <w:r w:rsidRPr="0080251F">
        <w:rPr>
          <w:rFonts w:ascii="Times New Roman" w:eastAsia="Calibri" w:hAnsi="Times New Roman" w:cs="Times New Roman"/>
          <w:b/>
          <w:sz w:val="24"/>
          <w:szCs w:val="24"/>
          <w:lang w:val="ro-MD"/>
        </w:rPr>
        <w:t>Investițiile</w:t>
      </w:r>
      <w:r w:rsidR="009F6572" w:rsidRPr="0080251F">
        <w:rPr>
          <w:rFonts w:ascii="Times New Roman" w:eastAsia="Calibri" w:hAnsi="Times New Roman" w:cs="Times New Roman"/>
          <w:b/>
          <w:sz w:val="24"/>
          <w:szCs w:val="24"/>
          <w:lang w:val="ro-MD"/>
        </w:rPr>
        <w:t xml:space="preserve"> </w:t>
      </w:r>
      <w:r w:rsidRPr="0080251F">
        <w:rPr>
          <w:rFonts w:ascii="Times New Roman" w:eastAsia="Calibri" w:hAnsi="Times New Roman" w:cs="Times New Roman"/>
          <w:b/>
          <w:sz w:val="24"/>
          <w:szCs w:val="24"/>
          <w:lang w:val="ro-MD"/>
        </w:rPr>
        <w:t>realizate de</w:t>
      </w:r>
      <w:r w:rsidR="002D1BAE" w:rsidRPr="0080251F">
        <w:rPr>
          <w:rFonts w:ascii="Times New Roman" w:eastAsia="Calibri" w:hAnsi="Times New Roman" w:cs="Times New Roman"/>
          <w:b/>
          <w:sz w:val="24"/>
          <w:szCs w:val="24"/>
          <w:lang w:val="ro-MD"/>
        </w:rPr>
        <w:t xml:space="preserve"> către</w:t>
      </w:r>
      <w:r w:rsidRPr="0080251F">
        <w:rPr>
          <w:rFonts w:ascii="Times New Roman" w:eastAsia="Calibri" w:hAnsi="Times New Roman" w:cs="Times New Roman"/>
          <w:b/>
          <w:sz w:val="24"/>
          <w:szCs w:val="24"/>
          <w:lang w:val="ro-MD"/>
        </w:rPr>
        <w:t xml:space="preserve"> S.A. „RED</w:t>
      </w:r>
      <w:r w:rsidR="002D1BAE" w:rsidRPr="0080251F">
        <w:rPr>
          <w:rFonts w:ascii="Times New Roman" w:eastAsia="Calibri" w:hAnsi="Times New Roman" w:cs="Times New Roman"/>
          <w:b/>
          <w:sz w:val="24"/>
          <w:szCs w:val="24"/>
          <w:lang w:val="ro-MD"/>
        </w:rPr>
        <w:t>-</w:t>
      </w:r>
      <w:r w:rsidRPr="0080251F">
        <w:rPr>
          <w:rFonts w:ascii="Times New Roman" w:eastAsia="Calibri" w:hAnsi="Times New Roman" w:cs="Times New Roman"/>
          <w:b/>
          <w:sz w:val="24"/>
          <w:szCs w:val="24"/>
          <w:lang w:val="ro-MD"/>
        </w:rPr>
        <w:t>Nord” în anul 2021 și neacceptate de ANRE în scopuri tarifare</w:t>
      </w:r>
    </w:p>
    <w:p w14:paraId="6FD35BB7" w14:textId="65023DF0" w:rsidR="003C5C43" w:rsidRPr="0080251F" w:rsidRDefault="003C5C43" w:rsidP="00122034">
      <w:pPr>
        <w:tabs>
          <w:tab w:val="left" w:pos="851"/>
        </w:tabs>
        <w:spacing w:after="0" w:line="276" w:lineRule="auto"/>
        <w:ind w:firstLine="567"/>
        <w:contextualSpacing/>
        <w:jc w:val="center"/>
        <w:rPr>
          <w:rFonts w:ascii="Times New Roman" w:eastAsia="Calibri" w:hAnsi="Times New Roman" w:cs="Times New Roman"/>
          <w:bCs/>
          <w:i/>
          <w:sz w:val="20"/>
          <w:szCs w:val="20"/>
          <w:lang w:val="ro-MD"/>
        </w:rPr>
      </w:pPr>
      <w:r w:rsidRPr="0080251F">
        <w:rPr>
          <w:rFonts w:ascii="Times New Roman" w:eastAsia="Calibri" w:hAnsi="Times New Roman" w:cs="Times New Roman"/>
          <w:bCs/>
          <w:sz w:val="20"/>
          <w:szCs w:val="20"/>
          <w:lang w:val="ro-MD"/>
        </w:rPr>
        <w:t xml:space="preserve">                                                                                                                   </w:t>
      </w:r>
      <w:r w:rsidR="00122034" w:rsidRPr="0080251F">
        <w:rPr>
          <w:rFonts w:ascii="Times New Roman" w:eastAsia="Calibri" w:hAnsi="Times New Roman" w:cs="Times New Roman"/>
          <w:bCs/>
          <w:sz w:val="20"/>
          <w:szCs w:val="20"/>
          <w:lang w:val="ro-MD"/>
        </w:rPr>
        <w:t xml:space="preserve">                               </w:t>
      </w:r>
      <w:r w:rsidRPr="0080251F">
        <w:rPr>
          <w:rFonts w:ascii="Times New Roman" w:eastAsia="Calibri" w:hAnsi="Times New Roman" w:cs="Times New Roman"/>
          <w:bCs/>
          <w:i/>
          <w:sz w:val="20"/>
          <w:szCs w:val="20"/>
          <w:lang w:val="ro-MD"/>
        </w:rPr>
        <w:t>mii lei</w:t>
      </w:r>
    </w:p>
    <w:tbl>
      <w:tblPr>
        <w:tblStyle w:val="12"/>
        <w:tblW w:w="9679" w:type="dxa"/>
        <w:tblLayout w:type="fixed"/>
        <w:tblLook w:val="04A0" w:firstRow="1" w:lastRow="0" w:firstColumn="1" w:lastColumn="0" w:noHBand="0" w:noVBand="1"/>
      </w:tblPr>
      <w:tblGrid>
        <w:gridCol w:w="519"/>
        <w:gridCol w:w="3871"/>
        <w:gridCol w:w="992"/>
        <w:gridCol w:w="992"/>
        <w:gridCol w:w="1134"/>
        <w:gridCol w:w="1134"/>
        <w:gridCol w:w="1037"/>
      </w:tblGrid>
      <w:tr w:rsidR="003C5C43" w:rsidRPr="0080251F" w14:paraId="3E9E6ECA" w14:textId="77777777" w:rsidTr="00FA6CC7">
        <w:trPr>
          <w:trHeight w:val="1309"/>
        </w:trPr>
        <w:tc>
          <w:tcPr>
            <w:tcW w:w="519" w:type="dxa"/>
            <w:textDirection w:val="btLr"/>
            <w:vAlign w:val="center"/>
          </w:tcPr>
          <w:p w14:paraId="1A7267D4" w14:textId="77777777" w:rsidR="003C5C43" w:rsidRPr="0080251F" w:rsidRDefault="003C5C43" w:rsidP="00230F14">
            <w:pPr>
              <w:tabs>
                <w:tab w:val="left" w:pos="851"/>
              </w:tabs>
              <w:spacing w:line="259" w:lineRule="auto"/>
              <w:ind w:right="113"/>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
                <w:sz w:val="20"/>
                <w:szCs w:val="20"/>
                <w:lang w:val="ro-MD"/>
              </w:rPr>
              <w:t>C a t e g o r i a</w:t>
            </w:r>
          </w:p>
        </w:tc>
        <w:tc>
          <w:tcPr>
            <w:tcW w:w="3871" w:type="dxa"/>
            <w:vAlign w:val="center"/>
          </w:tcPr>
          <w:p w14:paraId="3205FCAB"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Denumirea și caracteristicile obiectelor de investiții</w:t>
            </w:r>
          </w:p>
        </w:tc>
        <w:tc>
          <w:tcPr>
            <w:tcW w:w="992" w:type="dxa"/>
            <w:vAlign w:val="center"/>
          </w:tcPr>
          <w:p w14:paraId="2ABAFEF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 xml:space="preserve">Planul de </w:t>
            </w:r>
          </w:p>
          <w:p w14:paraId="62D52C1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 xml:space="preserve">investiții </w:t>
            </w:r>
          </w:p>
          <w:p w14:paraId="2708613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aprobat de ANRE</w:t>
            </w:r>
          </w:p>
        </w:tc>
        <w:tc>
          <w:tcPr>
            <w:tcW w:w="992" w:type="dxa"/>
            <w:vAlign w:val="center"/>
          </w:tcPr>
          <w:p w14:paraId="0785668D"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Planul de investiții</w:t>
            </w:r>
          </w:p>
          <w:p w14:paraId="23BBE938"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executat</w:t>
            </w:r>
          </w:p>
        </w:tc>
        <w:tc>
          <w:tcPr>
            <w:tcW w:w="1134" w:type="dxa"/>
            <w:vAlign w:val="center"/>
          </w:tcPr>
          <w:p w14:paraId="7AEED372" w14:textId="77777777" w:rsidR="003C5C43" w:rsidRPr="0080251F" w:rsidRDefault="003C5C43" w:rsidP="00230F14">
            <w:pPr>
              <w:spacing w:line="259" w:lineRule="auto"/>
              <w:jc w:val="center"/>
              <w:rPr>
                <w:rFonts w:ascii="Times New Roman" w:eastAsia="Calibri" w:hAnsi="Times New Roman" w:cs="Times New Roman"/>
                <w:b/>
                <w:sz w:val="20"/>
                <w:szCs w:val="20"/>
                <w:lang w:val="ro-MD"/>
              </w:rPr>
            </w:pPr>
            <w:r w:rsidRPr="0080251F">
              <w:rPr>
                <w:rFonts w:ascii="Times New Roman" w:eastAsia="Calibri" w:hAnsi="Times New Roman" w:cs="Times New Roman"/>
                <w:b/>
                <w:sz w:val="20"/>
                <w:szCs w:val="20"/>
                <w:lang w:val="ro-MD"/>
              </w:rPr>
              <w:t>Valoarea investițiilor</w:t>
            </w:r>
          </w:p>
          <w:p w14:paraId="3732AEE8" w14:textId="77777777" w:rsidR="003C5C43" w:rsidRPr="0080251F" w:rsidRDefault="003C5C43" w:rsidP="00230F14">
            <w:pPr>
              <w:spacing w:line="259" w:lineRule="auto"/>
              <w:jc w:val="center"/>
              <w:rPr>
                <w:rFonts w:ascii="Times New Roman" w:eastAsia="Calibri" w:hAnsi="Times New Roman" w:cs="Times New Roman"/>
                <w:b/>
                <w:sz w:val="20"/>
                <w:szCs w:val="20"/>
                <w:lang w:val="ro-MD"/>
              </w:rPr>
            </w:pPr>
            <w:r w:rsidRPr="0080251F">
              <w:rPr>
                <w:rFonts w:ascii="Times New Roman" w:eastAsia="Calibri" w:hAnsi="Times New Roman" w:cs="Times New Roman"/>
                <w:b/>
                <w:sz w:val="20"/>
                <w:szCs w:val="20"/>
                <w:lang w:val="ro-MD"/>
              </w:rPr>
              <w:t>acceptate</w:t>
            </w:r>
          </w:p>
          <w:p w14:paraId="2E6CC2BD" w14:textId="77777777" w:rsidR="003C5C43" w:rsidRPr="0080251F" w:rsidRDefault="003C5C43" w:rsidP="00230F14">
            <w:pPr>
              <w:spacing w:line="259" w:lineRule="auto"/>
              <w:jc w:val="center"/>
              <w:rPr>
                <w:rFonts w:ascii="Times New Roman" w:eastAsia="Calibri" w:hAnsi="Times New Roman" w:cs="Times New Roman"/>
                <w:b/>
                <w:sz w:val="20"/>
                <w:szCs w:val="20"/>
                <w:lang w:val="ro-MD"/>
              </w:rPr>
            </w:pPr>
            <w:r w:rsidRPr="0080251F">
              <w:rPr>
                <w:rFonts w:ascii="Times New Roman" w:eastAsia="Calibri" w:hAnsi="Times New Roman" w:cs="Times New Roman"/>
                <w:b/>
                <w:sz w:val="20"/>
                <w:szCs w:val="20"/>
                <w:lang w:val="ro-MD"/>
              </w:rPr>
              <w:t>de către</w:t>
            </w:r>
          </w:p>
          <w:p w14:paraId="1D7798F1" w14:textId="77777777" w:rsidR="003C5C43" w:rsidRPr="0080251F" w:rsidRDefault="003C5C43" w:rsidP="00230F14">
            <w:pPr>
              <w:spacing w:line="259" w:lineRule="auto"/>
              <w:jc w:val="center"/>
              <w:rPr>
                <w:rFonts w:ascii="Times New Roman" w:eastAsia="Calibri" w:hAnsi="Times New Roman" w:cs="Times New Roman"/>
                <w:b/>
                <w:sz w:val="20"/>
                <w:szCs w:val="20"/>
                <w:lang w:val="ro-MD"/>
              </w:rPr>
            </w:pPr>
            <w:r w:rsidRPr="0080251F">
              <w:rPr>
                <w:rFonts w:ascii="Times New Roman" w:eastAsia="Calibri" w:hAnsi="Times New Roman" w:cs="Times New Roman"/>
                <w:b/>
                <w:sz w:val="20"/>
                <w:szCs w:val="20"/>
                <w:lang w:val="ro-MD"/>
              </w:rPr>
              <w:t>ANRE</w:t>
            </w:r>
          </w:p>
        </w:tc>
        <w:tc>
          <w:tcPr>
            <w:tcW w:w="1134" w:type="dxa"/>
            <w:vAlign w:val="center"/>
          </w:tcPr>
          <w:p w14:paraId="10330595" w14:textId="77777777" w:rsidR="003C5C43" w:rsidRPr="0080251F" w:rsidRDefault="003C5C43" w:rsidP="00230F14">
            <w:pPr>
              <w:spacing w:line="259" w:lineRule="auto"/>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 xml:space="preserve">Valoarea investițiilor neacceptate de </w:t>
            </w:r>
          </w:p>
          <w:p w14:paraId="1069E92B" w14:textId="77777777" w:rsidR="003C5C43" w:rsidRPr="0080251F" w:rsidRDefault="003C5C43" w:rsidP="00230F14">
            <w:pPr>
              <w:spacing w:line="259" w:lineRule="auto"/>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ANRE</w:t>
            </w:r>
          </w:p>
        </w:tc>
        <w:tc>
          <w:tcPr>
            <w:tcW w:w="1037" w:type="dxa"/>
            <w:vAlign w:val="center"/>
          </w:tcPr>
          <w:p w14:paraId="4A22C766"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Cauza neacceptării</w:t>
            </w:r>
          </w:p>
          <w:p w14:paraId="33487769"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 xml:space="preserve">de către </w:t>
            </w:r>
          </w:p>
          <w:p w14:paraId="7E19CB6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ANRE</w:t>
            </w:r>
          </w:p>
        </w:tc>
      </w:tr>
      <w:tr w:rsidR="003C5C43" w:rsidRPr="0080251F" w14:paraId="7B617BBD" w14:textId="77777777" w:rsidTr="00FA6CC7">
        <w:tc>
          <w:tcPr>
            <w:tcW w:w="519" w:type="dxa"/>
            <w:vAlign w:val="center"/>
          </w:tcPr>
          <w:p w14:paraId="5F0D12D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A</w:t>
            </w:r>
          </w:p>
        </w:tc>
        <w:tc>
          <w:tcPr>
            <w:tcW w:w="3871" w:type="dxa"/>
            <w:vAlign w:val="center"/>
          </w:tcPr>
          <w:p w14:paraId="13980185"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 xml:space="preserve">Investiții în construcții de noi rețele și noi capacități de producere </w:t>
            </w:r>
          </w:p>
        </w:tc>
        <w:tc>
          <w:tcPr>
            <w:tcW w:w="992" w:type="dxa"/>
            <w:vAlign w:val="center"/>
          </w:tcPr>
          <w:p w14:paraId="497F0F2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4112,5</w:t>
            </w:r>
          </w:p>
        </w:tc>
        <w:tc>
          <w:tcPr>
            <w:tcW w:w="992" w:type="dxa"/>
            <w:vAlign w:val="center"/>
          </w:tcPr>
          <w:p w14:paraId="2A74273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2960,2</w:t>
            </w:r>
          </w:p>
        </w:tc>
        <w:tc>
          <w:tcPr>
            <w:tcW w:w="1134" w:type="dxa"/>
            <w:vAlign w:val="center"/>
          </w:tcPr>
          <w:p w14:paraId="4511A56D"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2927,5</w:t>
            </w:r>
          </w:p>
        </w:tc>
        <w:tc>
          <w:tcPr>
            <w:tcW w:w="1134" w:type="dxa"/>
            <w:vAlign w:val="center"/>
          </w:tcPr>
          <w:p w14:paraId="510419C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32,7</w:t>
            </w:r>
          </w:p>
        </w:tc>
        <w:tc>
          <w:tcPr>
            <w:tcW w:w="1037" w:type="dxa"/>
            <w:vMerge w:val="restart"/>
            <w:vAlign w:val="center"/>
          </w:tcPr>
          <w:p w14:paraId="255D65D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Depășirea valorii aprobate:</w:t>
            </w:r>
          </w:p>
          <w:p w14:paraId="0B19E48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3492,5</w:t>
            </w:r>
          </w:p>
        </w:tc>
      </w:tr>
      <w:tr w:rsidR="003C5C43" w:rsidRPr="0080251F" w14:paraId="1C76CEC3" w14:textId="77777777" w:rsidTr="00FA6CC7">
        <w:tc>
          <w:tcPr>
            <w:tcW w:w="519" w:type="dxa"/>
            <w:vAlign w:val="center"/>
          </w:tcPr>
          <w:p w14:paraId="65D4FA4B"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B</w:t>
            </w:r>
          </w:p>
        </w:tc>
        <w:tc>
          <w:tcPr>
            <w:tcW w:w="3871" w:type="dxa"/>
            <w:vAlign w:val="center"/>
          </w:tcPr>
          <w:p w14:paraId="3692FA2B"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rețele și capacități de producere existente</w:t>
            </w:r>
          </w:p>
        </w:tc>
        <w:tc>
          <w:tcPr>
            <w:tcW w:w="992" w:type="dxa"/>
            <w:vAlign w:val="center"/>
          </w:tcPr>
          <w:p w14:paraId="3F94252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259772,5</w:t>
            </w:r>
          </w:p>
        </w:tc>
        <w:tc>
          <w:tcPr>
            <w:tcW w:w="992" w:type="dxa"/>
            <w:vAlign w:val="center"/>
          </w:tcPr>
          <w:p w14:paraId="31631C38"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251201,6</w:t>
            </w:r>
          </w:p>
        </w:tc>
        <w:tc>
          <w:tcPr>
            <w:tcW w:w="1134" w:type="dxa"/>
            <w:vAlign w:val="center"/>
          </w:tcPr>
          <w:p w14:paraId="423E674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247923,5</w:t>
            </w:r>
          </w:p>
        </w:tc>
        <w:tc>
          <w:tcPr>
            <w:tcW w:w="1134" w:type="dxa"/>
            <w:vAlign w:val="center"/>
          </w:tcPr>
          <w:p w14:paraId="6F0C43C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3278,0</w:t>
            </w:r>
          </w:p>
        </w:tc>
        <w:tc>
          <w:tcPr>
            <w:tcW w:w="1037" w:type="dxa"/>
            <w:vMerge/>
            <w:vAlign w:val="center"/>
          </w:tcPr>
          <w:p w14:paraId="44917D0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p>
        </w:tc>
      </w:tr>
      <w:tr w:rsidR="003C5C43" w:rsidRPr="0080251F" w14:paraId="6765615D" w14:textId="77777777" w:rsidTr="00FA6CC7">
        <w:tc>
          <w:tcPr>
            <w:tcW w:w="519" w:type="dxa"/>
            <w:vAlign w:val="center"/>
          </w:tcPr>
          <w:p w14:paraId="14E6D86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C</w:t>
            </w:r>
          </w:p>
        </w:tc>
        <w:tc>
          <w:tcPr>
            <w:tcW w:w="3871" w:type="dxa"/>
            <w:vAlign w:val="center"/>
          </w:tcPr>
          <w:p w14:paraId="770968F2"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mijloace de transport, mașini, mecanisme, utilaje mecanice</w:t>
            </w:r>
          </w:p>
        </w:tc>
        <w:tc>
          <w:tcPr>
            <w:tcW w:w="992" w:type="dxa"/>
            <w:vAlign w:val="center"/>
          </w:tcPr>
          <w:p w14:paraId="3F0BF138"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7815,1</w:t>
            </w:r>
          </w:p>
        </w:tc>
        <w:tc>
          <w:tcPr>
            <w:tcW w:w="992" w:type="dxa"/>
            <w:vAlign w:val="center"/>
          </w:tcPr>
          <w:p w14:paraId="4831BB0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4708,2</w:t>
            </w:r>
          </w:p>
        </w:tc>
        <w:tc>
          <w:tcPr>
            <w:tcW w:w="1134" w:type="dxa"/>
            <w:vAlign w:val="center"/>
          </w:tcPr>
          <w:p w14:paraId="36DFB7A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4705,1</w:t>
            </w:r>
          </w:p>
        </w:tc>
        <w:tc>
          <w:tcPr>
            <w:tcW w:w="1134" w:type="dxa"/>
            <w:vAlign w:val="center"/>
          </w:tcPr>
          <w:p w14:paraId="3F966F65"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3,1</w:t>
            </w:r>
          </w:p>
        </w:tc>
        <w:tc>
          <w:tcPr>
            <w:tcW w:w="1037" w:type="dxa"/>
            <w:vMerge/>
            <w:vAlign w:val="center"/>
          </w:tcPr>
          <w:p w14:paraId="093C3FB9"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p>
        </w:tc>
      </w:tr>
      <w:tr w:rsidR="003C5C43" w:rsidRPr="0080251F" w14:paraId="4DC4B1F9" w14:textId="77777777" w:rsidTr="00FA6CC7">
        <w:tc>
          <w:tcPr>
            <w:tcW w:w="519" w:type="dxa"/>
            <w:vAlign w:val="center"/>
          </w:tcPr>
          <w:p w14:paraId="37551FB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D</w:t>
            </w:r>
          </w:p>
        </w:tc>
        <w:tc>
          <w:tcPr>
            <w:tcW w:w="3871" w:type="dxa"/>
            <w:vAlign w:val="center"/>
          </w:tcPr>
          <w:p w14:paraId="57AEEE79"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echipamente de măsurare, aparate de control și diagnostică, inclusiv aferente rețelelor</w:t>
            </w:r>
          </w:p>
        </w:tc>
        <w:tc>
          <w:tcPr>
            <w:tcW w:w="992" w:type="dxa"/>
            <w:vAlign w:val="center"/>
          </w:tcPr>
          <w:p w14:paraId="6CFF71D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14856,5</w:t>
            </w:r>
          </w:p>
        </w:tc>
        <w:tc>
          <w:tcPr>
            <w:tcW w:w="992" w:type="dxa"/>
            <w:vAlign w:val="center"/>
          </w:tcPr>
          <w:p w14:paraId="1EC050A7"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7238,2</w:t>
            </w:r>
          </w:p>
        </w:tc>
        <w:tc>
          <w:tcPr>
            <w:tcW w:w="1134" w:type="dxa"/>
            <w:vAlign w:val="center"/>
          </w:tcPr>
          <w:p w14:paraId="52E2EC0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7217,5</w:t>
            </w:r>
          </w:p>
        </w:tc>
        <w:tc>
          <w:tcPr>
            <w:tcW w:w="1134" w:type="dxa"/>
            <w:vAlign w:val="center"/>
          </w:tcPr>
          <w:p w14:paraId="668504A8"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20,6</w:t>
            </w:r>
          </w:p>
        </w:tc>
        <w:tc>
          <w:tcPr>
            <w:tcW w:w="1037" w:type="dxa"/>
            <w:vMerge/>
            <w:vAlign w:val="center"/>
          </w:tcPr>
          <w:p w14:paraId="18108B82"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658F0D1A" w14:textId="77777777" w:rsidTr="00FA6CC7">
        <w:tc>
          <w:tcPr>
            <w:tcW w:w="519" w:type="dxa"/>
            <w:vAlign w:val="center"/>
          </w:tcPr>
          <w:p w14:paraId="0DEC7CB2"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E</w:t>
            </w:r>
          </w:p>
        </w:tc>
        <w:tc>
          <w:tcPr>
            <w:tcW w:w="3871" w:type="dxa"/>
            <w:vAlign w:val="center"/>
          </w:tcPr>
          <w:p w14:paraId="447866F8"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clădiri și construcții, inclusiv aferente rețelelor</w:t>
            </w:r>
          </w:p>
        </w:tc>
        <w:tc>
          <w:tcPr>
            <w:tcW w:w="992" w:type="dxa"/>
            <w:vAlign w:val="center"/>
          </w:tcPr>
          <w:p w14:paraId="5A131BA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6531,8</w:t>
            </w:r>
          </w:p>
        </w:tc>
        <w:tc>
          <w:tcPr>
            <w:tcW w:w="992" w:type="dxa"/>
            <w:vAlign w:val="center"/>
          </w:tcPr>
          <w:p w14:paraId="2A197EA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5588,3</w:t>
            </w:r>
          </w:p>
        </w:tc>
        <w:tc>
          <w:tcPr>
            <w:tcW w:w="1134" w:type="dxa"/>
            <w:vAlign w:val="center"/>
          </w:tcPr>
          <w:p w14:paraId="2F1DDA5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5430,4</w:t>
            </w:r>
          </w:p>
        </w:tc>
        <w:tc>
          <w:tcPr>
            <w:tcW w:w="1134" w:type="dxa"/>
            <w:vAlign w:val="center"/>
          </w:tcPr>
          <w:p w14:paraId="274D07A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157,9</w:t>
            </w:r>
          </w:p>
        </w:tc>
        <w:tc>
          <w:tcPr>
            <w:tcW w:w="1037" w:type="dxa"/>
            <w:vMerge/>
            <w:vAlign w:val="center"/>
          </w:tcPr>
          <w:p w14:paraId="512A79C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710F24D8" w14:textId="77777777" w:rsidTr="00FA6CC7">
        <w:tc>
          <w:tcPr>
            <w:tcW w:w="519" w:type="dxa"/>
            <w:vAlign w:val="center"/>
          </w:tcPr>
          <w:p w14:paraId="3BF68CA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F</w:t>
            </w:r>
          </w:p>
        </w:tc>
        <w:tc>
          <w:tcPr>
            <w:tcW w:w="3871" w:type="dxa"/>
            <w:vAlign w:val="center"/>
          </w:tcPr>
          <w:p w14:paraId="7C7F3703"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tehnică de calcul, telecomunicații</w:t>
            </w:r>
          </w:p>
        </w:tc>
        <w:tc>
          <w:tcPr>
            <w:tcW w:w="992" w:type="dxa"/>
            <w:vAlign w:val="center"/>
          </w:tcPr>
          <w:p w14:paraId="376E657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2909,8</w:t>
            </w:r>
          </w:p>
        </w:tc>
        <w:tc>
          <w:tcPr>
            <w:tcW w:w="992" w:type="dxa"/>
            <w:vAlign w:val="center"/>
          </w:tcPr>
          <w:p w14:paraId="2136D44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1774,6</w:t>
            </w:r>
          </w:p>
        </w:tc>
        <w:tc>
          <w:tcPr>
            <w:tcW w:w="1134" w:type="dxa"/>
            <w:vAlign w:val="center"/>
          </w:tcPr>
          <w:p w14:paraId="4F799588"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1774,6</w:t>
            </w:r>
          </w:p>
        </w:tc>
        <w:tc>
          <w:tcPr>
            <w:tcW w:w="1134" w:type="dxa"/>
            <w:vAlign w:val="center"/>
          </w:tcPr>
          <w:p w14:paraId="066A6D08"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037" w:type="dxa"/>
            <w:vMerge/>
            <w:vAlign w:val="center"/>
          </w:tcPr>
          <w:p w14:paraId="3BE59197"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5E27B25D" w14:textId="77777777" w:rsidTr="00FA6CC7">
        <w:tc>
          <w:tcPr>
            <w:tcW w:w="519" w:type="dxa"/>
            <w:vAlign w:val="center"/>
          </w:tcPr>
          <w:p w14:paraId="6D056E3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G</w:t>
            </w:r>
          </w:p>
        </w:tc>
        <w:tc>
          <w:tcPr>
            <w:tcW w:w="3871" w:type="dxa"/>
            <w:vAlign w:val="center"/>
          </w:tcPr>
          <w:p w14:paraId="046369CA"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imobilizări necorporale (programe, licențe etc.)</w:t>
            </w:r>
          </w:p>
        </w:tc>
        <w:tc>
          <w:tcPr>
            <w:tcW w:w="992" w:type="dxa"/>
            <w:vAlign w:val="center"/>
          </w:tcPr>
          <w:p w14:paraId="74DE2A72"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1086,8</w:t>
            </w:r>
          </w:p>
        </w:tc>
        <w:tc>
          <w:tcPr>
            <w:tcW w:w="992" w:type="dxa"/>
            <w:vAlign w:val="center"/>
          </w:tcPr>
          <w:p w14:paraId="0A0F3CD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477,4</w:t>
            </w:r>
          </w:p>
        </w:tc>
        <w:tc>
          <w:tcPr>
            <w:tcW w:w="1134" w:type="dxa"/>
            <w:vAlign w:val="center"/>
          </w:tcPr>
          <w:p w14:paraId="059EE865"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477,4</w:t>
            </w:r>
          </w:p>
        </w:tc>
        <w:tc>
          <w:tcPr>
            <w:tcW w:w="1134" w:type="dxa"/>
            <w:vAlign w:val="center"/>
          </w:tcPr>
          <w:p w14:paraId="3C4612B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037" w:type="dxa"/>
            <w:vMerge/>
            <w:vAlign w:val="center"/>
          </w:tcPr>
          <w:p w14:paraId="67485D1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638120E7" w14:textId="77777777" w:rsidTr="00FA6CC7">
        <w:tc>
          <w:tcPr>
            <w:tcW w:w="519" w:type="dxa"/>
            <w:vAlign w:val="center"/>
          </w:tcPr>
          <w:p w14:paraId="33F27B6B"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H</w:t>
            </w:r>
          </w:p>
        </w:tc>
        <w:tc>
          <w:tcPr>
            <w:tcW w:w="3871" w:type="dxa"/>
            <w:vAlign w:val="center"/>
          </w:tcPr>
          <w:p w14:paraId="78758558"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Alte investiții legate de activitatea licențiată</w:t>
            </w:r>
          </w:p>
        </w:tc>
        <w:tc>
          <w:tcPr>
            <w:tcW w:w="992" w:type="dxa"/>
            <w:vAlign w:val="center"/>
          </w:tcPr>
          <w:p w14:paraId="4F897A2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992" w:type="dxa"/>
            <w:vAlign w:val="center"/>
          </w:tcPr>
          <w:p w14:paraId="681F12E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34" w:type="dxa"/>
            <w:vAlign w:val="center"/>
          </w:tcPr>
          <w:p w14:paraId="0B24729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34" w:type="dxa"/>
            <w:vAlign w:val="center"/>
          </w:tcPr>
          <w:p w14:paraId="104C184B"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037" w:type="dxa"/>
            <w:vMerge/>
            <w:vAlign w:val="center"/>
          </w:tcPr>
          <w:p w14:paraId="524CB32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2EFF960A" w14:textId="77777777" w:rsidTr="00FA6CC7">
        <w:tc>
          <w:tcPr>
            <w:tcW w:w="4390" w:type="dxa"/>
            <w:gridSpan w:val="2"/>
          </w:tcPr>
          <w:p w14:paraId="6BD819ED" w14:textId="77777777" w:rsidR="003C5C43" w:rsidRPr="0080251F" w:rsidRDefault="003C5C43" w:rsidP="00230F14">
            <w:pPr>
              <w:tabs>
                <w:tab w:val="left" w:pos="851"/>
              </w:tabs>
              <w:spacing w:line="259" w:lineRule="auto"/>
              <w:contextualSpacing/>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Total:</w:t>
            </w:r>
          </w:p>
        </w:tc>
        <w:tc>
          <w:tcPr>
            <w:tcW w:w="992" w:type="dxa"/>
            <w:vAlign w:val="center"/>
          </w:tcPr>
          <w:p w14:paraId="5C679B66"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r w:rsidRPr="0080251F">
              <w:rPr>
                <w:rFonts w:ascii="Times New Roman" w:eastAsia="Calibri" w:hAnsi="Times New Roman" w:cs="Times New Roman"/>
                <w:b/>
                <w:bCs/>
                <w:sz w:val="18"/>
                <w:szCs w:val="18"/>
                <w:lang w:val="ro-MD"/>
              </w:rPr>
              <w:t>297075,2</w:t>
            </w:r>
          </w:p>
        </w:tc>
        <w:tc>
          <w:tcPr>
            <w:tcW w:w="992" w:type="dxa"/>
            <w:vAlign w:val="center"/>
          </w:tcPr>
          <w:p w14:paraId="0DC16D1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r w:rsidRPr="0080251F">
              <w:rPr>
                <w:rFonts w:ascii="Times New Roman" w:eastAsia="Calibri" w:hAnsi="Times New Roman" w:cs="Times New Roman"/>
                <w:b/>
                <w:bCs/>
                <w:sz w:val="18"/>
                <w:szCs w:val="18"/>
                <w:lang w:val="ro-MD"/>
              </w:rPr>
              <w:t>273948,8</w:t>
            </w:r>
          </w:p>
        </w:tc>
        <w:tc>
          <w:tcPr>
            <w:tcW w:w="1134" w:type="dxa"/>
            <w:vAlign w:val="center"/>
          </w:tcPr>
          <w:p w14:paraId="5083382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r w:rsidRPr="0080251F">
              <w:rPr>
                <w:rFonts w:ascii="Times New Roman" w:eastAsia="Calibri" w:hAnsi="Times New Roman" w:cs="Times New Roman"/>
                <w:b/>
                <w:bCs/>
                <w:sz w:val="18"/>
                <w:szCs w:val="18"/>
                <w:lang w:val="ro-MD"/>
              </w:rPr>
              <w:t>270 456,3</w:t>
            </w:r>
          </w:p>
        </w:tc>
        <w:tc>
          <w:tcPr>
            <w:tcW w:w="1134" w:type="dxa"/>
            <w:vAlign w:val="center"/>
          </w:tcPr>
          <w:p w14:paraId="550D91A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r w:rsidRPr="0080251F">
              <w:rPr>
                <w:rFonts w:ascii="Times New Roman" w:eastAsia="Calibri" w:hAnsi="Times New Roman" w:cs="Times New Roman"/>
                <w:b/>
                <w:bCs/>
                <w:sz w:val="18"/>
                <w:szCs w:val="18"/>
                <w:lang w:val="ro-MD"/>
              </w:rPr>
              <w:t>3492,5</w:t>
            </w:r>
          </w:p>
        </w:tc>
        <w:tc>
          <w:tcPr>
            <w:tcW w:w="1037" w:type="dxa"/>
            <w:vMerge/>
            <w:vAlign w:val="center"/>
          </w:tcPr>
          <w:p w14:paraId="049A501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p>
        </w:tc>
      </w:tr>
    </w:tbl>
    <w:p w14:paraId="1E2BD800" w14:textId="770DC338" w:rsidR="003C5C43" w:rsidRPr="0080251F" w:rsidRDefault="003C5C43" w:rsidP="000F27A6">
      <w:pPr>
        <w:spacing w:line="240" w:lineRule="auto"/>
        <w:jc w:val="both"/>
        <w:rPr>
          <w:rFonts w:ascii="Times New Roman" w:eastAsia="Calibri" w:hAnsi="Times New Roman" w:cs="Times New Roman"/>
          <w:b/>
          <w:i/>
          <w:sz w:val="18"/>
          <w:szCs w:val="18"/>
          <w:lang w:val="ro-MD"/>
        </w:rPr>
      </w:pPr>
      <w:r w:rsidRPr="0080251F">
        <w:rPr>
          <w:rFonts w:ascii="Times New Roman" w:eastAsia="Calibri" w:hAnsi="Times New Roman" w:cs="Times New Roman"/>
          <w:b/>
          <w:i/>
          <w:sz w:val="18"/>
          <w:szCs w:val="18"/>
          <w:lang w:val="ro-MD"/>
        </w:rPr>
        <w:t>Sursă:</w:t>
      </w:r>
      <w:r w:rsidRPr="0080251F">
        <w:rPr>
          <w:rFonts w:ascii="Times New Roman" w:eastAsia="Calibri" w:hAnsi="Times New Roman" w:cs="Times New Roman"/>
          <w:i/>
          <w:sz w:val="18"/>
          <w:szCs w:val="18"/>
          <w:lang w:val="ro-MD"/>
        </w:rPr>
        <w:t xml:space="preserve"> Darea de seamă prezentată </w:t>
      </w:r>
      <w:r w:rsidR="000F27A6" w:rsidRPr="0080251F">
        <w:rPr>
          <w:rFonts w:ascii="Times New Roman" w:eastAsia="Calibri" w:hAnsi="Times New Roman" w:cs="Times New Roman"/>
          <w:i/>
          <w:sz w:val="18"/>
          <w:szCs w:val="18"/>
          <w:lang w:val="ro-MD"/>
        </w:rPr>
        <w:t>ANRE de către S.A. „RED-Nord”</w:t>
      </w:r>
      <w:r w:rsidRPr="0080251F">
        <w:rPr>
          <w:rFonts w:ascii="Times New Roman" w:eastAsia="Calibri" w:hAnsi="Times New Roman" w:cs="Times New Roman"/>
          <w:b/>
          <w:i/>
          <w:sz w:val="18"/>
          <w:szCs w:val="18"/>
          <w:lang w:val="ro-MD"/>
        </w:rPr>
        <w:t>.</w:t>
      </w:r>
    </w:p>
    <w:p w14:paraId="130A2DBA" w14:textId="256717BB" w:rsidR="003C5C43" w:rsidRPr="0080251F" w:rsidRDefault="003C5C43" w:rsidP="00025E26">
      <w:pPr>
        <w:tabs>
          <w:tab w:val="left" w:pos="0"/>
          <w:tab w:val="left" w:pos="567"/>
          <w:tab w:val="left" w:pos="709"/>
          <w:tab w:val="left" w:pos="993"/>
        </w:tabs>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 xml:space="preserve">Cauza </w:t>
      </w:r>
      <w:r w:rsidRPr="0080251F">
        <w:rPr>
          <w:rFonts w:ascii="Times New Roman" w:eastAsia="Times New Roman" w:hAnsi="Times New Roman" w:cs="Times New Roman"/>
          <w:bCs/>
          <w:sz w:val="24"/>
          <w:szCs w:val="24"/>
          <w:lang w:val="ro-MD"/>
        </w:rPr>
        <w:t>depășirii valorii aprobate</w:t>
      </w:r>
      <w:r w:rsidRPr="0080251F">
        <w:rPr>
          <w:rFonts w:ascii="Times New Roman" w:eastAsia="Times New Roman" w:hAnsi="Times New Roman" w:cs="Times New Roman"/>
          <w:sz w:val="24"/>
          <w:szCs w:val="24"/>
          <w:lang w:val="ro-MD"/>
        </w:rPr>
        <w:t xml:space="preserve"> și neac</w:t>
      </w:r>
      <w:r w:rsidRPr="0080251F">
        <w:rPr>
          <w:rFonts w:ascii="Times New Roman" w:eastAsia="Times New Roman" w:hAnsi="Times New Roman" w:cs="Times New Roman"/>
          <w:bCs/>
          <w:sz w:val="24"/>
          <w:szCs w:val="24"/>
          <w:lang w:val="ro-MD"/>
        </w:rPr>
        <w:t>ceptării în scopuri tarifare a unor investiții realizate în sumă de 3</w:t>
      </w:r>
      <w:r w:rsidR="00025E26" w:rsidRPr="0080251F">
        <w:rPr>
          <w:rFonts w:ascii="Times New Roman" w:eastAsia="Times New Roman" w:hAnsi="Times New Roman" w:cs="Times New Roman"/>
          <w:bCs/>
          <w:sz w:val="24"/>
          <w:szCs w:val="24"/>
          <w:lang w:val="ro-MD"/>
        </w:rPr>
        <w:t>,</w:t>
      </w:r>
      <w:r w:rsidRPr="0080251F">
        <w:rPr>
          <w:rFonts w:ascii="Times New Roman" w:eastAsia="Times New Roman" w:hAnsi="Times New Roman" w:cs="Times New Roman"/>
          <w:bCs/>
          <w:sz w:val="24"/>
          <w:szCs w:val="24"/>
          <w:lang w:val="ro-MD"/>
        </w:rPr>
        <w:t>49 mi</w:t>
      </w:r>
      <w:r w:rsidR="00025E26" w:rsidRPr="0080251F">
        <w:rPr>
          <w:rFonts w:ascii="Times New Roman" w:eastAsia="Times New Roman" w:hAnsi="Times New Roman" w:cs="Times New Roman"/>
          <w:bCs/>
          <w:sz w:val="24"/>
          <w:szCs w:val="24"/>
          <w:lang w:val="ro-MD"/>
        </w:rPr>
        <w:t>l.</w:t>
      </w:r>
      <w:r w:rsidRPr="0080251F">
        <w:rPr>
          <w:rFonts w:ascii="Times New Roman" w:eastAsia="Times New Roman" w:hAnsi="Times New Roman" w:cs="Times New Roman"/>
          <w:bCs/>
          <w:sz w:val="24"/>
          <w:szCs w:val="24"/>
          <w:lang w:val="ro-MD"/>
        </w:rPr>
        <w:t xml:space="preserve"> lei a constat în următoarele aspecte:</w:t>
      </w:r>
    </w:p>
    <w:p w14:paraId="0888F51E" w14:textId="4D598AE2" w:rsidR="003C5C43" w:rsidRPr="0080251F" w:rsidRDefault="003C5C43" w:rsidP="007C734F">
      <w:pPr>
        <w:numPr>
          <w:ilvl w:val="0"/>
          <w:numId w:val="7"/>
        </w:numPr>
        <w:tabs>
          <w:tab w:val="left" w:pos="0"/>
          <w:tab w:val="left" w:pos="567"/>
          <w:tab w:val="left" w:pos="851"/>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Executarea lucrărilor de reconstrucți</w:t>
      </w:r>
      <w:r w:rsidR="00543F58" w:rsidRPr="0080251F">
        <w:rPr>
          <w:rFonts w:ascii="Times New Roman" w:eastAsia="Times New Roman" w:hAnsi="Times New Roman" w:cs="Times New Roman"/>
          <w:sz w:val="24"/>
          <w:szCs w:val="24"/>
          <w:lang w:val="ro-MD"/>
        </w:rPr>
        <w:t>e-</w:t>
      </w:r>
      <w:r w:rsidRPr="0080251F">
        <w:rPr>
          <w:rFonts w:ascii="Times New Roman" w:eastAsia="Times New Roman" w:hAnsi="Times New Roman" w:cs="Times New Roman"/>
          <w:sz w:val="24"/>
          <w:szCs w:val="24"/>
          <w:lang w:val="ro-MD"/>
        </w:rPr>
        <w:t>montaj a liniilor electrice cu aplicarea soluțiilor constructiv-tehnice neplanificate, ceea ce a dus la majorarea valorii finale a proiectelor investiționa</w:t>
      </w:r>
      <w:r w:rsidR="00856753" w:rsidRPr="0080251F">
        <w:rPr>
          <w:rFonts w:ascii="Times New Roman" w:eastAsia="Times New Roman" w:hAnsi="Times New Roman" w:cs="Times New Roman"/>
          <w:sz w:val="24"/>
          <w:szCs w:val="24"/>
          <w:lang w:val="ro-MD"/>
        </w:rPr>
        <w:t>le planificate cu suma de 1,3 mil.</w:t>
      </w:r>
      <w:r w:rsidRPr="0080251F">
        <w:rPr>
          <w:rFonts w:ascii="Times New Roman" w:eastAsia="Times New Roman" w:hAnsi="Times New Roman" w:cs="Times New Roman"/>
          <w:sz w:val="24"/>
          <w:szCs w:val="24"/>
          <w:lang w:val="ro-MD"/>
        </w:rPr>
        <w:t xml:space="preserve"> lei (extinderea liniilor electrice și majorarea cantității materialelor utilizate).</w:t>
      </w:r>
    </w:p>
    <w:p w14:paraId="09302A63" w14:textId="04D3A834" w:rsidR="003C5C43" w:rsidRPr="0080251F" w:rsidRDefault="003C5C43" w:rsidP="007C734F">
      <w:pPr>
        <w:numPr>
          <w:ilvl w:val="0"/>
          <w:numId w:val="7"/>
        </w:numPr>
        <w:tabs>
          <w:tab w:val="left" w:pos="0"/>
          <w:tab w:val="left" w:pos="567"/>
          <w:tab w:val="left" w:pos="851"/>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Executarea lucrărilor de branșamente cu aplicarea soluțiilor constructiv-tehnice neplanificate, ceea ce a dus la majorarea valorii finale a proiectelor investiționale planificate cu suma de 1</w:t>
      </w:r>
      <w:r w:rsidR="00856753" w:rsidRPr="0080251F">
        <w:rPr>
          <w:rFonts w:ascii="Times New Roman" w:eastAsia="Times New Roman" w:hAnsi="Times New Roman" w:cs="Times New Roman"/>
          <w:sz w:val="24"/>
          <w:szCs w:val="24"/>
          <w:lang w:val="ro-MD"/>
        </w:rPr>
        <w:t>,6 mil.</w:t>
      </w:r>
      <w:r w:rsidRPr="0080251F">
        <w:rPr>
          <w:rFonts w:ascii="Times New Roman" w:eastAsia="Times New Roman" w:hAnsi="Times New Roman" w:cs="Times New Roman"/>
          <w:sz w:val="24"/>
          <w:szCs w:val="24"/>
          <w:lang w:val="ro-MD"/>
        </w:rPr>
        <w:t xml:space="preserve"> lei (schimbarea neplanificată a locului de racordare la branșamente pentru consumatorii casnici);.</w:t>
      </w:r>
    </w:p>
    <w:p w14:paraId="17D6CB12" w14:textId="39B5FF5E" w:rsidR="003C5C43" w:rsidRPr="0080251F" w:rsidRDefault="003C5C43" w:rsidP="007C734F">
      <w:pPr>
        <w:numPr>
          <w:ilvl w:val="0"/>
          <w:numId w:val="7"/>
        </w:numPr>
        <w:tabs>
          <w:tab w:val="left" w:pos="0"/>
          <w:tab w:val="left" w:pos="567"/>
          <w:tab w:val="left" w:pos="851"/>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 xml:space="preserve">Executarea lucrărilor de reparație capitală a transformatoarelor și </w:t>
      </w:r>
      <w:r w:rsidR="00827CDF" w:rsidRPr="0080251F">
        <w:rPr>
          <w:rFonts w:ascii="Times New Roman" w:eastAsia="Times New Roman" w:hAnsi="Times New Roman" w:cs="Times New Roman"/>
          <w:sz w:val="24"/>
          <w:szCs w:val="24"/>
          <w:lang w:val="ro-MD"/>
        </w:rPr>
        <w:t xml:space="preserve">de </w:t>
      </w:r>
      <w:r w:rsidRPr="0080251F">
        <w:rPr>
          <w:rFonts w:ascii="Times New Roman" w:eastAsia="Times New Roman" w:hAnsi="Times New Roman" w:cs="Times New Roman"/>
          <w:sz w:val="24"/>
          <w:szCs w:val="24"/>
          <w:lang w:val="ro-MD"/>
        </w:rPr>
        <w:t>construcți</w:t>
      </w:r>
      <w:r w:rsidR="00CC3E9C" w:rsidRPr="0080251F">
        <w:rPr>
          <w:rFonts w:ascii="Times New Roman" w:eastAsia="Times New Roman" w:hAnsi="Times New Roman" w:cs="Times New Roman"/>
          <w:sz w:val="24"/>
          <w:szCs w:val="24"/>
          <w:lang w:val="ro-MD"/>
        </w:rPr>
        <w:t>e</w:t>
      </w:r>
      <w:r w:rsidRPr="0080251F">
        <w:rPr>
          <w:rFonts w:ascii="Times New Roman" w:eastAsia="Times New Roman" w:hAnsi="Times New Roman" w:cs="Times New Roman"/>
          <w:sz w:val="24"/>
          <w:szCs w:val="24"/>
          <w:lang w:val="ro-MD"/>
        </w:rPr>
        <w:t xml:space="preserve"> a liniilor electrice în sumă de 327,5 mii lei și efectuarea</w:t>
      </w:r>
      <w:r w:rsidRPr="0080251F">
        <w:rPr>
          <w:rFonts w:ascii="Times New Roman" w:eastAsia="Times New Roman" w:hAnsi="Times New Roman" w:cs="Times New Roman"/>
          <w:b/>
          <w:bCs/>
          <w:sz w:val="24"/>
          <w:szCs w:val="24"/>
          <w:lang w:val="ro-MD"/>
        </w:rPr>
        <w:t xml:space="preserve"> </w:t>
      </w:r>
      <w:r w:rsidRPr="0080251F">
        <w:rPr>
          <w:rFonts w:ascii="Times New Roman" w:eastAsia="Times New Roman" w:hAnsi="Times New Roman" w:cs="Times New Roman"/>
          <w:bCs/>
          <w:sz w:val="24"/>
          <w:szCs w:val="24"/>
          <w:lang w:val="ro-MD"/>
        </w:rPr>
        <w:t xml:space="preserve">cheltuielilor pentru procurarea utilajului în sumă </w:t>
      </w:r>
      <w:r w:rsidR="00827CDF" w:rsidRPr="0080251F">
        <w:rPr>
          <w:rFonts w:ascii="Times New Roman" w:eastAsia="Times New Roman" w:hAnsi="Times New Roman" w:cs="Times New Roman"/>
          <w:bCs/>
          <w:sz w:val="24"/>
          <w:szCs w:val="24"/>
          <w:lang w:val="ro-MD"/>
        </w:rPr>
        <w:t xml:space="preserve">de </w:t>
      </w:r>
      <w:r w:rsidRPr="0080251F">
        <w:rPr>
          <w:rFonts w:ascii="Times New Roman" w:eastAsia="Times New Roman" w:hAnsi="Times New Roman" w:cs="Times New Roman"/>
          <w:bCs/>
          <w:sz w:val="24"/>
          <w:szCs w:val="24"/>
          <w:lang w:val="ro-MD"/>
        </w:rPr>
        <w:t>758,6 mii lei</w:t>
      </w:r>
      <w:r w:rsidRPr="0080251F">
        <w:rPr>
          <w:rFonts w:ascii="Times New Roman" w:eastAsia="Times New Roman" w:hAnsi="Times New Roman" w:cs="Times New Roman"/>
          <w:sz w:val="24"/>
          <w:szCs w:val="24"/>
          <w:lang w:val="ro-MD"/>
        </w:rPr>
        <w:t>, care nu au fost aprobate prin planul de investiții pentru anul respectiv.</w:t>
      </w:r>
    </w:p>
    <w:p w14:paraId="2639205F" w14:textId="6E7ED4FF" w:rsidR="003C5C43" w:rsidRPr="0080251F" w:rsidRDefault="003C5C43" w:rsidP="007C734F">
      <w:pPr>
        <w:numPr>
          <w:ilvl w:val="0"/>
          <w:numId w:val="7"/>
        </w:numPr>
        <w:tabs>
          <w:tab w:val="left" w:pos="0"/>
          <w:tab w:val="left" w:pos="567"/>
          <w:tab w:val="left" w:pos="851"/>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Depășirea volumului de lucrări, în raport cu valoarea estimată, executate la reparația capitală a unor construcții</w:t>
      </w:r>
      <w:r w:rsidR="00827CDF" w:rsidRPr="0080251F">
        <w:rPr>
          <w:rFonts w:ascii="Times New Roman" w:eastAsia="Times New Roman" w:hAnsi="Times New Roman" w:cs="Times New Roman"/>
          <w:sz w:val="24"/>
          <w:szCs w:val="24"/>
          <w:lang w:val="ro-MD"/>
        </w:rPr>
        <w:t>,</w:t>
      </w:r>
      <w:r w:rsidRPr="0080251F">
        <w:rPr>
          <w:rFonts w:ascii="Times New Roman" w:eastAsia="Times New Roman" w:hAnsi="Times New Roman" w:cs="Times New Roman"/>
          <w:sz w:val="24"/>
          <w:szCs w:val="24"/>
          <w:lang w:val="ro-MD"/>
        </w:rPr>
        <w:t xml:space="preserve"> cu suma de 157,9 mii lei (4 clădiri post transformator - 131,3 mii lei; clădirea administrativă - 26,6 mii lei).</w:t>
      </w:r>
    </w:p>
    <w:p w14:paraId="789BA424" w14:textId="24AD6182" w:rsidR="003C5C43" w:rsidRPr="0080251F" w:rsidRDefault="003C5C43" w:rsidP="007C734F">
      <w:pPr>
        <w:tabs>
          <w:tab w:val="left" w:pos="993"/>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Pentru anul 2022, ANRE a aprobat planul de investiții în sumă de 204,3 mii lei</w:t>
      </w:r>
      <w:r w:rsidRPr="0080251F">
        <w:rPr>
          <w:rFonts w:ascii="Times New Roman" w:hAnsi="Times New Roman" w:cs="Times New Roman"/>
          <w:bCs/>
          <w:sz w:val="24"/>
          <w:szCs w:val="24"/>
          <w:vertAlign w:val="superscript"/>
          <w:lang w:val="ro-MD"/>
        </w:rPr>
        <w:footnoteReference w:id="125"/>
      </w:r>
      <w:r w:rsidRPr="0080251F">
        <w:rPr>
          <w:rFonts w:ascii="Times New Roman" w:hAnsi="Times New Roman" w:cs="Times New Roman"/>
          <w:bCs/>
          <w:sz w:val="24"/>
          <w:szCs w:val="24"/>
          <w:lang w:val="ro-MD"/>
        </w:rPr>
        <w:t>, care a fost executat de către S.A. „RED-Nord” la nivel de 200</w:t>
      </w:r>
      <w:r w:rsidR="002B7271" w:rsidRPr="0080251F">
        <w:rPr>
          <w:rFonts w:ascii="Times New Roman" w:hAnsi="Times New Roman" w:cs="Times New Roman"/>
          <w:bCs/>
          <w:sz w:val="24"/>
          <w:szCs w:val="24"/>
          <w:lang w:val="ro-MD"/>
        </w:rPr>
        <w:t>,4 mil.</w:t>
      </w:r>
      <w:r w:rsidRPr="0080251F">
        <w:rPr>
          <w:rFonts w:ascii="Times New Roman" w:hAnsi="Times New Roman" w:cs="Times New Roman"/>
          <w:bCs/>
          <w:sz w:val="24"/>
          <w:szCs w:val="24"/>
          <w:lang w:val="ro-MD"/>
        </w:rPr>
        <w:t xml:space="preserve"> lei (sau 98,1%)</w:t>
      </w:r>
      <w:r w:rsidRPr="0080251F">
        <w:rPr>
          <w:rFonts w:ascii="Times New Roman" w:hAnsi="Times New Roman" w:cs="Times New Roman"/>
          <w:bCs/>
          <w:sz w:val="24"/>
          <w:szCs w:val="24"/>
          <w:vertAlign w:val="superscript"/>
          <w:lang w:val="ro-MD"/>
        </w:rPr>
        <w:footnoteReference w:id="126"/>
      </w:r>
      <w:r w:rsidRPr="0080251F">
        <w:rPr>
          <w:rFonts w:ascii="Times New Roman" w:hAnsi="Times New Roman" w:cs="Times New Roman"/>
          <w:bCs/>
          <w:sz w:val="24"/>
          <w:szCs w:val="24"/>
          <w:lang w:val="ro-MD"/>
        </w:rPr>
        <w:t>. Prin Hotărârea ANRE nr.591 din 04.10.2023, în scopul recuperării prin tarif, s-au acceptat investițiile executate în valoare de 198</w:t>
      </w:r>
      <w:r w:rsidR="002B7271" w:rsidRPr="0080251F">
        <w:rPr>
          <w:rFonts w:ascii="Times New Roman" w:hAnsi="Times New Roman" w:cs="Times New Roman"/>
          <w:bCs/>
          <w:sz w:val="24"/>
          <w:szCs w:val="24"/>
          <w:lang w:val="ro-MD"/>
        </w:rPr>
        <w:t>,4</w:t>
      </w:r>
      <w:r w:rsidRPr="0080251F">
        <w:rPr>
          <w:rFonts w:ascii="Times New Roman" w:hAnsi="Times New Roman" w:cs="Times New Roman"/>
          <w:bCs/>
          <w:sz w:val="24"/>
          <w:szCs w:val="24"/>
          <w:lang w:val="ro-MD"/>
        </w:rPr>
        <w:t xml:space="preserve"> mii lei (sau 99,0%), nefiind acceptate unele investiții în sumă de </w:t>
      </w:r>
      <w:r w:rsidR="0052140D" w:rsidRPr="0080251F">
        <w:rPr>
          <w:rFonts w:ascii="Times New Roman" w:hAnsi="Times New Roman" w:cs="Times New Roman"/>
          <w:b/>
          <w:bCs/>
          <w:sz w:val="24"/>
          <w:szCs w:val="24"/>
          <w:lang w:val="ro-MD"/>
        </w:rPr>
        <w:t>2,0 mil.</w:t>
      </w:r>
      <w:r w:rsidRPr="0080251F">
        <w:rPr>
          <w:rFonts w:ascii="Times New Roman" w:hAnsi="Times New Roman" w:cs="Times New Roman"/>
          <w:b/>
          <w:bCs/>
          <w:sz w:val="24"/>
          <w:szCs w:val="24"/>
          <w:lang w:val="ro-MD"/>
        </w:rPr>
        <w:t xml:space="preserve"> lei</w:t>
      </w:r>
      <w:r w:rsidRPr="0080251F">
        <w:rPr>
          <w:rFonts w:ascii="Times New Roman" w:hAnsi="Times New Roman" w:cs="Times New Roman"/>
          <w:bCs/>
          <w:sz w:val="24"/>
          <w:szCs w:val="24"/>
          <w:lang w:val="ro-MD"/>
        </w:rPr>
        <w:t xml:space="preserve"> (sau 1,0%), argument</w:t>
      </w:r>
      <w:r w:rsidR="00E6433E" w:rsidRPr="0080251F">
        <w:rPr>
          <w:rFonts w:ascii="Times New Roman" w:hAnsi="Times New Roman" w:cs="Times New Roman"/>
          <w:bCs/>
          <w:sz w:val="24"/>
          <w:szCs w:val="24"/>
          <w:lang w:val="ro-MD"/>
        </w:rPr>
        <w:t>ându-se</w:t>
      </w:r>
      <w:r w:rsidRPr="0080251F">
        <w:rPr>
          <w:rFonts w:ascii="Times New Roman" w:hAnsi="Times New Roman" w:cs="Times New Roman"/>
          <w:bCs/>
          <w:sz w:val="24"/>
          <w:szCs w:val="24"/>
          <w:vertAlign w:val="superscript"/>
          <w:lang w:val="ro-MD"/>
        </w:rPr>
        <w:footnoteReference w:id="127"/>
      </w:r>
      <w:r w:rsidRPr="0080251F">
        <w:rPr>
          <w:rFonts w:ascii="Times New Roman" w:hAnsi="Times New Roman" w:cs="Times New Roman"/>
          <w:bCs/>
          <w:sz w:val="24"/>
          <w:szCs w:val="24"/>
          <w:lang w:val="ro-MD"/>
        </w:rPr>
        <w:t xml:space="preserve"> </w:t>
      </w:r>
      <w:r w:rsidR="00E6433E" w:rsidRPr="0080251F">
        <w:rPr>
          <w:rFonts w:ascii="Times New Roman" w:hAnsi="Times New Roman" w:cs="Times New Roman"/>
          <w:bCs/>
          <w:sz w:val="24"/>
          <w:szCs w:val="24"/>
          <w:lang w:val="ro-MD"/>
        </w:rPr>
        <w:t>cu</w:t>
      </w:r>
      <w:r w:rsidRPr="0080251F">
        <w:rPr>
          <w:rFonts w:ascii="Times New Roman" w:hAnsi="Times New Roman" w:cs="Times New Roman"/>
          <w:bCs/>
          <w:sz w:val="24"/>
          <w:szCs w:val="24"/>
          <w:lang w:val="ro-MD"/>
        </w:rPr>
        <w:t xml:space="preserve"> depășirea valorii aprobate prin planul de investiții </w:t>
      </w:r>
      <w:r w:rsidR="00E6433E"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cu suma de 1</w:t>
      </w:r>
      <w:r w:rsidR="0052140D" w:rsidRPr="0080251F">
        <w:rPr>
          <w:rFonts w:ascii="Times New Roman" w:hAnsi="Times New Roman" w:cs="Times New Roman"/>
          <w:bCs/>
          <w:sz w:val="24"/>
          <w:szCs w:val="24"/>
          <w:lang w:val="ro-MD"/>
        </w:rPr>
        <w:t>,2 mil.</w:t>
      </w:r>
      <w:r w:rsidRPr="0080251F">
        <w:rPr>
          <w:rFonts w:ascii="Times New Roman" w:hAnsi="Times New Roman" w:cs="Times New Roman"/>
          <w:bCs/>
          <w:sz w:val="24"/>
          <w:szCs w:val="24"/>
          <w:lang w:val="ro-MD"/>
        </w:rPr>
        <w:t xml:space="preserve"> lei</w:t>
      </w:r>
      <w:r w:rsidR="00E6433E"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și </w:t>
      </w:r>
      <w:r w:rsidR="00E6433E" w:rsidRPr="0080251F">
        <w:rPr>
          <w:rFonts w:ascii="Times New Roman" w:hAnsi="Times New Roman" w:cs="Times New Roman"/>
          <w:bCs/>
          <w:sz w:val="24"/>
          <w:szCs w:val="24"/>
          <w:lang w:val="ro-MD"/>
        </w:rPr>
        <w:t xml:space="preserve">cu </w:t>
      </w:r>
      <w:r w:rsidRPr="0080251F">
        <w:rPr>
          <w:rFonts w:ascii="Times New Roman" w:hAnsi="Times New Roman" w:cs="Times New Roman"/>
          <w:bCs/>
          <w:sz w:val="24"/>
          <w:szCs w:val="24"/>
          <w:lang w:val="ro-MD"/>
        </w:rPr>
        <w:t>executarea investiții</w:t>
      </w:r>
      <w:r w:rsidR="00BD5540" w:rsidRPr="0080251F">
        <w:rPr>
          <w:rFonts w:ascii="Times New Roman" w:hAnsi="Times New Roman" w:cs="Times New Roman"/>
          <w:bCs/>
          <w:sz w:val="24"/>
          <w:szCs w:val="24"/>
          <w:lang w:val="ro-MD"/>
        </w:rPr>
        <w:t>lor în afar</w:t>
      </w:r>
      <w:r w:rsidR="00E6433E" w:rsidRPr="0080251F">
        <w:rPr>
          <w:rFonts w:ascii="Times New Roman" w:hAnsi="Times New Roman" w:cs="Times New Roman"/>
          <w:bCs/>
          <w:sz w:val="24"/>
          <w:szCs w:val="24"/>
          <w:lang w:val="ro-MD"/>
        </w:rPr>
        <w:t>a</w:t>
      </w:r>
      <w:r w:rsidR="00BD5540" w:rsidRPr="0080251F">
        <w:rPr>
          <w:rFonts w:ascii="Times New Roman" w:hAnsi="Times New Roman" w:cs="Times New Roman"/>
          <w:bCs/>
          <w:sz w:val="24"/>
          <w:szCs w:val="24"/>
          <w:lang w:val="ro-MD"/>
        </w:rPr>
        <w:t xml:space="preserve"> planului aprobat –</w:t>
      </w:r>
      <w:r w:rsidRPr="0080251F">
        <w:rPr>
          <w:rFonts w:ascii="Times New Roman" w:hAnsi="Times New Roman" w:cs="Times New Roman"/>
          <w:bCs/>
          <w:sz w:val="24"/>
          <w:szCs w:val="24"/>
          <w:lang w:val="ro-MD"/>
        </w:rPr>
        <w:t xml:space="preserve"> cu 810,6 mii lei.</w:t>
      </w:r>
    </w:p>
    <w:p w14:paraId="05F4EBCC" w14:textId="49D38A79" w:rsidR="003C5C43" w:rsidRPr="0080251F" w:rsidRDefault="007C734F" w:rsidP="003C5C43">
      <w:pPr>
        <w:tabs>
          <w:tab w:val="left" w:pos="851"/>
        </w:tabs>
        <w:spacing w:after="0"/>
        <w:ind w:firstLine="567"/>
        <w:contextualSpacing/>
        <w:jc w:val="right"/>
        <w:rPr>
          <w:rFonts w:ascii="Times New Roman" w:eastAsia="Calibri" w:hAnsi="Times New Roman" w:cs="Times New Roman"/>
          <w:b/>
          <w:bCs/>
          <w:sz w:val="24"/>
          <w:szCs w:val="24"/>
          <w:lang w:val="ro-MD"/>
        </w:rPr>
      </w:pPr>
      <w:r w:rsidRPr="0080251F">
        <w:rPr>
          <w:rFonts w:ascii="Times New Roman" w:eastAsia="Calibri" w:hAnsi="Times New Roman" w:cs="Times New Roman"/>
          <w:b/>
          <w:bCs/>
          <w:sz w:val="24"/>
          <w:szCs w:val="24"/>
          <w:lang w:val="ro-MD"/>
        </w:rPr>
        <w:t>Tabelul nr.11</w:t>
      </w:r>
    </w:p>
    <w:p w14:paraId="3A6ED9F5" w14:textId="6BB4E42B" w:rsidR="003C5C43" w:rsidRPr="0080251F" w:rsidRDefault="003C5C43" w:rsidP="00B45EAF">
      <w:pPr>
        <w:tabs>
          <w:tab w:val="left" w:pos="851"/>
        </w:tabs>
        <w:spacing w:after="0"/>
        <w:contextualSpacing/>
        <w:jc w:val="center"/>
        <w:rPr>
          <w:rFonts w:ascii="Times New Roman" w:eastAsia="Calibri" w:hAnsi="Times New Roman" w:cs="Times New Roman"/>
          <w:b/>
          <w:sz w:val="24"/>
          <w:szCs w:val="24"/>
          <w:lang w:val="ro-MD"/>
        </w:rPr>
      </w:pPr>
      <w:r w:rsidRPr="0080251F">
        <w:rPr>
          <w:rFonts w:ascii="Times New Roman" w:eastAsia="Calibri" w:hAnsi="Times New Roman" w:cs="Times New Roman"/>
          <w:b/>
          <w:sz w:val="24"/>
          <w:szCs w:val="24"/>
          <w:lang w:val="ro-MD"/>
        </w:rPr>
        <w:t>Investițiile realizate de S.A. „RED</w:t>
      </w:r>
      <w:r w:rsidR="00827CDF" w:rsidRPr="0080251F">
        <w:rPr>
          <w:rFonts w:ascii="Times New Roman" w:eastAsia="Calibri" w:hAnsi="Times New Roman" w:cs="Times New Roman"/>
          <w:b/>
          <w:sz w:val="24"/>
          <w:szCs w:val="24"/>
          <w:lang w:val="ro-MD"/>
        </w:rPr>
        <w:t>-</w:t>
      </w:r>
      <w:r w:rsidRPr="0080251F">
        <w:rPr>
          <w:rFonts w:ascii="Times New Roman" w:eastAsia="Calibri" w:hAnsi="Times New Roman" w:cs="Times New Roman"/>
          <w:b/>
          <w:sz w:val="24"/>
          <w:szCs w:val="24"/>
          <w:lang w:val="ro-MD"/>
        </w:rPr>
        <w:t>Nord” în anul 2022 și</w:t>
      </w:r>
      <w:r w:rsidR="00827CDF" w:rsidRPr="0080251F">
        <w:rPr>
          <w:rFonts w:ascii="Times New Roman" w:eastAsia="Calibri" w:hAnsi="Times New Roman" w:cs="Times New Roman"/>
          <w:b/>
          <w:sz w:val="24"/>
          <w:szCs w:val="24"/>
          <w:lang w:val="ro-MD"/>
        </w:rPr>
        <w:t xml:space="preserve"> </w:t>
      </w:r>
      <w:r w:rsidRPr="0080251F">
        <w:rPr>
          <w:rFonts w:ascii="Times New Roman" w:eastAsia="Calibri" w:hAnsi="Times New Roman" w:cs="Times New Roman"/>
          <w:b/>
          <w:sz w:val="24"/>
          <w:szCs w:val="24"/>
          <w:lang w:val="ro-MD"/>
        </w:rPr>
        <w:t>neacceptate de ANRE în scopuri tarifare</w:t>
      </w:r>
    </w:p>
    <w:p w14:paraId="49AC5F66" w14:textId="47A57A98" w:rsidR="003C5C43" w:rsidRPr="0080251F" w:rsidRDefault="003C5C43" w:rsidP="00122034">
      <w:pPr>
        <w:tabs>
          <w:tab w:val="left" w:pos="851"/>
        </w:tabs>
        <w:spacing w:after="0"/>
        <w:contextualSpacing/>
        <w:jc w:val="center"/>
        <w:rPr>
          <w:rFonts w:ascii="Calibri Light" w:eastAsia="Calibri" w:hAnsi="Calibri Light" w:cs="Calibri Light"/>
          <w:bCs/>
          <w:i/>
          <w:sz w:val="24"/>
          <w:szCs w:val="24"/>
          <w:u w:val="single"/>
          <w:lang w:val="ro-MD"/>
        </w:rPr>
      </w:pPr>
      <w:r w:rsidRPr="0080251F">
        <w:rPr>
          <w:rFonts w:ascii="Calibri Light" w:eastAsia="Calibri" w:hAnsi="Calibri Light" w:cs="Calibri Light"/>
          <w:bCs/>
          <w:sz w:val="24"/>
          <w:szCs w:val="24"/>
          <w:lang w:val="ro-MD"/>
        </w:rPr>
        <w:t xml:space="preserve">                                                                                                                                                         </w:t>
      </w:r>
      <w:r w:rsidRPr="0080251F">
        <w:rPr>
          <w:rFonts w:ascii="Times New Roman" w:eastAsia="Calibri" w:hAnsi="Times New Roman" w:cs="Times New Roman"/>
          <w:bCs/>
          <w:i/>
          <w:lang w:val="ro-MD"/>
        </w:rPr>
        <w:t>mii lei</w:t>
      </w:r>
    </w:p>
    <w:tbl>
      <w:tblPr>
        <w:tblStyle w:val="12"/>
        <w:tblW w:w="9634" w:type="dxa"/>
        <w:tblLook w:val="04A0" w:firstRow="1" w:lastRow="0" w:firstColumn="1" w:lastColumn="0" w:noHBand="0" w:noVBand="1"/>
      </w:tblPr>
      <w:tblGrid>
        <w:gridCol w:w="513"/>
        <w:gridCol w:w="3476"/>
        <w:gridCol w:w="987"/>
        <w:gridCol w:w="987"/>
        <w:gridCol w:w="1194"/>
        <w:gridCol w:w="1216"/>
        <w:gridCol w:w="1261"/>
      </w:tblGrid>
      <w:tr w:rsidR="003C5C43" w:rsidRPr="0080251F" w14:paraId="603F339B" w14:textId="77777777" w:rsidTr="00FA6CC7">
        <w:trPr>
          <w:trHeight w:val="1439"/>
        </w:trPr>
        <w:tc>
          <w:tcPr>
            <w:tcW w:w="518" w:type="dxa"/>
            <w:shd w:val="clear" w:color="auto" w:fill="auto"/>
            <w:textDirection w:val="btLr"/>
            <w:vAlign w:val="center"/>
          </w:tcPr>
          <w:p w14:paraId="74D4AC42" w14:textId="77777777" w:rsidR="003C5C43" w:rsidRPr="0080251F" w:rsidRDefault="003C5C43" w:rsidP="00230F14">
            <w:pPr>
              <w:tabs>
                <w:tab w:val="left" w:pos="851"/>
              </w:tabs>
              <w:spacing w:line="259" w:lineRule="auto"/>
              <w:ind w:left="113" w:right="113"/>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sz w:val="20"/>
                <w:szCs w:val="20"/>
                <w:lang w:val="ro-MD"/>
              </w:rPr>
              <w:t>C a t e g o r i a</w:t>
            </w:r>
          </w:p>
        </w:tc>
        <w:tc>
          <w:tcPr>
            <w:tcW w:w="3730" w:type="dxa"/>
            <w:shd w:val="clear" w:color="auto" w:fill="auto"/>
            <w:vAlign w:val="center"/>
          </w:tcPr>
          <w:p w14:paraId="1DE168D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
                <w:bCs/>
                <w:sz w:val="20"/>
                <w:szCs w:val="20"/>
                <w:lang w:val="ro-MD"/>
              </w:rPr>
              <w:t>Denumirea și caracteristicile obiectelor de investiții</w:t>
            </w:r>
          </w:p>
        </w:tc>
        <w:tc>
          <w:tcPr>
            <w:tcW w:w="992" w:type="dxa"/>
            <w:vAlign w:val="center"/>
          </w:tcPr>
          <w:p w14:paraId="6B81077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 xml:space="preserve">Planul de </w:t>
            </w:r>
          </w:p>
          <w:p w14:paraId="5007E22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 xml:space="preserve">investiții </w:t>
            </w:r>
          </w:p>
          <w:p w14:paraId="597CCE0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
                <w:bCs/>
                <w:sz w:val="20"/>
                <w:szCs w:val="20"/>
                <w:lang w:val="ro-MD"/>
              </w:rPr>
              <w:t>aprobat de ANRE</w:t>
            </w:r>
          </w:p>
        </w:tc>
        <w:tc>
          <w:tcPr>
            <w:tcW w:w="992" w:type="dxa"/>
            <w:vAlign w:val="center"/>
          </w:tcPr>
          <w:p w14:paraId="23F9FD0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Planul de investiții</w:t>
            </w:r>
          </w:p>
          <w:p w14:paraId="486BC3E3" w14:textId="15A2332B" w:rsidR="003C5C43" w:rsidRPr="0080251F" w:rsidRDefault="00E6433E"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e</w:t>
            </w:r>
            <w:r w:rsidR="003C5C43" w:rsidRPr="0080251F">
              <w:rPr>
                <w:rFonts w:ascii="Times New Roman" w:eastAsia="Calibri" w:hAnsi="Times New Roman" w:cs="Times New Roman"/>
                <w:b/>
                <w:bCs/>
                <w:sz w:val="20"/>
                <w:szCs w:val="20"/>
                <w:lang w:val="ro-MD"/>
              </w:rPr>
              <w:t>xecutat</w:t>
            </w:r>
          </w:p>
        </w:tc>
        <w:tc>
          <w:tcPr>
            <w:tcW w:w="1130" w:type="dxa"/>
            <w:vAlign w:val="center"/>
          </w:tcPr>
          <w:p w14:paraId="6946C1F7" w14:textId="77777777" w:rsidR="003C5C43" w:rsidRPr="0080251F" w:rsidRDefault="003C5C43" w:rsidP="00230F14">
            <w:pPr>
              <w:spacing w:line="259" w:lineRule="auto"/>
              <w:jc w:val="center"/>
              <w:rPr>
                <w:rFonts w:ascii="Times New Roman" w:eastAsia="Calibri" w:hAnsi="Times New Roman" w:cs="Times New Roman"/>
                <w:b/>
                <w:sz w:val="20"/>
                <w:szCs w:val="20"/>
                <w:lang w:val="ro-MD"/>
              </w:rPr>
            </w:pPr>
            <w:r w:rsidRPr="0080251F">
              <w:rPr>
                <w:rFonts w:ascii="Times New Roman" w:eastAsia="Calibri" w:hAnsi="Times New Roman" w:cs="Times New Roman"/>
                <w:b/>
                <w:sz w:val="20"/>
                <w:szCs w:val="20"/>
                <w:lang w:val="ro-MD"/>
              </w:rPr>
              <w:t>Valoarea investițiilor</w:t>
            </w:r>
          </w:p>
          <w:p w14:paraId="5A8C0D27" w14:textId="77777777" w:rsidR="003C5C43" w:rsidRPr="0080251F" w:rsidRDefault="003C5C43" w:rsidP="00230F14">
            <w:pPr>
              <w:spacing w:line="259" w:lineRule="auto"/>
              <w:jc w:val="center"/>
              <w:rPr>
                <w:rFonts w:ascii="Times New Roman" w:eastAsia="Calibri" w:hAnsi="Times New Roman" w:cs="Times New Roman"/>
                <w:b/>
                <w:sz w:val="20"/>
                <w:szCs w:val="20"/>
                <w:lang w:val="ro-MD"/>
              </w:rPr>
            </w:pPr>
            <w:r w:rsidRPr="0080251F">
              <w:rPr>
                <w:rFonts w:ascii="Times New Roman" w:eastAsia="Calibri" w:hAnsi="Times New Roman" w:cs="Times New Roman"/>
                <w:b/>
                <w:sz w:val="20"/>
                <w:szCs w:val="20"/>
                <w:lang w:val="ro-MD"/>
              </w:rPr>
              <w:t>acceptate</w:t>
            </w:r>
          </w:p>
          <w:p w14:paraId="49E164A3" w14:textId="77777777" w:rsidR="003C5C43" w:rsidRPr="0080251F" w:rsidRDefault="003C5C43" w:rsidP="00230F14">
            <w:pPr>
              <w:spacing w:line="259" w:lineRule="auto"/>
              <w:jc w:val="center"/>
              <w:rPr>
                <w:rFonts w:ascii="Times New Roman" w:eastAsia="Calibri" w:hAnsi="Times New Roman" w:cs="Times New Roman"/>
                <w:b/>
                <w:sz w:val="20"/>
                <w:szCs w:val="20"/>
                <w:lang w:val="ro-MD"/>
              </w:rPr>
            </w:pPr>
            <w:r w:rsidRPr="0080251F">
              <w:rPr>
                <w:rFonts w:ascii="Times New Roman" w:eastAsia="Calibri" w:hAnsi="Times New Roman" w:cs="Times New Roman"/>
                <w:b/>
                <w:sz w:val="20"/>
                <w:szCs w:val="20"/>
                <w:lang w:val="ro-MD"/>
              </w:rPr>
              <w:t>de către</w:t>
            </w:r>
          </w:p>
          <w:p w14:paraId="66DEA86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
                <w:sz w:val="20"/>
                <w:szCs w:val="20"/>
                <w:lang w:val="ro-MD"/>
              </w:rPr>
              <w:t>ANRE</w:t>
            </w:r>
          </w:p>
        </w:tc>
        <w:tc>
          <w:tcPr>
            <w:tcW w:w="1116" w:type="dxa"/>
            <w:vAlign w:val="center"/>
          </w:tcPr>
          <w:p w14:paraId="06EEE2BE" w14:textId="77777777" w:rsidR="003C5C43" w:rsidRPr="0080251F" w:rsidRDefault="003C5C43" w:rsidP="00230F14">
            <w:pPr>
              <w:spacing w:line="259" w:lineRule="auto"/>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 xml:space="preserve">Valoarea investițiilor neacceptate de </w:t>
            </w:r>
          </w:p>
          <w:p w14:paraId="157D4168" w14:textId="77777777" w:rsidR="003C5C43" w:rsidRPr="0080251F" w:rsidRDefault="003C5C43" w:rsidP="00230F14">
            <w:pPr>
              <w:spacing w:line="259" w:lineRule="auto"/>
              <w:jc w:val="center"/>
              <w:rPr>
                <w:rFonts w:ascii="Times New Roman" w:eastAsia="Calibri" w:hAnsi="Times New Roman" w:cs="Times New Roman"/>
                <w:bCs/>
                <w:sz w:val="20"/>
                <w:szCs w:val="20"/>
                <w:lang w:val="ro-MD"/>
              </w:rPr>
            </w:pPr>
            <w:r w:rsidRPr="0080251F">
              <w:rPr>
                <w:rFonts w:ascii="Times New Roman" w:eastAsia="Calibri" w:hAnsi="Times New Roman" w:cs="Times New Roman"/>
                <w:b/>
                <w:bCs/>
                <w:sz w:val="20"/>
                <w:szCs w:val="20"/>
                <w:lang w:val="ro-MD"/>
              </w:rPr>
              <w:t>ANRE</w:t>
            </w:r>
          </w:p>
        </w:tc>
        <w:tc>
          <w:tcPr>
            <w:tcW w:w="1156" w:type="dxa"/>
            <w:vAlign w:val="center"/>
          </w:tcPr>
          <w:p w14:paraId="0142F6F8"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Cauza neacceptării</w:t>
            </w:r>
          </w:p>
          <w:p w14:paraId="010946D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 xml:space="preserve">de către </w:t>
            </w:r>
          </w:p>
          <w:p w14:paraId="5BEE4E5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20"/>
                <w:szCs w:val="20"/>
                <w:lang w:val="ro-MD"/>
              </w:rPr>
            </w:pPr>
            <w:r w:rsidRPr="0080251F">
              <w:rPr>
                <w:rFonts w:ascii="Times New Roman" w:eastAsia="Calibri" w:hAnsi="Times New Roman" w:cs="Times New Roman"/>
                <w:b/>
                <w:bCs/>
                <w:sz w:val="20"/>
                <w:szCs w:val="20"/>
                <w:lang w:val="ro-MD"/>
              </w:rPr>
              <w:t>ANRE</w:t>
            </w:r>
          </w:p>
        </w:tc>
      </w:tr>
      <w:tr w:rsidR="003C5C43" w:rsidRPr="0080251F" w14:paraId="59162610" w14:textId="77777777" w:rsidTr="00FA6CC7">
        <w:tc>
          <w:tcPr>
            <w:tcW w:w="518" w:type="dxa"/>
            <w:shd w:val="clear" w:color="auto" w:fill="auto"/>
            <w:vAlign w:val="center"/>
          </w:tcPr>
          <w:p w14:paraId="73AB990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A</w:t>
            </w:r>
          </w:p>
        </w:tc>
        <w:tc>
          <w:tcPr>
            <w:tcW w:w="3730" w:type="dxa"/>
            <w:shd w:val="clear" w:color="auto" w:fill="auto"/>
            <w:vAlign w:val="center"/>
          </w:tcPr>
          <w:p w14:paraId="191B561A"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 xml:space="preserve">Investiții în construcții de noi rețele și noi capacități de producere </w:t>
            </w:r>
          </w:p>
        </w:tc>
        <w:tc>
          <w:tcPr>
            <w:tcW w:w="992" w:type="dxa"/>
            <w:vAlign w:val="center"/>
          </w:tcPr>
          <w:p w14:paraId="48C2D6E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949,5</w:t>
            </w:r>
          </w:p>
        </w:tc>
        <w:tc>
          <w:tcPr>
            <w:tcW w:w="992" w:type="dxa"/>
            <w:vAlign w:val="center"/>
          </w:tcPr>
          <w:p w14:paraId="75BBED67"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949,5</w:t>
            </w:r>
          </w:p>
        </w:tc>
        <w:tc>
          <w:tcPr>
            <w:tcW w:w="1130" w:type="dxa"/>
            <w:vAlign w:val="center"/>
          </w:tcPr>
          <w:p w14:paraId="458F882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949,5</w:t>
            </w:r>
          </w:p>
        </w:tc>
        <w:tc>
          <w:tcPr>
            <w:tcW w:w="1116" w:type="dxa"/>
            <w:vAlign w:val="center"/>
          </w:tcPr>
          <w:p w14:paraId="2E67CE49"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56" w:type="dxa"/>
            <w:vMerge w:val="restart"/>
            <w:vAlign w:val="center"/>
          </w:tcPr>
          <w:p w14:paraId="5F61993D"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p w14:paraId="3E40A76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 depășirea valorii aprobate: 1193,4</w:t>
            </w:r>
          </w:p>
          <w:p w14:paraId="5162157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p w14:paraId="3ADF7A23" w14:textId="0A91C1AE"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 în afar</w:t>
            </w:r>
            <w:r w:rsidR="00E6433E" w:rsidRPr="0080251F">
              <w:rPr>
                <w:rFonts w:ascii="Times New Roman" w:eastAsia="Calibri" w:hAnsi="Times New Roman" w:cs="Times New Roman"/>
                <w:bCs/>
                <w:sz w:val="18"/>
                <w:szCs w:val="18"/>
                <w:lang w:val="ro-MD"/>
              </w:rPr>
              <w:t xml:space="preserve">a </w:t>
            </w:r>
            <w:r w:rsidRPr="0080251F">
              <w:rPr>
                <w:rFonts w:ascii="Times New Roman" w:eastAsia="Calibri" w:hAnsi="Times New Roman" w:cs="Times New Roman"/>
                <w:bCs/>
                <w:sz w:val="18"/>
                <w:szCs w:val="18"/>
                <w:lang w:val="ro-MD"/>
              </w:rPr>
              <w:t xml:space="preserve"> planului: </w:t>
            </w:r>
          </w:p>
          <w:p w14:paraId="2A5D51C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810,6</w:t>
            </w:r>
          </w:p>
        </w:tc>
      </w:tr>
      <w:tr w:rsidR="003C5C43" w:rsidRPr="0080251F" w14:paraId="14684AA7" w14:textId="77777777" w:rsidTr="00FA6CC7">
        <w:tc>
          <w:tcPr>
            <w:tcW w:w="518" w:type="dxa"/>
            <w:shd w:val="clear" w:color="auto" w:fill="auto"/>
            <w:vAlign w:val="center"/>
          </w:tcPr>
          <w:p w14:paraId="41BF228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B</w:t>
            </w:r>
          </w:p>
        </w:tc>
        <w:tc>
          <w:tcPr>
            <w:tcW w:w="3730" w:type="dxa"/>
            <w:shd w:val="clear" w:color="auto" w:fill="auto"/>
            <w:vAlign w:val="center"/>
          </w:tcPr>
          <w:p w14:paraId="5C9D8D42"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rețele și capacități de producere existente</w:t>
            </w:r>
          </w:p>
        </w:tc>
        <w:tc>
          <w:tcPr>
            <w:tcW w:w="992" w:type="dxa"/>
            <w:vAlign w:val="center"/>
          </w:tcPr>
          <w:p w14:paraId="2340F77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186318,2</w:t>
            </w:r>
          </w:p>
        </w:tc>
        <w:tc>
          <w:tcPr>
            <w:tcW w:w="992" w:type="dxa"/>
            <w:vAlign w:val="center"/>
          </w:tcPr>
          <w:p w14:paraId="0E63607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184 887,8</w:t>
            </w:r>
          </w:p>
        </w:tc>
        <w:tc>
          <w:tcPr>
            <w:tcW w:w="1130" w:type="dxa"/>
            <w:vAlign w:val="center"/>
          </w:tcPr>
          <w:p w14:paraId="15775CF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183330,0</w:t>
            </w:r>
          </w:p>
        </w:tc>
        <w:tc>
          <w:tcPr>
            <w:tcW w:w="1116" w:type="dxa"/>
            <w:vAlign w:val="center"/>
          </w:tcPr>
          <w:p w14:paraId="1F372782"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1557,7</w:t>
            </w:r>
          </w:p>
        </w:tc>
        <w:tc>
          <w:tcPr>
            <w:tcW w:w="1156" w:type="dxa"/>
            <w:vMerge/>
            <w:vAlign w:val="center"/>
          </w:tcPr>
          <w:p w14:paraId="21F378A6"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070AEF12" w14:textId="77777777" w:rsidTr="00FA6CC7">
        <w:tc>
          <w:tcPr>
            <w:tcW w:w="518" w:type="dxa"/>
            <w:shd w:val="clear" w:color="auto" w:fill="auto"/>
            <w:vAlign w:val="center"/>
          </w:tcPr>
          <w:p w14:paraId="0004B40D"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C</w:t>
            </w:r>
          </w:p>
        </w:tc>
        <w:tc>
          <w:tcPr>
            <w:tcW w:w="3730" w:type="dxa"/>
            <w:shd w:val="clear" w:color="auto" w:fill="auto"/>
            <w:vAlign w:val="center"/>
          </w:tcPr>
          <w:p w14:paraId="4F7BFFDC"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mijloace de transport, mașinii, mecanisme, utilaje mecanice</w:t>
            </w:r>
          </w:p>
        </w:tc>
        <w:tc>
          <w:tcPr>
            <w:tcW w:w="992" w:type="dxa"/>
            <w:vAlign w:val="center"/>
          </w:tcPr>
          <w:p w14:paraId="63136A0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3942,3</w:t>
            </w:r>
          </w:p>
        </w:tc>
        <w:tc>
          <w:tcPr>
            <w:tcW w:w="992" w:type="dxa"/>
            <w:vAlign w:val="center"/>
          </w:tcPr>
          <w:p w14:paraId="7AD82EDD"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3924,0</w:t>
            </w:r>
          </w:p>
        </w:tc>
        <w:tc>
          <w:tcPr>
            <w:tcW w:w="1130" w:type="dxa"/>
            <w:vAlign w:val="center"/>
          </w:tcPr>
          <w:p w14:paraId="528AD2B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3942,1</w:t>
            </w:r>
          </w:p>
        </w:tc>
        <w:tc>
          <w:tcPr>
            <w:tcW w:w="1116" w:type="dxa"/>
            <w:vAlign w:val="center"/>
          </w:tcPr>
          <w:p w14:paraId="32C1944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56" w:type="dxa"/>
            <w:vMerge/>
            <w:vAlign w:val="center"/>
          </w:tcPr>
          <w:p w14:paraId="47619E8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0D6399C2" w14:textId="77777777" w:rsidTr="00FA6CC7">
        <w:tc>
          <w:tcPr>
            <w:tcW w:w="518" w:type="dxa"/>
            <w:shd w:val="clear" w:color="auto" w:fill="auto"/>
            <w:vAlign w:val="center"/>
          </w:tcPr>
          <w:p w14:paraId="49823318"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D</w:t>
            </w:r>
          </w:p>
        </w:tc>
        <w:tc>
          <w:tcPr>
            <w:tcW w:w="3730" w:type="dxa"/>
            <w:shd w:val="clear" w:color="auto" w:fill="auto"/>
            <w:vAlign w:val="center"/>
          </w:tcPr>
          <w:p w14:paraId="22EF0A58" w14:textId="6EE1D3BB"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 xml:space="preserve">Investiții în echipamente de măsurare, aparate de control </w:t>
            </w:r>
            <w:r w:rsidR="009E63E7" w:rsidRPr="0080251F">
              <w:rPr>
                <w:rFonts w:ascii="Times New Roman" w:eastAsia="Calibri" w:hAnsi="Times New Roman" w:cs="Times New Roman"/>
                <w:bCs/>
                <w:sz w:val="20"/>
                <w:szCs w:val="20"/>
                <w:lang w:val="ro-MD"/>
              </w:rPr>
              <w:t>și</w:t>
            </w:r>
            <w:r w:rsidRPr="0080251F">
              <w:rPr>
                <w:rFonts w:ascii="Times New Roman" w:eastAsia="Calibri" w:hAnsi="Times New Roman" w:cs="Times New Roman"/>
                <w:bCs/>
                <w:sz w:val="20"/>
                <w:szCs w:val="20"/>
                <w:lang w:val="ro-MD"/>
              </w:rPr>
              <w:t xml:space="preserve"> diagnostică, inclusiv aferente rețelelor</w:t>
            </w:r>
          </w:p>
        </w:tc>
        <w:tc>
          <w:tcPr>
            <w:tcW w:w="992" w:type="dxa"/>
            <w:vAlign w:val="center"/>
          </w:tcPr>
          <w:p w14:paraId="476C97A7"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7394,8</w:t>
            </w:r>
          </w:p>
        </w:tc>
        <w:tc>
          <w:tcPr>
            <w:tcW w:w="992" w:type="dxa"/>
            <w:vAlign w:val="center"/>
          </w:tcPr>
          <w:p w14:paraId="2C02B8A9"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7289,7</w:t>
            </w:r>
          </w:p>
        </w:tc>
        <w:tc>
          <w:tcPr>
            <w:tcW w:w="1130" w:type="dxa"/>
            <w:vAlign w:val="center"/>
          </w:tcPr>
          <w:p w14:paraId="7F7300C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6989,7</w:t>
            </w:r>
          </w:p>
        </w:tc>
        <w:tc>
          <w:tcPr>
            <w:tcW w:w="1116" w:type="dxa"/>
            <w:vAlign w:val="center"/>
          </w:tcPr>
          <w:p w14:paraId="79F30819"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300,0</w:t>
            </w:r>
          </w:p>
        </w:tc>
        <w:tc>
          <w:tcPr>
            <w:tcW w:w="1156" w:type="dxa"/>
            <w:vMerge/>
            <w:vAlign w:val="center"/>
          </w:tcPr>
          <w:p w14:paraId="7B8A8D8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701A2A80" w14:textId="77777777" w:rsidTr="003C5C43">
        <w:tc>
          <w:tcPr>
            <w:tcW w:w="518" w:type="dxa"/>
            <w:vAlign w:val="center"/>
          </w:tcPr>
          <w:p w14:paraId="410E5FB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E</w:t>
            </w:r>
          </w:p>
        </w:tc>
        <w:tc>
          <w:tcPr>
            <w:tcW w:w="3730" w:type="dxa"/>
            <w:vAlign w:val="center"/>
          </w:tcPr>
          <w:p w14:paraId="5F7C0C09" w14:textId="214B7390"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 xml:space="preserve">Investiții în clădiri </w:t>
            </w:r>
            <w:r w:rsidR="007865D4" w:rsidRPr="0080251F">
              <w:rPr>
                <w:rFonts w:ascii="Times New Roman" w:eastAsia="Calibri" w:hAnsi="Times New Roman" w:cs="Times New Roman"/>
                <w:bCs/>
                <w:sz w:val="20"/>
                <w:szCs w:val="20"/>
                <w:lang w:val="ro-MD"/>
              </w:rPr>
              <w:t>și</w:t>
            </w:r>
            <w:r w:rsidRPr="0080251F">
              <w:rPr>
                <w:rFonts w:ascii="Times New Roman" w:eastAsia="Calibri" w:hAnsi="Times New Roman" w:cs="Times New Roman"/>
                <w:bCs/>
                <w:sz w:val="20"/>
                <w:szCs w:val="20"/>
                <w:lang w:val="ro-MD"/>
              </w:rPr>
              <w:t xml:space="preserve"> construcții, inclusiv aferente rețelelor</w:t>
            </w:r>
          </w:p>
        </w:tc>
        <w:tc>
          <w:tcPr>
            <w:tcW w:w="992" w:type="dxa"/>
            <w:vAlign w:val="center"/>
          </w:tcPr>
          <w:p w14:paraId="34E69375"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2785,4</w:t>
            </w:r>
          </w:p>
        </w:tc>
        <w:tc>
          <w:tcPr>
            <w:tcW w:w="992" w:type="dxa"/>
            <w:vAlign w:val="center"/>
          </w:tcPr>
          <w:p w14:paraId="0CB3AF59"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2723,3</w:t>
            </w:r>
          </w:p>
        </w:tc>
        <w:tc>
          <w:tcPr>
            <w:tcW w:w="1130" w:type="dxa"/>
            <w:vAlign w:val="center"/>
          </w:tcPr>
          <w:p w14:paraId="645A938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2600,1</w:t>
            </w:r>
          </w:p>
        </w:tc>
        <w:tc>
          <w:tcPr>
            <w:tcW w:w="1116" w:type="dxa"/>
            <w:vAlign w:val="center"/>
          </w:tcPr>
          <w:p w14:paraId="01DA12E9"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123,22</w:t>
            </w:r>
          </w:p>
        </w:tc>
        <w:tc>
          <w:tcPr>
            <w:tcW w:w="1156" w:type="dxa"/>
            <w:vMerge/>
            <w:vAlign w:val="center"/>
          </w:tcPr>
          <w:p w14:paraId="261433F6"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10FB66C8" w14:textId="77777777" w:rsidTr="003C5C43">
        <w:tc>
          <w:tcPr>
            <w:tcW w:w="518" w:type="dxa"/>
            <w:vAlign w:val="center"/>
          </w:tcPr>
          <w:p w14:paraId="36DD61F1"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F</w:t>
            </w:r>
          </w:p>
        </w:tc>
        <w:tc>
          <w:tcPr>
            <w:tcW w:w="3730" w:type="dxa"/>
            <w:vAlign w:val="center"/>
          </w:tcPr>
          <w:p w14:paraId="660334B0"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tehnică de calcul, telecomunicații</w:t>
            </w:r>
          </w:p>
        </w:tc>
        <w:tc>
          <w:tcPr>
            <w:tcW w:w="992" w:type="dxa"/>
            <w:vAlign w:val="center"/>
          </w:tcPr>
          <w:p w14:paraId="2409317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780,0</w:t>
            </w:r>
          </w:p>
        </w:tc>
        <w:tc>
          <w:tcPr>
            <w:tcW w:w="992" w:type="dxa"/>
            <w:vAlign w:val="center"/>
          </w:tcPr>
          <w:p w14:paraId="0FBC2AF5"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608,0</w:t>
            </w:r>
          </w:p>
        </w:tc>
        <w:tc>
          <w:tcPr>
            <w:tcW w:w="1130" w:type="dxa"/>
            <w:vAlign w:val="center"/>
          </w:tcPr>
          <w:p w14:paraId="40C8A25D"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585,0</w:t>
            </w:r>
          </w:p>
        </w:tc>
        <w:tc>
          <w:tcPr>
            <w:tcW w:w="1116" w:type="dxa"/>
            <w:vAlign w:val="center"/>
          </w:tcPr>
          <w:p w14:paraId="6C09ADD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22,95</w:t>
            </w:r>
          </w:p>
        </w:tc>
        <w:tc>
          <w:tcPr>
            <w:tcW w:w="1156" w:type="dxa"/>
            <w:vMerge/>
            <w:vAlign w:val="center"/>
          </w:tcPr>
          <w:p w14:paraId="4A5DF135"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60108B1C" w14:textId="77777777" w:rsidTr="003C5C43">
        <w:tc>
          <w:tcPr>
            <w:tcW w:w="518" w:type="dxa"/>
            <w:vAlign w:val="center"/>
          </w:tcPr>
          <w:p w14:paraId="17A2C90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G</w:t>
            </w:r>
          </w:p>
        </w:tc>
        <w:tc>
          <w:tcPr>
            <w:tcW w:w="3730" w:type="dxa"/>
            <w:vAlign w:val="center"/>
          </w:tcPr>
          <w:p w14:paraId="5B078249"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Investiții în imobilizări necorporale (programe, licențe etc.)</w:t>
            </w:r>
          </w:p>
        </w:tc>
        <w:tc>
          <w:tcPr>
            <w:tcW w:w="992" w:type="dxa"/>
            <w:vAlign w:val="center"/>
          </w:tcPr>
          <w:p w14:paraId="4A1E1BD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2132,0</w:t>
            </w:r>
          </w:p>
        </w:tc>
        <w:tc>
          <w:tcPr>
            <w:tcW w:w="992" w:type="dxa"/>
            <w:vAlign w:val="center"/>
          </w:tcPr>
          <w:p w14:paraId="001DC69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30" w:type="dxa"/>
            <w:vAlign w:val="center"/>
          </w:tcPr>
          <w:p w14:paraId="11595CE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16" w:type="dxa"/>
            <w:vAlign w:val="center"/>
          </w:tcPr>
          <w:p w14:paraId="2C4D40D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56" w:type="dxa"/>
            <w:vMerge/>
            <w:vAlign w:val="center"/>
          </w:tcPr>
          <w:p w14:paraId="2ABE42A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4DAF277A" w14:textId="77777777" w:rsidTr="003C5C43">
        <w:tc>
          <w:tcPr>
            <w:tcW w:w="518" w:type="dxa"/>
            <w:vAlign w:val="center"/>
          </w:tcPr>
          <w:p w14:paraId="75B5AE13"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H</w:t>
            </w:r>
          </w:p>
        </w:tc>
        <w:tc>
          <w:tcPr>
            <w:tcW w:w="3730" w:type="dxa"/>
            <w:vAlign w:val="center"/>
          </w:tcPr>
          <w:p w14:paraId="55E4073C" w14:textId="77777777" w:rsidR="003C5C43" w:rsidRPr="0080251F" w:rsidRDefault="003C5C43" w:rsidP="00230F14">
            <w:pPr>
              <w:tabs>
                <w:tab w:val="left" w:pos="851"/>
              </w:tabs>
              <w:spacing w:line="259" w:lineRule="auto"/>
              <w:contextualSpacing/>
              <w:rPr>
                <w:rFonts w:ascii="Times New Roman" w:eastAsia="Calibri" w:hAnsi="Times New Roman" w:cs="Times New Roman"/>
                <w:bCs/>
                <w:sz w:val="20"/>
                <w:szCs w:val="20"/>
                <w:lang w:val="ro-MD"/>
              </w:rPr>
            </w:pPr>
            <w:r w:rsidRPr="0080251F">
              <w:rPr>
                <w:rFonts w:ascii="Times New Roman" w:eastAsia="Calibri" w:hAnsi="Times New Roman" w:cs="Times New Roman"/>
                <w:bCs/>
                <w:sz w:val="20"/>
                <w:szCs w:val="20"/>
                <w:lang w:val="ro-MD"/>
              </w:rPr>
              <w:t>Alte investiții legate de activitatea licențiată</w:t>
            </w:r>
          </w:p>
        </w:tc>
        <w:tc>
          <w:tcPr>
            <w:tcW w:w="992" w:type="dxa"/>
            <w:vAlign w:val="center"/>
          </w:tcPr>
          <w:p w14:paraId="27F67E36"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992" w:type="dxa"/>
            <w:vAlign w:val="center"/>
          </w:tcPr>
          <w:p w14:paraId="3654A94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30" w:type="dxa"/>
            <w:vAlign w:val="center"/>
          </w:tcPr>
          <w:p w14:paraId="68EF8D9E"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16" w:type="dxa"/>
            <w:vAlign w:val="center"/>
          </w:tcPr>
          <w:p w14:paraId="4918CB67"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r w:rsidRPr="0080251F">
              <w:rPr>
                <w:rFonts w:ascii="Times New Roman" w:eastAsia="Calibri" w:hAnsi="Times New Roman" w:cs="Times New Roman"/>
                <w:bCs/>
                <w:sz w:val="18"/>
                <w:szCs w:val="18"/>
                <w:lang w:val="ro-MD"/>
              </w:rPr>
              <w:t>0,0</w:t>
            </w:r>
          </w:p>
        </w:tc>
        <w:tc>
          <w:tcPr>
            <w:tcW w:w="1156" w:type="dxa"/>
            <w:vMerge/>
            <w:vAlign w:val="center"/>
          </w:tcPr>
          <w:p w14:paraId="57400290"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Cs/>
                <w:sz w:val="18"/>
                <w:szCs w:val="18"/>
                <w:lang w:val="ro-MD"/>
              </w:rPr>
            </w:pPr>
          </w:p>
        </w:tc>
      </w:tr>
      <w:tr w:rsidR="003C5C43" w:rsidRPr="0080251F" w14:paraId="7AAAF9A5" w14:textId="77777777" w:rsidTr="003C5C43">
        <w:tc>
          <w:tcPr>
            <w:tcW w:w="4248" w:type="dxa"/>
            <w:gridSpan w:val="2"/>
            <w:vAlign w:val="center"/>
          </w:tcPr>
          <w:p w14:paraId="538A5301" w14:textId="77777777" w:rsidR="003C5C43" w:rsidRPr="0080251F" w:rsidRDefault="003C5C43" w:rsidP="00230F14">
            <w:pPr>
              <w:tabs>
                <w:tab w:val="left" w:pos="851"/>
              </w:tabs>
              <w:spacing w:line="259" w:lineRule="auto"/>
              <w:contextualSpacing/>
              <w:rPr>
                <w:rFonts w:ascii="Times New Roman" w:eastAsia="Calibri" w:hAnsi="Times New Roman" w:cs="Times New Roman"/>
                <w:b/>
                <w:bCs/>
                <w:sz w:val="20"/>
                <w:szCs w:val="20"/>
                <w:lang w:val="ro-MD"/>
              </w:rPr>
            </w:pPr>
            <w:r w:rsidRPr="0080251F">
              <w:rPr>
                <w:rFonts w:ascii="Times New Roman" w:eastAsia="Calibri" w:hAnsi="Times New Roman" w:cs="Times New Roman"/>
                <w:b/>
                <w:bCs/>
                <w:sz w:val="20"/>
                <w:szCs w:val="20"/>
                <w:lang w:val="ro-MD"/>
              </w:rPr>
              <w:t>Total:</w:t>
            </w:r>
          </w:p>
        </w:tc>
        <w:tc>
          <w:tcPr>
            <w:tcW w:w="992" w:type="dxa"/>
            <w:vAlign w:val="center"/>
          </w:tcPr>
          <w:p w14:paraId="7C9F257A"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r w:rsidRPr="0080251F">
              <w:rPr>
                <w:rFonts w:ascii="Times New Roman" w:eastAsia="Calibri" w:hAnsi="Times New Roman" w:cs="Times New Roman"/>
                <w:b/>
                <w:bCs/>
                <w:sz w:val="18"/>
                <w:szCs w:val="18"/>
                <w:lang w:val="ro-MD"/>
              </w:rPr>
              <w:t>204302,5</w:t>
            </w:r>
          </w:p>
        </w:tc>
        <w:tc>
          <w:tcPr>
            <w:tcW w:w="992" w:type="dxa"/>
            <w:vAlign w:val="center"/>
          </w:tcPr>
          <w:p w14:paraId="006DAA8B"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r w:rsidRPr="0080251F">
              <w:rPr>
                <w:rFonts w:ascii="Times New Roman" w:eastAsia="Calibri" w:hAnsi="Times New Roman" w:cs="Times New Roman"/>
                <w:b/>
                <w:bCs/>
                <w:sz w:val="18"/>
                <w:szCs w:val="18"/>
                <w:lang w:val="ro-MD"/>
              </w:rPr>
              <w:t>200382,5</w:t>
            </w:r>
          </w:p>
        </w:tc>
        <w:tc>
          <w:tcPr>
            <w:tcW w:w="1130" w:type="dxa"/>
            <w:vAlign w:val="center"/>
          </w:tcPr>
          <w:p w14:paraId="0A34354C"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r w:rsidRPr="0080251F">
              <w:rPr>
                <w:rFonts w:ascii="Times New Roman" w:eastAsia="Calibri" w:hAnsi="Times New Roman" w:cs="Times New Roman"/>
                <w:b/>
                <w:bCs/>
                <w:sz w:val="18"/>
                <w:szCs w:val="18"/>
                <w:lang w:val="ro-MD"/>
              </w:rPr>
              <w:t>198378,5</w:t>
            </w:r>
          </w:p>
        </w:tc>
        <w:tc>
          <w:tcPr>
            <w:tcW w:w="1116" w:type="dxa"/>
            <w:vAlign w:val="center"/>
          </w:tcPr>
          <w:p w14:paraId="0FED4AD4"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r w:rsidRPr="0080251F">
              <w:rPr>
                <w:rFonts w:ascii="Times New Roman" w:eastAsia="Calibri" w:hAnsi="Times New Roman" w:cs="Times New Roman"/>
                <w:b/>
                <w:bCs/>
                <w:sz w:val="18"/>
                <w:szCs w:val="18"/>
                <w:lang w:val="ro-MD"/>
              </w:rPr>
              <w:t>2004,0</w:t>
            </w:r>
          </w:p>
        </w:tc>
        <w:tc>
          <w:tcPr>
            <w:tcW w:w="1156" w:type="dxa"/>
            <w:vMerge/>
            <w:vAlign w:val="center"/>
          </w:tcPr>
          <w:p w14:paraId="1D5C580F" w14:textId="77777777" w:rsidR="003C5C43" w:rsidRPr="0080251F" w:rsidRDefault="003C5C43" w:rsidP="00230F14">
            <w:pPr>
              <w:tabs>
                <w:tab w:val="left" w:pos="851"/>
              </w:tabs>
              <w:spacing w:line="259" w:lineRule="auto"/>
              <w:contextualSpacing/>
              <w:jc w:val="center"/>
              <w:rPr>
                <w:rFonts w:ascii="Times New Roman" w:eastAsia="Calibri" w:hAnsi="Times New Roman" w:cs="Times New Roman"/>
                <w:b/>
                <w:bCs/>
                <w:sz w:val="18"/>
                <w:szCs w:val="18"/>
                <w:lang w:val="ro-MD"/>
              </w:rPr>
            </w:pPr>
          </w:p>
        </w:tc>
      </w:tr>
    </w:tbl>
    <w:p w14:paraId="0C382E5C" w14:textId="186DE38F" w:rsidR="003C5C43" w:rsidRPr="0080251F" w:rsidRDefault="003C5C43" w:rsidP="00025E26">
      <w:pPr>
        <w:spacing w:line="240" w:lineRule="auto"/>
        <w:jc w:val="both"/>
        <w:rPr>
          <w:rFonts w:ascii="Times New Roman" w:eastAsia="Calibri" w:hAnsi="Times New Roman" w:cs="Times New Roman"/>
          <w:i/>
          <w:sz w:val="18"/>
          <w:szCs w:val="18"/>
          <w:lang w:val="ro-MD"/>
        </w:rPr>
      </w:pPr>
      <w:r w:rsidRPr="0080251F">
        <w:rPr>
          <w:rFonts w:ascii="Times New Roman" w:eastAsia="Calibri" w:hAnsi="Times New Roman" w:cs="Times New Roman"/>
          <w:b/>
          <w:i/>
          <w:sz w:val="18"/>
          <w:szCs w:val="18"/>
          <w:lang w:val="ro-MD"/>
        </w:rPr>
        <w:t>Sursă:</w:t>
      </w:r>
      <w:r w:rsidRPr="0080251F">
        <w:rPr>
          <w:rFonts w:ascii="Times New Roman" w:eastAsia="Calibri" w:hAnsi="Times New Roman" w:cs="Times New Roman"/>
          <w:i/>
          <w:sz w:val="18"/>
          <w:szCs w:val="18"/>
          <w:lang w:val="ro-MD"/>
        </w:rPr>
        <w:t xml:space="preserve"> Darea de seamă prezentată </w:t>
      </w:r>
      <w:r w:rsidR="00025E26" w:rsidRPr="0080251F">
        <w:rPr>
          <w:rFonts w:ascii="Times New Roman" w:eastAsia="Calibri" w:hAnsi="Times New Roman" w:cs="Times New Roman"/>
          <w:i/>
          <w:sz w:val="18"/>
          <w:szCs w:val="18"/>
          <w:lang w:val="ro-MD"/>
        </w:rPr>
        <w:t xml:space="preserve">ANRE </w:t>
      </w:r>
      <w:r w:rsidRPr="0080251F">
        <w:rPr>
          <w:rFonts w:ascii="Times New Roman" w:eastAsia="Calibri" w:hAnsi="Times New Roman" w:cs="Times New Roman"/>
          <w:i/>
          <w:sz w:val="18"/>
          <w:szCs w:val="18"/>
          <w:lang w:val="ro-MD"/>
        </w:rPr>
        <w:t>de către S.A. „RED-Nord”.</w:t>
      </w:r>
    </w:p>
    <w:p w14:paraId="62574195" w14:textId="5658987A" w:rsidR="003C5C43" w:rsidRPr="0080251F" w:rsidRDefault="003C5C43" w:rsidP="007C734F">
      <w:pPr>
        <w:tabs>
          <w:tab w:val="left" w:pos="993"/>
        </w:tabs>
        <w:spacing w:after="0" w:line="276" w:lineRule="auto"/>
        <w:ind w:firstLine="709"/>
        <w:jc w:val="both"/>
        <w:rPr>
          <w:rFonts w:ascii="Times New Roman" w:eastAsia="Times New Roman" w:hAnsi="Times New Roman" w:cs="Times New Roman"/>
          <w:bCs/>
          <w:sz w:val="24"/>
          <w:szCs w:val="24"/>
          <w:lang w:val="ro-MD"/>
        </w:rPr>
      </w:pPr>
      <w:r w:rsidRPr="0080251F">
        <w:rPr>
          <w:rFonts w:ascii="Times New Roman" w:eastAsia="Times New Roman" w:hAnsi="Times New Roman" w:cs="Times New Roman"/>
          <w:sz w:val="24"/>
          <w:szCs w:val="24"/>
          <w:lang w:val="ro-MD"/>
        </w:rPr>
        <w:t xml:space="preserve">Cauza </w:t>
      </w:r>
      <w:r w:rsidRPr="0080251F">
        <w:rPr>
          <w:rFonts w:ascii="Times New Roman" w:eastAsia="Times New Roman" w:hAnsi="Times New Roman" w:cs="Times New Roman"/>
          <w:bCs/>
          <w:sz w:val="24"/>
          <w:szCs w:val="24"/>
          <w:lang w:val="ro-MD"/>
        </w:rPr>
        <w:t>depășirii valorii aprobate</w:t>
      </w:r>
      <w:r w:rsidRPr="0080251F">
        <w:rPr>
          <w:rFonts w:ascii="Times New Roman" w:eastAsia="Times New Roman" w:hAnsi="Times New Roman" w:cs="Times New Roman"/>
          <w:sz w:val="24"/>
          <w:szCs w:val="24"/>
          <w:lang w:val="ro-MD"/>
        </w:rPr>
        <w:t xml:space="preserve"> și neac</w:t>
      </w:r>
      <w:r w:rsidRPr="0080251F">
        <w:rPr>
          <w:rFonts w:ascii="Times New Roman" w:eastAsia="Times New Roman" w:hAnsi="Times New Roman" w:cs="Times New Roman"/>
          <w:bCs/>
          <w:sz w:val="24"/>
          <w:szCs w:val="24"/>
          <w:lang w:val="ro-MD"/>
        </w:rPr>
        <w:t>ceptării în scopuri tarifare a unor invest</w:t>
      </w:r>
      <w:r w:rsidR="0052140D" w:rsidRPr="0080251F">
        <w:rPr>
          <w:rFonts w:ascii="Times New Roman" w:eastAsia="Times New Roman" w:hAnsi="Times New Roman" w:cs="Times New Roman"/>
          <w:bCs/>
          <w:sz w:val="24"/>
          <w:szCs w:val="24"/>
          <w:lang w:val="ro-MD"/>
        </w:rPr>
        <w:t>iții realizate în sumă de 2,0 mil.</w:t>
      </w:r>
      <w:r w:rsidRPr="0080251F">
        <w:rPr>
          <w:rFonts w:ascii="Times New Roman" w:eastAsia="Times New Roman" w:hAnsi="Times New Roman" w:cs="Times New Roman"/>
          <w:bCs/>
          <w:sz w:val="24"/>
          <w:szCs w:val="24"/>
          <w:lang w:val="ro-MD"/>
        </w:rPr>
        <w:t xml:space="preserve"> lei</w:t>
      </w:r>
      <w:r w:rsidRPr="0080251F">
        <w:rPr>
          <w:rFonts w:ascii="Times New Roman" w:eastAsia="Times New Roman" w:hAnsi="Times New Roman" w:cs="Times New Roman"/>
          <w:b/>
          <w:bCs/>
          <w:sz w:val="24"/>
          <w:szCs w:val="24"/>
          <w:lang w:val="ro-MD"/>
        </w:rPr>
        <w:t xml:space="preserve"> </w:t>
      </w:r>
      <w:r w:rsidRPr="0080251F">
        <w:rPr>
          <w:rFonts w:ascii="Times New Roman" w:eastAsia="Times New Roman" w:hAnsi="Times New Roman" w:cs="Times New Roman"/>
          <w:bCs/>
          <w:sz w:val="24"/>
          <w:szCs w:val="24"/>
          <w:lang w:val="ro-MD"/>
        </w:rPr>
        <w:t xml:space="preserve">a constat în următoarele aspecte: </w:t>
      </w:r>
    </w:p>
    <w:p w14:paraId="487BD9E1" w14:textId="21214204" w:rsidR="003C5C43" w:rsidRPr="0080251F" w:rsidRDefault="003C5C43" w:rsidP="007C734F">
      <w:pPr>
        <w:numPr>
          <w:ilvl w:val="0"/>
          <w:numId w:val="8"/>
        </w:numPr>
        <w:tabs>
          <w:tab w:val="left" w:pos="0"/>
          <w:tab w:val="left" w:pos="567"/>
          <w:tab w:val="left" w:pos="851"/>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Executarea lucrărilor de reconstrucți</w:t>
      </w:r>
      <w:r w:rsidR="00543F58" w:rsidRPr="0080251F">
        <w:rPr>
          <w:rFonts w:ascii="Times New Roman" w:eastAsia="Times New Roman" w:hAnsi="Times New Roman" w:cs="Times New Roman"/>
          <w:sz w:val="24"/>
          <w:szCs w:val="24"/>
          <w:lang w:val="ro-MD"/>
        </w:rPr>
        <w:t>e-</w:t>
      </w:r>
      <w:r w:rsidRPr="0080251F">
        <w:rPr>
          <w:rFonts w:ascii="Times New Roman" w:eastAsia="Times New Roman" w:hAnsi="Times New Roman" w:cs="Times New Roman"/>
          <w:sz w:val="24"/>
          <w:szCs w:val="24"/>
          <w:lang w:val="ro-MD"/>
        </w:rPr>
        <w:t xml:space="preserve">montaj a liniilor electrice cu aplicarea soluțiilor constructiv-tehnice neplanificate, ceea ce a dus </w:t>
      </w:r>
      <w:r w:rsidR="00E6433E" w:rsidRPr="0080251F">
        <w:rPr>
          <w:rFonts w:ascii="Times New Roman" w:eastAsia="Times New Roman" w:hAnsi="Times New Roman" w:cs="Times New Roman"/>
          <w:sz w:val="24"/>
          <w:szCs w:val="24"/>
          <w:lang w:val="ro-MD"/>
        </w:rPr>
        <w:t xml:space="preserve">la </w:t>
      </w:r>
      <w:r w:rsidRPr="0080251F">
        <w:rPr>
          <w:rFonts w:ascii="Times New Roman" w:eastAsia="Times New Roman" w:hAnsi="Times New Roman" w:cs="Times New Roman"/>
          <w:sz w:val="24"/>
          <w:szCs w:val="24"/>
          <w:lang w:val="ro-MD"/>
        </w:rPr>
        <w:t>majorarea valorii finale a proiectelor investiționale planificate cu suma de 747,2 mii lei (valoarea bunurilor și lucrărilor peste limita regulamentară de 15,0%).</w:t>
      </w:r>
    </w:p>
    <w:p w14:paraId="52626407" w14:textId="65A3E934" w:rsidR="003C5C43" w:rsidRPr="0080251F" w:rsidRDefault="003C5C43" w:rsidP="007C734F">
      <w:pPr>
        <w:numPr>
          <w:ilvl w:val="0"/>
          <w:numId w:val="8"/>
        </w:numPr>
        <w:tabs>
          <w:tab w:val="left" w:pos="0"/>
          <w:tab w:val="left" w:pos="567"/>
          <w:tab w:val="left" w:pos="851"/>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Efectuarea cheltuielilor pentru instalarea contoarelor noi în sumă de 300,0 mii lei, care nu au fost aprobate prin planul de investiții pentru anul respectiv (situația a fost determinată de faptul că ÎS „CMAC” a refuzat executarea contractului de prestare a serviciilor de verificare metrologică).</w:t>
      </w:r>
    </w:p>
    <w:p w14:paraId="23A451D6" w14:textId="2B218C50" w:rsidR="003C5C43" w:rsidRPr="0080251F" w:rsidRDefault="003C5C43" w:rsidP="00F867D4">
      <w:pPr>
        <w:numPr>
          <w:ilvl w:val="0"/>
          <w:numId w:val="8"/>
        </w:numPr>
        <w:tabs>
          <w:tab w:val="left" w:pos="0"/>
          <w:tab w:val="left" w:pos="567"/>
          <w:tab w:val="left" w:pos="851"/>
          <w:tab w:val="left" w:pos="993"/>
        </w:tabs>
        <w:spacing w:after="0" w:line="276" w:lineRule="auto"/>
        <w:ind w:left="0" w:firstLine="709"/>
        <w:contextualSpacing/>
        <w:jc w:val="both"/>
        <w:rPr>
          <w:rFonts w:ascii="Times New Roman" w:eastAsia="Times New Roman" w:hAnsi="Times New Roman" w:cs="Times New Roman"/>
          <w:i/>
          <w:color w:val="FF0000"/>
          <w:sz w:val="24"/>
          <w:szCs w:val="24"/>
          <w:lang w:val="ro-MD"/>
        </w:rPr>
      </w:pPr>
      <w:r w:rsidRPr="0080251F">
        <w:rPr>
          <w:rFonts w:ascii="Times New Roman" w:eastAsia="Times New Roman" w:hAnsi="Times New Roman" w:cs="Times New Roman"/>
          <w:sz w:val="24"/>
          <w:szCs w:val="24"/>
          <w:lang w:val="ro-MD"/>
        </w:rPr>
        <w:t>Executarea lucrărilor de reparație capitală a transformatoarelor și construcțiilor în sumă de 933,8 mii lei și efectuarea</w:t>
      </w:r>
      <w:r w:rsidRPr="0080251F">
        <w:rPr>
          <w:rFonts w:ascii="Times New Roman" w:eastAsia="Times New Roman" w:hAnsi="Times New Roman" w:cs="Times New Roman"/>
          <w:b/>
          <w:bCs/>
          <w:sz w:val="24"/>
          <w:szCs w:val="24"/>
          <w:lang w:val="ro-MD"/>
        </w:rPr>
        <w:t xml:space="preserve"> </w:t>
      </w:r>
      <w:r w:rsidRPr="0080251F">
        <w:rPr>
          <w:rFonts w:ascii="Times New Roman" w:eastAsia="Times New Roman" w:hAnsi="Times New Roman" w:cs="Times New Roman"/>
          <w:bCs/>
          <w:sz w:val="24"/>
          <w:szCs w:val="24"/>
          <w:lang w:val="ro-MD"/>
        </w:rPr>
        <w:t xml:space="preserve">cheltuielilor pentru procurarea tehnicii de calcul în sumă </w:t>
      </w:r>
      <w:r w:rsidR="00E06658" w:rsidRPr="0080251F">
        <w:rPr>
          <w:rFonts w:ascii="Times New Roman" w:eastAsia="Times New Roman" w:hAnsi="Times New Roman" w:cs="Times New Roman"/>
          <w:bCs/>
          <w:sz w:val="24"/>
          <w:szCs w:val="24"/>
          <w:lang w:val="ro-MD"/>
        </w:rPr>
        <w:t xml:space="preserve">de </w:t>
      </w:r>
      <w:r w:rsidRPr="0080251F">
        <w:rPr>
          <w:rFonts w:ascii="Times New Roman" w:eastAsia="Times New Roman" w:hAnsi="Times New Roman" w:cs="Times New Roman"/>
          <w:bCs/>
          <w:sz w:val="24"/>
          <w:szCs w:val="24"/>
          <w:lang w:val="ro-MD"/>
        </w:rPr>
        <w:t>23,0 mii lei</w:t>
      </w:r>
      <w:r w:rsidRPr="0080251F">
        <w:rPr>
          <w:rFonts w:ascii="Times New Roman" w:eastAsia="Times New Roman" w:hAnsi="Times New Roman" w:cs="Times New Roman"/>
          <w:sz w:val="24"/>
          <w:szCs w:val="24"/>
          <w:lang w:val="ro-MD"/>
        </w:rPr>
        <w:t>, care nu au fost aprobate prin planul de investiții pentru anul respectiv.</w:t>
      </w:r>
      <w:r w:rsidRPr="0080251F">
        <w:rPr>
          <w:rFonts w:ascii="Times New Roman" w:eastAsia="Calibri" w:hAnsi="Times New Roman" w:cs="Times New Roman"/>
          <w:sz w:val="24"/>
          <w:lang w:val="ro-MD"/>
        </w:rPr>
        <w:t xml:space="preserve"> Efectiv, lucrările de reparație capitală a transformatoarelor în sumă totală de 810,6 mii lei, conform prevederilor pct.37</w:t>
      </w:r>
      <w:r w:rsidRPr="0080251F">
        <w:rPr>
          <w:rFonts w:ascii="Times New Roman" w:eastAsia="Calibri" w:hAnsi="Times New Roman" w:cs="Times New Roman"/>
          <w:sz w:val="24"/>
          <w:vertAlign w:val="superscript"/>
          <w:lang w:val="ro-MD"/>
        </w:rPr>
        <w:footnoteReference w:id="128"/>
      </w:r>
      <w:r w:rsidRPr="0080251F">
        <w:rPr>
          <w:rFonts w:ascii="Times New Roman" w:eastAsia="Calibri" w:hAnsi="Times New Roman" w:cs="Times New Roman"/>
          <w:sz w:val="24"/>
          <w:lang w:val="ro-MD"/>
        </w:rPr>
        <w:t xml:space="preserve"> din </w:t>
      </w:r>
      <w:r w:rsidRPr="0080251F">
        <w:rPr>
          <w:rFonts w:ascii="Times New Roman" w:eastAsia="Calibri" w:hAnsi="Times New Roman" w:cs="Times New Roman"/>
          <w:bCs/>
          <w:sz w:val="24"/>
          <w:lang w:val="ro-MD"/>
        </w:rPr>
        <w:t xml:space="preserve">Regulamentul aprobat prin </w:t>
      </w:r>
      <w:r w:rsidR="009C40AB" w:rsidRPr="0080251F">
        <w:rPr>
          <w:rFonts w:ascii="Times New Roman" w:eastAsia="Calibri" w:hAnsi="Times New Roman" w:cs="Times New Roman"/>
          <w:bCs/>
          <w:sz w:val="24"/>
          <w:lang w:val="ro-MD"/>
        </w:rPr>
        <w:t>H</w:t>
      </w:r>
      <w:r w:rsidRPr="0080251F">
        <w:rPr>
          <w:rFonts w:ascii="Times New Roman" w:eastAsia="Calibri" w:hAnsi="Times New Roman" w:cs="Times New Roman"/>
          <w:bCs/>
          <w:sz w:val="24"/>
          <w:lang w:val="ro-MD"/>
        </w:rPr>
        <w:t>ANRE nr.283/2016 din 15.11.2016, au putut fi incluse în planul anual de investiții aprobat de ANRE, prin modificarea lui până la data</w:t>
      </w:r>
      <w:r w:rsidR="00E06658" w:rsidRPr="0080251F">
        <w:rPr>
          <w:rFonts w:ascii="Times New Roman" w:eastAsia="Calibri" w:hAnsi="Times New Roman" w:cs="Times New Roman"/>
          <w:bCs/>
          <w:sz w:val="24"/>
          <w:lang w:val="ro-MD"/>
        </w:rPr>
        <w:t>-</w:t>
      </w:r>
      <w:r w:rsidRPr="0080251F">
        <w:rPr>
          <w:rFonts w:ascii="Times New Roman" w:eastAsia="Calibri" w:hAnsi="Times New Roman" w:cs="Times New Roman"/>
          <w:bCs/>
          <w:sz w:val="24"/>
          <w:lang w:val="ro-MD"/>
        </w:rPr>
        <w:t xml:space="preserve">limită de 1 noiembrie, dar nu a </w:t>
      </w:r>
      <w:r w:rsidR="00E06658" w:rsidRPr="0080251F">
        <w:rPr>
          <w:rFonts w:ascii="Times New Roman" w:eastAsia="Calibri" w:hAnsi="Times New Roman" w:cs="Times New Roman"/>
          <w:bCs/>
          <w:sz w:val="24"/>
          <w:lang w:val="ro-MD"/>
        </w:rPr>
        <w:t xml:space="preserve">fost </w:t>
      </w:r>
      <w:r w:rsidRPr="0080251F">
        <w:rPr>
          <w:rFonts w:ascii="Times New Roman" w:eastAsia="Calibri" w:hAnsi="Times New Roman" w:cs="Times New Roman"/>
          <w:bCs/>
          <w:sz w:val="24"/>
          <w:lang w:val="ro-MD"/>
        </w:rPr>
        <w:t>utilizat acest drept.</w:t>
      </w:r>
    </w:p>
    <w:p w14:paraId="71E44ACB" w14:textId="41109DEC" w:rsidR="003C5C43" w:rsidRPr="0080251F" w:rsidRDefault="003C5C43" w:rsidP="00E3262D">
      <w:pPr>
        <w:tabs>
          <w:tab w:val="left" w:pos="0"/>
        </w:tabs>
        <w:spacing w:after="0" w:line="276" w:lineRule="auto"/>
        <w:jc w:val="both"/>
        <w:rPr>
          <w:rFonts w:ascii="Times New Roman" w:eastAsia="Times New Roman" w:hAnsi="Times New Roman" w:cs="Times New Roman"/>
          <w:b/>
          <w:i/>
          <w:iCs/>
          <w:sz w:val="24"/>
          <w:szCs w:val="24"/>
          <w:lang w:val="ro-MD"/>
        </w:rPr>
      </w:pPr>
      <w:r w:rsidRPr="0080251F">
        <w:rPr>
          <w:rFonts w:ascii="Times New Roman" w:eastAsia="Times New Roman" w:hAnsi="Times New Roman" w:cs="Times New Roman"/>
          <w:b/>
          <w:i/>
          <w:sz w:val="24"/>
          <w:szCs w:val="24"/>
          <w:lang w:val="ro-MD"/>
        </w:rPr>
        <w:t xml:space="preserve">4.6.1. </w:t>
      </w:r>
      <w:r w:rsidRPr="0080251F">
        <w:rPr>
          <w:rFonts w:ascii="Times New Roman" w:eastAsia="Times New Roman" w:hAnsi="Times New Roman" w:cs="Times New Roman"/>
          <w:b/>
          <w:i/>
          <w:iCs/>
          <w:sz w:val="24"/>
          <w:szCs w:val="24"/>
          <w:lang w:val="ro-MD"/>
        </w:rPr>
        <w:t>La executarea investițiilor capitale</w:t>
      </w:r>
      <w:r w:rsidRPr="0080251F">
        <w:rPr>
          <w:rFonts w:ascii="Times New Roman" w:eastAsia="Times New Roman" w:hAnsi="Times New Roman" w:cs="Times New Roman"/>
          <w:b/>
          <w:bCs/>
          <w:i/>
          <w:iCs/>
          <w:sz w:val="24"/>
          <w:szCs w:val="24"/>
          <w:lang w:val="ro-MD"/>
        </w:rPr>
        <w:t xml:space="preserve"> S.A. „RED-Nord”</w:t>
      </w:r>
      <w:r w:rsidRPr="0080251F">
        <w:rPr>
          <w:rFonts w:ascii="Times New Roman" w:eastAsia="Times New Roman" w:hAnsi="Times New Roman" w:cs="Times New Roman"/>
          <w:b/>
          <w:i/>
          <w:iCs/>
          <w:sz w:val="24"/>
          <w:szCs w:val="24"/>
          <w:lang w:val="ro-MD"/>
        </w:rPr>
        <w:t xml:space="preserve"> nu a asigurat în toate cazurile respectarea exigenț</w:t>
      </w:r>
      <w:r w:rsidR="00375BC9" w:rsidRPr="0080251F">
        <w:rPr>
          <w:rFonts w:ascii="Times New Roman" w:eastAsia="Times New Roman" w:hAnsi="Times New Roman" w:cs="Times New Roman"/>
          <w:b/>
          <w:i/>
          <w:iCs/>
          <w:sz w:val="24"/>
          <w:szCs w:val="24"/>
          <w:lang w:val="ro-MD"/>
        </w:rPr>
        <w:t>e</w:t>
      </w:r>
      <w:r w:rsidRPr="0080251F">
        <w:rPr>
          <w:rFonts w:ascii="Times New Roman" w:eastAsia="Times New Roman" w:hAnsi="Times New Roman" w:cs="Times New Roman"/>
          <w:b/>
          <w:i/>
          <w:iCs/>
          <w:sz w:val="24"/>
          <w:szCs w:val="24"/>
          <w:lang w:val="ro-MD"/>
        </w:rPr>
        <w:t>lor normative privind calitatea în construcții.</w:t>
      </w:r>
    </w:p>
    <w:p w14:paraId="5E163598" w14:textId="205ABDDD" w:rsidR="003C5C43" w:rsidRPr="0080251F" w:rsidRDefault="003C5C43" w:rsidP="007C734F">
      <w:pPr>
        <w:tabs>
          <w:tab w:val="left" w:pos="567"/>
          <w:tab w:val="left" w:pos="709"/>
          <w:tab w:val="left" w:pos="993"/>
        </w:tabs>
        <w:spacing w:after="0" w:line="276" w:lineRule="auto"/>
        <w:ind w:firstLine="709"/>
        <w:jc w:val="both"/>
        <w:rPr>
          <w:rFonts w:ascii="Times New Roman" w:eastAsia="Times New Roman" w:hAnsi="Times New Roman" w:cs="Times New Roman"/>
          <w:iCs/>
          <w:sz w:val="24"/>
          <w:szCs w:val="24"/>
          <w:lang w:val="ro-MD"/>
        </w:rPr>
      </w:pPr>
      <w:r w:rsidRPr="0080251F">
        <w:rPr>
          <w:rFonts w:ascii="Times New Roman" w:eastAsia="Times New Roman" w:hAnsi="Times New Roman" w:cs="Times New Roman"/>
          <w:iCs/>
          <w:sz w:val="24"/>
          <w:szCs w:val="24"/>
          <w:lang w:val="ro-MD"/>
        </w:rPr>
        <w:t>În acest context</w:t>
      </w:r>
      <w:r w:rsidR="00375BC9" w:rsidRPr="0080251F">
        <w:rPr>
          <w:rFonts w:ascii="Times New Roman" w:eastAsia="Times New Roman" w:hAnsi="Times New Roman" w:cs="Times New Roman"/>
          <w:iCs/>
          <w:sz w:val="24"/>
          <w:szCs w:val="24"/>
          <w:lang w:val="ro-MD"/>
        </w:rPr>
        <w:t xml:space="preserve">, </w:t>
      </w:r>
      <w:r w:rsidRPr="0080251F">
        <w:rPr>
          <w:rFonts w:ascii="Times New Roman" w:eastAsia="Times New Roman" w:hAnsi="Times New Roman" w:cs="Times New Roman"/>
          <w:iCs/>
          <w:sz w:val="24"/>
          <w:szCs w:val="24"/>
          <w:lang w:val="ro-MD"/>
        </w:rPr>
        <w:t xml:space="preserve">se relevă următoarele situații, aferente anilor </w:t>
      </w:r>
      <w:r w:rsidRPr="0080251F">
        <w:rPr>
          <w:rFonts w:ascii="Times New Roman" w:hAnsi="Times New Roman" w:cs="Times New Roman"/>
          <w:color w:val="333333"/>
          <w:sz w:val="24"/>
          <w:szCs w:val="24"/>
          <w:shd w:val="clear" w:color="auto" w:fill="FFFFFF"/>
          <w:lang w:val="ro-MD"/>
        </w:rPr>
        <w:t>2021-2022</w:t>
      </w:r>
      <w:r w:rsidRPr="0080251F">
        <w:rPr>
          <w:rFonts w:ascii="Times New Roman" w:eastAsia="Times New Roman" w:hAnsi="Times New Roman" w:cs="Times New Roman"/>
          <w:iCs/>
          <w:sz w:val="24"/>
          <w:szCs w:val="24"/>
          <w:lang w:val="ro-MD"/>
        </w:rPr>
        <w:t>:</w:t>
      </w:r>
    </w:p>
    <w:p w14:paraId="1512FF22" w14:textId="43F04886" w:rsidR="003C5C43" w:rsidRPr="0080251F" w:rsidRDefault="003C5C43" w:rsidP="007C734F">
      <w:pPr>
        <w:numPr>
          <w:ilvl w:val="0"/>
          <w:numId w:val="6"/>
        </w:numPr>
        <w:tabs>
          <w:tab w:val="left" w:pos="0"/>
          <w:tab w:val="left" w:pos="567"/>
          <w:tab w:val="left" w:pos="993"/>
        </w:tabs>
        <w:spacing w:after="0" w:line="276" w:lineRule="auto"/>
        <w:ind w:left="0" w:firstLine="709"/>
        <w:contextualSpacing/>
        <w:jc w:val="both"/>
        <w:rPr>
          <w:rFonts w:ascii="Times New Roman" w:hAnsi="Times New Roman" w:cs="Times New Roman"/>
          <w:color w:val="333333"/>
          <w:sz w:val="24"/>
          <w:szCs w:val="24"/>
          <w:shd w:val="clear" w:color="auto" w:fill="FFFFFF"/>
          <w:lang w:val="ro-MD"/>
        </w:rPr>
      </w:pPr>
      <w:r w:rsidRPr="0080251F">
        <w:rPr>
          <w:rFonts w:ascii="Times New Roman" w:hAnsi="Times New Roman" w:cs="Times New Roman"/>
          <w:color w:val="333333"/>
          <w:sz w:val="24"/>
          <w:szCs w:val="24"/>
          <w:shd w:val="clear" w:color="auto" w:fill="FFFFFF"/>
          <w:lang w:val="ro-MD"/>
        </w:rPr>
        <w:t xml:space="preserve"> cu </w:t>
      </w:r>
      <w:r w:rsidR="00BD1DB5" w:rsidRPr="0080251F">
        <w:rPr>
          <w:rFonts w:ascii="Times New Roman" w:hAnsi="Times New Roman" w:cs="Times New Roman"/>
          <w:color w:val="333333"/>
          <w:sz w:val="24"/>
          <w:szCs w:val="24"/>
          <w:shd w:val="clear" w:color="auto" w:fill="FFFFFF"/>
          <w:lang w:val="ro-MD"/>
        </w:rPr>
        <w:t>abatere</w:t>
      </w:r>
      <w:r w:rsidRPr="0080251F">
        <w:rPr>
          <w:rFonts w:ascii="Times New Roman" w:hAnsi="Times New Roman" w:cs="Times New Roman"/>
          <w:color w:val="333333"/>
          <w:sz w:val="24"/>
          <w:szCs w:val="24"/>
          <w:shd w:val="clear" w:color="auto" w:fill="FFFFFF"/>
          <w:lang w:val="ro-MD"/>
        </w:rPr>
        <w:t xml:space="preserve"> de la prevederile</w:t>
      </w:r>
      <w:r w:rsidRPr="0080251F">
        <w:rPr>
          <w:rFonts w:ascii="Times New Roman" w:hAnsi="Times New Roman" w:cs="Times New Roman"/>
          <w:sz w:val="16"/>
          <w:szCs w:val="16"/>
          <w:lang w:val="ro-MD"/>
        </w:rPr>
        <w:t xml:space="preserve"> </w:t>
      </w:r>
      <w:r w:rsidR="005A2634" w:rsidRPr="0080251F">
        <w:rPr>
          <w:rFonts w:ascii="Times New Roman" w:hAnsi="Times New Roman" w:cs="Times New Roman"/>
          <w:color w:val="333333"/>
          <w:sz w:val="24"/>
          <w:szCs w:val="24"/>
          <w:shd w:val="clear" w:color="auto" w:fill="FFFFFF"/>
          <w:lang w:val="ro-MD"/>
        </w:rPr>
        <w:t>art.13 din Legea nr.721</w:t>
      </w:r>
      <w:r w:rsidRPr="0080251F">
        <w:rPr>
          <w:rFonts w:ascii="Times New Roman" w:hAnsi="Times New Roman" w:cs="Times New Roman"/>
          <w:color w:val="333333"/>
          <w:sz w:val="24"/>
          <w:szCs w:val="24"/>
          <w:shd w:val="clear" w:color="auto" w:fill="FFFFFF"/>
          <w:lang w:val="ro-MD"/>
        </w:rPr>
        <w:t xml:space="preserve"> din 02.02.1996</w:t>
      </w:r>
      <w:r w:rsidRPr="0080251F">
        <w:rPr>
          <w:rFonts w:ascii="Times New Roman" w:hAnsi="Times New Roman" w:cs="Times New Roman"/>
          <w:color w:val="333333"/>
          <w:sz w:val="24"/>
          <w:szCs w:val="24"/>
          <w:shd w:val="clear" w:color="auto" w:fill="FFFFFF"/>
          <w:vertAlign w:val="superscript"/>
          <w:lang w:val="ro-MD"/>
        </w:rPr>
        <w:footnoteReference w:id="129"/>
      </w:r>
      <w:r w:rsidRPr="0080251F">
        <w:rPr>
          <w:rFonts w:ascii="Times New Roman" w:hAnsi="Times New Roman" w:cs="Times New Roman"/>
          <w:color w:val="333333"/>
          <w:sz w:val="24"/>
          <w:szCs w:val="24"/>
          <w:shd w:val="clear" w:color="auto" w:fill="FFFFFF"/>
          <w:lang w:val="ro-MD"/>
        </w:rPr>
        <w:t>, în anul 2021 au fost executate lucrări de reconstrucție a liniilor electrice în lipsa documentației de proiect</w:t>
      </w:r>
      <w:r w:rsidR="00375BC9" w:rsidRPr="0080251F">
        <w:rPr>
          <w:rFonts w:ascii="Times New Roman" w:hAnsi="Times New Roman" w:cs="Times New Roman"/>
          <w:color w:val="333333"/>
          <w:sz w:val="24"/>
          <w:szCs w:val="24"/>
          <w:shd w:val="clear" w:color="auto" w:fill="FFFFFF"/>
          <w:lang w:val="ro-MD"/>
        </w:rPr>
        <w:t>,</w:t>
      </w:r>
      <w:r w:rsidRPr="0080251F">
        <w:rPr>
          <w:rFonts w:ascii="Times New Roman" w:hAnsi="Times New Roman" w:cs="Times New Roman"/>
          <w:color w:val="333333"/>
          <w:sz w:val="24"/>
          <w:szCs w:val="24"/>
          <w:shd w:val="clear" w:color="auto" w:fill="FFFFFF"/>
          <w:lang w:val="ro-MD"/>
        </w:rPr>
        <w:t xml:space="preserve"> în sumă totală de 3,6 mil. lei (4</w:t>
      </w:r>
      <w:r w:rsidR="00EB025E" w:rsidRPr="0080251F">
        <w:rPr>
          <w:rFonts w:ascii="Times New Roman" w:hAnsi="Times New Roman" w:cs="Times New Roman"/>
          <w:color w:val="333333"/>
          <w:sz w:val="24"/>
          <w:szCs w:val="24"/>
          <w:shd w:val="clear" w:color="auto" w:fill="FFFFFF"/>
          <w:lang w:val="ro-MD"/>
        </w:rPr>
        <w:t>.</w:t>
      </w:r>
      <w:r w:rsidRPr="0080251F">
        <w:rPr>
          <w:rFonts w:ascii="Times New Roman" w:hAnsi="Times New Roman" w:cs="Times New Roman"/>
          <w:color w:val="333333"/>
          <w:sz w:val="24"/>
          <w:szCs w:val="24"/>
          <w:shd w:val="clear" w:color="auto" w:fill="FFFFFF"/>
          <w:lang w:val="ro-MD"/>
        </w:rPr>
        <w:t>697 km);</w:t>
      </w:r>
    </w:p>
    <w:p w14:paraId="14D278F2" w14:textId="2F65BEF8" w:rsidR="003C5C43" w:rsidRPr="0080251F" w:rsidRDefault="003C5C43" w:rsidP="007C734F">
      <w:pPr>
        <w:numPr>
          <w:ilvl w:val="0"/>
          <w:numId w:val="6"/>
        </w:numPr>
        <w:tabs>
          <w:tab w:val="left" w:pos="0"/>
          <w:tab w:val="left" w:pos="567"/>
          <w:tab w:val="left" w:pos="993"/>
        </w:tabs>
        <w:spacing w:after="0" w:line="276" w:lineRule="auto"/>
        <w:ind w:left="0" w:firstLine="709"/>
        <w:contextualSpacing/>
        <w:jc w:val="both"/>
        <w:rPr>
          <w:rFonts w:ascii="Times New Roman" w:hAnsi="Times New Roman" w:cs="Times New Roman"/>
          <w:color w:val="333333"/>
          <w:sz w:val="24"/>
          <w:szCs w:val="24"/>
          <w:shd w:val="clear" w:color="auto" w:fill="FFFFFF"/>
          <w:lang w:val="ro-MD"/>
        </w:rPr>
      </w:pPr>
      <w:r w:rsidRPr="0080251F">
        <w:rPr>
          <w:rFonts w:ascii="Times New Roman" w:hAnsi="Times New Roman" w:cs="Times New Roman"/>
          <w:color w:val="333333"/>
          <w:sz w:val="24"/>
          <w:szCs w:val="24"/>
          <w:shd w:val="clear" w:color="auto" w:fill="FFFFFF"/>
          <w:lang w:val="ro-MD"/>
        </w:rPr>
        <w:t xml:space="preserve"> din 487 proiecte existente (an</w:t>
      </w:r>
      <w:r w:rsidR="00375BC9" w:rsidRPr="0080251F">
        <w:rPr>
          <w:rFonts w:ascii="Times New Roman" w:hAnsi="Times New Roman" w:cs="Times New Roman"/>
          <w:color w:val="333333"/>
          <w:sz w:val="24"/>
          <w:szCs w:val="24"/>
          <w:shd w:val="clear" w:color="auto" w:fill="FFFFFF"/>
          <w:lang w:val="ro-MD"/>
        </w:rPr>
        <w:t>ii</w:t>
      </w:r>
      <w:r w:rsidRPr="0080251F">
        <w:rPr>
          <w:rFonts w:ascii="Times New Roman" w:hAnsi="Times New Roman" w:cs="Times New Roman"/>
          <w:color w:val="333333"/>
          <w:sz w:val="24"/>
          <w:szCs w:val="24"/>
          <w:shd w:val="clear" w:color="auto" w:fill="FFFFFF"/>
          <w:lang w:val="ro-MD"/>
        </w:rPr>
        <w:t xml:space="preserve"> 2021–2022), 460 proiecte de execuție a lucrărilor de construcție a liniilor electrice (sau 94,0%) au fost implementate cu </w:t>
      </w:r>
      <w:r w:rsidR="0017022B" w:rsidRPr="0080251F">
        <w:rPr>
          <w:rFonts w:ascii="Times New Roman" w:hAnsi="Times New Roman" w:cs="Times New Roman"/>
          <w:color w:val="333333"/>
          <w:sz w:val="24"/>
          <w:szCs w:val="24"/>
          <w:shd w:val="clear" w:color="auto" w:fill="FFFFFF"/>
          <w:lang w:val="ro-MD"/>
        </w:rPr>
        <w:t>abatere</w:t>
      </w:r>
      <w:r w:rsidRPr="0080251F">
        <w:rPr>
          <w:rFonts w:ascii="Times New Roman" w:hAnsi="Times New Roman" w:cs="Times New Roman"/>
          <w:color w:val="333333"/>
          <w:sz w:val="24"/>
          <w:szCs w:val="24"/>
          <w:shd w:val="clear" w:color="auto" w:fill="FFFFFF"/>
          <w:lang w:val="ro-MD"/>
        </w:rPr>
        <w:t xml:space="preserve"> de la prevederile normative</w:t>
      </w:r>
      <w:r w:rsidRPr="0080251F">
        <w:rPr>
          <w:rFonts w:ascii="Times New Roman" w:hAnsi="Times New Roman" w:cs="Times New Roman"/>
          <w:color w:val="333333"/>
          <w:sz w:val="24"/>
          <w:szCs w:val="24"/>
          <w:shd w:val="clear" w:color="auto" w:fill="FFFFFF"/>
          <w:vertAlign w:val="superscript"/>
          <w:lang w:val="ro-MD"/>
        </w:rPr>
        <w:footnoteReference w:id="130"/>
      </w:r>
      <w:r w:rsidRPr="0080251F">
        <w:rPr>
          <w:rFonts w:ascii="Times New Roman" w:hAnsi="Times New Roman" w:cs="Times New Roman"/>
          <w:color w:val="333333"/>
          <w:sz w:val="24"/>
          <w:szCs w:val="24"/>
          <w:shd w:val="clear" w:color="auto" w:fill="FFFFFF"/>
          <w:lang w:val="ro-MD"/>
        </w:rPr>
        <w:t xml:space="preserve">, </w:t>
      </w:r>
      <w:r w:rsidR="00375BC9" w:rsidRPr="0080251F">
        <w:rPr>
          <w:rFonts w:ascii="Times New Roman" w:hAnsi="Times New Roman" w:cs="Times New Roman"/>
          <w:color w:val="333333"/>
          <w:sz w:val="24"/>
          <w:szCs w:val="24"/>
          <w:shd w:val="clear" w:color="auto" w:fill="FFFFFF"/>
          <w:lang w:val="ro-MD"/>
        </w:rPr>
        <w:t>acestea</w:t>
      </w:r>
      <w:r w:rsidRPr="0080251F">
        <w:rPr>
          <w:rFonts w:ascii="Times New Roman" w:hAnsi="Times New Roman" w:cs="Times New Roman"/>
          <w:color w:val="333333"/>
          <w:sz w:val="24"/>
          <w:szCs w:val="24"/>
          <w:shd w:val="clear" w:color="auto" w:fill="FFFFFF"/>
          <w:lang w:val="ro-MD"/>
        </w:rPr>
        <w:t xml:space="preserve"> nefiind elaborate și verificate de către proiectanții și verificatorii atestați.</w:t>
      </w:r>
      <w:r w:rsidR="0017022B" w:rsidRPr="0080251F">
        <w:rPr>
          <w:rFonts w:ascii="Times New Roman" w:hAnsi="Times New Roman" w:cs="Times New Roman"/>
          <w:color w:val="333333"/>
          <w:sz w:val="24"/>
          <w:szCs w:val="24"/>
          <w:shd w:val="clear" w:color="auto" w:fill="FFFFFF"/>
          <w:lang w:val="ro-MD"/>
        </w:rPr>
        <w:t xml:space="preserve"> Efectiv, proiectele de lucrări</w:t>
      </w:r>
      <w:r w:rsidRPr="0080251F">
        <w:rPr>
          <w:rFonts w:ascii="Times New Roman" w:hAnsi="Times New Roman" w:cs="Times New Roman"/>
          <w:color w:val="333333"/>
          <w:sz w:val="24"/>
          <w:szCs w:val="24"/>
          <w:shd w:val="clear" w:color="auto" w:fill="FFFFFF"/>
          <w:lang w:val="ro-MD"/>
        </w:rPr>
        <w:t xml:space="preserve"> au fost elaborate de către specialiștii entității</w:t>
      </w:r>
      <w:r w:rsidR="00E637F1" w:rsidRPr="0080251F">
        <w:rPr>
          <w:rFonts w:ascii="Times New Roman" w:hAnsi="Times New Roman" w:cs="Times New Roman"/>
          <w:color w:val="333333"/>
          <w:sz w:val="24"/>
          <w:szCs w:val="24"/>
          <w:shd w:val="clear" w:color="auto" w:fill="FFFFFF"/>
          <w:lang w:val="ro-MD"/>
        </w:rPr>
        <w:t xml:space="preserve"> (Serviciul de dezvoltare a rețelelor)</w:t>
      </w:r>
      <w:r w:rsidRPr="0080251F">
        <w:rPr>
          <w:rFonts w:ascii="Times New Roman" w:hAnsi="Times New Roman" w:cs="Times New Roman"/>
          <w:color w:val="333333"/>
          <w:sz w:val="24"/>
          <w:szCs w:val="24"/>
          <w:shd w:val="clear" w:color="auto" w:fill="FFFFFF"/>
          <w:lang w:val="ro-MD"/>
        </w:rPr>
        <w:t>, care au obținut certificarea autorizată abia în anul 2023;</w:t>
      </w:r>
    </w:p>
    <w:p w14:paraId="69769B3A" w14:textId="73AC0C22" w:rsidR="003C5C43" w:rsidRPr="0080251F" w:rsidRDefault="003C5C43" w:rsidP="00EB63DA">
      <w:pPr>
        <w:numPr>
          <w:ilvl w:val="0"/>
          <w:numId w:val="6"/>
        </w:numPr>
        <w:tabs>
          <w:tab w:val="left" w:pos="0"/>
          <w:tab w:val="left" w:pos="567"/>
          <w:tab w:val="left" w:pos="993"/>
        </w:tabs>
        <w:spacing w:after="0" w:line="276" w:lineRule="auto"/>
        <w:ind w:left="0" w:firstLine="709"/>
        <w:contextualSpacing/>
        <w:jc w:val="both"/>
        <w:rPr>
          <w:rFonts w:ascii="Times New Roman" w:hAnsi="Times New Roman" w:cs="Times New Roman"/>
          <w:sz w:val="24"/>
          <w:szCs w:val="24"/>
          <w:shd w:val="clear" w:color="auto" w:fill="FFFFFF"/>
          <w:lang w:val="ro-MD"/>
        </w:rPr>
      </w:pPr>
      <w:r w:rsidRPr="0080251F">
        <w:rPr>
          <w:rFonts w:ascii="Times New Roman" w:hAnsi="Times New Roman" w:cs="Times New Roman"/>
          <w:color w:val="333333"/>
          <w:sz w:val="24"/>
          <w:szCs w:val="24"/>
          <w:shd w:val="clear" w:color="auto" w:fill="FFFFFF"/>
          <w:lang w:val="ro-MD"/>
        </w:rPr>
        <w:t xml:space="preserve"> contrar prevederilor art.18 din </w:t>
      </w:r>
      <w:r w:rsidR="00EB63DA" w:rsidRPr="0080251F">
        <w:rPr>
          <w:rFonts w:ascii="Times New Roman" w:hAnsi="Times New Roman" w:cs="Times New Roman"/>
          <w:color w:val="333333"/>
          <w:sz w:val="24"/>
          <w:szCs w:val="24"/>
          <w:shd w:val="clear" w:color="auto" w:fill="FFFFFF"/>
          <w:lang w:val="ro-MD"/>
        </w:rPr>
        <w:t>Legea nr.721</w:t>
      </w:r>
      <w:r w:rsidRPr="0080251F">
        <w:rPr>
          <w:rFonts w:ascii="Times New Roman" w:hAnsi="Times New Roman" w:cs="Times New Roman"/>
          <w:color w:val="333333"/>
          <w:sz w:val="24"/>
          <w:szCs w:val="24"/>
          <w:shd w:val="clear" w:color="auto" w:fill="FFFFFF"/>
          <w:lang w:val="ro-MD"/>
        </w:rPr>
        <w:t xml:space="preserve"> din 02.02.1996, entitatea nu a asigurat  </w:t>
      </w:r>
      <w:r w:rsidRPr="0080251F">
        <w:rPr>
          <w:rFonts w:ascii="Times New Roman" w:hAnsi="Times New Roman" w:cs="Times New Roman"/>
          <w:iCs/>
          <w:sz w:val="24"/>
          <w:szCs w:val="24"/>
          <w:shd w:val="clear" w:color="auto" w:fill="FFFFFF"/>
          <w:lang w:val="ro-MD"/>
        </w:rPr>
        <w:t>perfectarea și păstrarea Cărților tehnice</w:t>
      </w:r>
      <w:r w:rsidRPr="0080251F">
        <w:rPr>
          <w:rFonts w:ascii="Times New Roman" w:hAnsi="Times New Roman" w:cs="Times New Roman"/>
          <w:iCs/>
          <w:sz w:val="24"/>
          <w:szCs w:val="24"/>
          <w:shd w:val="clear" w:color="auto" w:fill="FFFFFF"/>
          <w:vertAlign w:val="superscript"/>
          <w:lang w:val="ro-MD"/>
        </w:rPr>
        <w:footnoteReference w:id="131"/>
      </w:r>
      <w:r w:rsidRPr="0080251F">
        <w:rPr>
          <w:rFonts w:ascii="Times New Roman" w:hAnsi="Times New Roman" w:cs="Times New Roman"/>
          <w:sz w:val="24"/>
          <w:szCs w:val="24"/>
          <w:shd w:val="clear" w:color="auto" w:fill="FFFFFF"/>
          <w:lang w:val="ro-MD"/>
        </w:rPr>
        <w:t xml:space="preserve"> pentru toate obiectele de reconstrucție/extindere realizate;</w:t>
      </w:r>
    </w:p>
    <w:p w14:paraId="062DEC92" w14:textId="7F21058D" w:rsidR="003C5C43" w:rsidRPr="0080251F" w:rsidRDefault="003C5C43" w:rsidP="009E63E7">
      <w:pPr>
        <w:numPr>
          <w:ilvl w:val="0"/>
          <w:numId w:val="6"/>
        </w:numPr>
        <w:tabs>
          <w:tab w:val="left" w:pos="0"/>
          <w:tab w:val="left" w:pos="567"/>
          <w:tab w:val="left" w:pos="709"/>
          <w:tab w:val="left" w:pos="993"/>
        </w:tabs>
        <w:spacing w:after="0" w:line="276" w:lineRule="auto"/>
        <w:ind w:left="0" w:firstLine="709"/>
        <w:contextualSpacing/>
        <w:jc w:val="both"/>
        <w:rPr>
          <w:rFonts w:ascii="Times New Roman" w:hAnsi="Times New Roman" w:cs="Times New Roman"/>
          <w:sz w:val="24"/>
          <w:szCs w:val="24"/>
          <w:shd w:val="clear" w:color="auto" w:fill="FFFFFF"/>
          <w:lang w:val="ro-MD"/>
        </w:rPr>
      </w:pPr>
      <w:r w:rsidRPr="0080251F">
        <w:rPr>
          <w:rFonts w:ascii="Times New Roman" w:hAnsi="Times New Roman" w:cs="Times New Roman"/>
          <w:sz w:val="24"/>
          <w:szCs w:val="24"/>
          <w:shd w:val="clear" w:color="auto" w:fill="FFFFFF"/>
          <w:lang w:val="ro-MD"/>
        </w:rPr>
        <w:t xml:space="preserve">la executarea lucrărilor suplimentare de reconstrucție a liniilor electrice aeriene, entitatea nu a asigurat modificarea proiectelor de execuție, în </w:t>
      </w:r>
      <w:r w:rsidR="00375BC9" w:rsidRPr="0080251F">
        <w:rPr>
          <w:rFonts w:ascii="Times New Roman" w:hAnsi="Times New Roman" w:cs="Times New Roman"/>
          <w:sz w:val="24"/>
          <w:szCs w:val="24"/>
          <w:shd w:val="clear" w:color="auto" w:fill="FFFFFF"/>
          <w:lang w:val="ro-MD"/>
        </w:rPr>
        <w:t>funcție</w:t>
      </w:r>
      <w:r w:rsidRPr="0080251F">
        <w:rPr>
          <w:rFonts w:ascii="Times New Roman" w:hAnsi="Times New Roman" w:cs="Times New Roman"/>
          <w:sz w:val="24"/>
          <w:szCs w:val="24"/>
          <w:shd w:val="clear" w:color="auto" w:fill="FFFFFF"/>
          <w:lang w:val="ro-MD"/>
        </w:rPr>
        <w:t xml:space="preserve"> de volumul și caracteristicile tehnice ale lucrărilor efectiv îndeplinite</w:t>
      </w:r>
      <w:r w:rsidRPr="0080251F">
        <w:rPr>
          <w:rFonts w:ascii="Times New Roman" w:hAnsi="Times New Roman" w:cs="Times New Roman"/>
          <w:sz w:val="24"/>
          <w:szCs w:val="24"/>
          <w:shd w:val="clear" w:color="auto" w:fill="FFFFFF"/>
          <w:vertAlign w:val="superscript"/>
          <w:lang w:val="ro-MD"/>
        </w:rPr>
        <w:footnoteReference w:id="132"/>
      </w:r>
      <w:r w:rsidR="00375BC9" w:rsidRPr="0080251F">
        <w:rPr>
          <w:rFonts w:ascii="Times New Roman" w:hAnsi="Times New Roman" w:cs="Times New Roman"/>
          <w:sz w:val="24"/>
          <w:szCs w:val="24"/>
          <w:shd w:val="clear" w:color="auto" w:fill="FFFFFF"/>
          <w:lang w:val="ro-MD"/>
        </w:rPr>
        <w:t>;</w:t>
      </w:r>
    </w:p>
    <w:p w14:paraId="10EC64F3" w14:textId="30DF00F6" w:rsidR="00AD4DA5" w:rsidRPr="0080251F" w:rsidRDefault="003C5C43" w:rsidP="008E0E6B">
      <w:pPr>
        <w:pStyle w:val="a6"/>
        <w:numPr>
          <w:ilvl w:val="0"/>
          <w:numId w:val="6"/>
        </w:numPr>
        <w:tabs>
          <w:tab w:val="left" w:pos="0"/>
          <w:tab w:val="left" w:pos="567"/>
          <w:tab w:val="left" w:pos="851"/>
          <w:tab w:val="left" w:pos="993"/>
        </w:tabs>
        <w:spacing w:after="0" w:line="276" w:lineRule="auto"/>
        <w:ind w:left="0" w:firstLine="709"/>
        <w:jc w:val="both"/>
        <w:rPr>
          <w:rFonts w:ascii="Times New Roman" w:hAnsi="Times New Roman" w:cs="Times New Roman"/>
          <w:b/>
          <w:i/>
          <w:sz w:val="24"/>
          <w:szCs w:val="24"/>
          <w:shd w:val="clear" w:color="auto" w:fill="FFFFFF"/>
          <w:lang w:val="ro-MD"/>
        </w:rPr>
      </w:pPr>
      <w:r w:rsidRPr="0080251F">
        <w:rPr>
          <w:rFonts w:ascii="Times New Roman" w:hAnsi="Times New Roman" w:cs="Times New Roman"/>
          <w:sz w:val="24"/>
          <w:szCs w:val="24"/>
          <w:shd w:val="clear" w:color="auto" w:fill="FFFFFF"/>
          <w:lang w:val="ro-MD"/>
        </w:rPr>
        <w:t xml:space="preserve"> contrar prevederilor art.22 lit. b) din Legea nr.721 din 02.02.1996, entitatea nu a asigurat în anii 2021-2022 obținerea autorizațiilor de construire pentru 352 obiecte</w:t>
      </w:r>
      <w:r w:rsidRPr="0080251F">
        <w:rPr>
          <w:rFonts w:ascii="Times New Roman" w:hAnsi="Times New Roman" w:cs="Times New Roman"/>
          <w:sz w:val="24"/>
          <w:szCs w:val="24"/>
          <w:shd w:val="clear" w:color="auto" w:fill="FFFFFF"/>
          <w:vertAlign w:val="superscript"/>
          <w:lang w:val="ro-MD"/>
        </w:rPr>
        <w:footnoteReference w:id="133"/>
      </w:r>
      <w:r w:rsidRPr="0080251F">
        <w:rPr>
          <w:rFonts w:ascii="Times New Roman" w:hAnsi="Times New Roman" w:cs="Times New Roman"/>
          <w:sz w:val="24"/>
          <w:szCs w:val="24"/>
          <w:shd w:val="clear" w:color="auto" w:fill="FFFFFF"/>
          <w:lang w:val="ro-MD"/>
        </w:rPr>
        <w:t xml:space="preserve"> de investiții </w:t>
      </w:r>
      <w:r w:rsidR="00375BC9" w:rsidRPr="0080251F">
        <w:rPr>
          <w:rFonts w:ascii="Times New Roman" w:hAnsi="Times New Roman" w:cs="Times New Roman"/>
          <w:sz w:val="24"/>
          <w:szCs w:val="24"/>
          <w:shd w:val="clear" w:color="auto" w:fill="FFFFFF"/>
          <w:lang w:val="ro-MD"/>
        </w:rPr>
        <w:t>(</w:t>
      </w:r>
      <w:r w:rsidRPr="0080251F">
        <w:rPr>
          <w:rFonts w:ascii="Times New Roman" w:hAnsi="Times New Roman" w:cs="Times New Roman"/>
          <w:sz w:val="24"/>
          <w:szCs w:val="24"/>
          <w:shd w:val="clear" w:color="auto" w:fill="FFFFFF"/>
          <w:lang w:val="ro-MD"/>
        </w:rPr>
        <w:t>din total</w:t>
      </w:r>
      <w:r w:rsidR="00375BC9" w:rsidRPr="0080251F">
        <w:rPr>
          <w:rFonts w:ascii="Times New Roman" w:hAnsi="Times New Roman" w:cs="Times New Roman"/>
          <w:sz w:val="24"/>
          <w:szCs w:val="24"/>
          <w:shd w:val="clear" w:color="auto" w:fill="FFFFFF"/>
          <w:lang w:val="ro-MD"/>
        </w:rPr>
        <w:t xml:space="preserve">ul de </w:t>
      </w:r>
      <w:r w:rsidRPr="0080251F">
        <w:rPr>
          <w:rFonts w:ascii="Times New Roman" w:hAnsi="Times New Roman" w:cs="Times New Roman"/>
          <w:sz w:val="24"/>
          <w:szCs w:val="24"/>
          <w:shd w:val="clear" w:color="auto" w:fill="FFFFFF"/>
          <w:lang w:val="ro-MD"/>
        </w:rPr>
        <w:t xml:space="preserve"> 487 executate</w:t>
      </w:r>
      <w:r w:rsidR="00375BC9" w:rsidRPr="0080251F">
        <w:rPr>
          <w:rFonts w:ascii="Times New Roman" w:hAnsi="Times New Roman" w:cs="Times New Roman"/>
          <w:sz w:val="24"/>
          <w:szCs w:val="24"/>
          <w:shd w:val="clear" w:color="auto" w:fill="FFFFFF"/>
          <w:lang w:val="ro-MD"/>
        </w:rPr>
        <w:t>)</w:t>
      </w:r>
      <w:r w:rsidRPr="0080251F">
        <w:rPr>
          <w:rFonts w:ascii="Times New Roman" w:hAnsi="Times New Roman" w:cs="Times New Roman"/>
          <w:sz w:val="24"/>
          <w:szCs w:val="24"/>
          <w:shd w:val="clear" w:color="auto" w:fill="FFFFFF"/>
          <w:lang w:val="ro-MD"/>
        </w:rPr>
        <w:t>. În acest context</w:t>
      </w:r>
      <w:r w:rsidR="00375BC9" w:rsidRPr="0080251F">
        <w:rPr>
          <w:rFonts w:ascii="Times New Roman" w:hAnsi="Times New Roman" w:cs="Times New Roman"/>
          <w:sz w:val="24"/>
          <w:szCs w:val="24"/>
          <w:shd w:val="clear" w:color="auto" w:fill="FFFFFF"/>
          <w:lang w:val="ro-MD"/>
        </w:rPr>
        <w:t>,</w:t>
      </w:r>
      <w:r w:rsidRPr="0080251F">
        <w:rPr>
          <w:rFonts w:ascii="Times New Roman" w:hAnsi="Times New Roman" w:cs="Times New Roman"/>
          <w:sz w:val="24"/>
          <w:szCs w:val="24"/>
          <w:shd w:val="clear" w:color="auto" w:fill="FFFFFF"/>
          <w:lang w:val="ro-MD"/>
        </w:rPr>
        <w:t xml:space="preserve"> se menționează că, în lipsa certificatelor de urbanism pentru proiectare (120)</w:t>
      </w:r>
      <w:r w:rsidRPr="0080251F">
        <w:rPr>
          <w:rFonts w:ascii="Times New Roman" w:hAnsi="Times New Roman" w:cs="Times New Roman"/>
          <w:sz w:val="24"/>
          <w:szCs w:val="24"/>
          <w:shd w:val="clear" w:color="auto" w:fill="FFFFFF"/>
          <w:vertAlign w:val="superscript"/>
          <w:lang w:val="ro-MD"/>
        </w:rPr>
        <w:footnoteReference w:id="134"/>
      </w:r>
      <w:r w:rsidRPr="0080251F">
        <w:rPr>
          <w:rFonts w:ascii="Times New Roman" w:hAnsi="Times New Roman" w:cs="Times New Roman"/>
          <w:sz w:val="24"/>
          <w:szCs w:val="24"/>
          <w:shd w:val="clear" w:color="auto" w:fill="FFFFFF"/>
          <w:lang w:val="ro-MD"/>
        </w:rPr>
        <w:t xml:space="preserve"> și a autorizațiilor de construire (352), au fost contractate lucrări cu 6 antreprenori</w:t>
      </w:r>
      <w:r w:rsidR="00975273" w:rsidRPr="0080251F">
        <w:rPr>
          <w:rFonts w:ascii="Times New Roman" w:hAnsi="Times New Roman" w:cs="Times New Roman"/>
          <w:sz w:val="24"/>
          <w:szCs w:val="24"/>
          <w:shd w:val="clear" w:color="auto" w:fill="FFFFFF"/>
          <w:lang w:val="ro-MD"/>
        </w:rPr>
        <w:t xml:space="preserve">, </w:t>
      </w:r>
      <w:r w:rsidRPr="0080251F">
        <w:rPr>
          <w:rFonts w:ascii="Times New Roman" w:hAnsi="Times New Roman" w:cs="Times New Roman"/>
          <w:sz w:val="24"/>
          <w:szCs w:val="24"/>
          <w:shd w:val="clear" w:color="auto" w:fill="FFFFFF"/>
          <w:lang w:val="ro-MD"/>
        </w:rPr>
        <w:t xml:space="preserve"> în sumă totală de </w:t>
      </w:r>
      <w:r w:rsidRPr="0080251F">
        <w:rPr>
          <w:rFonts w:ascii="Times New Roman" w:hAnsi="Times New Roman" w:cs="Times New Roman"/>
          <w:bCs/>
          <w:sz w:val="24"/>
          <w:szCs w:val="24"/>
          <w:shd w:val="clear" w:color="auto" w:fill="FFFFFF"/>
          <w:lang w:val="ro-MD"/>
        </w:rPr>
        <w:t xml:space="preserve">5,1 </w:t>
      </w:r>
      <w:r w:rsidRPr="0080251F">
        <w:rPr>
          <w:rFonts w:ascii="Times New Roman" w:hAnsi="Times New Roman" w:cs="Times New Roman"/>
          <w:sz w:val="24"/>
          <w:szCs w:val="24"/>
          <w:shd w:val="clear" w:color="auto" w:fill="FFFFFF"/>
          <w:lang w:val="ro-MD"/>
        </w:rPr>
        <w:t>mil. lei.</w:t>
      </w:r>
      <w:r w:rsidRPr="0080251F">
        <w:rPr>
          <w:rFonts w:ascii="Times New Roman" w:eastAsia="Times New Roman" w:hAnsi="Times New Roman" w:cs="Times New Roman"/>
          <w:sz w:val="24"/>
          <w:lang w:val="ro-MD"/>
        </w:rPr>
        <w:t xml:space="preserve"> La 11 obiecte de investiții realizate, autorizațiile de construire au fost obținute </w:t>
      </w:r>
      <w:r w:rsidR="00975273" w:rsidRPr="0080251F">
        <w:rPr>
          <w:rFonts w:ascii="Times New Roman" w:eastAsia="Times New Roman" w:hAnsi="Times New Roman" w:cs="Times New Roman"/>
          <w:sz w:val="24"/>
          <w:lang w:val="ro-MD"/>
        </w:rPr>
        <w:t>abia</w:t>
      </w:r>
      <w:r w:rsidRPr="0080251F">
        <w:rPr>
          <w:rFonts w:ascii="Times New Roman" w:eastAsia="Times New Roman" w:hAnsi="Times New Roman" w:cs="Times New Roman"/>
          <w:sz w:val="24"/>
          <w:lang w:val="ro-MD"/>
        </w:rPr>
        <w:t xml:space="preserve"> după contractarea și demararea lucrărilor de construcție (anul 2021 – 8 cazuri; anul 2022 -  3 cazuri).</w:t>
      </w:r>
    </w:p>
    <w:p w14:paraId="10679633" w14:textId="077FA96F" w:rsidR="00007ADA" w:rsidRPr="0080251F" w:rsidRDefault="007926C9" w:rsidP="00007ADA">
      <w:pPr>
        <w:pStyle w:val="1"/>
        <w:spacing w:before="200" w:line="276" w:lineRule="auto"/>
        <w:jc w:val="both"/>
        <w:rPr>
          <w:rFonts w:ascii="Times New Roman" w:hAnsi="Times New Roman" w:cs="Times New Roman"/>
          <w:b/>
          <w:sz w:val="24"/>
          <w:szCs w:val="24"/>
          <w:lang w:val="ro-MD"/>
        </w:rPr>
      </w:pPr>
      <w:bookmarkStart w:id="24" w:name="_Toc161169698"/>
      <w:r w:rsidRPr="0080251F">
        <w:rPr>
          <w:rFonts w:ascii="Times New Roman" w:hAnsi="Times New Roman" w:cs="Times New Roman"/>
          <w:b/>
          <w:sz w:val="24"/>
          <w:szCs w:val="24"/>
          <w:lang w:val="ro-MD"/>
        </w:rPr>
        <w:t>4.</w:t>
      </w:r>
      <w:r w:rsidR="003E79C5" w:rsidRPr="0080251F">
        <w:rPr>
          <w:rFonts w:ascii="Times New Roman" w:hAnsi="Times New Roman" w:cs="Times New Roman"/>
          <w:b/>
          <w:sz w:val="24"/>
          <w:szCs w:val="24"/>
          <w:lang w:val="ro-MD"/>
        </w:rPr>
        <w:t>7</w:t>
      </w:r>
      <w:r w:rsidR="00CA4D40" w:rsidRPr="0080251F">
        <w:rPr>
          <w:rFonts w:ascii="Times New Roman" w:hAnsi="Times New Roman" w:cs="Times New Roman"/>
          <w:b/>
          <w:sz w:val="24"/>
          <w:szCs w:val="24"/>
          <w:lang w:val="ro-MD"/>
        </w:rPr>
        <w:t>.</w:t>
      </w:r>
      <w:r w:rsidRPr="0080251F">
        <w:rPr>
          <w:rFonts w:ascii="Times New Roman" w:hAnsi="Times New Roman" w:cs="Times New Roman"/>
          <w:b/>
          <w:sz w:val="24"/>
          <w:szCs w:val="24"/>
          <w:lang w:val="ro-MD"/>
        </w:rPr>
        <w:t xml:space="preserve"> </w:t>
      </w:r>
      <w:r w:rsidR="003E79C5" w:rsidRPr="0080251F">
        <w:rPr>
          <w:rFonts w:ascii="Times New Roman" w:hAnsi="Times New Roman" w:cs="Times New Roman"/>
          <w:b/>
          <w:bCs/>
          <w:sz w:val="24"/>
          <w:szCs w:val="24"/>
          <w:lang w:val="ro-MD"/>
        </w:rPr>
        <w:t>S.A. „RED-Nord” a asigurat gestionarea și raportarea conformă a costurilor reglementate prin tarif</w:t>
      </w:r>
      <w:r w:rsidR="00E84DA0" w:rsidRPr="0080251F">
        <w:rPr>
          <w:rFonts w:ascii="Times New Roman" w:hAnsi="Times New Roman" w:cs="Times New Roman"/>
          <w:b/>
          <w:sz w:val="24"/>
          <w:szCs w:val="24"/>
          <w:lang w:val="ro-MD"/>
        </w:rPr>
        <w:t>?</w:t>
      </w:r>
      <w:bookmarkEnd w:id="24"/>
    </w:p>
    <w:p w14:paraId="25EDB32C" w14:textId="51DF50F5" w:rsidR="00007ADA" w:rsidRPr="0080251F" w:rsidRDefault="0056468B" w:rsidP="00A13EDF">
      <w:pPr>
        <w:tabs>
          <w:tab w:val="left" w:pos="709"/>
        </w:tabs>
        <w:spacing w:after="0" w:line="276" w:lineRule="auto"/>
        <w:ind w:firstLine="709"/>
        <w:jc w:val="both"/>
        <w:rPr>
          <w:rFonts w:ascii="Times New Roman" w:hAnsi="Times New Roman" w:cs="Times New Roman"/>
          <w:b/>
          <w:bCs/>
          <w:i/>
          <w:sz w:val="24"/>
          <w:szCs w:val="24"/>
          <w:lang w:val="ro-MD"/>
        </w:rPr>
      </w:pPr>
      <w:r w:rsidRPr="0080251F">
        <w:rPr>
          <w:rFonts w:ascii="Times New Roman" w:hAnsi="Times New Roman" w:cs="Times New Roman"/>
          <w:b/>
          <w:bCs/>
          <w:i/>
          <w:sz w:val="24"/>
          <w:szCs w:val="24"/>
          <w:lang w:val="ro-MD"/>
        </w:rPr>
        <w:t>S.A. „RED-Nord” nu a asigurat ajustarea oportună a tarifelor auxiliare, care, la data revizuirii lor (27.03.2023)</w:t>
      </w:r>
      <w:r w:rsidR="006335B9" w:rsidRPr="0080251F">
        <w:rPr>
          <w:rFonts w:ascii="Times New Roman" w:hAnsi="Times New Roman" w:cs="Times New Roman"/>
          <w:b/>
          <w:bCs/>
          <w:i/>
          <w:sz w:val="24"/>
          <w:szCs w:val="24"/>
          <w:lang w:val="ro-MD"/>
        </w:rPr>
        <w:t>,</w:t>
      </w:r>
      <w:r w:rsidRPr="0080251F">
        <w:rPr>
          <w:rFonts w:ascii="Times New Roman" w:hAnsi="Times New Roman" w:cs="Times New Roman"/>
          <w:b/>
          <w:bCs/>
          <w:i/>
          <w:sz w:val="24"/>
          <w:szCs w:val="24"/>
          <w:lang w:val="ro-MD"/>
        </w:rPr>
        <w:t xml:space="preserve"> </w:t>
      </w:r>
      <w:r w:rsidR="006335B9" w:rsidRPr="0080251F">
        <w:rPr>
          <w:rFonts w:ascii="Times New Roman" w:hAnsi="Times New Roman" w:cs="Times New Roman"/>
          <w:b/>
          <w:bCs/>
          <w:i/>
          <w:sz w:val="24"/>
          <w:szCs w:val="24"/>
          <w:lang w:val="ro-MD"/>
        </w:rPr>
        <w:t>le-</w:t>
      </w:r>
      <w:r w:rsidRPr="0080251F">
        <w:rPr>
          <w:rFonts w:ascii="Times New Roman" w:hAnsi="Times New Roman" w:cs="Times New Roman"/>
          <w:b/>
          <w:bCs/>
          <w:i/>
          <w:sz w:val="24"/>
          <w:szCs w:val="24"/>
          <w:lang w:val="ro-MD"/>
        </w:rPr>
        <w:t xml:space="preserve">au depășit </w:t>
      </w:r>
      <w:r w:rsidR="006335B9" w:rsidRPr="0080251F">
        <w:rPr>
          <w:rFonts w:ascii="Times New Roman" w:hAnsi="Times New Roman" w:cs="Times New Roman"/>
          <w:b/>
          <w:bCs/>
          <w:i/>
          <w:sz w:val="24"/>
          <w:szCs w:val="24"/>
          <w:lang w:val="ro-MD"/>
        </w:rPr>
        <w:t xml:space="preserve">pe </w:t>
      </w:r>
      <w:r w:rsidRPr="0080251F">
        <w:rPr>
          <w:rFonts w:ascii="Times New Roman" w:hAnsi="Times New Roman" w:cs="Times New Roman"/>
          <w:b/>
          <w:bCs/>
          <w:i/>
          <w:sz w:val="24"/>
          <w:szCs w:val="24"/>
          <w:lang w:val="ro-MD"/>
        </w:rPr>
        <w:t>cele existente din anul 2021 (aprobate la 19.03.2021) cu circa 74,0%.</w:t>
      </w:r>
      <w:r w:rsidR="00860F97" w:rsidRPr="0080251F">
        <w:rPr>
          <w:rFonts w:ascii="Times New Roman" w:hAnsi="Times New Roman" w:cs="Times New Roman"/>
          <w:bCs/>
          <w:sz w:val="24"/>
          <w:szCs w:val="24"/>
          <w:lang w:val="ro-MD"/>
        </w:rPr>
        <w:t xml:space="preserve"> </w:t>
      </w:r>
      <w:r w:rsidR="00794978" w:rsidRPr="0080251F">
        <w:rPr>
          <w:rFonts w:ascii="Times New Roman" w:hAnsi="Times New Roman" w:cs="Times New Roman"/>
          <w:b/>
          <w:bCs/>
          <w:i/>
          <w:sz w:val="24"/>
          <w:szCs w:val="24"/>
          <w:lang w:val="ro-MD"/>
        </w:rPr>
        <w:t>Profitul de la activitate</w:t>
      </w:r>
      <w:r w:rsidR="005E34F8" w:rsidRPr="0080251F">
        <w:rPr>
          <w:rFonts w:ascii="Times New Roman" w:hAnsi="Times New Roman" w:cs="Times New Roman"/>
          <w:b/>
          <w:bCs/>
          <w:i/>
          <w:sz w:val="24"/>
          <w:szCs w:val="24"/>
          <w:lang w:val="ro-MD"/>
        </w:rPr>
        <w:t>a operațională pentru anii 2021–</w:t>
      </w:r>
      <w:r w:rsidR="00794978" w:rsidRPr="0080251F">
        <w:rPr>
          <w:rFonts w:ascii="Times New Roman" w:hAnsi="Times New Roman" w:cs="Times New Roman"/>
          <w:b/>
          <w:bCs/>
          <w:i/>
          <w:sz w:val="24"/>
          <w:szCs w:val="24"/>
          <w:lang w:val="ro-MD"/>
        </w:rPr>
        <w:t>2022 și, respectiv, rezultatul global al perioadei de gestiune/profitul net total au fost influențate de unele costuri/cheltuieli în</w:t>
      </w:r>
      <w:r w:rsidR="00A30C6A" w:rsidRPr="0080251F">
        <w:rPr>
          <w:rFonts w:ascii="Times New Roman" w:hAnsi="Times New Roman" w:cs="Times New Roman"/>
          <w:b/>
          <w:bCs/>
          <w:i/>
          <w:sz w:val="24"/>
          <w:szCs w:val="24"/>
          <w:lang w:val="ro-MD"/>
        </w:rPr>
        <w:t xml:space="preserve"> sumă</w:t>
      </w:r>
      <w:r w:rsidR="00794978" w:rsidRPr="0080251F">
        <w:rPr>
          <w:rFonts w:ascii="Times New Roman" w:hAnsi="Times New Roman" w:cs="Times New Roman"/>
          <w:b/>
          <w:bCs/>
          <w:i/>
          <w:sz w:val="24"/>
          <w:szCs w:val="24"/>
          <w:lang w:val="ro-MD"/>
        </w:rPr>
        <w:t xml:space="preserve"> de 12</w:t>
      </w:r>
      <w:r w:rsidR="00007ADA" w:rsidRPr="0080251F">
        <w:rPr>
          <w:rFonts w:ascii="Times New Roman" w:hAnsi="Times New Roman" w:cs="Times New Roman"/>
          <w:b/>
          <w:bCs/>
          <w:i/>
          <w:sz w:val="24"/>
          <w:szCs w:val="24"/>
          <w:lang w:val="ro-MD"/>
        </w:rPr>
        <w:t>,9 mil.</w:t>
      </w:r>
      <w:r w:rsidR="00794978" w:rsidRPr="0080251F">
        <w:rPr>
          <w:rFonts w:ascii="Times New Roman" w:hAnsi="Times New Roman" w:cs="Times New Roman"/>
          <w:b/>
          <w:bCs/>
          <w:i/>
          <w:sz w:val="24"/>
          <w:szCs w:val="24"/>
          <w:lang w:val="ro-MD"/>
        </w:rPr>
        <w:t xml:space="preserve"> lei din anul 2021 și </w:t>
      </w:r>
      <w:r w:rsidR="006335B9" w:rsidRPr="0080251F">
        <w:rPr>
          <w:rFonts w:ascii="Times New Roman" w:hAnsi="Times New Roman" w:cs="Times New Roman"/>
          <w:b/>
          <w:bCs/>
          <w:i/>
          <w:sz w:val="24"/>
          <w:szCs w:val="24"/>
          <w:lang w:val="ro-MD"/>
        </w:rPr>
        <w:t xml:space="preserve">de </w:t>
      </w:r>
      <w:r w:rsidR="00794978" w:rsidRPr="0080251F">
        <w:rPr>
          <w:rFonts w:ascii="Times New Roman" w:hAnsi="Times New Roman" w:cs="Times New Roman"/>
          <w:b/>
          <w:bCs/>
          <w:i/>
          <w:sz w:val="24"/>
          <w:szCs w:val="24"/>
          <w:lang w:val="ro-MD"/>
        </w:rPr>
        <w:t>6</w:t>
      </w:r>
      <w:r w:rsidR="00007ADA" w:rsidRPr="0080251F">
        <w:rPr>
          <w:rFonts w:ascii="Times New Roman" w:hAnsi="Times New Roman" w:cs="Times New Roman"/>
          <w:b/>
          <w:bCs/>
          <w:i/>
          <w:sz w:val="24"/>
          <w:szCs w:val="24"/>
          <w:lang w:val="ro-MD"/>
        </w:rPr>
        <w:t>,5 mil.</w:t>
      </w:r>
      <w:r w:rsidR="00794978" w:rsidRPr="0080251F">
        <w:rPr>
          <w:rFonts w:ascii="Times New Roman" w:hAnsi="Times New Roman" w:cs="Times New Roman"/>
          <w:b/>
          <w:bCs/>
          <w:i/>
          <w:sz w:val="24"/>
          <w:szCs w:val="24"/>
          <w:lang w:val="ro-MD"/>
        </w:rPr>
        <w:t xml:space="preserve"> lei din anul 2022, care, deși </w:t>
      </w:r>
      <w:r w:rsidR="000A47A6" w:rsidRPr="0080251F">
        <w:rPr>
          <w:rFonts w:ascii="Times New Roman" w:hAnsi="Times New Roman" w:cs="Times New Roman"/>
          <w:b/>
          <w:bCs/>
          <w:i/>
          <w:sz w:val="24"/>
          <w:szCs w:val="24"/>
          <w:lang w:val="ro-MD"/>
        </w:rPr>
        <w:t>s-</w:t>
      </w:r>
      <w:r w:rsidR="00794978" w:rsidRPr="0080251F">
        <w:rPr>
          <w:rFonts w:ascii="Times New Roman" w:hAnsi="Times New Roman" w:cs="Times New Roman"/>
          <w:b/>
          <w:bCs/>
          <w:i/>
          <w:sz w:val="24"/>
          <w:szCs w:val="24"/>
          <w:lang w:val="ro-MD"/>
        </w:rPr>
        <w:t xml:space="preserve">au efectuat în limitele sau în temeiul prevederilor normative, au </w:t>
      </w:r>
      <w:r w:rsidR="002A6029" w:rsidRPr="0080251F">
        <w:rPr>
          <w:rFonts w:ascii="Times New Roman" w:hAnsi="Times New Roman" w:cs="Times New Roman"/>
          <w:b/>
          <w:bCs/>
          <w:i/>
          <w:iCs/>
          <w:sz w:val="24"/>
          <w:szCs w:val="24"/>
          <w:lang w:val="ro-MD"/>
        </w:rPr>
        <w:t>influențat rezultatele financiare ale entității.</w:t>
      </w:r>
    </w:p>
    <w:p w14:paraId="1DD13C97" w14:textId="0B3D914A" w:rsidR="0033704A" w:rsidRPr="0080251F" w:rsidRDefault="0033704A" w:rsidP="008E0E6B">
      <w:pPr>
        <w:tabs>
          <w:tab w:val="left" w:pos="709"/>
        </w:tabs>
        <w:spacing w:after="0" w:line="276" w:lineRule="auto"/>
        <w:ind w:firstLine="709"/>
        <w:jc w:val="both"/>
        <w:rPr>
          <w:rFonts w:ascii="Times New Roman" w:hAnsi="Times New Roman" w:cs="Times New Roman"/>
          <w:b/>
          <w:bCs/>
          <w:i/>
          <w:sz w:val="24"/>
          <w:szCs w:val="24"/>
          <w:lang w:val="ro-MD"/>
        </w:rPr>
      </w:pPr>
      <w:r w:rsidRPr="0080251F">
        <w:rPr>
          <w:rFonts w:ascii="Times New Roman" w:hAnsi="Times New Roman" w:cs="Times New Roman"/>
          <w:bCs/>
          <w:sz w:val="24"/>
          <w:szCs w:val="24"/>
          <w:lang w:val="ro-MD"/>
        </w:rPr>
        <w:t>Tariful pentru serviciile de distribuție a energiei electrice se aprobă</w:t>
      </w:r>
      <w:r w:rsidR="00007ADA" w:rsidRPr="0080251F">
        <w:rPr>
          <w:rStyle w:val="a5"/>
          <w:rFonts w:ascii="Times New Roman" w:hAnsi="Times New Roman" w:cs="Times New Roman"/>
          <w:bCs/>
          <w:sz w:val="24"/>
          <w:szCs w:val="24"/>
          <w:lang w:val="ro-MD"/>
        </w:rPr>
        <w:footnoteReference w:id="135"/>
      </w:r>
      <w:r w:rsidRPr="0080251F">
        <w:rPr>
          <w:rFonts w:ascii="Times New Roman" w:hAnsi="Times New Roman" w:cs="Times New Roman"/>
          <w:bCs/>
          <w:sz w:val="24"/>
          <w:szCs w:val="24"/>
          <w:lang w:val="ro-MD"/>
        </w:rPr>
        <w:t xml:space="preserve"> de către </w:t>
      </w:r>
      <w:r w:rsidR="00007ADA" w:rsidRPr="0080251F">
        <w:rPr>
          <w:rFonts w:ascii="Times New Roman" w:hAnsi="Times New Roman" w:cs="Times New Roman"/>
          <w:bCs/>
          <w:sz w:val="24"/>
          <w:szCs w:val="24"/>
          <w:lang w:val="ro-MD"/>
        </w:rPr>
        <w:t>ANRE</w:t>
      </w:r>
      <w:r w:rsidRPr="0080251F">
        <w:rPr>
          <w:rFonts w:ascii="Times New Roman" w:hAnsi="Times New Roman" w:cs="Times New Roman"/>
          <w:bCs/>
          <w:sz w:val="24"/>
          <w:szCs w:val="24"/>
          <w:lang w:val="ro-MD"/>
        </w:rPr>
        <w:t xml:space="preserve"> în baza prevederilor HANRE nr.64/2018 din 22.02.2018 și HANRE nr.286/2018 din 17.10.2018</w:t>
      </w:r>
      <w:r w:rsidRPr="0080251F">
        <w:rPr>
          <w:rStyle w:val="a5"/>
          <w:rFonts w:ascii="Times New Roman" w:hAnsi="Times New Roman" w:cs="Times New Roman"/>
          <w:bCs/>
          <w:sz w:val="24"/>
          <w:szCs w:val="24"/>
          <w:lang w:val="ro-MD"/>
        </w:rPr>
        <w:footnoteReference w:id="136"/>
      </w:r>
      <w:r w:rsidRPr="0080251F">
        <w:rPr>
          <w:rFonts w:ascii="Times New Roman" w:hAnsi="Times New Roman" w:cs="Times New Roman"/>
          <w:bCs/>
          <w:sz w:val="24"/>
          <w:szCs w:val="24"/>
          <w:lang w:val="ro-MD"/>
        </w:rPr>
        <w:t>.</w:t>
      </w:r>
    </w:p>
    <w:p w14:paraId="76128796" w14:textId="435047BB" w:rsidR="005611F3" w:rsidRPr="0080251F" w:rsidRDefault="005611F3" w:rsidP="00E95DA1">
      <w:pPr>
        <w:tabs>
          <w:tab w:val="left" w:pos="567"/>
          <w:tab w:val="left" w:pos="709"/>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 xml:space="preserve">Tarifele pentru serviciile auxiliare, prestate în afara activității de bază de distribuție a energiei electrice, se stabilesc și </w:t>
      </w:r>
      <w:r w:rsidR="000A47A6" w:rsidRPr="0080251F">
        <w:rPr>
          <w:rFonts w:ascii="Times New Roman" w:hAnsi="Times New Roman" w:cs="Times New Roman"/>
          <w:bCs/>
          <w:sz w:val="24"/>
          <w:szCs w:val="24"/>
          <w:lang w:val="ro-MD"/>
        </w:rPr>
        <w:t xml:space="preserve">se </w:t>
      </w:r>
      <w:r w:rsidRPr="0080251F">
        <w:rPr>
          <w:rFonts w:ascii="Times New Roman" w:hAnsi="Times New Roman" w:cs="Times New Roman"/>
          <w:bCs/>
          <w:sz w:val="24"/>
          <w:szCs w:val="24"/>
          <w:lang w:val="ro-MD"/>
        </w:rPr>
        <w:t>aprobă în temeiul prevederilor Metodologiei aprobate prin HANRE nr.269/2018 din 28.09.2018</w:t>
      </w:r>
      <w:r w:rsidRPr="0080251F">
        <w:rPr>
          <w:rFonts w:ascii="Times New Roman" w:hAnsi="Times New Roman" w:cs="Times New Roman"/>
          <w:bCs/>
          <w:sz w:val="24"/>
          <w:szCs w:val="24"/>
          <w:vertAlign w:val="superscript"/>
          <w:lang w:val="ro-MD"/>
        </w:rPr>
        <w:footnoteReference w:id="137"/>
      </w:r>
      <w:r w:rsidRPr="0080251F">
        <w:rPr>
          <w:rFonts w:ascii="Times New Roman" w:hAnsi="Times New Roman" w:cs="Times New Roman"/>
          <w:bCs/>
          <w:sz w:val="24"/>
          <w:szCs w:val="24"/>
          <w:lang w:val="ro-MD"/>
        </w:rPr>
        <w:t xml:space="preserve">. În perioada auditată, ultimele tarife auxiliare </w:t>
      </w:r>
      <w:r w:rsidR="009F460D" w:rsidRPr="0080251F">
        <w:rPr>
          <w:rFonts w:ascii="Times New Roman" w:hAnsi="Times New Roman" w:cs="Times New Roman"/>
          <w:bCs/>
          <w:sz w:val="24"/>
          <w:szCs w:val="24"/>
          <w:lang w:val="ro-MD"/>
        </w:rPr>
        <w:t xml:space="preserve">(din anul 2009) </w:t>
      </w:r>
      <w:r w:rsidRPr="0080251F">
        <w:rPr>
          <w:rFonts w:ascii="Times New Roman" w:hAnsi="Times New Roman" w:cs="Times New Roman"/>
          <w:bCs/>
          <w:sz w:val="24"/>
          <w:szCs w:val="24"/>
          <w:lang w:val="ro-MD"/>
        </w:rPr>
        <w:t>au fost revizuite și aprobate prin HANRE nr.120 din 19.03.2021</w:t>
      </w:r>
      <w:r w:rsidRPr="0080251F">
        <w:rPr>
          <w:rFonts w:ascii="Times New Roman" w:hAnsi="Times New Roman" w:cs="Times New Roman"/>
          <w:bCs/>
          <w:sz w:val="24"/>
          <w:szCs w:val="24"/>
          <w:vertAlign w:val="superscript"/>
          <w:lang w:val="ro-MD"/>
        </w:rPr>
        <w:footnoteReference w:id="138"/>
      </w:r>
      <w:r w:rsidR="009F460D" w:rsidRPr="0080251F">
        <w:rPr>
          <w:rFonts w:ascii="Times New Roman" w:hAnsi="Times New Roman" w:cs="Times New Roman"/>
          <w:bCs/>
          <w:sz w:val="24"/>
          <w:szCs w:val="24"/>
          <w:lang w:val="ro-MD"/>
        </w:rPr>
        <w:t>, în baza solicitărilor S.A. „RED-Nord” din lun</w:t>
      </w:r>
      <w:r w:rsidR="000A47A6" w:rsidRPr="0080251F">
        <w:rPr>
          <w:rFonts w:ascii="Times New Roman" w:hAnsi="Times New Roman" w:cs="Times New Roman"/>
          <w:bCs/>
          <w:sz w:val="24"/>
          <w:szCs w:val="24"/>
          <w:lang w:val="ro-MD"/>
        </w:rPr>
        <w:t>ile</w:t>
      </w:r>
      <w:r w:rsidR="009F460D" w:rsidRPr="0080251F">
        <w:rPr>
          <w:rFonts w:ascii="Times New Roman" w:hAnsi="Times New Roman" w:cs="Times New Roman"/>
          <w:bCs/>
          <w:sz w:val="24"/>
          <w:szCs w:val="24"/>
          <w:lang w:val="ro-MD"/>
        </w:rPr>
        <w:t xml:space="preserve"> martie și aprilie </w:t>
      </w:r>
      <w:r w:rsidR="000A47A6" w:rsidRPr="0080251F">
        <w:rPr>
          <w:rFonts w:ascii="Times New Roman" w:hAnsi="Times New Roman" w:cs="Times New Roman"/>
          <w:bCs/>
          <w:sz w:val="24"/>
          <w:szCs w:val="24"/>
          <w:lang w:val="ro-MD"/>
        </w:rPr>
        <w:t xml:space="preserve">ale </w:t>
      </w:r>
      <w:r w:rsidR="009F460D" w:rsidRPr="0080251F">
        <w:rPr>
          <w:rFonts w:ascii="Times New Roman" w:hAnsi="Times New Roman" w:cs="Times New Roman"/>
          <w:bCs/>
          <w:sz w:val="24"/>
          <w:szCs w:val="24"/>
          <w:lang w:val="ro-MD"/>
        </w:rPr>
        <w:t>anul</w:t>
      </w:r>
      <w:r w:rsidR="000A47A6" w:rsidRPr="0080251F">
        <w:rPr>
          <w:rFonts w:ascii="Times New Roman" w:hAnsi="Times New Roman" w:cs="Times New Roman"/>
          <w:bCs/>
          <w:sz w:val="24"/>
          <w:szCs w:val="24"/>
          <w:lang w:val="ro-MD"/>
        </w:rPr>
        <w:t>ui</w:t>
      </w:r>
      <w:r w:rsidR="009F460D" w:rsidRPr="0080251F">
        <w:rPr>
          <w:rFonts w:ascii="Times New Roman" w:hAnsi="Times New Roman" w:cs="Times New Roman"/>
          <w:bCs/>
          <w:sz w:val="24"/>
          <w:szCs w:val="24"/>
          <w:lang w:val="ro-MD"/>
        </w:rPr>
        <w:t xml:space="preserve"> 2020.</w:t>
      </w:r>
      <w:r w:rsidRPr="0080251F">
        <w:rPr>
          <w:rFonts w:ascii="Times New Roman" w:hAnsi="Times New Roman" w:cs="Times New Roman"/>
          <w:bCs/>
          <w:sz w:val="24"/>
          <w:szCs w:val="24"/>
          <w:lang w:val="ro-MD"/>
        </w:rPr>
        <w:t xml:space="preserve"> Ulterior, la solicit</w:t>
      </w:r>
      <w:r w:rsidR="000A47A6" w:rsidRPr="0080251F">
        <w:rPr>
          <w:rFonts w:ascii="Times New Roman" w:hAnsi="Times New Roman" w:cs="Times New Roman"/>
          <w:bCs/>
          <w:sz w:val="24"/>
          <w:szCs w:val="24"/>
          <w:lang w:val="ro-MD"/>
        </w:rPr>
        <w:t>ările</w:t>
      </w:r>
      <w:r w:rsidRPr="0080251F">
        <w:rPr>
          <w:rFonts w:ascii="Times New Roman" w:hAnsi="Times New Roman" w:cs="Times New Roman"/>
          <w:bCs/>
          <w:sz w:val="24"/>
          <w:szCs w:val="24"/>
          <w:lang w:val="ro-MD"/>
        </w:rPr>
        <w:t xml:space="preserve"> S.A. „RED-Nord”</w:t>
      </w:r>
      <w:r w:rsidR="009F460D" w:rsidRPr="0080251F">
        <w:rPr>
          <w:rFonts w:ascii="Times New Roman" w:hAnsi="Times New Roman" w:cs="Times New Roman"/>
          <w:bCs/>
          <w:sz w:val="24"/>
          <w:szCs w:val="24"/>
          <w:lang w:val="ro-MD"/>
        </w:rPr>
        <w:t xml:space="preserve"> </w:t>
      </w:r>
      <w:r w:rsidR="000A47A6" w:rsidRPr="0080251F">
        <w:rPr>
          <w:rFonts w:ascii="Times New Roman" w:hAnsi="Times New Roman" w:cs="Times New Roman"/>
          <w:bCs/>
          <w:sz w:val="24"/>
          <w:szCs w:val="24"/>
          <w:lang w:val="ro-MD"/>
        </w:rPr>
        <w:t>di</w:t>
      </w:r>
      <w:r w:rsidR="009F460D" w:rsidRPr="0080251F">
        <w:rPr>
          <w:rFonts w:ascii="Times New Roman" w:hAnsi="Times New Roman" w:cs="Times New Roman"/>
          <w:bCs/>
          <w:sz w:val="24"/>
          <w:szCs w:val="24"/>
          <w:lang w:val="ro-MD"/>
        </w:rPr>
        <w:t>n lun</w:t>
      </w:r>
      <w:r w:rsidR="000A47A6" w:rsidRPr="0080251F">
        <w:rPr>
          <w:rFonts w:ascii="Times New Roman" w:hAnsi="Times New Roman" w:cs="Times New Roman"/>
          <w:bCs/>
          <w:sz w:val="24"/>
          <w:szCs w:val="24"/>
          <w:lang w:val="ro-MD"/>
        </w:rPr>
        <w:t xml:space="preserve">ile </w:t>
      </w:r>
      <w:r w:rsidR="009F460D" w:rsidRPr="0080251F">
        <w:rPr>
          <w:rFonts w:ascii="Times New Roman" w:hAnsi="Times New Roman" w:cs="Times New Roman"/>
          <w:bCs/>
          <w:sz w:val="24"/>
          <w:szCs w:val="24"/>
          <w:lang w:val="ro-MD"/>
        </w:rPr>
        <w:t xml:space="preserve"> august</w:t>
      </w:r>
      <w:r w:rsidR="009F460D" w:rsidRPr="0080251F">
        <w:rPr>
          <w:rStyle w:val="a5"/>
          <w:rFonts w:ascii="Times New Roman" w:hAnsi="Times New Roman" w:cs="Times New Roman"/>
          <w:bCs/>
          <w:sz w:val="24"/>
          <w:szCs w:val="24"/>
          <w:lang w:val="ro-MD"/>
        </w:rPr>
        <w:footnoteReference w:id="139"/>
      </w:r>
      <w:r w:rsidR="009F460D" w:rsidRPr="0080251F">
        <w:rPr>
          <w:rFonts w:ascii="Times New Roman" w:hAnsi="Times New Roman" w:cs="Times New Roman"/>
          <w:bCs/>
          <w:sz w:val="24"/>
          <w:szCs w:val="24"/>
          <w:lang w:val="ro-MD"/>
        </w:rPr>
        <w:t xml:space="preserve"> și decembrie</w:t>
      </w:r>
      <w:r w:rsidR="003B3889" w:rsidRPr="0080251F">
        <w:rPr>
          <w:rStyle w:val="a5"/>
          <w:rFonts w:ascii="Times New Roman" w:hAnsi="Times New Roman" w:cs="Times New Roman"/>
          <w:bCs/>
          <w:sz w:val="24"/>
          <w:szCs w:val="24"/>
          <w:lang w:val="ro-MD"/>
        </w:rPr>
        <w:footnoteReference w:id="140"/>
      </w:r>
      <w:r w:rsidR="009F460D" w:rsidRPr="0080251F">
        <w:rPr>
          <w:rFonts w:ascii="Times New Roman" w:hAnsi="Times New Roman" w:cs="Times New Roman"/>
          <w:bCs/>
          <w:sz w:val="24"/>
          <w:szCs w:val="24"/>
          <w:lang w:val="ro-MD"/>
        </w:rPr>
        <w:t xml:space="preserve"> </w:t>
      </w:r>
      <w:r w:rsidR="000A47A6" w:rsidRPr="0080251F">
        <w:rPr>
          <w:rFonts w:ascii="Times New Roman" w:hAnsi="Times New Roman" w:cs="Times New Roman"/>
          <w:bCs/>
          <w:sz w:val="24"/>
          <w:szCs w:val="24"/>
          <w:lang w:val="ro-MD"/>
        </w:rPr>
        <w:t xml:space="preserve">ale </w:t>
      </w:r>
      <w:r w:rsidR="009F460D" w:rsidRPr="0080251F">
        <w:rPr>
          <w:rFonts w:ascii="Times New Roman" w:hAnsi="Times New Roman" w:cs="Times New Roman"/>
          <w:bCs/>
          <w:sz w:val="24"/>
          <w:szCs w:val="24"/>
          <w:lang w:val="ro-MD"/>
        </w:rPr>
        <w:t>anul</w:t>
      </w:r>
      <w:r w:rsidR="000A47A6" w:rsidRPr="0080251F">
        <w:rPr>
          <w:rFonts w:ascii="Times New Roman" w:hAnsi="Times New Roman" w:cs="Times New Roman"/>
          <w:bCs/>
          <w:sz w:val="24"/>
          <w:szCs w:val="24"/>
          <w:lang w:val="ro-MD"/>
        </w:rPr>
        <w:t>ui</w:t>
      </w:r>
      <w:r w:rsidR="009F460D" w:rsidRPr="0080251F">
        <w:rPr>
          <w:rFonts w:ascii="Times New Roman" w:hAnsi="Times New Roman" w:cs="Times New Roman"/>
          <w:bCs/>
          <w:sz w:val="24"/>
          <w:szCs w:val="24"/>
          <w:lang w:val="ro-MD"/>
        </w:rPr>
        <w:t xml:space="preserve"> 2022</w:t>
      </w:r>
      <w:r w:rsidRPr="0080251F">
        <w:rPr>
          <w:rFonts w:ascii="Times New Roman" w:hAnsi="Times New Roman" w:cs="Times New Roman"/>
          <w:bCs/>
          <w:sz w:val="24"/>
          <w:szCs w:val="24"/>
          <w:lang w:val="ro-MD"/>
        </w:rPr>
        <w:t>, tarifele pentru serviciile auxiliare a</w:t>
      </w:r>
      <w:r w:rsidR="00D7005E" w:rsidRPr="0080251F">
        <w:rPr>
          <w:rFonts w:ascii="Times New Roman" w:hAnsi="Times New Roman" w:cs="Times New Roman"/>
          <w:bCs/>
          <w:sz w:val="24"/>
          <w:szCs w:val="24"/>
          <w:lang w:val="ro-MD"/>
        </w:rPr>
        <w:t>u</w:t>
      </w:r>
      <w:r w:rsidRPr="0080251F">
        <w:rPr>
          <w:rFonts w:ascii="Times New Roman" w:hAnsi="Times New Roman" w:cs="Times New Roman"/>
          <w:bCs/>
          <w:sz w:val="24"/>
          <w:szCs w:val="24"/>
          <w:lang w:val="ro-MD"/>
        </w:rPr>
        <w:t xml:space="preserve"> fost revăzute</w:t>
      </w:r>
      <w:r w:rsidR="000A47A6" w:rsidRPr="0080251F">
        <w:rPr>
          <w:rFonts w:ascii="Times New Roman" w:hAnsi="Times New Roman" w:cs="Times New Roman"/>
          <w:bCs/>
          <w:sz w:val="24"/>
          <w:szCs w:val="24"/>
          <w:lang w:val="ro-MD"/>
        </w:rPr>
        <w:t xml:space="preserve"> și s-au </w:t>
      </w:r>
      <w:r w:rsidRPr="0080251F">
        <w:rPr>
          <w:rFonts w:ascii="Times New Roman" w:hAnsi="Times New Roman" w:cs="Times New Roman"/>
          <w:bCs/>
          <w:sz w:val="24"/>
          <w:szCs w:val="24"/>
          <w:lang w:val="ro-MD"/>
        </w:rPr>
        <w:t xml:space="preserve">aprobat </w:t>
      </w:r>
      <w:r w:rsidR="000A47A6" w:rsidRPr="0080251F">
        <w:rPr>
          <w:rFonts w:ascii="Times New Roman" w:hAnsi="Times New Roman" w:cs="Times New Roman"/>
          <w:bCs/>
          <w:sz w:val="24"/>
          <w:szCs w:val="24"/>
          <w:lang w:val="ro-MD"/>
        </w:rPr>
        <w:t>alt</w:t>
      </w:r>
      <w:r w:rsidRPr="0080251F">
        <w:rPr>
          <w:rFonts w:ascii="Times New Roman" w:hAnsi="Times New Roman" w:cs="Times New Roman"/>
          <w:bCs/>
          <w:sz w:val="24"/>
          <w:szCs w:val="24"/>
          <w:lang w:val="ro-MD"/>
        </w:rPr>
        <w:t>ele noi prin HANRE nr.472 din 27.07.2023</w:t>
      </w:r>
      <w:r w:rsidRPr="0080251F">
        <w:rPr>
          <w:rFonts w:ascii="Times New Roman" w:hAnsi="Times New Roman" w:cs="Times New Roman"/>
          <w:bCs/>
          <w:sz w:val="24"/>
          <w:szCs w:val="24"/>
          <w:vertAlign w:val="superscript"/>
          <w:lang w:val="ro-MD"/>
        </w:rPr>
        <w:footnoteReference w:id="141"/>
      </w:r>
      <w:r w:rsidRPr="0080251F">
        <w:rPr>
          <w:rFonts w:ascii="Times New Roman" w:hAnsi="Times New Roman" w:cs="Times New Roman"/>
          <w:bCs/>
          <w:sz w:val="24"/>
          <w:szCs w:val="24"/>
          <w:lang w:val="ro-MD"/>
        </w:rPr>
        <w:t>.</w:t>
      </w:r>
    </w:p>
    <w:p w14:paraId="3FE86A59" w14:textId="79DC9F4E" w:rsidR="005611F3" w:rsidRPr="0080251F" w:rsidRDefault="005611F3" w:rsidP="00E95DA1">
      <w:pPr>
        <w:tabs>
          <w:tab w:val="left" w:pos="567"/>
          <w:tab w:val="left" w:pos="709"/>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 xml:space="preserve">Elementele de </w:t>
      </w:r>
      <w:r w:rsidR="00E95DA1" w:rsidRPr="0080251F">
        <w:rPr>
          <w:rFonts w:ascii="Times New Roman" w:hAnsi="Times New Roman" w:cs="Times New Roman"/>
          <w:bCs/>
          <w:sz w:val="24"/>
          <w:szCs w:val="24"/>
          <w:lang w:val="ro-MD"/>
        </w:rPr>
        <w:t>cheltuieli</w:t>
      </w:r>
      <w:r w:rsidRPr="0080251F">
        <w:rPr>
          <w:rFonts w:ascii="Times New Roman" w:hAnsi="Times New Roman" w:cs="Times New Roman"/>
          <w:bCs/>
          <w:sz w:val="24"/>
          <w:szCs w:val="24"/>
          <w:lang w:val="ro-MD"/>
        </w:rPr>
        <w:t xml:space="preserve"> în baza cărora se formează costul tarife</w:t>
      </w:r>
      <w:r w:rsidR="00E95DA1" w:rsidRPr="0080251F">
        <w:rPr>
          <w:rFonts w:ascii="Times New Roman" w:hAnsi="Times New Roman" w:cs="Times New Roman"/>
          <w:bCs/>
          <w:sz w:val="24"/>
          <w:szCs w:val="24"/>
          <w:lang w:val="ro-MD"/>
        </w:rPr>
        <w:t>lor auxiliare sunt următoarele</w:t>
      </w:r>
      <w:r w:rsidRPr="0080251F">
        <w:rPr>
          <w:rFonts w:ascii="Times New Roman" w:hAnsi="Times New Roman" w:cs="Times New Roman"/>
          <w:bCs/>
          <w:sz w:val="24"/>
          <w:szCs w:val="24"/>
          <w:lang w:val="ro-MD"/>
        </w:rPr>
        <w:t>: cheltuielile materiale; cheltuielile de personal;</w:t>
      </w:r>
      <w:r w:rsidRPr="0080251F">
        <w:rPr>
          <w:rFonts w:ascii="Times New Roman" w:hAnsi="Times New Roman" w:cs="Times New Roman"/>
          <w:sz w:val="24"/>
          <w:szCs w:val="24"/>
          <w:lang w:val="ro-MD"/>
        </w:rPr>
        <w:t xml:space="preserve"> </w:t>
      </w:r>
      <w:r w:rsidRPr="0080251F">
        <w:rPr>
          <w:rFonts w:ascii="Times New Roman" w:hAnsi="Times New Roman" w:cs="Times New Roman"/>
          <w:bCs/>
          <w:sz w:val="24"/>
          <w:szCs w:val="24"/>
          <w:lang w:val="ro-MD"/>
        </w:rPr>
        <w:t>cheltuielile privind utilizarea mijloacelor de transport, mașinilor și mecanismelor.</w:t>
      </w:r>
    </w:p>
    <w:p w14:paraId="52449EB0" w14:textId="1FD87364" w:rsidR="005611F3" w:rsidRPr="0080251F" w:rsidRDefault="005611F3" w:rsidP="00A13EDF">
      <w:pPr>
        <w:tabs>
          <w:tab w:val="left" w:pos="567"/>
          <w:tab w:val="left" w:pos="709"/>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 xml:space="preserve">Deși în anii 2021 - 2022 au crescut unele cheltuieli care formează costul tarifelor auxiliare, S.A. „RED-Nord” nu a solicitat reexaminarea lor într-un termen rezonabil, cel puțin, reieșind din cheltuielile efective înregistrate la </w:t>
      </w:r>
      <w:r w:rsidR="00020437" w:rsidRPr="0080251F">
        <w:rPr>
          <w:rFonts w:ascii="Times New Roman" w:hAnsi="Times New Roman" w:cs="Times New Roman"/>
          <w:bCs/>
          <w:sz w:val="24"/>
          <w:szCs w:val="24"/>
          <w:lang w:val="ro-MD"/>
        </w:rPr>
        <w:t xml:space="preserve">finele </w:t>
      </w:r>
      <w:r w:rsidR="00321A95" w:rsidRPr="0080251F">
        <w:rPr>
          <w:rFonts w:ascii="Times New Roman" w:hAnsi="Times New Roman" w:cs="Times New Roman"/>
          <w:bCs/>
          <w:sz w:val="24"/>
          <w:szCs w:val="24"/>
          <w:lang w:val="ro-MD"/>
        </w:rPr>
        <w:t xml:space="preserve">(2021) </w:t>
      </w:r>
      <w:r w:rsidR="003B3889" w:rsidRPr="0080251F">
        <w:rPr>
          <w:rFonts w:ascii="Times New Roman" w:hAnsi="Times New Roman" w:cs="Times New Roman"/>
          <w:bCs/>
          <w:sz w:val="24"/>
          <w:szCs w:val="24"/>
          <w:lang w:val="ro-MD"/>
        </w:rPr>
        <w:t xml:space="preserve">sau </w:t>
      </w:r>
      <w:r w:rsidR="005142A0" w:rsidRPr="0080251F">
        <w:rPr>
          <w:rFonts w:ascii="Times New Roman" w:hAnsi="Times New Roman" w:cs="Times New Roman"/>
          <w:bCs/>
          <w:sz w:val="24"/>
          <w:szCs w:val="24"/>
          <w:lang w:val="ro-MD"/>
        </w:rPr>
        <w:t xml:space="preserve">la </w:t>
      </w:r>
      <w:r w:rsidR="003B3889" w:rsidRPr="0080251F">
        <w:rPr>
          <w:rFonts w:ascii="Times New Roman" w:hAnsi="Times New Roman" w:cs="Times New Roman"/>
          <w:bCs/>
          <w:sz w:val="24"/>
          <w:szCs w:val="24"/>
          <w:lang w:val="ro-MD"/>
        </w:rPr>
        <w:t xml:space="preserve">începutul </w:t>
      </w:r>
      <w:r w:rsidR="00020437" w:rsidRPr="0080251F">
        <w:rPr>
          <w:rFonts w:ascii="Times New Roman" w:hAnsi="Times New Roman" w:cs="Times New Roman"/>
          <w:bCs/>
          <w:sz w:val="24"/>
          <w:szCs w:val="24"/>
          <w:lang w:val="ro-MD"/>
        </w:rPr>
        <w:t>fiecărui an de gestiune</w:t>
      </w:r>
      <w:r w:rsidR="00321A95" w:rsidRPr="0080251F">
        <w:rPr>
          <w:rFonts w:ascii="Times New Roman" w:hAnsi="Times New Roman" w:cs="Times New Roman"/>
          <w:bCs/>
          <w:sz w:val="24"/>
          <w:szCs w:val="24"/>
          <w:lang w:val="ro-MD"/>
        </w:rPr>
        <w:t xml:space="preserve"> (2022)</w:t>
      </w:r>
      <w:r w:rsidR="00020437" w:rsidRPr="0080251F">
        <w:rPr>
          <w:rFonts w:ascii="Times New Roman" w:hAnsi="Times New Roman" w:cs="Times New Roman"/>
          <w:bCs/>
          <w:sz w:val="24"/>
          <w:szCs w:val="24"/>
          <w:lang w:val="ro-MD"/>
        </w:rPr>
        <w:t>. În acest sens, se exemplifică u</w:t>
      </w:r>
      <w:r w:rsidR="003B3889" w:rsidRPr="0080251F">
        <w:rPr>
          <w:rFonts w:ascii="Times New Roman" w:hAnsi="Times New Roman" w:cs="Times New Roman"/>
          <w:bCs/>
          <w:sz w:val="24"/>
          <w:szCs w:val="24"/>
          <w:lang w:val="ro-MD"/>
        </w:rPr>
        <w:t>rmătoarele</w:t>
      </w:r>
      <w:r w:rsidR="00020437" w:rsidRPr="0080251F">
        <w:rPr>
          <w:rFonts w:ascii="Times New Roman" w:hAnsi="Times New Roman" w:cs="Times New Roman"/>
          <w:bCs/>
          <w:sz w:val="24"/>
          <w:szCs w:val="24"/>
          <w:lang w:val="ro-MD"/>
        </w:rPr>
        <w:t xml:space="preserve"> modificări ale cheltuielilor de formare a costului tarifelor auxiliare</w:t>
      </w:r>
      <w:r w:rsidRPr="0080251F">
        <w:rPr>
          <w:rFonts w:ascii="Times New Roman" w:hAnsi="Times New Roman" w:cs="Times New Roman"/>
          <w:bCs/>
          <w:sz w:val="24"/>
          <w:szCs w:val="24"/>
          <w:lang w:val="ro-MD"/>
        </w:rPr>
        <w:t>:</w:t>
      </w:r>
    </w:p>
    <w:p w14:paraId="2D88B548" w14:textId="2D803251" w:rsidR="005611F3" w:rsidRPr="0080251F" w:rsidRDefault="00A13EDF" w:rsidP="00A13EDF">
      <w:pPr>
        <w:numPr>
          <w:ilvl w:val="0"/>
          <w:numId w:val="13"/>
        </w:numPr>
        <w:tabs>
          <w:tab w:val="left" w:pos="0"/>
          <w:tab w:val="left" w:pos="993"/>
        </w:tabs>
        <w:spacing w:after="0" w:line="276" w:lineRule="auto"/>
        <w:ind w:left="0" w:firstLine="709"/>
        <w:contextualSpacing/>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Cuantumul minim garantat al salariului în sectorul real, aplicat la entitate de la 1 martie 2021, s-a majorat față de perioada precedentă (2,5 mii lei pe lună</w:t>
      </w:r>
      <w:r w:rsidR="005142A0"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sau 15,10 lei pe oră) și a constituit 2,9 mii lei pe lună</w:t>
      </w:r>
      <w:r w:rsidR="005142A0"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sau 17,36 lei pe oră. </w:t>
      </w:r>
      <w:r w:rsidR="005611F3" w:rsidRPr="0080251F">
        <w:rPr>
          <w:rFonts w:ascii="Times New Roman" w:hAnsi="Times New Roman" w:cs="Times New Roman"/>
          <w:bCs/>
          <w:sz w:val="24"/>
          <w:szCs w:val="24"/>
          <w:lang w:val="ro-MD"/>
        </w:rPr>
        <w:t xml:space="preserve">În anul 2022, </w:t>
      </w:r>
      <w:r w:rsidR="005142A0" w:rsidRPr="0080251F">
        <w:rPr>
          <w:rFonts w:ascii="Times New Roman" w:hAnsi="Times New Roman" w:cs="Times New Roman"/>
          <w:bCs/>
          <w:sz w:val="24"/>
          <w:szCs w:val="24"/>
          <w:lang w:val="ro-MD"/>
        </w:rPr>
        <w:t>acesta</w:t>
      </w:r>
      <w:r w:rsidR="005611F3" w:rsidRPr="0080251F">
        <w:rPr>
          <w:rFonts w:ascii="Times New Roman" w:hAnsi="Times New Roman" w:cs="Times New Roman"/>
          <w:bCs/>
          <w:sz w:val="24"/>
          <w:szCs w:val="24"/>
          <w:lang w:val="ro-MD"/>
        </w:rPr>
        <w:t xml:space="preserve"> deja a constituit valoarea de 3</w:t>
      </w:r>
      <w:r w:rsidR="00E14B13" w:rsidRPr="0080251F">
        <w:rPr>
          <w:rFonts w:ascii="Times New Roman" w:hAnsi="Times New Roman" w:cs="Times New Roman"/>
          <w:bCs/>
          <w:sz w:val="24"/>
          <w:szCs w:val="24"/>
          <w:lang w:val="ro-MD"/>
        </w:rPr>
        <w:t>,</w:t>
      </w:r>
      <w:r w:rsidR="005611F3" w:rsidRPr="0080251F">
        <w:rPr>
          <w:rFonts w:ascii="Times New Roman" w:hAnsi="Times New Roman" w:cs="Times New Roman"/>
          <w:bCs/>
          <w:sz w:val="24"/>
          <w:szCs w:val="24"/>
          <w:lang w:val="ro-MD"/>
        </w:rPr>
        <w:t>2</w:t>
      </w:r>
      <w:r w:rsidR="00E14B13" w:rsidRPr="0080251F">
        <w:rPr>
          <w:rFonts w:ascii="Times New Roman" w:hAnsi="Times New Roman" w:cs="Times New Roman"/>
          <w:bCs/>
          <w:sz w:val="24"/>
          <w:szCs w:val="24"/>
          <w:lang w:val="ro-MD"/>
        </w:rPr>
        <w:t xml:space="preserve"> mii </w:t>
      </w:r>
      <w:r w:rsidR="005611F3" w:rsidRPr="0080251F">
        <w:rPr>
          <w:rFonts w:ascii="Times New Roman" w:hAnsi="Times New Roman" w:cs="Times New Roman"/>
          <w:bCs/>
          <w:sz w:val="24"/>
          <w:szCs w:val="24"/>
          <w:lang w:val="ro-MD"/>
        </w:rPr>
        <w:t>lei</w:t>
      </w:r>
      <w:r w:rsidR="005142A0" w:rsidRPr="0080251F">
        <w:rPr>
          <w:rFonts w:ascii="Times New Roman" w:hAnsi="Times New Roman" w:cs="Times New Roman"/>
          <w:bCs/>
          <w:sz w:val="24"/>
          <w:szCs w:val="24"/>
          <w:lang w:val="ro-MD"/>
        </w:rPr>
        <w:t xml:space="preserve">, </w:t>
      </w:r>
      <w:r w:rsidR="005611F3"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 xml:space="preserve">sau </w:t>
      </w:r>
      <w:r w:rsidR="005611F3" w:rsidRPr="0080251F">
        <w:rPr>
          <w:rFonts w:ascii="Times New Roman" w:hAnsi="Times New Roman" w:cs="Times New Roman"/>
          <w:bCs/>
          <w:sz w:val="24"/>
          <w:szCs w:val="24"/>
          <w:lang w:val="ro-MD"/>
        </w:rPr>
        <w:t>19,10 lei pe oră. Respectiv, au crescut și sumele contribuțiilor de asigurări sociale de stat obligatorii.</w:t>
      </w:r>
    </w:p>
    <w:p w14:paraId="77363317" w14:textId="52D1C9D3" w:rsidR="00A13EDF" w:rsidRPr="0080251F" w:rsidRDefault="005611F3" w:rsidP="00A13EDF">
      <w:pPr>
        <w:numPr>
          <w:ilvl w:val="0"/>
          <w:numId w:val="13"/>
        </w:numPr>
        <w:tabs>
          <w:tab w:val="left" w:pos="567"/>
          <w:tab w:val="left" w:pos="851"/>
          <w:tab w:val="left" w:pos="993"/>
        </w:tabs>
        <w:spacing w:after="0" w:line="276" w:lineRule="auto"/>
        <w:ind w:left="0" w:firstLine="709"/>
        <w:contextualSpacing/>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Cheltuielile pentru combustibil au crescut</w:t>
      </w:r>
      <w:r w:rsidR="005142A0" w:rsidRPr="0080251F">
        <w:rPr>
          <w:rFonts w:ascii="Times New Roman" w:hAnsi="Times New Roman" w:cs="Times New Roman"/>
          <w:bCs/>
          <w:sz w:val="24"/>
          <w:szCs w:val="24"/>
          <w:lang w:val="ro-MD"/>
        </w:rPr>
        <w:t xml:space="preserve">, </w:t>
      </w:r>
      <w:r w:rsidRPr="0080251F">
        <w:rPr>
          <w:rFonts w:ascii="Times New Roman" w:hAnsi="Times New Roman" w:cs="Times New Roman"/>
          <w:bCs/>
          <w:sz w:val="24"/>
          <w:szCs w:val="24"/>
          <w:lang w:val="ro-MD"/>
        </w:rPr>
        <w:t>vari</w:t>
      </w:r>
      <w:r w:rsidR="005142A0" w:rsidRPr="0080251F">
        <w:rPr>
          <w:rFonts w:ascii="Times New Roman" w:hAnsi="Times New Roman" w:cs="Times New Roman"/>
          <w:bCs/>
          <w:sz w:val="24"/>
          <w:szCs w:val="24"/>
          <w:lang w:val="ro-MD"/>
        </w:rPr>
        <w:t>ind</w:t>
      </w:r>
      <w:r w:rsidRPr="0080251F">
        <w:rPr>
          <w:rFonts w:ascii="Times New Roman" w:hAnsi="Times New Roman" w:cs="Times New Roman"/>
          <w:bCs/>
          <w:sz w:val="24"/>
          <w:szCs w:val="24"/>
          <w:lang w:val="ro-MD"/>
        </w:rPr>
        <w:t xml:space="preserve"> în anii 2021 – 2022. </w:t>
      </w:r>
      <w:r w:rsidR="00A13EDF" w:rsidRPr="0080251F">
        <w:rPr>
          <w:rFonts w:ascii="Times New Roman" w:hAnsi="Times New Roman" w:cs="Times New Roman"/>
          <w:bCs/>
          <w:sz w:val="24"/>
          <w:szCs w:val="24"/>
          <w:lang w:val="ro-MD"/>
        </w:rPr>
        <w:t>Astfel, în anul 2021 prețul mediu anual la benzină a constituit 19,50 lei/litru</w:t>
      </w:r>
      <w:r w:rsidR="005142A0" w:rsidRPr="0080251F">
        <w:rPr>
          <w:rFonts w:ascii="Times New Roman" w:hAnsi="Times New Roman" w:cs="Times New Roman"/>
          <w:bCs/>
          <w:sz w:val="24"/>
          <w:szCs w:val="24"/>
          <w:lang w:val="ro-MD"/>
        </w:rPr>
        <w:t>,</w:t>
      </w:r>
      <w:r w:rsidR="00A13EDF" w:rsidRPr="0080251F">
        <w:rPr>
          <w:rFonts w:ascii="Times New Roman" w:hAnsi="Times New Roman" w:cs="Times New Roman"/>
          <w:bCs/>
          <w:sz w:val="24"/>
          <w:szCs w:val="24"/>
          <w:lang w:val="ro-MD"/>
        </w:rPr>
        <w:t xml:space="preserve"> și la motorină – 16,20 lei/litru, iar în anul 2022 - la benzină a constituit 26,24 lei/litru și la motorină – 25,87 lei/litru. Cu toate acestea, în tariful valabil până în anul 2023, costul benzinei a constituit 14,52 lei/litru și la motorină – 12,95 lei/litru. </w:t>
      </w:r>
    </w:p>
    <w:p w14:paraId="6CDF58E4" w14:textId="183F54CB" w:rsidR="00860F97" w:rsidRPr="0080251F" w:rsidRDefault="005611F3" w:rsidP="00A13EDF">
      <w:pPr>
        <w:tabs>
          <w:tab w:val="left" w:pos="0"/>
          <w:tab w:val="left" w:pos="567"/>
          <w:tab w:val="left" w:pos="851"/>
        </w:tabs>
        <w:spacing w:after="0" w:line="276" w:lineRule="auto"/>
        <w:ind w:firstLine="709"/>
        <w:contextualSpacing/>
        <w:jc w:val="both"/>
        <w:rPr>
          <w:rFonts w:ascii="Times New Roman" w:hAnsi="Times New Roman" w:cs="Times New Roman"/>
          <w:b/>
          <w:bCs/>
          <w:sz w:val="24"/>
          <w:szCs w:val="24"/>
          <w:lang w:val="ro-MD"/>
        </w:rPr>
      </w:pPr>
      <w:r w:rsidRPr="0080251F">
        <w:rPr>
          <w:rFonts w:ascii="Times New Roman" w:hAnsi="Times New Roman" w:cs="Times New Roman"/>
          <w:bCs/>
          <w:sz w:val="24"/>
          <w:szCs w:val="24"/>
          <w:lang w:val="ro-MD"/>
        </w:rPr>
        <w:t xml:space="preserve">Efectiv, noile tarife pentru serviciile auxiliare aprobate în anul 2023 (27.07.2023) </w:t>
      </w:r>
      <w:r w:rsidR="006E2795" w:rsidRPr="0080251F">
        <w:rPr>
          <w:rFonts w:ascii="Times New Roman" w:hAnsi="Times New Roman" w:cs="Times New Roman"/>
          <w:bCs/>
          <w:sz w:val="24"/>
          <w:szCs w:val="24"/>
          <w:lang w:val="ro-MD"/>
        </w:rPr>
        <w:t>le-</w:t>
      </w:r>
      <w:r w:rsidRPr="0080251F">
        <w:rPr>
          <w:rFonts w:ascii="Times New Roman" w:hAnsi="Times New Roman" w:cs="Times New Roman"/>
          <w:bCs/>
          <w:sz w:val="24"/>
          <w:szCs w:val="24"/>
          <w:lang w:val="ro-MD"/>
        </w:rPr>
        <w:t xml:space="preserve">au depășit </w:t>
      </w:r>
      <w:r w:rsidR="006E2795" w:rsidRPr="0080251F">
        <w:rPr>
          <w:rFonts w:ascii="Times New Roman" w:hAnsi="Times New Roman" w:cs="Times New Roman"/>
          <w:bCs/>
          <w:sz w:val="24"/>
          <w:szCs w:val="24"/>
          <w:lang w:val="ro-MD"/>
        </w:rPr>
        <w:t xml:space="preserve">pe </w:t>
      </w:r>
      <w:r w:rsidRPr="0080251F">
        <w:rPr>
          <w:rFonts w:ascii="Times New Roman" w:hAnsi="Times New Roman" w:cs="Times New Roman"/>
          <w:bCs/>
          <w:sz w:val="24"/>
          <w:szCs w:val="24"/>
          <w:lang w:val="ro-MD"/>
        </w:rPr>
        <w:t xml:space="preserve">cele existente din anul 2021 (19.03.2021) cu circa </w:t>
      </w:r>
      <w:r w:rsidRPr="0080251F">
        <w:rPr>
          <w:rFonts w:ascii="Times New Roman" w:hAnsi="Times New Roman" w:cs="Times New Roman"/>
          <w:b/>
          <w:bCs/>
          <w:sz w:val="24"/>
          <w:szCs w:val="24"/>
          <w:lang w:val="ro-MD"/>
        </w:rPr>
        <w:t>74,0%.</w:t>
      </w:r>
      <w:r w:rsidR="00E36F94" w:rsidRPr="0080251F">
        <w:rPr>
          <w:rFonts w:ascii="Times New Roman" w:hAnsi="Times New Roman" w:cs="Times New Roman"/>
          <w:b/>
          <w:bCs/>
          <w:sz w:val="24"/>
          <w:szCs w:val="24"/>
          <w:lang w:val="ro-MD"/>
        </w:rPr>
        <w:t xml:space="preserve"> </w:t>
      </w:r>
    </w:p>
    <w:p w14:paraId="06C9BC46" w14:textId="064EA40A" w:rsidR="00D459C1" w:rsidRPr="0080251F" w:rsidRDefault="00D459C1" w:rsidP="00872D7C">
      <w:pPr>
        <w:tabs>
          <w:tab w:val="left" w:pos="567"/>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sz w:val="24"/>
          <w:szCs w:val="24"/>
          <w:lang w:val="ro-MD"/>
        </w:rPr>
        <w:t xml:space="preserve">În anii 2018 și 2020 – 2022, </w:t>
      </w:r>
      <w:r w:rsidRPr="0080251F">
        <w:rPr>
          <w:rFonts w:ascii="Times New Roman" w:hAnsi="Times New Roman" w:cs="Times New Roman"/>
          <w:i/>
          <w:sz w:val="24"/>
          <w:szCs w:val="24"/>
          <w:lang w:val="ro-MD"/>
        </w:rPr>
        <w:t>de la activitatea de bază/reglementată prin tarif</w:t>
      </w:r>
      <w:r w:rsidRPr="0080251F">
        <w:rPr>
          <w:rFonts w:ascii="Times New Roman" w:hAnsi="Times New Roman" w:cs="Times New Roman"/>
          <w:i/>
          <w:sz w:val="24"/>
          <w:szCs w:val="24"/>
          <w:vertAlign w:val="superscript"/>
          <w:lang w:val="ro-MD"/>
        </w:rPr>
        <w:footnoteReference w:id="142"/>
      </w:r>
      <w:r w:rsidRPr="0080251F">
        <w:rPr>
          <w:rFonts w:ascii="Times New Roman" w:hAnsi="Times New Roman" w:cs="Times New Roman"/>
          <w:sz w:val="24"/>
          <w:szCs w:val="24"/>
          <w:lang w:val="ro-MD"/>
        </w:rPr>
        <w:t xml:space="preserve">, </w:t>
      </w:r>
      <w:r w:rsidR="008542C7" w:rsidRPr="0080251F">
        <w:rPr>
          <w:rFonts w:ascii="Times New Roman" w:hAnsi="Times New Roman" w:cs="Times New Roman"/>
          <w:sz w:val="24"/>
          <w:szCs w:val="24"/>
          <w:lang w:val="ro-MD"/>
        </w:rPr>
        <w:t>S.A. „RED</w:t>
      </w:r>
      <w:r w:rsidRPr="0080251F">
        <w:rPr>
          <w:rFonts w:ascii="Times New Roman" w:hAnsi="Times New Roman" w:cs="Times New Roman"/>
          <w:sz w:val="24"/>
          <w:szCs w:val="24"/>
          <w:lang w:val="ro-MD"/>
        </w:rPr>
        <w:t>-Nord” a raportat profit brut</w:t>
      </w:r>
      <w:r w:rsidRPr="0080251F">
        <w:rPr>
          <w:rFonts w:ascii="Times New Roman" w:hAnsi="Times New Roman" w:cs="Times New Roman"/>
          <w:sz w:val="24"/>
          <w:szCs w:val="24"/>
          <w:vertAlign w:val="superscript"/>
          <w:lang w:val="ro-MD"/>
        </w:rPr>
        <w:footnoteReference w:id="143"/>
      </w:r>
      <w:r w:rsidRPr="0080251F">
        <w:rPr>
          <w:rFonts w:ascii="Times New Roman" w:hAnsi="Times New Roman" w:cs="Times New Roman"/>
          <w:sz w:val="24"/>
          <w:szCs w:val="24"/>
          <w:lang w:val="ro-MD"/>
        </w:rPr>
        <w:t xml:space="preserve">, venitul din vânzări obținut </w:t>
      </w:r>
      <w:r w:rsidR="006E2795" w:rsidRPr="0080251F">
        <w:rPr>
          <w:rFonts w:ascii="Times New Roman" w:hAnsi="Times New Roman" w:cs="Times New Roman"/>
          <w:sz w:val="24"/>
          <w:szCs w:val="24"/>
          <w:lang w:val="ro-MD"/>
        </w:rPr>
        <w:t>depășind</w:t>
      </w:r>
      <w:r w:rsidRPr="0080251F">
        <w:rPr>
          <w:rFonts w:ascii="Times New Roman" w:hAnsi="Times New Roman" w:cs="Times New Roman"/>
          <w:sz w:val="24"/>
          <w:szCs w:val="24"/>
          <w:lang w:val="ro-MD"/>
        </w:rPr>
        <w:t xml:space="preserve"> valoarea costului vânzărilor înregistrate. Venitul din devierile tarifare pozitive pentru anul 2021 a constituit 40</w:t>
      </w:r>
      <w:r w:rsidR="00872D7C" w:rsidRPr="0080251F">
        <w:rPr>
          <w:rFonts w:ascii="Times New Roman" w:hAnsi="Times New Roman" w:cs="Times New Roman"/>
          <w:sz w:val="24"/>
          <w:szCs w:val="24"/>
          <w:lang w:val="ro-MD"/>
        </w:rPr>
        <w:t>,1 mil.</w:t>
      </w:r>
      <w:r w:rsidRPr="0080251F">
        <w:rPr>
          <w:rFonts w:ascii="Times New Roman" w:hAnsi="Times New Roman" w:cs="Times New Roman"/>
          <w:sz w:val="24"/>
          <w:szCs w:val="24"/>
          <w:lang w:val="ro-MD"/>
        </w:rPr>
        <w:t xml:space="preserve"> lei</w:t>
      </w:r>
      <w:r w:rsidRPr="0080251F">
        <w:rPr>
          <w:rFonts w:ascii="Times New Roman" w:hAnsi="Times New Roman" w:cs="Times New Roman"/>
          <w:sz w:val="24"/>
          <w:szCs w:val="24"/>
          <w:vertAlign w:val="superscript"/>
          <w:lang w:val="ro-MD"/>
        </w:rPr>
        <w:footnoteReference w:id="144"/>
      </w:r>
      <w:r w:rsidRPr="0080251F">
        <w:rPr>
          <w:rFonts w:ascii="Times New Roman" w:hAnsi="Times New Roman" w:cs="Times New Roman"/>
          <w:sz w:val="24"/>
          <w:szCs w:val="24"/>
          <w:lang w:val="ro-MD"/>
        </w:rPr>
        <w:t>. Pierder</w:t>
      </w:r>
      <w:r w:rsidR="006E2795" w:rsidRPr="0080251F">
        <w:rPr>
          <w:rFonts w:ascii="Times New Roman" w:hAnsi="Times New Roman" w:cs="Times New Roman"/>
          <w:sz w:val="24"/>
          <w:szCs w:val="24"/>
          <w:lang w:val="ro-MD"/>
        </w:rPr>
        <w:t>ile</w:t>
      </w:r>
      <w:r w:rsidRPr="0080251F">
        <w:rPr>
          <w:rFonts w:ascii="Times New Roman" w:hAnsi="Times New Roman" w:cs="Times New Roman"/>
          <w:sz w:val="24"/>
          <w:szCs w:val="24"/>
          <w:lang w:val="ro-MD"/>
        </w:rPr>
        <w:t xml:space="preserve"> din devierile tarifare negative pentru anul 2020 a</w:t>
      </w:r>
      <w:r w:rsidR="006E2795" w:rsidRPr="0080251F">
        <w:rPr>
          <w:rFonts w:ascii="Times New Roman" w:hAnsi="Times New Roman" w:cs="Times New Roman"/>
          <w:sz w:val="24"/>
          <w:szCs w:val="24"/>
          <w:lang w:val="ro-MD"/>
        </w:rPr>
        <w:t>u</w:t>
      </w:r>
      <w:r w:rsidRPr="0080251F">
        <w:rPr>
          <w:rFonts w:ascii="Times New Roman" w:hAnsi="Times New Roman" w:cs="Times New Roman"/>
          <w:sz w:val="24"/>
          <w:szCs w:val="24"/>
          <w:lang w:val="ro-MD"/>
        </w:rPr>
        <w:t xml:space="preserve"> constituit 860</w:t>
      </w:r>
      <w:r w:rsidR="00D116D7" w:rsidRPr="0080251F">
        <w:rPr>
          <w:rFonts w:ascii="Times New Roman" w:hAnsi="Times New Roman" w:cs="Times New Roman"/>
          <w:sz w:val="24"/>
          <w:szCs w:val="24"/>
          <w:lang w:val="ro-MD"/>
        </w:rPr>
        <w:t>,2 mii</w:t>
      </w:r>
      <w:r w:rsidRPr="0080251F">
        <w:rPr>
          <w:rFonts w:ascii="Times New Roman" w:hAnsi="Times New Roman" w:cs="Times New Roman"/>
          <w:sz w:val="24"/>
          <w:szCs w:val="24"/>
          <w:lang w:val="ro-MD"/>
        </w:rPr>
        <w:t xml:space="preserve"> lei și pentru anul 2022 </w:t>
      </w:r>
      <w:r w:rsidR="00D116D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70</w:t>
      </w:r>
      <w:r w:rsidR="00872D7C" w:rsidRPr="0080251F">
        <w:rPr>
          <w:rFonts w:ascii="Times New Roman" w:hAnsi="Times New Roman" w:cs="Times New Roman"/>
          <w:sz w:val="24"/>
          <w:szCs w:val="24"/>
          <w:lang w:val="ro-MD"/>
        </w:rPr>
        <w:t>,4 mil.</w:t>
      </w:r>
      <w:r w:rsidRPr="0080251F">
        <w:rPr>
          <w:rFonts w:ascii="Times New Roman" w:hAnsi="Times New Roman" w:cs="Times New Roman"/>
          <w:sz w:val="24"/>
          <w:szCs w:val="24"/>
          <w:lang w:val="ro-MD"/>
        </w:rPr>
        <w:t xml:space="preserve"> lei. Astfel,</w:t>
      </w:r>
      <w:r w:rsidRPr="0080251F">
        <w:rPr>
          <w:rFonts w:ascii="Times New Roman" w:eastAsia="Times New Roman" w:hAnsi="Times New Roman" w:cs="Times New Roman"/>
          <w:bCs/>
          <w:iCs/>
          <w:sz w:val="24"/>
          <w:szCs w:val="24"/>
          <w:lang w:val="ro-MD" w:eastAsia="ru-RU"/>
        </w:rPr>
        <w:t xml:space="preserve"> </w:t>
      </w:r>
      <w:r w:rsidRPr="0080251F">
        <w:rPr>
          <w:rFonts w:ascii="Times New Roman" w:hAnsi="Times New Roman" w:cs="Times New Roman"/>
          <w:bCs/>
          <w:iCs/>
          <w:sz w:val="24"/>
          <w:szCs w:val="24"/>
          <w:lang w:val="ro-MD"/>
        </w:rPr>
        <w:t>devierile tarifare neg</w:t>
      </w:r>
      <w:r w:rsidR="00D116D7" w:rsidRPr="0080251F">
        <w:rPr>
          <w:rFonts w:ascii="Times New Roman" w:hAnsi="Times New Roman" w:cs="Times New Roman"/>
          <w:bCs/>
          <w:iCs/>
          <w:sz w:val="24"/>
          <w:szCs w:val="24"/>
          <w:lang w:val="ro-MD"/>
        </w:rPr>
        <w:t>ative din anul 2022 (70</w:t>
      </w:r>
      <w:r w:rsidR="00872D7C" w:rsidRPr="0080251F">
        <w:rPr>
          <w:rFonts w:ascii="Times New Roman" w:hAnsi="Times New Roman" w:cs="Times New Roman"/>
          <w:bCs/>
          <w:iCs/>
          <w:sz w:val="24"/>
          <w:szCs w:val="24"/>
          <w:lang w:val="ro-MD"/>
        </w:rPr>
        <w:t>,4 mil.</w:t>
      </w:r>
      <w:r w:rsidRPr="0080251F">
        <w:rPr>
          <w:rFonts w:ascii="Times New Roman" w:hAnsi="Times New Roman" w:cs="Times New Roman"/>
          <w:bCs/>
          <w:iCs/>
          <w:sz w:val="24"/>
          <w:szCs w:val="24"/>
          <w:lang w:val="ro-MD"/>
        </w:rPr>
        <w:t xml:space="preserve"> lei) au fost recuperate parțial cu devierile tarifare pozitive </w:t>
      </w:r>
      <w:r w:rsidRPr="0080251F">
        <w:rPr>
          <w:rFonts w:ascii="Times New Roman" w:hAnsi="Times New Roman" w:cs="Times New Roman"/>
          <w:bCs/>
          <w:sz w:val="24"/>
          <w:szCs w:val="24"/>
          <w:lang w:val="ro-MD"/>
        </w:rPr>
        <w:t>înregistrate în anul 2021</w:t>
      </w:r>
      <w:r w:rsidR="006E2795" w:rsidRPr="0080251F">
        <w:rPr>
          <w:rFonts w:ascii="Times New Roman" w:hAnsi="Times New Roman" w:cs="Times New Roman"/>
          <w:bCs/>
          <w:sz w:val="24"/>
          <w:szCs w:val="24"/>
          <w:lang w:val="ro-MD"/>
        </w:rPr>
        <w:t>,</w:t>
      </w:r>
      <w:r w:rsidRPr="0080251F">
        <w:rPr>
          <w:rFonts w:ascii="Times New Roman" w:hAnsi="Times New Roman" w:cs="Times New Roman"/>
          <w:bCs/>
          <w:sz w:val="24"/>
          <w:szCs w:val="24"/>
          <w:lang w:val="ro-MD"/>
        </w:rPr>
        <w:t xml:space="preserve"> în valoare de 40</w:t>
      </w:r>
      <w:r w:rsidR="00872D7C" w:rsidRPr="0080251F">
        <w:rPr>
          <w:rFonts w:ascii="Times New Roman" w:hAnsi="Times New Roman" w:cs="Times New Roman"/>
          <w:bCs/>
          <w:sz w:val="24"/>
          <w:szCs w:val="24"/>
          <w:lang w:val="ro-MD"/>
        </w:rPr>
        <w:t xml:space="preserve">,1 mil. </w:t>
      </w:r>
      <w:r w:rsidRPr="0080251F">
        <w:rPr>
          <w:rFonts w:ascii="Times New Roman" w:hAnsi="Times New Roman" w:cs="Times New Roman"/>
          <w:bCs/>
          <w:sz w:val="24"/>
          <w:szCs w:val="24"/>
          <w:lang w:val="ro-MD"/>
        </w:rPr>
        <w:t xml:space="preserve">lei, </w:t>
      </w:r>
      <w:r w:rsidRPr="0080251F">
        <w:rPr>
          <w:rFonts w:ascii="Times New Roman" w:hAnsi="Times New Roman" w:cs="Times New Roman"/>
          <w:sz w:val="24"/>
          <w:szCs w:val="24"/>
          <w:lang w:val="ro-MD"/>
        </w:rPr>
        <w:t>iar pierderea netă din devierile tarifare pentru anul 2022 a constituit 30</w:t>
      </w:r>
      <w:r w:rsidR="00872D7C" w:rsidRPr="0080251F">
        <w:rPr>
          <w:rFonts w:ascii="Times New Roman" w:hAnsi="Times New Roman" w:cs="Times New Roman"/>
          <w:sz w:val="24"/>
          <w:szCs w:val="24"/>
          <w:lang w:val="ro-MD"/>
        </w:rPr>
        <w:t>,3 mil.</w:t>
      </w:r>
      <w:r w:rsidRPr="0080251F">
        <w:rPr>
          <w:rFonts w:ascii="Times New Roman" w:hAnsi="Times New Roman" w:cs="Times New Roman"/>
          <w:sz w:val="24"/>
          <w:szCs w:val="24"/>
          <w:lang w:val="ro-MD"/>
        </w:rPr>
        <w:t xml:space="preserve"> lei, care a fost raportată la creanțe anticipate. Efectiv, S.A. „R</w:t>
      </w:r>
      <w:r w:rsidR="006E2795" w:rsidRPr="0080251F">
        <w:rPr>
          <w:rFonts w:ascii="Times New Roman" w:hAnsi="Times New Roman" w:cs="Times New Roman"/>
          <w:sz w:val="24"/>
          <w:szCs w:val="24"/>
          <w:lang w:val="ro-MD"/>
        </w:rPr>
        <w:t>ED</w:t>
      </w:r>
      <w:r w:rsidRPr="0080251F">
        <w:rPr>
          <w:rFonts w:ascii="Times New Roman" w:hAnsi="Times New Roman" w:cs="Times New Roman"/>
          <w:sz w:val="24"/>
          <w:szCs w:val="24"/>
          <w:lang w:val="ro-MD"/>
        </w:rPr>
        <w:t>-Nord” a început înregistrarea în evidența contabilă și în situațiile financiare raportate a venitului/pierderii obținut</w:t>
      </w:r>
      <w:r w:rsidR="00EC1E7A" w:rsidRPr="0080251F">
        <w:rPr>
          <w:rFonts w:ascii="Times New Roman" w:hAnsi="Times New Roman" w:cs="Times New Roman"/>
          <w:sz w:val="24"/>
          <w:szCs w:val="24"/>
          <w:lang w:val="ro-MD"/>
        </w:rPr>
        <w:t>e</w:t>
      </w:r>
      <w:r w:rsidRPr="0080251F">
        <w:rPr>
          <w:rFonts w:ascii="Times New Roman" w:hAnsi="Times New Roman" w:cs="Times New Roman"/>
          <w:sz w:val="24"/>
          <w:szCs w:val="24"/>
          <w:lang w:val="ro-MD"/>
        </w:rPr>
        <w:t xml:space="preserve"> din devierile tarifare din anul 2020, perioada când entitatea a trecut la noile reguli </w:t>
      </w:r>
      <w:r w:rsidR="00D7005E" w:rsidRPr="0080251F">
        <w:rPr>
          <w:rFonts w:ascii="Times New Roman" w:hAnsi="Times New Roman" w:cs="Times New Roman"/>
          <w:sz w:val="24"/>
          <w:szCs w:val="24"/>
          <w:lang w:val="ro-MD"/>
        </w:rPr>
        <w:t xml:space="preserve">de </w:t>
      </w:r>
      <w:r w:rsidRPr="0080251F">
        <w:rPr>
          <w:rFonts w:ascii="Times New Roman" w:hAnsi="Times New Roman" w:cs="Times New Roman"/>
          <w:sz w:val="24"/>
          <w:szCs w:val="24"/>
          <w:lang w:val="ro-MD"/>
        </w:rPr>
        <w:t>raportare financiară, în baza Standardelor Internaționale de Raportare Financiară</w:t>
      </w:r>
      <w:r w:rsidRPr="0080251F">
        <w:rPr>
          <w:rFonts w:ascii="Times New Roman" w:hAnsi="Times New Roman" w:cs="Times New Roman"/>
          <w:sz w:val="24"/>
          <w:szCs w:val="24"/>
          <w:vertAlign w:val="superscript"/>
          <w:lang w:val="ro-MD"/>
        </w:rPr>
        <w:footnoteReference w:id="145"/>
      </w:r>
      <w:r w:rsidRPr="0080251F">
        <w:rPr>
          <w:rFonts w:ascii="Times New Roman" w:hAnsi="Times New Roman" w:cs="Times New Roman"/>
          <w:sz w:val="24"/>
          <w:szCs w:val="24"/>
          <w:lang w:val="ro-MD"/>
        </w:rPr>
        <w:t xml:space="preserve">. </w:t>
      </w:r>
      <w:r w:rsidR="00117E2C" w:rsidRPr="0080251F">
        <w:rPr>
          <w:rFonts w:ascii="Times New Roman" w:hAnsi="Times New Roman" w:cs="Times New Roman"/>
          <w:bCs/>
          <w:sz w:val="24"/>
          <w:szCs w:val="24"/>
          <w:lang w:val="ro-MD"/>
        </w:rPr>
        <w:t xml:space="preserve">Informația privind veniturile, costurile/cheltuielile și rezultatul net din activitatea operațională se prezintă în </w:t>
      </w:r>
      <w:r w:rsidR="00117E2C" w:rsidRPr="0080251F">
        <w:rPr>
          <w:rFonts w:ascii="Times New Roman" w:hAnsi="Times New Roman" w:cs="Times New Roman"/>
          <w:b/>
          <w:bCs/>
          <w:sz w:val="24"/>
          <w:szCs w:val="24"/>
          <w:lang w:val="ro-MD"/>
        </w:rPr>
        <w:t>Anexa nr.3</w:t>
      </w:r>
      <w:r w:rsidR="00117E2C" w:rsidRPr="0080251F">
        <w:rPr>
          <w:rFonts w:ascii="Times New Roman" w:hAnsi="Times New Roman" w:cs="Times New Roman"/>
          <w:bCs/>
          <w:sz w:val="24"/>
          <w:szCs w:val="24"/>
          <w:lang w:val="ro-MD"/>
        </w:rPr>
        <w:t xml:space="preserve"> la prezentul Raport de audit.</w:t>
      </w:r>
    </w:p>
    <w:p w14:paraId="04487A70" w14:textId="687EDBC6" w:rsidR="00D459C1" w:rsidRPr="0080251F" w:rsidRDefault="00D459C1" w:rsidP="005269EB">
      <w:pPr>
        <w:tabs>
          <w:tab w:val="left" w:pos="567"/>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i/>
          <w:sz w:val="24"/>
          <w:szCs w:val="24"/>
          <w:lang w:val="ro-MD"/>
        </w:rPr>
        <w:t>Pierderea brută de la</w:t>
      </w:r>
      <w:r w:rsidRPr="0080251F">
        <w:rPr>
          <w:rFonts w:ascii="Times New Roman" w:hAnsi="Times New Roman" w:cs="Times New Roman"/>
          <w:sz w:val="24"/>
          <w:szCs w:val="24"/>
          <w:lang w:val="ro-MD"/>
        </w:rPr>
        <w:t xml:space="preserve"> </w:t>
      </w:r>
      <w:r w:rsidRPr="0080251F">
        <w:rPr>
          <w:rFonts w:ascii="Times New Roman" w:hAnsi="Times New Roman" w:cs="Times New Roman"/>
          <w:i/>
          <w:sz w:val="24"/>
          <w:szCs w:val="24"/>
          <w:lang w:val="ro-MD"/>
        </w:rPr>
        <w:t>activitatea de bază/reglementată prin tarif</w:t>
      </w:r>
      <w:r w:rsidR="000B6AD1"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169</w:t>
      </w:r>
      <w:r w:rsidR="00872D7C" w:rsidRPr="0080251F">
        <w:rPr>
          <w:rFonts w:ascii="Times New Roman" w:hAnsi="Times New Roman" w:cs="Times New Roman"/>
          <w:sz w:val="24"/>
          <w:szCs w:val="24"/>
          <w:lang w:val="ro-MD"/>
        </w:rPr>
        <w:t>,9 mil.</w:t>
      </w:r>
      <w:r w:rsidR="00D116D7"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 xml:space="preserve">lei) și, respectiv, </w:t>
      </w:r>
      <w:r w:rsidRPr="0080251F">
        <w:rPr>
          <w:rFonts w:ascii="Times New Roman" w:hAnsi="Times New Roman" w:cs="Times New Roman"/>
          <w:i/>
          <w:sz w:val="24"/>
          <w:szCs w:val="24"/>
          <w:lang w:val="ro-MD"/>
        </w:rPr>
        <w:t>rezultatul global net negativ al perioadei de gestiune</w:t>
      </w:r>
      <w:r w:rsidR="000B6AD1"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265</w:t>
      </w:r>
      <w:r w:rsidR="00872D7C" w:rsidRPr="0080251F">
        <w:rPr>
          <w:rFonts w:ascii="Times New Roman" w:hAnsi="Times New Roman" w:cs="Times New Roman"/>
          <w:sz w:val="24"/>
          <w:szCs w:val="24"/>
          <w:lang w:val="ro-MD"/>
        </w:rPr>
        <w:t>,1 mil.</w:t>
      </w:r>
      <w:r w:rsidR="00D116D7"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lei) în anul 2019 au fost determinate și rezultate din efectele trecerii la noile standarde de raportare financiară (anularea veniturilor din devieri tarifare spre recuperare recunoscute la data de tranziție; majorarea cheltuielilor cu amortizarea mijloacelor fixe reevaluate; anularea amortizării calculat</w:t>
      </w:r>
      <w:r w:rsidR="00694E07" w:rsidRPr="0080251F">
        <w:rPr>
          <w:rFonts w:ascii="Times New Roman" w:hAnsi="Times New Roman" w:cs="Times New Roman"/>
          <w:sz w:val="24"/>
          <w:szCs w:val="24"/>
          <w:lang w:val="ro-MD"/>
        </w:rPr>
        <w:t>e</w:t>
      </w:r>
      <w:r w:rsidRPr="0080251F">
        <w:rPr>
          <w:rFonts w:ascii="Times New Roman" w:hAnsi="Times New Roman" w:cs="Times New Roman"/>
          <w:sz w:val="24"/>
          <w:szCs w:val="24"/>
          <w:lang w:val="ro-MD"/>
        </w:rPr>
        <w:t xml:space="preserve"> în 2019 pentru activele necorporale depreciate; recunoașterea cheltuielilor din deprecierea stocurilor; recunoașterea impozitului pe venit amânat; alte elemente ale rezultatului global - pierderile din reevaluarea mijloacelor fixe și efec</w:t>
      </w:r>
      <w:r w:rsidR="0091450A" w:rsidRPr="0080251F">
        <w:rPr>
          <w:rFonts w:ascii="Times New Roman" w:hAnsi="Times New Roman" w:cs="Times New Roman"/>
          <w:sz w:val="24"/>
          <w:szCs w:val="24"/>
          <w:lang w:val="ro-MD"/>
        </w:rPr>
        <w:t>tul impozitului pe venit amânat</w:t>
      </w:r>
      <w:r w:rsidRPr="0080251F">
        <w:rPr>
          <w:rFonts w:ascii="Times New Roman" w:hAnsi="Times New Roman" w:cs="Times New Roman"/>
          <w:sz w:val="24"/>
          <w:szCs w:val="24"/>
          <w:lang w:val="ro-MD"/>
        </w:rPr>
        <w:t>).</w:t>
      </w:r>
    </w:p>
    <w:p w14:paraId="6B8DC638" w14:textId="371F5068" w:rsidR="00D459C1" w:rsidRPr="0080251F" w:rsidRDefault="00D459C1" w:rsidP="00587B6D">
      <w:pPr>
        <w:tabs>
          <w:tab w:val="left" w:pos="567"/>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În anii 2018 și 2021</w:t>
      </w:r>
      <w:r w:rsidR="00976004"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2022, </w:t>
      </w:r>
      <w:r w:rsidRPr="0080251F">
        <w:rPr>
          <w:rFonts w:ascii="Times New Roman" w:hAnsi="Times New Roman" w:cs="Times New Roman"/>
          <w:i/>
          <w:sz w:val="24"/>
          <w:szCs w:val="24"/>
          <w:lang w:val="ro-MD"/>
        </w:rPr>
        <w:t>de la activitatea operațională</w:t>
      </w:r>
      <w:r w:rsidRPr="0080251F">
        <w:rPr>
          <w:rFonts w:ascii="Times New Roman" w:hAnsi="Times New Roman" w:cs="Times New Roman"/>
          <w:sz w:val="24"/>
          <w:szCs w:val="24"/>
          <w:lang w:val="ro-MD"/>
        </w:rPr>
        <w:t xml:space="preserve">, </w:t>
      </w:r>
      <w:r w:rsidR="008542C7" w:rsidRPr="0080251F">
        <w:rPr>
          <w:rFonts w:ascii="Times New Roman" w:hAnsi="Times New Roman" w:cs="Times New Roman"/>
          <w:sz w:val="24"/>
          <w:szCs w:val="24"/>
          <w:lang w:val="ro-MD"/>
        </w:rPr>
        <w:t xml:space="preserve">S.A. „RED-Nord” </w:t>
      </w:r>
      <w:r w:rsidRPr="0080251F">
        <w:rPr>
          <w:rFonts w:ascii="Times New Roman" w:hAnsi="Times New Roman" w:cs="Times New Roman"/>
          <w:sz w:val="24"/>
          <w:szCs w:val="24"/>
          <w:lang w:val="ro-MD"/>
        </w:rPr>
        <w:t xml:space="preserve">a raportat profit, venitul din vânzări obținut fiind peste valoarea costului vânzărilor, cheltuielilor administrative și altor cheltuieli operaționale înregistrate (profit de la activitatea operațională: anul 2018 </w:t>
      </w:r>
      <w:r w:rsidR="00D116D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107</w:t>
      </w:r>
      <w:r w:rsidR="00872D7C" w:rsidRPr="0080251F">
        <w:rPr>
          <w:rFonts w:ascii="Times New Roman" w:hAnsi="Times New Roman" w:cs="Times New Roman"/>
          <w:sz w:val="24"/>
          <w:szCs w:val="24"/>
          <w:lang w:val="ro-MD"/>
        </w:rPr>
        <w:t>,9 mil.</w:t>
      </w:r>
      <w:r w:rsidRPr="0080251F">
        <w:rPr>
          <w:rFonts w:ascii="Times New Roman" w:hAnsi="Times New Roman" w:cs="Times New Roman"/>
          <w:sz w:val="24"/>
          <w:szCs w:val="24"/>
          <w:lang w:val="ro-MD"/>
        </w:rPr>
        <w:t xml:space="preserve"> lei; anul 2021 </w:t>
      </w:r>
      <w:r w:rsidR="00D116D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55</w:t>
      </w:r>
      <w:r w:rsidR="00872D7C" w:rsidRPr="0080251F">
        <w:rPr>
          <w:rFonts w:ascii="Times New Roman" w:hAnsi="Times New Roman" w:cs="Times New Roman"/>
          <w:sz w:val="24"/>
          <w:szCs w:val="24"/>
          <w:lang w:val="ro-MD"/>
        </w:rPr>
        <w:t>,3 mil.</w:t>
      </w:r>
      <w:r w:rsidRPr="0080251F">
        <w:rPr>
          <w:rFonts w:ascii="Times New Roman" w:hAnsi="Times New Roman" w:cs="Times New Roman"/>
          <w:sz w:val="24"/>
          <w:szCs w:val="24"/>
          <w:lang w:val="ro-MD"/>
        </w:rPr>
        <w:t xml:space="preserve"> lei; anul 2022 </w:t>
      </w:r>
      <w:r w:rsidR="00D116D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55</w:t>
      </w:r>
      <w:r w:rsidR="00872D7C" w:rsidRPr="0080251F">
        <w:rPr>
          <w:rFonts w:ascii="Times New Roman" w:hAnsi="Times New Roman" w:cs="Times New Roman"/>
          <w:sz w:val="24"/>
          <w:szCs w:val="24"/>
          <w:lang w:val="ro-MD"/>
        </w:rPr>
        <w:t>,2 mil.</w:t>
      </w:r>
      <w:r w:rsidRPr="0080251F">
        <w:rPr>
          <w:rFonts w:ascii="Times New Roman" w:hAnsi="Times New Roman" w:cs="Times New Roman"/>
          <w:sz w:val="24"/>
          <w:szCs w:val="24"/>
          <w:lang w:val="ro-MD"/>
        </w:rPr>
        <w:t xml:space="preserve"> lei). Pierderea de la activitatea operațională în anul 2019 a constituit 250</w:t>
      </w:r>
      <w:r w:rsidR="00872D7C" w:rsidRPr="0080251F">
        <w:rPr>
          <w:rFonts w:ascii="Times New Roman" w:hAnsi="Times New Roman" w:cs="Times New Roman"/>
          <w:sz w:val="24"/>
          <w:szCs w:val="24"/>
          <w:lang w:val="ro-MD"/>
        </w:rPr>
        <w:t>,6 mil.</w:t>
      </w:r>
      <w:r w:rsidRPr="0080251F">
        <w:rPr>
          <w:rFonts w:ascii="Times New Roman" w:hAnsi="Times New Roman" w:cs="Times New Roman"/>
          <w:sz w:val="24"/>
          <w:szCs w:val="24"/>
          <w:lang w:val="ro-MD"/>
        </w:rPr>
        <w:t xml:space="preserve"> lei și în anul 2020 </w:t>
      </w:r>
      <w:r w:rsidR="00D116D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17</w:t>
      </w:r>
      <w:r w:rsidR="00872D7C" w:rsidRPr="0080251F">
        <w:rPr>
          <w:rFonts w:ascii="Times New Roman" w:hAnsi="Times New Roman" w:cs="Times New Roman"/>
          <w:sz w:val="24"/>
          <w:szCs w:val="24"/>
          <w:lang w:val="ro-MD"/>
        </w:rPr>
        <w:t>,1 mil</w:t>
      </w:r>
      <w:r w:rsidRPr="0080251F">
        <w:rPr>
          <w:rFonts w:ascii="Times New Roman" w:hAnsi="Times New Roman" w:cs="Times New Roman"/>
          <w:sz w:val="24"/>
          <w:szCs w:val="24"/>
          <w:lang w:val="ro-MD"/>
        </w:rPr>
        <w:t xml:space="preserve"> lei, fiind determinată și rezultată din efectele trecerii la noile standarde de raportare financiară.</w:t>
      </w:r>
      <w:r w:rsidR="00641400" w:rsidRPr="0080251F">
        <w:rPr>
          <w:rFonts w:ascii="Times New Roman" w:hAnsi="Times New Roman" w:cs="Times New Roman"/>
          <w:sz w:val="24"/>
          <w:szCs w:val="24"/>
          <w:lang w:val="ro-MD"/>
        </w:rPr>
        <w:t xml:space="preserve"> </w:t>
      </w:r>
    </w:p>
    <w:p w14:paraId="4817368B" w14:textId="4772F774" w:rsidR="00641400" w:rsidRPr="0080251F" w:rsidRDefault="00641400" w:rsidP="00641400">
      <w:pPr>
        <w:tabs>
          <w:tab w:val="left" w:pos="567"/>
        </w:tabs>
        <w:spacing w:after="0" w:line="276" w:lineRule="auto"/>
        <w:ind w:firstLine="709"/>
        <w:jc w:val="both"/>
        <w:rPr>
          <w:rFonts w:ascii="Times New Roman" w:hAnsi="Times New Roman" w:cs="Times New Roman"/>
          <w:bCs/>
          <w:sz w:val="24"/>
          <w:szCs w:val="24"/>
          <w:lang w:val="ro-MD"/>
        </w:rPr>
      </w:pPr>
      <w:r w:rsidRPr="0080251F">
        <w:rPr>
          <w:rFonts w:ascii="Times New Roman" w:hAnsi="Times New Roman" w:cs="Times New Roman"/>
          <w:bCs/>
          <w:sz w:val="24"/>
          <w:szCs w:val="24"/>
          <w:lang w:val="ro-MD"/>
        </w:rPr>
        <w:t>Capitalul propriu, în raport cu anul 2020 (2.547,1 mil. lei), a crescut și la data de 31.12.2022 a constituit 2.637,6 mil. lei.</w:t>
      </w:r>
      <w:r w:rsidR="00F60C2F" w:rsidRPr="0080251F">
        <w:rPr>
          <w:rFonts w:ascii="Times New Roman" w:hAnsi="Times New Roman" w:cs="Times New Roman"/>
          <w:bCs/>
          <w:sz w:val="24"/>
          <w:szCs w:val="24"/>
          <w:lang w:val="ro-MD"/>
        </w:rPr>
        <w:t xml:space="preserve"> Creșterea capitalului s-a înregistrat din contul rezervelor (cu 3,2 mil. lei), profitului acumulat din perioadele precedente (cu 15,2 mil. lei) și rezultatului financiar al perioade</w:t>
      </w:r>
      <w:r w:rsidR="00694E07" w:rsidRPr="0080251F">
        <w:rPr>
          <w:rFonts w:ascii="Times New Roman" w:hAnsi="Times New Roman" w:cs="Times New Roman"/>
          <w:bCs/>
          <w:sz w:val="24"/>
          <w:szCs w:val="24"/>
          <w:lang w:val="ro-MD"/>
        </w:rPr>
        <w:t xml:space="preserve">i </w:t>
      </w:r>
      <w:r w:rsidR="00F60C2F" w:rsidRPr="0080251F">
        <w:rPr>
          <w:rFonts w:ascii="Times New Roman" w:hAnsi="Times New Roman" w:cs="Times New Roman"/>
          <w:bCs/>
          <w:sz w:val="24"/>
          <w:szCs w:val="24"/>
          <w:lang w:val="ro-MD"/>
        </w:rPr>
        <w:t xml:space="preserve"> de gestiune (cu 69,3 mil. lei).</w:t>
      </w:r>
    </w:p>
    <w:p w14:paraId="795A96CA" w14:textId="65C230CA" w:rsidR="00366DB8" w:rsidRPr="0080251F" w:rsidRDefault="00587B6D" w:rsidP="00F516D5">
      <w:pPr>
        <w:tabs>
          <w:tab w:val="left" w:pos="567"/>
          <w:tab w:val="left" w:pos="993"/>
        </w:tabs>
        <w:spacing w:after="0" w:line="276" w:lineRule="auto"/>
        <w:ind w:firstLine="709"/>
        <w:jc w:val="both"/>
        <w:rPr>
          <w:rFonts w:ascii="Times New Roman" w:eastAsia="Times New Roman" w:hAnsi="Times New Roman" w:cs="Times New Roman"/>
          <w:sz w:val="24"/>
          <w:szCs w:val="24"/>
          <w:lang w:val="ro-MD" w:eastAsia="ru-RU"/>
        </w:rPr>
      </w:pPr>
      <w:r w:rsidRPr="0080251F">
        <w:rPr>
          <w:rFonts w:ascii="Times New Roman" w:eastAsia="Times New Roman" w:hAnsi="Times New Roman" w:cs="Times New Roman"/>
          <w:iCs/>
          <w:sz w:val="24"/>
          <w:szCs w:val="24"/>
          <w:lang w:val="ro-MD" w:eastAsia="ru-RU"/>
        </w:rPr>
        <w:t xml:space="preserve">Deși pentru anii 2021-2022 </w:t>
      </w:r>
      <w:r w:rsidRPr="0080251F">
        <w:rPr>
          <w:rFonts w:ascii="Times New Roman" w:hAnsi="Times New Roman" w:cs="Times New Roman"/>
          <w:iCs/>
          <w:sz w:val="24"/>
          <w:szCs w:val="24"/>
          <w:lang w:val="ro-MD"/>
        </w:rPr>
        <w:t xml:space="preserve">S.A. „RED-Nord” a înregistrat </w:t>
      </w:r>
      <w:r w:rsidRPr="0080251F">
        <w:rPr>
          <w:rFonts w:ascii="Times New Roman" w:eastAsia="Times New Roman" w:hAnsi="Times New Roman" w:cs="Times New Roman"/>
          <w:iCs/>
          <w:sz w:val="24"/>
          <w:szCs w:val="24"/>
          <w:lang w:val="ro-MD" w:eastAsia="ru-RU"/>
        </w:rPr>
        <w:t>p</w:t>
      </w:r>
      <w:r w:rsidR="00366DB8" w:rsidRPr="0080251F">
        <w:rPr>
          <w:rFonts w:ascii="Times New Roman" w:eastAsia="Times New Roman" w:hAnsi="Times New Roman" w:cs="Times New Roman"/>
          <w:iCs/>
          <w:sz w:val="24"/>
          <w:szCs w:val="24"/>
          <w:lang w:val="ro-MD" w:eastAsia="ru-RU"/>
        </w:rPr>
        <w:t>rofit d</w:t>
      </w:r>
      <w:r w:rsidRPr="0080251F">
        <w:rPr>
          <w:rFonts w:ascii="Times New Roman" w:eastAsia="Times New Roman" w:hAnsi="Times New Roman" w:cs="Times New Roman"/>
          <w:iCs/>
          <w:sz w:val="24"/>
          <w:szCs w:val="24"/>
          <w:lang w:val="ro-MD" w:eastAsia="ru-RU"/>
        </w:rPr>
        <w:t>in</w:t>
      </w:r>
      <w:r w:rsidR="00366DB8" w:rsidRPr="0080251F">
        <w:rPr>
          <w:rFonts w:ascii="Times New Roman" w:eastAsia="Times New Roman" w:hAnsi="Times New Roman" w:cs="Times New Roman"/>
          <w:iCs/>
          <w:sz w:val="24"/>
          <w:szCs w:val="24"/>
          <w:lang w:val="ro-MD" w:eastAsia="ru-RU"/>
        </w:rPr>
        <w:t xml:space="preserve"> activitatea </w:t>
      </w:r>
      <w:r w:rsidR="00976004" w:rsidRPr="0080251F">
        <w:rPr>
          <w:rFonts w:ascii="Times New Roman" w:eastAsia="Times New Roman" w:hAnsi="Times New Roman" w:cs="Times New Roman"/>
          <w:iCs/>
          <w:sz w:val="24"/>
          <w:szCs w:val="24"/>
          <w:lang w:val="ro-MD" w:eastAsia="ru-RU"/>
        </w:rPr>
        <w:t>operațională</w:t>
      </w:r>
      <w:r w:rsidR="00F516D5" w:rsidRPr="0080251F">
        <w:rPr>
          <w:rFonts w:ascii="Times New Roman" w:eastAsia="Times New Roman" w:hAnsi="Times New Roman" w:cs="Times New Roman"/>
          <w:iCs/>
          <w:sz w:val="24"/>
          <w:szCs w:val="24"/>
          <w:lang w:val="ro-MD" w:eastAsia="ru-RU"/>
        </w:rPr>
        <w:t xml:space="preserve">, </w:t>
      </w:r>
      <w:r w:rsidR="002A0859" w:rsidRPr="0080251F">
        <w:rPr>
          <w:rFonts w:ascii="Times New Roman" w:eastAsia="Times New Roman" w:hAnsi="Times New Roman" w:cs="Times New Roman"/>
          <w:iCs/>
          <w:sz w:val="24"/>
          <w:szCs w:val="24"/>
          <w:lang w:val="ro-MD" w:eastAsia="ru-RU"/>
        </w:rPr>
        <w:t>valoarea lui a fost determinată de</w:t>
      </w:r>
      <w:r w:rsidR="00F516D5" w:rsidRPr="0080251F">
        <w:rPr>
          <w:rFonts w:ascii="Times New Roman" w:eastAsia="Times New Roman" w:hAnsi="Times New Roman" w:cs="Times New Roman"/>
          <w:iCs/>
          <w:sz w:val="24"/>
          <w:szCs w:val="24"/>
          <w:lang w:val="ro-MD" w:eastAsia="ru-RU"/>
        </w:rPr>
        <w:t xml:space="preserve"> unele cheltuieli</w:t>
      </w:r>
      <w:r w:rsidR="002A0859" w:rsidRPr="0080251F">
        <w:rPr>
          <w:rFonts w:ascii="Times New Roman" w:hAnsi="Times New Roman" w:cs="Times New Roman"/>
          <w:sz w:val="24"/>
          <w:szCs w:val="24"/>
          <w:lang w:val="ro-MD"/>
        </w:rPr>
        <w:t xml:space="preserve"> </w:t>
      </w:r>
      <w:r w:rsidR="002A0859" w:rsidRPr="0080251F">
        <w:rPr>
          <w:rFonts w:ascii="Times New Roman" w:eastAsia="Times New Roman" w:hAnsi="Times New Roman" w:cs="Times New Roman"/>
          <w:iCs/>
          <w:sz w:val="24"/>
          <w:szCs w:val="24"/>
          <w:lang w:val="ro-MD" w:eastAsia="ru-RU"/>
        </w:rPr>
        <w:t xml:space="preserve">care nu se includ în calcularea tarifului, </w:t>
      </w:r>
      <w:r w:rsidR="00335204" w:rsidRPr="0080251F">
        <w:rPr>
          <w:rFonts w:ascii="Times New Roman" w:eastAsia="Times New Roman" w:hAnsi="Times New Roman" w:cs="Times New Roman"/>
          <w:iCs/>
          <w:sz w:val="24"/>
          <w:szCs w:val="24"/>
          <w:lang w:val="ro-MD" w:eastAsia="ru-RU"/>
        </w:rPr>
        <w:t xml:space="preserve">cheltuieli </w:t>
      </w:r>
      <w:r w:rsidR="00F516D5" w:rsidRPr="0080251F">
        <w:rPr>
          <w:rFonts w:ascii="Times New Roman" w:eastAsia="Times New Roman" w:hAnsi="Times New Roman" w:cs="Times New Roman"/>
          <w:iCs/>
          <w:sz w:val="24"/>
          <w:szCs w:val="24"/>
          <w:lang w:val="ro-MD" w:eastAsia="ru-RU"/>
        </w:rPr>
        <w:t>ne</w:t>
      </w:r>
      <w:r w:rsidR="002A0859" w:rsidRPr="0080251F">
        <w:rPr>
          <w:rFonts w:ascii="Times New Roman" w:eastAsia="Times New Roman" w:hAnsi="Times New Roman" w:cs="Times New Roman"/>
          <w:iCs/>
          <w:sz w:val="24"/>
          <w:szCs w:val="24"/>
          <w:lang w:val="ro-MD" w:eastAsia="ru-RU"/>
        </w:rPr>
        <w:t>argumentate sau care au fost generate din raporturi</w:t>
      </w:r>
      <w:r w:rsidR="00885826" w:rsidRPr="0080251F">
        <w:rPr>
          <w:rFonts w:ascii="Times New Roman" w:eastAsia="Times New Roman" w:hAnsi="Times New Roman" w:cs="Times New Roman"/>
          <w:iCs/>
          <w:sz w:val="24"/>
          <w:szCs w:val="24"/>
          <w:lang w:val="ro-MD" w:eastAsia="ru-RU"/>
        </w:rPr>
        <w:t>le</w:t>
      </w:r>
      <w:r w:rsidR="002A0859" w:rsidRPr="0080251F">
        <w:rPr>
          <w:rFonts w:ascii="Times New Roman" w:eastAsia="Times New Roman" w:hAnsi="Times New Roman" w:cs="Times New Roman"/>
          <w:iCs/>
          <w:sz w:val="24"/>
          <w:szCs w:val="24"/>
          <w:lang w:val="ro-MD" w:eastAsia="ru-RU"/>
        </w:rPr>
        <w:t xml:space="preserve"> de muncă litigioase</w:t>
      </w:r>
      <w:r w:rsidR="008643B1" w:rsidRPr="0080251F">
        <w:rPr>
          <w:rFonts w:ascii="Times New Roman" w:eastAsia="Times New Roman" w:hAnsi="Times New Roman" w:cs="Times New Roman"/>
          <w:iCs/>
          <w:sz w:val="24"/>
          <w:szCs w:val="24"/>
          <w:lang w:val="ro-MD" w:eastAsia="ru-RU"/>
        </w:rPr>
        <w:t>, și anume:</w:t>
      </w:r>
      <w:r w:rsidR="00F516D5" w:rsidRPr="0080251F">
        <w:rPr>
          <w:rFonts w:ascii="Times New Roman" w:eastAsia="Times New Roman" w:hAnsi="Times New Roman" w:cs="Times New Roman"/>
          <w:iCs/>
          <w:sz w:val="24"/>
          <w:szCs w:val="24"/>
          <w:lang w:val="ro-MD" w:eastAsia="ru-RU"/>
        </w:rPr>
        <w:t xml:space="preserve"> </w:t>
      </w:r>
      <w:r w:rsidR="00366DB8" w:rsidRPr="0080251F">
        <w:rPr>
          <w:rFonts w:ascii="Times New Roman" w:eastAsia="Times New Roman" w:hAnsi="Times New Roman" w:cs="Times New Roman"/>
          <w:sz w:val="24"/>
          <w:szCs w:val="24"/>
          <w:lang w:val="ro-MD" w:eastAsia="ru-RU"/>
        </w:rPr>
        <w:t xml:space="preserve"> </w:t>
      </w:r>
    </w:p>
    <w:p w14:paraId="2357ACCF" w14:textId="2798F35B" w:rsidR="00366DB8" w:rsidRPr="0080251F" w:rsidRDefault="00366DB8" w:rsidP="00705628">
      <w:pPr>
        <w:numPr>
          <w:ilvl w:val="0"/>
          <w:numId w:val="10"/>
        </w:numPr>
        <w:tabs>
          <w:tab w:val="left" w:pos="567"/>
          <w:tab w:val="left" w:pos="851"/>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Cheltuieli pentru acordarea tichetelor de masă, care nu se acceptă la calcularea tarifului pentru serviciile de distribuție: anul 2021 – </w:t>
      </w:r>
      <w:r w:rsidRPr="0080251F">
        <w:rPr>
          <w:rFonts w:ascii="Times New Roman" w:hAnsi="Times New Roman" w:cs="Times New Roman"/>
          <w:b/>
          <w:sz w:val="24"/>
          <w:szCs w:val="24"/>
          <w:lang w:val="ro-MD"/>
        </w:rPr>
        <w:t>12</w:t>
      </w:r>
      <w:r w:rsidR="00E9614F" w:rsidRPr="0080251F">
        <w:rPr>
          <w:rFonts w:ascii="Times New Roman" w:hAnsi="Times New Roman" w:cs="Times New Roman"/>
          <w:b/>
          <w:sz w:val="24"/>
          <w:szCs w:val="24"/>
          <w:lang w:val="ro-MD"/>
        </w:rPr>
        <w:t>,7 mil.</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anul 2022 – </w:t>
      </w:r>
      <w:r w:rsidRPr="0080251F">
        <w:rPr>
          <w:rFonts w:ascii="Times New Roman" w:hAnsi="Times New Roman" w:cs="Times New Roman"/>
          <w:b/>
          <w:sz w:val="24"/>
          <w:szCs w:val="24"/>
          <w:lang w:val="ro-MD"/>
        </w:rPr>
        <w:t>5</w:t>
      </w:r>
      <w:r w:rsidR="00E9614F" w:rsidRPr="0080251F">
        <w:rPr>
          <w:rFonts w:ascii="Times New Roman" w:hAnsi="Times New Roman" w:cs="Times New Roman"/>
          <w:b/>
          <w:sz w:val="24"/>
          <w:szCs w:val="24"/>
          <w:lang w:val="ro-MD"/>
        </w:rPr>
        <w:t>,4 mil.</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(acordat</w:t>
      </w:r>
      <w:r w:rsidR="008643B1" w:rsidRPr="0080251F">
        <w:rPr>
          <w:rFonts w:ascii="Times New Roman" w:hAnsi="Times New Roman" w:cs="Times New Roman"/>
          <w:sz w:val="24"/>
          <w:szCs w:val="24"/>
          <w:lang w:val="ro-MD"/>
        </w:rPr>
        <w:t>e</w:t>
      </w:r>
      <w:r w:rsidRPr="0080251F">
        <w:rPr>
          <w:rFonts w:ascii="Times New Roman" w:hAnsi="Times New Roman" w:cs="Times New Roman"/>
          <w:sz w:val="24"/>
          <w:szCs w:val="24"/>
          <w:lang w:val="ro-MD"/>
        </w:rPr>
        <w:t xml:space="preserve"> parțial în anul de gestiune</w:t>
      </w:r>
      <w:r w:rsidRPr="0080251F">
        <w:rPr>
          <w:rFonts w:ascii="Times New Roman" w:hAnsi="Times New Roman" w:cs="Times New Roman"/>
          <w:sz w:val="24"/>
          <w:szCs w:val="24"/>
          <w:vertAlign w:val="superscript"/>
          <w:lang w:val="ro-MD"/>
        </w:rPr>
        <w:footnoteReference w:id="146"/>
      </w:r>
      <w:r w:rsidRPr="0080251F">
        <w:rPr>
          <w:rFonts w:ascii="Times New Roman" w:hAnsi="Times New Roman" w:cs="Times New Roman"/>
          <w:sz w:val="24"/>
          <w:szCs w:val="24"/>
          <w:lang w:val="ro-MD"/>
        </w:rPr>
        <w:t xml:space="preserve">). </w:t>
      </w:r>
    </w:p>
    <w:p w14:paraId="758D4A8D" w14:textId="1F0DB749" w:rsidR="00366DB8" w:rsidRPr="0080251F" w:rsidRDefault="00366DB8" w:rsidP="00705628">
      <w:pPr>
        <w:numPr>
          <w:ilvl w:val="0"/>
          <w:numId w:val="10"/>
        </w:numPr>
        <w:tabs>
          <w:tab w:val="left" w:pos="567"/>
          <w:tab w:val="left" w:pos="851"/>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Cheltuieli pentru servicii de asistență juridică/avocat în bază de contract</w:t>
      </w:r>
      <w:r w:rsidRPr="0080251F">
        <w:rPr>
          <w:rFonts w:ascii="Times New Roman" w:hAnsi="Times New Roman" w:cs="Times New Roman"/>
          <w:sz w:val="24"/>
          <w:szCs w:val="24"/>
          <w:vertAlign w:val="superscript"/>
          <w:lang w:val="ro-MD"/>
        </w:rPr>
        <w:footnoteReference w:id="147"/>
      </w:r>
      <w:r w:rsidRPr="0080251F">
        <w:rPr>
          <w:rFonts w:ascii="Times New Roman" w:hAnsi="Times New Roman" w:cs="Times New Roman"/>
          <w:sz w:val="24"/>
          <w:szCs w:val="24"/>
          <w:lang w:val="ro-MD"/>
        </w:rPr>
        <w:t xml:space="preserve">, care se acceptă </w:t>
      </w:r>
      <w:r w:rsidR="008643B1" w:rsidRPr="0080251F">
        <w:rPr>
          <w:rFonts w:ascii="Times New Roman" w:hAnsi="Times New Roman" w:cs="Times New Roman"/>
          <w:sz w:val="24"/>
          <w:szCs w:val="24"/>
          <w:lang w:val="ro-MD"/>
        </w:rPr>
        <w:t>la</w:t>
      </w:r>
      <w:r w:rsidRPr="0080251F">
        <w:rPr>
          <w:rFonts w:ascii="Times New Roman" w:hAnsi="Times New Roman" w:cs="Times New Roman"/>
          <w:sz w:val="24"/>
          <w:szCs w:val="24"/>
          <w:lang w:val="ro-MD"/>
        </w:rPr>
        <w:t xml:space="preserve"> calcularea tarifului pentru serviciile de distribuție: anul 2021 – </w:t>
      </w:r>
      <w:r w:rsidRPr="0080251F">
        <w:rPr>
          <w:rFonts w:ascii="Times New Roman" w:hAnsi="Times New Roman" w:cs="Times New Roman"/>
          <w:b/>
          <w:sz w:val="24"/>
          <w:szCs w:val="24"/>
          <w:lang w:val="ro-MD"/>
        </w:rPr>
        <w:t>186</w:t>
      </w:r>
      <w:r w:rsidR="00280276" w:rsidRPr="0080251F">
        <w:rPr>
          <w:rFonts w:ascii="Times New Roman" w:hAnsi="Times New Roman" w:cs="Times New Roman"/>
          <w:b/>
          <w:sz w:val="24"/>
          <w:szCs w:val="24"/>
          <w:lang w:val="ro-MD"/>
        </w:rPr>
        <w:t>,9 mii</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anul 2022 – </w:t>
      </w:r>
      <w:r w:rsidRPr="0080251F">
        <w:rPr>
          <w:rFonts w:ascii="Times New Roman" w:hAnsi="Times New Roman" w:cs="Times New Roman"/>
          <w:b/>
          <w:sz w:val="24"/>
          <w:szCs w:val="24"/>
          <w:lang w:val="ro-MD"/>
        </w:rPr>
        <w:t>209</w:t>
      </w:r>
      <w:r w:rsidR="00280276" w:rsidRPr="0080251F">
        <w:rPr>
          <w:rFonts w:ascii="Times New Roman" w:hAnsi="Times New Roman" w:cs="Times New Roman"/>
          <w:b/>
          <w:sz w:val="24"/>
          <w:szCs w:val="24"/>
          <w:lang w:val="ro-MD"/>
        </w:rPr>
        <w:t>,0 mii</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Necesitatea angajării acestor servicii nu este clară și relevantă, în contextul în care întreprinderea are în state personal de profil (4 persoane) și nu a documentat/argument</w:t>
      </w:r>
      <w:r w:rsidR="00677EB7" w:rsidRPr="0080251F">
        <w:rPr>
          <w:rFonts w:ascii="Times New Roman" w:hAnsi="Times New Roman" w:cs="Times New Roman"/>
          <w:sz w:val="24"/>
          <w:szCs w:val="24"/>
          <w:lang w:val="ro-MD"/>
        </w:rPr>
        <w:t>at</w:t>
      </w:r>
      <w:r w:rsidRPr="0080251F">
        <w:rPr>
          <w:rFonts w:ascii="Times New Roman" w:hAnsi="Times New Roman" w:cs="Times New Roman"/>
          <w:sz w:val="24"/>
          <w:szCs w:val="24"/>
          <w:lang w:val="ro-MD"/>
        </w:rPr>
        <w:t xml:space="preserve"> cauzele care au determinat semnarea contractului de prestare a serviciilor de asistență juridică/avocat. Conform prevederilor contractului, onorariul pentru serviciile prestate, indiferent de cantitatea și complexitatea lor</w:t>
      </w:r>
      <w:r w:rsidRPr="0080251F">
        <w:rPr>
          <w:rFonts w:ascii="Times New Roman" w:hAnsi="Times New Roman" w:cs="Times New Roman"/>
          <w:sz w:val="24"/>
          <w:szCs w:val="24"/>
          <w:vertAlign w:val="superscript"/>
          <w:lang w:val="ro-MD"/>
        </w:rPr>
        <w:footnoteReference w:id="148"/>
      </w:r>
      <w:r w:rsidRPr="0080251F">
        <w:rPr>
          <w:rFonts w:ascii="Times New Roman" w:hAnsi="Times New Roman" w:cs="Times New Roman"/>
          <w:sz w:val="24"/>
          <w:szCs w:val="24"/>
          <w:lang w:val="ro-MD"/>
        </w:rPr>
        <w:t>, s-a achitat sub formă de plată lunară în mărime de 15</w:t>
      </w:r>
      <w:r w:rsidR="00280276" w:rsidRPr="0080251F">
        <w:rPr>
          <w:rFonts w:ascii="Times New Roman" w:hAnsi="Times New Roman" w:cs="Times New Roman"/>
          <w:sz w:val="24"/>
          <w:szCs w:val="24"/>
          <w:lang w:val="ro-MD"/>
        </w:rPr>
        <w:t>,0 mii</w:t>
      </w:r>
      <w:r w:rsidRPr="0080251F">
        <w:rPr>
          <w:rFonts w:ascii="Times New Roman" w:hAnsi="Times New Roman" w:cs="Times New Roman"/>
          <w:sz w:val="24"/>
          <w:szCs w:val="24"/>
          <w:lang w:val="ro-MD"/>
        </w:rPr>
        <w:t xml:space="preserve"> lei în anul 2021 și </w:t>
      </w:r>
      <w:r w:rsidR="00677EB7" w:rsidRPr="0080251F">
        <w:rPr>
          <w:rFonts w:ascii="Times New Roman" w:hAnsi="Times New Roman" w:cs="Times New Roman"/>
          <w:sz w:val="24"/>
          <w:szCs w:val="24"/>
          <w:lang w:val="ro-MD"/>
        </w:rPr>
        <w:t xml:space="preserve">de </w:t>
      </w:r>
      <w:r w:rsidRPr="0080251F">
        <w:rPr>
          <w:rFonts w:ascii="Times New Roman" w:hAnsi="Times New Roman" w:cs="Times New Roman"/>
          <w:sz w:val="24"/>
          <w:szCs w:val="24"/>
          <w:lang w:val="ro-MD"/>
        </w:rPr>
        <w:t>17</w:t>
      </w:r>
      <w:r w:rsidR="00280276" w:rsidRPr="0080251F">
        <w:rPr>
          <w:rFonts w:ascii="Times New Roman" w:hAnsi="Times New Roman" w:cs="Times New Roman"/>
          <w:sz w:val="24"/>
          <w:szCs w:val="24"/>
          <w:lang w:val="ro-MD"/>
        </w:rPr>
        <w:t>,4 mii</w:t>
      </w:r>
      <w:r w:rsidRPr="0080251F">
        <w:rPr>
          <w:rFonts w:ascii="Times New Roman" w:hAnsi="Times New Roman" w:cs="Times New Roman"/>
          <w:sz w:val="24"/>
          <w:szCs w:val="24"/>
          <w:lang w:val="ro-MD"/>
        </w:rPr>
        <w:t xml:space="preserve"> lei în anul 2022. </w:t>
      </w:r>
      <w:r w:rsidR="008542C7" w:rsidRPr="0080251F">
        <w:rPr>
          <w:rFonts w:ascii="Times New Roman" w:hAnsi="Times New Roman" w:cs="Times New Roman"/>
          <w:sz w:val="24"/>
          <w:szCs w:val="24"/>
          <w:lang w:val="ro-MD"/>
        </w:rPr>
        <w:t xml:space="preserve">S.A. „RED-Nord” </w:t>
      </w:r>
      <w:r w:rsidRPr="0080251F">
        <w:rPr>
          <w:rFonts w:ascii="Times New Roman" w:hAnsi="Times New Roman" w:cs="Times New Roman"/>
          <w:sz w:val="24"/>
          <w:szCs w:val="24"/>
          <w:lang w:val="ro-MD"/>
        </w:rPr>
        <w:t>și prestatorul de servicii de asistență juridică semnează lunar actul de constatare</w:t>
      </w:r>
      <w:r w:rsidR="00677EB7"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 xml:space="preserve"> prin care se confirmă componența serviciilor executate. Totodată, </w:t>
      </w:r>
      <w:r w:rsidR="008542C7" w:rsidRPr="0080251F">
        <w:rPr>
          <w:rFonts w:ascii="Times New Roman" w:hAnsi="Times New Roman" w:cs="Times New Roman"/>
          <w:sz w:val="24"/>
          <w:szCs w:val="24"/>
          <w:lang w:val="ro-MD"/>
        </w:rPr>
        <w:t xml:space="preserve">S.A. „RED-Nord” </w:t>
      </w:r>
      <w:r w:rsidRPr="0080251F">
        <w:rPr>
          <w:rFonts w:ascii="Times New Roman" w:hAnsi="Times New Roman" w:cs="Times New Roman"/>
          <w:sz w:val="24"/>
          <w:szCs w:val="24"/>
          <w:lang w:val="ro-MD"/>
        </w:rPr>
        <w:t>compensează cheltuielile de transport/deplasare suportate de către avocat, cheltuielile poștale și de fotocopiere. Ulterior, în anul 2023, onorariul pentru serviciile prestate a fost stabilit în mărime de 25</w:t>
      </w:r>
      <w:r w:rsidR="00280276" w:rsidRPr="0080251F">
        <w:rPr>
          <w:rFonts w:ascii="Times New Roman" w:hAnsi="Times New Roman" w:cs="Times New Roman"/>
          <w:sz w:val="24"/>
          <w:szCs w:val="24"/>
          <w:lang w:val="ro-MD"/>
        </w:rPr>
        <w:t>,0 mii</w:t>
      </w:r>
      <w:r w:rsidRPr="0080251F">
        <w:rPr>
          <w:rFonts w:ascii="Times New Roman" w:hAnsi="Times New Roman" w:cs="Times New Roman"/>
          <w:sz w:val="24"/>
          <w:szCs w:val="24"/>
          <w:lang w:val="ro-MD"/>
        </w:rPr>
        <w:t xml:space="preserve"> lei lunar și, suplimentar, în mărime de până la 15,0% din valoarea acțiunii</w:t>
      </w:r>
      <w:r w:rsidRPr="0080251F">
        <w:rPr>
          <w:rFonts w:ascii="Times New Roman" w:hAnsi="Times New Roman" w:cs="Times New Roman"/>
          <w:sz w:val="24"/>
          <w:szCs w:val="24"/>
          <w:vertAlign w:val="superscript"/>
          <w:lang w:val="ro-MD"/>
        </w:rPr>
        <w:footnoteReference w:id="149"/>
      </w:r>
      <w:r w:rsidRPr="0080251F">
        <w:rPr>
          <w:rFonts w:ascii="Times New Roman" w:hAnsi="Times New Roman" w:cs="Times New Roman"/>
          <w:sz w:val="24"/>
          <w:szCs w:val="24"/>
          <w:lang w:val="ro-MD"/>
        </w:rPr>
        <w:t xml:space="preserve">, în caz de succes – câștig de cauză în instanța de judecată. Condiția </w:t>
      </w:r>
      <w:r w:rsidR="00677EB7" w:rsidRPr="0080251F">
        <w:rPr>
          <w:rFonts w:ascii="Times New Roman" w:hAnsi="Times New Roman" w:cs="Times New Roman"/>
          <w:sz w:val="24"/>
          <w:szCs w:val="24"/>
          <w:lang w:val="ro-MD"/>
        </w:rPr>
        <w:t xml:space="preserve">de </w:t>
      </w:r>
      <w:r w:rsidRPr="0080251F">
        <w:rPr>
          <w:rFonts w:ascii="Times New Roman" w:hAnsi="Times New Roman" w:cs="Times New Roman"/>
          <w:sz w:val="24"/>
          <w:szCs w:val="24"/>
          <w:lang w:val="ro-MD"/>
        </w:rPr>
        <w:t>acordare</w:t>
      </w:r>
      <w:r w:rsidR="00677EB7"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a onorariului de succes este contradictorie, deoarece prin angaj</w:t>
      </w:r>
      <w:r w:rsidR="00677EB7" w:rsidRPr="0080251F">
        <w:rPr>
          <w:rFonts w:ascii="Times New Roman" w:hAnsi="Times New Roman" w:cs="Times New Roman"/>
          <w:sz w:val="24"/>
          <w:szCs w:val="24"/>
          <w:lang w:val="ro-MD"/>
        </w:rPr>
        <w:t>area</w:t>
      </w:r>
      <w:r w:rsidRPr="0080251F">
        <w:rPr>
          <w:rFonts w:ascii="Times New Roman" w:hAnsi="Times New Roman" w:cs="Times New Roman"/>
          <w:sz w:val="24"/>
          <w:szCs w:val="24"/>
          <w:lang w:val="ro-MD"/>
        </w:rPr>
        <w:t xml:space="preserve"> serviciilor de asistență</w:t>
      </w:r>
      <w:r w:rsidR="00280276" w:rsidRPr="0080251F">
        <w:rPr>
          <w:rFonts w:ascii="Times New Roman" w:hAnsi="Times New Roman" w:cs="Times New Roman"/>
          <w:sz w:val="24"/>
          <w:szCs w:val="24"/>
          <w:lang w:val="ro-MD"/>
        </w:rPr>
        <w:t xml:space="preserve"> juridică contra plată (25,0 mii</w:t>
      </w:r>
      <w:r w:rsidRPr="0080251F">
        <w:rPr>
          <w:rFonts w:ascii="Times New Roman" w:hAnsi="Times New Roman" w:cs="Times New Roman"/>
          <w:sz w:val="24"/>
          <w:szCs w:val="24"/>
          <w:lang w:val="ro-MD"/>
        </w:rPr>
        <w:t xml:space="preserve"> lei lunar) deja se asigură obiectivul de reprezentare în instanța de judecată cu scopul de a apăra interesele și de a avea câștig de cauză.</w:t>
      </w:r>
    </w:p>
    <w:p w14:paraId="4871FCC2" w14:textId="037D9A34" w:rsidR="00366DB8" w:rsidRPr="0080251F" w:rsidRDefault="00366DB8" w:rsidP="00705628">
      <w:pPr>
        <w:numPr>
          <w:ilvl w:val="0"/>
          <w:numId w:val="10"/>
        </w:numPr>
        <w:tabs>
          <w:tab w:val="left" w:pos="567"/>
          <w:tab w:val="left" w:pos="851"/>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Plățile pe litigiile de judecată pierdute în instanță, anul 2022</w:t>
      </w:r>
      <w:r w:rsidRPr="0080251F">
        <w:rPr>
          <w:rFonts w:ascii="Times New Roman" w:hAnsi="Times New Roman" w:cs="Times New Roman"/>
          <w:b/>
          <w:sz w:val="24"/>
          <w:szCs w:val="24"/>
          <w:lang w:val="ro-MD"/>
        </w:rPr>
        <w:t xml:space="preserve"> – </w:t>
      </w:r>
      <w:r w:rsidR="004E4911" w:rsidRPr="0080251F">
        <w:rPr>
          <w:rFonts w:ascii="Times New Roman" w:hAnsi="Times New Roman" w:cs="Times New Roman"/>
          <w:b/>
          <w:sz w:val="24"/>
          <w:szCs w:val="24"/>
          <w:lang w:val="ro-MD"/>
        </w:rPr>
        <w:t>909</w:t>
      </w:r>
      <w:r w:rsidR="002A3CD7" w:rsidRPr="0080251F">
        <w:rPr>
          <w:rFonts w:ascii="Times New Roman" w:hAnsi="Times New Roman" w:cs="Times New Roman"/>
          <w:b/>
          <w:sz w:val="24"/>
          <w:szCs w:val="24"/>
          <w:lang w:val="ro-MD"/>
        </w:rPr>
        <w:t>,</w:t>
      </w:r>
      <w:r w:rsidR="004E4911" w:rsidRPr="0080251F">
        <w:rPr>
          <w:rFonts w:ascii="Times New Roman" w:hAnsi="Times New Roman" w:cs="Times New Roman"/>
          <w:b/>
          <w:sz w:val="24"/>
          <w:szCs w:val="24"/>
          <w:lang w:val="ro-MD"/>
        </w:rPr>
        <w:t>9</w:t>
      </w:r>
      <w:r w:rsidR="002A3CD7" w:rsidRPr="0080251F">
        <w:rPr>
          <w:rFonts w:ascii="Times New Roman" w:hAnsi="Times New Roman" w:cs="Times New Roman"/>
          <w:b/>
          <w:sz w:val="24"/>
          <w:szCs w:val="24"/>
          <w:lang w:val="ro-MD"/>
        </w:rPr>
        <w:t xml:space="preserve"> mii</w:t>
      </w:r>
      <w:r w:rsidRPr="0080251F">
        <w:rPr>
          <w:rFonts w:ascii="Times New Roman" w:hAnsi="Times New Roman" w:cs="Times New Roman"/>
          <w:b/>
          <w:sz w:val="24"/>
          <w:szCs w:val="24"/>
          <w:lang w:val="ro-MD"/>
        </w:rPr>
        <w:t xml:space="preserve"> le</w:t>
      </w:r>
      <w:r w:rsidRPr="0080251F">
        <w:rPr>
          <w:rFonts w:ascii="Times New Roman" w:hAnsi="Times New Roman" w:cs="Times New Roman"/>
          <w:sz w:val="24"/>
          <w:szCs w:val="24"/>
          <w:lang w:val="ro-MD"/>
        </w:rPr>
        <w:t>i.</w:t>
      </w:r>
    </w:p>
    <w:p w14:paraId="57FA69EE" w14:textId="6BA81D1A" w:rsidR="00366DB8" w:rsidRPr="0080251F" w:rsidRDefault="00366DB8" w:rsidP="00AF301F">
      <w:pPr>
        <w:numPr>
          <w:ilvl w:val="0"/>
          <w:numId w:val="11"/>
        </w:numPr>
        <w:tabs>
          <w:tab w:val="left" w:pos="567"/>
          <w:tab w:val="left" w:pos="851"/>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Cazul de concediere ilegală a contabilului</w:t>
      </w:r>
      <w:r w:rsidR="00677EB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șef (</w:t>
      </w:r>
      <w:r w:rsidR="009663E5" w:rsidRPr="0080251F">
        <w:rPr>
          <w:rFonts w:ascii="Times New Roman" w:hAnsi="Times New Roman" w:cs="Times New Roman"/>
          <w:sz w:val="24"/>
          <w:szCs w:val="24"/>
          <w:lang w:val="ro-MD"/>
        </w:rPr>
        <w:t>O</w:t>
      </w:r>
      <w:r w:rsidRPr="0080251F">
        <w:rPr>
          <w:rFonts w:ascii="Times New Roman" w:hAnsi="Times New Roman" w:cs="Times New Roman"/>
          <w:sz w:val="24"/>
          <w:szCs w:val="24"/>
          <w:lang w:val="ro-MD"/>
        </w:rPr>
        <w:t>rdinul nr.380 c din 19.06.2019): despăgubiri materiale (salariul pentru perioada 19.06.2019 – 28.01.2021) – 742</w:t>
      </w:r>
      <w:r w:rsidR="002A3CD7" w:rsidRPr="0080251F">
        <w:rPr>
          <w:rFonts w:ascii="Times New Roman" w:hAnsi="Times New Roman" w:cs="Times New Roman"/>
          <w:sz w:val="24"/>
          <w:szCs w:val="24"/>
          <w:lang w:val="ro-MD"/>
        </w:rPr>
        <w:t>,1 mii</w:t>
      </w:r>
      <w:r w:rsidRPr="0080251F">
        <w:rPr>
          <w:rFonts w:ascii="Times New Roman" w:hAnsi="Times New Roman" w:cs="Times New Roman"/>
          <w:sz w:val="24"/>
          <w:szCs w:val="24"/>
          <w:lang w:val="ro-MD"/>
        </w:rPr>
        <w:t xml:space="preserve"> lei; prejudiciul moral – 38</w:t>
      </w:r>
      <w:r w:rsidR="002A3CD7" w:rsidRPr="0080251F">
        <w:rPr>
          <w:rFonts w:ascii="Times New Roman" w:hAnsi="Times New Roman" w:cs="Times New Roman"/>
          <w:sz w:val="24"/>
          <w:szCs w:val="24"/>
          <w:lang w:val="ro-MD"/>
        </w:rPr>
        <w:t>,4 mii</w:t>
      </w:r>
      <w:r w:rsidRPr="0080251F">
        <w:rPr>
          <w:rFonts w:ascii="Times New Roman" w:hAnsi="Times New Roman" w:cs="Times New Roman"/>
          <w:sz w:val="24"/>
          <w:szCs w:val="24"/>
          <w:lang w:val="ro-MD"/>
        </w:rPr>
        <w:t xml:space="preserve"> lei; cheltuielile de transport ale reclamantului – 4</w:t>
      </w:r>
      <w:r w:rsidR="002A3CD7" w:rsidRPr="0080251F">
        <w:rPr>
          <w:rFonts w:ascii="Times New Roman" w:hAnsi="Times New Roman" w:cs="Times New Roman"/>
          <w:sz w:val="24"/>
          <w:szCs w:val="24"/>
          <w:lang w:val="ro-MD"/>
        </w:rPr>
        <w:t>,2 mii</w:t>
      </w:r>
      <w:r w:rsidRPr="0080251F">
        <w:rPr>
          <w:rFonts w:ascii="Times New Roman" w:hAnsi="Times New Roman" w:cs="Times New Roman"/>
          <w:sz w:val="24"/>
          <w:szCs w:val="24"/>
          <w:lang w:val="ro-MD"/>
        </w:rPr>
        <w:t xml:space="preserve"> lei; taxa de stat achitată de către reclamant – 22</w:t>
      </w:r>
      <w:r w:rsidR="002A3CD7" w:rsidRPr="0080251F">
        <w:rPr>
          <w:rFonts w:ascii="Times New Roman" w:hAnsi="Times New Roman" w:cs="Times New Roman"/>
          <w:sz w:val="24"/>
          <w:szCs w:val="24"/>
          <w:lang w:val="ro-MD"/>
        </w:rPr>
        <w:t>,3 mii</w:t>
      </w:r>
      <w:r w:rsidRPr="0080251F">
        <w:rPr>
          <w:rFonts w:ascii="Times New Roman" w:hAnsi="Times New Roman" w:cs="Times New Roman"/>
          <w:sz w:val="24"/>
          <w:szCs w:val="24"/>
          <w:lang w:val="ro-MD"/>
        </w:rPr>
        <w:t xml:space="preserve"> lei; taxa de stat pentru recursul depus la Curtea Supremă de Justiție – 11</w:t>
      </w:r>
      <w:r w:rsidR="002A3CD7" w:rsidRPr="0080251F">
        <w:rPr>
          <w:rFonts w:ascii="Times New Roman" w:hAnsi="Times New Roman" w:cs="Times New Roman"/>
          <w:sz w:val="24"/>
          <w:szCs w:val="24"/>
          <w:lang w:val="ro-MD"/>
        </w:rPr>
        <w:t>,1 mii</w:t>
      </w:r>
      <w:r w:rsidRPr="0080251F">
        <w:rPr>
          <w:rFonts w:ascii="Times New Roman" w:hAnsi="Times New Roman" w:cs="Times New Roman"/>
          <w:sz w:val="24"/>
          <w:szCs w:val="24"/>
          <w:lang w:val="ro-MD"/>
        </w:rPr>
        <w:t xml:space="preserve"> lei; dobânda de întârziere – 33</w:t>
      </w:r>
      <w:r w:rsidR="002A3CD7" w:rsidRPr="0080251F">
        <w:rPr>
          <w:rFonts w:ascii="Times New Roman" w:hAnsi="Times New Roman" w:cs="Times New Roman"/>
          <w:sz w:val="24"/>
          <w:szCs w:val="24"/>
          <w:lang w:val="ro-MD"/>
        </w:rPr>
        <w:t>,4 mii</w:t>
      </w:r>
      <w:r w:rsidRPr="0080251F">
        <w:rPr>
          <w:rFonts w:ascii="Times New Roman" w:hAnsi="Times New Roman" w:cs="Times New Roman"/>
          <w:sz w:val="24"/>
          <w:szCs w:val="24"/>
          <w:lang w:val="ro-MD"/>
        </w:rPr>
        <w:t xml:space="preserve"> lei; cheltuielile de asistență juridică ale reclamantului – 10</w:t>
      </w:r>
      <w:r w:rsidR="002A3CD7" w:rsidRPr="0080251F">
        <w:rPr>
          <w:rFonts w:ascii="Times New Roman" w:hAnsi="Times New Roman" w:cs="Times New Roman"/>
          <w:sz w:val="24"/>
          <w:szCs w:val="24"/>
          <w:lang w:val="ro-MD"/>
        </w:rPr>
        <w:t>,0 mii</w:t>
      </w:r>
      <w:r w:rsidRPr="0080251F">
        <w:rPr>
          <w:rFonts w:ascii="Times New Roman" w:hAnsi="Times New Roman" w:cs="Times New Roman"/>
          <w:sz w:val="24"/>
          <w:szCs w:val="24"/>
          <w:lang w:val="ro-MD"/>
        </w:rPr>
        <w:t xml:space="preserve"> lei; onorariul executorului judecătoresc – 19</w:t>
      </w:r>
      <w:r w:rsidR="002A3CD7" w:rsidRPr="0080251F">
        <w:rPr>
          <w:rFonts w:ascii="Times New Roman" w:hAnsi="Times New Roman" w:cs="Times New Roman"/>
          <w:sz w:val="24"/>
          <w:szCs w:val="24"/>
          <w:lang w:val="ro-MD"/>
        </w:rPr>
        <w:t>,3 mii</w:t>
      </w:r>
      <w:r w:rsidRPr="0080251F">
        <w:rPr>
          <w:rFonts w:ascii="Times New Roman" w:hAnsi="Times New Roman" w:cs="Times New Roman"/>
          <w:sz w:val="24"/>
          <w:szCs w:val="24"/>
          <w:lang w:val="ro-MD"/>
        </w:rPr>
        <w:t xml:space="preserve"> lei</w:t>
      </w:r>
      <w:r w:rsidR="00677EB7" w:rsidRPr="0080251F">
        <w:rPr>
          <w:rFonts w:ascii="Times New Roman" w:hAnsi="Times New Roman" w:cs="Times New Roman"/>
          <w:sz w:val="24"/>
          <w:szCs w:val="24"/>
          <w:lang w:val="ro-MD"/>
        </w:rPr>
        <w:t xml:space="preserve"> (în t</w:t>
      </w:r>
      <w:r w:rsidRPr="0080251F">
        <w:rPr>
          <w:rFonts w:ascii="Times New Roman" w:hAnsi="Times New Roman" w:cs="Times New Roman"/>
          <w:sz w:val="24"/>
          <w:szCs w:val="24"/>
          <w:lang w:val="ro-MD"/>
        </w:rPr>
        <w:t xml:space="preserve">otal – </w:t>
      </w:r>
      <w:r w:rsidR="002A3CD7" w:rsidRPr="0080251F">
        <w:rPr>
          <w:rFonts w:ascii="Times New Roman" w:hAnsi="Times New Roman" w:cs="Times New Roman"/>
          <w:b/>
          <w:sz w:val="24"/>
          <w:szCs w:val="24"/>
          <w:lang w:val="ro-MD"/>
        </w:rPr>
        <w:t>851,0 mii</w:t>
      </w:r>
      <w:r w:rsidRPr="0080251F">
        <w:rPr>
          <w:rFonts w:ascii="Times New Roman" w:hAnsi="Times New Roman" w:cs="Times New Roman"/>
          <w:b/>
          <w:sz w:val="24"/>
          <w:szCs w:val="24"/>
          <w:lang w:val="ro-MD"/>
        </w:rPr>
        <w:t xml:space="preserve"> lei</w:t>
      </w:r>
      <w:r w:rsidR="00677EB7" w:rsidRPr="0080251F">
        <w:rPr>
          <w:rFonts w:ascii="Times New Roman" w:hAnsi="Times New Roman" w:cs="Times New Roman"/>
          <w:b/>
          <w:sz w:val="24"/>
          <w:szCs w:val="24"/>
          <w:lang w:val="ro-MD"/>
        </w:rPr>
        <w:t>)</w:t>
      </w:r>
      <w:r w:rsidRPr="0080251F">
        <w:rPr>
          <w:rFonts w:ascii="Times New Roman" w:hAnsi="Times New Roman" w:cs="Times New Roman"/>
          <w:sz w:val="24"/>
          <w:szCs w:val="24"/>
          <w:vertAlign w:val="superscript"/>
          <w:lang w:val="ro-MD"/>
        </w:rPr>
        <w:footnoteReference w:id="150"/>
      </w:r>
      <w:r w:rsidRPr="0080251F">
        <w:rPr>
          <w:rFonts w:ascii="Times New Roman" w:hAnsi="Times New Roman" w:cs="Times New Roman"/>
          <w:sz w:val="24"/>
          <w:szCs w:val="24"/>
          <w:lang w:val="ro-MD"/>
        </w:rPr>
        <w:t>. Astfel, în perioada lipsei forțate de la serviciu, întrep</w:t>
      </w:r>
      <w:r w:rsidR="00D66071" w:rsidRPr="0080251F">
        <w:rPr>
          <w:rFonts w:ascii="Times New Roman" w:hAnsi="Times New Roman" w:cs="Times New Roman"/>
          <w:sz w:val="24"/>
          <w:szCs w:val="24"/>
          <w:lang w:val="ro-MD"/>
        </w:rPr>
        <w:t>rinderea a remunerat munca alt</w:t>
      </w:r>
      <w:r w:rsidR="000F2752" w:rsidRPr="0080251F">
        <w:rPr>
          <w:rFonts w:ascii="Times New Roman" w:hAnsi="Times New Roman" w:cs="Times New Roman"/>
          <w:sz w:val="24"/>
          <w:szCs w:val="24"/>
          <w:lang w:val="ro-MD"/>
        </w:rPr>
        <w:t>ui</w:t>
      </w:r>
      <w:r w:rsidRPr="0080251F">
        <w:rPr>
          <w:rFonts w:ascii="Times New Roman" w:hAnsi="Times New Roman" w:cs="Times New Roman"/>
          <w:sz w:val="24"/>
          <w:szCs w:val="24"/>
          <w:lang w:val="ro-MD"/>
        </w:rPr>
        <w:t xml:space="preserve"> contabil</w:t>
      </w:r>
      <w:r w:rsidR="00677EB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șef și, ulterior, a achitat salariul datorat contabilului</w:t>
      </w:r>
      <w:r w:rsidR="00677EB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șef concediat ilegal.</w:t>
      </w:r>
    </w:p>
    <w:p w14:paraId="3CBEA5EE" w14:textId="34FA3E2A" w:rsidR="00366DB8" w:rsidRPr="0080251F" w:rsidRDefault="00366DB8" w:rsidP="00705628">
      <w:pPr>
        <w:tabs>
          <w:tab w:val="left" w:pos="0"/>
          <w:tab w:val="left" w:pos="993"/>
        </w:tabs>
        <w:spacing w:after="0" w:line="276" w:lineRule="auto"/>
        <w:ind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În acest context, nu sunt clare acțiunile procesuale întreprinse de către apărătorul întreprinderii (serviciile de avocat contractate), în situația în care contabilul</w:t>
      </w:r>
      <w:r w:rsidR="00677EB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șef concediat a fost angajat la întreprindere de către noul </w:t>
      </w:r>
      <w:r w:rsidR="00677EB7" w:rsidRPr="0080251F">
        <w:rPr>
          <w:rFonts w:ascii="Times New Roman" w:hAnsi="Times New Roman" w:cs="Times New Roman"/>
          <w:sz w:val="24"/>
          <w:szCs w:val="24"/>
          <w:lang w:val="ro-MD"/>
        </w:rPr>
        <w:t>d</w:t>
      </w:r>
      <w:r w:rsidRPr="0080251F">
        <w:rPr>
          <w:rFonts w:ascii="Times New Roman" w:hAnsi="Times New Roman" w:cs="Times New Roman"/>
          <w:sz w:val="24"/>
          <w:szCs w:val="24"/>
          <w:lang w:val="ro-MD"/>
        </w:rPr>
        <w:t>irector general</w:t>
      </w:r>
      <w:r w:rsidR="00677EB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în baza altui contract individual de muncă din data de 19.10.2020, iar despăgubirile materiale datorate au fost determinate de către instanța de judecată până la data </w:t>
      </w:r>
      <w:r w:rsidR="00A474D9" w:rsidRPr="0080251F">
        <w:rPr>
          <w:rFonts w:ascii="Times New Roman" w:hAnsi="Times New Roman" w:cs="Times New Roman"/>
          <w:sz w:val="24"/>
          <w:szCs w:val="24"/>
          <w:lang w:val="ro-MD"/>
        </w:rPr>
        <w:t xml:space="preserve">de </w:t>
      </w:r>
      <w:r w:rsidRPr="0080251F">
        <w:rPr>
          <w:rFonts w:ascii="Times New Roman" w:hAnsi="Times New Roman" w:cs="Times New Roman"/>
          <w:sz w:val="24"/>
          <w:szCs w:val="24"/>
          <w:lang w:val="ro-MD"/>
        </w:rPr>
        <w:t>28.01.2021 (cu o diferență suprapusă de 3 luni).</w:t>
      </w:r>
    </w:p>
    <w:p w14:paraId="78F06676" w14:textId="7F2FAB05" w:rsidR="00366DB8" w:rsidRPr="0080251F" w:rsidRDefault="00366DB8" w:rsidP="00F90427">
      <w:pPr>
        <w:tabs>
          <w:tab w:val="left" w:pos="0"/>
          <w:tab w:val="left" w:pos="567"/>
          <w:tab w:val="left" w:pos="993"/>
        </w:tabs>
        <w:spacing w:after="0" w:line="276" w:lineRule="auto"/>
        <w:ind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Se menționează că la moment pe rol în instanța de judecată se află o altă acțiune depusă de contabilul</w:t>
      </w:r>
      <w:r w:rsidR="00A474D9"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șef concediat ilegal, prin care se pretinde încasarea penalităților pentru întârzierea achitării salariului în mărime de 1</w:t>
      </w:r>
      <w:r w:rsidR="00F90427"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9</w:t>
      </w:r>
      <w:r w:rsidR="00F90427" w:rsidRPr="0080251F">
        <w:rPr>
          <w:rFonts w:ascii="Times New Roman" w:hAnsi="Times New Roman" w:cs="Times New Roman"/>
          <w:sz w:val="24"/>
          <w:szCs w:val="24"/>
          <w:lang w:val="ro-MD"/>
        </w:rPr>
        <w:t>7</w:t>
      </w:r>
      <w:r w:rsidR="00F377B3" w:rsidRPr="0080251F">
        <w:rPr>
          <w:rFonts w:ascii="Times New Roman" w:hAnsi="Times New Roman" w:cs="Times New Roman"/>
          <w:sz w:val="24"/>
          <w:szCs w:val="24"/>
          <w:lang w:val="ro-MD"/>
        </w:rPr>
        <w:t xml:space="preserve"> mi</w:t>
      </w:r>
      <w:r w:rsidR="00F90427" w:rsidRPr="0080251F">
        <w:rPr>
          <w:rFonts w:ascii="Times New Roman" w:hAnsi="Times New Roman" w:cs="Times New Roman"/>
          <w:sz w:val="24"/>
          <w:szCs w:val="24"/>
          <w:lang w:val="ro-MD"/>
        </w:rPr>
        <w:t>l.</w:t>
      </w:r>
      <w:r w:rsidRPr="0080251F">
        <w:rPr>
          <w:rFonts w:ascii="Times New Roman" w:hAnsi="Times New Roman" w:cs="Times New Roman"/>
          <w:sz w:val="24"/>
          <w:szCs w:val="24"/>
          <w:lang w:val="ro-MD"/>
        </w:rPr>
        <w:t xml:space="preserve"> lei și majorările pentru indexarea salariului achitat cu întârziere în mărime de 276</w:t>
      </w:r>
      <w:r w:rsidR="00F377B3" w:rsidRPr="0080251F">
        <w:rPr>
          <w:rFonts w:ascii="Times New Roman" w:hAnsi="Times New Roman" w:cs="Times New Roman"/>
          <w:sz w:val="24"/>
          <w:szCs w:val="24"/>
          <w:lang w:val="ro-MD"/>
        </w:rPr>
        <w:t>,4 mii</w:t>
      </w:r>
      <w:r w:rsidRPr="0080251F">
        <w:rPr>
          <w:rFonts w:ascii="Times New Roman" w:hAnsi="Times New Roman" w:cs="Times New Roman"/>
          <w:sz w:val="24"/>
          <w:szCs w:val="24"/>
          <w:lang w:val="ro-MD"/>
        </w:rPr>
        <w:t xml:space="preserve"> lei.</w:t>
      </w:r>
    </w:p>
    <w:p w14:paraId="0C3798FC" w14:textId="5EAC3EDB" w:rsidR="00366DB8" w:rsidRPr="0080251F" w:rsidRDefault="00366DB8" w:rsidP="00323710">
      <w:pPr>
        <w:numPr>
          <w:ilvl w:val="0"/>
          <w:numId w:val="11"/>
        </w:numPr>
        <w:tabs>
          <w:tab w:val="left" w:pos="0"/>
          <w:tab w:val="left" w:pos="851"/>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Cazul de con</w:t>
      </w:r>
      <w:r w:rsidR="00323710" w:rsidRPr="0080251F">
        <w:rPr>
          <w:rFonts w:ascii="Times New Roman" w:hAnsi="Times New Roman" w:cs="Times New Roman"/>
          <w:sz w:val="24"/>
          <w:szCs w:val="24"/>
          <w:lang w:val="ro-MD"/>
        </w:rPr>
        <w:t>cediere ilegală a doi muncitori – cheltuieli totale de 27,1 mii lei</w:t>
      </w:r>
      <w:r w:rsidRPr="0080251F">
        <w:rPr>
          <w:rFonts w:ascii="Times New Roman" w:hAnsi="Times New Roman" w:cs="Times New Roman"/>
          <w:sz w:val="24"/>
          <w:szCs w:val="24"/>
          <w:lang w:val="ro-MD"/>
        </w:rPr>
        <w:t xml:space="preserve">: </w:t>
      </w:r>
      <w:r w:rsidR="00323710" w:rsidRPr="0080251F">
        <w:rPr>
          <w:rFonts w:ascii="Times New Roman" w:hAnsi="Times New Roman" w:cs="Times New Roman"/>
          <w:sz w:val="24"/>
          <w:szCs w:val="24"/>
          <w:lang w:val="ro-MD"/>
        </w:rPr>
        <w:t xml:space="preserve">1) cazul I: </w:t>
      </w:r>
      <w:r w:rsidRPr="0080251F">
        <w:rPr>
          <w:rFonts w:ascii="Times New Roman" w:hAnsi="Times New Roman" w:cs="Times New Roman"/>
          <w:sz w:val="24"/>
          <w:szCs w:val="24"/>
          <w:lang w:val="ro-MD"/>
        </w:rPr>
        <w:t xml:space="preserve">prejudiciul moral – </w:t>
      </w:r>
      <w:r w:rsidR="00F377B3" w:rsidRPr="0080251F">
        <w:rPr>
          <w:rFonts w:ascii="Times New Roman" w:hAnsi="Times New Roman" w:cs="Times New Roman"/>
          <w:sz w:val="24"/>
          <w:szCs w:val="24"/>
          <w:lang w:val="ro-MD"/>
        </w:rPr>
        <w:t>10,0 mii</w:t>
      </w:r>
      <w:r w:rsidRPr="0080251F">
        <w:rPr>
          <w:rFonts w:ascii="Times New Roman" w:hAnsi="Times New Roman" w:cs="Times New Roman"/>
          <w:sz w:val="24"/>
          <w:szCs w:val="24"/>
          <w:lang w:val="ro-MD"/>
        </w:rPr>
        <w:t xml:space="preserve"> lei; cheltuielile de asistență juridică ale reclamantului – 2</w:t>
      </w:r>
      <w:r w:rsidR="00F377B3" w:rsidRPr="0080251F">
        <w:rPr>
          <w:rFonts w:ascii="Times New Roman" w:hAnsi="Times New Roman" w:cs="Times New Roman"/>
          <w:sz w:val="24"/>
          <w:szCs w:val="24"/>
          <w:lang w:val="ro-MD"/>
        </w:rPr>
        <w:t>,0 mii</w:t>
      </w:r>
      <w:r w:rsidRPr="0080251F">
        <w:rPr>
          <w:rFonts w:ascii="Times New Roman" w:hAnsi="Times New Roman" w:cs="Times New Roman"/>
          <w:sz w:val="24"/>
          <w:szCs w:val="24"/>
          <w:lang w:val="ro-MD"/>
        </w:rPr>
        <w:t xml:space="preserve"> lei; taxa de stat achitată de către reclamant – 6</w:t>
      </w:r>
      <w:r w:rsidR="00F377B3" w:rsidRPr="0080251F">
        <w:rPr>
          <w:rFonts w:ascii="Times New Roman" w:hAnsi="Times New Roman" w:cs="Times New Roman"/>
          <w:sz w:val="24"/>
          <w:szCs w:val="24"/>
          <w:lang w:val="ro-MD"/>
        </w:rPr>
        <w:t>,8 mii</w:t>
      </w:r>
      <w:r w:rsidRPr="0080251F">
        <w:rPr>
          <w:rFonts w:ascii="Times New Roman" w:hAnsi="Times New Roman" w:cs="Times New Roman"/>
          <w:sz w:val="24"/>
          <w:szCs w:val="24"/>
          <w:lang w:val="ro-MD"/>
        </w:rPr>
        <w:t xml:space="preserve"> lei; onorariul executorului judecătoresc – </w:t>
      </w:r>
      <w:r w:rsidR="00F377B3" w:rsidRPr="0080251F">
        <w:rPr>
          <w:rFonts w:ascii="Times New Roman" w:hAnsi="Times New Roman" w:cs="Times New Roman"/>
          <w:sz w:val="24"/>
          <w:szCs w:val="24"/>
          <w:lang w:val="ro-MD"/>
        </w:rPr>
        <w:t>0,4 mii</w:t>
      </w:r>
      <w:r w:rsidR="00323710" w:rsidRPr="0080251F">
        <w:rPr>
          <w:rFonts w:ascii="Times New Roman" w:hAnsi="Times New Roman" w:cs="Times New Roman"/>
          <w:sz w:val="24"/>
          <w:szCs w:val="24"/>
          <w:lang w:val="ro-MD"/>
        </w:rPr>
        <w:t xml:space="preserve"> lei; 2) cazul II:</w:t>
      </w:r>
      <w:r w:rsidRPr="0080251F">
        <w:rPr>
          <w:rFonts w:ascii="Times New Roman" w:hAnsi="Times New Roman" w:cs="Times New Roman"/>
          <w:sz w:val="24"/>
          <w:szCs w:val="24"/>
          <w:lang w:val="ro-MD"/>
        </w:rPr>
        <w:t xml:space="preserve"> prejudiciul moral – 5</w:t>
      </w:r>
      <w:r w:rsidR="00F377B3" w:rsidRPr="0080251F">
        <w:rPr>
          <w:rFonts w:ascii="Times New Roman" w:hAnsi="Times New Roman" w:cs="Times New Roman"/>
          <w:sz w:val="24"/>
          <w:szCs w:val="24"/>
          <w:lang w:val="ro-MD"/>
        </w:rPr>
        <w:t>,5 mii</w:t>
      </w:r>
      <w:r w:rsidRPr="0080251F">
        <w:rPr>
          <w:rFonts w:ascii="Times New Roman" w:hAnsi="Times New Roman" w:cs="Times New Roman"/>
          <w:sz w:val="24"/>
          <w:szCs w:val="24"/>
          <w:lang w:val="ro-MD"/>
        </w:rPr>
        <w:t xml:space="preserve"> lei; cheltuielile de asistență</w:t>
      </w:r>
      <w:r w:rsidR="00F377B3" w:rsidRPr="0080251F">
        <w:rPr>
          <w:rFonts w:ascii="Times New Roman" w:hAnsi="Times New Roman" w:cs="Times New Roman"/>
          <w:sz w:val="24"/>
          <w:szCs w:val="24"/>
          <w:lang w:val="ro-MD"/>
        </w:rPr>
        <w:t xml:space="preserve"> juridică ale reclamantului – 2,0 mii </w:t>
      </w:r>
      <w:r w:rsidRPr="0080251F">
        <w:rPr>
          <w:rFonts w:ascii="Times New Roman" w:hAnsi="Times New Roman" w:cs="Times New Roman"/>
          <w:sz w:val="24"/>
          <w:szCs w:val="24"/>
          <w:lang w:val="ro-MD"/>
        </w:rPr>
        <w:t xml:space="preserve">lei; onorariul executorului judecătoresc – </w:t>
      </w:r>
      <w:r w:rsidR="00F377B3" w:rsidRPr="0080251F">
        <w:rPr>
          <w:rFonts w:ascii="Times New Roman" w:hAnsi="Times New Roman" w:cs="Times New Roman"/>
          <w:sz w:val="24"/>
          <w:szCs w:val="24"/>
          <w:lang w:val="ro-MD"/>
        </w:rPr>
        <w:t>0,4 mii</w:t>
      </w:r>
      <w:r w:rsidR="00323710" w:rsidRPr="0080251F">
        <w:rPr>
          <w:rFonts w:ascii="Times New Roman" w:hAnsi="Times New Roman" w:cs="Times New Roman"/>
          <w:sz w:val="24"/>
          <w:szCs w:val="24"/>
          <w:lang w:val="ro-MD"/>
        </w:rPr>
        <w:t xml:space="preserve"> lei. </w:t>
      </w:r>
    </w:p>
    <w:p w14:paraId="4BF4A5F5" w14:textId="62C0CFE2" w:rsidR="00366DB8" w:rsidRPr="0080251F" w:rsidRDefault="00366DB8" w:rsidP="00D26282">
      <w:pPr>
        <w:numPr>
          <w:ilvl w:val="0"/>
          <w:numId w:val="11"/>
        </w:numPr>
        <w:tabs>
          <w:tab w:val="left" w:pos="0"/>
          <w:tab w:val="left" w:pos="851"/>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Cazul de </w:t>
      </w:r>
      <w:r w:rsidR="00AB6CFE" w:rsidRPr="0080251F">
        <w:rPr>
          <w:rFonts w:ascii="Times New Roman" w:hAnsi="Times New Roman" w:cs="Times New Roman"/>
          <w:sz w:val="24"/>
          <w:szCs w:val="24"/>
          <w:lang w:val="ro-MD"/>
        </w:rPr>
        <w:t xml:space="preserve">disponibilizare neconformă </w:t>
      </w:r>
      <w:r w:rsidRPr="0080251F">
        <w:rPr>
          <w:rFonts w:ascii="Times New Roman" w:hAnsi="Times New Roman" w:cs="Times New Roman"/>
          <w:sz w:val="24"/>
          <w:szCs w:val="24"/>
          <w:lang w:val="ro-MD"/>
        </w:rPr>
        <w:t>a fostului Director general: recompensa anuală – 31</w:t>
      </w:r>
      <w:r w:rsidR="00F377B3" w:rsidRPr="0080251F">
        <w:rPr>
          <w:rFonts w:ascii="Times New Roman" w:hAnsi="Times New Roman" w:cs="Times New Roman"/>
          <w:sz w:val="24"/>
          <w:szCs w:val="24"/>
          <w:lang w:val="ro-MD"/>
        </w:rPr>
        <w:t>,</w:t>
      </w:r>
      <w:r w:rsidR="004E4911" w:rsidRPr="0080251F">
        <w:rPr>
          <w:rFonts w:ascii="Times New Roman" w:hAnsi="Times New Roman" w:cs="Times New Roman"/>
          <w:sz w:val="24"/>
          <w:szCs w:val="24"/>
          <w:lang w:val="ro-MD"/>
        </w:rPr>
        <w:t xml:space="preserve">1 mii </w:t>
      </w:r>
      <w:r w:rsidRPr="0080251F">
        <w:rPr>
          <w:rFonts w:ascii="Times New Roman" w:hAnsi="Times New Roman" w:cs="Times New Roman"/>
          <w:sz w:val="24"/>
          <w:szCs w:val="24"/>
          <w:lang w:val="ro-MD"/>
        </w:rPr>
        <w:t xml:space="preserve">lei; taxa de stat – </w:t>
      </w:r>
      <w:r w:rsidR="004E4911" w:rsidRPr="0080251F">
        <w:rPr>
          <w:rFonts w:ascii="Times New Roman" w:hAnsi="Times New Roman" w:cs="Times New Roman"/>
          <w:sz w:val="24"/>
          <w:szCs w:val="24"/>
          <w:lang w:val="ro-MD"/>
        </w:rPr>
        <w:t>0,7 mii</w:t>
      </w:r>
      <w:r w:rsidRPr="0080251F">
        <w:rPr>
          <w:rFonts w:ascii="Times New Roman" w:hAnsi="Times New Roman" w:cs="Times New Roman"/>
          <w:sz w:val="24"/>
          <w:szCs w:val="24"/>
          <w:lang w:val="ro-MD"/>
        </w:rPr>
        <w:t xml:space="preserve"> lei</w:t>
      </w:r>
      <w:r w:rsidR="000F2752" w:rsidRPr="0080251F">
        <w:rPr>
          <w:rFonts w:ascii="Times New Roman" w:hAnsi="Times New Roman" w:cs="Times New Roman"/>
          <w:sz w:val="24"/>
          <w:szCs w:val="24"/>
          <w:lang w:val="ro-MD"/>
        </w:rPr>
        <w:t xml:space="preserve"> (în t</w:t>
      </w:r>
      <w:r w:rsidRPr="0080251F">
        <w:rPr>
          <w:rFonts w:ascii="Times New Roman" w:hAnsi="Times New Roman" w:cs="Times New Roman"/>
          <w:sz w:val="24"/>
          <w:szCs w:val="24"/>
          <w:lang w:val="ro-MD"/>
        </w:rPr>
        <w:t xml:space="preserve">otal – </w:t>
      </w:r>
      <w:r w:rsidRPr="0080251F">
        <w:rPr>
          <w:rFonts w:ascii="Times New Roman" w:hAnsi="Times New Roman" w:cs="Times New Roman"/>
          <w:b/>
          <w:sz w:val="24"/>
          <w:szCs w:val="24"/>
          <w:lang w:val="ro-MD"/>
        </w:rPr>
        <w:t>31</w:t>
      </w:r>
      <w:r w:rsidR="004E4911" w:rsidRPr="0080251F">
        <w:rPr>
          <w:rFonts w:ascii="Times New Roman" w:hAnsi="Times New Roman" w:cs="Times New Roman"/>
          <w:b/>
          <w:sz w:val="24"/>
          <w:szCs w:val="24"/>
          <w:lang w:val="ro-MD"/>
        </w:rPr>
        <w:t>,8 mii</w:t>
      </w:r>
      <w:r w:rsidRPr="0080251F">
        <w:rPr>
          <w:rFonts w:ascii="Times New Roman" w:hAnsi="Times New Roman" w:cs="Times New Roman"/>
          <w:b/>
          <w:sz w:val="24"/>
          <w:szCs w:val="24"/>
          <w:lang w:val="ro-MD"/>
        </w:rPr>
        <w:t xml:space="preserve"> lei</w:t>
      </w:r>
      <w:r w:rsidR="000F2752" w:rsidRPr="0080251F">
        <w:rPr>
          <w:rFonts w:ascii="Times New Roman" w:hAnsi="Times New Roman" w:cs="Times New Roman"/>
          <w:b/>
          <w:sz w:val="24"/>
          <w:szCs w:val="24"/>
          <w:lang w:val="ro-MD"/>
        </w:rPr>
        <w:t>)</w:t>
      </w:r>
      <w:r w:rsidRPr="0080251F">
        <w:rPr>
          <w:rFonts w:ascii="Times New Roman" w:hAnsi="Times New Roman" w:cs="Times New Roman"/>
          <w:sz w:val="24"/>
          <w:szCs w:val="24"/>
          <w:lang w:val="ro-MD"/>
        </w:rPr>
        <w:t>.</w:t>
      </w:r>
    </w:p>
    <w:p w14:paraId="7ED12E77" w14:textId="55F2898E" w:rsidR="00366DB8" w:rsidRPr="0080251F" w:rsidRDefault="00366DB8" w:rsidP="00705628">
      <w:pPr>
        <w:tabs>
          <w:tab w:val="left" w:pos="567"/>
          <w:tab w:val="left" w:pos="851"/>
          <w:tab w:val="left" w:pos="993"/>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La finele anului 2023, se aflau în </w:t>
      </w:r>
      <w:r w:rsidR="000F2752" w:rsidRPr="0080251F">
        <w:rPr>
          <w:rFonts w:ascii="Times New Roman" w:hAnsi="Times New Roman" w:cs="Times New Roman"/>
          <w:sz w:val="24"/>
          <w:szCs w:val="24"/>
          <w:lang w:val="ro-MD"/>
        </w:rPr>
        <w:t xml:space="preserve">proces de </w:t>
      </w:r>
      <w:r w:rsidRPr="0080251F">
        <w:rPr>
          <w:rFonts w:ascii="Times New Roman" w:hAnsi="Times New Roman" w:cs="Times New Roman"/>
          <w:sz w:val="24"/>
          <w:szCs w:val="24"/>
          <w:lang w:val="ro-MD"/>
        </w:rPr>
        <w:t>examinare în instanța de judecată 4 acțiuni civile pe caz de concediere</w:t>
      </w:r>
      <w:r w:rsidR="006B7A2A" w:rsidRPr="0080251F">
        <w:rPr>
          <w:rStyle w:val="a5"/>
          <w:rFonts w:ascii="Times New Roman" w:hAnsi="Times New Roman" w:cs="Times New Roman"/>
          <w:sz w:val="24"/>
          <w:szCs w:val="24"/>
          <w:lang w:val="ro-MD"/>
        </w:rPr>
        <w:footnoteReference w:id="151"/>
      </w:r>
      <w:r w:rsidRPr="0080251F">
        <w:rPr>
          <w:rFonts w:ascii="Times New Roman" w:hAnsi="Times New Roman" w:cs="Times New Roman"/>
          <w:sz w:val="24"/>
          <w:szCs w:val="24"/>
          <w:lang w:val="ro-MD"/>
        </w:rPr>
        <w:t>, reclamanții înaintând revendicarea următoarelor drepturi: prejudiciul moral – 180</w:t>
      </w:r>
      <w:r w:rsidR="00903981" w:rsidRPr="0080251F">
        <w:rPr>
          <w:rFonts w:ascii="Times New Roman" w:hAnsi="Times New Roman" w:cs="Times New Roman"/>
          <w:sz w:val="24"/>
          <w:szCs w:val="24"/>
          <w:lang w:val="ro-MD"/>
        </w:rPr>
        <w:t>,0 mii</w:t>
      </w:r>
      <w:r w:rsidRPr="0080251F">
        <w:rPr>
          <w:rFonts w:ascii="Times New Roman" w:hAnsi="Times New Roman" w:cs="Times New Roman"/>
          <w:sz w:val="24"/>
          <w:szCs w:val="24"/>
          <w:lang w:val="ro-MD"/>
        </w:rPr>
        <w:t xml:space="preserve"> lei; despăgubiri materiale (salariul) – 536</w:t>
      </w:r>
      <w:r w:rsidR="00903981" w:rsidRPr="0080251F">
        <w:rPr>
          <w:rFonts w:ascii="Times New Roman" w:hAnsi="Times New Roman" w:cs="Times New Roman"/>
          <w:sz w:val="24"/>
          <w:szCs w:val="24"/>
          <w:lang w:val="ro-MD"/>
        </w:rPr>
        <w:t>,7 mii</w:t>
      </w:r>
      <w:r w:rsidRPr="0080251F">
        <w:rPr>
          <w:rFonts w:ascii="Times New Roman" w:hAnsi="Times New Roman" w:cs="Times New Roman"/>
          <w:sz w:val="24"/>
          <w:szCs w:val="24"/>
          <w:lang w:val="ro-MD"/>
        </w:rPr>
        <w:t xml:space="preserve"> lei.</w:t>
      </w:r>
    </w:p>
    <w:p w14:paraId="62516824" w14:textId="7811A5CF" w:rsidR="00695383" w:rsidRPr="0080251F" w:rsidRDefault="00695383" w:rsidP="002C7D53">
      <w:pPr>
        <w:pStyle w:val="1"/>
        <w:spacing w:before="200"/>
        <w:jc w:val="both"/>
        <w:rPr>
          <w:rFonts w:ascii="Times New Roman" w:hAnsi="Times New Roman" w:cs="Times New Roman"/>
          <w:b/>
          <w:bCs/>
          <w:i/>
          <w:iCs/>
          <w:sz w:val="24"/>
          <w:szCs w:val="24"/>
          <w:lang w:val="ro-MD"/>
        </w:rPr>
      </w:pPr>
      <w:bookmarkStart w:id="25" w:name="_Toc161169699"/>
      <w:r w:rsidRPr="0080251F">
        <w:rPr>
          <w:rFonts w:ascii="Times New Roman" w:hAnsi="Times New Roman" w:cs="Times New Roman"/>
          <w:b/>
          <w:sz w:val="24"/>
          <w:szCs w:val="24"/>
          <w:lang w:val="ro-MD"/>
        </w:rPr>
        <w:t>4.</w:t>
      </w:r>
      <w:r w:rsidR="002C7D53" w:rsidRPr="0080251F">
        <w:rPr>
          <w:rFonts w:ascii="Times New Roman" w:hAnsi="Times New Roman" w:cs="Times New Roman"/>
          <w:b/>
          <w:sz w:val="24"/>
          <w:szCs w:val="24"/>
          <w:lang w:val="ro-MD"/>
        </w:rPr>
        <w:t>8</w:t>
      </w:r>
      <w:r w:rsidRPr="0080251F">
        <w:rPr>
          <w:rFonts w:ascii="Times New Roman" w:hAnsi="Times New Roman" w:cs="Times New Roman"/>
          <w:b/>
          <w:sz w:val="24"/>
          <w:szCs w:val="24"/>
          <w:lang w:val="ro-MD"/>
        </w:rPr>
        <w:t xml:space="preserve">. </w:t>
      </w:r>
      <w:r w:rsidRPr="0080251F">
        <w:rPr>
          <w:rFonts w:ascii="Times New Roman" w:hAnsi="Times New Roman" w:cs="Times New Roman"/>
          <w:b/>
          <w:bCs/>
          <w:sz w:val="24"/>
          <w:szCs w:val="24"/>
          <w:lang w:val="ro-MD"/>
        </w:rPr>
        <w:t>Cheltuielile din profitul net</w:t>
      </w:r>
      <w:r w:rsidR="0085425F" w:rsidRPr="0080251F">
        <w:rPr>
          <w:rFonts w:ascii="Times New Roman" w:hAnsi="Times New Roman" w:cs="Times New Roman"/>
          <w:b/>
          <w:bCs/>
          <w:sz w:val="24"/>
          <w:szCs w:val="24"/>
          <w:lang w:val="ro-MD"/>
        </w:rPr>
        <w:t xml:space="preserve"> au fost</w:t>
      </w:r>
      <w:r w:rsidRPr="0080251F">
        <w:rPr>
          <w:rFonts w:ascii="Times New Roman" w:hAnsi="Times New Roman" w:cs="Times New Roman"/>
          <w:b/>
          <w:bCs/>
          <w:sz w:val="24"/>
          <w:szCs w:val="24"/>
          <w:lang w:val="ro-MD"/>
        </w:rPr>
        <w:t xml:space="preserve"> conforme sau oportune în raport cu domeniile de activitate statutare</w:t>
      </w:r>
      <w:r w:rsidRPr="0080251F">
        <w:rPr>
          <w:rFonts w:ascii="Times New Roman" w:hAnsi="Times New Roman" w:cs="Times New Roman"/>
          <w:b/>
          <w:sz w:val="24"/>
          <w:szCs w:val="24"/>
          <w:lang w:val="ro-MD"/>
        </w:rPr>
        <w:t>?</w:t>
      </w:r>
      <w:bookmarkEnd w:id="25"/>
    </w:p>
    <w:p w14:paraId="6C3865A8" w14:textId="397D5719" w:rsidR="00D87070" w:rsidRPr="0080251F" w:rsidRDefault="00E24028" w:rsidP="008502B5">
      <w:pPr>
        <w:spacing w:after="0" w:line="276" w:lineRule="auto"/>
        <w:ind w:firstLine="709"/>
        <w:jc w:val="both"/>
        <w:rPr>
          <w:rFonts w:ascii="Times New Roman" w:hAnsi="Times New Roman" w:cs="Times New Roman"/>
          <w:b/>
          <w:i/>
          <w:sz w:val="24"/>
          <w:szCs w:val="24"/>
          <w:lang w:val="ro-MD"/>
        </w:rPr>
      </w:pPr>
      <w:r w:rsidRPr="0080251F">
        <w:rPr>
          <w:rFonts w:ascii="Times New Roman" w:hAnsi="Times New Roman" w:cs="Times New Roman"/>
          <w:b/>
          <w:i/>
          <w:sz w:val="24"/>
          <w:szCs w:val="24"/>
          <w:lang w:val="ro-MD"/>
        </w:rPr>
        <w:t>S.A. „RED-Nord” a efectuat cheltuieli cu caracter social din contul profitului net în lipsa unor reglementări normative interne de domeniu, fie în detrimentul scopurilor de dezvoltare a întreprinderii, fie fără titlu de activitate filantropică</w:t>
      </w:r>
      <w:r w:rsidR="000F2752" w:rsidRPr="0080251F">
        <w:rPr>
          <w:rFonts w:ascii="Times New Roman" w:hAnsi="Times New Roman" w:cs="Times New Roman"/>
          <w:b/>
          <w:i/>
          <w:sz w:val="24"/>
          <w:szCs w:val="24"/>
          <w:lang w:val="ro-MD"/>
        </w:rPr>
        <w:t>,</w:t>
      </w:r>
      <w:r w:rsidRPr="0080251F">
        <w:rPr>
          <w:rFonts w:ascii="Times New Roman" w:hAnsi="Times New Roman" w:cs="Times New Roman"/>
          <w:b/>
          <w:i/>
          <w:sz w:val="24"/>
          <w:szCs w:val="24"/>
          <w:lang w:val="ro-MD"/>
        </w:rPr>
        <w:t xml:space="preserve"> în sumă totală de 1</w:t>
      </w:r>
      <w:r w:rsidR="008502B5" w:rsidRPr="0080251F">
        <w:rPr>
          <w:rFonts w:ascii="Times New Roman" w:hAnsi="Times New Roman" w:cs="Times New Roman"/>
          <w:b/>
          <w:i/>
          <w:sz w:val="24"/>
          <w:szCs w:val="24"/>
          <w:lang w:val="ro-MD"/>
        </w:rPr>
        <w:t>,0 mil.</w:t>
      </w:r>
      <w:r w:rsidRPr="0080251F">
        <w:rPr>
          <w:rFonts w:ascii="Times New Roman" w:hAnsi="Times New Roman" w:cs="Times New Roman"/>
          <w:b/>
          <w:i/>
          <w:sz w:val="24"/>
          <w:szCs w:val="24"/>
          <w:lang w:val="ro-MD"/>
        </w:rPr>
        <w:t xml:space="preserve"> lei în anul 2021 și </w:t>
      </w:r>
      <w:r w:rsidR="000F2752" w:rsidRPr="0080251F">
        <w:rPr>
          <w:rFonts w:ascii="Times New Roman" w:hAnsi="Times New Roman" w:cs="Times New Roman"/>
          <w:b/>
          <w:i/>
          <w:sz w:val="24"/>
          <w:szCs w:val="24"/>
          <w:lang w:val="ro-MD"/>
        </w:rPr>
        <w:t xml:space="preserve">de </w:t>
      </w:r>
      <w:r w:rsidRPr="0080251F">
        <w:rPr>
          <w:rFonts w:ascii="Times New Roman" w:hAnsi="Times New Roman" w:cs="Times New Roman"/>
          <w:b/>
          <w:i/>
          <w:sz w:val="24"/>
          <w:szCs w:val="24"/>
          <w:lang w:val="ro-MD"/>
        </w:rPr>
        <w:t>315,1 mii lei în anul 2022.</w:t>
      </w:r>
    </w:p>
    <w:p w14:paraId="34540EDF" w14:textId="535B9FA1" w:rsidR="004E1A4C" w:rsidRPr="0080251F" w:rsidRDefault="004E1A4C" w:rsidP="004E1A4C">
      <w:pPr>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bCs/>
          <w:sz w:val="24"/>
          <w:szCs w:val="24"/>
          <w:lang w:val="ro-MD"/>
        </w:rPr>
        <w:t>Conform</w:t>
      </w:r>
      <w:r w:rsidRPr="0080251F">
        <w:rPr>
          <w:rFonts w:ascii="Times New Roman" w:hAnsi="Times New Roman" w:cs="Times New Roman"/>
          <w:sz w:val="24"/>
          <w:szCs w:val="24"/>
          <w:lang w:val="ro-MD"/>
        </w:rPr>
        <w:t xml:space="preserve"> prevederilor art.45 din Legea nr.1134 din 02.04.1997, profitul net, pe lângă destinațiile de bază</w:t>
      </w:r>
      <w:r w:rsidRPr="0080251F">
        <w:rPr>
          <w:rStyle w:val="a5"/>
          <w:rFonts w:ascii="Times New Roman" w:hAnsi="Times New Roman" w:cs="Times New Roman"/>
          <w:sz w:val="24"/>
          <w:szCs w:val="24"/>
          <w:lang w:val="ro-MD"/>
        </w:rPr>
        <w:footnoteReference w:id="152"/>
      </w:r>
      <w:r w:rsidRPr="0080251F">
        <w:rPr>
          <w:rFonts w:ascii="Times New Roman" w:hAnsi="Times New Roman" w:cs="Times New Roman"/>
          <w:sz w:val="24"/>
          <w:szCs w:val="24"/>
          <w:lang w:val="ro-MD"/>
        </w:rPr>
        <w:t xml:space="preserve">, poate fi utilizat și </w:t>
      </w:r>
      <w:r w:rsidR="000F2752" w:rsidRPr="0080251F">
        <w:rPr>
          <w:rFonts w:ascii="Times New Roman" w:hAnsi="Times New Roman" w:cs="Times New Roman"/>
          <w:sz w:val="24"/>
          <w:szCs w:val="24"/>
          <w:lang w:val="ro-MD"/>
        </w:rPr>
        <w:t xml:space="preserve">în </w:t>
      </w:r>
      <w:r w:rsidRPr="0080251F">
        <w:rPr>
          <w:rFonts w:ascii="Times New Roman" w:hAnsi="Times New Roman" w:cs="Times New Roman"/>
          <w:sz w:val="24"/>
          <w:szCs w:val="24"/>
          <w:lang w:val="ro-MD"/>
        </w:rPr>
        <w:t xml:space="preserve">alte scopuri, în corespundere cu legislația și cu statutul societății, ceea ce prezumă că aceste cheltuieli urmează să fie direcționate pentru activitatea de producere a întreprinderii sau stimularea salariaților </w:t>
      </w:r>
      <w:r w:rsidR="00F0577B" w:rsidRPr="0080251F">
        <w:rPr>
          <w:rFonts w:ascii="Times New Roman" w:hAnsi="Times New Roman" w:cs="Times New Roman"/>
          <w:sz w:val="24"/>
          <w:szCs w:val="24"/>
          <w:lang w:val="ro-MD"/>
        </w:rPr>
        <w:t>în baza</w:t>
      </w:r>
      <w:r w:rsidRPr="0080251F">
        <w:rPr>
          <w:rFonts w:ascii="Times New Roman" w:hAnsi="Times New Roman" w:cs="Times New Roman"/>
          <w:sz w:val="24"/>
          <w:szCs w:val="24"/>
          <w:lang w:val="ro-MD"/>
        </w:rPr>
        <w:t xml:space="preserve"> rezultatelor anuale </w:t>
      </w:r>
      <w:r w:rsidR="00F0577B" w:rsidRPr="0080251F">
        <w:rPr>
          <w:rFonts w:ascii="Times New Roman" w:hAnsi="Times New Roman" w:cs="Times New Roman"/>
          <w:sz w:val="24"/>
          <w:szCs w:val="24"/>
          <w:lang w:val="ro-MD"/>
        </w:rPr>
        <w:t>obținut</w:t>
      </w:r>
      <w:r w:rsidRPr="0080251F">
        <w:rPr>
          <w:rFonts w:ascii="Times New Roman" w:hAnsi="Times New Roman" w:cs="Times New Roman"/>
          <w:sz w:val="24"/>
          <w:szCs w:val="24"/>
          <w:lang w:val="ro-MD"/>
        </w:rPr>
        <w:t>e.</w:t>
      </w:r>
    </w:p>
    <w:p w14:paraId="126030CD" w14:textId="30E71016" w:rsidR="00366DB8" w:rsidRPr="0080251F" w:rsidRDefault="00F0577B" w:rsidP="0025057C">
      <w:pPr>
        <w:spacing w:after="0" w:line="276" w:lineRule="auto"/>
        <w:ind w:firstLine="709"/>
        <w:jc w:val="both"/>
        <w:rPr>
          <w:rFonts w:ascii="Times New Roman" w:hAnsi="Times New Roman" w:cs="Times New Roman"/>
          <w:sz w:val="24"/>
          <w:szCs w:val="24"/>
          <w:lang w:val="ro-MD"/>
        </w:rPr>
      </w:pPr>
      <w:r w:rsidRPr="0080251F">
        <w:rPr>
          <w:rFonts w:ascii="Times New Roman" w:eastAsia="Times New Roman" w:hAnsi="Times New Roman" w:cs="Times New Roman"/>
          <w:sz w:val="24"/>
          <w:szCs w:val="24"/>
          <w:lang w:val="ro-MD" w:eastAsia="ru-RU"/>
        </w:rPr>
        <w:t>În</w:t>
      </w:r>
      <w:r w:rsidR="00366DB8" w:rsidRPr="0080251F">
        <w:rPr>
          <w:rFonts w:ascii="Times New Roman" w:eastAsia="Times New Roman" w:hAnsi="Times New Roman" w:cs="Times New Roman"/>
          <w:sz w:val="24"/>
          <w:szCs w:val="24"/>
          <w:lang w:val="ro-MD" w:eastAsia="ru-RU"/>
        </w:rPr>
        <w:t xml:space="preserve"> art.57 din Statutul </w:t>
      </w:r>
      <w:r w:rsidR="008542C7" w:rsidRPr="0080251F">
        <w:rPr>
          <w:rFonts w:ascii="Times New Roman" w:eastAsia="Times New Roman" w:hAnsi="Times New Roman" w:cs="Times New Roman"/>
          <w:sz w:val="24"/>
          <w:szCs w:val="24"/>
          <w:lang w:val="ro-MD" w:eastAsia="ru-RU"/>
        </w:rPr>
        <w:t xml:space="preserve">S.A. „RED-Nord” </w:t>
      </w:r>
      <w:r w:rsidR="00366DB8" w:rsidRPr="0080251F">
        <w:rPr>
          <w:rFonts w:ascii="Times New Roman" w:eastAsia="Times New Roman" w:hAnsi="Times New Roman" w:cs="Times New Roman"/>
          <w:sz w:val="24"/>
          <w:szCs w:val="24"/>
          <w:lang w:val="ro-MD" w:eastAsia="ru-RU"/>
        </w:rPr>
        <w:t>este reglementat că</w:t>
      </w:r>
      <w:r w:rsidR="00366DB8" w:rsidRPr="0080251F">
        <w:rPr>
          <w:rFonts w:ascii="Times New Roman" w:hAnsi="Times New Roman" w:cs="Times New Roman"/>
          <w:sz w:val="24"/>
          <w:szCs w:val="24"/>
          <w:lang w:val="ro-MD"/>
        </w:rPr>
        <w:t xml:space="preserve"> sursa principală de finanțare a </w:t>
      </w:r>
      <w:r w:rsidRPr="0080251F">
        <w:rPr>
          <w:rFonts w:ascii="Times New Roman" w:hAnsi="Times New Roman" w:cs="Times New Roman"/>
          <w:sz w:val="24"/>
          <w:szCs w:val="24"/>
          <w:lang w:val="ro-MD"/>
        </w:rPr>
        <w:t>s</w:t>
      </w:r>
      <w:r w:rsidR="00366DB8" w:rsidRPr="0080251F">
        <w:rPr>
          <w:rFonts w:ascii="Times New Roman" w:hAnsi="Times New Roman" w:cs="Times New Roman"/>
          <w:sz w:val="24"/>
          <w:szCs w:val="24"/>
          <w:lang w:val="ro-MD"/>
        </w:rPr>
        <w:t xml:space="preserve">ocietății este profitul net, care se distribuie în conformitate cu deciziile luate de către Adunarea </w:t>
      </w:r>
      <w:r w:rsidRPr="0080251F">
        <w:rPr>
          <w:rFonts w:ascii="Times New Roman" w:hAnsi="Times New Roman" w:cs="Times New Roman"/>
          <w:sz w:val="24"/>
          <w:szCs w:val="24"/>
          <w:lang w:val="ro-MD"/>
        </w:rPr>
        <w:t>G</w:t>
      </w:r>
      <w:r w:rsidR="00366DB8" w:rsidRPr="0080251F">
        <w:rPr>
          <w:rFonts w:ascii="Times New Roman" w:hAnsi="Times New Roman" w:cs="Times New Roman"/>
          <w:sz w:val="24"/>
          <w:szCs w:val="24"/>
          <w:lang w:val="ro-MD"/>
        </w:rPr>
        <w:t xml:space="preserve">enerală a </w:t>
      </w:r>
      <w:r w:rsidRPr="0080251F">
        <w:rPr>
          <w:rFonts w:ascii="Times New Roman" w:hAnsi="Times New Roman" w:cs="Times New Roman"/>
          <w:sz w:val="24"/>
          <w:szCs w:val="24"/>
          <w:lang w:val="ro-MD"/>
        </w:rPr>
        <w:t>A</w:t>
      </w:r>
      <w:r w:rsidR="00366DB8" w:rsidRPr="0080251F">
        <w:rPr>
          <w:rFonts w:ascii="Times New Roman" w:hAnsi="Times New Roman" w:cs="Times New Roman"/>
          <w:sz w:val="24"/>
          <w:szCs w:val="24"/>
          <w:lang w:val="ro-MD"/>
        </w:rPr>
        <w:t xml:space="preserve">cționarilor, la propunerea Consiliului societății. Societatea este în drept să formeze din defalcările anuale din profitul net, stabilite de către Adunarea </w:t>
      </w:r>
      <w:r w:rsidRPr="0080251F">
        <w:rPr>
          <w:rFonts w:ascii="Times New Roman" w:hAnsi="Times New Roman" w:cs="Times New Roman"/>
          <w:sz w:val="24"/>
          <w:szCs w:val="24"/>
          <w:lang w:val="ro-MD"/>
        </w:rPr>
        <w:t>G</w:t>
      </w:r>
      <w:r w:rsidR="00366DB8" w:rsidRPr="0080251F">
        <w:rPr>
          <w:rFonts w:ascii="Times New Roman" w:hAnsi="Times New Roman" w:cs="Times New Roman"/>
          <w:sz w:val="24"/>
          <w:szCs w:val="24"/>
          <w:lang w:val="ro-MD"/>
        </w:rPr>
        <w:t xml:space="preserve">enerală a </w:t>
      </w:r>
      <w:r w:rsidRPr="0080251F">
        <w:rPr>
          <w:rFonts w:ascii="Times New Roman" w:hAnsi="Times New Roman" w:cs="Times New Roman"/>
          <w:sz w:val="24"/>
          <w:szCs w:val="24"/>
          <w:lang w:val="ro-MD"/>
        </w:rPr>
        <w:t>A</w:t>
      </w:r>
      <w:r w:rsidR="00366DB8" w:rsidRPr="0080251F">
        <w:rPr>
          <w:rFonts w:ascii="Times New Roman" w:hAnsi="Times New Roman" w:cs="Times New Roman"/>
          <w:sz w:val="24"/>
          <w:szCs w:val="24"/>
          <w:lang w:val="ro-MD"/>
        </w:rPr>
        <w:t>cționarilor, rezerve, fondul de dezvoltare și fondul de consum (art.19 din Statut).</w:t>
      </w:r>
      <w:r w:rsidR="00366DB8" w:rsidRPr="0080251F">
        <w:rPr>
          <w:rFonts w:ascii="Times New Roman" w:hAnsi="Times New Roman" w:cs="Times New Roman"/>
          <w:color w:val="000000"/>
          <w:sz w:val="23"/>
          <w:szCs w:val="23"/>
          <w:lang w:val="ro-MD"/>
        </w:rPr>
        <w:t xml:space="preserve"> </w:t>
      </w:r>
      <w:r w:rsidR="00366DB8" w:rsidRPr="0080251F">
        <w:rPr>
          <w:rFonts w:ascii="Times New Roman" w:hAnsi="Times New Roman" w:cs="Times New Roman"/>
          <w:i/>
          <w:sz w:val="24"/>
          <w:szCs w:val="24"/>
          <w:lang w:val="ro-MD"/>
        </w:rPr>
        <w:t xml:space="preserve">Fondul de consum are ca scop acumularea de mijloace financiare pentru finanțarea cheltuielilor cu destinație socială și plata recompenselor angajaților </w:t>
      </w:r>
      <w:r w:rsidRPr="0080251F">
        <w:rPr>
          <w:rFonts w:ascii="Times New Roman" w:hAnsi="Times New Roman" w:cs="Times New Roman"/>
          <w:i/>
          <w:sz w:val="24"/>
          <w:szCs w:val="24"/>
          <w:lang w:val="ro-MD"/>
        </w:rPr>
        <w:t>s</w:t>
      </w:r>
      <w:r w:rsidR="00366DB8" w:rsidRPr="0080251F">
        <w:rPr>
          <w:rFonts w:ascii="Times New Roman" w:hAnsi="Times New Roman" w:cs="Times New Roman"/>
          <w:i/>
          <w:sz w:val="24"/>
          <w:szCs w:val="24"/>
          <w:lang w:val="ro-MD"/>
        </w:rPr>
        <w:t>ocietății în baza rezultatelor activității anuale</w:t>
      </w:r>
      <w:r w:rsidR="00366DB8" w:rsidRPr="0080251F">
        <w:rPr>
          <w:rFonts w:ascii="Times New Roman" w:hAnsi="Times New Roman" w:cs="Times New Roman"/>
          <w:sz w:val="24"/>
          <w:szCs w:val="24"/>
          <w:lang w:val="ro-MD"/>
        </w:rPr>
        <w:t xml:space="preserve"> (art.19 din Statut).</w:t>
      </w:r>
    </w:p>
    <w:p w14:paraId="404B706C" w14:textId="2B60EB7E" w:rsidR="0068037F" w:rsidRPr="0080251F" w:rsidRDefault="004A7ABF" w:rsidP="0068037F">
      <w:pPr>
        <w:tabs>
          <w:tab w:val="left" w:pos="567"/>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Cu toate că</w:t>
      </w:r>
      <w:r w:rsidR="00366DB8" w:rsidRPr="0080251F">
        <w:rPr>
          <w:rFonts w:ascii="Times New Roman" w:hAnsi="Times New Roman" w:cs="Times New Roman"/>
          <w:sz w:val="24"/>
          <w:szCs w:val="24"/>
          <w:lang w:val="ro-MD"/>
        </w:rPr>
        <w:t xml:space="preserve"> </w:t>
      </w:r>
      <w:r w:rsidR="008542C7" w:rsidRPr="0080251F">
        <w:rPr>
          <w:rFonts w:ascii="Times New Roman" w:hAnsi="Times New Roman" w:cs="Times New Roman"/>
          <w:sz w:val="24"/>
          <w:szCs w:val="24"/>
          <w:lang w:val="ro-MD"/>
        </w:rPr>
        <w:t xml:space="preserve">S.A. „RED-Nord” </w:t>
      </w:r>
      <w:r w:rsidR="00366DB8" w:rsidRPr="0080251F">
        <w:rPr>
          <w:rFonts w:ascii="Times New Roman" w:hAnsi="Times New Roman" w:cs="Times New Roman"/>
          <w:sz w:val="24"/>
          <w:szCs w:val="24"/>
          <w:lang w:val="ro-MD"/>
        </w:rPr>
        <w:t xml:space="preserve">a stabilit prin Statut posibilitatea utilizării profitului net pentru finanțarea cheltuielilor cu destinație socială, entitatea nu a reglementat </w:t>
      </w:r>
      <w:r w:rsidR="0068037F" w:rsidRPr="0080251F">
        <w:rPr>
          <w:rFonts w:ascii="Times New Roman" w:hAnsi="Times New Roman" w:cs="Times New Roman"/>
          <w:sz w:val="24"/>
          <w:szCs w:val="24"/>
          <w:lang w:val="ro-MD"/>
        </w:rPr>
        <w:t>condițiile și criteriile de utilizare a fondului de consum: noțiunea destinațiilor sociale; cine pot fi beneficiarii; care sunt criteriile și condițiile de finanțare a destinațiilor sociale; limitele de finanțare a unor potențiali beneficiari; etc.</w:t>
      </w:r>
    </w:p>
    <w:p w14:paraId="256127C6" w14:textId="428C34C7" w:rsidR="0068037F" w:rsidRPr="0080251F" w:rsidRDefault="0068037F" w:rsidP="0068037F">
      <w:pPr>
        <w:tabs>
          <w:tab w:val="left" w:pos="567"/>
        </w:tabs>
        <w:spacing w:after="0" w:line="276" w:lineRule="auto"/>
        <w:ind w:firstLine="709"/>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Deși a fost elaborat și </w:t>
      </w:r>
      <w:r w:rsidR="00F0577B" w:rsidRPr="0080251F">
        <w:rPr>
          <w:rFonts w:ascii="Times New Roman" w:hAnsi="Times New Roman" w:cs="Times New Roman"/>
          <w:sz w:val="24"/>
          <w:szCs w:val="24"/>
          <w:lang w:val="ro-MD"/>
        </w:rPr>
        <w:t xml:space="preserve">s-a </w:t>
      </w:r>
      <w:r w:rsidRPr="0080251F">
        <w:rPr>
          <w:rFonts w:ascii="Times New Roman" w:hAnsi="Times New Roman" w:cs="Times New Roman"/>
          <w:sz w:val="24"/>
          <w:szCs w:val="24"/>
          <w:lang w:val="ro-MD"/>
        </w:rPr>
        <w:t>aprobat Regulament</w:t>
      </w:r>
      <w:r w:rsidR="00F0577B" w:rsidRPr="0080251F">
        <w:rPr>
          <w:rFonts w:ascii="Times New Roman" w:hAnsi="Times New Roman" w:cs="Times New Roman"/>
          <w:sz w:val="24"/>
          <w:szCs w:val="24"/>
          <w:lang w:val="ro-MD"/>
        </w:rPr>
        <w:t>ul</w:t>
      </w:r>
      <w:r w:rsidRPr="0080251F">
        <w:rPr>
          <w:rFonts w:ascii="Times New Roman" w:hAnsi="Times New Roman" w:cs="Times New Roman"/>
          <w:sz w:val="24"/>
          <w:szCs w:val="24"/>
          <w:lang w:val="ro-MD"/>
        </w:rPr>
        <w:t xml:space="preserve"> privind acordarea ajutorului material de către S</w:t>
      </w:r>
      <w:r w:rsidR="00F0577B"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A</w:t>
      </w:r>
      <w:r w:rsidR="00F0577B"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w:t>
      </w:r>
      <w:r w:rsidR="00F0577B"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RED-Nord</w:t>
      </w:r>
      <w:r w:rsidR="00F0577B"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în caz de accidente, îmbolnăviri și deces</w:t>
      </w:r>
      <w:r w:rsidR="00366DB8" w:rsidRPr="0080251F">
        <w:rPr>
          <w:rFonts w:ascii="Times New Roman" w:hAnsi="Times New Roman" w:cs="Times New Roman"/>
          <w:sz w:val="24"/>
          <w:szCs w:val="24"/>
          <w:vertAlign w:val="superscript"/>
          <w:lang w:val="ro-MD"/>
        </w:rPr>
        <w:footnoteReference w:id="153"/>
      </w:r>
      <w:r w:rsidR="00366DB8"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potrivit prevederilor pct.13</w:t>
      </w:r>
      <w:r w:rsidRPr="0080251F">
        <w:rPr>
          <w:rFonts w:ascii="Times New Roman" w:hAnsi="Times New Roman" w:cs="Times New Roman"/>
          <w:sz w:val="24"/>
          <w:szCs w:val="24"/>
          <w:vertAlign w:val="superscript"/>
          <w:lang w:val="ro-MD"/>
        </w:rPr>
        <w:t>2</w:t>
      </w:r>
      <w:r w:rsidRPr="0080251F">
        <w:rPr>
          <w:rFonts w:ascii="Times New Roman" w:hAnsi="Times New Roman" w:cs="Times New Roman"/>
          <w:sz w:val="24"/>
          <w:szCs w:val="24"/>
          <w:lang w:val="ro-MD"/>
        </w:rPr>
        <w:t xml:space="preserve"> din HG nr.743/2002</w:t>
      </w:r>
      <w:r w:rsidR="00F0577B"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mărimea acestor plăți urmează a fi prevăzut</w:t>
      </w:r>
      <w:r w:rsidR="00F0577B" w:rsidRPr="0080251F">
        <w:rPr>
          <w:rFonts w:ascii="Times New Roman" w:hAnsi="Times New Roman" w:cs="Times New Roman"/>
          <w:sz w:val="24"/>
          <w:szCs w:val="24"/>
          <w:lang w:val="ro-MD"/>
        </w:rPr>
        <w:t>ă</w:t>
      </w:r>
      <w:r w:rsidRPr="0080251F">
        <w:rPr>
          <w:rFonts w:ascii="Times New Roman" w:hAnsi="Times New Roman" w:cs="Times New Roman"/>
          <w:sz w:val="24"/>
          <w:szCs w:val="24"/>
          <w:lang w:val="ro-MD"/>
        </w:rPr>
        <w:t xml:space="preserve"> în contractul individual de muncă sau în contractul colectiv de muncă și se achită din contul economisirii mijloacelor pentru retribuirea muncii, și nicidecum din fondul de consum</w:t>
      </w:r>
    </w:p>
    <w:p w14:paraId="0F3CE984" w14:textId="7A16B185" w:rsidR="00366DB8" w:rsidRPr="0080251F" w:rsidRDefault="00366DB8" w:rsidP="0068037F">
      <w:pPr>
        <w:tabs>
          <w:tab w:val="left" w:pos="567"/>
        </w:tabs>
        <w:spacing w:after="0" w:line="276" w:lineRule="auto"/>
        <w:ind w:firstLine="709"/>
        <w:jc w:val="both"/>
        <w:rPr>
          <w:rFonts w:ascii="Times New Roman" w:hAnsi="Times New Roman" w:cs="Times New Roman"/>
          <w:b/>
          <w:sz w:val="24"/>
          <w:szCs w:val="24"/>
          <w:lang w:val="ro-MD"/>
        </w:rPr>
      </w:pPr>
      <w:r w:rsidRPr="0080251F">
        <w:rPr>
          <w:rFonts w:ascii="Times New Roman" w:hAnsi="Times New Roman" w:cs="Times New Roman"/>
          <w:sz w:val="24"/>
          <w:szCs w:val="24"/>
          <w:lang w:val="ro-MD"/>
        </w:rPr>
        <w:t xml:space="preserve">Totodată, în anumite condiții, beneficiarii finanțărilor cu caracter social primesc plăți și beneficiază de servicii sociale de la bugetul de stat, bugetul asigurărilor sociale de stat și </w:t>
      </w:r>
      <w:r w:rsidR="004A7ABF" w:rsidRPr="0080251F">
        <w:rPr>
          <w:rFonts w:ascii="Times New Roman" w:hAnsi="Times New Roman" w:cs="Times New Roman"/>
          <w:sz w:val="24"/>
          <w:szCs w:val="24"/>
          <w:lang w:val="ro-MD"/>
        </w:rPr>
        <w:t xml:space="preserve">din </w:t>
      </w:r>
      <w:r w:rsidRPr="0080251F">
        <w:rPr>
          <w:rFonts w:ascii="Times New Roman" w:hAnsi="Times New Roman" w:cs="Times New Roman"/>
          <w:sz w:val="24"/>
          <w:szCs w:val="24"/>
          <w:lang w:val="ro-MD"/>
        </w:rPr>
        <w:t xml:space="preserve">fondul asigurării obligatorii de asistență medicală (combatanții războiului din Afganistan și </w:t>
      </w:r>
      <w:r w:rsidR="009663E5" w:rsidRPr="0080251F">
        <w:rPr>
          <w:rFonts w:ascii="Times New Roman" w:hAnsi="Times New Roman" w:cs="Times New Roman"/>
          <w:sz w:val="24"/>
          <w:szCs w:val="24"/>
          <w:lang w:val="ro-MD"/>
        </w:rPr>
        <w:t xml:space="preserve">ai </w:t>
      </w:r>
      <w:r w:rsidRPr="0080251F">
        <w:rPr>
          <w:rFonts w:ascii="Times New Roman" w:hAnsi="Times New Roman" w:cs="Times New Roman"/>
          <w:sz w:val="24"/>
          <w:szCs w:val="24"/>
          <w:lang w:val="ro-MD"/>
        </w:rPr>
        <w:t xml:space="preserve">conflictului armat din Transnistria; tratamentul medical; ajutorul de deces). În acest context, se exemplifică unele cheltuieli efectuate </w:t>
      </w:r>
      <w:r w:rsidR="00D22006" w:rsidRPr="0080251F">
        <w:rPr>
          <w:rFonts w:ascii="Times New Roman" w:hAnsi="Times New Roman" w:cs="Times New Roman"/>
          <w:sz w:val="24"/>
          <w:szCs w:val="24"/>
          <w:lang w:val="ro-MD"/>
        </w:rPr>
        <w:t>din profitul net (</w:t>
      </w:r>
      <w:r w:rsidR="004A7ABF" w:rsidRPr="0080251F">
        <w:rPr>
          <w:rFonts w:ascii="Times New Roman" w:hAnsi="Times New Roman" w:cs="Times New Roman"/>
          <w:sz w:val="24"/>
          <w:szCs w:val="24"/>
          <w:lang w:val="ro-MD"/>
        </w:rPr>
        <w:t xml:space="preserve">în </w:t>
      </w:r>
      <w:r w:rsidR="00D22006" w:rsidRPr="0080251F">
        <w:rPr>
          <w:rFonts w:ascii="Times New Roman" w:hAnsi="Times New Roman" w:cs="Times New Roman"/>
          <w:sz w:val="24"/>
          <w:szCs w:val="24"/>
          <w:lang w:val="ro-MD"/>
        </w:rPr>
        <w:t xml:space="preserve">total, </w:t>
      </w:r>
      <w:r w:rsidRPr="0080251F">
        <w:rPr>
          <w:rFonts w:ascii="Times New Roman" w:hAnsi="Times New Roman" w:cs="Times New Roman"/>
          <w:sz w:val="24"/>
          <w:szCs w:val="24"/>
          <w:lang w:val="ro-MD"/>
        </w:rPr>
        <w:t>anul 2021 – 1</w:t>
      </w:r>
      <w:r w:rsidR="00D22006" w:rsidRPr="0080251F">
        <w:rPr>
          <w:rFonts w:ascii="Times New Roman" w:hAnsi="Times New Roman" w:cs="Times New Roman"/>
          <w:sz w:val="24"/>
          <w:szCs w:val="24"/>
          <w:lang w:val="ro-MD"/>
        </w:rPr>
        <w:t>,0 mil.</w:t>
      </w:r>
      <w:r w:rsidRPr="0080251F">
        <w:rPr>
          <w:rFonts w:ascii="Times New Roman" w:hAnsi="Times New Roman" w:cs="Times New Roman"/>
          <w:sz w:val="24"/>
          <w:szCs w:val="24"/>
          <w:lang w:val="ro-MD"/>
        </w:rPr>
        <w:t xml:space="preserve"> lei; anul 2022 – 315</w:t>
      </w:r>
      <w:r w:rsidR="00720054" w:rsidRPr="0080251F">
        <w:rPr>
          <w:rFonts w:ascii="Times New Roman" w:hAnsi="Times New Roman" w:cs="Times New Roman"/>
          <w:sz w:val="24"/>
          <w:szCs w:val="24"/>
          <w:lang w:val="ro-MD"/>
        </w:rPr>
        <w:t>,1 mii</w:t>
      </w:r>
      <w:r w:rsidRPr="0080251F">
        <w:rPr>
          <w:rFonts w:ascii="Times New Roman" w:hAnsi="Times New Roman" w:cs="Times New Roman"/>
          <w:sz w:val="24"/>
          <w:szCs w:val="24"/>
          <w:lang w:val="ro-MD"/>
        </w:rPr>
        <w:t xml:space="preserve"> lei):</w:t>
      </w:r>
    </w:p>
    <w:p w14:paraId="2ED7138B" w14:textId="5F4DE61B" w:rsidR="00366DB8" w:rsidRPr="0080251F" w:rsidRDefault="00366DB8" w:rsidP="0025057C">
      <w:pPr>
        <w:numPr>
          <w:ilvl w:val="0"/>
          <w:numId w:val="12"/>
        </w:numPr>
        <w:tabs>
          <w:tab w:val="left" w:pos="0"/>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Ajutor material în caz de accidente, îmbolnăvire și deces (acordat angajaților întreprinderii sau rudelor (la deces): anul 2021 – </w:t>
      </w:r>
      <w:r w:rsidRPr="0080251F">
        <w:rPr>
          <w:rFonts w:ascii="Times New Roman" w:hAnsi="Times New Roman" w:cs="Times New Roman"/>
          <w:b/>
          <w:sz w:val="24"/>
          <w:szCs w:val="24"/>
          <w:lang w:val="ro-MD"/>
        </w:rPr>
        <w:t>682</w:t>
      </w:r>
      <w:r w:rsidR="0057064E" w:rsidRPr="0080251F">
        <w:rPr>
          <w:rFonts w:ascii="Times New Roman" w:hAnsi="Times New Roman" w:cs="Times New Roman"/>
          <w:b/>
          <w:sz w:val="24"/>
          <w:szCs w:val="24"/>
          <w:lang w:val="ro-MD"/>
        </w:rPr>
        <w:t>,5 mii</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(146</w:t>
      </w:r>
      <w:r w:rsidR="00AF1E02" w:rsidRPr="0080251F">
        <w:rPr>
          <w:rFonts w:ascii="Times New Roman" w:hAnsi="Times New Roman" w:cs="Times New Roman"/>
          <w:sz w:val="24"/>
          <w:szCs w:val="24"/>
          <w:lang w:val="ro-MD"/>
        </w:rPr>
        <w:t>,8 mii</w:t>
      </w:r>
      <w:r w:rsidRPr="0080251F">
        <w:rPr>
          <w:rFonts w:ascii="Times New Roman" w:hAnsi="Times New Roman" w:cs="Times New Roman"/>
          <w:sz w:val="24"/>
          <w:szCs w:val="24"/>
          <w:lang w:val="ro-MD"/>
        </w:rPr>
        <w:t xml:space="preserve"> lei, inclusiv plățile pentru contribuții de asigurări sociale de stat obligatorii (24,0%), impozitul pe venit reținut la sursa de plată (4 cazuri la deces, acordat rudelor, 7,0%</w:t>
      </w:r>
      <w:r w:rsidR="00AF1E02"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anul 2022 – </w:t>
      </w:r>
      <w:r w:rsidRPr="0080251F">
        <w:rPr>
          <w:rFonts w:ascii="Times New Roman" w:hAnsi="Times New Roman" w:cs="Times New Roman"/>
          <w:b/>
          <w:sz w:val="24"/>
          <w:szCs w:val="24"/>
          <w:lang w:val="ro-MD"/>
        </w:rPr>
        <w:t>190</w:t>
      </w:r>
      <w:r w:rsidR="00AF1E02" w:rsidRPr="0080251F">
        <w:rPr>
          <w:rFonts w:ascii="Times New Roman" w:hAnsi="Times New Roman" w:cs="Times New Roman"/>
          <w:b/>
          <w:sz w:val="24"/>
          <w:szCs w:val="24"/>
          <w:lang w:val="ro-MD"/>
        </w:rPr>
        <w:t>,0 mii</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(40</w:t>
      </w:r>
      <w:r w:rsidR="00AF1E02" w:rsidRPr="0080251F">
        <w:rPr>
          <w:rFonts w:ascii="Times New Roman" w:hAnsi="Times New Roman" w:cs="Times New Roman"/>
          <w:sz w:val="24"/>
          <w:szCs w:val="24"/>
          <w:lang w:val="ro-MD"/>
        </w:rPr>
        <w:t xml:space="preserve">,4 mii </w:t>
      </w:r>
      <w:r w:rsidRPr="0080251F">
        <w:rPr>
          <w:rFonts w:ascii="Times New Roman" w:hAnsi="Times New Roman" w:cs="Times New Roman"/>
          <w:sz w:val="24"/>
          <w:szCs w:val="24"/>
          <w:lang w:val="ro-MD"/>
        </w:rPr>
        <w:t>lei, inclusiv plățile pentru contribuții de asigurări sociale de stat obligatorii (24,0%), impozitul pe venit reținut la sursa de plată (1 caz la deces, acordat rudelor, 7,0%)</w:t>
      </w:r>
      <w:r w:rsidR="00AF1E02"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Totodată, actele normative în vigoare prevăd acordarea de la bugetul public național a mijloacelor financiare sau a unei forme de asistență pentru deținer</w:t>
      </w:r>
      <w:r w:rsidR="004A7ABF" w:rsidRPr="0080251F">
        <w:rPr>
          <w:rFonts w:ascii="Times New Roman" w:hAnsi="Times New Roman" w:cs="Times New Roman"/>
          <w:sz w:val="24"/>
          <w:szCs w:val="24"/>
          <w:lang w:val="ro-MD"/>
        </w:rPr>
        <w:t>ea</w:t>
      </w:r>
      <w:r w:rsidRPr="0080251F">
        <w:rPr>
          <w:rFonts w:ascii="Times New Roman" w:hAnsi="Times New Roman" w:cs="Times New Roman"/>
          <w:sz w:val="24"/>
          <w:szCs w:val="24"/>
          <w:lang w:val="ro-MD"/>
        </w:rPr>
        <w:t xml:space="preserve"> unui anumit statut: accidente de muncă și în afara orelor de muncă, îmbolnăvire – indemnizația pentru incapacitate temporară de muncă, asistență medicală acordată în cadrul sistemului național de asigurări medicale și ajutor material pentru recuperarea sănătății</w:t>
      </w:r>
      <w:r w:rsidR="004A7ABF" w:rsidRPr="0080251F">
        <w:rPr>
          <w:rFonts w:ascii="Times New Roman" w:hAnsi="Times New Roman" w:cs="Times New Roman"/>
          <w:sz w:val="24"/>
          <w:szCs w:val="24"/>
          <w:lang w:val="ro-MD"/>
        </w:rPr>
        <w:t>,</w:t>
      </w:r>
      <w:r w:rsidRPr="0080251F">
        <w:rPr>
          <w:rFonts w:ascii="Times New Roman" w:hAnsi="Times New Roman" w:cs="Times New Roman"/>
          <w:sz w:val="24"/>
          <w:szCs w:val="24"/>
          <w:lang w:val="ro-MD"/>
        </w:rPr>
        <w:t xml:space="preserve"> acordat la concediul de odihnă de către întreprindere; decesul rudelor - ajutor de deces</w:t>
      </w:r>
      <w:r w:rsidRPr="0080251F">
        <w:rPr>
          <w:rFonts w:ascii="Times New Roman" w:eastAsia="Times New Roman" w:hAnsi="Times New Roman" w:cs="Times New Roman"/>
          <w:sz w:val="24"/>
          <w:szCs w:val="24"/>
          <w:lang w:val="ro-MD" w:eastAsia="ru-RU"/>
        </w:rPr>
        <w:t xml:space="preserve"> acordat </w:t>
      </w:r>
      <w:r w:rsidRPr="0080251F">
        <w:rPr>
          <w:rFonts w:ascii="Times New Roman" w:hAnsi="Times New Roman" w:cs="Times New Roman"/>
          <w:sz w:val="24"/>
          <w:szCs w:val="24"/>
          <w:lang w:val="ro-MD"/>
        </w:rPr>
        <w:t>în baza prevederilor Legii bugetului asigurărilor sociale de stat, aprobată pentru fiecare an bugetar.</w:t>
      </w:r>
    </w:p>
    <w:p w14:paraId="584C8D3A" w14:textId="65CDDB7D" w:rsidR="0093106B" w:rsidRPr="0080251F" w:rsidRDefault="00366DB8" w:rsidP="0093106B">
      <w:pPr>
        <w:numPr>
          <w:ilvl w:val="0"/>
          <w:numId w:val="12"/>
        </w:numPr>
        <w:tabs>
          <w:tab w:val="left" w:pos="0"/>
          <w:tab w:val="left" w:pos="993"/>
        </w:tabs>
        <w:spacing w:after="0" w:line="276" w:lineRule="auto"/>
        <w:ind w:left="0" w:firstLine="709"/>
        <w:contextualSpacing/>
        <w:jc w:val="both"/>
        <w:rPr>
          <w:rFonts w:ascii="Times New Roman" w:hAnsi="Times New Roman" w:cs="Times New Roman"/>
          <w:b/>
          <w:bCs/>
          <w:sz w:val="24"/>
          <w:szCs w:val="24"/>
          <w:lang w:val="ro-MD"/>
        </w:rPr>
      </w:pPr>
      <w:r w:rsidRPr="0080251F">
        <w:rPr>
          <w:rFonts w:ascii="Times New Roman" w:hAnsi="Times New Roman" w:cs="Times New Roman"/>
          <w:sz w:val="24"/>
          <w:szCs w:val="24"/>
          <w:lang w:val="ro-MD"/>
        </w:rPr>
        <w:t xml:space="preserve">Ajutor material pentru combatanții războiului din Afganistan și </w:t>
      </w:r>
      <w:r w:rsidR="004A7ABF" w:rsidRPr="0080251F">
        <w:rPr>
          <w:rFonts w:ascii="Times New Roman" w:hAnsi="Times New Roman" w:cs="Times New Roman"/>
          <w:sz w:val="24"/>
          <w:szCs w:val="24"/>
          <w:lang w:val="ro-MD"/>
        </w:rPr>
        <w:t xml:space="preserve">ai </w:t>
      </w:r>
      <w:r w:rsidRPr="0080251F">
        <w:rPr>
          <w:rFonts w:ascii="Times New Roman" w:hAnsi="Times New Roman" w:cs="Times New Roman"/>
          <w:sz w:val="24"/>
          <w:szCs w:val="24"/>
          <w:lang w:val="ro-MD"/>
        </w:rPr>
        <w:t xml:space="preserve">conflictului armat din Transnistria (acordat angajaților întreprinderii): anul 2022 – </w:t>
      </w:r>
      <w:r w:rsidRPr="0080251F">
        <w:rPr>
          <w:rFonts w:ascii="Times New Roman" w:hAnsi="Times New Roman" w:cs="Times New Roman"/>
          <w:b/>
          <w:sz w:val="24"/>
          <w:szCs w:val="24"/>
          <w:lang w:val="ro-MD"/>
        </w:rPr>
        <w:t>28</w:t>
      </w:r>
      <w:r w:rsidR="00AF1E02" w:rsidRPr="0080251F">
        <w:rPr>
          <w:rFonts w:ascii="Times New Roman" w:hAnsi="Times New Roman" w:cs="Times New Roman"/>
          <w:b/>
          <w:sz w:val="24"/>
          <w:szCs w:val="24"/>
          <w:lang w:val="ro-MD"/>
        </w:rPr>
        <w:t>,6 mii</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(5</w:t>
      </w:r>
      <w:r w:rsidR="00AF1E02" w:rsidRPr="0080251F">
        <w:rPr>
          <w:rFonts w:ascii="Times New Roman" w:hAnsi="Times New Roman" w:cs="Times New Roman"/>
          <w:sz w:val="24"/>
          <w:szCs w:val="24"/>
          <w:lang w:val="ro-MD"/>
        </w:rPr>
        <w:t>,5 mii</w:t>
      </w:r>
      <w:r w:rsidRPr="0080251F">
        <w:rPr>
          <w:rFonts w:ascii="Times New Roman" w:hAnsi="Times New Roman" w:cs="Times New Roman"/>
          <w:sz w:val="24"/>
          <w:szCs w:val="24"/>
          <w:lang w:val="ro-MD"/>
        </w:rPr>
        <w:t xml:space="preserve"> lei, inclusiv plățile pentru contribuții de asigurări sociale de stat obligatorii (24,0%)). Totodată, combatanții </w:t>
      </w:r>
      <w:r w:rsidR="004A7ABF" w:rsidRPr="0080251F">
        <w:rPr>
          <w:rFonts w:ascii="Times New Roman" w:hAnsi="Times New Roman" w:cs="Times New Roman"/>
          <w:sz w:val="24"/>
          <w:szCs w:val="24"/>
          <w:lang w:val="ro-MD"/>
        </w:rPr>
        <w:t xml:space="preserve">menționați </w:t>
      </w:r>
      <w:r w:rsidRPr="0080251F">
        <w:rPr>
          <w:rFonts w:ascii="Times New Roman" w:hAnsi="Times New Roman" w:cs="Times New Roman"/>
          <w:sz w:val="24"/>
          <w:szCs w:val="24"/>
          <w:lang w:val="ro-MD"/>
        </w:rPr>
        <w:t xml:space="preserve"> primesc alocații lunare de stat în baza prevederilor Legii nr.121-XV din 03.05.2001 „Cu privire la protecția socială suplimentară</w:t>
      </w:r>
      <w:r w:rsidR="0093106B" w:rsidRPr="0080251F">
        <w:rPr>
          <w:rFonts w:ascii="Times New Roman" w:hAnsi="Times New Roman" w:cs="Times New Roman"/>
          <w:sz w:val="24"/>
          <w:szCs w:val="24"/>
          <w:lang w:val="ro-MD"/>
        </w:rPr>
        <w:t xml:space="preserve"> a unor categorii de populație” și ajutor material unic în baza prevederilor </w:t>
      </w:r>
      <w:r w:rsidR="0093106B" w:rsidRPr="0080251F">
        <w:rPr>
          <w:rFonts w:ascii="Times New Roman" w:hAnsi="Times New Roman" w:cs="Times New Roman"/>
          <w:bCs/>
          <w:sz w:val="24"/>
          <w:szCs w:val="24"/>
          <w:lang w:val="ro-MD"/>
        </w:rPr>
        <w:t>HG nr.159 din 14.02.2018 „Pentru aprobarea Regulamentului cu privire la modul de stabilire și plată a ajutorului material anual”</w:t>
      </w:r>
      <w:r w:rsidR="0093106B" w:rsidRPr="0080251F">
        <w:rPr>
          <w:rFonts w:ascii="Times New Roman" w:hAnsi="Times New Roman" w:cs="Times New Roman"/>
          <w:i/>
          <w:iCs/>
          <w:sz w:val="24"/>
          <w:szCs w:val="24"/>
          <w:lang w:val="ro-MD"/>
        </w:rPr>
        <w:t>.</w:t>
      </w:r>
    </w:p>
    <w:p w14:paraId="3071140C" w14:textId="2409846E" w:rsidR="00366DB8" w:rsidRPr="0080251F" w:rsidRDefault="00366DB8" w:rsidP="0093106B">
      <w:pPr>
        <w:numPr>
          <w:ilvl w:val="0"/>
          <w:numId w:val="12"/>
        </w:numPr>
        <w:tabs>
          <w:tab w:val="left" w:pos="0"/>
          <w:tab w:val="left" w:pos="993"/>
        </w:tabs>
        <w:spacing w:after="0" w:line="276" w:lineRule="auto"/>
        <w:ind w:left="0" w:firstLine="709"/>
        <w:contextualSpacing/>
        <w:jc w:val="both"/>
        <w:rPr>
          <w:rFonts w:ascii="Times New Roman" w:hAnsi="Times New Roman" w:cs="Times New Roman"/>
          <w:b/>
          <w:bCs/>
          <w:sz w:val="24"/>
          <w:szCs w:val="24"/>
          <w:lang w:val="ro-MD"/>
        </w:rPr>
      </w:pPr>
      <w:r w:rsidRPr="0080251F">
        <w:rPr>
          <w:rFonts w:ascii="Times New Roman" w:hAnsi="Times New Roman" w:cs="Times New Roman"/>
          <w:sz w:val="24"/>
          <w:szCs w:val="24"/>
          <w:lang w:val="ro-MD"/>
        </w:rPr>
        <w:t xml:space="preserve">Suport financiar acordat persoanelor juridice: anul 2021 – </w:t>
      </w:r>
      <w:r w:rsidRPr="0080251F">
        <w:rPr>
          <w:rFonts w:ascii="Times New Roman" w:hAnsi="Times New Roman" w:cs="Times New Roman"/>
          <w:b/>
          <w:sz w:val="24"/>
          <w:szCs w:val="24"/>
          <w:lang w:val="ro-MD"/>
        </w:rPr>
        <w:t>20</w:t>
      </w:r>
      <w:r w:rsidR="004434E3" w:rsidRPr="0080251F">
        <w:rPr>
          <w:rFonts w:ascii="Times New Roman" w:hAnsi="Times New Roman" w:cs="Times New Roman"/>
          <w:b/>
          <w:sz w:val="24"/>
          <w:szCs w:val="24"/>
          <w:lang w:val="ro-MD"/>
        </w:rPr>
        <w:t>,0 mii</w:t>
      </w:r>
      <w:r w:rsidRPr="0080251F">
        <w:rPr>
          <w:rFonts w:ascii="Times New Roman" w:hAnsi="Times New Roman" w:cs="Times New Roman"/>
          <w:b/>
          <w:sz w:val="24"/>
          <w:szCs w:val="24"/>
          <w:lang w:val="ro-MD"/>
        </w:rPr>
        <w:t xml:space="preserve"> lei</w:t>
      </w:r>
      <w:r w:rsidR="004A7ABF" w:rsidRPr="0080251F">
        <w:rPr>
          <w:rFonts w:ascii="Times New Roman" w:hAnsi="Times New Roman" w:cs="Times New Roman"/>
          <w:b/>
          <w:sz w:val="24"/>
          <w:szCs w:val="24"/>
          <w:lang w:val="ro-MD"/>
        </w:rPr>
        <w:t>,</w:t>
      </w:r>
      <w:r w:rsidR="00A418C6"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 xml:space="preserve">acordat Universității Tehnice </w:t>
      </w:r>
      <w:r w:rsidR="004A7ABF" w:rsidRPr="0080251F">
        <w:rPr>
          <w:rFonts w:ascii="Times New Roman" w:hAnsi="Times New Roman" w:cs="Times New Roman"/>
          <w:sz w:val="24"/>
          <w:szCs w:val="24"/>
          <w:lang w:val="ro-MD"/>
        </w:rPr>
        <w:t>a</w:t>
      </w:r>
      <w:r w:rsidRPr="0080251F">
        <w:rPr>
          <w:rFonts w:ascii="Times New Roman" w:hAnsi="Times New Roman" w:cs="Times New Roman"/>
          <w:sz w:val="24"/>
          <w:szCs w:val="24"/>
          <w:lang w:val="ro-MD"/>
        </w:rPr>
        <w:t xml:space="preserve"> Moldov</w:t>
      </w:r>
      <w:r w:rsidR="004A7ABF" w:rsidRPr="0080251F">
        <w:rPr>
          <w:rFonts w:ascii="Times New Roman" w:hAnsi="Times New Roman" w:cs="Times New Roman"/>
          <w:sz w:val="24"/>
          <w:szCs w:val="24"/>
          <w:lang w:val="ro-MD"/>
        </w:rPr>
        <w:t>ei</w:t>
      </w:r>
      <w:r w:rsidRPr="0080251F">
        <w:rPr>
          <w:rFonts w:ascii="Times New Roman" w:hAnsi="Times New Roman" w:cs="Times New Roman"/>
          <w:sz w:val="24"/>
          <w:szCs w:val="24"/>
          <w:lang w:val="ro-MD"/>
        </w:rPr>
        <w:t xml:space="preserve"> </w:t>
      </w:r>
      <w:r w:rsidR="00A418C6" w:rsidRPr="0080251F">
        <w:rPr>
          <w:rFonts w:ascii="Times New Roman" w:hAnsi="Times New Roman" w:cs="Times New Roman"/>
          <w:sz w:val="24"/>
          <w:szCs w:val="24"/>
          <w:lang w:val="ro-MD"/>
        </w:rPr>
        <w:t>pentru organizarea unui concurs,</w:t>
      </w:r>
      <w:r w:rsidRPr="0080251F">
        <w:rPr>
          <w:rFonts w:ascii="Times New Roman" w:hAnsi="Times New Roman" w:cs="Times New Roman"/>
          <w:sz w:val="24"/>
          <w:szCs w:val="24"/>
          <w:lang w:val="ro-MD"/>
        </w:rPr>
        <w:t xml:space="preserve"> </w:t>
      </w:r>
      <w:r w:rsidR="00266ACD" w:rsidRPr="0080251F">
        <w:rPr>
          <w:rFonts w:ascii="Times New Roman" w:hAnsi="Times New Roman" w:cs="Times New Roman"/>
          <w:sz w:val="24"/>
          <w:szCs w:val="24"/>
          <w:lang w:val="ro-MD"/>
        </w:rPr>
        <w:t xml:space="preserve">această </w:t>
      </w:r>
      <w:r w:rsidR="00A418C6" w:rsidRPr="0080251F">
        <w:rPr>
          <w:rFonts w:ascii="Times New Roman" w:hAnsi="Times New Roman" w:cs="Times New Roman"/>
          <w:sz w:val="24"/>
          <w:szCs w:val="24"/>
          <w:lang w:val="ro-MD"/>
        </w:rPr>
        <w:t xml:space="preserve">instituție </w:t>
      </w:r>
      <w:r w:rsidR="00266ACD" w:rsidRPr="0080251F">
        <w:rPr>
          <w:rFonts w:ascii="Times New Roman" w:hAnsi="Times New Roman" w:cs="Times New Roman"/>
          <w:sz w:val="24"/>
          <w:szCs w:val="24"/>
          <w:lang w:val="ro-MD"/>
        </w:rPr>
        <w:t>având</w:t>
      </w:r>
      <w:r w:rsidRPr="0080251F">
        <w:rPr>
          <w:rFonts w:ascii="Times New Roman" w:hAnsi="Times New Roman" w:cs="Times New Roman"/>
          <w:sz w:val="24"/>
          <w:szCs w:val="24"/>
          <w:lang w:val="ro-MD"/>
        </w:rPr>
        <w:t xml:space="preserve"> propriul buget și plan de activitate.</w:t>
      </w:r>
    </w:p>
    <w:p w14:paraId="7D1AEADF" w14:textId="2D258604" w:rsidR="00366DB8" w:rsidRPr="0080251F" w:rsidRDefault="00366DB8" w:rsidP="0093106B">
      <w:pPr>
        <w:numPr>
          <w:ilvl w:val="0"/>
          <w:numId w:val="37"/>
        </w:numPr>
        <w:tabs>
          <w:tab w:val="left" w:pos="0"/>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Ajutor material pentru foștii lucrători ai întreprinderii, pensionați (661 persoane): anul 2021 – </w:t>
      </w:r>
      <w:r w:rsidRPr="0080251F">
        <w:rPr>
          <w:rFonts w:ascii="Times New Roman" w:hAnsi="Times New Roman" w:cs="Times New Roman"/>
          <w:b/>
          <w:sz w:val="24"/>
          <w:szCs w:val="24"/>
          <w:lang w:val="ro-MD"/>
        </w:rPr>
        <w:t>300</w:t>
      </w:r>
      <w:r w:rsidR="004434E3" w:rsidRPr="0080251F">
        <w:rPr>
          <w:rFonts w:ascii="Times New Roman" w:hAnsi="Times New Roman" w:cs="Times New Roman"/>
          <w:b/>
          <w:sz w:val="24"/>
          <w:szCs w:val="24"/>
          <w:lang w:val="ro-MD"/>
        </w:rPr>
        <w:t>,5 mii</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(36</w:t>
      </w:r>
      <w:r w:rsidR="004434E3" w:rsidRPr="0080251F">
        <w:rPr>
          <w:rFonts w:ascii="Times New Roman" w:hAnsi="Times New Roman" w:cs="Times New Roman"/>
          <w:sz w:val="24"/>
          <w:szCs w:val="24"/>
          <w:lang w:val="ro-MD"/>
        </w:rPr>
        <w:t xml:space="preserve">,1 mii </w:t>
      </w:r>
      <w:r w:rsidRPr="0080251F">
        <w:rPr>
          <w:rFonts w:ascii="Times New Roman" w:hAnsi="Times New Roman" w:cs="Times New Roman"/>
          <w:sz w:val="24"/>
          <w:szCs w:val="24"/>
          <w:lang w:val="ro-MD"/>
        </w:rPr>
        <w:t>lei, inclusiv impozitul pe venit reținut).</w:t>
      </w:r>
    </w:p>
    <w:p w14:paraId="0CB1570A" w14:textId="1C2A368C" w:rsidR="00366DB8" w:rsidRPr="0080251F" w:rsidRDefault="00366DB8" w:rsidP="0093106B">
      <w:pPr>
        <w:numPr>
          <w:ilvl w:val="0"/>
          <w:numId w:val="37"/>
        </w:numPr>
        <w:tabs>
          <w:tab w:val="left" w:pos="0"/>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Cheltuieli pentru aniversarea a 60</w:t>
      </w:r>
      <w:r w:rsidR="00266ACD" w:rsidRPr="0080251F">
        <w:rPr>
          <w:rFonts w:ascii="Times New Roman" w:hAnsi="Times New Roman" w:cs="Times New Roman"/>
          <w:sz w:val="24"/>
          <w:szCs w:val="24"/>
          <w:lang w:val="ro-MD"/>
        </w:rPr>
        <w:t>-ea</w:t>
      </w:r>
      <w:r w:rsidRPr="0080251F">
        <w:rPr>
          <w:rFonts w:ascii="Times New Roman" w:hAnsi="Times New Roman" w:cs="Times New Roman"/>
          <w:sz w:val="24"/>
          <w:szCs w:val="24"/>
          <w:lang w:val="ro-MD"/>
        </w:rPr>
        <w:t xml:space="preserve"> de la fondarea întreprinderii: anul 2022 – </w:t>
      </w:r>
      <w:r w:rsidRPr="0080251F">
        <w:rPr>
          <w:rFonts w:ascii="Times New Roman" w:hAnsi="Times New Roman" w:cs="Times New Roman"/>
          <w:b/>
          <w:sz w:val="24"/>
          <w:szCs w:val="24"/>
          <w:lang w:val="ro-MD"/>
        </w:rPr>
        <w:t>96</w:t>
      </w:r>
      <w:r w:rsidR="004434E3" w:rsidRPr="0080251F">
        <w:rPr>
          <w:rFonts w:ascii="Times New Roman" w:hAnsi="Times New Roman" w:cs="Times New Roman"/>
          <w:b/>
          <w:sz w:val="24"/>
          <w:szCs w:val="24"/>
          <w:lang w:val="ro-MD"/>
        </w:rPr>
        <w:t>,5 mii</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(chiria sălii – 4</w:t>
      </w:r>
      <w:r w:rsidR="004434E3" w:rsidRPr="0080251F">
        <w:rPr>
          <w:rFonts w:ascii="Times New Roman" w:hAnsi="Times New Roman" w:cs="Times New Roman"/>
          <w:sz w:val="24"/>
          <w:szCs w:val="24"/>
          <w:lang w:val="ro-MD"/>
        </w:rPr>
        <w:t>,1 mii</w:t>
      </w:r>
      <w:r w:rsidRPr="0080251F">
        <w:rPr>
          <w:rFonts w:ascii="Times New Roman" w:hAnsi="Times New Roman" w:cs="Times New Roman"/>
          <w:sz w:val="24"/>
          <w:szCs w:val="24"/>
          <w:lang w:val="ro-MD"/>
        </w:rPr>
        <w:t xml:space="preserve"> lei; filmare video – 42</w:t>
      </w:r>
      <w:r w:rsidR="004434E3" w:rsidRPr="0080251F">
        <w:rPr>
          <w:rFonts w:ascii="Times New Roman" w:hAnsi="Times New Roman" w:cs="Times New Roman"/>
          <w:sz w:val="24"/>
          <w:szCs w:val="24"/>
          <w:lang w:val="ro-MD"/>
        </w:rPr>
        <w:t>,2 mii</w:t>
      </w:r>
      <w:r w:rsidRPr="0080251F">
        <w:rPr>
          <w:rFonts w:ascii="Times New Roman" w:hAnsi="Times New Roman" w:cs="Times New Roman"/>
          <w:sz w:val="24"/>
          <w:szCs w:val="24"/>
          <w:lang w:val="ro-MD"/>
        </w:rPr>
        <w:t xml:space="preserve"> lei; servicii de moderator – 35</w:t>
      </w:r>
      <w:r w:rsidR="004434E3" w:rsidRPr="0080251F">
        <w:rPr>
          <w:rFonts w:ascii="Times New Roman" w:hAnsi="Times New Roman" w:cs="Times New Roman"/>
          <w:sz w:val="24"/>
          <w:szCs w:val="24"/>
          <w:lang w:val="ro-MD"/>
        </w:rPr>
        <w:t>,4 mii</w:t>
      </w:r>
      <w:r w:rsidRPr="0080251F">
        <w:rPr>
          <w:rFonts w:ascii="Times New Roman" w:hAnsi="Times New Roman" w:cs="Times New Roman"/>
          <w:sz w:val="24"/>
          <w:szCs w:val="24"/>
          <w:lang w:val="ro-MD"/>
        </w:rPr>
        <w:t xml:space="preserve"> lei; materiale pentru aniversare – </w:t>
      </w:r>
      <w:r w:rsidR="008507BF" w:rsidRPr="0080251F">
        <w:rPr>
          <w:rFonts w:ascii="Times New Roman" w:hAnsi="Times New Roman" w:cs="Times New Roman"/>
          <w:sz w:val="24"/>
          <w:szCs w:val="24"/>
          <w:lang w:val="ro-MD"/>
        </w:rPr>
        <w:t>14,8</w:t>
      </w:r>
      <w:r w:rsidR="004434E3" w:rsidRPr="0080251F">
        <w:rPr>
          <w:rFonts w:ascii="Times New Roman" w:hAnsi="Times New Roman" w:cs="Times New Roman"/>
          <w:sz w:val="24"/>
          <w:szCs w:val="24"/>
          <w:lang w:val="ro-MD"/>
        </w:rPr>
        <w:t xml:space="preserve"> mii</w:t>
      </w:r>
      <w:r w:rsidRPr="0080251F">
        <w:rPr>
          <w:rFonts w:ascii="Times New Roman" w:hAnsi="Times New Roman" w:cs="Times New Roman"/>
          <w:sz w:val="24"/>
          <w:szCs w:val="24"/>
          <w:lang w:val="ro-MD"/>
        </w:rPr>
        <w:t xml:space="preserve"> lei (pliante, invitații, diplome, etichete, pachete, vinuri, etc.)). Aceste cheltuieli nu țin de finanțarea activității întreprinderii sau de atingerea scopurilor de dezvoltare continuă.</w:t>
      </w:r>
    </w:p>
    <w:p w14:paraId="5ADA025B" w14:textId="1A7B5062" w:rsidR="0033704A" w:rsidRPr="0080251F" w:rsidRDefault="00366DB8" w:rsidP="0093106B">
      <w:pPr>
        <w:numPr>
          <w:ilvl w:val="0"/>
          <w:numId w:val="37"/>
        </w:numPr>
        <w:tabs>
          <w:tab w:val="left" w:pos="0"/>
          <w:tab w:val="left" w:pos="993"/>
        </w:tabs>
        <w:spacing w:after="0" w:line="276" w:lineRule="auto"/>
        <w:ind w:left="0" w:firstLine="709"/>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 xml:space="preserve">Cheltuieli pentru </w:t>
      </w:r>
      <w:r w:rsidR="00266ACD" w:rsidRPr="0080251F">
        <w:rPr>
          <w:rFonts w:ascii="Times New Roman" w:hAnsi="Times New Roman" w:cs="Times New Roman"/>
          <w:sz w:val="24"/>
          <w:szCs w:val="24"/>
          <w:lang w:val="ro-MD"/>
        </w:rPr>
        <w:t>desfășura</w:t>
      </w:r>
      <w:r w:rsidRPr="0080251F">
        <w:rPr>
          <w:rFonts w:ascii="Times New Roman" w:hAnsi="Times New Roman" w:cs="Times New Roman"/>
          <w:sz w:val="24"/>
          <w:szCs w:val="24"/>
          <w:lang w:val="ro-MD"/>
        </w:rPr>
        <w:t xml:space="preserve">rea competițiilor interne: anul 2021 – </w:t>
      </w:r>
      <w:r w:rsidRPr="0080251F">
        <w:rPr>
          <w:rFonts w:ascii="Times New Roman" w:hAnsi="Times New Roman" w:cs="Times New Roman"/>
          <w:b/>
          <w:sz w:val="24"/>
          <w:szCs w:val="24"/>
          <w:lang w:val="ro-MD"/>
        </w:rPr>
        <w:t>40</w:t>
      </w:r>
      <w:r w:rsidR="00BD64BC" w:rsidRPr="0080251F">
        <w:rPr>
          <w:rFonts w:ascii="Times New Roman" w:hAnsi="Times New Roman" w:cs="Times New Roman"/>
          <w:b/>
          <w:sz w:val="24"/>
          <w:szCs w:val="24"/>
          <w:lang w:val="ro-MD"/>
        </w:rPr>
        <w:t>,3 mii</w:t>
      </w:r>
      <w:r w:rsidRPr="0080251F">
        <w:rPr>
          <w:rFonts w:ascii="Times New Roman" w:hAnsi="Times New Roman" w:cs="Times New Roman"/>
          <w:b/>
          <w:sz w:val="24"/>
          <w:szCs w:val="24"/>
          <w:lang w:val="ro-MD"/>
        </w:rPr>
        <w:t xml:space="preserve"> lei</w:t>
      </w:r>
      <w:r w:rsidRPr="0080251F">
        <w:rPr>
          <w:rFonts w:ascii="Times New Roman" w:hAnsi="Times New Roman" w:cs="Times New Roman"/>
          <w:sz w:val="24"/>
          <w:szCs w:val="24"/>
          <w:lang w:val="ro-MD"/>
        </w:rPr>
        <w:t xml:space="preserve"> (alimentația participanților). </w:t>
      </w:r>
      <w:r w:rsidRPr="0080251F">
        <w:rPr>
          <w:rFonts w:ascii="Times New Roman" w:eastAsia="Times New Roman" w:hAnsi="Times New Roman" w:cs="Times New Roman"/>
          <w:bCs/>
          <w:sz w:val="24"/>
          <w:szCs w:val="24"/>
          <w:lang w:val="ro-MD" w:eastAsia="ru-RU"/>
        </w:rPr>
        <w:t xml:space="preserve">Scopul competițiilor organizate, conform prevederilor ordinului Directorului general, a fost următorul: aprecierea gradului </w:t>
      </w:r>
      <w:r w:rsidR="00282DA3" w:rsidRPr="0080251F">
        <w:rPr>
          <w:rFonts w:ascii="Times New Roman" w:eastAsia="Times New Roman" w:hAnsi="Times New Roman" w:cs="Times New Roman"/>
          <w:bCs/>
          <w:sz w:val="24"/>
          <w:szCs w:val="24"/>
          <w:lang w:val="ro-MD" w:eastAsia="ru-RU"/>
        </w:rPr>
        <w:t xml:space="preserve">de </w:t>
      </w:r>
      <w:r w:rsidRPr="0080251F">
        <w:rPr>
          <w:rFonts w:ascii="Times New Roman" w:eastAsia="Times New Roman" w:hAnsi="Times New Roman" w:cs="Times New Roman"/>
          <w:bCs/>
          <w:sz w:val="24"/>
          <w:szCs w:val="24"/>
          <w:lang w:val="ro-MD" w:eastAsia="ru-RU"/>
        </w:rPr>
        <w:t xml:space="preserve">pregătire profesională a lucrătorilor din sectoarele de reparație și </w:t>
      </w:r>
      <w:r w:rsidR="00210E98" w:rsidRPr="0080251F">
        <w:rPr>
          <w:rFonts w:ascii="Times New Roman" w:eastAsia="Times New Roman" w:hAnsi="Times New Roman" w:cs="Times New Roman"/>
          <w:bCs/>
          <w:sz w:val="24"/>
          <w:szCs w:val="24"/>
          <w:lang w:val="ro-MD" w:eastAsia="ru-RU"/>
        </w:rPr>
        <w:t xml:space="preserve">de </w:t>
      </w:r>
      <w:r w:rsidRPr="0080251F">
        <w:rPr>
          <w:rFonts w:ascii="Times New Roman" w:eastAsia="Times New Roman" w:hAnsi="Times New Roman" w:cs="Times New Roman"/>
          <w:bCs/>
          <w:sz w:val="24"/>
          <w:szCs w:val="24"/>
          <w:lang w:val="ro-MD" w:eastAsia="ru-RU"/>
        </w:rPr>
        <w:t xml:space="preserve">exploatare a liniilor electrice. Totodată, </w:t>
      </w:r>
      <w:r w:rsidRPr="0080251F">
        <w:rPr>
          <w:rFonts w:ascii="Times New Roman" w:eastAsia="Times New Roman" w:hAnsi="Times New Roman" w:cs="Times New Roman"/>
          <w:sz w:val="24"/>
          <w:szCs w:val="24"/>
          <w:lang w:val="ro-MD" w:eastAsia="ru-RU"/>
        </w:rPr>
        <w:t xml:space="preserve">oportunitatea efectuării acestor cheltuieli nu este justificată în cazul în care </w:t>
      </w:r>
      <w:r w:rsidRPr="0080251F">
        <w:rPr>
          <w:rFonts w:ascii="Times New Roman" w:hAnsi="Times New Roman" w:cs="Times New Roman"/>
          <w:sz w:val="24"/>
          <w:szCs w:val="24"/>
          <w:lang w:val="ro-MD"/>
        </w:rPr>
        <w:t xml:space="preserve">întreprinderea suportă cheltuieli anuale pentru </w:t>
      </w:r>
      <w:r w:rsidRPr="0080251F">
        <w:rPr>
          <w:rFonts w:ascii="Times New Roman" w:eastAsia="Times New Roman" w:hAnsi="Times New Roman" w:cs="Times New Roman"/>
          <w:sz w:val="24"/>
          <w:szCs w:val="24"/>
          <w:lang w:val="ro-MD" w:eastAsia="ru-RU"/>
        </w:rPr>
        <w:t>perfecționarea cadrelor, iar posedarea și menținerea abilităților profesionale este o condiție de bază pentru angajarea salariatului și pentru executarea conformă a atribuțiilor de serviciu.</w:t>
      </w:r>
    </w:p>
    <w:p w14:paraId="2B68383C" w14:textId="21D140E6" w:rsidR="00FC244C" w:rsidRPr="0080251F" w:rsidRDefault="00661F11" w:rsidP="00E3262D">
      <w:pPr>
        <w:pStyle w:val="a6"/>
        <w:tabs>
          <w:tab w:val="left" w:pos="0"/>
          <w:tab w:val="left" w:pos="851"/>
        </w:tabs>
        <w:spacing w:after="0" w:line="276" w:lineRule="auto"/>
        <w:ind w:left="0"/>
        <w:contextualSpacing w:val="0"/>
        <w:jc w:val="both"/>
        <w:rPr>
          <w:rFonts w:ascii="Times New Roman" w:hAnsi="Times New Roman" w:cs="Times New Roman"/>
          <w:b/>
          <w:bCs/>
          <w:i/>
          <w:sz w:val="24"/>
          <w:szCs w:val="24"/>
          <w:lang w:val="ro-MD"/>
        </w:rPr>
      </w:pPr>
      <w:r w:rsidRPr="0080251F">
        <w:rPr>
          <w:rFonts w:ascii="Times New Roman" w:hAnsi="Times New Roman" w:cs="Times New Roman"/>
          <w:b/>
          <w:bCs/>
          <w:i/>
          <w:sz w:val="24"/>
          <w:szCs w:val="24"/>
          <w:lang w:val="ro-MD"/>
        </w:rPr>
        <w:t xml:space="preserve">4.8.1. </w:t>
      </w:r>
      <w:r w:rsidR="00FC244C" w:rsidRPr="0080251F">
        <w:rPr>
          <w:rFonts w:ascii="Times New Roman" w:hAnsi="Times New Roman" w:cs="Times New Roman"/>
          <w:b/>
          <w:bCs/>
          <w:i/>
          <w:sz w:val="24"/>
          <w:szCs w:val="24"/>
          <w:lang w:val="ro-MD"/>
        </w:rPr>
        <w:t xml:space="preserve">Remunerarea membrilor organelor de conducere ale societății </w:t>
      </w:r>
      <w:r w:rsidR="00E04955" w:rsidRPr="0080251F">
        <w:rPr>
          <w:rFonts w:ascii="Times New Roman" w:hAnsi="Times New Roman" w:cs="Times New Roman"/>
          <w:b/>
          <w:bCs/>
          <w:i/>
          <w:sz w:val="24"/>
          <w:szCs w:val="24"/>
          <w:lang w:val="ro-MD"/>
        </w:rPr>
        <w:t>s-a efectuat neconform, fiind admise în anul 2022 plăți suplimentare din profitul net în sumă</w:t>
      </w:r>
      <w:r w:rsidR="001C5D5A" w:rsidRPr="0080251F">
        <w:rPr>
          <w:rFonts w:ascii="Times New Roman" w:hAnsi="Times New Roman" w:cs="Times New Roman"/>
          <w:b/>
          <w:bCs/>
          <w:i/>
          <w:sz w:val="24"/>
          <w:szCs w:val="24"/>
          <w:lang w:val="ro-MD"/>
        </w:rPr>
        <w:t xml:space="preserve"> </w:t>
      </w:r>
      <w:r w:rsidR="00B5036E" w:rsidRPr="0080251F">
        <w:rPr>
          <w:rFonts w:ascii="Times New Roman" w:hAnsi="Times New Roman" w:cs="Times New Roman"/>
          <w:b/>
          <w:bCs/>
          <w:i/>
          <w:sz w:val="24"/>
          <w:szCs w:val="24"/>
          <w:lang w:val="ro-MD"/>
        </w:rPr>
        <w:t>de 104,0</w:t>
      </w:r>
      <w:r w:rsidR="00E04955" w:rsidRPr="0080251F">
        <w:rPr>
          <w:rFonts w:ascii="Times New Roman" w:hAnsi="Times New Roman" w:cs="Times New Roman"/>
          <w:b/>
          <w:bCs/>
          <w:i/>
          <w:sz w:val="24"/>
          <w:szCs w:val="24"/>
          <w:lang w:val="ro-MD"/>
        </w:rPr>
        <w:t xml:space="preserve"> mii lei. </w:t>
      </w:r>
    </w:p>
    <w:p w14:paraId="58422F1C" w14:textId="57DC52A5" w:rsidR="00FC244C" w:rsidRPr="0080251F" w:rsidRDefault="00FC244C" w:rsidP="00753CC5">
      <w:pPr>
        <w:tabs>
          <w:tab w:val="left" w:pos="851"/>
        </w:tabs>
        <w:spacing w:after="0" w:line="276" w:lineRule="auto"/>
        <w:ind w:firstLine="709"/>
        <w:jc w:val="both"/>
        <w:rPr>
          <w:rFonts w:ascii="Times New Roman" w:eastAsia="Times New Roman" w:hAnsi="Times New Roman" w:cs="Times New Roman"/>
          <w:bCs/>
          <w:sz w:val="24"/>
          <w:szCs w:val="24"/>
          <w:lang w:val="ro-MD" w:eastAsia="ru-RU"/>
        </w:rPr>
      </w:pPr>
      <w:r w:rsidRPr="0080251F">
        <w:rPr>
          <w:rFonts w:ascii="Times New Roman" w:eastAsia="Times New Roman" w:hAnsi="Times New Roman" w:cs="Times New Roman"/>
          <w:bCs/>
          <w:sz w:val="24"/>
          <w:szCs w:val="24"/>
          <w:lang w:val="ro-MD" w:eastAsia="ru-RU"/>
        </w:rPr>
        <w:t>În temeiul</w:t>
      </w:r>
      <w:r w:rsidRPr="0080251F">
        <w:rPr>
          <w:rFonts w:ascii="Times New Roman" w:eastAsia="Times New Roman" w:hAnsi="Times New Roman" w:cs="Times New Roman"/>
          <w:sz w:val="24"/>
          <w:szCs w:val="24"/>
          <w:lang w:val="ro-MD" w:eastAsia="ru-RU"/>
        </w:rPr>
        <w:t xml:space="preserve"> prevederi</w:t>
      </w:r>
      <w:r w:rsidR="00EB45AE" w:rsidRPr="0080251F">
        <w:rPr>
          <w:rFonts w:ascii="Times New Roman" w:eastAsia="Times New Roman" w:hAnsi="Times New Roman" w:cs="Times New Roman"/>
          <w:sz w:val="24"/>
          <w:szCs w:val="24"/>
          <w:lang w:val="ro-MD" w:eastAsia="ru-RU"/>
        </w:rPr>
        <w:t>lor art.45 din Legea nr.1134</w:t>
      </w:r>
      <w:r w:rsidRPr="0080251F">
        <w:rPr>
          <w:rFonts w:ascii="Times New Roman" w:eastAsia="Times New Roman" w:hAnsi="Times New Roman" w:cs="Times New Roman"/>
          <w:sz w:val="24"/>
          <w:szCs w:val="24"/>
          <w:lang w:val="ro-MD" w:eastAsia="ru-RU"/>
        </w:rPr>
        <w:t xml:space="preserve"> din 02.04.1997, </w:t>
      </w:r>
      <w:r w:rsidR="00266ACD" w:rsidRPr="0080251F">
        <w:rPr>
          <w:rFonts w:ascii="Times New Roman" w:eastAsia="Times New Roman" w:hAnsi="Times New Roman" w:cs="Times New Roman"/>
          <w:sz w:val="24"/>
          <w:szCs w:val="24"/>
          <w:lang w:val="ro-MD" w:eastAsia="ru-RU"/>
        </w:rPr>
        <w:t>S</w:t>
      </w:r>
      <w:r w:rsidRPr="0080251F">
        <w:rPr>
          <w:rFonts w:ascii="Times New Roman" w:eastAsia="Times New Roman" w:hAnsi="Times New Roman" w:cs="Times New Roman"/>
          <w:sz w:val="24"/>
          <w:szCs w:val="24"/>
          <w:lang w:val="ro-MD" w:eastAsia="ru-RU"/>
        </w:rPr>
        <w:t>tatutului societății pe acțiuni (art.30</w:t>
      </w:r>
      <w:r w:rsidRPr="0080251F">
        <w:rPr>
          <w:rFonts w:ascii="Times New Roman" w:eastAsia="Times New Roman" w:hAnsi="Times New Roman" w:cs="Times New Roman"/>
          <w:sz w:val="24"/>
          <w:szCs w:val="24"/>
          <w:vertAlign w:val="superscript"/>
          <w:lang w:val="ro-MD" w:eastAsia="ru-RU"/>
        </w:rPr>
        <w:footnoteReference w:id="154"/>
      </w:r>
      <w:r w:rsidRPr="0080251F">
        <w:rPr>
          <w:rFonts w:ascii="Times New Roman" w:eastAsia="Times New Roman" w:hAnsi="Times New Roman" w:cs="Times New Roman"/>
          <w:sz w:val="24"/>
          <w:szCs w:val="24"/>
          <w:lang w:val="ro-MD" w:eastAsia="ru-RU"/>
        </w:rPr>
        <w:t>)</w:t>
      </w:r>
      <w:r w:rsidRPr="0080251F">
        <w:rPr>
          <w:rFonts w:ascii="Times New Roman" w:eastAsia="Times New Roman" w:hAnsi="Times New Roman" w:cs="Times New Roman"/>
          <w:bCs/>
          <w:sz w:val="24"/>
          <w:szCs w:val="24"/>
          <w:lang w:val="ro-MD" w:eastAsia="ru-RU"/>
        </w:rPr>
        <w:t xml:space="preserve"> și conform </w:t>
      </w:r>
      <w:r w:rsidR="00266ACD" w:rsidRPr="0080251F">
        <w:rPr>
          <w:rFonts w:ascii="Times New Roman" w:eastAsia="Times New Roman" w:hAnsi="Times New Roman" w:cs="Times New Roman"/>
          <w:bCs/>
          <w:sz w:val="24"/>
          <w:szCs w:val="24"/>
          <w:lang w:val="ro-MD" w:eastAsia="ru-RU"/>
        </w:rPr>
        <w:t>H</w:t>
      </w:r>
      <w:r w:rsidRPr="0080251F">
        <w:rPr>
          <w:rFonts w:ascii="Times New Roman" w:eastAsia="Times New Roman" w:hAnsi="Times New Roman" w:cs="Times New Roman"/>
          <w:bCs/>
          <w:sz w:val="24"/>
          <w:szCs w:val="24"/>
          <w:lang w:val="ro-MD" w:eastAsia="ru-RU"/>
        </w:rPr>
        <w:t xml:space="preserve">otărârii Adunării </w:t>
      </w:r>
      <w:r w:rsidR="00266ACD" w:rsidRPr="0080251F">
        <w:rPr>
          <w:rFonts w:ascii="Times New Roman" w:eastAsia="Times New Roman" w:hAnsi="Times New Roman" w:cs="Times New Roman"/>
          <w:bCs/>
          <w:sz w:val="24"/>
          <w:szCs w:val="24"/>
          <w:lang w:val="ro-MD" w:eastAsia="ru-RU"/>
        </w:rPr>
        <w:t>G</w:t>
      </w:r>
      <w:r w:rsidRPr="0080251F">
        <w:rPr>
          <w:rFonts w:ascii="Times New Roman" w:eastAsia="Times New Roman" w:hAnsi="Times New Roman" w:cs="Times New Roman"/>
          <w:bCs/>
          <w:sz w:val="24"/>
          <w:szCs w:val="24"/>
          <w:lang w:val="ro-MD" w:eastAsia="ru-RU"/>
        </w:rPr>
        <w:t xml:space="preserve">enerale a </w:t>
      </w:r>
      <w:r w:rsidR="00266ACD" w:rsidRPr="0080251F">
        <w:rPr>
          <w:rFonts w:ascii="Times New Roman" w:eastAsia="Times New Roman" w:hAnsi="Times New Roman" w:cs="Times New Roman"/>
          <w:bCs/>
          <w:sz w:val="24"/>
          <w:szCs w:val="24"/>
          <w:lang w:val="ro-MD" w:eastAsia="ru-RU"/>
        </w:rPr>
        <w:t>A</w:t>
      </w:r>
      <w:r w:rsidRPr="0080251F">
        <w:rPr>
          <w:rFonts w:ascii="Times New Roman" w:eastAsia="Times New Roman" w:hAnsi="Times New Roman" w:cs="Times New Roman"/>
          <w:bCs/>
          <w:sz w:val="24"/>
          <w:szCs w:val="24"/>
          <w:lang w:val="ro-MD" w:eastAsia="ru-RU"/>
        </w:rPr>
        <w:t xml:space="preserve">cționarilor din 21.06.2022, s-a decis că recompensa </w:t>
      </w:r>
      <w:r w:rsidRPr="0080251F">
        <w:rPr>
          <w:rFonts w:ascii="Times New Roman" w:eastAsia="Times New Roman" w:hAnsi="Times New Roman" w:cs="Times New Roman"/>
          <w:sz w:val="24"/>
          <w:szCs w:val="24"/>
          <w:lang w:val="ro-MD" w:eastAsia="ru-RU"/>
        </w:rPr>
        <w:t xml:space="preserve">din profitul net al întreprinderii obținut în anul 2021 </w:t>
      </w:r>
      <w:r w:rsidRPr="0080251F">
        <w:rPr>
          <w:rFonts w:ascii="Times New Roman" w:eastAsia="Times New Roman" w:hAnsi="Times New Roman" w:cs="Times New Roman"/>
          <w:bCs/>
          <w:sz w:val="24"/>
          <w:szCs w:val="24"/>
          <w:lang w:val="ro-MD" w:eastAsia="ru-RU"/>
        </w:rPr>
        <w:t>pentru organul executiv (Directorul general), Consiliul societății, Comisia de cenzori, Comitetul de audit se va stabili în mărime totală de 358</w:t>
      </w:r>
      <w:r w:rsidR="00BD64BC" w:rsidRPr="0080251F">
        <w:rPr>
          <w:rFonts w:ascii="Times New Roman" w:eastAsia="Times New Roman" w:hAnsi="Times New Roman" w:cs="Times New Roman"/>
          <w:bCs/>
          <w:sz w:val="24"/>
          <w:szCs w:val="24"/>
          <w:lang w:val="ro-MD" w:eastAsia="ru-RU"/>
        </w:rPr>
        <w:t>,9</w:t>
      </w:r>
      <w:r w:rsidR="00B54EF1" w:rsidRPr="0080251F">
        <w:rPr>
          <w:rFonts w:ascii="Times New Roman" w:eastAsia="Times New Roman" w:hAnsi="Times New Roman" w:cs="Times New Roman"/>
          <w:bCs/>
          <w:sz w:val="24"/>
          <w:szCs w:val="24"/>
          <w:lang w:val="ro-MD" w:eastAsia="ru-RU"/>
        </w:rPr>
        <w:t xml:space="preserve"> mii</w:t>
      </w:r>
      <w:r w:rsidRPr="0080251F">
        <w:rPr>
          <w:rFonts w:ascii="Times New Roman" w:eastAsia="Times New Roman" w:hAnsi="Times New Roman" w:cs="Times New Roman"/>
          <w:bCs/>
          <w:sz w:val="24"/>
          <w:szCs w:val="24"/>
          <w:lang w:val="ro-MD" w:eastAsia="ru-RU"/>
        </w:rPr>
        <w:t xml:space="preserve"> lei (sau 0,7% de la profitul net înregistrat </w:t>
      </w:r>
      <w:r w:rsidR="00BD64BC"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 xml:space="preserve"> 51</w:t>
      </w:r>
      <w:r w:rsidR="00753CC5" w:rsidRPr="0080251F">
        <w:rPr>
          <w:rFonts w:ascii="Times New Roman" w:eastAsia="Times New Roman" w:hAnsi="Times New Roman" w:cs="Times New Roman"/>
          <w:bCs/>
          <w:sz w:val="24"/>
          <w:szCs w:val="24"/>
          <w:lang w:val="ro-MD" w:eastAsia="ru-RU"/>
        </w:rPr>
        <w:t>,</w:t>
      </w:r>
      <w:r w:rsidRPr="0080251F">
        <w:rPr>
          <w:rFonts w:ascii="Times New Roman" w:eastAsia="Times New Roman" w:hAnsi="Times New Roman" w:cs="Times New Roman"/>
          <w:bCs/>
          <w:sz w:val="24"/>
          <w:szCs w:val="24"/>
          <w:lang w:val="ro-MD" w:eastAsia="ru-RU"/>
        </w:rPr>
        <w:t>28</w:t>
      </w:r>
      <w:r w:rsidR="00BD64BC" w:rsidRPr="0080251F">
        <w:rPr>
          <w:rFonts w:ascii="Times New Roman" w:eastAsia="Times New Roman" w:hAnsi="Times New Roman" w:cs="Times New Roman"/>
          <w:bCs/>
          <w:sz w:val="24"/>
          <w:szCs w:val="24"/>
          <w:lang w:val="ro-MD" w:eastAsia="ru-RU"/>
        </w:rPr>
        <w:t xml:space="preserve"> mi</w:t>
      </w:r>
      <w:r w:rsidR="00753CC5" w:rsidRPr="0080251F">
        <w:rPr>
          <w:rFonts w:ascii="Times New Roman" w:eastAsia="Times New Roman" w:hAnsi="Times New Roman" w:cs="Times New Roman"/>
          <w:bCs/>
          <w:sz w:val="24"/>
          <w:szCs w:val="24"/>
          <w:lang w:val="ro-MD" w:eastAsia="ru-RU"/>
        </w:rPr>
        <w:t>l.</w:t>
      </w:r>
      <w:r w:rsidRPr="0080251F">
        <w:rPr>
          <w:rFonts w:ascii="Times New Roman" w:eastAsia="Times New Roman" w:hAnsi="Times New Roman" w:cs="Times New Roman"/>
          <w:bCs/>
          <w:sz w:val="24"/>
          <w:szCs w:val="24"/>
          <w:lang w:val="ro-MD" w:eastAsia="ru-RU"/>
        </w:rPr>
        <w:t xml:space="preserve"> lei). </w:t>
      </w:r>
      <w:r w:rsidR="00266ACD" w:rsidRPr="0080251F">
        <w:rPr>
          <w:rFonts w:ascii="Times New Roman" w:eastAsia="Times New Roman" w:hAnsi="Times New Roman" w:cs="Times New Roman"/>
          <w:bCs/>
          <w:sz w:val="24"/>
          <w:szCs w:val="24"/>
          <w:lang w:val="ro-MD" w:eastAsia="ru-RU"/>
        </w:rPr>
        <w:t>Potrivit</w:t>
      </w:r>
      <w:r w:rsidRPr="0080251F">
        <w:rPr>
          <w:rFonts w:ascii="Times New Roman" w:eastAsia="Times New Roman" w:hAnsi="Times New Roman" w:cs="Times New Roman"/>
          <w:bCs/>
          <w:sz w:val="24"/>
          <w:szCs w:val="24"/>
          <w:lang w:val="ro-MD" w:eastAsia="ru-RU"/>
        </w:rPr>
        <w:t xml:space="preserve"> prevederilor art.45</w:t>
      </w:r>
      <w:r w:rsidR="00EB45AE" w:rsidRPr="0080251F">
        <w:rPr>
          <w:rFonts w:ascii="Times New Roman" w:eastAsia="Times New Roman" w:hAnsi="Times New Roman" w:cs="Times New Roman"/>
          <w:bCs/>
          <w:sz w:val="24"/>
          <w:szCs w:val="24"/>
          <w:lang w:val="ro-MD" w:eastAsia="ru-RU"/>
        </w:rPr>
        <w:t xml:space="preserve"> alin.(4) din Legea nr.1134</w:t>
      </w:r>
      <w:r w:rsidRPr="0080251F">
        <w:rPr>
          <w:rFonts w:ascii="Times New Roman" w:eastAsia="Times New Roman" w:hAnsi="Times New Roman" w:cs="Times New Roman"/>
          <w:bCs/>
          <w:sz w:val="24"/>
          <w:szCs w:val="24"/>
          <w:lang w:val="ro-MD" w:eastAsia="ru-RU"/>
        </w:rPr>
        <w:t xml:space="preserve"> din 02.04.1997, decizia de repartizare a profitului net în cu</w:t>
      </w:r>
      <w:r w:rsidR="00292F48" w:rsidRPr="0080251F">
        <w:rPr>
          <w:rFonts w:ascii="Times New Roman" w:eastAsia="Times New Roman" w:hAnsi="Times New Roman" w:cs="Times New Roman"/>
          <w:bCs/>
          <w:sz w:val="24"/>
          <w:szCs w:val="24"/>
          <w:lang w:val="ro-MD" w:eastAsia="ru-RU"/>
        </w:rPr>
        <w:t xml:space="preserve">rsul anului financiar se ia de </w:t>
      </w:r>
      <w:r w:rsidR="00266ACD" w:rsidRPr="0080251F">
        <w:rPr>
          <w:rFonts w:ascii="Times New Roman" w:eastAsia="Times New Roman" w:hAnsi="Times New Roman" w:cs="Times New Roman"/>
          <w:bCs/>
          <w:sz w:val="24"/>
          <w:szCs w:val="24"/>
          <w:lang w:val="ro-MD" w:eastAsia="ru-RU"/>
        </w:rPr>
        <w:t xml:space="preserve">către </w:t>
      </w:r>
      <w:r w:rsidR="00292F48" w:rsidRPr="0080251F">
        <w:rPr>
          <w:rFonts w:ascii="Times New Roman" w:eastAsia="Times New Roman" w:hAnsi="Times New Roman" w:cs="Times New Roman"/>
          <w:bCs/>
          <w:sz w:val="24"/>
          <w:szCs w:val="24"/>
          <w:lang w:val="ro-MD" w:eastAsia="ru-RU"/>
        </w:rPr>
        <w:t>C</w:t>
      </w:r>
      <w:r w:rsidRPr="0080251F">
        <w:rPr>
          <w:rFonts w:ascii="Times New Roman" w:eastAsia="Times New Roman" w:hAnsi="Times New Roman" w:cs="Times New Roman"/>
          <w:bCs/>
          <w:sz w:val="24"/>
          <w:szCs w:val="24"/>
          <w:lang w:val="ro-MD" w:eastAsia="ru-RU"/>
        </w:rPr>
        <w:t xml:space="preserve">onsiliul societății, în baza normativelor de repartizare aprobate de Adunarea </w:t>
      </w:r>
      <w:r w:rsidR="00266ACD" w:rsidRPr="0080251F">
        <w:rPr>
          <w:rFonts w:ascii="Times New Roman" w:eastAsia="Times New Roman" w:hAnsi="Times New Roman" w:cs="Times New Roman"/>
          <w:bCs/>
          <w:sz w:val="24"/>
          <w:szCs w:val="24"/>
          <w:lang w:val="ro-MD" w:eastAsia="ru-RU"/>
        </w:rPr>
        <w:t>G</w:t>
      </w:r>
      <w:r w:rsidRPr="0080251F">
        <w:rPr>
          <w:rFonts w:ascii="Times New Roman" w:eastAsia="Times New Roman" w:hAnsi="Times New Roman" w:cs="Times New Roman"/>
          <w:bCs/>
          <w:sz w:val="24"/>
          <w:szCs w:val="24"/>
          <w:lang w:val="ro-MD" w:eastAsia="ru-RU"/>
        </w:rPr>
        <w:t xml:space="preserve">enerală a </w:t>
      </w:r>
      <w:r w:rsidR="00266ACD" w:rsidRPr="0080251F">
        <w:rPr>
          <w:rFonts w:ascii="Times New Roman" w:eastAsia="Times New Roman" w:hAnsi="Times New Roman" w:cs="Times New Roman"/>
          <w:bCs/>
          <w:sz w:val="24"/>
          <w:szCs w:val="24"/>
          <w:lang w:val="ro-MD" w:eastAsia="ru-RU"/>
        </w:rPr>
        <w:t>A</w:t>
      </w:r>
      <w:r w:rsidRPr="0080251F">
        <w:rPr>
          <w:rFonts w:ascii="Times New Roman" w:eastAsia="Times New Roman" w:hAnsi="Times New Roman" w:cs="Times New Roman"/>
          <w:bCs/>
          <w:sz w:val="24"/>
          <w:szCs w:val="24"/>
          <w:lang w:val="ro-MD" w:eastAsia="ru-RU"/>
        </w:rPr>
        <w:t>cționarilor, iar hotărârea de repartizare a</w:t>
      </w:r>
      <w:r w:rsidR="00292F48" w:rsidRPr="0080251F">
        <w:rPr>
          <w:rFonts w:ascii="Times New Roman" w:eastAsia="Times New Roman" w:hAnsi="Times New Roman" w:cs="Times New Roman"/>
          <w:bCs/>
          <w:sz w:val="24"/>
          <w:szCs w:val="24"/>
          <w:lang w:val="ro-MD" w:eastAsia="ru-RU"/>
        </w:rPr>
        <w:t xml:space="preserve"> profitului net anual se ia de</w:t>
      </w:r>
      <w:r w:rsidR="00266ACD" w:rsidRPr="0080251F">
        <w:rPr>
          <w:rFonts w:ascii="Times New Roman" w:eastAsia="Times New Roman" w:hAnsi="Times New Roman" w:cs="Times New Roman"/>
          <w:bCs/>
          <w:sz w:val="24"/>
          <w:szCs w:val="24"/>
          <w:lang w:val="ro-MD" w:eastAsia="ru-RU"/>
        </w:rPr>
        <w:t xml:space="preserve"> către</w:t>
      </w:r>
      <w:r w:rsidR="00292F48" w:rsidRPr="0080251F">
        <w:rPr>
          <w:rFonts w:ascii="Times New Roman" w:eastAsia="Times New Roman" w:hAnsi="Times New Roman" w:cs="Times New Roman"/>
          <w:bCs/>
          <w:sz w:val="24"/>
          <w:szCs w:val="24"/>
          <w:lang w:val="ro-MD" w:eastAsia="ru-RU"/>
        </w:rPr>
        <w:t xml:space="preserve"> A</w:t>
      </w:r>
      <w:r w:rsidRPr="0080251F">
        <w:rPr>
          <w:rFonts w:ascii="Times New Roman" w:eastAsia="Times New Roman" w:hAnsi="Times New Roman" w:cs="Times New Roman"/>
          <w:bCs/>
          <w:sz w:val="24"/>
          <w:szCs w:val="24"/>
          <w:lang w:val="ro-MD" w:eastAsia="ru-RU"/>
        </w:rPr>
        <w:t xml:space="preserve">dunarea </w:t>
      </w:r>
      <w:r w:rsidR="00266ACD" w:rsidRPr="0080251F">
        <w:rPr>
          <w:rFonts w:ascii="Times New Roman" w:eastAsia="Times New Roman" w:hAnsi="Times New Roman" w:cs="Times New Roman"/>
          <w:bCs/>
          <w:sz w:val="24"/>
          <w:szCs w:val="24"/>
          <w:lang w:val="ro-MD" w:eastAsia="ru-RU"/>
        </w:rPr>
        <w:t>G</w:t>
      </w:r>
      <w:r w:rsidRPr="0080251F">
        <w:rPr>
          <w:rFonts w:ascii="Times New Roman" w:eastAsia="Times New Roman" w:hAnsi="Times New Roman" w:cs="Times New Roman"/>
          <w:bCs/>
          <w:sz w:val="24"/>
          <w:szCs w:val="24"/>
          <w:lang w:val="ro-MD" w:eastAsia="ru-RU"/>
        </w:rPr>
        <w:t xml:space="preserve">enerală a </w:t>
      </w:r>
      <w:r w:rsidR="00266ACD" w:rsidRPr="0080251F">
        <w:rPr>
          <w:rFonts w:ascii="Times New Roman" w:eastAsia="Times New Roman" w:hAnsi="Times New Roman" w:cs="Times New Roman"/>
          <w:bCs/>
          <w:sz w:val="24"/>
          <w:szCs w:val="24"/>
          <w:lang w:val="ro-MD" w:eastAsia="ru-RU"/>
        </w:rPr>
        <w:t>A</w:t>
      </w:r>
      <w:r w:rsidR="00292F48" w:rsidRPr="0080251F">
        <w:rPr>
          <w:rFonts w:ascii="Times New Roman" w:eastAsia="Times New Roman" w:hAnsi="Times New Roman" w:cs="Times New Roman"/>
          <w:bCs/>
          <w:sz w:val="24"/>
          <w:szCs w:val="24"/>
          <w:lang w:val="ro-MD" w:eastAsia="ru-RU"/>
        </w:rPr>
        <w:t>cționarilor</w:t>
      </w:r>
      <w:r w:rsidR="00266ACD" w:rsidRPr="0080251F">
        <w:rPr>
          <w:rFonts w:ascii="Times New Roman" w:eastAsia="Times New Roman" w:hAnsi="Times New Roman" w:cs="Times New Roman"/>
          <w:bCs/>
          <w:sz w:val="24"/>
          <w:szCs w:val="24"/>
          <w:lang w:val="ro-MD" w:eastAsia="ru-RU"/>
        </w:rPr>
        <w:t xml:space="preserve"> anuală</w:t>
      </w:r>
      <w:r w:rsidR="00292F48" w:rsidRPr="0080251F">
        <w:rPr>
          <w:rFonts w:ascii="Times New Roman" w:eastAsia="Times New Roman" w:hAnsi="Times New Roman" w:cs="Times New Roman"/>
          <w:bCs/>
          <w:sz w:val="24"/>
          <w:szCs w:val="24"/>
          <w:lang w:val="ro-MD" w:eastAsia="ru-RU"/>
        </w:rPr>
        <w:t>, la propunerea C</w:t>
      </w:r>
      <w:r w:rsidRPr="0080251F">
        <w:rPr>
          <w:rFonts w:ascii="Times New Roman" w:eastAsia="Times New Roman" w:hAnsi="Times New Roman" w:cs="Times New Roman"/>
          <w:bCs/>
          <w:sz w:val="24"/>
          <w:szCs w:val="24"/>
          <w:lang w:val="ro-MD" w:eastAsia="ru-RU"/>
        </w:rPr>
        <w:t>onsiliului societății.</w:t>
      </w:r>
    </w:p>
    <w:p w14:paraId="64F92A26" w14:textId="04D5E5D4" w:rsidR="00E226F3" w:rsidRPr="0080251F" w:rsidRDefault="00C96364" w:rsidP="00EB45AE">
      <w:pPr>
        <w:tabs>
          <w:tab w:val="left" w:pos="567"/>
          <w:tab w:val="left" w:pos="851"/>
        </w:tabs>
        <w:spacing w:after="0" w:line="276" w:lineRule="auto"/>
        <w:ind w:firstLine="709"/>
        <w:jc w:val="both"/>
        <w:rPr>
          <w:lang w:val="ro-MD"/>
        </w:rPr>
      </w:pPr>
      <w:r w:rsidRPr="0080251F">
        <w:rPr>
          <w:rFonts w:ascii="Times New Roman" w:eastAsia="Times New Roman" w:hAnsi="Times New Roman" w:cs="Times New Roman"/>
          <w:bCs/>
          <w:sz w:val="24"/>
          <w:szCs w:val="24"/>
          <w:lang w:val="ro-MD" w:eastAsia="ru-RU"/>
        </w:rPr>
        <w:t>C</w:t>
      </w:r>
      <w:r w:rsidR="00282DA3" w:rsidRPr="0080251F">
        <w:rPr>
          <w:rFonts w:ascii="Times New Roman" w:eastAsia="Times New Roman" w:hAnsi="Times New Roman" w:cs="Times New Roman"/>
          <w:bCs/>
          <w:sz w:val="24"/>
          <w:szCs w:val="24"/>
          <w:lang w:val="ro-MD" w:eastAsia="ru-RU"/>
        </w:rPr>
        <w:t>u abatere</w:t>
      </w:r>
      <w:r w:rsidR="00FC244C" w:rsidRPr="0080251F">
        <w:rPr>
          <w:rFonts w:ascii="Times New Roman" w:eastAsia="Times New Roman" w:hAnsi="Times New Roman" w:cs="Times New Roman"/>
          <w:bCs/>
          <w:sz w:val="24"/>
          <w:szCs w:val="24"/>
          <w:lang w:val="ro-MD" w:eastAsia="ru-RU"/>
        </w:rPr>
        <w:t xml:space="preserve"> de la prevederile </w:t>
      </w:r>
      <w:r w:rsidR="00B2719B" w:rsidRPr="0080251F">
        <w:rPr>
          <w:rFonts w:ascii="Times New Roman" w:eastAsia="Times New Roman" w:hAnsi="Times New Roman" w:cs="Times New Roman"/>
          <w:bCs/>
          <w:sz w:val="24"/>
          <w:szCs w:val="24"/>
          <w:lang w:val="ro-MD" w:eastAsia="ru-RU"/>
        </w:rPr>
        <w:t>H</w:t>
      </w:r>
      <w:r w:rsidR="00FC244C" w:rsidRPr="0080251F">
        <w:rPr>
          <w:rFonts w:ascii="Times New Roman" w:eastAsia="Times New Roman" w:hAnsi="Times New Roman" w:cs="Times New Roman"/>
          <w:bCs/>
          <w:sz w:val="24"/>
          <w:szCs w:val="24"/>
          <w:lang w:val="ro-MD" w:eastAsia="ru-RU"/>
        </w:rPr>
        <w:t xml:space="preserve">otărârii Adunării </w:t>
      </w:r>
      <w:r w:rsidR="00B2719B" w:rsidRPr="0080251F">
        <w:rPr>
          <w:rFonts w:ascii="Times New Roman" w:eastAsia="Times New Roman" w:hAnsi="Times New Roman" w:cs="Times New Roman"/>
          <w:bCs/>
          <w:sz w:val="24"/>
          <w:szCs w:val="24"/>
          <w:lang w:val="ro-MD" w:eastAsia="ru-RU"/>
        </w:rPr>
        <w:t>G</w:t>
      </w:r>
      <w:r w:rsidR="00FC244C" w:rsidRPr="0080251F">
        <w:rPr>
          <w:rFonts w:ascii="Times New Roman" w:eastAsia="Times New Roman" w:hAnsi="Times New Roman" w:cs="Times New Roman"/>
          <w:bCs/>
          <w:sz w:val="24"/>
          <w:szCs w:val="24"/>
          <w:lang w:val="ro-MD" w:eastAsia="ru-RU"/>
        </w:rPr>
        <w:t xml:space="preserve">enerale a </w:t>
      </w:r>
      <w:r w:rsidR="00B2719B" w:rsidRPr="0080251F">
        <w:rPr>
          <w:rFonts w:ascii="Times New Roman" w:eastAsia="Times New Roman" w:hAnsi="Times New Roman" w:cs="Times New Roman"/>
          <w:bCs/>
          <w:sz w:val="24"/>
          <w:szCs w:val="24"/>
          <w:lang w:val="ro-MD" w:eastAsia="ru-RU"/>
        </w:rPr>
        <w:t>A</w:t>
      </w:r>
      <w:r w:rsidR="00FC244C" w:rsidRPr="0080251F">
        <w:rPr>
          <w:rFonts w:ascii="Times New Roman" w:eastAsia="Times New Roman" w:hAnsi="Times New Roman" w:cs="Times New Roman"/>
          <w:bCs/>
          <w:sz w:val="24"/>
          <w:szCs w:val="24"/>
          <w:lang w:val="ro-MD" w:eastAsia="ru-RU"/>
        </w:rPr>
        <w:t>cționarilor din 21.06.2022, Consiliul societății a decis</w:t>
      </w:r>
      <w:r w:rsidR="00FC244C" w:rsidRPr="0080251F">
        <w:rPr>
          <w:rFonts w:ascii="Times New Roman" w:eastAsia="Times New Roman" w:hAnsi="Times New Roman" w:cs="Times New Roman"/>
          <w:bCs/>
          <w:sz w:val="24"/>
          <w:szCs w:val="24"/>
          <w:vertAlign w:val="superscript"/>
          <w:lang w:val="ro-MD" w:eastAsia="ru-RU"/>
        </w:rPr>
        <w:footnoteReference w:id="155"/>
      </w:r>
      <w:r w:rsidR="00FC244C" w:rsidRPr="0080251F">
        <w:rPr>
          <w:rFonts w:ascii="Times New Roman" w:eastAsia="Times New Roman" w:hAnsi="Times New Roman" w:cs="Times New Roman"/>
          <w:bCs/>
          <w:sz w:val="24"/>
          <w:szCs w:val="24"/>
          <w:lang w:val="ro-MD" w:eastAsia="ru-RU"/>
        </w:rPr>
        <w:t xml:space="preserve"> în mod neregulamentar </w:t>
      </w:r>
      <w:r w:rsidR="00B2719B" w:rsidRPr="0080251F">
        <w:rPr>
          <w:rFonts w:ascii="Times New Roman" w:eastAsia="Times New Roman" w:hAnsi="Times New Roman" w:cs="Times New Roman"/>
          <w:bCs/>
          <w:sz w:val="24"/>
          <w:szCs w:val="24"/>
          <w:lang w:val="ro-MD" w:eastAsia="ru-RU"/>
        </w:rPr>
        <w:t xml:space="preserve">să </w:t>
      </w:r>
      <w:r w:rsidR="00FC244C" w:rsidRPr="0080251F">
        <w:rPr>
          <w:rFonts w:ascii="Times New Roman" w:eastAsia="Times New Roman" w:hAnsi="Times New Roman" w:cs="Times New Roman"/>
          <w:bCs/>
          <w:sz w:val="24"/>
          <w:szCs w:val="24"/>
          <w:lang w:val="ro-MD" w:eastAsia="ru-RU"/>
        </w:rPr>
        <w:t>acord</w:t>
      </w:r>
      <w:r w:rsidR="00B2719B" w:rsidRPr="0080251F">
        <w:rPr>
          <w:rFonts w:ascii="Times New Roman" w:eastAsia="Times New Roman" w:hAnsi="Times New Roman" w:cs="Times New Roman"/>
          <w:bCs/>
          <w:sz w:val="24"/>
          <w:szCs w:val="24"/>
          <w:lang w:val="ro-MD" w:eastAsia="ru-RU"/>
        </w:rPr>
        <w:t>e</w:t>
      </w:r>
      <w:r w:rsidR="00FC244C" w:rsidRPr="0080251F">
        <w:rPr>
          <w:rFonts w:ascii="Times New Roman" w:eastAsia="Times New Roman" w:hAnsi="Times New Roman" w:cs="Times New Roman"/>
          <w:bCs/>
          <w:sz w:val="24"/>
          <w:szCs w:val="24"/>
          <w:lang w:val="ro-MD" w:eastAsia="ru-RU"/>
        </w:rPr>
        <w:t xml:space="preserve"> recompens</w:t>
      </w:r>
      <w:r w:rsidR="00B2719B" w:rsidRPr="0080251F">
        <w:rPr>
          <w:rFonts w:ascii="Times New Roman" w:eastAsia="Times New Roman" w:hAnsi="Times New Roman" w:cs="Times New Roman"/>
          <w:bCs/>
          <w:sz w:val="24"/>
          <w:szCs w:val="24"/>
          <w:lang w:val="ro-MD" w:eastAsia="ru-RU"/>
        </w:rPr>
        <w:t>ă</w:t>
      </w:r>
      <w:r w:rsidR="00FC244C" w:rsidRPr="0080251F">
        <w:rPr>
          <w:rFonts w:ascii="Times New Roman" w:eastAsia="Times New Roman" w:hAnsi="Times New Roman" w:cs="Times New Roman"/>
          <w:bCs/>
          <w:sz w:val="24"/>
          <w:szCs w:val="24"/>
          <w:lang w:val="ro-MD" w:eastAsia="ru-RU"/>
        </w:rPr>
        <w:t xml:space="preserve"> reprezentantul</w:t>
      </w:r>
      <w:r w:rsidR="00B2719B" w:rsidRPr="0080251F">
        <w:rPr>
          <w:rFonts w:ascii="Times New Roman" w:eastAsia="Times New Roman" w:hAnsi="Times New Roman" w:cs="Times New Roman"/>
          <w:bCs/>
          <w:sz w:val="24"/>
          <w:szCs w:val="24"/>
          <w:lang w:val="ro-MD" w:eastAsia="ru-RU"/>
        </w:rPr>
        <w:t>ui</w:t>
      </w:r>
      <w:r w:rsidR="00FC244C" w:rsidRPr="0080251F">
        <w:rPr>
          <w:rFonts w:ascii="Times New Roman" w:eastAsia="Times New Roman" w:hAnsi="Times New Roman" w:cs="Times New Roman"/>
          <w:bCs/>
          <w:sz w:val="24"/>
          <w:szCs w:val="24"/>
          <w:lang w:val="ro-MD" w:eastAsia="ru-RU"/>
        </w:rPr>
        <w:t xml:space="preserve"> statului (25</w:t>
      </w:r>
      <w:r w:rsidR="00B54EF1" w:rsidRPr="0080251F">
        <w:rPr>
          <w:rFonts w:ascii="Times New Roman" w:eastAsia="Times New Roman" w:hAnsi="Times New Roman" w:cs="Times New Roman"/>
          <w:bCs/>
          <w:sz w:val="24"/>
          <w:szCs w:val="24"/>
          <w:lang w:val="ro-MD" w:eastAsia="ru-RU"/>
        </w:rPr>
        <w:t>,4 mii</w:t>
      </w:r>
      <w:r w:rsidR="00FC244C" w:rsidRPr="0080251F">
        <w:rPr>
          <w:rFonts w:ascii="Times New Roman" w:eastAsia="Times New Roman" w:hAnsi="Times New Roman" w:cs="Times New Roman"/>
          <w:bCs/>
          <w:sz w:val="24"/>
          <w:szCs w:val="24"/>
          <w:lang w:val="ro-MD" w:eastAsia="ru-RU"/>
        </w:rPr>
        <w:t xml:space="preserve"> lei),</w:t>
      </w:r>
      <w:r w:rsidR="00FC244C" w:rsidRPr="0080251F">
        <w:rPr>
          <w:rFonts w:ascii="Times New Roman" w:hAnsi="Times New Roman" w:cs="Times New Roman"/>
          <w:lang w:val="ro-MD"/>
        </w:rPr>
        <w:t xml:space="preserve"> </w:t>
      </w:r>
      <w:r w:rsidR="00FC244C" w:rsidRPr="0080251F">
        <w:rPr>
          <w:rFonts w:ascii="Times New Roman" w:eastAsia="Times New Roman" w:hAnsi="Times New Roman" w:cs="Times New Roman"/>
          <w:bCs/>
          <w:sz w:val="24"/>
          <w:szCs w:val="24"/>
          <w:lang w:val="ro-MD" w:eastAsia="ru-RU"/>
        </w:rPr>
        <w:t>directorul</w:t>
      </w:r>
      <w:r w:rsidR="00B2719B" w:rsidRPr="0080251F">
        <w:rPr>
          <w:rFonts w:ascii="Times New Roman" w:eastAsia="Times New Roman" w:hAnsi="Times New Roman" w:cs="Times New Roman"/>
          <w:bCs/>
          <w:sz w:val="24"/>
          <w:szCs w:val="24"/>
          <w:lang w:val="ro-MD" w:eastAsia="ru-RU"/>
        </w:rPr>
        <w:t>ui</w:t>
      </w:r>
      <w:r w:rsidR="00FC244C" w:rsidRPr="0080251F">
        <w:rPr>
          <w:rFonts w:ascii="Times New Roman" w:eastAsia="Times New Roman" w:hAnsi="Times New Roman" w:cs="Times New Roman"/>
          <w:bCs/>
          <w:sz w:val="24"/>
          <w:szCs w:val="24"/>
          <w:lang w:val="ro-MD" w:eastAsia="ru-RU"/>
        </w:rPr>
        <w:t xml:space="preserve"> tehnic (</w:t>
      </w:r>
      <w:r w:rsidR="00B54EF1" w:rsidRPr="0080251F">
        <w:rPr>
          <w:rFonts w:ascii="Times New Roman" w:eastAsia="Times New Roman" w:hAnsi="Times New Roman" w:cs="Times New Roman"/>
          <w:bCs/>
          <w:sz w:val="24"/>
          <w:szCs w:val="24"/>
          <w:lang w:val="ro-MD" w:eastAsia="ru-RU"/>
        </w:rPr>
        <w:t xml:space="preserve">25,4 mii </w:t>
      </w:r>
      <w:r w:rsidR="00FC244C" w:rsidRPr="0080251F">
        <w:rPr>
          <w:rFonts w:ascii="Times New Roman" w:eastAsia="Times New Roman" w:hAnsi="Times New Roman" w:cs="Times New Roman"/>
          <w:bCs/>
          <w:sz w:val="24"/>
          <w:szCs w:val="24"/>
          <w:lang w:val="ro-MD" w:eastAsia="ru-RU"/>
        </w:rPr>
        <w:t>lei), directorul</w:t>
      </w:r>
      <w:r w:rsidR="00B2719B" w:rsidRPr="0080251F">
        <w:rPr>
          <w:rFonts w:ascii="Times New Roman" w:eastAsia="Times New Roman" w:hAnsi="Times New Roman" w:cs="Times New Roman"/>
          <w:bCs/>
          <w:sz w:val="24"/>
          <w:szCs w:val="24"/>
          <w:lang w:val="ro-MD" w:eastAsia="ru-RU"/>
        </w:rPr>
        <w:t>ui</w:t>
      </w:r>
      <w:r w:rsidR="00FC244C" w:rsidRPr="0080251F">
        <w:rPr>
          <w:rFonts w:ascii="Times New Roman" w:eastAsia="Times New Roman" w:hAnsi="Times New Roman" w:cs="Times New Roman"/>
          <w:bCs/>
          <w:sz w:val="24"/>
          <w:szCs w:val="24"/>
          <w:lang w:val="ro-MD" w:eastAsia="ru-RU"/>
        </w:rPr>
        <w:t xml:space="preserve"> financiar (</w:t>
      </w:r>
      <w:r w:rsidR="00B54EF1" w:rsidRPr="0080251F">
        <w:rPr>
          <w:rFonts w:ascii="Times New Roman" w:eastAsia="Times New Roman" w:hAnsi="Times New Roman" w:cs="Times New Roman"/>
          <w:bCs/>
          <w:sz w:val="24"/>
          <w:szCs w:val="24"/>
          <w:lang w:val="ro-MD" w:eastAsia="ru-RU"/>
        </w:rPr>
        <w:t xml:space="preserve">25,4 mii </w:t>
      </w:r>
      <w:r w:rsidR="00FC244C" w:rsidRPr="0080251F">
        <w:rPr>
          <w:rFonts w:ascii="Times New Roman" w:eastAsia="Times New Roman" w:hAnsi="Times New Roman" w:cs="Times New Roman"/>
          <w:bCs/>
          <w:sz w:val="24"/>
          <w:szCs w:val="24"/>
          <w:lang w:val="ro-MD" w:eastAsia="ru-RU"/>
        </w:rPr>
        <w:t>lei), directorul</w:t>
      </w:r>
      <w:r w:rsidR="00B2719B" w:rsidRPr="0080251F">
        <w:rPr>
          <w:rFonts w:ascii="Times New Roman" w:eastAsia="Times New Roman" w:hAnsi="Times New Roman" w:cs="Times New Roman"/>
          <w:bCs/>
          <w:sz w:val="24"/>
          <w:szCs w:val="24"/>
          <w:lang w:val="ro-MD" w:eastAsia="ru-RU"/>
        </w:rPr>
        <w:t xml:space="preserve">ui </w:t>
      </w:r>
      <w:r w:rsidR="00FC244C" w:rsidRPr="0080251F">
        <w:rPr>
          <w:rFonts w:ascii="Times New Roman" w:eastAsia="Times New Roman" w:hAnsi="Times New Roman" w:cs="Times New Roman"/>
          <w:bCs/>
          <w:sz w:val="24"/>
          <w:szCs w:val="24"/>
          <w:lang w:val="ro-MD" w:eastAsia="ru-RU"/>
        </w:rPr>
        <w:t xml:space="preserve"> administrativ (</w:t>
      </w:r>
      <w:r w:rsidR="00B54EF1" w:rsidRPr="0080251F">
        <w:rPr>
          <w:rFonts w:ascii="Times New Roman" w:eastAsia="Times New Roman" w:hAnsi="Times New Roman" w:cs="Times New Roman"/>
          <w:bCs/>
          <w:sz w:val="24"/>
          <w:szCs w:val="24"/>
          <w:lang w:val="ro-MD" w:eastAsia="ru-RU"/>
        </w:rPr>
        <w:t xml:space="preserve">25,4 mii </w:t>
      </w:r>
      <w:r w:rsidR="00FC244C" w:rsidRPr="0080251F">
        <w:rPr>
          <w:rFonts w:ascii="Times New Roman" w:eastAsia="Times New Roman" w:hAnsi="Times New Roman" w:cs="Times New Roman"/>
          <w:bCs/>
          <w:sz w:val="24"/>
          <w:szCs w:val="24"/>
          <w:lang w:val="ro-MD" w:eastAsia="ru-RU"/>
        </w:rPr>
        <w:t>lei), s</w:t>
      </w:r>
      <w:r w:rsidR="00292F48" w:rsidRPr="0080251F">
        <w:rPr>
          <w:rFonts w:ascii="Times New Roman" w:eastAsia="Times New Roman" w:hAnsi="Times New Roman" w:cs="Times New Roman"/>
          <w:bCs/>
          <w:sz w:val="24"/>
          <w:szCs w:val="24"/>
          <w:lang w:val="ro-MD" w:eastAsia="ru-RU"/>
        </w:rPr>
        <w:t>ecretarul</w:t>
      </w:r>
      <w:r w:rsidR="00B2719B" w:rsidRPr="0080251F">
        <w:rPr>
          <w:rFonts w:ascii="Times New Roman" w:eastAsia="Times New Roman" w:hAnsi="Times New Roman" w:cs="Times New Roman"/>
          <w:bCs/>
          <w:sz w:val="24"/>
          <w:szCs w:val="24"/>
          <w:lang w:val="ro-MD" w:eastAsia="ru-RU"/>
        </w:rPr>
        <w:t>ui</w:t>
      </w:r>
      <w:r w:rsidR="00292F48" w:rsidRPr="0080251F">
        <w:rPr>
          <w:rFonts w:ascii="Times New Roman" w:eastAsia="Times New Roman" w:hAnsi="Times New Roman" w:cs="Times New Roman"/>
          <w:bCs/>
          <w:sz w:val="24"/>
          <w:szCs w:val="24"/>
          <w:lang w:val="ro-MD" w:eastAsia="ru-RU"/>
        </w:rPr>
        <w:t xml:space="preserve"> C</w:t>
      </w:r>
      <w:r w:rsidR="00FC244C" w:rsidRPr="0080251F">
        <w:rPr>
          <w:rFonts w:ascii="Times New Roman" w:eastAsia="Times New Roman" w:hAnsi="Times New Roman" w:cs="Times New Roman"/>
          <w:bCs/>
          <w:sz w:val="24"/>
          <w:szCs w:val="24"/>
          <w:lang w:val="ro-MD" w:eastAsia="ru-RU"/>
        </w:rPr>
        <w:t>onsiliului societății (2</w:t>
      </w:r>
      <w:r w:rsidR="00B54EF1" w:rsidRPr="0080251F">
        <w:rPr>
          <w:rFonts w:ascii="Times New Roman" w:eastAsia="Times New Roman" w:hAnsi="Times New Roman" w:cs="Times New Roman"/>
          <w:bCs/>
          <w:sz w:val="24"/>
          <w:szCs w:val="24"/>
          <w:lang w:val="ro-MD" w:eastAsia="ru-RU"/>
        </w:rPr>
        <w:t>,3 mii</w:t>
      </w:r>
      <w:r w:rsidR="00FC244C" w:rsidRPr="0080251F">
        <w:rPr>
          <w:rFonts w:ascii="Times New Roman" w:eastAsia="Times New Roman" w:hAnsi="Times New Roman" w:cs="Times New Roman"/>
          <w:bCs/>
          <w:sz w:val="24"/>
          <w:szCs w:val="24"/>
          <w:lang w:val="ro-MD" w:eastAsia="ru-RU"/>
        </w:rPr>
        <w:t xml:space="preserve"> lei)</w:t>
      </w:r>
      <w:r w:rsidR="00B5036E" w:rsidRPr="0080251F">
        <w:rPr>
          <w:rFonts w:ascii="Times New Roman" w:eastAsia="Times New Roman" w:hAnsi="Times New Roman" w:cs="Times New Roman"/>
          <w:bCs/>
          <w:sz w:val="24"/>
          <w:szCs w:val="24"/>
          <w:lang w:val="ro-MD" w:eastAsia="ru-RU"/>
        </w:rPr>
        <w:t xml:space="preserve">. </w:t>
      </w:r>
      <w:r w:rsidR="00B2719B" w:rsidRPr="0080251F">
        <w:rPr>
          <w:rFonts w:ascii="Times New Roman" w:eastAsia="Times New Roman" w:hAnsi="Times New Roman" w:cs="Times New Roman"/>
          <w:bCs/>
          <w:sz w:val="24"/>
          <w:szCs w:val="24"/>
          <w:lang w:val="ro-MD" w:eastAsia="ru-RU"/>
        </w:rPr>
        <w:t>În t</w:t>
      </w:r>
      <w:r w:rsidR="00FC244C" w:rsidRPr="0080251F">
        <w:rPr>
          <w:rFonts w:ascii="Times New Roman" w:eastAsia="Times New Roman" w:hAnsi="Times New Roman" w:cs="Times New Roman"/>
          <w:bCs/>
          <w:sz w:val="24"/>
          <w:szCs w:val="24"/>
          <w:lang w:val="ro-MD" w:eastAsia="ru-RU"/>
        </w:rPr>
        <w:t>otal, plățile neregulamentare, contrar</w:t>
      </w:r>
      <w:r w:rsidR="00FC244C" w:rsidRPr="0080251F">
        <w:rPr>
          <w:rFonts w:ascii="Times New Roman" w:hAnsi="Times New Roman" w:cs="Times New Roman"/>
          <w:bCs/>
          <w:lang w:val="ro-MD"/>
        </w:rPr>
        <w:t xml:space="preserve"> </w:t>
      </w:r>
      <w:r w:rsidR="00FC244C" w:rsidRPr="0080251F">
        <w:rPr>
          <w:rFonts w:ascii="Times New Roman" w:eastAsia="Times New Roman" w:hAnsi="Times New Roman" w:cs="Times New Roman"/>
          <w:bCs/>
          <w:sz w:val="24"/>
          <w:szCs w:val="24"/>
          <w:lang w:val="ro-MD" w:eastAsia="ru-RU"/>
        </w:rPr>
        <w:t xml:space="preserve">normativelor de repartizare aprobate de către Adunarea </w:t>
      </w:r>
      <w:r w:rsidR="00B2719B" w:rsidRPr="0080251F">
        <w:rPr>
          <w:rFonts w:ascii="Times New Roman" w:eastAsia="Times New Roman" w:hAnsi="Times New Roman" w:cs="Times New Roman"/>
          <w:bCs/>
          <w:sz w:val="24"/>
          <w:szCs w:val="24"/>
          <w:lang w:val="ro-MD" w:eastAsia="ru-RU"/>
        </w:rPr>
        <w:t>G</w:t>
      </w:r>
      <w:r w:rsidR="00FC244C" w:rsidRPr="0080251F">
        <w:rPr>
          <w:rFonts w:ascii="Times New Roman" w:eastAsia="Times New Roman" w:hAnsi="Times New Roman" w:cs="Times New Roman"/>
          <w:bCs/>
          <w:sz w:val="24"/>
          <w:szCs w:val="24"/>
          <w:lang w:val="ro-MD" w:eastAsia="ru-RU"/>
        </w:rPr>
        <w:t xml:space="preserve">enerală a </w:t>
      </w:r>
      <w:r w:rsidR="00B2719B" w:rsidRPr="0080251F">
        <w:rPr>
          <w:rFonts w:ascii="Times New Roman" w:eastAsia="Times New Roman" w:hAnsi="Times New Roman" w:cs="Times New Roman"/>
          <w:bCs/>
          <w:sz w:val="24"/>
          <w:szCs w:val="24"/>
          <w:lang w:val="ro-MD" w:eastAsia="ru-RU"/>
        </w:rPr>
        <w:t>A</w:t>
      </w:r>
      <w:r w:rsidR="00FC244C" w:rsidRPr="0080251F">
        <w:rPr>
          <w:rFonts w:ascii="Times New Roman" w:eastAsia="Times New Roman" w:hAnsi="Times New Roman" w:cs="Times New Roman"/>
          <w:bCs/>
          <w:sz w:val="24"/>
          <w:szCs w:val="24"/>
          <w:lang w:val="ro-MD" w:eastAsia="ru-RU"/>
        </w:rPr>
        <w:t xml:space="preserve">cționarilor, au constituit suma de </w:t>
      </w:r>
      <w:r w:rsidR="00B5036E" w:rsidRPr="0080251F">
        <w:rPr>
          <w:rFonts w:ascii="Times New Roman" w:eastAsia="Times New Roman" w:hAnsi="Times New Roman" w:cs="Times New Roman"/>
          <w:b/>
          <w:bCs/>
          <w:sz w:val="24"/>
          <w:szCs w:val="24"/>
          <w:lang w:val="ro-MD" w:eastAsia="ru-RU"/>
        </w:rPr>
        <w:t>104,0</w:t>
      </w:r>
      <w:r w:rsidR="00BD64BC" w:rsidRPr="0080251F">
        <w:rPr>
          <w:rFonts w:ascii="Times New Roman" w:eastAsia="Times New Roman" w:hAnsi="Times New Roman" w:cs="Times New Roman"/>
          <w:b/>
          <w:bCs/>
          <w:sz w:val="24"/>
          <w:szCs w:val="24"/>
          <w:lang w:val="ro-MD" w:eastAsia="ru-RU"/>
        </w:rPr>
        <w:t xml:space="preserve"> mii</w:t>
      </w:r>
      <w:r w:rsidR="00FC244C" w:rsidRPr="0080251F">
        <w:rPr>
          <w:rFonts w:ascii="Times New Roman" w:eastAsia="Times New Roman" w:hAnsi="Times New Roman" w:cs="Times New Roman"/>
          <w:b/>
          <w:bCs/>
          <w:sz w:val="24"/>
          <w:szCs w:val="24"/>
          <w:lang w:val="ro-MD" w:eastAsia="ru-RU"/>
        </w:rPr>
        <w:t xml:space="preserve"> lei</w:t>
      </w:r>
      <w:r w:rsidR="00FC244C" w:rsidRPr="0080251F">
        <w:rPr>
          <w:rFonts w:ascii="Times New Roman" w:eastAsia="Times New Roman" w:hAnsi="Times New Roman" w:cs="Times New Roman"/>
          <w:bCs/>
          <w:sz w:val="24"/>
          <w:szCs w:val="24"/>
          <w:vertAlign w:val="superscript"/>
          <w:lang w:val="ro-MD" w:eastAsia="ru-RU"/>
        </w:rPr>
        <w:footnoteReference w:id="156"/>
      </w:r>
      <w:r w:rsidR="00FC244C" w:rsidRPr="0080251F">
        <w:rPr>
          <w:rFonts w:ascii="Times New Roman" w:eastAsia="Times New Roman" w:hAnsi="Times New Roman" w:cs="Times New Roman"/>
          <w:bCs/>
          <w:sz w:val="24"/>
          <w:szCs w:val="24"/>
          <w:lang w:val="ro-MD" w:eastAsia="ru-RU"/>
        </w:rPr>
        <w:t>.</w:t>
      </w:r>
      <w:r w:rsidR="008D015B" w:rsidRPr="0080251F">
        <w:rPr>
          <w:i/>
          <w:color w:val="000000"/>
          <w:lang w:val="ro-MD"/>
        </w:rPr>
        <w:t xml:space="preserve"> </w:t>
      </w:r>
    </w:p>
    <w:p w14:paraId="3E7F4814" w14:textId="05927E1D" w:rsidR="000650B3" w:rsidRPr="0080251F" w:rsidRDefault="000650B3" w:rsidP="00EC5123">
      <w:pPr>
        <w:pStyle w:val="1"/>
        <w:numPr>
          <w:ilvl w:val="0"/>
          <w:numId w:val="4"/>
        </w:numPr>
        <w:tabs>
          <w:tab w:val="left" w:pos="360"/>
          <w:tab w:val="left" w:pos="3600"/>
          <w:tab w:val="left" w:pos="3780"/>
        </w:tabs>
        <w:spacing w:before="200" w:line="276" w:lineRule="auto"/>
        <w:ind w:left="0" w:firstLine="0"/>
        <w:jc w:val="both"/>
        <w:rPr>
          <w:rFonts w:ascii="Times New Roman" w:hAnsi="Times New Roman" w:cs="Times New Roman"/>
          <w:b/>
          <w:color w:val="2F5496" w:themeColor="accent5" w:themeShade="BF"/>
          <w:sz w:val="28"/>
          <w:szCs w:val="28"/>
          <w:lang w:val="ro-MD"/>
        </w:rPr>
      </w:pPr>
      <w:bookmarkStart w:id="26" w:name="_Toc144136526"/>
      <w:bookmarkStart w:id="27" w:name="_Toc161169700"/>
      <w:r w:rsidRPr="0080251F">
        <w:rPr>
          <w:rFonts w:ascii="Times New Roman" w:hAnsi="Times New Roman" w:cs="Times New Roman"/>
          <w:b/>
          <w:color w:val="2F5496" w:themeColor="accent5" w:themeShade="BF"/>
          <w:sz w:val="28"/>
          <w:szCs w:val="28"/>
          <w:lang w:val="ro-MD"/>
        </w:rPr>
        <w:t>CONCLUZIA GENERALĂ</w:t>
      </w:r>
      <w:bookmarkEnd w:id="26"/>
      <w:bookmarkEnd w:id="27"/>
    </w:p>
    <w:p w14:paraId="75C38E62" w14:textId="7F5EC666" w:rsidR="00122034" w:rsidRPr="0080251F" w:rsidRDefault="00122034" w:rsidP="00122034">
      <w:pPr>
        <w:tabs>
          <w:tab w:val="left" w:pos="567"/>
        </w:tabs>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Misiunea de audit atestă un deficit de reguli și proceduri aferente procesului de gestionare a resurselor financiare și a patrimoniului public de către S.A. „RED-Nord”, astfel managementul instituțional și cel financiar nefiind racordate la principiile bunei guvernări.</w:t>
      </w:r>
    </w:p>
    <w:p w14:paraId="5580D3A5" w14:textId="61BECAC6" w:rsidR="00104700" w:rsidRPr="0080251F" w:rsidRDefault="00122034" w:rsidP="00FA6CC7">
      <w:pPr>
        <w:tabs>
          <w:tab w:val="left" w:pos="567"/>
        </w:tabs>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Managementul gestionării patrimoniului S.A. „RED-Nord” și managementul</w:t>
      </w:r>
      <w:r w:rsidR="00706894" w:rsidRPr="0080251F">
        <w:rPr>
          <w:rFonts w:ascii="Times New Roman" w:eastAsia="Times New Roman" w:hAnsi="Times New Roman" w:cs="Times New Roman"/>
          <w:sz w:val="24"/>
          <w:szCs w:val="24"/>
          <w:lang w:val="ro-MD"/>
        </w:rPr>
        <w:t xml:space="preserve"> financiar </w:t>
      </w:r>
      <w:r w:rsidRPr="0080251F">
        <w:rPr>
          <w:rFonts w:ascii="Times New Roman" w:eastAsia="Times New Roman" w:hAnsi="Times New Roman" w:cs="Times New Roman"/>
          <w:sz w:val="24"/>
          <w:szCs w:val="24"/>
          <w:lang w:val="ro-MD"/>
        </w:rPr>
        <w:t xml:space="preserve">al </w:t>
      </w:r>
      <w:r w:rsidR="006E4899" w:rsidRPr="0080251F">
        <w:rPr>
          <w:rFonts w:ascii="Times New Roman" w:eastAsia="Times New Roman" w:hAnsi="Times New Roman" w:cs="Times New Roman"/>
          <w:sz w:val="24"/>
          <w:szCs w:val="24"/>
          <w:lang w:val="ro-MD"/>
        </w:rPr>
        <w:t>întreprinderii</w:t>
      </w:r>
      <w:r w:rsidR="00706894" w:rsidRPr="0080251F">
        <w:rPr>
          <w:rFonts w:ascii="Times New Roman" w:eastAsia="Times New Roman" w:hAnsi="Times New Roman" w:cs="Times New Roman"/>
          <w:sz w:val="24"/>
          <w:szCs w:val="24"/>
          <w:lang w:val="ro-MD"/>
        </w:rPr>
        <w:t xml:space="preserve"> </w:t>
      </w:r>
      <w:r w:rsidR="006E4899" w:rsidRPr="0080251F">
        <w:rPr>
          <w:rFonts w:ascii="Times New Roman" w:eastAsia="Times New Roman" w:hAnsi="Times New Roman" w:cs="Times New Roman"/>
          <w:sz w:val="24"/>
          <w:szCs w:val="24"/>
          <w:lang w:val="ro-MD"/>
        </w:rPr>
        <w:t>nu întrune</w:t>
      </w:r>
      <w:r w:rsidR="00216860" w:rsidRPr="0080251F">
        <w:rPr>
          <w:rFonts w:ascii="Times New Roman" w:eastAsia="Times New Roman" w:hAnsi="Times New Roman" w:cs="Times New Roman"/>
          <w:sz w:val="24"/>
          <w:szCs w:val="24"/>
          <w:lang w:val="ro-MD"/>
        </w:rPr>
        <w:t>sc</w:t>
      </w:r>
      <w:r w:rsidR="006E4899" w:rsidRPr="0080251F">
        <w:rPr>
          <w:rFonts w:ascii="Times New Roman" w:eastAsia="Times New Roman" w:hAnsi="Times New Roman" w:cs="Times New Roman"/>
          <w:sz w:val="24"/>
          <w:szCs w:val="24"/>
          <w:lang w:val="ro-MD"/>
        </w:rPr>
        <w:t xml:space="preserve"> rigorile cadrului legal și </w:t>
      </w:r>
      <w:r w:rsidR="00CD72E6" w:rsidRPr="0080251F">
        <w:rPr>
          <w:rFonts w:ascii="Times New Roman" w:eastAsia="Times New Roman" w:hAnsi="Times New Roman" w:cs="Times New Roman"/>
          <w:sz w:val="24"/>
          <w:szCs w:val="24"/>
          <w:lang w:val="ro-MD"/>
        </w:rPr>
        <w:t>ates</w:t>
      </w:r>
      <w:r w:rsidRPr="0080251F">
        <w:rPr>
          <w:rFonts w:ascii="Times New Roman" w:eastAsia="Times New Roman" w:hAnsi="Times New Roman" w:cs="Times New Roman"/>
          <w:sz w:val="24"/>
          <w:szCs w:val="24"/>
          <w:lang w:val="ro-MD"/>
        </w:rPr>
        <w:t>tă</w:t>
      </w:r>
      <w:r w:rsidR="00706894" w:rsidRPr="0080251F">
        <w:rPr>
          <w:rFonts w:ascii="Times New Roman" w:eastAsia="Times New Roman" w:hAnsi="Times New Roman" w:cs="Times New Roman"/>
          <w:sz w:val="24"/>
          <w:szCs w:val="24"/>
          <w:lang w:val="ro-MD"/>
        </w:rPr>
        <w:t xml:space="preserve"> deficiențe și erori semnificative privind gestionarea </w:t>
      </w:r>
      <w:r w:rsidR="00787C1D" w:rsidRPr="0080251F">
        <w:rPr>
          <w:rFonts w:ascii="Times New Roman" w:eastAsia="Times New Roman" w:hAnsi="Times New Roman" w:cs="Times New Roman"/>
          <w:sz w:val="24"/>
          <w:szCs w:val="24"/>
          <w:lang w:val="ro-MD"/>
        </w:rPr>
        <w:t xml:space="preserve">patrimoniului </w:t>
      </w:r>
      <w:r w:rsidR="00706894" w:rsidRPr="0080251F">
        <w:rPr>
          <w:rFonts w:ascii="Times New Roman" w:eastAsia="Times New Roman" w:hAnsi="Times New Roman" w:cs="Times New Roman"/>
          <w:sz w:val="24"/>
          <w:szCs w:val="24"/>
          <w:lang w:val="ro-MD"/>
        </w:rPr>
        <w:t xml:space="preserve">și </w:t>
      </w:r>
      <w:r w:rsidR="00F5127B" w:rsidRPr="0080251F">
        <w:rPr>
          <w:rFonts w:ascii="Times New Roman" w:eastAsia="Times New Roman" w:hAnsi="Times New Roman" w:cs="Times New Roman"/>
          <w:sz w:val="24"/>
          <w:szCs w:val="24"/>
          <w:lang w:val="ro-MD"/>
        </w:rPr>
        <w:t>resurselor financiare</w:t>
      </w:r>
      <w:r w:rsidR="00787C1D" w:rsidRPr="0080251F">
        <w:rPr>
          <w:rFonts w:ascii="Times New Roman" w:eastAsia="Times New Roman" w:hAnsi="Times New Roman" w:cs="Times New Roman"/>
          <w:sz w:val="24"/>
          <w:szCs w:val="24"/>
          <w:lang w:val="ro-MD"/>
        </w:rPr>
        <w:t>,</w:t>
      </w:r>
      <w:r w:rsidR="00F5127B" w:rsidRPr="0080251F">
        <w:rPr>
          <w:rFonts w:ascii="Times New Roman" w:eastAsia="Times New Roman" w:hAnsi="Times New Roman" w:cs="Times New Roman"/>
          <w:sz w:val="24"/>
          <w:szCs w:val="24"/>
          <w:lang w:val="ro-MD"/>
        </w:rPr>
        <w:t xml:space="preserve"> care s</w:t>
      </w:r>
      <w:r w:rsidR="006E4899" w:rsidRPr="0080251F">
        <w:rPr>
          <w:rFonts w:ascii="Times New Roman" w:eastAsia="Times New Roman" w:hAnsi="Times New Roman" w:cs="Times New Roman"/>
          <w:sz w:val="24"/>
          <w:szCs w:val="24"/>
          <w:lang w:val="ro-MD"/>
        </w:rPr>
        <w:t>e exprimă prin</w:t>
      </w:r>
      <w:r w:rsidR="00787C1D" w:rsidRPr="0080251F">
        <w:rPr>
          <w:rFonts w:ascii="Times New Roman" w:eastAsia="Times New Roman" w:hAnsi="Times New Roman" w:cs="Times New Roman"/>
          <w:sz w:val="24"/>
          <w:szCs w:val="24"/>
          <w:lang w:val="ro-MD"/>
        </w:rPr>
        <w:t xml:space="preserve">: </w:t>
      </w:r>
      <w:r w:rsidR="005047EA" w:rsidRPr="0080251F">
        <w:rPr>
          <w:rFonts w:ascii="Times New Roman" w:hAnsi="Times New Roman" w:cs="Times New Roman"/>
          <w:sz w:val="24"/>
          <w:szCs w:val="24"/>
          <w:lang w:val="ro-MD"/>
        </w:rPr>
        <w:t>necontabiliz</w:t>
      </w:r>
      <w:r w:rsidR="00216860" w:rsidRPr="0080251F">
        <w:rPr>
          <w:rFonts w:ascii="Times New Roman" w:hAnsi="Times New Roman" w:cs="Times New Roman"/>
          <w:sz w:val="24"/>
          <w:szCs w:val="24"/>
          <w:lang w:val="ro-MD"/>
        </w:rPr>
        <w:t>area</w:t>
      </w:r>
      <w:r w:rsidR="005047EA" w:rsidRPr="0080251F">
        <w:rPr>
          <w:rFonts w:ascii="Times New Roman" w:hAnsi="Times New Roman" w:cs="Times New Roman"/>
          <w:sz w:val="24"/>
          <w:szCs w:val="24"/>
          <w:lang w:val="ro-MD"/>
        </w:rPr>
        <w:t xml:space="preserve"> </w:t>
      </w:r>
      <w:r w:rsidR="00104700" w:rsidRPr="0080251F">
        <w:rPr>
          <w:rFonts w:ascii="Times New Roman" w:hAnsi="Times New Roman" w:cs="Times New Roman"/>
          <w:sz w:val="24"/>
          <w:szCs w:val="24"/>
          <w:lang w:val="ro-MD"/>
        </w:rPr>
        <w:t>a 2 terenuri</w:t>
      </w:r>
      <w:r w:rsidR="005047EA" w:rsidRPr="0080251F">
        <w:rPr>
          <w:rFonts w:ascii="Times New Roman" w:hAnsi="Times New Roman" w:cs="Times New Roman"/>
          <w:sz w:val="24"/>
          <w:szCs w:val="24"/>
          <w:lang w:val="ro-MD"/>
        </w:rPr>
        <w:t xml:space="preserve"> deținut</w:t>
      </w:r>
      <w:r w:rsidR="00104700" w:rsidRPr="0080251F">
        <w:rPr>
          <w:rFonts w:ascii="Times New Roman" w:hAnsi="Times New Roman" w:cs="Times New Roman"/>
          <w:sz w:val="24"/>
          <w:szCs w:val="24"/>
          <w:lang w:val="ro-MD"/>
        </w:rPr>
        <w:t>e</w:t>
      </w:r>
      <w:r w:rsidR="005047EA" w:rsidRPr="0080251F">
        <w:rPr>
          <w:rFonts w:ascii="Times New Roman" w:hAnsi="Times New Roman" w:cs="Times New Roman"/>
          <w:sz w:val="24"/>
          <w:szCs w:val="24"/>
          <w:lang w:val="ro-MD"/>
        </w:rPr>
        <w:t xml:space="preserve"> cu titlu de proprietate</w:t>
      </w:r>
      <w:r w:rsidR="00216860" w:rsidRPr="0080251F">
        <w:rPr>
          <w:rFonts w:ascii="Times New Roman" w:hAnsi="Times New Roman" w:cs="Times New Roman"/>
          <w:sz w:val="24"/>
          <w:szCs w:val="24"/>
          <w:lang w:val="ro-MD"/>
        </w:rPr>
        <w:t>,</w:t>
      </w:r>
      <w:r w:rsidR="005047EA" w:rsidRPr="0080251F">
        <w:rPr>
          <w:rFonts w:ascii="Times New Roman" w:hAnsi="Times New Roman" w:cs="Times New Roman"/>
          <w:sz w:val="24"/>
          <w:szCs w:val="24"/>
          <w:lang w:val="ro-MD"/>
        </w:rPr>
        <w:t xml:space="preserve"> în valoare de 275,5 mii lei</w:t>
      </w:r>
      <w:r w:rsidR="00EC78FE" w:rsidRPr="0080251F">
        <w:rPr>
          <w:rFonts w:ascii="Times New Roman" w:hAnsi="Times New Roman" w:cs="Times New Roman"/>
          <w:sz w:val="24"/>
          <w:szCs w:val="24"/>
          <w:lang w:val="ro-MD"/>
        </w:rPr>
        <w:t>;</w:t>
      </w:r>
      <w:r w:rsidR="00104700" w:rsidRPr="0080251F">
        <w:rPr>
          <w:rFonts w:ascii="Times New Roman" w:hAnsi="Times New Roman" w:cs="Times New Roman"/>
          <w:sz w:val="24"/>
          <w:szCs w:val="24"/>
          <w:lang w:val="ro-MD"/>
        </w:rPr>
        <w:t xml:space="preserve"> </w:t>
      </w:r>
      <w:r w:rsidR="00EC78FE" w:rsidRPr="0080251F">
        <w:rPr>
          <w:rFonts w:ascii="Times New Roman" w:hAnsi="Times New Roman" w:cs="Times New Roman"/>
          <w:bCs/>
          <w:spacing w:val="-3"/>
          <w:sz w:val="24"/>
          <w:szCs w:val="24"/>
          <w:lang w:val="ro-MD"/>
        </w:rPr>
        <w:t>deprecierea neconformă a stocului de mater</w:t>
      </w:r>
      <w:r w:rsidR="00104700" w:rsidRPr="0080251F">
        <w:rPr>
          <w:rFonts w:ascii="Times New Roman" w:hAnsi="Times New Roman" w:cs="Times New Roman"/>
          <w:bCs/>
          <w:spacing w:val="-3"/>
          <w:sz w:val="24"/>
          <w:szCs w:val="24"/>
          <w:lang w:val="ro-MD"/>
        </w:rPr>
        <w:t>iale în valoare de 3,2 mil. lei</w:t>
      </w:r>
      <w:r w:rsidR="00EC78FE" w:rsidRPr="0080251F">
        <w:rPr>
          <w:rFonts w:ascii="Times New Roman" w:hAnsi="Times New Roman" w:cs="Times New Roman"/>
          <w:bCs/>
          <w:spacing w:val="-3"/>
          <w:sz w:val="24"/>
          <w:szCs w:val="24"/>
          <w:lang w:val="ro-MD"/>
        </w:rPr>
        <w:t>;</w:t>
      </w:r>
      <w:r w:rsidR="00104700" w:rsidRPr="0080251F">
        <w:rPr>
          <w:rFonts w:ascii="Times New Roman" w:hAnsi="Times New Roman" w:cs="Times New Roman"/>
          <w:bCs/>
          <w:spacing w:val="-3"/>
          <w:sz w:val="24"/>
          <w:szCs w:val="24"/>
          <w:lang w:val="ro-MD"/>
        </w:rPr>
        <w:t xml:space="preserve"> efectuarea neconformă a plăților salariale în </w:t>
      </w:r>
      <w:r w:rsidR="00216860" w:rsidRPr="0080251F">
        <w:rPr>
          <w:rFonts w:ascii="Times New Roman" w:hAnsi="Times New Roman" w:cs="Times New Roman"/>
          <w:bCs/>
          <w:spacing w:val="-3"/>
          <w:sz w:val="24"/>
          <w:szCs w:val="24"/>
          <w:lang w:val="ro-MD"/>
        </w:rPr>
        <w:t>sumă</w:t>
      </w:r>
      <w:r w:rsidR="00104700" w:rsidRPr="0080251F">
        <w:rPr>
          <w:rFonts w:ascii="Times New Roman" w:hAnsi="Times New Roman" w:cs="Times New Roman"/>
          <w:bCs/>
          <w:spacing w:val="-3"/>
          <w:sz w:val="24"/>
          <w:szCs w:val="24"/>
          <w:lang w:val="ro-MD"/>
        </w:rPr>
        <w:t xml:space="preserve"> de</w:t>
      </w:r>
      <w:r w:rsidR="00EC78FE" w:rsidRPr="0080251F">
        <w:rPr>
          <w:rFonts w:ascii="Times New Roman" w:hAnsi="Times New Roman" w:cs="Times New Roman"/>
          <w:sz w:val="24"/>
          <w:szCs w:val="24"/>
          <w:lang w:val="ro-MD"/>
        </w:rPr>
        <w:t xml:space="preserve"> 2,5 mil. lei;</w:t>
      </w:r>
      <w:r w:rsidR="00104700" w:rsidRPr="0080251F">
        <w:rPr>
          <w:rFonts w:ascii="Times New Roman" w:hAnsi="Times New Roman" w:cs="Times New Roman"/>
          <w:sz w:val="24"/>
          <w:szCs w:val="24"/>
          <w:lang w:val="ro-MD"/>
        </w:rPr>
        <w:t xml:space="preserve"> </w:t>
      </w:r>
      <w:r w:rsidR="00104700" w:rsidRPr="0080251F">
        <w:rPr>
          <w:rFonts w:ascii="Times New Roman" w:eastAsia="Times New Roman" w:hAnsi="Times New Roman" w:cs="Times New Roman"/>
          <w:sz w:val="24"/>
          <w:szCs w:val="24"/>
          <w:lang w:val="ro-MD"/>
        </w:rPr>
        <w:t>executarea neconformă a procedurilor privind achiziționarea bunurilor, serviciilor și lucrărilor;</w:t>
      </w:r>
      <w:r w:rsidR="00C04999" w:rsidRPr="0080251F">
        <w:rPr>
          <w:rFonts w:ascii="Times New Roman" w:eastAsia="Times New Roman" w:hAnsi="Times New Roman" w:cs="Times New Roman"/>
          <w:sz w:val="24"/>
          <w:szCs w:val="24"/>
          <w:lang w:val="ro-MD"/>
        </w:rPr>
        <w:t xml:space="preserve"> </w:t>
      </w:r>
      <w:r w:rsidR="00C04999" w:rsidRPr="0080251F">
        <w:rPr>
          <w:rFonts w:ascii="Times New Roman" w:hAnsi="Times New Roman" w:cs="Times New Roman"/>
          <w:sz w:val="24"/>
          <w:szCs w:val="24"/>
          <w:lang w:val="ro-MD"/>
        </w:rPr>
        <w:t>acordarea plăților cu destinație socială</w:t>
      </w:r>
      <w:r w:rsidR="00104700" w:rsidRPr="0080251F">
        <w:rPr>
          <w:rFonts w:ascii="Times New Roman" w:hAnsi="Times New Roman" w:cs="Times New Roman"/>
          <w:sz w:val="24"/>
          <w:szCs w:val="24"/>
          <w:lang w:val="ro-MD"/>
        </w:rPr>
        <w:t xml:space="preserve"> din contul profitului net în lipsa reglementărilor normative interne</w:t>
      </w:r>
      <w:r w:rsidR="00216860" w:rsidRPr="0080251F">
        <w:rPr>
          <w:rFonts w:ascii="Times New Roman" w:hAnsi="Times New Roman" w:cs="Times New Roman"/>
          <w:sz w:val="24"/>
          <w:szCs w:val="24"/>
          <w:lang w:val="ro-MD"/>
        </w:rPr>
        <w:t>,</w:t>
      </w:r>
      <w:r w:rsidR="00104700" w:rsidRPr="0080251F">
        <w:rPr>
          <w:rFonts w:ascii="Times New Roman" w:hAnsi="Times New Roman" w:cs="Times New Roman"/>
          <w:sz w:val="24"/>
          <w:szCs w:val="24"/>
          <w:lang w:val="ro-MD"/>
        </w:rPr>
        <w:t xml:space="preserve"> în </w:t>
      </w:r>
      <w:r w:rsidR="00216860" w:rsidRPr="0080251F">
        <w:rPr>
          <w:rFonts w:ascii="Times New Roman" w:hAnsi="Times New Roman" w:cs="Times New Roman"/>
          <w:sz w:val="24"/>
          <w:szCs w:val="24"/>
          <w:lang w:val="ro-MD"/>
        </w:rPr>
        <w:t>sumă</w:t>
      </w:r>
      <w:r w:rsidR="00104700" w:rsidRPr="0080251F">
        <w:rPr>
          <w:rFonts w:ascii="Times New Roman" w:hAnsi="Times New Roman" w:cs="Times New Roman"/>
          <w:sz w:val="24"/>
          <w:szCs w:val="24"/>
          <w:lang w:val="ro-MD"/>
        </w:rPr>
        <w:t xml:space="preserve"> de 1,3 mil. lei</w:t>
      </w:r>
      <w:r w:rsidR="00104700" w:rsidRPr="0080251F">
        <w:rPr>
          <w:rFonts w:ascii="Times New Roman" w:hAnsi="Times New Roman" w:cs="Times New Roman"/>
          <w:bCs/>
          <w:sz w:val="24"/>
          <w:szCs w:val="24"/>
          <w:lang w:val="ro-MD"/>
        </w:rPr>
        <w:t>;</w:t>
      </w:r>
      <w:r w:rsidR="00C04999" w:rsidRPr="0080251F">
        <w:rPr>
          <w:rFonts w:ascii="Times New Roman" w:hAnsi="Times New Roman" w:cs="Times New Roman"/>
          <w:bCs/>
          <w:sz w:val="24"/>
          <w:szCs w:val="24"/>
          <w:lang w:val="ro-MD"/>
        </w:rPr>
        <w:t xml:space="preserve"> </w:t>
      </w:r>
      <w:r w:rsidR="00104700" w:rsidRPr="0080251F">
        <w:rPr>
          <w:rFonts w:ascii="Times New Roman" w:hAnsi="Times New Roman" w:cs="Times New Roman"/>
          <w:bCs/>
          <w:sz w:val="24"/>
          <w:szCs w:val="24"/>
          <w:lang w:val="ro-MD"/>
        </w:rPr>
        <w:t>remuner</w:t>
      </w:r>
      <w:r w:rsidR="00C04999" w:rsidRPr="0080251F">
        <w:rPr>
          <w:rFonts w:ascii="Times New Roman" w:hAnsi="Times New Roman" w:cs="Times New Roman"/>
          <w:bCs/>
          <w:sz w:val="24"/>
          <w:szCs w:val="24"/>
          <w:lang w:val="ro-MD"/>
        </w:rPr>
        <w:t>area neîntemeiată a</w:t>
      </w:r>
      <w:r w:rsidR="00104700" w:rsidRPr="0080251F">
        <w:rPr>
          <w:rFonts w:ascii="Times New Roman" w:hAnsi="Times New Roman" w:cs="Times New Roman"/>
          <w:bCs/>
          <w:sz w:val="24"/>
          <w:szCs w:val="24"/>
          <w:lang w:val="ro-MD"/>
        </w:rPr>
        <w:t xml:space="preserve"> membrilor organelor de conducere</w:t>
      </w:r>
      <w:r w:rsidR="00C04999" w:rsidRPr="0080251F">
        <w:rPr>
          <w:rFonts w:ascii="Times New Roman" w:hAnsi="Times New Roman" w:cs="Times New Roman"/>
          <w:bCs/>
          <w:sz w:val="24"/>
          <w:szCs w:val="24"/>
          <w:lang w:val="ro-MD"/>
        </w:rPr>
        <w:t xml:space="preserve"> din profitul net</w:t>
      </w:r>
      <w:r w:rsidR="00216860" w:rsidRPr="0080251F">
        <w:rPr>
          <w:rFonts w:ascii="Times New Roman" w:hAnsi="Times New Roman" w:cs="Times New Roman"/>
          <w:bCs/>
          <w:sz w:val="24"/>
          <w:szCs w:val="24"/>
          <w:lang w:val="ro-MD"/>
        </w:rPr>
        <w:t>,</w:t>
      </w:r>
      <w:r w:rsidR="00C04999" w:rsidRPr="0080251F">
        <w:rPr>
          <w:rFonts w:ascii="Times New Roman" w:hAnsi="Times New Roman" w:cs="Times New Roman"/>
          <w:bCs/>
          <w:sz w:val="24"/>
          <w:szCs w:val="24"/>
          <w:lang w:val="ro-MD"/>
        </w:rPr>
        <w:t xml:space="preserve"> </w:t>
      </w:r>
      <w:r w:rsidR="00104700" w:rsidRPr="0080251F">
        <w:rPr>
          <w:rFonts w:ascii="Times New Roman" w:hAnsi="Times New Roman" w:cs="Times New Roman"/>
          <w:bCs/>
          <w:sz w:val="24"/>
          <w:szCs w:val="24"/>
          <w:lang w:val="ro-MD"/>
        </w:rPr>
        <w:t>în sumă de 1</w:t>
      </w:r>
      <w:r w:rsidR="00FA6CC7" w:rsidRPr="0080251F">
        <w:rPr>
          <w:rFonts w:ascii="Times New Roman" w:hAnsi="Times New Roman" w:cs="Times New Roman"/>
          <w:bCs/>
          <w:sz w:val="24"/>
          <w:szCs w:val="24"/>
          <w:lang w:val="ro-MD"/>
        </w:rPr>
        <w:t>0</w:t>
      </w:r>
      <w:r w:rsidR="00104700" w:rsidRPr="0080251F">
        <w:rPr>
          <w:rFonts w:ascii="Times New Roman" w:hAnsi="Times New Roman" w:cs="Times New Roman"/>
          <w:bCs/>
          <w:sz w:val="24"/>
          <w:szCs w:val="24"/>
          <w:lang w:val="ro-MD"/>
        </w:rPr>
        <w:t>4,</w:t>
      </w:r>
      <w:r w:rsidR="00FA6CC7" w:rsidRPr="0080251F">
        <w:rPr>
          <w:rFonts w:ascii="Times New Roman" w:hAnsi="Times New Roman" w:cs="Times New Roman"/>
          <w:bCs/>
          <w:sz w:val="24"/>
          <w:szCs w:val="24"/>
          <w:lang w:val="ro-MD"/>
        </w:rPr>
        <w:t>0</w:t>
      </w:r>
      <w:r w:rsidR="00104700" w:rsidRPr="0080251F">
        <w:rPr>
          <w:rFonts w:ascii="Times New Roman" w:hAnsi="Times New Roman" w:cs="Times New Roman"/>
          <w:bCs/>
          <w:sz w:val="24"/>
          <w:szCs w:val="24"/>
          <w:lang w:val="ro-MD"/>
        </w:rPr>
        <w:t xml:space="preserve"> mii lei</w:t>
      </w:r>
      <w:r w:rsidR="007E784D" w:rsidRPr="0080251F">
        <w:rPr>
          <w:rFonts w:ascii="Times New Roman" w:hAnsi="Times New Roman" w:cs="Times New Roman"/>
          <w:bCs/>
          <w:sz w:val="24"/>
          <w:szCs w:val="24"/>
          <w:lang w:val="ro-MD"/>
        </w:rPr>
        <w:t>, etc</w:t>
      </w:r>
      <w:r w:rsidR="00104700" w:rsidRPr="0080251F">
        <w:rPr>
          <w:rFonts w:ascii="Times New Roman" w:hAnsi="Times New Roman" w:cs="Times New Roman"/>
          <w:bCs/>
          <w:sz w:val="24"/>
          <w:szCs w:val="24"/>
          <w:lang w:val="ro-MD"/>
        </w:rPr>
        <w:t>.</w:t>
      </w:r>
    </w:p>
    <w:p w14:paraId="146298E6" w14:textId="7184FE32" w:rsidR="00DE4135" w:rsidRPr="0080251F" w:rsidRDefault="00DE4135" w:rsidP="00EC5123">
      <w:pPr>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 xml:space="preserve">Toate acestea, în viziunea auditorilor, au fost condiționate de </w:t>
      </w:r>
      <w:r w:rsidR="001830A1" w:rsidRPr="0080251F">
        <w:rPr>
          <w:rFonts w:ascii="Times New Roman" w:eastAsia="Times New Roman" w:hAnsi="Times New Roman" w:cs="Times New Roman"/>
          <w:sz w:val="24"/>
          <w:szCs w:val="24"/>
          <w:lang w:val="ro-MD"/>
        </w:rPr>
        <w:t xml:space="preserve">un deficit de reguli/proceduri și/sau de </w:t>
      </w:r>
      <w:r w:rsidRPr="0080251F">
        <w:rPr>
          <w:rFonts w:ascii="Times New Roman" w:eastAsia="Times New Roman" w:hAnsi="Times New Roman" w:cs="Times New Roman"/>
          <w:sz w:val="24"/>
          <w:szCs w:val="24"/>
          <w:lang w:val="ro-MD"/>
        </w:rPr>
        <w:t>lipsa activităților de control eficiente aferente procesului de gestionare a resurselor financiare și a patrimoniului public</w:t>
      </w:r>
      <w:r w:rsidR="001830A1" w:rsidRPr="0080251F">
        <w:rPr>
          <w:rFonts w:ascii="Times New Roman" w:eastAsia="Times New Roman" w:hAnsi="Times New Roman" w:cs="Times New Roman"/>
          <w:sz w:val="24"/>
          <w:szCs w:val="24"/>
          <w:lang w:val="ro-MD"/>
        </w:rPr>
        <w:t>,</w:t>
      </w:r>
      <w:r w:rsidRPr="0080251F">
        <w:rPr>
          <w:rFonts w:ascii="Times New Roman" w:eastAsia="Times New Roman" w:hAnsi="Times New Roman" w:cs="Times New Roman"/>
          <w:sz w:val="24"/>
          <w:szCs w:val="24"/>
          <w:lang w:val="ro-MD"/>
        </w:rPr>
        <w:t xml:space="preserve"> precum și de responsabilitatea insuficientă a factorilor de decizie la exercitarea atribuțiilor funcționale.</w:t>
      </w:r>
    </w:p>
    <w:p w14:paraId="259072D8" w14:textId="7B62662D" w:rsidR="00DE4135" w:rsidRPr="0080251F" w:rsidRDefault="00DE4135" w:rsidP="00EC5123">
      <w:pPr>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 xml:space="preserve">Constatările de audit au fost aduse la cunoștința conducerii S.A. „RED-Nord”. </w:t>
      </w:r>
    </w:p>
    <w:p w14:paraId="7EB8D976" w14:textId="10B4D146" w:rsidR="00E60986" w:rsidRPr="0080251F" w:rsidRDefault="00DE4135" w:rsidP="00EC5123">
      <w:pPr>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În scopul ameliorării situațiilor atestate, auditul public extern oferă recomandările de rigoare, pentru o remediere punctuală a deficiențelor și, respectiv, pentru diminuarea riscurilor evidente, acestea fiind comunicate și discutate cu autoritățile vizate în Raport</w:t>
      </w:r>
      <w:r w:rsidR="00216860" w:rsidRPr="0080251F">
        <w:rPr>
          <w:rFonts w:ascii="Times New Roman" w:eastAsia="Times New Roman" w:hAnsi="Times New Roman" w:cs="Times New Roman"/>
          <w:sz w:val="24"/>
          <w:szCs w:val="24"/>
          <w:lang w:val="ro-MD"/>
        </w:rPr>
        <w:t>ul de audit</w:t>
      </w:r>
      <w:r w:rsidRPr="0080251F">
        <w:rPr>
          <w:rFonts w:ascii="Times New Roman" w:eastAsia="Times New Roman" w:hAnsi="Times New Roman" w:cs="Times New Roman"/>
          <w:sz w:val="24"/>
          <w:szCs w:val="24"/>
          <w:lang w:val="ro-MD"/>
        </w:rPr>
        <w:t>.</w:t>
      </w:r>
    </w:p>
    <w:p w14:paraId="4E1BA670" w14:textId="31581645" w:rsidR="00F746CF" w:rsidRPr="0080251F" w:rsidRDefault="00F95B3A" w:rsidP="00EC5123">
      <w:pPr>
        <w:pStyle w:val="cn"/>
        <w:spacing w:before="200" w:line="276" w:lineRule="auto"/>
        <w:ind w:right="74"/>
        <w:jc w:val="both"/>
        <w:outlineLvl w:val="0"/>
        <w:rPr>
          <w:rFonts w:asciiTheme="majorBidi" w:eastAsiaTheme="minorHAnsi" w:hAnsiTheme="majorBidi" w:cstheme="majorBidi"/>
          <w:b/>
          <w:color w:val="2E74B5" w:themeColor="accent1" w:themeShade="BF"/>
          <w:sz w:val="28"/>
          <w:szCs w:val="28"/>
          <w:lang w:val="ro-MD" w:eastAsia="en-US"/>
        </w:rPr>
      </w:pPr>
      <w:bookmarkStart w:id="28" w:name="_Toc161169701"/>
      <w:r w:rsidRPr="0080251F">
        <w:rPr>
          <w:rFonts w:asciiTheme="majorBidi" w:eastAsiaTheme="minorHAnsi" w:hAnsiTheme="majorBidi" w:cstheme="majorBidi"/>
          <w:b/>
          <w:color w:val="2E74B5" w:themeColor="accent1" w:themeShade="BF"/>
          <w:sz w:val="28"/>
          <w:szCs w:val="28"/>
          <w:lang w:val="ro-MD" w:eastAsia="en-US"/>
        </w:rPr>
        <w:t>VI.</w:t>
      </w:r>
      <w:r w:rsidR="00E60986" w:rsidRPr="0080251F">
        <w:rPr>
          <w:rFonts w:asciiTheme="majorBidi" w:eastAsiaTheme="minorHAnsi" w:hAnsiTheme="majorBidi" w:cstheme="majorBidi"/>
          <w:b/>
          <w:color w:val="2E74B5" w:themeColor="accent1" w:themeShade="BF"/>
          <w:sz w:val="28"/>
          <w:szCs w:val="28"/>
          <w:lang w:val="ro-MD" w:eastAsia="en-US"/>
        </w:rPr>
        <w:t xml:space="preserve"> </w:t>
      </w:r>
      <w:r w:rsidR="00F746CF" w:rsidRPr="0080251F">
        <w:rPr>
          <w:rFonts w:asciiTheme="majorBidi" w:eastAsiaTheme="minorHAnsi" w:hAnsiTheme="majorBidi" w:cstheme="majorBidi"/>
          <w:b/>
          <w:color w:val="2E74B5" w:themeColor="accent1" w:themeShade="BF"/>
          <w:sz w:val="28"/>
          <w:szCs w:val="28"/>
          <w:lang w:val="ro-MD" w:eastAsia="en-US"/>
        </w:rPr>
        <w:t>RECOMANDĂRI</w:t>
      </w:r>
      <w:bookmarkEnd w:id="28"/>
    </w:p>
    <w:p w14:paraId="1B1D6BDC" w14:textId="77777777" w:rsidR="002A265F" w:rsidRPr="0080251F" w:rsidRDefault="002A265F" w:rsidP="002A265F">
      <w:pPr>
        <w:shd w:val="clear" w:color="auto" w:fill="FFFFFF"/>
        <w:tabs>
          <w:tab w:val="left" w:pos="284"/>
        </w:tabs>
        <w:spacing w:after="0"/>
        <w:rPr>
          <w:rFonts w:ascii="Times New Roman" w:eastAsia="Times New Roman" w:hAnsi="Times New Roman" w:cs="Times New Roman"/>
          <w:b/>
          <w:bCs/>
          <w:iCs/>
          <w:sz w:val="24"/>
          <w:szCs w:val="24"/>
          <w:lang w:val="ro-MD"/>
        </w:rPr>
      </w:pPr>
      <w:r w:rsidRPr="0080251F">
        <w:rPr>
          <w:rFonts w:ascii="Times New Roman" w:eastAsia="Times New Roman" w:hAnsi="Times New Roman" w:cs="Times New Roman"/>
          <w:b/>
          <w:bCs/>
          <w:iCs/>
          <w:sz w:val="24"/>
          <w:szCs w:val="24"/>
          <w:lang w:val="ro-MD"/>
        </w:rPr>
        <w:t>Ministerului Muncii și Protecției Sociale:</w:t>
      </w:r>
    </w:p>
    <w:p w14:paraId="1C013B11" w14:textId="64C4E81E" w:rsidR="002A265F" w:rsidRPr="0080251F" w:rsidRDefault="000450B9" w:rsidP="000C68B7">
      <w:pPr>
        <w:shd w:val="clear" w:color="auto" w:fill="FFFFFF"/>
        <w:tabs>
          <w:tab w:val="left" w:pos="284"/>
        </w:tabs>
        <w:spacing w:after="0"/>
        <w:jc w:val="both"/>
        <w:rPr>
          <w:rFonts w:ascii="Times New Roman" w:eastAsia="Times New Roman" w:hAnsi="Times New Roman" w:cs="Times New Roman"/>
          <w:i/>
          <w:iCs/>
          <w:sz w:val="24"/>
          <w:szCs w:val="24"/>
          <w:lang w:val="ro-MD"/>
        </w:rPr>
      </w:pPr>
      <w:r w:rsidRPr="0080251F">
        <w:rPr>
          <w:rFonts w:ascii="Times New Roman" w:eastAsia="Times New Roman" w:hAnsi="Times New Roman" w:cs="Times New Roman"/>
          <w:i/>
          <w:sz w:val="24"/>
          <w:szCs w:val="24"/>
          <w:lang w:val="ro-MD"/>
        </w:rPr>
        <w:t>1</w:t>
      </w:r>
      <w:r w:rsidR="002A265F" w:rsidRPr="0080251F">
        <w:rPr>
          <w:rFonts w:ascii="Times New Roman" w:eastAsia="Times New Roman" w:hAnsi="Times New Roman" w:cs="Times New Roman"/>
          <w:i/>
          <w:sz w:val="24"/>
          <w:szCs w:val="24"/>
          <w:lang w:val="ro-MD"/>
        </w:rPr>
        <w:t xml:space="preserve">. </w:t>
      </w:r>
      <w:r w:rsidR="00C35940" w:rsidRPr="0080251F">
        <w:rPr>
          <w:rFonts w:ascii="Times New Roman" w:eastAsia="Times New Roman" w:hAnsi="Times New Roman" w:cs="Times New Roman"/>
          <w:i/>
          <w:sz w:val="24"/>
          <w:szCs w:val="24"/>
          <w:lang w:val="ro-MD"/>
        </w:rPr>
        <w:t>S</w:t>
      </w:r>
      <w:r w:rsidR="004C33B9" w:rsidRPr="0080251F">
        <w:rPr>
          <w:rFonts w:ascii="Times New Roman" w:eastAsia="Times New Roman" w:hAnsi="Times New Roman" w:cs="Times New Roman"/>
          <w:i/>
          <w:sz w:val="24"/>
          <w:szCs w:val="24"/>
          <w:lang w:val="ro-MD"/>
        </w:rPr>
        <w:t xml:space="preserve">ă asigure ajustarea cadrului legal privind acordarea concediilor de odihnă anuale suplimentare pentru condițiile de muncă cu efort psiho-emoțional sporit, prin </w:t>
      </w:r>
      <w:r w:rsidR="004C33B9" w:rsidRPr="0080251F">
        <w:rPr>
          <w:rFonts w:ascii="Times New Roman" w:eastAsia="Times New Roman" w:hAnsi="Times New Roman" w:cs="Times New Roman"/>
          <w:bCs/>
          <w:i/>
          <w:iCs/>
          <w:sz w:val="24"/>
          <w:szCs w:val="24"/>
          <w:lang w:val="ro-MD"/>
        </w:rPr>
        <w:t>elaborarea reglementărilor normative</w:t>
      </w:r>
      <w:r w:rsidR="004C33B9" w:rsidRPr="0080251F">
        <w:rPr>
          <w:rFonts w:ascii="Times New Roman" w:eastAsia="Times New Roman" w:hAnsi="Times New Roman" w:cs="Times New Roman"/>
          <w:b/>
          <w:bCs/>
          <w:i/>
          <w:iCs/>
          <w:sz w:val="24"/>
          <w:szCs w:val="24"/>
          <w:lang w:val="ro-MD"/>
        </w:rPr>
        <w:t xml:space="preserve"> </w:t>
      </w:r>
      <w:r w:rsidR="004C33B9" w:rsidRPr="0080251F">
        <w:rPr>
          <w:rFonts w:ascii="Times New Roman" w:eastAsia="Times New Roman" w:hAnsi="Times New Roman" w:cs="Times New Roman"/>
          <w:i/>
          <w:iCs/>
          <w:sz w:val="24"/>
          <w:szCs w:val="24"/>
          <w:lang w:val="ro-MD"/>
        </w:rPr>
        <w:t xml:space="preserve">în temeiul cărora s-ar determina clar criteriile de evaluare și </w:t>
      </w:r>
      <w:r w:rsidR="00365E11" w:rsidRPr="0080251F">
        <w:rPr>
          <w:rFonts w:ascii="Times New Roman" w:eastAsia="Times New Roman" w:hAnsi="Times New Roman" w:cs="Times New Roman"/>
          <w:i/>
          <w:iCs/>
          <w:sz w:val="24"/>
          <w:szCs w:val="24"/>
          <w:lang w:val="ro-MD"/>
        </w:rPr>
        <w:t xml:space="preserve">de </w:t>
      </w:r>
      <w:r w:rsidR="004C33B9" w:rsidRPr="0080251F">
        <w:rPr>
          <w:rFonts w:ascii="Times New Roman" w:eastAsia="Times New Roman" w:hAnsi="Times New Roman" w:cs="Times New Roman"/>
          <w:i/>
          <w:iCs/>
          <w:sz w:val="24"/>
          <w:szCs w:val="24"/>
          <w:lang w:val="ro-MD"/>
        </w:rPr>
        <w:t>apreciere a condițiilor de muncă cu efort psiho-emoțional sporit</w:t>
      </w:r>
      <w:r w:rsidR="004E2E37" w:rsidRPr="0080251F">
        <w:rPr>
          <w:rFonts w:ascii="Times New Roman" w:eastAsia="Times New Roman" w:hAnsi="Times New Roman" w:cs="Times New Roman"/>
          <w:i/>
          <w:iCs/>
          <w:sz w:val="24"/>
          <w:szCs w:val="24"/>
          <w:lang w:val="ro-MD"/>
        </w:rPr>
        <w:t xml:space="preserve"> (</w:t>
      </w:r>
      <w:r w:rsidR="0018163C" w:rsidRPr="0080251F">
        <w:rPr>
          <w:rFonts w:ascii="Times New Roman" w:eastAsia="Times New Roman" w:hAnsi="Times New Roman" w:cs="Times New Roman"/>
          <w:i/>
          <w:sz w:val="24"/>
          <w:szCs w:val="24"/>
          <w:lang w:val="ro-MD"/>
        </w:rPr>
        <w:t>pct. 4.4</w:t>
      </w:r>
      <w:r w:rsidR="004E2E37" w:rsidRPr="0080251F">
        <w:rPr>
          <w:rFonts w:ascii="Times New Roman" w:eastAsia="Times New Roman" w:hAnsi="Times New Roman" w:cs="Times New Roman"/>
          <w:i/>
          <w:sz w:val="24"/>
          <w:szCs w:val="24"/>
          <w:lang w:val="ro-MD"/>
        </w:rPr>
        <w:t>.</w:t>
      </w:r>
      <w:r w:rsidR="0018163C" w:rsidRPr="0080251F">
        <w:rPr>
          <w:rFonts w:ascii="Times New Roman" w:eastAsia="Times New Roman" w:hAnsi="Times New Roman" w:cs="Times New Roman"/>
          <w:i/>
          <w:sz w:val="24"/>
          <w:szCs w:val="24"/>
          <w:lang w:val="ro-MD"/>
        </w:rPr>
        <w:t>4</w:t>
      </w:r>
      <w:r w:rsidR="00365E11" w:rsidRPr="0080251F">
        <w:rPr>
          <w:rFonts w:ascii="Times New Roman" w:eastAsia="Times New Roman" w:hAnsi="Times New Roman" w:cs="Times New Roman"/>
          <w:i/>
          <w:sz w:val="24"/>
          <w:szCs w:val="24"/>
          <w:lang w:val="ro-MD"/>
        </w:rPr>
        <w:t>.</w:t>
      </w:r>
      <w:r w:rsidR="004E2E37" w:rsidRPr="0080251F">
        <w:rPr>
          <w:rFonts w:ascii="Times New Roman" w:eastAsia="Times New Roman" w:hAnsi="Times New Roman" w:cs="Times New Roman"/>
          <w:i/>
          <w:iCs/>
          <w:sz w:val="24"/>
          <w:szCs w:val="24"/>
          <w:lang w:val="ro-MD"/>
        </w:rPr>
        <w:t>)</w:t>
      </w:r>
      <w:r w:rsidR="004C33B9" w:rsidRPr="0080251F">
        <w:rPr>
          <w:rFonts w:ascii="Times New Roman" w:eastAsia="Times New Roman" w:hAnsi="Times New Roman" w:cs="Times New Roman"/>
          <w:i/>
          <w:iCs/>
          <w:sz w:val="24"/>
          <w:szCs w:val="24"/>
          <w:lang w:val="ro-MD"/>
        </w:rPr>
        <w:t>;</w:t>
      </w:r>
    </w:p>
    <w:p w14:paraId="670D25C4" w14:textId="288CCD74" w:rsidR="00F2720C" w:rsidRPr="0080251F" w:rsidRDefault="00DA2F81" w:rsidP="001B0342">
      <w:pPr>
        <w:shd w:val="clear" w:color="auto" w:fill="FFFFFF"/>
        <w:tabs>
          <w:tab w:val="left" w:pos="709"/>
        </w:tabs>
        <w:spacing w:after="0" w:line="276" w:lineRule="auto"/>
        <w:jc w:val="both"/>
        <w:rPr>
          <w:rFonts w:ascii="Times New Roman" w:eastAsia="Times New Roman" w:hAnsi="Times New Roman" w:cs="Times New Roman"/>
          <w:b/>
          <w:sz w:val="24"/>
          <w:szCs w:val="24"/>
          <w:lang w:val="ro-MD"/>
        </w:rPr>
      </w:pPr>
      <w:r w:rsidRPr="0080251F">
        <w:rPr>
          <w:rFonts w:ascii="Times New Roman" w:eastAsia="Times New Roman" w:hAnsi="Times New Roman" w:cs="Times New Roman"/>
          <w:b/>
          <w:sz w:val="24"/>
          <w:szCs w:val="24"/>
          <w:lang w:val="ro-MD"/>
        </w:rPr>
        <w:t>S.A. „RED-Nord”</w:t>
      </w:r>
      <w:r w:rsidR="00F2720C" w:rsidRPr="0080251F">
        <w:rPr>
          <w:rFonts w:ascii="Times New Roman" w:eastAsia="Times New Roman" w:hAnsi="Times New Roman" w:cs="Times New Roman"/>
          <w:b/>
          <w:sz w:val="24"/>
          <w:szCs w:val="24"/>
          <w:lang w:val="ro-MD"/>
        </w:rPr>
        <w:t>:</w:t>
      </w:r>
    </w:p>
    <w:p w14:paraId="590C9836" w14:textId="6F75F76D" w:rsidR="004141B4" w:rsidRPr="0080251F" w:rsidRDefault="004141B4" w:rsidP="000C68B7">
      <w:pPr>
        <w:pStyle w:val="a6"/>
        <w:numPr>
          <w:ilvl w:val="0"/>
          <w:numId w:val="33"/>
        </w:numPr>
        <w:tabs>
          <w:tab w:val="left" w:pos="284"/>
        </w:tabs>
        <w:spacing w:after="0" w:line="276" w:lineRule="auto"/>
        <w:ind w:left="0" w:firstLine="0"/>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i/>
          <w:sz w:val="24"/>
          <w:szCs w:val="24"/>
          <w:lang w:val="ro-MD"/>
        </w:rPr>
        <w:t>Să asigure</w:t>
      </w:r>
      <w:r w:rsidR="001261C6" w:rsidRPr="0080251F">
        <w:rPr>
          <w:rFonts w:ascii="Times New Roman" w:eastAsia="Times New Roman" w:hAnsi="Times New Roman" w:cs="Times New Roman"/>
          <w:i/>
          <w:sz w:val="24"/>
          <w:szCs w:val="24"/>
          <w:lang w:val="ro-MD"/>
        </w:rPr>
        <w:t>, în contextul neconformităților constatate,</w:t>
      </w:r>
      <w:r w:rsidRPr="0080251F">
        <w:rPr>
          <w:rFonts w:ascii="Times New Roman" w:eastAsia="Times New Roman" w:hAnsi="Times New Roman" w:cs="Times New Roman"/>
          <w:i/>
          <w:sz w:val="24"/>
          <w:szCs w:val="24"/>
          <w:lang w:val="ro-MD"/>
        </w:rPr>
        <w:t xml:space="preserve"> efectuarea corecțiilor necesare ce țin </w:t>
      </w:r>
      <w:r w:rsidR="001261C6" w:rsidRPr="0080251F">
        <w:rPr>
          <w:rFonts w:ascii="Times New Roman" w:eastAsia="Times New Roman" w:hAnsi="Times New Roman" w:cs="Times New Roman"/>
          <w:i/>
          <w:sz w:val="24"/>
          <w:szCs w:val="24"/>
          <w:lang w:val="ro-MD"/>
        </w:rPr>
        <w:t xml:space="preserve">de </w:t>
      </w:r>
      <w:r w:rsidRPr="0080251F">
        <w:rPr>
          <w:rFonts w:ascii="Times New Roman" w:eastAsia="Times New Roman" w:hAnsi="Times New Roman" w:cs="Times New Roman"/>
          <w:i/>
          <w:sz w:val="24"/>
          <w:szCs w:val="24"/>
          <w:lang w:val="ro-MD"/>
        </w:rPr>
        <w:t>evidența contabilă a terenurilor, a bunurilor materiale cu plafonul valoric reglementat în mărime de până la 6,0 mii lei (actual – 12,0 mii lei) și a contoarelor de eviden</w:t>
      </w:r>
      <w:r w:rsidR="00365E11" w:rsidRPr="0080251F">
        <w:rPr>
          <w:rFonts w:ascii="Times New Roman" w:eastAsia="Times New Roman" w:hAnsi="Times New Roman" w:cs="Times New Roman"/>
          <w:i/>
          <w:sz w:val="24"/>
          <w:szCs w:val="24"/>
          <w:lang w:val="ro-MD"/>
        </w:rPr>
        <w:t>ț</w:t>
      </w:r>
      <w:r w:rsidRPr="0080251F">
        <w:rPr>
          <w:rFonts w:ascii="Times New Roman" w:eastAsia="Times New Roman" w:hAnsi="Times New Roman" w:cs="Times New Roman"/>
          <w:i/>
          <w:sz w:val="24"/>
          <w:szCs w:val="24"/>
          <w:lang w:val="ro-MD"/>
        </w:rPr>
        <w:t xml:space="preserve">ă a consumului de energie electrică (pct. 4.1.1., </w:t>
      </w:r>
      <w:r w:rsidR="00365E11" w:rsidRPr="0080251F">
        <w:rPr>
          <w:rFonts w:ascii="Times New Roman" w:eastAsia="Times New Roman" w:hAnsi="Times New Roman" w:cs="Times New Roman"/>
          <w:i/>
          <w:sz w:val="24"/>
          <w:szCs w:val="24"/>
          <w:lang w:val="ro-MD"/>
        </w:rPr>
        <w:t xml:space="preserve">pct. </w:t>
      </w:r>
      <w:r w:rsidRPr="0080251F">
        <w:rPr>
          <w:rFonts w:ascii="Times New Roman" w:eastAsia="Times New Roman" w:hAnsi="Times New Roman" w:cs="Times New Roman"/>
          <w:i/>
          <w:sz w:val="24"/>
          <w:szCs w:val="24"/>
          <w:lang w:val="ro-MD"/>
        </w:rPr>
        <w:t>4.1.2</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 xml:space="preserve">, </w:t>
      </w:r>
      <w:r w:rsidR="00365E11" w:rsidRPr="0080251F">
        <w:rPr>
          <w:rFonts w:ascii="Times New Roman" w:eastAsia="Times New Roman" w:hAnsi="Times New Roman" w:cs="Times New Roman"/>
          <w:i/>
          <w:sz w:val="24"/>
          <w:szCs w:val="24"/>
          <w:lang w:val="ro-MD"/>
        </w:rPr>
        <w:t xml:space="preserve">pct. </w:t>
      </w:r>
      <w:r w:rsidRPr="0080251F">
        <w:rPr>
          <w:rFonts w:ascii="Times New Roman" w:eastAsia="Times New Roman" w:hAnsi="Times New Roman" w:cs="Times New Roman"/>
          <w:i/>
          <w:sz w:val="24"/>
          <w:szCs w:val="24"/>
          <w:lang w:val="ro-MD"/>
        </w:rPr>
        <w:t>4.1.4</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w:t>
      </w:r>
    </w:p>
    <w:p w14:paraId="3D34A920" w14:textId="03CA3ECA" w:rsidR="00165D21" w:rsidRPr="0080251F" w:rsidRDefault="00165D21" w:rsidP="00165D21">
      <w:pPr>
        <w:pStyle w:val="a6"/>
        <w:numPr>
          <w:ilvl w:val="0"/>
          <w:numId w:val="33"/>
        </w:numPr>
        <w:tabs>
          <w:tab w:val="left" w:pos="284"/>
        </w:tabs>
        <w:spacing w:after="0" w:line="276" w:lineRule="auto"/>
        <w:ind w:left="0" w:firstLine="0"/>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i/>
          <w:sz w:val="24"/>
          <w:szCs w:val="24"/>
          <w:lang w:val="ro-MD"/>
        </w:rPr>
        <w:t>Să efectueze inventarierea bunurilor</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 xml:space="preserve"> cu identificarea și înregistrarea în liste separate a imobilizărilor neutilizate (pct. 4.6.1.);</w:t>
      </w:r>
    </w:p>
    <w:p w14:paraId="4C63354E" w14:textId="56727CD7" w:rsidR="007A5E78" w:rsidRPr="0080251F" w:rsidRDefault="007A5E78" w:rsidP="00165D21">
      <w:pPr>
        <w:pStyle w:val="a6"/>
        <w:numPr>
          <w:ilvl w:val="0"/>
          <w:numId w:val="33"/>
        </w:numPr>
        <w:tabs>
          <w:tab w:val="left" w:pos="284"/>
        </w:tabs>
        <w:spacing w:after="0" w:line="276" w:lineRule="auto"/>
        <w:ind w:left="0" w:firstLine="0"/>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bCs/>
          <w:i/>
          <w:iCs/>
          <w:sz w:val="24"/>
          <w:szCs w:val="24"/>
          <w:lang w:val="ro-MD"/>
        </w:rPr>
        <w:t>Să eficientizeze utilizarea bunurilor imobile, cu asigurarea încasării veniturilor respective din gestiunea lor</w:t>
      </w:r>
      <w:r w:rsidR="00C96364" w:rsidRPr="0080251F">
        <w:rPr>
          <w:rFonts w:ascii="Times New Roman" w:eastAsia="Times New Roman" w:hAnsi="Times New Roman" w:cs="Times New Roman"/>
          <w:bCs/>
          <w:i/>
          <w:iCs/>
          <w:sz w:val="24"/>
          <w:szCs w:val="24"/>
          <w:lang w:val="ro-MD"/>
        </w:rPr>
        <w:t xml:space="preserve"> </w:t>
      </w:r>
      <w:r w:rsidR="00C96364" w:rsidRPr="0080251F">
        <w:rPr>
          <w:rFonts w:ascii="Times New Roman" w:eastAsia="Times New Roman" w:hAnsi="Times New Roman" w:cs="Times New Roman"/>
          <w:i/>
          <w:sz w:val="24"/>
          <w:szCs w:val="24"/>
          <w:lang w:val="ro-MD"/>
        </w:rPr>
        <w:t>(pct. 4.6.1.);</w:t>
      </w:r>
    </w:p>
    <w:p w14:paraId="463FD23A" w14:textId="269F4C5A" w:rsidR="004141B4" w:rsidRPr="0080251F" w:rsidRDefault="004141B4" w:rsidP="00165D21">
      <w:pPr>
        <w:numPr>
          <w:ilvl w:val="0"/>
          <w:numId w:val="33"/>
        </w:numPr>
        <w:shd w:val="clear" w:color="auto" w:fill="FFFFFF"/>
        <w:tabs>
          <w:tab w:val="left" w:pos="284"/>
        </w:tabs>
        <w:spacing w:after="0" w:line="276" w:lineRule="auto"/>
        <w:ind w:left="0" w:firstLine="0"/>
        <w:contextualSpacing/>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i/>
          <w:sz w:val="24"/>
          <w:szCs w:val="24"/>
          <w:lang w:val="ro-MD"/>
        </w:rPr>
        <w:t>Să asigure, în contextul neconformităților constatate, efectuarea reevaluării imobilizărilor corporale</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 xml:space="preserve"> cu aprecierea conformă a termenelor de utilizare a lor (pct. 4.1.3</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w:t>
      </w:r>
    </w:p>
    <w:p w14:paraId="07848E06" w14:textId="6AD0BB2B" w:rsidR="00276303" w:rsidRPr="0080251F" w:rsidRDefault="00276303" w:rsidP="004141B4">
      <w:pPr>
        <w:numPr>
          <w:ilvl w:val="0"/>
          <w:numId w:val="33"/>
        </w:numPr>
        <w:shd w:val="clear" w:color="auto" w:fill="FFFFFF"/>
        <w:tabs>
          <w:tab w:val="left" w:pos="284"/>
        </w:tabs>
        <w:spacing w:after="0" w:line="276" w:lineRule="auto"/>
        <w:ind w:left="0" w:firstLine="0"/>
        <w:contextualSpacing/>
        <w:jc w:val="both"/>
        <w:rPr>
          <w:rFonts w:ascii="Times New Roman" w:eastAsia="Times New Roman" w:hAnsi="Times New Roman" w:cs="Times New Roman"/>
          <w:i/>
          <w:color w:val="FF0000"/>
          <w:sz w:val="24"/>
          <w:szCs w:val="24"/>
          <w:lang w:val="ro-MD"/>
        </w:rPr>
      </w:pPr>
      <w:r w:rsidRPr="0080251F">
        <w:rPr>
          <w:rFonts w:ascii="Times New Roman" w:eastAsia="Times New Roman" w:hAnsi="Times New Roman" w:cs="Times New Roman"/>
          <w:i/>
          <w:sz w:val="24"/>
          <w:szCs w:val="24"/>
          <w:lang w:val="ro-MD"/>
        </w:rPr>
        <w:t>Să revizuiască politicile contabile</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 xml:space="preserve"> cu excluderea prevederilor privind formarea provizioanelor aferente stocurilor fără mișcare </w:t>
      </w:r>
      <w:r w:rsidR="001261C6" w:rsidRPr="0080251F">
        <w:rPr>
          <w:rFonts w:ascii="Times New Roman" w:eastAsia="Times New Roman" w:hAnsi="Times New Roman" w:cs="Times New Roman"/>
          <w:i/>
          <w:sz w:val="24"/>
          <w:szCs w:val="24"/>
          <w:lang w:val="ro-MD"/>
        </w:rPr>
        <w:t>(pct. 4.2</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w:t>
      </w:r>
    </w:p>
    <w:p w14:paraId="0349241F" w14:textId="0C66BDDC" w:rsidR="00276303" w:rsidRPr="0080251F" w:rsidRDefault="00276303" w:rsidP="004141B4">
      <w:pPr>
        <w:numPr>
          <w:ilvl w:val="0"/>
          <w:numId w:val="33"/>
        </w:numPr>
        <w:shd w:val="clear" w:color="auto" w:fill="FFFFFF"/>
        <w:tabs>
          <w:tab w:val="left" w:pos="284"/>
        </w:tabs>
        <w:spacing w:after="0" w:line="276" w:lineRule="auto"/>
        <w:ind w:left="0" w:firstLine="0"/>
        <w:contextualSpacing/>
        <w:jc w:val="both"/>
        <w:rPr>
          <w:rFonts w:ascii="Times New Roman" w:eastAsia="Times New Roman" w:hAnsi="Times New Roman" w:cs="Times New Roman"/>
          <w:i/>
          <w:color w:val="FF0000"/>
          <w:sz w:val="24"/>
          <w:szCs w:val="24"/>
          <w:lang w:val="ro-MD"/>
        </w:rPr>
      </w:pPr>
      <w:r w:rsidRPr="0080251F">
        <w:rPr>
          <w:rFonts w:ascii="Times New Roman" w:eastAsia="Times New Roman" w:hAnsi="Times New Roman" w:cs="Times New Roman"/>
          <w:i/>
          <w:sz w:val="24"/>
          <w:szCs w:val="24"/>
          <w:lang w:val="ro-MD"/>
        </w:rPr>
        <w:t>Să asigure formarea ajustărilor pentru deprecierea stocurilor pentru fiecare perioadă de raportare</w:t>
      </w:r>
      <w:r w:rsidR="009841FE"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 xml:space="preserve"> cu o nouă estimare a valorii realizabile nete</w:t>
      </w:r>
      <w:r w:rsidR="009841FE"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 xml:space="preserve"> cu contabilizarea diferențelor în componența cheltuielilor curente (contul 714 „Alte cheltuieli din activitatea operațională”) și/sau</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 xml:space="preserve"> după caz</w:t>
      </w:r>
      <w:r w:rsidR="00365E11" w:rsidRPr="0080251F">
        <w:rPr>
          <w:rFonts w:ascii="Times New Roman" w:eastAsia="Times New Roman" w:hAnsi="Times New Roman" w:cs="Times New Roman"/>
          <w:i/>
          <w:sz w:val="24"/>
          <w:szCs w:val="24"/>
          <w:lang w:val="ro-MD"/>
        </w:rPr>
        <w:t>,</w:t>
      </w:r>
      <w:r w:rsidRPr="0080251F">
        <w:rPr>
          <w:rFonts w:ascii="Times New Roman" w:eastAsia="Times New Roman" w:hAnsi="Times New Roman" w:cs="Times New Roman"/>
          <w:i/>
          <w:sz w:val="24"/>
          <w:szCs w:val="24"/>
          <w:lang w:val="ro-MD"/>
        </w:rPr>
        <w:t xml:space="preserve"> </w:t>
      </w:r>
      <w:r w:rsidR="009841FE" w:rsidRPr="0080251F">
        <w:rPr>
          <w:rFonts w:ascii="Times New Roman" w:eastAsia="Times New Roman" w:hAnsi="Times New Roman" w:cs="Times New Roman"/>
          <w:i/>
          <w:sz w:val="24"/>
          <w:szCs w:val="24"/>
          <w:lang w:val="ro-MD"/>
        </w:rPr>
        <w:t xml:space="preserve"> </w:t>
      </w:r>
      <w:r w:rsidRPr="0080251F">
        <w:rPr>
          <w:rFonts w:ascii="Times New Roman" w:eastAsia="Times New Roman" w:hAnsi="Times New Roman" w:cs="Times New Roman"/>
          <w:i/>
          <w:sz w:val="24"/>
          <w:szCs w:val="24"/>
          <w:lang w:val="ro-MD"/>
        </w:rPr>
        <w:t xml:space="preserve">veniturilor curente (contul 612 „Alte venituri din activitatea operațională”) </w:t>
      </w:r>
      <w:r w:rsidR="001261C6" w:rsidRPr="0080251F">
        <w:rPr>
          <w:rFonts w:ascii="Times New Roman" w:eastAsia="Times New Roman" w:hAnsi="Times New Roman" w:cs="Times New Roman"/>
          <w:i/>
          <w:sz w:val="24"/>
          <w:szCs w:val="24"/>
          <w:lang w:val="ro-MD"/>
        </w:rPr>
        <w:t>(pct. 4.2.</w:t>
      </w:r>
      <w:r w:rsidRPr="0080251F">
        <w:rPr>
          <w:rFonts w:ascii="Times New Roman" w:eastAsia="Times New Roman" w:hAnsi="Times New Roman" w:cs="Times New Roman"/>
          <w:i/>
          <w:sz w:val="24"/>
          <w:szCs w:val="24"/>
          <w:lang w:val="ro-MD"/>
        </w:rPr>
        <w:t>);</w:t>
      </w:r>
    </w:p>
    <w:p w14:paraId="27FB659F" w14:textId="317AC9B8" w:rsidR="00276303" w:rsidRPr="0080251F" w:rsidRDefault="00E54335" w:rsidP="004141B4">
      <w:pPr>
        <w:numPr>
          <w:ilvl w:val="0"/>
          <w:numId w:val="33"/>
        </w:numPr>
        <w:shd w:val="clear" w:color="auto" w:fill="FFFFFF"/>
        <w:tabs>
          <w:tab w:val="left" w:pos="284"/>
          <w:tab w:val="left" w:pos="426"/>
        </w:tabs>
        <w:spacing w:after="0" w:line="276" w:lineRule="auto"/>
        <w:ind w:left="0" w:firstLine="0"/>
        <w:contextualSpacing/>
        <w:jc w:val="both"/>
        <w:rPr>
          <w:rFonts w:ascii="Times New Roman" w:eastAsia="Times New Roman" w:hAnsi="Times New Roman" w:cs="Times New Roman"/>
          <w:i/>
          <w:color w:val="FF0000"/>
          <w:sz w:val="24"/>
          <w:szCs w:val="24"/>
          <w:lang w:val="ro-MD"/>
        </w:rPr>
      </w:pPr>
      <w:r w:rsidRPr="0080251F">
        <w:rPr>
          <w:rFonts w:ascii="Times New Roman" w:eastAsia="Times New Roman" w:hAnsi="Times New Roman" w:cs="Times New Roman"/>
          <w:i/>
          <w:sz w:val="24"/>
          <w:szCs w:val="24"/>
          <w:lang w:val="ro-MD"/>
        </w:rPr>
        <w:t xml:space="preserve">Să instituie proceduri de control intern eficiente, menite să asigure înregistrarea justă a consumului efectiv de materiale și raportarea conformă a soldului de materiale în perioada de gestiune, inclusiv cel obținut de la demontarea </w:t>
      </w:r>
      <w:r w:rsidR="00072761" w:rsidRPr="0080251F">
        <w:rPr>
          <w:rFonts w:ascii="Times New Roman" w:eastAsia="Times New Roman" w:hAnsi="Times New Roman" w:cs="Times New Roman"/>
          <w:i/>
          <w:sz w:val="24"/>
          <w:szCs w:val="24"/>
          <w:lang w:val="ro-MD"/>
        </w:rPr>
        <w:t xml:space="preserve">efectivă a </w:t>
      </w:r>
      <w:r w:rsidRPr="0080251F">
        <w:rPr>
          <w:rFonts w:ascii="Times New Roman" w:eastAsia="Times New Roman" w:hAnsi="Times New Roman" w:cs="Times New Roman"/>
          <w:i/>
          <w:sz w:val="24"/>
          <w:szCs w:val="24"/>
          <w:lang w:val="ro-MD"/>
        </w:rPr>
        <w:t xml:space="preserve">liniilor electrice </w:t>
      </w:r>
      <w:r w:rsidR="001261C6" w:rsidRPr="0080251F">
        <w:rPr>
          <w:rFonts w:ascii="Times New Roman" w:eastAsia="Times New Roman" w:hAnsi="Times New Roman" w:cs="Times New Roman"/>
          <w:i/>
          <w:sz w:val="24"/>
          <w:szCs w:val="24"/>
          <w:lang w:val="ro-MD"/>
        </w:rPr>
        <w:t>(pct. 4.2.</w:t>
      </w:r>
      <w:r w:rsidR="00276303" w:rsidRPr="0080251F">
        <w:rPr>
          <w:rFonts w:ascii="Times New Roman" w:eastAsia="Times New Roman" w:hAnsi="Times New Roman" w:cs="Times New Roman"/>
          <w:i/>
          <w:sz w:val="24"/>
          <w:szCs w:val="24"/>
          <w:lang w:val="ro-MD"/>
        </w:rPr>
        <w:t xml:space="preserve">); </w:t>
      </w:r>
    </w:p>
    <w:p w14:paraId="4DE99AAF" w14:textId="13CA0696" w:rsidR="00E54335" w:rsidRPr="0080251F" w:rsidRDefault="00276303" w:rsidP="00F94179">
      <w:pPr>
        <w:numPr>
          <w:ilvl w:val="0"/>
          <w:numId w:val="33"/>
        </w:numPr>
        <w:shd w:val="clear" w:color="auto" w:fill="FFFFFF"/>
        <w:tabs>
          <w:tab w:val="left" w:pos="284"/>
        </w:tabs>
        <w:spacing w:after="0" w:line="276" w:lineRule="auto"/>
        <w:ind w:left="0" w:firstLine="0"/>
        <w:contextualSpacing/>
        <w:jc w:val="both"/>
        <w:rPr>
          <w:rFonts w:ascii="Times New Roman" w:eastAsia="Times New Roman" w:hAnsi="Times New Roman" w:cs="Times New Roman"/>
          <w:i/>
          <w:color w:val="FF0000"/>
          <w:sz w:val="24"/>
          <w:szCs w:val="24"/>
          <w:lang w:val="ro-MD"/>
        </w:rPr>
      </w:pPr>
      <w:r w:rsidRPr="0080251F">
        <w:rPr>
          <w:rFonts w:ascii="Times New Roman" w:eastAsia="Times New Roman" w:hAnsi="Times New Roman" w:cs="Times New Roman"/>
          <w:i/>
          <w:sz w:val="24"/>
          <w:szCs w:val="24"/>
          <w:lang w:val="ro-MD"/>
        </w:rPr>
        <w:t xml:space="preserve">Să asigure elaborarea normelor de muncă </w:t>
      </w:r>
      <w:r w:rsidR="00E54335" w:rsidRPr="0080251F">
        <w:rPr>
          <w:rFonts w:ascii="Times New Roman" w:eastAsia="Times New Roman" w:hAnsi="Times New Roman" w:cs="Times New Roman"/>
          <w:bCs/>
          <w:i/>
          <w:sz w:val="24"/>
          <w:szCs w:val="24"/>
          <w:lang w:val="ro-MD"/>
        </w:rPr>
        <w:t>locale</w:t>
      </w:r>
      <w:r w:rsidR="00E54335" w:rsidRPr="0080251F">
        <w:rPr>
          <w:rFonts w:ascii="Times New Roman" w:eastAsia="Times New Roman" w:hAnsi="Times New Roman" w:cs="Times New Roman"/>
          <w:i/>
          <w:sz w:val="24"/>
          <w:szCs w:val="24"/>
          <w:lang w:val="ro-MD"/>
        </w:rPr>
        <w:t xml:space="preserve"> </w:t>
      </w:r>
      <w:r w:rsidR="004141B4" w:rsidRPr="0080251F">
        <w:rPr>
          <w:rFonts w:ascii="Times New Roman" w:eastAsia="Times New Roman" w:hAnsi="Times New Roman" w:cs="Times New Roman"/>
          <w:bCs/>
          <w:i/>
          <w:sz w:val="24"/>
          <w:szCs w:val="24"/>
          <w:lang w:val="ro-MD"/>
        </w:rPr>
        <w:t>(pct. 4.4.1.).</w:t>
      </w:r>
    </w:p>
    <w:p w14:paraId="71A6F3D1" w14:textId="15C2529A" w:rsidR="00276303" w:rsidRPr="0080251F" w:rsidRDefault="00C909E9" w:rsidP="00C93F0B">
      <w:pPr>
        <w:pStyle w:val="a6"/>
        <w:numPr>
          <w:ilvl w:val="0"/>
          <w:numId w:val="33"/>
        </w:numPr>
        <w:tabs>
          <w:tab w:val="left" w:pos="284"/>
          <w:tab w:val="left" w:pos="426"/>
        </w:tabs>
        <w:spacing w:after="0" w:line="276" w:lineRule="auto"/>
        <w:ind w:left="0" w:firstLine="0"/>
        <w:jc w:val="both"/>
        <w:rPr>
          <w:rFonts w:ascii="Times New Roman" w:eastAsia="Times New Roman" w:hAnsi="Times New Roman" w:cs="Times New Roman"/>
          <w:i/>
          <w:sz w:val="24"/>
          <w:szCs w:val="24"/>
          <w:lang w:val="ro-MD"/>
        </w:rPr>
      </w:pPr>
      <w:r w:rsidRPr="0080251F">
        <w:rPr>
          <w:rFonts w:ascii="Times New Roman" w:eastAsia="Times New Roman" w:hAnsi="Times New Roman" w:cs="Times New Roman"/>
          <w:i/>
          <w:sz w:val="24"/>
          <w:szCs w:val="24"/>
          <w:lang w:val="ro-MD"/>
        </w:rPr>
        <w:t>Să instituie proceduri de control intern eficiente, menite să asigure ajustarea conformă și în termen a planului anual de investiții în obiectele de infrastructură, pentru a exclude neacceptarea unor cheltuieli în scopuri tarifare (pct. 4.6.).</w:t>
      </w:r>
    </w:p>
    <w:p w14:paraId="1E71EDFE" w14:textId="13200E66" w:rsidR="002D62C8" w:rsidRPr="0080251F" w:rsidRDefault="002D62C8" w:rsidP="00CC123C">
      <w:pPr>
        <w:pStyle w:val="cn"/>
        <w:spacing w:line="276" w:lineRule="auto"/>
        <w:ind w:right="71"/>
        <w:jc w:val="both"/>
        <w:rPr>
          <w:b/>
          <w:color w:val="5B9BD5" w:themeColor="accent1"/>
          <w:lang w:val="ro-MD"/>
        </w:rPr>
      </w:pPr>
    </w:p>
    <w:p w14:paraId="2FC30A31" w14:textId="6F91EAFF" w:rsidR="00E60986" w:rsidRPr="0080251F" w:rsidRDefault="00E60986" w:rsidP="00025EBB">
      <w:pPr>
        <w:pStyle w:val="cn"/>
        <w:spacing w:line="276" w:lineRule="auto"/>
        <w:ind w:right="71"/>
        <w:jc w:val="both"/>
        <w:outlineLvl w:val="0"/>
        <w:rPr>
          <w:rFonts w:eastAsiaTheme="minorHAnsi"/>
          <w:b/>
          <w:color w:val="1F4E79" w:themeColor="accent1" w:themeShade="80"/>
          <w:lang w:val="ro-MD" w:eastAsia="en-US"/>
        </w:rPr>
      </w:pPr>
      <w:bookmarkStart w:id="29" w:name="_Toc161169702"/>
      <w:r w:rsidRPr="0080251F">
        <w:rPr>
          <w:b/>
          <w:color w:val="5B9BD5" w:themeColor="accent1"/>
          <w:lang w:val="ro-MD"/>
        </w:rPr>
        <w:t>Semnătur</w:t>
      </w:r>
      <w:r w:rsidR="00533331" w:rsidRPr="0080251F">
        <w:rPr>
          <w:b/>
          <w:color w:val="5B9BD5" w:themeColor="accent1"/>
          <w:lang w:val="ro-MD"/>
        </w:rPr>
        <w:t xml:space="preserve">ile echipei </w:t>
      </w:r>
      <w:r w:rsidR="00551229" w:rsidRPr="0080251F">
        <w:rPr>
          <w:b/>
          <w:color w:val="5B9BD5" w:themeColor="accent1"/>
          <w:lang w:val="ro-MD"/>
        </w:rPr>
        <w:t>misiunii</w:t>
      </w:r>
      <w:bookmarkEnd w:id="29"/>
      <w:r w:rsidR="00551229" w:rsidRPr="0080251F">
        <w:rPr>
          <w:b/>
          <w:color w:val="5B9BD5" w:themeColor="accent1"/>
          <w:lang w:val="ro-MD"/>
        </w:rPr>
        <w:t xml:space="preserve"> </w:t>
      </w:r>
    </w:p>
    <w:p w14:paraId="6D091F55" w14:textId="274E1FC4" w:rsidR="00533331" w:rsidRPr="0080251F" w:rsidRDefault="002D62C8" w:rsidP="00FB3BB0">
      <w:pPr>
        <w:tabs>
          <w:tab w:val="left" w:pos="1080"/>
        </w:tabs>
        <w:spacing w:after="0" w:line="276" w:lineRule="auto"/>
        <w:contextualSpacing/>
        <w:jc w:val="both"/>
        <w:rPr>
          <w:rFonts w:ascii="Times New Roman" w:hAnsi="Times New Roman" w:cs="Times New Roman"/>
          <w:b/>
          <w:iCs/>
          <w:sz w:val="24"/>
          <w:szCs w:val="24"/>
          <w:lang w:val="ro-MD"/>
        </w:rPr>
      </w:pPr>
      <w:r w:rsidRPr="0080251F">
        <w:rPr>
          <w:rFonts w:ascii="Times New Roman" w:hAnsi="Times New Roman" w:cs="Times New Roman"/>
          <w:b/>
          <w:iCs/>
          <w:sz w:val="24"/>
          <w:szCs w:val="24"/>
          <w:lang w:val="ro-MD"/>
        </w:rPr>
        <w:t>Responsabilul</w:t>
      </w:r>
      <w:r w:rsidR="00533331" w:rsidRPr="0080251F">
        <w:rPr>
          <w:rFonts w:ascii="Times New Roman" w:hAnsi="Times New Roman" w:cs="Times New Roman"/>
          <w:b/>
          <w:iCs/>
          <w:sz w:val="24"/>
          <w:szCs w:val="24"/>
          <w:lang w:val="ro-MD"/>
        </w:rPr>
        <w:t xml:space="preserve"> de întocmirea Raportului de audit:</w:t>
      </w:r>
    </w:p>
    <w:p w14:paraId="70765A0C" w14:textId="1BA20736" w:rsidR="00533331" w:rsidRPr="0080251F" w:rsidRDefault="009841FE" w:rsidP="0018430B">
      <w:pPr>
        <w:tabs>
          <w:tab w:val="left" w:pos="1080"/>
        </w:tabs>
        <w:spacing w:after="0" w:line="276" w:lineRule="auto"/>
        <w:contextualSpacing/>
        <w:jc w:val="both"/>
        <w:rPr>
          <w:rFonts w:ascii="Times New Roman" w:hAnsi="Times New Roman" w:cs="Times New Roman"/>
          <w:bCs/>
          <w:iCs/>
          <w:sz w:val="24"/>
          <w:szCs w:val="24"/>
          <w:lang w:val="ro-MD"/>
        </w:rPr>
      </w:pPr>
      <w:r w:rsidRPr="0080251F">
        <w:rPr>
          <w:rFonts w:ascii="Times New Roman" w:hAnsi="Times New Roman" w:cs="Times New Roman"/>
          <w:bCs/>
          <w:iCs/>
          <w:sz w:val="24"/>
          <w:szCs w:val="24"/>
          <w:lang w:val="ro-MD"/>
        </w:rPr>
        <w:t>ș</w:t>
      </w:r>
      <w:r w:rsidR="002D62C8" w:rsidRPr="0080251F">
        <w:rPr>
          <w:rFonts w:ascii="Times New Roman" w:hAnsi="Times New Roman" w:cs="Times New Roman"/>
          <w:bCs/>
          <w:iCs/>
          <w:sz w:val="24"/>
          <w:szCs w:val="24"/>
          <w:lang w:val="ro-MD"/>
        </w:rPr>
        <w:t>eful</w:t>
      </w:r>
      <w:r w:rsidR="00533331" w:rsidRPr="0080251F">
        <w:rPr>
          <w:rFonts w:ascii="Times New Roman" w:hAnsi="Times New Roman" w:cs="Times New Roman"/>
          <w:bCs/>
          <w:iCs/>
          <w:sz w:val="24"/>
          <w:szCs w:val="24"/>
          <w:lang w:val="ro-MD"/>
        </w:rPr>
        <w:t xml:space="preserve"> echipei de audit, </w:t>
      </w:r>
      <w:r w:rsidR="002D62C8" w:rsidRPr="0080251F">
        <w:rPr>
          <w:rFonts w:ascii="Times New Roman" w:hAnsi="Times New Roman" w:cs="Times New Roman"/>
          <w:sz w:val="24"/>
          <w:szCs w:val="24"/>
          <w:lang w:val="ro-MD"/>
        </w:rPr>
        <w:t>auditor public principal</w:t>
      </w:r>
      <w:r w:rsidR="00533331" w:rsidRPr="0080251F">
        <w:rPr>
          <w:rFonts w:ascii="Times New Roman" w:hAnsi="Times New Roman" w:cs="Times New Roman"/>
          <w:bCs/>
          <w:iCs/>
          <w:sz w:val="24"/>
          <w:szCs w:val="24"/>
          <w:lang w:val="ro-MD"/>
        </w:rPr>
        <w:t xml:space="preserve">                                       </w:t>
      </w:r>
      <w:r w:rsidR="0018430B" w:rsidRPr="0080251F">
        <w:rPr>
          <w:rFonts w:ascii="Times New Roman" w:hAnsi="Times New Roman" w:cs="Times New Roman"/>
          <w:bCs/>
          <w:iCs/>
          <w:sz w:val="24"/>
          <w:szCs w:val="24"/>
          <w:lang w:val="ro-MD"/>
        </w:rPr>
        <w:t xml:space="preserve">  </w:t>
      </w:r>
      <w:r w:rsidR="002D62C8" w:rsidRPr="0080251F">
        <w:rPr>
          <w:rFonts w:ascii="Times New Roman" w:hAnsi="Times New Roman" w:cs="Times New Roman"/>
          <w:bCs/>
          <w:iCs/>
          <w:sz w:val="24"/>
          <w:szCs w:val="24"/>
          <w:lang w:val="ro-MD"/>
        </w:rPr>
        <w:t xml:space="preserve">                        Igor LUNGU</w:t>
      </w:r>
    </w:p>
    <w:p w14:paraId="1EECAD2B" w14:textId="77777777" w:rsidR="00533331" w:rsidRPr="0080251F" w:rsidRDefault="00533331" w:rsidP="00F95B3A">
      <w:pPr>
        <w:tabs>
          <w:tab w:val="left" w:pos="1080"/>
        </w:tabs>
        <w:spacing w:after="0" w:line="276" w:lineRule="auto"/>
        <w:contextualSpacing/>
        <w:jc w:val="both"/>
        <w:rPr>
          <w:rFonts w:ascii="Times New Roman" w:hAnsi="Times New Roman" w:cs="Times New Roman"/>
          <w:bCs/>
          <w:iCs/>
          <w:sz w:val="24"/>
          <w:szCs w:val="24"/>
          <w:lang w:val="ro-MD"/>
        </w:rPr>
      </w:pPr>
    </w:p>
    <w:p w14:paraId="4266AD10" w14:textId="0EA18882" w:rsidR="00533331" w:rsidRPr="0080251F" w:rsidRDefault="00533331" w:rsidP="00F95B3A">
      <w:pPr>
        <w:tabs>
          <w:tab w:val="left" w:pos="1080"/>
        </w:tabs>
        <w:spacing w:after="0" w:line="276" w:lineRule="auto"/>
        <w:contextualSpacing/>
        <w:jc w:val="both"/>
        <w:rPr>
          <w:rFonts w:ascii="Times New Roman" w:hAnsi="Times New Roman" w:cs="Times New Roman"/>
          <w:b/>
          <w:sz w:val="24"/>
          <w:szCs w:val="24"/>
          <w:lang w:val="ro-MD"/>
        </w:rPr>
      </w:pPr>
      <w:r w:rsidRPr="0080251F">
        <w:rPr>
          <w:rFonts w:ascii="Times New Roman" w:hAnsi="Times New Roman" w:cs="Times New Roman"/>
          <w:b/>
          <w:iCs/>
          <w:sz w:val="24"/>
          <w:szCs w:val="24"/>
          <w:lang w:val="ro-MD"/>
        </w:rPr>
        <w:t>Membrii echipei de audit:</w:t>
      </w:r>
    </w:p>
    <w:p w14:paraId="7F459FE1" w14:textId="64349196" w:rsidR="00E60986" w:rsidRPr="0080251F" w:rsidRDefault="002D62C8" w:rsidP="009D0DE5">
      <w:pPr>
        <w:tabs>
          <w:tab w:val="left" w:pos="1080"/>
        </w:tabs>
        <w:spacing w:line="276" w:lineRule="auto"/>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Auditor public principal</w:t>
      </w:r>
      <w:r w:rsidR="00533331" w:rsidRPr="0080251F">
        <w:rPr>
          <w:rFonts w:ascii="Times New Roman" w:hAnsi="Times New Roman" w:cs="Times New Roman"/>
          <w:sz w:val="24"/>
          <w:szCs w:val="24"/>
          <w:lang w:val="ro-MD"/>
        </w:rPr>
        <w:t xml:space="preserve">                         </w:t>
      </w:r>
      <w:r w:rsidR="0018430B" w:rsidRPr="0080251F">
        <w:rPr>
          <w:rFonts w:ascii="Times New Roman" w:hAnsi="Times New Roman" w:cs="Times New Roman"/>
          <w:sz w:val="24"/>
          <w:szCs w:val="24"/>
          <w:lang w:val="ro-MD"/>
        </w:rPr>
        <w:tab/>
      </w:r>
      <w:r w:rsidR="0018430B" w:rsidRPr="0080251F">
        <w:rPr>
          <w:rFonts w:ascii="Times New Roman" w:hAnsi="Times New Roman" w:cs="Times New Roman"/>
          <w:sz w:val="24"/>
          <w:szCs w:val="24"/>
          <w:lang w:val="ro-MD"/>
        </w:rPr>
        <w:tab/>
      </w:r>
      <w:r w:rsidR="0018430B" w:rsidRPr="0080251F">
        <w:rPr>
          <w:rFonts w:ascii="Times New Roman" w:hAnsi="Times New Roman" w:cs="Times New Roman"/>
          <w:sz w:val="24"/>
          <w:szCs w:val="24"/>
          <w:lang w:val="ro-MD"/>
        </w:rPr>
        <w:tab/>
        <w:t xml:space="preserve">            </w:t>
      </w:r>
      <w:r w:rsidR="00533331" w:rsidRPr="0080251F">
        <w:rPr>
          <w:rFonts w:ascii="Times New Roman" w:hAnsi="Times New Roman" w:cs="Times New Roman"/>
          <w:sz w:val="24"/>
          <w:szCs w:val="24"/>
          <w:lang w:val="ro-MD"/>
        </w:rPr>
        <w:t xml:space="preserve">             </w:t>
      </w:r>
      <w:r w:rsidRPr="0080251F">
        <w:rPr>
          <w:rFonts w:ascii="Times New Roman" w:hAnsi="Times New Roman" w:cs="Times New Roman"/>
          <w:sz w:val="24"/>
          <w:szCs w:val="24"/>
          <w:lang w:val="ro-MD"/>
        </w:rPr>
        <w:t>Victor GAMULINSCHI</w:t>
      </w:r>
    </w:p>
    <w:p w14:paraId="5FC1FCE6" w14:textId="1F367B8E" w:rsidR="00E60986" w:rsidRPr="0080251F" w:rsidRDefault="00E60986" w:rsidP="009D0DE5">
      <w:pPr>
        <w:tabs>
          <w:tab w:val="left" w:pos="1080"/>
        </w:tabs>
        <w:spacing w:line="276" w:lineRule="auto"/>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Auditor public</w:t>
      </w:r>
      <w:r w:rsidR="002D62C8" w:rsidRPr="0080251F">
        <w:rPr>
          <w:rFonts w:ascii="Times New Roman" w:hAnsi="Times New Roman" w:cs="Times New Roman"/>
          <w:sz w:val="24"/>
          <w:szCs w:val="24"/>
          <w:lang w:val="ro-MD"/>
        </w:rPr>
        <w:t xml:space="preserve"> principal</w:t>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00533331" w:rsidRPr="0080251F">
        <w:rPr>
          <w:rFonts w:ascii="Times New Roman" w:hAnsi="Times New Roman" w:cs="Times New Roman"/>
          <w:sz w:val="24"/>
          <w:szCs w:val="24"/>
          <w:lang w:val="ro-MD"/>
        </w:rPr>
        <w:t xml:space="preserve">                                          </w:t>
      </w:r>
      <w:r w:rsidR="008D015B" w:rsidRPr="0080251F">
        <w:rPr>
          <w:rFonts w:ascii="Times New Roman" w:hAnsi="Times New Roman" w:cs="Times New Roman"/>
          <w:sz w:val="24"/>
          <w:szCs w:val="24"/>
          <w:lang w:val="ro-MD"/>
        </w:rPr>
        <w:t xml:space="preserve"> </w:t>
      </w:r>
      <w:r w:rsidR="002D62C8" w:rsidRPr="0080251F">
        <w:rPr>
          <w:rFonts w:ascii="Times New Roman" w:hAnsi="Times New Roman" w:cs="Times New Roman"/>
          <w:sz w:val="24"/>
          <w:szCs w:val="24"/>
          <w:lang w:val="ro-MD"/>
        </w:rPr>
        <w:t>Dorin CIUBOTARU</w:t>
      </w:r>
    </w:p>
    <w:p w14:paraId="6EA6FB17" w14:textId="5E78B4D8" w:rsidR="00E60986" w:rsidRPr="0080251F" w:rsidRDefault="00E60986" w:rsidP="00FB3BB0">
      <w:pPr>
        <w:tabs>
          <w:tab w:val="left" w:pos="1080"/>
        </w:tabs>
        <w:spacing w:after="0" w:line="276" w:lineRule="auto"/>
        <w:contextualSpacing/>
        <w:jc w:val="both"/>
        <w:rPr>
          <w:rFonts w:ascii="Times New Roman" w:hAnsi="Times New Roman" w:cs="Times New Roman"/>
          <w:sz w:val="24"/>
          <w:szCs w:val="24"/>
          <w:lang w:val="ro-MD"/>
        </w:rPr>
      </w:pPr>
      <w:r w:rsidRPr="0080251F">
        <w:rPr>
          <w:rFonts w:ascii="Times New Roman" w:hAnsi="Times New Roman" w:cs="Times New Roman"/>
          <w:sz w:val="24"/>
          <w:szCs w:val="24"/>
          <w:lang w:val="ro-MD"/>
        </w:rPr>
        <w:t>Auditor public</w:t>
      </w:r>
      <w:r w:rsidRPr="0080251F">
        <w:rPr>
          <w:rFonts w:ascii="Times New Roman" w:hAnsi="Times New Roman" w:cs="Times New Roman"/>
          <w:sz w:val="24"/>
          <w:szCs w:val="24"/>
          <w:lang w:val="ro-MD"/>
        </w:rPr>
        <w:tab/>
      </w:r>
      <w:r w:rsidR="00533331" w:rsidRPr="0080251F">
        <w:rPr>
          <w:rFonts w:ascii="Times New Roman" w:hAnsi="Times New Roman" w:cs="Times New Roman"/>
          <w:sz w:val="24"/>
          <w:szCs w:val="24"/>
          <w:lang w:val="ro-MD"/>
        </w:rPr>
        <w:t>superior</w:t>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Pr="0080251F">
        <w:rPr>
          <w:rFonts w:ascii="Times New Roman" w:hAnsi="Times New Roman" w:cs="Times New Roman"/>
          <w:sz w:val="24"/>
          <w:szCs w:val="24"/>
          <w:lang w:val="ro-MD"/>
        </w:rPr>
        <w:tab/>
      </w:r>
      <w:r w:rsidR="00533331" w:rsidRPr="0080251F">
        <w:rPr>
          <w:rFonts w:ascii="Times New Roman" w:hAnsi="Times New Roman" w:cs="Times New Roman"/>
          <w:sz w:val="24"/>
          <w:szCs w:val="24"/>
          <w:lang w:val="ro-MD"/>
        </w:rPr>
        <w:t xml:space="preserve">        </w:t>
      </w:r>
      <w:r w:rsidR="002D62C8" w:rsidRPr="0080251F">
        <w:rPr>
          <w:rFonts w:ascii="Times New Roman" w:hAnsi="Times New Roman" w:cs="Times New Roman"/>
          <w:sz w:val="24"/>
          <w:szCs w:val="24"/>
          <w:lang w:val="ro-MD"/>
        </w:rPr>
        <w:t xml:space="preserve">          Igor</w:t>
      </w:r>
      <w:r w:rsidRPr="0080251F">
        <w:rPr>
          <w:rFonts w:ascii="Times New Roman" w:hAnsi="Times New Roman" w:cs="Times New Roman"/>
          <w:sz w:val="24"/>
          <w:szCs w:val="24"/>
          <w:lang w:val="ro-MD"/>
        </w:rPr>
        <w:t xml:space="preserve"> </w:t>
      </w:r>
      <w:r w:rsidR="002D62C8" w:rsidRPr="0080251F">
        <w:rPr>
          <w:rFonts w:ascii="Times New Roman" w:hAnsi="Times New Roman" w:cs="Times New Roman"/>
          <w:sz w:val="24"/>
          <w:szCs w:val="24"/>
          <w:lang w:val="ro-MD"/>
        </w:rPr>
        <w:t>GUSTOI</w:t>
      </w:r>
    </w:p>
    <w:p w14:paraId="73923EC6" w14:textId="77777777" w:rsidR="00533331" w:rsidRPr="0080251F" w:rsidRDefault="00533331" w:rsidP="00F95B3A">
      <w:pPr>
        <w:spacing w:after="0" w:line="276" w:lineRule="auto"/>
        <w:jc w:val="both"/>
        <w:rPr>
          <w:rFonts w:ascii="Times New Roman" w:hAnsi="Times New Roman" w:cs="Times New Roman"/>
          <w:b/>
          <w:bCs/>
          <w:iCs/>
          <w:sz w:val="24"/>
          <w:szCs w:val="24"/>
          <w:lang w:val="ro-MD"/>
        </w:rPr>
      </w:pPr>
    </w:p>
    <w:p w14:paraId="4BB17C75" w14:textId="487DA6B9" w:rsidR="00E60986" w:rsidRPr="0080251F" w:rsidRDefault="00585F4C" w:rsidP="001B0342">
      <w:pPr>
        <w:spacing w:after="0" w:line="276" w:lineRule="auto"/>
        <w:jc w:val="both"/>
        <w:rPr>
          <w:rFonts w:ascii="Times New Roman" w:hAnsi="Times New Roman" w:cs="Times New Roman"/>
          <w:b/>
          <w:bCs/>
          <w:iCs/>
          <w:sz w:val="24"/>
          <w:szCs w:val="24"/>
          <w:lang w:val="ro-MD"/>
        </w:rPr>
      </w:pPr>
      <w:r w:rsidRPr="0080251F">
        <w:rPr>
          <w:rFonts w:ascii="Times New Roman" w:hAnsi="Times New Roman" w:cs="Times New Roman"/>
          <w:b/>
          <w:bCs/>
          <w:iCs/>
          <w:sz w:val="24"/>
          <w:szCs w:val="24"/>
          <w:lang w:val="ro-MD"/>
        </w:rPr>
        <w:t>Partener</w:t>
      </w:r>
      <w:r w:rsidR="001B0342" w:rsidRPr="0080251F">
        <w:rPr>
          <w:rFonts w:ascii="Times New Roman" w:hAnsi="Times New Roman" w:cs="Times New Roman"/>
          <w:b/>
          <w:bCs/>
          <w:iCs/>
          <w:sz w:val="24"/>
          <w:szCs w:val="24"/>
          <w:lang w:val="ro-MD"/>
        </w:rPr>
        <w:t>ii</w:t>
      </w:r>
      <w:r w:rsidR="00B405FC" w:rsidRPr="0080251F">
        <w:rPr>
          <w:rFonts w:ascii="Times New Roman" w:hAnsi="Times New Roman" w:cs="Times New Roman"/>
          <w:b/>
          <w:bCs/>
          <w:iCs/>
          <w:sz w:val="24"/>
          <w:szCs w:val="24"/>
          <w:lang w:val="ro-MD"/>
        </w:rPr>
        <w:t xml:space="preserve"> misiunii</w:t>
      </w:r>
      <w:r w:rsidR="00E60986" w:rsidRPr="0080251F">
        <w:rPr>
          <w:rFonts w:ascii="Times New Roman" w:hAnsi="Times New Roman" w:cs="Times New Roman"/>
          <w:b/>
          <w:bCs/>
          <w:iCs/>
          <w:sz w:val="24"/>
          <w:szCs w:val="24"/>
          <w:lang w:val="ro-MD"/>
        </w:rPr>
        <w:t xml:space="preserve">: </w:t>
      </w:r>
    </w:p>
    <w:p w14:paraId="5FFB2BF2" w14:textId="23916674" w:rsidR="001B0342" w:rsidRPr="0080251F" w:rsidRDefault="001B0342" w:rsidP="0018430B">
      <w:pPr>
        <w:pStyle w:val="cn"/>
        <w:spacing w:line="276" w:lineRule="auto"/>
        <w:ind w:right="71"/>
        <w:jc w:val="both"/>
        <w:rPr>
          <w:b/>
          <w:bCs/>
          <w:lang w:val="ro-MD"/>
        </w:rPr>
      </w:pPr>
      <w:r w:rsidRPr="0080251F">
        <w:rPr>
          <w:lang w:val="ro-MD"/>
        </w:rPr>
        <w:t>Șefa interimară a Direcției generale de audit III</w:t>
      </w:r>
      <w:r w:rsidRPr="0080251F">
        <w:rPr>
          <w:lang w:val="ro-MD"/>
        </w:rPr>
        <w:tab/>
      </w:r>
      <w:r w:rsidRPr="0080251F">
        <w:rPr>
          <w:lang w:val="ro-MD"/>
        </w:rPr>
        <w:tab/>
      </w:r>
      <w:r w:rsidRPr="0080251F">
        <w:rPr>
          <w:lang w:val="ro-MD"/>
        </w:rPr>
        <w:tab/>
        <w:t xml:space="preserve">                       Nadejda IONIȚĂ</w:t>
      </w:r>
      <w:r w:rsidRPr="0080251F">
        <w:rPr>
          <w:b/>
          <w:bCs/>
          <w:lang w:val="ro-MD"/>
        </w:rPr>
        <w:t xml:space="preserve"> </w:t>
      </w:r>
    </w:p>
    <w:p w14:paraId="1C1439CC" w14:textId="77777777" w:rsidR="001B0342" w:rsidRPr="0080251F" w:rsidRDefault="001B0342" w:rsidP="0018430B">
      <w:pPr>
        <w:pStyle w:val="cn"/>
        <w:spacing w:line="276" w:lineRule="auto"/>
        <w:ind w:right="71"/>
        <w:jc w:val="both"/>
        <w:rPr>
          <w:b/>
          <w:bCs/>
          <w:lang w:val="ro-MD"/>
        </w:rPr>
      </w:pPr>
    </w:p>
    <w:p w14:paraId="622A885E" w14:textId="42917222" w:rsidR="00FD7555" w:rsidRPr="0080251F" w:rsidRDefault="0094096B" w:rsidP="00BC7398">
      <w:pPr>
        <w:pStyle w:val="cn"/>
        <w:spacing w:line="276" w:lineRule="auto"/>
        <w:ind w:right="71"/>
        <w:jc w:val="both"/>
        <w:rPr>
          <w:b/>
          <w:szCs w:val="28"/>
          <w:lang w:val="ro-MD"/>
        </w:rPr>
      </w:pPr>
      <w:r w:rsidRPr="0080251F">
        <w:rPr>
          <w:lang w:val="ro-MD"/>
        </w:rPr>
        <w:t>Șef</w:t>
      </w:r>
      <w:r w:rsidR="009841FE" w:rsidRPr="0080251F">
        <w:rPr>
          <w:lang w:val="ro-MD"/>
        </w:rPr>
        <w:t>ul</w:t>
      </w:r>
      <w:r w:rsidRPr="0080251F">
        <w:rPr>
          <w:lang w:val="ro-MD"/>
        </w:rPr>
        <w:t xml:space="preserve"> </w:t>
      </w:r>
      <w:r w:rsidR="009841FE" w:rsidRPr="0080251F">
        <w:rPr>
          <w:lang w:val="ro-MD"/>
        </w:rPr>
        <w:t>D</w:t>
      </w:r>
      <w:r w:rsidRPr="0080251F">
        <w:rPr>
          <w:lang w:val="ro-MD"/>
        </w:rPr>
        <w:t>irecți</w:t>
      </w:r>
      <w:r w:rsidR="009841FE" w:rsidRPr="0080251F">
        <w:rPr>
          <w:lang w:val="ro-MD"/>
        </w:rPr>
        <w:t>ei</w:t>
      </w:r>
      <w:r w:rsidRPr="0080251F">
        <w:rPr>
          <w:lang w:val="ro-MD"/>
        </w:rPr>
        <w:t xml:space="preserve"> de audit II </w:t>
      </w:r>
      <w:r w:rsidR="009841FE" w:rsidRPr="0080251F">
        <w:rPr>
          <w:lang w:val="ro-MD"/>
        </w:rPr>
        <w:t>di</w:t>
      </w:r>
      <w:r w:rsidRPr="0080251F">
        <w:rPr>
          <w:lang w:val="ro-MD"/>
        </w:rPr>
        <w:t xml:space="preserve">n cadrul DGA III </w:t>
      </w:r>
      <w:r w:rsidR="00E60986" w:rsidRPr="0080251F">
        <w:rPr>
          <w:lang w:val="ro-MD"/>
        </w:rPr>
        <w:tab/>
      </w:r>
      <w:r w:rsidR="00E60986" w:rsidRPr="0080251F">
        <w:rPr>
          <w:lang w:val="ro-MD"/>
        </w:rPr>
        <w:tab/>
      </w:r>
      <w:r w:rsidR="00E60986" w:rsidRPr="0080251F">
        <w:rPr>
          <w:lang w:val="ro-MD"/>
        </w:rPr>
        <w:tab/>
      </w:r>
      <w:r w:rsidR="00533331" w:rsidRPr="0080251F">
        <w:rPr>
          <w:lang w:val="ro-MD"/>
        </w:rPr>
        <w:t xml:space="preserve">          </w:t>
      </w:r>
      <w:r w:rsidR="009841FE" w:rsidRPr="0080251F">
        <w:rPr>
          <w:lang w:val="ro-MD"/>
        </w:rPr>
        <w:t xml:space="preserve">   </w:t>
      </w:r>
      <w:r w:rsidR="00533331" w:rsidRPr="0080251F">
        <w:rPr>
          <w:lang w:val="ro-MD"/>
        </w:rPr>
        <w:t xml:space="preserve"> </w:t>
      </w:r>
      <w:r w:rsidRPr="0080251F">
        <w:rPr>
          <w:lang w:val="ro-MD"/>
        </w:rPr>
        <w:t>Alexandru</w:t>
      </w:r>
      <w:r w:rsidR="00E60986" w:rsidRPr="0080251F">
        <w:rPr>
          <w:lang w:val="ro-MD"/>
        </w:rPr>
        <w:t xml:space="preserve"> </w:t>
      </w:r>
      <w:r w:rsidRPr="0080251F">
        <w:rPr>
          <w:lang w:val="ro-MD"/>
        </w:rPr>
        <w:t>RĂILEANU</w:t>
      </w:r>
    </w:p>
    <w:p w14:paraId="0DA19571" w14:textId="4FCB8725" w:rsidR="001B0342" w:rsidRPr="0080251F" w:rsidRDefault="001B0342" w:rsidP="00165D21">
      <w:pPr>
        <w:pStyle w:val="1"/>
        <w:spacing w:line="276" w:lineRule="auto"/>
        <w:rPr>
          <w:rFonts w:ascii="Times New Roman" w:hAnsi="Times New Roman" w:cs="Times New Roman"/>
          <w:b/>
          <w:sz w:val="24"/>
          <w:szCs w:val="28"/>
          <w:lang w:val="ro-MD"/>
        </w:rPr>
        <w:sectPr w:rsidR="001B0342" w:rsidRPr="0080251F" w:rsidSect="00182C6F">
          <w:footnotePr>
            <w:numRestart w:val="eachSect"/>
          </w:footnotePr>
          <w:pgSz w:w="12240" w:h="15840"/>
          <w:pgMar w:top="851" w:right="851" w:bottom="993" w:left="1701" w:header="709" w:footer="709" w:gutter="0"/>
          <w:cols w:space="708"/>
          <w:docGrid w:linePitch="360"/>
        </w:sectPr>
      </w:pPr>
    </w:p>
    <w:p w14:paraId="068C6865" w14:textId="27858F91" w:rsidR="001C569C" w:rsidRPr="0080251F" w:rsidRDefault="001C569C" w:rsidP="001C569C">
      <w:pPr>
        <w:pStyle w:val="1"/>
        <w:spacing w:line="276" w:lineRule="auto"/>
        <w:jc w:val="right"/>
        <w:rPr>
          <w:rFonts w:ascii="Times New Roman" w:hAnsi="Times New Roman" w:cs="Times New Roman"/>
          <w:b/>
          <w:sz w:val="24"/>
          <w:szCs w:val="28"/>
          <w:lang w:val="ro-MD"/>
        </w:rPr>
      </w:pPr>
      <w:bookmarkStart w:id="30" w:name="_Toc161169703"/>
      <w:r w:rsidRPr="0080251F">
        <w:rPr>
          <w:rFonts w:ascii="Times New Roman" w:hAnsi="Times New Roman" w:cs="Times New Roman"/>
          <w:b/>
          <w:sz w:val="24"/>
          <w:szCs w:val="28"/>
          <w:lang w:val="ro-MD"/>
        </w:rPr>
        <w:t xml:space="preserve">Anexa </w:t>
      </w:r>
      <w:r w:rsidR="007E1056" w:rsidRPr="0080251F">
        <w:rPr>
          <w:rFonts w:ascii="Times New Roman" w:hAnsi="Times New Roman" w:cs="Times New Roman"/>
          <w:b/>
          <w:sz w:val="24"/>
          <w:szCs w:val="28"/>
          <w:lang w:val="ro-MD"/>
        </w:rPr>
        <w:t>nr.</w:t>
      </w:r>
      <w:r w:rsidRPr="0080251F">
        <w:rPr>
          <w:rFonts w:ascii="Times New Roman" w:hAnsi="Times New Roman" w:cs="Times New Roman"/>
          <w:b/>
          <w:sz w:val="24"/>
          <w:szCs w:val="28"/>
          <w:lang w:val="ro-MD"/>
        </w:rPr>
        <w:t>1</w:t>
      </w:r>
      <w:bookmarkEnd w:id="30"/>
    </w:p>
    <w:p w14:paraId="0EFB31FB" w14:textId="16ADF1B8" w:rsidR="001C569C" w:rsidRPr="0080251F" w:rsidRDefault="001C569C" w:rsidP="00651279">
      <w:pPr>
        <w:rPr>
          <w:lang w:val="ro-MD"/>
        </w:rPr>
      </w:pPr>
      <w:r w:rsidRPr="0080251F">
        <w:rPr>
          <w:noProof/>
          <w:lang w:val="ru-RU" w:eastAsia="ru-RU"/>
        </w:rPr>
        <w:drawing>
          <wp:inline distT="0" distB="0" distL="0" distR="0" wp14:anchorId="22A97D48" wp14:editId="44E98A6B">
            <wp:extent cx="6151245" cy="5133975"/>
            <wp:effectExtent l="0" t="0" r="1905" b="9525"/>
            <wp:docPr id="7" name="Рисунок 7" descr="https://rednord.md/images/Organigrama2023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dnord.md/images/Organigrama2023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3630" cy="5144312"/>
                    </a:xfrm>
                    <a:prstGeom prst="rect">
                      <a:avLst/>
                    </a:prstGeom>
                    <a:noFill/>
                    <a:ln>
                      <a:noFill/>
                    </a:ln>
                  </pic:spPr>
                </pic:pic>
              </a:graphicData>
            </a:graphic>
          </wp:inline>
        </w:drawing>
      </w:r>
    </w:p>
    <w:p w14:paraId="44829108" w14:textId="79FA1523" w:rsidR="00651279" w:rsidRPr="0080251F" w:rsidRDefault="00651279" w:rsidP="00651279">
      <w:pPr>
        <w:spacing w:after="0" w:line="276" w:lineRule="auto"/>
        <w:ind w:firstLine="709"/>
        <w:rPr>
          <w:rFonts w:ascii="Times New Roman" w:hAnsi="Times New Roman" w:cs="Times New Roman"/>
          <w:b/>
          <w:sz w:val="24"/>
          <w:szCs w:val="24"/>
          <w:lang w:val="ro-MD"/>
        </w:rPr>
      </w:pPr>
      <w:r w:rsidRPr="0080251F">
        <w:rPr>
          <w:rFonts w:ascii="Times New Roman" w:hAnsi="Times New Roman" w:cs="Times New Roman"/>
          <w:b/>
          <w:sz w:val="24"/>
          <w:szCs w:val="24"/>
          <w:lang w:val="ro-MD"/>
        </w:rPr>
        <w:t>Atribuțiile de bază ale organelor de conducere:</w:t>
      </w:r>
    </w:p>
    <w:p w14:paraId="72B022B3" w14:textId="54061426" w:rsidR="00651279" w:rsidRPr="0080251F" w:rsidRDefault="00651279" w:rsidP="00F77411">
      <w:pPr>
        <w:pStyle w:val="a6"/>
        <w:numPr>
          <w:ilvl w:val="0"/>
          <w:numId w:val="36"/>
        </w:numPr>
        <w:tabs>
          <w:tab w:val="left" w:pos="993"/>
        </w:tabs>
        <w:spacing w:after="0" w:line="276" w:lineRule="auto"/>
        <w:ind w:left="0" w:firstLine="709"/>
        <w:jc w:val="both"/>
        <w:rPr>
          <w:rFonts w:ascii="Times New Roman" w:hAnsi="Times New Roman" w:cs="Times New Roman"/>
          <w:sz w:val="24"/>
          <w:szCs w:val="24"/>
          <w:lang w:val="ro-MD"/>
        </w:rPr>
      </w:pPr>
      <w:r w:rsidRPr="0080251F">
        <w:rPr>
          <w:rFonts w:ascii="Times New Roman" w:hAnsi="Times New Roman" w:cs="Times New Roman"/>
          <w:i/>
          <w:sz w:val="24"/>
          <w:szCs w:val="24"/>
          <w:lang w:val="ro-MD"/>
        </w:rPr>
        <w:t xml:space="preserve">Adunarea </w:t>
      </w:r>
      <w:r w:rsidR="00460D32" w:rsidRPr="0080251F">
        <w:rPr>
          <w:rFonts w:ascii="Times New Roman" w:hAnsi="Times New Roman" w:cs="Times New Roman"/>
          <w:i/>
          <w:sz w:val="24"/>
          <w:szCs w:val="24"/>
          <w:lang w:val="ro-MD"/>
        </w:rPr>
        <w:t>G</w:t>
      </w:r>
      <w:r w:rsidRPr="0080251F">
        <w:rPr>
          <w:rFonts w:ascii="Times New Roman" w:hAnsi="Times New Roman" w:cs="Times New Roman"/>
          <w:i/>
          <w:sz w:val="24"/>
          <w:szCs w:val="24"/>
          <w:lang w:val="ro-MD"/>
        </w:rPr>
        <w:t xml:space="preserve">enerală a </w:t>
      </w:r>
      <w:r w:rsidR="00460D32" w:rsidRPr="0080251F">
        <w:rPr>
          <w:rFonts w:ascii="Times New Roman" w:hAnsi="Times New Roman" w:cs="Times New Roman"/>
          <w:i/>
          <w:sz w:val="24"/>
          <w:szCs w:val="24"/>
          <w:lang w:val="ro-MD"/>
        </w:rPr>
        <w:t>A</w:t>
      </w:r>
      <w:r w:rsidRPr="0080251F">
        <w:rPr>
          <w:rFonts w:ascii="Times New Roman" w:hAnsi="Times New Roman" w:cs="Times New Roman"/>
          <w:i/>
          <w:sz w:val="24"/>
          <w:szCs w:val="24"/>
          <w:lang w:val="ro-MD"/>
        </w:rPr>
        <w:t>cționarilor:</w:t>
      </w:r>
      <w:r w:rsidRPr="0080251F">
        <w:rPr>
          <w:rFonts w:ascii="Times New Roman" w:hAnsi="Times New Roman" w:cs="Times New Roman"/>
          <w:sz w:val="24"/>
          <w:szCs w:val="24"/>
          <w:lang w:val="ro-MD"/>
        </w:rPr>
        <w:t xml:space="preserve"> aprobă și modifică statutul societății</w:t>
      </w:r>
      <w:r w:rsidR="00FE201A" w:rsidRPr="0080251F">
        <w:rPr>
          <w:rFonts w:ascii="Times New Roman" w:hAnsi="Times New Roman" w:cs="Times New Roman"/>
          <w:sz w:val="24"/>
          <w:szCs w:val="24"/>
          <w:lang w:val="ro-MD"/>
        </w:rPr>
        <w:t xml:space="preserve"> economice (societate)</w:t>
      </w:r>
      <w:r w:rsidRPr="0080251F">
        <w:rPr>
          <w:rFonts w:ascii="Times New Roman" w:hAnsi="Times New Roman" w:cs="Times New Roman"/>
          <w:sz w:val="24"/>
          <w:szCs w:val="24"/>
          <w:lang w:val="ro-MD"/>
        </w:rPr>
        <w:t>; modifică capitalul social; aprobă Reg</w:t>
      </w:r>
      <w:r w:rsidR="00F77411" w:rsidRPr="0080251F">
        <w:rPr>
          <w:rFonts w:ascii="Times New Roman" w:hAnsi="Times New Roman" w:cs="Times New Roman"/>
          <w:sz w:val="24"/>
          <w:szCs w:val="24"/>
          <w:lang w:val="ro-MD"/>
        </w:rPr>
        <w:t>ulamentul Consiliului societăți</w:t>
      </w:r>
      <w:r w:rsidR="00F77411" w:rsidRPr="0080251F">
        <w:rPr>
          <w:rFonts w:ascii="Times New Roman" w:hAnsi="Times New Roman" w:cs="Times New Roman"/>
          <w:color w:val="000000"/>
          <w:sz w:val="23"/>
          <w:szCs w:val="23"/>
          <w:lang w:val="ro-MD"/>
        </w:rPr>
        <w:t xml:space="preserve">, </w:t>
      </w:r>
      <w:r w:rsidR="00F77411" w:rsidRPr="0080251F">
        <w:rPr>
          <w:rFonts w:ascii="Times New Roman" w:hAnsi="Times New Roman" w:cs="Times New Roman"/>
          <w:sz w:val="24"/>
          <w:szCs w:val="24"/>
          <w:lang w:val="ro-MD"/>
        </w:rPr>
        <w:t xml:space="preserve">Comisiei de cenzori și Comitetului de audit; </w:t>
      </w:r>
      <w:r w:rsidRPr="0080251F">
        <w:rPr>
          <w:rFonts w:ascii="Times New Roman" w:hAnsi="Times New Roman" w:cs="Times New Roman"/>
          <w:sz w:val="24"/>
          <w:szCs w:val="24"/>
          <w:lang w:val="ro-MD"/>
        </w:rPr>
        <w:t xml:space="preserve"> </w:t>
      </w:r>
      <w:r w:rsidR="00F77411" w:rsidRPr="0080251F">
        <w:rPr>
          <w:rFonts w:ascii="Times New Roman" w:hAnsi="Times New Roman" w:cs="Times New Roman"/>
          <w:sz w:val="24"/>
          <w:szCs w:val="24"/>
          <w:lang w:val="ro-MD"/>
        </w:rPr>
        <w:t>alege membrii Consiliului societăți și Comisiei de cenzori, stabilește cuantumul retribuției muncii lor, remunerațiilor anuale și compensațiilor; desemnează membrii Comitetului de audit;</w:t>
      </w:r>
      <w:r w:rsidR="004B4F01" w:rsidRPr="0080251F">
        <w:rPr>
          <w:rFonts w:ascii="Times New Roman" w:hAnsi="Times New Roman" w:cs="Times New Roman"/>
          <w:color w:val="000000"/>
          <w:sz w:val="23"/>
          <w:szCs w:val="23"/>
          <w:lang w:val="ro-MD"/>
        </w:rPr>
        <w:t xml:space="preserve"> </w:t>
      </w:r>
      <w:r w:rsidR="004B4F01" w:rsidRPr="0080251F">
        <w:rPr>
          <w:rFonts w:ascii="Times New Roman" w:hAnsi="Times New Roman" w:cs="Times New Roman"/>
          <w:sz w:val="24"/>
          <w:szCs w:val="24"/>
          <w:lang w:val="ro-MD"/>
        </w:rPr>
        <w:t>hotărăște cu privire la încheierea tranzacțiilor de proporții, dacă obiectul tranzacției sunt bunuri care depășesc 50% din valoarea activelor;</w:t>
      </w:r>
      <w:r w:rsidR="00F77411" w:rsidRPr="0080251F">
        <w:rPr>
          <w:rFonts w:ascii="Times New Roman" w:hAnsi="Times New Roman" w:cs="Times New Roman"/>
          <w:sz w:val="24"/>
          <w:szCs w:val="24"/>
          <w:lang w:val="ro-MD"/>
        </w:rPr>
        <w:t xml:space="preserve"> </w:t>
      </w:r>
      <w:r w:rsidR="004B4F01" w:rsidRPr="0080251F">
        <w:rPr>
          <w:rFonts w:ascii="Times New Roman" w:hAnsi="Times New Roman" w:cs="Times New Roman"/>
          <w:sz w:val="24"/>
          <w:szCs w:val="24"/>
          <w:lang w:val="ro-MD"/>
        </w:rPr>
        <w:t xml:space="preserve">examinează darea de seamă financiară anuală a </w:t>
      </w:r>
      <w:r w:rsidR="00460D32" w:rsidRPr="0080251F">
        <w:rPr>
          <w:rFonts w:ascii="Times New Roman" w:hAnsi="Times New Roman" w:cs="Times New Roman"/>
          <w:sz w:val="24"/>
          <w:szCs w:val="24"/>
          <w:lang w:val="ro-MD"/>
        </w:rPr>
        <w:t>s</w:t>
      </w:r>
      <w:r w:rsidR="004B4F01" w:rsidRPr="0080251F">
        <w:rPr>
          <w:rFonts w:ascii="Times New Roman" w:hAnsi="Times New Roman" w:cs="Times New Roman"/>
          <w:sz w:val="24"/>
          <w:szCs w:val="24"/>
          <w:lang w:val="ro-MD"/>
        </w:rPr>
        <w:t xml:space="preserve">ocietății, aprobă darea de seamă anuală a Consiliului societății, darea de seamă anuală a Comisiei de cenzori și a Comitetului de audit; aprobă normativele de repartizare a profitului net; hotărăște cu privire la repartizarea profitului net anual, inclusiv plata dividendelor anuale sau la acoperirea pierderilor societății; aprobă direcțiile prioritare ale activității societății; </w:t>
      </w:r>
      <w:r w:rsidR="00E3609A" w:rsidRPr="0080251F">
        <w:rPr>
          <w:rFonts w:ascii="Times New Roman" w:hAnsi="Times New Roman" w:cs="Times New Roman"/>
          <w:sz w:val="24"/>
          <w:szCs w:val="24"/>
          <w:lang w:val="ro-MD"/>
        </w:rPr>
        <w:t>alte competențe legale</w:t>
      </w:r>
      <w:r w:rsidR="004B4F01" w:rsidRPr="0080251F">
        <w:rPr>
          <w:rFonts w:ascii="Times New Roman" w:hAnsi="Times New Roman" w:cs="Times New Roman"/>
          <w:sz w:val="24"/>
          <w:szCs w:val="24"/>
          <w:lang w:val="ro-MD"/>
        </w:rPr>
        <w:t>.</w:t>
      </w:r>
    </w:p>
    <w:p w14:paraId="0E3D2E72" w14:textId="790E585F" w:rsidR="00651279" w:rsidRPr="0080251F" w:rsidRDefault="00651279" w:rsidP="00FE201A">
      <w:pPr>
        <w:pStyle w:val="a6"/>
        <w:numPr>
          <w:ilvl w:val="0"/>
          <w:numId w:val="36"/>
        </w:numPr>
        <w:tabs>
          <w:tab w:val="left" w:pos="993"/>
        </w:tabs>
        <w:spacing w:after="0" w:line="276" w:lineRule="auto"/>
        <w:ind w:left="0" w:firstLine="709"/>
        <w:jc w:val="both"/>
        <w:rPr>
          <w:rFonts w:ascii="Times New Roman" w:hAnsi="Times New Roman" w:cs="Times New Roman"/>
          <w:sz w:val="24"/>
          <w:szCs w:val="24"/>
          <w:lang w:val="ro-MD"/>
        </w:rPr>
      </w:pPr>
      <w:r w:rsidRPr="0080251F">
        <w:rPr>
          <w:rFonts w:ascii="Times New Roman" w:hAnsi="Times New Roman" w:cs="Times New Roman"/>
          <w:bCs/>
          <w:i/>
          <w:sz w:val="24"/>
          <w:szCs w:val="24"/>
          <w:lang w:val="ro-MD"/>
        </w:rPr>
        <w:t>Consiliul societății:</w:t>
      </w:r>
      <w:r w:rsidR="004B4F01" w:rsidRPr="0080251F">
        <w:rPr>
          <w:rFonts w:ascii="Times New Roman" w:hAnsi="Times New Roman" w:cs="Times New Roman"/>
          <w:bCs/>
          <w:sz w:val="24"/>
          <w:szCs w:val="24"/>
          <w:lang w:val="ro-MD"/>
        </w:rPr>
        <w:t xml:space="preserve"> aprobă decizia de convocare a Adunării </w:t>
      </w:r>
      <w:r w:rsidR="00460D32" w:rsidRPr="0080251F">
        <w:rPr>
          <w:rFonts w:ascii="Times New Roman" w:hAnsi="Times New Roman" w:cs="Times New Roman"/>
          <w:bCs/>
          <w:sz w:val="24"/>
          <w:szCs w:val="24"/>
          <w:lang w:val="ro-MD"/>
        </w:rPr>
        <w:t>G</w:t>
      </w:r>
      <w:r w:rsidR="004B4F01" w:rsidRPr="0080251F">
        <w:rPr>
          <w:rFonts w:ascii="Times New Roman" w:hAnsi="Times New Roman" w:cs="Times New Roman"/>
          <w:bCs/>
          <w:sz w:val="24"/>
          <w:szCs w:val="24"/>
          <w:lang w:val="ro-MD"/>
        </w:rPr>
        <w:t xml:space="preserve">enerale a </w:t>
      </w:r>
      <w:r w:rsidR="00460D32" w:rsidRPr="0080251F">
        <w:rPr>
          <w:rFonts w:ascii="Times New Roman" w:hAnsi="Times New Roman" w:cs="Times New Roman"/>
          <w:bCs/>
          <w:sz w:val="24"/>
          <w:szCs w:val="24"/>
          <w:lang w:val="ro-MD"/>
        </w:rPr>
        <w:t>A</w:t>
      </w:r>
      <w:r w:rsidR="004B4F01" w:rsidRPr="0080251F">
        <w:rPr>
          <w:rFonts w:ascii="Times New Roman" w:hAnsi="Times New Roman" w:cs="Times New Roman"/>
          <w:bCs/>
          <w:sz w:val="24"/>
          <w:szCs w:val="24"/>
          <w:lang w:val="ro-MD"/>
        </w:rPr>
        <w:t xml:space="preserve">cționarilor; </w:t>
      </w:r>
      <w:r w:rsidR="00FE201A" w:rsidRPr="0080251F">
        <w:rPr>
          <w:rFonts w:ascii="Times New Roman" w:hAnsi="Times New Roman" w:cs="Times New Roman"/>
          <w:bCs/>
          <w:sz w:val="24"/>
          <w:szCs w:val="24"/>
          <w:lang w:val="ro-MD"/>
        </w:rPr>
        <w:t>aprobă decizia de încheiere a tranzacțiilor cu conflict de interese ce nu depășesc 10% din valoarea activelor; aprobă decizii, în cursul anului financiar, cu privire la repartizarea profitului net, la folosirea capitalului de rezervă, precum și a mijloacelor fondurilor speciale ale societății; aprobă fondul și normativele de retribuire a muncii; aprobă direcțiile prioritare de dezvoltare a societății; aprobă regulamentul organului executiv; aprobă dările de seamă</w:t>
      </w:r>
      <w:r w:rsidR="00460D32" w:rsidRPr="0080251F">
        <w:rPr>
          <w:rFonts w:ascii="Times New Roman" w:hAnsi="Times New Roman" w:cs="Times New Roman"/>
          <w:bCs/>
          <w:sz w:val="24"/>
          <w:szCs w:val="24"/>
          <w:lang w:val="ro-MD"/>
        </w:rPr>
        <w:t xml:space="preserve"> </w:t>
      </w:r>
      <w:r w:rsidR="00FE201A" w:rsidRPr="0080251F">
        <w:rPr>
          <w:rFonts w:ascii="Times New Roman" w:hAnsi="Times New Roman" w:cs="Times New Roman"/>
          <w:bCs/>
          <w:sz w:val="24"/>
          <w:szCs w:val="24"/>
          <w:lang w:val="ro-MD"/>
        </w:rPr>
        <w:t xml:space="preserve">trimestriale ale organului executiv al societății; </w:t>
      </w:r>
      <w:r w:rsidR="00E3609A" w:rsidRPr="0080251F">
        <w:rPr>
          <w:rFonts w:ascii="Times New Roman" w:hAnsi="Times New Roman" w:cs="Times New Roman"/>
          <w:bCs/>
          <w:sz w:val="24"/>
          <w:szCs w:val="24"/>
          <w:lang w:val="ro-MD"/>
        </w:rPr>
        <w:t>elaborează politici și aprobă decizii ce țin de primirea și acordarea împrumuturilor, creditelor și garanțiilor; alte competențe legale.</w:t>
      </w:r>
    </w:p>
    <w:p w14:paraId="5EBDFE61" w14:textId="3F04F4D7" w:rsidR="00651279" w:rsidRPr="0080251F" w:rsidRDefault="00651279" w:rsidP="00D54921">
      <w:pPr>
        <w:pStyle w:val="a6"/>
        <w:numPr>
          <w:ilvl w:val="0"/>
          <w:numId w:val="36"/>
        </w:numPr>
        <w:tabs>
          <w:tab w:val="left" w:pos="993"/>
        </w:tabs>
        <w:spacing w:after="0" w:line="276" w:lineRule="auto"/>
        <w:ind w:left="0" w:firstLine="709"/>
        <w:jc w:val="both"/>
        <w:rPr>
          <w:rFonts w:ascii="Times New Roman" w:hAnsi="Times New Roman" w:cs="Times New Roman"/>
          <w:sz w:val="24"/>
          <w:szCs w:val="24"/>
          <w:lang w:val="ro-MD"/>
        </w:rPr>
      </w:pPr>
      <w:r w:rsidRPr="0080251F">
        <w:rPr>
          <w:rFonts w:ascii="Times New Roman" w:hAnsi="Times New Roman" w:cs="Times New Roman"/>
          <w:i/>
          <w:sz w:val="24"/>
          <w:szCs w:val="24"/>
          <w:lang w:val="ro-MD"/>
        </w:rPr>
        <w:t>Comisia de cenzori:</w:t>
      </w:r>
      <w:r w:rsidR="00FF03D3" w:rsidRPr="0080251F">
        <w:rPr>
          <w:rFonts w:ascii="Times New Roman" w:hAnsi="Times New Roman" w:cs="Times New Roman"/>
          <w:sz w:val="24"/>
          <w:szCs w:val="24"/>
          <w:lang w:val="ro-MD"/>
        </w:rPr>
        <w:t xml:space="preserve"> exercită co</w:t>
      </w:r>
      <w:r w:rsidR="00D54921" w:rsidRPr="0080251F">
        <w:rPr>
          <w:rFonts w:ascii="Times New Roman" w:hAnsi="Times New Roman" w:cs="Times New Roman"/>
          <w:sz w:val="24"/>
          <w:szCs w:val="24"/>
          <w:lang w:val="ro-MD"/>
        </w:rPr>
        <w:t>ntrolul a</w:t>
      </w:r>
      <w:r w:rsidR="00460D32" w:rsidRPr="0080251F">
        <w:rPr>
          <w:rFonts w:ascii="Times New Roman" w:hAnsi="Times New Roman" w:cs="Times New Roman"/>
          <w:sz w:val="24"/>
          <w:szCs w:val="24"/>
          <w:lang w:val="ro-MD"/>
        </w:rPr>
        <w:t>supra</w:t>
      </w:r>
      <w:r w:rsidR="00D54921" w:rsidRPr="0080251F">
        <w:rPr>
          <w:rFonts w:ascii="Times New Roman" w:hAnsi="Times New Roman" w:cs="Times New Roman"/>
          <w:sz w:val="24"/>
          <w:szCs w:val="24"/>
          <w:lang w:val="ro-MD"/>
        </w:rPr>
        <w:t xml:space="preserve"> activității economico</w:t>
      </w:r>
      <w:r w:rsidR="00FF03D3" w:rsidRPr="0080251F">
        <w:rPr>
          <w:rFonts w:ascii="Times New Roman" w:hAnsi="Times New Roman" w:cs="Times New Roman"/>
          <w:sz w:val="24"/>
          <w:szCs w:val="24"/>
          <w:lang w:val="ro-MD"/>
        </w:rPr>
        <w:t xml:space="preserve">-financiare a societății; efectuează controalele extraordinare la cererea acționarului și le raportează; verifică modul de gestionare a creanțelor societății; efectuează controlul privind respectarea actelor normative </w:t>
      </w:r>
      <w:r w:rsidR="00D54921" w:rsidRPr="0080251F">
        <w:rPr>
          <w:rFonts w:ascii="Times New Roman" w:hAnsi="Times New Roman" w:cs="Times New Roman"/>
          <w:sz w:val="24"/>
          <w:szCs w:val="24"/>
          <w:lang w:val="ro-MD"/>
        </w:rPr>
        <w:t>în activitatea economico-financiar</w:t>
      </w:r>
      <w:r w:rsidR="00460D32" w:rsidRPr="0080251F">
        <w:rPr>
          <w:rFonts w:ascii="Times New Roman" w:hAnsi="Times New Roman" w:cs="Times New Roman"/>
          <w:sz w:val="24"/>
          <w:szCs w:val="24"/>
          <w:lang w:val="ro-MD"/>
        </w:rPr>
        <w:t>ă</w:t>
      </w:r>
      <w:r w:rsidR="00D54921" w:rsidRPr="0080251F">
        <w:rPr>
          <w:rFonts w:ascii="Times New Roman" w:hAnsi="Times New Roman" w:cs="Times New Roman"/>
          <w:sz w:val="24"/>
          <w:szCs w:val="24"/>
          <w:lang w:val="ro-MD"/>
        </w:rPr>
        <w:t xml:space="preserve"> a societății; verifică corectitudinea desfășurării procedurilor de achiziție; verifică modul de gestionare a riscurilor semnificative; verifică respectarea hotărârilor  Adunării </w:t>
      </w:r>
      <w:r w:rsidR="00460D32" w:rsidRPr="0080251F">
        <w:rPr>
          <w:rFonts w:ascii="Times New Roman" w:hAnsi="Times New Roman" w:cs="Times New Roman"/>
          <w:sz w:val="24"/>
          <w:szCs w:val="24"/>
          <w:lang w:val="ro-MD"/>
        </w:rPr>
        <w:t>G</w:t>
      </w:r>
      <w:r w:rsidR="00D54921" w:rsidRPr="0080251F">
        <w:rPr>
          <w:rFonts w:ascii="Times New Roman" w:hAnsi="Times New Roman" w:cs="Times New Roman"/>
          <w:sz w:val="24"/>
          <w:szCs w:val="24"/>
          <w:lang w:val="ro-MD"/>
        </w:rPr>
        <w:t xml:space="preserve">enerale a </w:t>
      </w:r>
      <w:r w:rsidR="00460D32" w:rsidRPr="0080251F">
        <w:rPr>
          <w:rFonts w:ascii="Times New Roman" w:hAnsi="Times New Roman" w:cs="Times New Roman"/>
          <w:sz w:val="24"/>
          <w:szCs w:val="24"/>
          <w:lang w:val="ro-MD"/>
        </w:rPr>
        <w:t>A</w:t>
      </w:r>
      <w:r w:rsidR="00D54921" w:rsidRPr="0080251F">
        <w:rPr>
          <w:rFonts w:ascii="Times New Roman" w:hAnsi="Times New Roman" w:cs="Times New Roman"/>
          <w:sz w:val="24"/>
          <w:szCs w:val="24"/>
          <w:lang w:val="ro-MD"/>
        </w:rPr>
        <w:t xml:space="preserve">cționarilor; verifică executarea prescripțiilor Comisiei de cenzori și organelor de control extern; </w:t>
      </w:r>
      <w:r w:rsidR="00D54921" w:rsidRPr="0080251F">
        <w:rPr>
          <w:rFonts w:ascii="Times New Roman" w:hAnsi="Times New Roman" w:cs="Times New Roman"/>
          <w:bCs/>
          <w:sz w:val="24"/>
          <w:szCs w:val="24"/>
          <w:lang w:val="ro-MD"/>
        </w:rPr>
        <w:t>alte competențe legale.</w:t>
      </w:r>
    </w:p>
    <w:p w14:paraId="2E293059" w14:textId="3C31A5B0" w:rsidR="00651279" w:rsidRPr="0080251F" w:rsidRDefault="00651279" w:rsidP="00D54921">
      <w:pPr>
        <w:pStyle w:val="a6"/>
        <w:numPr>
          <w:ilvl w:val="0"/>
          <w:numId w:val="36"/>
        </w:numPr>
        <w:tabs>
          <w:tab w:val="left" w:pos="993"/>
        </w:tabs>
        <w:spacing w:after="0" w:line="276" w:lineRule="auto"/>
        <w:ind w:left="0" w:firstLine="709"/>
        <w:jc w:val="both"/>
        <w:rPr>
          <w:rFonts w:ascii="Times New Roman" w:eastAsiaTheme="majorEastAsia" w:hAnsi="Times New Roman" w:cs="Times New Roman"/>
          <w:color w:val="2E74B5" w:themeColor="accent1" w:themeShade="BF"/>
          <w:sz w:val="24"/>
          <w:szCs w:val="24"/>
          <w:lang w:val="ro-MD"/>
        </w:rPr>
      </w:pPr>
      <w:r w:rsidRPr="0080251F">
        <w:rPr>
          <w:rFonts w:ascii="Times New Roman" w:hAnsi="Times New Roman" w:cs="Times New Roman"/>
          <w:i/>
          <w:sz w:val="24"/>
          <w:szCs w:val="24"/>
          <w:lang w:val="ro-MD"/>
        </w:rPr>
        <w:t>Comitetul de audit:</w:t>
      </w:r>
      <w:r w:rsidR="00D54921" w:rsidRPr="0080251F">
        <w:rPr>
          <w:rFonts w:ascii="Times New Roman" w:hAnsi="Times New Roman" w:cs="Times New Roman"/>
          <w:sz w:val="24"/>
          <w:szCs w:val="24"/>
          <w:lang w:val="ro-MD"/>
        </w:rPr>
        <w:t xml:space="preserve"> îndeplinește atribuțiile legale prevăzute în art.44 din Legea nr.271/2017 privind auditul situațiilor financiare anuale și care constau în monitorizarea procesului de raportare financiară, a sistemelor de control intern, de audit intern/extern și de management al riscurilor din cadrul societății, precum și în supravegherea activității de audit financiar extern al situațiilor financiare anuale.</w:t>
      </w:r>
    </w:p>
    <w:p w14:paraId="6F6DCA1F" w14:textId="4CED1ECD" w:rsidR="00651279" w:rsidRPr="0080251F" w:rsidRDefault="00651279" w:rsidP="00022AB4">
      <w:pPr>
        <w:pStyle w:val="a6"/>
        <w:numPr>
          <w:ilvl w:val="0"/>
          <w:numId w:val="36"/>
        </w:numPr>
        <w:tabs>
          <w:tab w:val="left" w:pos="993"/>
        </w:tabs>
        <w:spacing w:after="0" w:line="276" w:lineRule="auto"/>
        <w:ind w:left="0" w:firstLine="709"/>
        <w:jc w:val="both"/>
        <w:rPr>
          <w:rFonts w:ascii="Times New Roman" w:eastAsiaTheme="majorEastAsia" w:hAnsi="Times New Roman" w:cs="Times New Roman"/>
          <w:color w:val="2E74B5" w:themeColor="accent1" w:themeShade="BF"/>
          <w:sz w:val="24"/>
          <w:szCs w:val="24"/>
          <w:lang w:val="ro-MD"/>
        </w:rPr>
      </w:pPr>
      <w:r w:rsidRPr="0080251F">
        <w:rPr>
          <w:rFonts w:ascii="Times New Roman" w:eastAsiaTheme="majorEastAsia" w:hAnsi="Times New Roman" w:cs="Times New Roman"/>
          <w:color w:val="2E74B5" w:themeColor="accent1" w:themeShade="BF"/>
          <w:sz w:val="24"/>
          <w:szCs w:val="24"/>
          <w:lang w:val="ro-MD"/>
        </w:rPr>
        <w:t xml:space="preserve"> </w:t>
      </w:r>
      <w:r w:rsidRPr="0080251F">
        <w:rPr>
          <w:rFonts w:ascii="Times New Roman" w:eastAsiaTheme="majorEastAsia" w:hAnsi="Times New Roman" w:cs="Times New Roman"/>
          <w:i/>
          <w:sz w:val="24"/>
          <w:szCs w:val="24"/>
          <w:lang w:val="ro-MD"/>
        </w:rPr>
        <w:t>Directorul general:</w:t>
      </w:r>
      <w:r w:rsidR="00022AB4" w:rsidRPr="0080251F">
        <w:rPr>
          <w:rFonts w:ascii="Times New Roman" w:hAnsi="Times New Roman" w:cs="Times New Roman"/>
          <w:color w:val="000000"/>
          <w:sz w:val="23"/>
          <w:szCs w:val="23"/>
          <w:lang w:val="ro-MD"/>
        </w:rPr>
        <w:t xml:space="preserve"> </w:t>
      </w:r>
      <w:r w:rsidR="00022AB4" w:rsidRPr="0080251F">
        <w:rPr>
          <w:rFonts w:ascii="Times New Roman" w:eastAsiaTheme="majorEastAsia" w:hAnsi="Times New Roman" w:cs="Times New Roman"/>
          <w:sz w:val="24"/>
          <w:szCs w:val="24"/>
          <w:lang w:val="ro-MD"/>
        </w:rPr>
        <w:t xml:space="preserve">soluționează toate chestiunile de conducere a activității curente, cu excepția chestiunilor ce țin de competența exclusivă a Adunării </w:t>
      </w:r>
      <w:r w:rsidR="00460D32" w:rsidRPr="0080251F">
        <w:rPr>
          <w:rFonts w:ascii="Times New Roman" w:eastAsiaTheme="majorEastAsia" w:hAnsi="Times New Roman" w:cs="Times New Roman"/>
          <w:sz w:val="24"/>
          <w:szCs w:val="24"/>
          <w:lang w:val="ro-MD"/>
        </w:rPr>
        <w:t>G</w:t>
      </w:r>
      <w:r w:rsidR="00022AB4" w:rsidRPr="0080251F">
        <w:rPr>
          <w:rFonts w:ascii="Times New Roman" w:eastAsiaTheme="majorEastAsia" w:hAnsi="Times New Roman" w:cs="Times New Roman"/>
          <w:sz w:val="24"/>
          <w:szCs w:val="24"/>
          <w:lang w:val="ro-MD"/>
        </w:rPr>
        <w:t xml:space="preserve">enerale a </w:t>
      </w:r>
      <w:r w:rsidR="00460D32" w:rsidRPr="0080251F">
        <w:rPr>
          <w:rFonts w:ascii="Times New Roman" w:eastAsiaTheme="majorEastAsia" w:hAnsi="Times New Roman" w:cs="Times New Roman"/>
          <w:sz w:val="24"/>
          <w:szCs w:val="24"/>
          <w:lang w:val="ro-MD"/>
        </w:rPr>
        <w:t>A</w:t>
      </w:r>
      <w:r w:rsidR="00022AB4" w:rsidRPr="0080251F">
        <w:rPr>
          <w:rFonts w:ascii="Times New Roman" w:eastAsiaTheme="majorEastAsia" w:hAnsi="Times New Roman" w:cs="Times New Roman"/>
          <w:sz w:val="24"/>
          <w:szCs w:val="24"/>
          <w:lang w:val="ro-MD"/>
        </w:rPr>
        <w:t>cționarilor sau a Consiliului societății; acționează în numele societății, încheie tranzacții, emite ordine și dispoziții; aprobă regulamentele, instrucțiunile și alte acte normative interne ale societății; aprobă statele de personal; exercită controlul asupra activității subdiviziunilor societății; înaintează spre aprobare Consiliului societății direcțiile prioritare de activitate; înaintează spre aprobare Consiliului societății planul de investiții și asigură implementarea acestuia; prez</w:t>
      </w:r>
      <w:r w:rsidR="00460D32" w:rsidRPr="0080251F">
        <w:rPr>
          <w:rFonts w:ascii="Times New Roman" w:eastAsiaTheme="majorEastAsia" w:hAnsi="Times New Roman" w:cs="Times New Roman"/>
          <w:sz w:val="24"/>
          <w:szCs w:val="24"/>
          <w:lang w:val="ro-MD"/>
        </w:rPr>
        <w:t>i</w:t>
      </w:r>
      <w:r w:rsidR="00022AB4" w:rsidRPr="0080251F">
        <w:rPr>
          <w:rFonts w:ascii="Times New Roman" w:eastAsiaTheme="majorEastAsia" w:hAnsi="Times New Roman" w:cs="Times New Roman"/>
          <w:sz w:val="24"/>
          <w:szCs w:val="24"/>
          <w:lang w:val="ro-MD"/>
        </w:rPr>
        <w:t xml:space="preserve">ntă trimestrial Consiliului societății sau Adunării </w:t>
      </w:r>
      <w:r w:rsidR="00460D32" w:rsidRPr="0080251F">
        <w:rPr>
          <w:rFonts w:ascii="Times New Roman" w:eastAsiaTheme="majorEastAsia" w:hAnsi="Times New Roman" w:cs="Times New Roman"/>
          <w:sz w:val="24"/>
          <w:szCs w:val="24"/>
          <w:lang w:val="ro-MD"/>
        </w:rPr>
        <w:t>G</w:t>
      </w:r>
      <w:r w:rsidR="00022AB4" w:rsidRPr="0080251F">
        <w:rPr>
          <w:rFonts w:ascii="Times New Roman" w:eastAsiaTheme="majorEastAsia" w:hAnsi="Times New Roman" w:cs="Times New Roman"/>
          <w:sz w:val="24"/>
          <w:szCs w:val="24"/>
          <w:lang w:val="ro-MD"/>
        </w:rPr>
        <w:t xml:space="preserve">enerale a </w:t>
      </w:r>
      <w:r w:rsidR="00460D32" w:rsidRPr="0080251F">
        <w:rPr>
          <w:rFonts w:ascii="Times New Roman" w:eastAsiaTheme="majorEastAsia" w:hAnsi="Times New Roman" w:cs="Times New Roman"/>
          <w:sz w:val="24"/>
          <w:szCs w:val="24"/>
          <w:lang w:val="ro-MD"/>
        </w:rPr>
        <w:t>A</w:t>
      </w:r>
      <w:r w:rsidR="00022AB4" w:rsidRPr="0080251F">
        <w:rPr>
          <w:rFonts w:ascii="Times New Roman" w:eastAsiaTheme="majorEastAsia" w:hAnsi="Times New Roman" w:cs="Times New Roman"/>
          <w:sz w:val="24"/>
          <w:szCs w:val="24"/>
          <w:lang w:val="ro-MD"/>
        </w:rPr>
        <w:t xml:space="preserve">cționarilor rapoarte asupra rezultatelor activității sale; încheie contracte cu persoanele fizice sau juridice; negociază și încheie contractul colectiv de muncă cu reprezentanții salariaților societății; </w:t>
      </w:r>
      <w:r w:rsidR="00022AB4" w:rsidRPr="0080251F">
        <w:rPr>
          <w:rFonts w:ascii="Times New Roman" w:eastAsiaTheme="majorEastAsia" w:hAnsi="Times New Roman" w:cs="Times New Roman"/>
          <w:bCs/>
          <w:sz w:val="24"/>
          <w:szCs w:val="24"/>
          <w:lang w:val="ro-MD"/>
        </w:rPr>
        <w:t>alte competențe legale.</w:t>
      </w:r>
    </w:p>
    <w:p w14:paraId="765BB14F" w14:textId="77777777" w:rsidR="001C569C" w:rsidRPr="0080251F" w:rsidRDefault="001C569C" w:rsidP="00651279">
      <w:pPr>
        <w:pStyle w:val="1"/>
        <w:spacing w:before="0" w:line="276" w:lineRule="auto"/>
        <w:jc w:val="right"/>
        <w:rPr>
          <w:rFonts w:ascii="Times New Roman" w:hAnsi="Times New Roman" w:cs="Times New Roman"/>
          <w:sz w:val="24"/>
          <w:szCs w:val="24"/>
          <w:lang w:val="ro-MD"/>
        </w:rPr>
      </w:pPr>
    </w:p>
    <w:p w14:paraId="05D7010B" w14:textId="77777777" w:rsidR="001C569C" w:rsidRPr="0080251F" w:rsidRDefault="001C569C" w:rsidP="00917626">
      <w:pPr>
        <w:pStyle w:val="1"/>
        <w:spacing w:line="276" w:lineRule="auto"/>
        <w:jc w:val="right"/>
        <w:rPr>
          <w:rFonts w:ascii="Times New Roman" w:hAnsi="Times New Roman" w:cs="Times New Roman"/>
          <w:b/>
          <w:sz w:val="24"/>
          <w:szCs w:val="28"/>
          <w:lang w:val="ro-MD"/>
        </w:rPr>
      </w:pPr>
    </w:p>
    <w:p w14:paraId="314891D9" w14:textId="63BD3761" w:rsidR="001C569C" w:rsidRPr="0080251F" w:rsidRDefault="001C569C" w:rsidP="001C569C">
      <w:pPr>
        <w:pStyle w:val="1"/>
        <w:spacing w:line="276" w:lineRule="auto"/>
        <w:rPr>
          <w:rFonts w:ascii="Times New Roman" w:hAnsi="Times New Roman" w:cs="Times New Roman"/>
          <w:b/>
          <w:sz w:val="24"/>
          <w:szCs w:val="28"/>
          <w:lang w:val="ro-MD"/>
        </w:rPr>
      </w:pPr>
    </w:p>
    <w:p w14:paraId="6D027201" w14:textId="6C1C46CF" w:rsidR="001C569C" w:rsidRPr="0080251F" w:rsidRDefault="001C569C" w:rsidP="001C569C">
      <w:pPr>
        <w:rPr>
          <w:lang w:val="ro-MD"/>
        </w:rPr>
      </w:pPr>
    </w:p>
    <w:p w14:paraId="13D5531C" w14:textId="27DC31E0" w:rsidR="001C569C" w:rsidRPr="0080251F" w:rsidRDefault="001C569C" w:rsidP="001C569C">
      <w:pPr>
        <w:rPr>
          <w:lang w:val="ro-MD"/>
        </w:rPr>
      </w:pPr>
    </w:p>
    <w:p w14:paraId="45722016" w14:textId="691428DC" w:rsidR="001C569C" w:rsidRPr="0080251F" w:rsidRDefault="001C569C" w:rsidP="001C569C">
      <w:pPr>
        <w:rPr>
          <w:lang w:val="ro-MD"/>
        </w:rPr>
      </w:pPr>
    </w:p>
    <w:p w14:paraId="45706B5E" w14:textId="59258561" w:rsidR="001C569C" w:rsidRPr="0080251F" w:rsidRDefault="001C569C" w:rsidP="001C569C">
      <w:pPr>
        <w:rPr>
          <w:lang w:val="ro-MD"/>
        </w:rPr>
      </w:pPr>
    </w:p>
    <w:p w14:paraId="0F7AC53D" w14:textId="1B12D609" w:rsidR="001C569C" w:rsidRPr="0080251F" w:rsidRDefault="001C569C" w:rsidP="001C569C">
      <w:pPr>
        <w:rPr>
          <w:lang w:val="ro-MD"/>
        </w:rPr>
      </w:pPr>
    </w:p>
    <w:p w14:paraId="061C19B6" w14:textId="70E134C5" w:rsidR="00022AB4" w:rsidRPr="0080251F" w:rsidRDefault="00022AB4" w:rsidP="001C569C">
      <w:pPr>
        <w:rPr>
          <w:lang w:val="ro-MD"/>
        </w:rPr>
      </w:pPr>
    </w:p>
    <w:p w14:paraId="0AB26667" w14:textId="77777777" w:rsidR="00022AB4" w:rsidRPr="0080251F" w:rsidRDefault="00022AB4" w:rsidP="001C569C">
      <w:pPr>
        <w:rPr>
          <w:lang w:val="ro-MD"/>
        </w:rPr>
      </w:pPr>
    </w:p>
    <w:p w14:paraId="4F183683" w14:textId="04B06EE7" w:rsidR="00F746CF" w:rsidRPr="0080251F" w:rsidRDefault="00F746CF" w:rsidP="00917626">
      <w:pPr>
        <w:pStyle w:val="1"/>
        <w:spacing w:line="276" w:lineRule="auto"/>
        <w:jc w:val="right"/>
        <w:rPr>
          <w:rFonts w:ascii="Times New Roman" w:hAnsi="Times New Roman" w:cs="Times New Roman"/>
          <w:b/>
          <w:sz w:val="24"/>
          <w:szCs w:val="28"/>
          <w:lang w:val="ro-MD"/>
        </w:rPr>
      </w:pPr>
      <w:bookmarkStart w:id="31" w:name="_Toc161169704"/>
      <w:r w:rsidRPr="0080251F">
        <w:rPr>
          <w:rFonts w:ascii="Times New Roman" w:hAnsi="Times New Roman" w:cs="Times New Roman"/>
          <w:b/>
          <w:sz w:val="24"/>
          <w:szCs w:val="28"/>
          <w:lang w:val="ro-MD"/>
        </w:rPr>
        <w:t>Anexa</w:t>
      </w:r>
      <w:r w:rsidR="007E1056" w:rsidRPr="0080251F">
        <w:rPr>
          <w:rFonts w:ascii="Times New Roman" w:hAnsi="Times New Roman" w:cs="Times New Roman"/>
          <w:b/>
          <w:sz w:val="24"/>
          <w:szCs w:val="28"/>
          <w:lang w:val="ro-MD"/>
        </w:rPr>
        <w:t xml:space="preserve"> nr.</w:t>
      </w:r>
      <w:r w:rsidR="009116ED" w:rsidRPr="0080251F">
        <w:rPr>
          <w:rFonts w:ascii="Times New Roman" w:hAnsi="Times New Roman" w:cs="Times New Roman"/>
          <w:b/>
          <w:sz w:val="24"/>
          <w:szCs w:val="28"/>
          <w:lang w:val="ro-MD"/>
        </w:rPr>
        <w:t>2</w:t>
      </w:r>
      <w:bookmarkEnd w:id="31"/>
    </w:p>
    <w:p w14:paraId="76E5BE93" w14:textId="3C37BE98" w:rsidR="00471FA9" w:rsidRPr="0080251F" w:rsidRDefault="00471FA9" w:rsidP="00917626">
      <w:pPr>
        <w:spacing w:after="0" w:line="276" w:lineRule="auto"/>
        <w:jc w:val="center"/>
        <w:rPr>
          <w:rFonts w:ascii="Times New Roman" w:eastAsia="Times New Roman" w:hAnsi="Times New Roman" w:cs="Times New Roman"/>
          <w:b/>
          <w:bCs/>
          <w:sz w:val="24"/>
          <w:szCs w:val="24"/>
          <w:lang w:val="ro-MD"/>
        </w:rPr>
      </w:pPr>
      <w:r w:rsidRPr="0080251F">
        <w:rPr>
          <w:rFonts w:ascii="Times New Roman" w:eastAsia="Times New Roman" w:hAnsi="Times New Roman" w:cs="Times New Roman"/>
          <w:b/>
          <w:bCs/>
          <w:sz w:val="24"/>
          <w:szCs w:val="24"/>
          <w:lang w:val="ro-MD"/>
        </w:rPr>
        <w:t xml:space="preserve">Situația patrimonial-financiară </w:t>
      </w:r>
      <w:r w:rsidR="00460D32" w:rsidRPr="0080251F">
        <w:rPr>
          <w:rFonts w:ascii="Times New Roman" w:eastAsia="Times New Roman" w:hAnsi="Times New Roman" w:cs="Times New Roman"/>
          <w:b/>
          <w:bCs/>
          <w:sz w:val="24"/>
          <w:szCs w:val="24"/>
          <w:lang w:val="ro-MD"/>
        </w:rPr>
        <w:t xml:space="preserve">a </w:t>
      </w:r>
      <w:r w:rsidR="004E62CC" w:rsidRPr="0080251F">
        <w:rPr>
          <w:rFonts w:ascii="Times New Roman" w:eastAsia="Times New Roman" w:hAnsi="Times New Roman" w:cs="Times New Roman"/>
          <w:b/>
          <w:bCs/>
          <w:sz w:val="24"/>
          <w:szCs w:val="24"/>
          <w:lang w:val="ro-MD"/>
        </w:rPr>
        <w:t xml:space="preserve">S.A. „RED-Nord” </w:t>
      </w:r>
      <w:r w:rsidRPr="0080251F">
        <w:rPr>
          <w:rFonts w:ascii="Times New Roman" w:eastAsia="Times New Roman" w:hAnsi="Times New Roman" w:cs="Times New Roman"/>
          <w:b/>
          <w:bCs/>
          <w:sz w:val="24"/>
          <w:szCs w:val="24"/>
          <w:lang w:val="ro-MD"/>
        </w:rPr>
        <w:t>pe anii 2021-2022</w:t>
      </w:r>
    </w:p>
    <w:p w14:paraId="05DFD472" w14:textId="246F1852" w:rsidR="00471FA9" w:rsidRPr="0080251F" w:rsidRDefault="004E62CC" w:rsidP="00917626">
      <w:pPr>
        <w:spacing w:after="0" w:line="276" w:lineRule="auto"/>
        <w:jc w:val="center"/>
        <w:rPr>
          <w:i/>
          <w:lang w:val="ro-MD"/>
        </w:rPr>
      </w:pPr>
      <w:r w:rsidRPr="0080251F">
        <w:rPr>
          <w:rFonts w:ascii="Times New Roman" w:eastAsia="Times New Roman" w:hAnsi="Times New Roman" w:cs="Times New Roman"/>
          <w:b/>
          <w:bCs/>
          <w:sz w:val="24"/>
          <w:szCs w:val="24"/>
          <w:lang w:val="ro-MD"/>
        </w:rPr>
        <w:t xml:space="preserve">                                                                                                                         </w:t>
      </w:r>
      <w:r w:rsidR="00460D32" w:rsidRPr="0080251F">
        <w:rPr>
          <w:rFonts w:ascii="Times New Roman" w:eastAsia="Times New Roman" w:hAnsi="Times New Roman" w:cs="Times New Roman"/>
          <w:b/>
          <w:bCs/>
          <w:sz w:val="24"/>
          <w:szCs w:val="24"/>
          <w:lang w:val="ro-MD"/>
        </w:rPr>
        <w:t xml:space="preserve">                            </w:t>
      </w:r>
      <w:r w:rsidR="00471FA9" w:rsidRPr="0080251F">
        <w:rPr>
          <w:rFonts w:ascii="Times New Roman" w:eastAsia="Times New Roman" w:hAnsi="Times New Roman" w:cs="Times New Roman"/>
          <w:b/>
          <w:bCs/>
          <w:i/>
          <w:sz w:val="24"/>
          <w:szCs w:val="24"/>
          <w:lang w:val="ro-MD"/>
        </w:rPr>
        <w:t>mii lei</w:t>
      </w:r>
    </w:p>
    <w:tbl>
      <w:tblPr>
        <w:tblW w:w="96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1417"/>
        <w:gridCol w:w="1399"/>
        <w:gridCol w:w="1493"/>
        <w:gridCol w:w="1168"/>
      </w:tblGrid>
      <w:tr w:rsidR="00471FA9" w:rsidRPr="0080251F" w14:paraId="2AE49901" w14:textId="77777777" w:rsidTr="007E784D">
        <w:trPr>
          <w:trHeight w:val="215"/>
        </w:trPr>
        <w:tc>
          <w:tcPr>
            <w:tcW w:w="4395" w:type="dxa"/>
            <w:vMerge w:val="restart"/>
            <w:shd w:val="clear" w:color="auto" w:fill="DEEAF6" w:themeFill="accent1" w:themeFillTint="33"/>
            <w:vAlign w:val="center"/>
            <w:hideMark/>
          </w:tcPr>
          <w:p w14:paraId="231F74D1" w14:textId="77777777" w:rsidR="00471FA9" w:rsidRPr="0080251F" w:rsidRDefault="00471FA9" w:rsidP="00AF09E4">
            <w:pPr>
              <w:spacing w:after="0"/>
              <w:jc w:val="center"/>
              <w:rPr>
                <w:rFonts w:ascii="Times New Roman" w:eastAsia="Times New Roman" w:hAnsi="Times New Roman" w:cs="Times New Roman"/>
                <w:b/>
                <w:bCs/>
                <w:iCs/>
                <w:sz w:val="20"/>
                <w:szCs w:val="20"/>
                <w:lang w:val="ro-MD"/>
              </w:rPr>
            </w:pPr>
            <w:r w:rsidRPr="0080251F">
              <w:rPr>
                <w:rFonts w:ascii="Times New Roman" w:eastAsia="Times New Roman" w:hAnsi="Times New Roman" w:cs="Times New Roman"/>
                <w:b/>
                <w:bCs/>
                <w:iCs/>
                <w:sz w:val="20"/>
                <w:szCs w:val="20"/>
                <w:lang w:val="ro-MD"/>
              </w:rPr>
              <w:t>Denumirea indicatorului</w:t>
            </w:r>
          </w:p>
        </w:tc>
        <w:tc>
          <w:tcPr>
            <w:tcW w:w="1417" w:type="dxa"/>
            <w:vMerge w:val="restart"/>
            <w:shd w:val="clear" w:color="auto" w:fill="DEEAF6" w:themeFill="accent1" w:themeFillTint="33"/>
            <w:vAlign w:val="center"/>
            <w:hideMark/>
          </w:tcPr>
          <w:p w14:paraId="5B3F6550" w14:textId="716179B5" w:rsidR="00471FA9" w:rsidRPr="0080251F" w:rsidRDefault="00471FA9" w:rsidP="00AF09E4">
            <w:pPr>
              <w:spacing w:after="0"/>
              <w:jc w:val="center"/>
              <w:rPr>
                <w:rFonts w:ascii="Times New Roman" w:eastAsia="Times New Roman" w:hAnsi="Times New Roman" w:cs="Times New Roman"/>
                <w:b/>
                <w:bCs/>
                <w:iCs/>
                <w:sz w:val="20"/>
                <w:szCs w:val="20"/>
                <w:lang w:val="ro-MD"/>
              </w:rPr>
            </w:pPr>
            <w:r w:rsidRPr="0080251F">
              <w:rPr>
                <w:rFonts w:ascii="Times New Roman" w:eastAsia="Times New Roman" w:hAnsi="Times New Roman" w:cs="Times New Roman"/>
                <w:b/>
                <w:bCs/>
                <w:iCs/>
                <w:sz w:val="20"/>
                <w:szCs w:val="20"/>
                <w:lang w:val="ro-MD"/>
              </w:rPr>
              <w:t>31.12.2021</w:t>
            </w:r>
          </w:p>
        </w:tc>
        <w:tc>
          <w:tcPr>
            <w:tcW w:w="1399" w:type="dxa"/>
            <w:vMerge w:val="restart"/>
            <w:shd w:val="clear" w:color="auto" w:fill="DEEAF6" w:themeFill="accent1" w:themeFillTint="33"/>
            <w:vAlign w:val="center"/>
            <w:hideMark/>
          </w:tcPr>
          <w:p w14:paraId="2A1E9517" w14:textId="4387048C" w:rsidR="00471FA9" w:rsidRPr="0080251F" w:rsidRDefault="00471FA9" w:rsidP="00AF09E4">
            <w:pPr>
              <w:spacing w:after="0"/>
              <w:jc w:val="center"/>
              <w:rPr>
                <w:rFonts w:ascii="Times New Roman" w:eastAsia="Times New Roman" w:hAnsi="Times New Roman" w:cs="Times New Roman"/>
                <w:b/>
                <w:bCs/>
                <w:iCs/>
                <w:sz w:val="20"/>
                <w:szCs w:val="20"/>
                <w:lang w:val="ro-MD"/>
              </w:rPr>
            </w:pPr>
            <w:r w:rsidRPr="0080251F">
              <w:rPr>
                <w:rFonts w:ascii="Times New Roman" w:eastAsia="Times New Roman" w:hAnsi="Times New Roman" w:cs="Times New Roman"/>
                <w:b/>
                <w:bCs/>
                <w:iCs/>
                <w:sz w:val="20"/>
                <w:szCs w:val="20"/>
                <w:lang w:val="ro-MD"/>
              </w:rPr>
              <w:t>31.12.2022</w:t>
            </w:r>
          </w:p>
        </w:tc>
        <w:tc>
          <w:tcPr>
            <w:tcW w:w="2483" w:type="dxa"/>
            <w:gridSpan w:val="2"/>
            <w:shd w:val="clear" w:color="auto" w:fill="DEEAF6" w:themeFill="accent1" w:themeFillTint="33"/>
            <w:vAlign w:val="center"/>
            <w:hideMark/>
          </w:tcPr>
          <w:p w14:paraId="724A63D3" w14:textId="3FC3880C" w:rsidR="00471FA9" w:rsidRPr="0080251F" w:rsidRDefault="00471FA9" w:rsidP="00AF09E4">
            <w:pPr>
              <w:spacing w:after="0"/>
              <w:jc w:val="center"/>
              <w:rPr>
                <w:rFonts w:ascii="Times New Roman" w:eastAsia="Times New Roman" w:hAnsi="Times New Roman" w:cs="Times New Roman"/>
                <w:b/>
                <w:bCs/>
                <w:iCs/>
                <w:sz w:val="20"/>
                <w:szCs w:val="20"/>
                <w:lang w:val="ro-MD"/>
              </w:rPr>
            </w:pPr>
            <w:r w:rsidRPr="0080251F">
              <w:rPr>
                <w:rFonts w:ascii="Times New Roman" w:eastAsia="Times New Roman" w:hAnsi="Times New Roman" w:cs="Times New Roman"/>
                <w:b/>
                <w:bCs/>
                <w:iCs/>
                <w:sz w:val="20"/>
                <w:szCs w:val="20"/>
                <w:lang w:val="ro-MD"/>
              </w:rPr>
              <w:t>Devieri</w:t>
            </w:r>
            <w:r w:rsidR="00FF0088" w:rsidRPr="0080251F">
              <w:rPr>
                <w:rFonts w:ascii="Times New Roman" w:eastAsia="Times New Roman" w:hAnsi="Times New Roman" w:cs="Times New Roman"/>
                <w:b/>
                <w:bCs/>
                <w:iCs/>
                <w:sz w:val="20"/>
                <w:szCs w:val="20"/>
                <w:lang w:val="ro-MD"/>
              </w:rPr>
              <w:t xml:space="preserve">, </w:t>
            </w:r>
            <w:r w:rsidRPr="0080251F">
              <w:rPr>
                <w:rFonts w:ascii="Times New Roman" w:eastAsia="Times New Roman" w:hAnsi="Times New Roman" w:cs="Times New Roman"/>
                <w:b/>
                <w:bCs/>
                <w:iCs/>
                <w:sz w:val="20"/>
                <w:szCs w:val="20"/>
                <w:lang w:val="ro-MD"/>
              </w:rPr>
              <w:t>2022/2021</w:t>
            </w:r>
          </w:p>
        </w:tc>
      </w:tr>
      <w:tr w:rsidR="00471FA9" w:rsidRPr="0080251F" w14:paraId="3BD4F4CC" w14:textId="77777777" w:rsidTr="007E784D">
        <w:trPr>
          <w:trHeight w:val="215"/>
        </w:trPr>
        <w:tc>
          <w:tcPr>
            <w:tcW w:w="4395" w:type="dxa"/>
            <w:vMerge/>
            <w:shd w:val="clear" w:color="auto" w:fill="DEEAF6" w:themeFill="accent1" w:themeFillTint="33"/>
            <w:vAlign w:val="center"/>
            <w:hideMark/>
          </w:tcPr>
          <w:p w14:paraId="1ECE7EE0" w14:textId="77777777" w:rsidR="00471FA9" w:rsidRPr="0080251F" w:rsidRDefault="00471FA9" w:rsidP="00AF09E4">
            <w:pPr>
              <w:spacing w:after="0"/>
              <w:jc w:val="both"/>
              <w:rPr>
                <w:rFonts w:ascii="Times New Roman" w:eastAsia="Times New Roman" w:hAnsi="Times New Roman" w:cs="Times New Roman"/>
                <w:b/>
                <w:bCs/>
                <w:i/>
                <w:iCs/>
                <w:sz w:val="20"/>
                <w:szCs w:val="20"/>
                <w:lang w:val="ro-MD"/>
              </w:rPr>
            </w:pPr>
          </w:p>
        </w:tc>
        <w:tc>
          <w:tcPr>
            <w:tcW w:w="1417" w:type="dxa"/>
            <w:vMerge/>
            <w:shd w:val="clear" w:color="auto" w:fill="DEEAF6" w:themeFill="accent1" w:themeFillTint="33"/>
            <w:vAlign w:val="center"/>
            <w:hideMark/>
          </w:tcPr>
          <w:p w14:paraId="0203D34A" w14:textId="77777777" w:rsidR="00471FA9" w:rsidRPr="0080251F" w:rsidRDefault="00471FA9" w:rsidP="00AF09E4">
            <w:pPr>
              <w:spacing w:after="0"/>
              <w:jc w:val="center"/>
              <w:rPr>
                <w:rFonts w:ascii="Times New Roman" w:eastAsia="Times New Roman" w:hAnsi="Times New Roman" w:cs="Times New Roman"/>
                <w:b/>
                <w:bCs/>
                <w:i/>
                <w:iCs/>
                <w:sz w:val="20"/>
                <w:szCs w:val="20"/>
                <w:lang w:val="ro-MD"/>
              </w:rPr>
            </w:pPr>
          </w:p>
        </w:tc>
        <w:tc>
          <w:tcPr>
            <w:tcW w:w="1399" w:type="dxa"/>
            <w:vMerge/>
            <w:shd w:val="clear" w:color="auto" w:fill="DEEAF6" w:themeFill="accent1" w:themeFillTint="33"/>
            <w:vAlign w:val="center"/>
            <w:hideMark/>
          </w:tcPr>
          <w:p w14:paraId="67CD6944" w14:textId="77777777" w:rsidR="00471FA9" w:rsidRPr="0080251F" w:rsidRDefault="00471FA9" w:rsidP="00AF09E4">
            <w:pPr>
              <w:spacing w:after="0"/>
              <w:jc w:val="center"/>
              <w:rPr>
                <w:rFonts w:ascii="Times New Roman" w:eastAsia="Times New Roman" w:hAnsi="Times New Roman" w:cs="Times New Roman"/>
                <w:b/>
                <w:bCs/>
                <w:i/>
                <w:iCs/>
                <w:sz w:val="20"/>
                <w:szCs w:val="20"/>
                <w:lang w:val="ro-MD"/>
              </w:rPr>
            </w:pPr>
          </w:p>
        </w:tc>
        <w:tc>
          <w:tcPr>
            <w:tcW w:w="1315" w:type="dxa"/>
            <w:shd w:val="clear" w:color="auto" w:fill="DEEAF6" w:themeFill="accent1" w:themeFillTint="33"/>
            <w:vAlign w:val="center"/>
            <w:hideMark/>
          </w:tcPr>
          <w:p w14:paraId="4E4C3610" w14:textId="35FA43DA" w:rsidR="00471FA9" w:rsidRPr="0080251F" w:rsidRDefault="00471FA9" w:rsidP="00AF09E4">
            <w:pPr>
              <w:spacing w:after="0"/>
              <w:jc w:val="center"/>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mii lei</w:t>
            </w:r>
          </w:p>
        </w:tc>
        <w:tc>
          <w:tcPr>
            <w:tcW w:w="1168" w:type="dxa"/>
            <w:shd w:val="clear" w:color="auto" w:fill="DEEAF6" w:themeFill="accent1" w:themeFillTint="33"/>
            <w:vAlign w:val="center"/>
            <w:hideMark/>
          </w:tcPr>
          <w:p w14:paraId="5CC2E4EB" w14:textId="77777777" w:rsidR="00471FA9" w:rsidRPr="0080251F" w:rsidRDefault="00471FA9" w:rsidP="00AF09E4">
            <w:pPr>
              <w:spacing w:after="0"/>
              <w:jc w:val="center"/>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w:t>
            </w:r>
          </w:p>
        </w:tc>
      </w:tr>
      <w:tr w:rsidR="00471FA9" w:rsidRPr="0080251F" w14:paraId="397FFC36" w14:textId="77777777" w:rsidTr="007E784D">
        <w:trPr>
          <w:trHeight w:val="44"/>
        </w:trPr>
        <w:tc>
          <w:tcPr>
            <w:tcW w:w="4395" w:type="dxa"/>
            <w:shd w:val="clear" w:color="000000" w:fill="FFFFFF"/>
            <w:vAlign w:val="center"/>
            <w:hideMark/>
          </w:tcPr>
          <w:p w14:paraId="73BFFF63" w14:textId="77777777" w:rsidR="00471FA9" w:rsidRPr="0080251F" w:rsidRDefault="00471FA9" w:rsidP="00AF09E4">
            <w:pPr>
              <w:spacing w:after="0"/>
              <w:jc w:val="both"/>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Active imobilizate, total:</w:t>
            </w:r>
          </w:p>
        </w:tc>
        <w:tc>
          <w:tcPr>
            <w:tcW w:w="1417" w:type="dxa"/>
            <w:shd w:val="clear" w:color="auto" w:fill="auto"/>
            <w:noWrap/>
            <w:vAlign w:val="center"/>
            <w:hideMark/>
          </w:tcPr>
          <w:p w14:paraId="75EB0FE7" w14:textId="7819EC1C" w:rsidR="00471FA9" w:rsidRPr="0080251F" w:rsidRDefault="004E62CC"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2.793.927,59</w:t>
            </w:r>
          </w:p>
        </w:tc>
        <w:tc>
          <w:tcPr>
            <w:tcW w:w="1399" w:type="dxa"/>
            <w:shd w:val="clear" w:color="auto" w:fill="auto"/>
            <w:noWrap/>
            <w:vAlign w:val="center"/>
            <w:hideMark/>
          </w:tcPr>
          <w:p w14:paraId="55CE0668" w14:textId="271E4FD7" w:rsidR="00471FA9" w:rsidRPr="0080251F" w:rsidRDefault="004E62CC"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2.770.402,33</w:t>
            </w:r>
          </w:p>
        </w:tc>
        <w:tc>
          <w:tcPr>
            <w:tcW w:w="1315" w:type="dxa"/>
            <w:shd w:val="clear" w:color="auto" w:fill="auto"/>
            <w:noWrap/>
            <w:vAlign w:val="center"/>
            <w:hideMark/>
          </w:tcPr>
          <w:p w14:paraId="5BD8966D" w14:textId="4432AD4B" w:rsidR="00471FA9" w:rsidRPr="0080251F" w:rsidRDefault="003811FA"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- 23.525,26</w:t>
            </w:r>
          </w:p>
        </w:tc>
        <w:tc>
          <w:tcPr>
            <w:tcW w:w="1168" w:type="dxa"/>
            <w:shd w:val="clear" w:color="auto" w:fill="auto"/>
            <w:noWrap/>
            <w:vAlign w:val="center"/>
            <w:hideMark/>
          </w:tcPr>
          <w:p w14:paraId="1F0FBADA" w14:textId="5E655D5B" w:rsidR="00471FA9" w:rsidRPr="0080251F" w:rsidRDefault="003963A3"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99,16</w:t>
            </w:r>
          </w:p>
        </w:tc>
      </w:tr>
      <w:tr w:rsidR="00471FA9" w:rsidRPr="0080251F" w14:paraId="1CC2DD0B" w14:textId="77777777" w:rsidTr="007E784D">
        <w:trPr>
          <w:trHeight w:val="44"/>
        </w:trPr>
        <w:tc>
          <w:tcPr>
            <w:tcW w:w="4395" w:type="dxa"/>
            <w:shd w:val="clear" w:color="000000" w:fill="FFFFFF"/>
            <w:vAlign w:val="center"/>
            <w:hideMark/>
          </w:tcPr>
          <w:p w14:paraId="7DFB743D" w14:textId="77777777" w:rsidR="00471FA9" w:rsidRPr="0080251F" w:rsidRDefault="00471FA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Imobilizări necorporale</w:t>
            </w:r>
          </w:p>
        </w:tc>
        <w:tc>
          <w:tcPr>
            <w:tcW w:w="1417" w:type="dxa"/>
            <w:shd w:val="clear" w:color="auto" w:fill="auto"/>
            <w:noWrap/>
            <w:vAlign w:val="center"/>
            <w:hideMark/>
          </w:tcPr>
          <w:p w14:paraId="535F8E42" w14:textId="030C18F2" w:rsidR="00471FA9"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6.573,63</w:t>
            </w:r>
          </w:p>
        </w:tc>
        <w:tc>
          <w:tcPr>
            <w:tcW w:w="1399" w:type="dxa"/>
            <w:shd w:val="clear" w:color="auto" w:fill="auto"/>
            <w:noWrap/>
            <w:vAlign w:val="center"/>
            <w:hideMark/>
          </w:tcPr>
          <w:p w14:paraId="13E16DD2" w14:textId="7FE2E713" w:rsidR="00471FA9"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1.211,65</w:t>
            </w:r>
          </w:p>
        </w:tc>
        <w:tc>
          <w:tcPr>
            <w:tcW w:w="1315" w:type="dxa"/>
            <w:shd w:val="clear" w:color="auto" w:fill="auto"/>
            <w:noWrap/>
            <w:vAlign w:val="center"/>
            <w:hideMark/>
          </w:tcPr>
          <w:p w14:paraId="4A3EBDB9" w14:textId="5984A988" w:rsidR="00471FA9" w:rsidRPr="0080251F" w:rsidRDefault="00471FA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w:t>
            </w:r>
            <w:r w:rsidR="0060552D" w:rsidRPr="0080251F">
              <w:rPr>
                <w:rFonts w:ascii="Times New Roman" w:eastAsia="Times New Roman" w:hAnsi="Times New Roman" w:cs="Times New Roman"/>
                <w:bCs/>
                <w:sz w:val="20"/>
                <w:szCs w:val="20"/>
                <w:lang w:val="ro-MD"/>
              </w:rPr>
              <w:t xml:space="preserve"> 5.361,98</w:t>
            </w:r>
          </w:p>
        </w:tc>
        <w:tc>
          <w:tcPr>
            <w:tcW w:w="1168" w:type="dxa"/>
            <w:shd w:val="clear" w:color="auto" w:fill="auto"/>
            <w:noWrap/>
            <w:vAlign w:val="center"/>
            <w:hideMark/>
          </w:tcPr>
          <w:p w14:paraId="64013108" w14:textId="216583F9" w:rsidR="00471FA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18,43</w:t>
            </w:r>
          </w:p>
        </w:tc>
      </w:tr>
      <w:tr w:rsidR="00471FA9" w:rsidRPr="0080251F" w14:paraId="3AF08B36" w14:textId="77777777" w:rsidTr="007E784D">
        <w:trPr>
          <w:trHeight w:val="45"/>
        </w:trPr>
        <w:tc>
          <w:tcPr>
            <w:tcW w:w="4395" w:type="dxa"/>
            <w:shd w:val="clear" w:color="000000" w:fill="FFFFFF"/>
            <w:vAlign w:val="center"/>
            <w:hideMark/>
          </w:tcPr>
          <w:p w14:paraId="7AA6C05D" w14:textId="76A9DD69" w:rsidR="00471FA9" w:rsidRPr="0080251F" w:rsidRDefault="004E62CC"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Mijloace fixe</w:t>
            </w:r>
          </w:p>
        </w:tc>
        <w:tc>
          <w:tcPr>
            <w:tcW w:w="1417" w:type="dxa"/>
            <w:shd w:val="clear" w:color="auto" w:fill="auto"/>
            <w:noWrap/>
            <w:vAlign w:val="center"/>
            <w:hideMark/>
          </w:tcPr>
          <w:p w14:paraId="1DA37D54" w14:textId="47275387" w:rsidR="00471FA9"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2.702.570,26</w:t>
            </w:r>
          </w:p>
        </w:tc>
        <w:tc>
          <w:tcPr>
            <w:tcW w:w="1399" w:type="dxa"/>
            <w:shd w:val="clear" w:color="auto" w:fill="auto"/>
            <w:noWrap/>
            <w:vAlign w:val="center"/>
            <w:hideMark/>
          </w:tcPr>
          <w:p w14:paraId="240BD0BD" w14:textId="1D64545A" w:rsidR="00471FA9"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2.684.877,89</w:t>
            </w:r>
          </w:p>
        </w:tc>
        <w:tc>
          <w:tcPr>
            <w:tcW w:w="1315" w:type="dxa"/>
            <w:shd w:val="clear" w:color="auto" w:fill="auto"/>
            <w:noWrap/>
            <w:vAlign w:val="center"/>
            <w:hideMark/>
          </w:tcPr>
          <w:p w14:paraId="7453B89A" w14:textId="47CDEC2A" w:rsidR="00471FA9" w:rsidRPr="0080251F" w:rsidRDefault="0060552D"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- 17.692,37</w:t>
            </w:r>
          </w:p>
        </w:tc>
        <w:tc>
          <w:tcPr>
            <w:tcW w:w="1168" w:type="dxa"/>
            <w:shd w:val="clear" w:color="auto" w:fill="auto"/>
            <w:noWrap/>
            <w:vAlign w:val="center"/>
            <w:hideMark/>
          </w:tcPr>
          <w:p w14:paraId="4ADDD2E5" w14:textId="09C94AB0" w:rsidR="00471FA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99,35</w:t>
            </w:r>
          </w:p>
        </w:tc>
      </w:tr>
      <w:tr w:rsidR="004E62CC" w:rsidRPr="0080251F" w14:paraId="7CC1057B" w14:textId="77777777" w:rsidTr="007E784D">
        <w:trPr>
          <w:trHeight w:val="45"/>
        </w:trPr>
        <w:tc>
          <w:tcPr>
            <w:tcW w:w="4395" w:type="dxa"/>
            <w:shd w:val="clear" w:color="000000" w:fill="FFFFFF"/>
            <w:vAlign w:val="center"/>
          </w:tcPr>
          <w:p w14:paraId="3D7BBD0A" w14:textId="4D1921EB" w:rsidR="004E62CC" w:rsidRPr="0080251F" w:rsidRDefault="004E62CC"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Active financiare</w:t>
            </w:r>
          </w:p>
        </w:tc>
        <w:tc>
          <w:tcPr>
            <w:tcW w:w="1417" w:type="dxa"/>
            <w:shd w:val="clear" w:color="auto" w:fill="auto"/>
            <w:noWrap/>
            <w:vAlign w:val="center"/>
          </w:tcPr>
          <w:p w14:paraId="4F0FEE2A" w14:textId="5DE797B2" w:rsidR="004E62CC"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389,60</w:t>
            </w:r>
          </w:p>
        </w:tc>
        <w:tc>
          <w:tcPr>
            <w:tcW w:w="1399" w:type="dxa"/>
            <w:shd w:val="clear" w:color="auto" w:fill="auto"/>
            <w:noWrap/>
            <w:vAlign w:val="center"/>
          </w:tcPr>
          <w:p w14:paraId="3130B0AD" w14:textId="02CE16A5" w:rsidR="004E62CC"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389,60</w:t>
            </w:r>
          </w:p>
        </w:tc>
        <w:tc>
          <w:tcPr>
            <w:tcW w:w="1315" w:type="dxa"/>
            <w:shd w:val="clear" w:color="auto" w:fill="auto"/>
            <w:noWrap/>
            <w:vAlign w:val="center"/>
          </w:tcPr>
          <w:p w14:paraId="33F6BA82" w14:textId="7845E5E8" w:rsidR="004E62CC" w:rsidRPr="0080251F" w:rsidRDefault="0060552D"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c>
          <w:tcPr>
            <w:tcW w:w="1168" w:type="dxa"/>
            <w:shd w:val="clear" w:color="auto" w:fill="auto"/>
            <w:noWrap/>
            <w:vAlign w:val="center"/>
          </w:tcPr>
          <w:p w14:paraId="1B5DE904" w14:textId="1F673CD0" w:rsidR="004E62CC"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r>
      <w:tr w:rsidR="004E62CC" w:rsidRPr="0080251F" w14:paraId="60A431D9" w14:textId="77777777" w:rsidTr="007E784D">
        <w:trPr>
          <w:trHeight w:val="45"/>
        </w:trPr>
        <w:tc>
          <w:tcPr>
            <w:tcW w:w="4395" w:type="dxa"/>
            <w:shd w:val="clear" w:color="000000" w:fill="FFFFFF"/>
            <w:vAlign w:val="center"/>
          </w:tcPr>
          <w:p w14:paraId="2FDE1525" w14:textId="3BB01259" w:rsidR="004E62CC" w:rsidRPr="0080251F" w:rsidRDefault="004E62CC"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Cheltuieli anticipate pe termen lung</w:t>
            </w:r>
          </w:p>
        </w:tc>
        <w:tc>
          <w:tcPr>
            <w:tcW w:w="1417" w:type="dxa"/>
            <w:shd w:val="clear" w:color="auto" w:fill="auto"/>
            <w:noWrap/>
            <w:vAlign w:val="center"/>
          </w:tcPr>
          <w:p w14:paraId="75DDF246" w14:textId="35E7A806" w:rsidR="004E62CC"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84.394,09</w:t>
            </w:r>
          </w:p>
        </w:tc>
        <w:tc>
          <w:tcPr>
            <w:tcW w:w="1399" w:type="dxa"/>
            <w:shd w:val="clear" w:color="auto" w:fill="auto"/>
            <w:noWrap/>
            <w:vAlign w:val="center"/>
          </w:tcPr>
          <w:p w14:paraId="5EA44C5B" w14:textId="4C1AA6E5" w:rsidR="004E62CC"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83.923,17</w:t>
            </w:r>
          </w:p>
        </w:tc>
        <w:tc>
          <w:tcPr>
            <w:tcW w:w="1315" w:type="dxa"/>
            <w:shd w:val="clear" w:color="auto" w:fill="auto"/>
            <w:noWrap/>
            <w:vAlign w:val="center"/>
          </w:tcPr>
          <w:p w14:paraId="601232AC" w14:textId="7CAED0D8" w:rsidR="004E62CC" w:rsidRPr="0080251F" w:rsidRDefault="0060552D"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470,92</w:t>
            </w:r>
          </w:p>
        </w:tc>
        <w:tc>
          <w:tcPr>
            <w:tcW w:w="1168" w:type="dxa"/>
            <w:shd w:val="clear" w:color="auto" w:fill="auto"/>
            <w:noWrap/>
            <w:vAlign w:val="center"/>
          </w:tcPr>
          <w:p w14:paraId="352ED4BD" w14:textId="7260C88B" w:rsidR="004E62CC"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99,44</w:t>
            </w:r>
          </w:p>
        </w:tc>
      </w:tr>
      <w:tr w:rsidR="00471FA9" w:rsidRPr="0080251F" w14:paraId="682D9A30" w14:textId="77777777" w:rsidTr="007E784D">
        <w:trPr>
          <w:trHeight w:val="45"/>
        </w:trPr>
        <w:tc>
          <w:tcPr>
            <w:tcW w:w="4395" w:type="dxa"/>
            <w:shd w:val="clear" w:color="000000" w:fill="FFFFFF"/>
            <w:vAlign w:val="center"/>
            <w:hideMark/>
          </w:tcPr>
          <w:p w14:paraId="39195F4C" w14:textId="77777777" w:rsidR="00471FA9" w:rsidRPr="0080251F" w:rsidRDefault="00471FA9" w:rsidP="00AF09E4">
            <w:pPr>
              <w:spacing w:after="0"/>
              <w:jc w:val="both"/>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Active circulante, total:</w:t>
            </w:r>
          </w:p>
        </w:tc>
        <w:tc>
          <w:tcPr>
            <w:tcW w:w="1417" w:type="dxa"/>
            <w:shd w:val="clear" w:color="auto" w:fill="auto"/>
            <w:noWrap/>
            <w:vAlign w:val="center"/>
            <w:hideMark/>
          </w:tcPr>
          <w:p w14:paraId="7E2280C6" w14:textId="291E918A" w:rsidR="00471FA9" w:rsidRPr="0080251F" w:rsidRDefault="005C02E9"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164.289,60</w:t>
            </w:r>
          </w:p>
        </w:tc>
        <w:tc>
          <w:tcPr>
            <w:tcW w:w="1399" w:type="dxa"/>
            <w:shd w:val="clear" w:color="auto" w:fill="auto"/>
            <w:noWrap/>
            <w:vAlign w:val="center"/>
            <w:hideMark/>
          </w:tcPr>
          <w:p w14:paraId="0CB31775" w14:textId="50E20310" w:rsidR="00471FA9" w:rsidRPr="0080251F" w:rsidRDefault="005C02E9"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216.115,77</w:t>
            </w:r>
          </w:p>
        </w:tc>
        <w:tc>
          <w:tcPr>
            <w:tcW w:w="1315" w:type="dxa"/>
            <w:shd w:val="clear" w:color="auto" w:fill="auto"/>
            <w:noWrap/>
            <w:vAlign w:val="center"/>
            <w:hideMark/>
          </w:tcPr>
          <w:p w14:paraId="4D9789CB" w14:textId="188132C0" w:rsidR="00471FA9" w:rsidRPr="0080251F" w:rsidRDefault="0060552D"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51.826,17</w:t>
            </w:r>
          </w:p>
        </w:tc>
        <w:tc>
          <w:tcPr>
            <w:tcW w:w="1168" w:type="dxa"/>
            <w:shd w:val="clear" w:color="auto" w:fill="auto"/>
            <w:noWrap/>
            <w:vAlign w:val="center"/>
            <w:hideMark/>
          </w:tcPr>
          <w:p w14:paraId="498E039E" w14:textId="5AF546A1" w:rsidR="00471FA9" w:rsidRPr="0080251F" w:rsidRDefault="00AD7ACC"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131,55</w:t>
            </w:r>
          </w:p>
        </w:tc>
      </w:tr>
      <w:tr w:rsidR="00471FA9" w:rsidRPr="0080251F" w14:paraId="07B48191" w14:textId="77777777" w:rsidTr="007E784D">
        <w:trPr>
          <w:trHeight w:val="45"/>
        </w:trPr>
        <w:tc>
          <w:tcPr>
            <w:tcW w:w="4395" w:type="dxa"/>
            <w:shd w:val="clear" w:color="000000" w:fill="FFFFFF"/>
            <w:vAlign w:val="center"/>
            <w:hideMark/>
          </w:tcPr>
          <w:p w14:paraId="388122D1" w14:textId="1B8C4D92" w:rsidR="00471FA9" w:rsidRPr="0080251F" w:rsidRDefault="00471FA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Stocuri</w:t>
            </w:r>
            <w:r w:rsidR="004E62CC" w:rsidRPr="0080251F">
              <w:rPr>
                <w:rFonts w:ascii="Times New Roman" w:eastAsia="Times New Roman" w:hAnsi="Times New Roman" w:cs="Times New Roman"/>
                <w:i/>
                <w:iCs/>
                <w:sz w:val="20"/>
                <w:szCs w:val="20"/>
                <w:lang w:val="ro-MD"/>
              </w:rPr>
              <w:t xml:space="preserve"> și lucrări în curs de execuție</w:t>
            </w:r>
          </w:p>
        </w:tc>
        <w:tc>
          <w:tcPr>
            <w:tcW w:w="1417" w:type="dxa"/>
            <w:shd w:val="clear" w:color="auto" w:fill="auto"/>
            <w:noWrap/>
            <w:vAlign w:val="center"/>
            <w:hideMark/>
          </w:tcPr>
          <w:p w14:paraId="18DF0FD8" w14:textId="69C2217B" w:rsidR="00471FA9"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59.842,80</w:t>
            </w:r>
          </w:p>
        </w:tc>
        <w:tc>
          <w:tcPr>
            <w:tcW w:w="1399" w:type="dxa"/>
            <w:shd w:val="clear" w:color="auto" w:fill="auto"/>
            <w:noWrap/>
            <w:vAlign w:val="center"/>
            <w:hideMark/>
          </w:tcPr>
          <w:p w14:paraId="406F9B93" w14:textId="203122CE" w:rsidR="00471FA9" w:rsidRPr="0080251F" w:rsidRDefault="004E62CC"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64.078,53</w:t>
            </w:r>
          </w:p>
        </w:tc>
        <w:tc>
          <w:tcPr>
            <w:tcW w:w="1315" w:type="dxa"/>
            <w:shd w:val="clear" w:color="auto" w:fill="auto"/>
            <w:noWrap/>
            <w:vAlign w:val="center"/>
            <w:hideMark/>
          </w:tcPr>
          <w:p w14:paraId="14B02288" w14:textId="374A8283" w:rsidR="00471FA9" w:rsidRPr="0080251F" w:rsidRDefault="0060552D"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4.235,73</w:t>
            </w:r>
          </w:p>
        </w:tc>
        <w:tc>
          <w:tcPr>
            <w:tcW w:w="1168" w:type="dxa"/>
            <w:shd w:val="clear" w:color="auto" w:fill="auto"/>
            <w:noWrap/>
            <w:vAlign w:val="center"/>
            <w:hideMark/>
          </w:tcPr>
          <w:p w14:paraId="442983DD" w14:textId="0E536C97" w:rsidR="00471FA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107,08</w:t>
            </w:r>
          </w:p>
        </w:tc>
      </w:tr>
      <w:tr w:rsidR="00471FA9" w:rsidRPr="0080251F" w14:paraId="51D587F3" w14:textId="77777777" w:rsidTr="007E784D">
        <w:trPr>
          <w:trHeight w:val="214"/>
        </w:trPr>
        <w:tc>
          <w:tcPr>
            <w:tcW w:w="4395" w:type="dxa"/>
            <w:shd w:val="clear" w:color="000000" w:fill="FFFFFF"/>
            <w:vAlign w:val="center"/>
            <w:hideMark/>
          </w:tcPr>
          <w:p w14:paraId="32DB47B5" w14:textId="4B470B93" w:rsidR="00471FA9" w:rsidRPr="0080251F" w:rsidRDefault="00471FA9" w:rsidP="007B0581">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 xml:space="preserve">Creanțe </w:t>
            </w:r>
            <w:r w:rsidR="004E62CC" w:rsidRPr="0080251F">
              <w:rPr>
                <w:rFonts w:ascii="Times New Roman" w:eastAsia="Times New Roman" w:hAnsi="Times New Roman" w:cs="Times New Roman"/>
                <w:i/>
                <w:iCs/>
                <w:sz w:val="20"/>
                <w:szCs w:val="20"/>
                <w:lang w:val="ro-MD"/>
              </w:rPr>
              <w:t>comerciale si alte active c</w:t>
            </w:r>
            <w:r w:rsidR="007B0581" w:rsidRPr="0080251F">
              <w:rPr>
                <w:rFonts w:ascii="Times New Roman" w:eastAsia="Times New Roman" w:hAnsi="Times New Roman" w:cs="Times New Roman"/>
                <w:i/>
                <w:iCs/>
                <w:sz w:val="20"/>
                <w:szCs w:val="20"/>
                <w:lang w:val="ro-MD"/>
              </w:rPr>
              <w:t>urente</w:t>
            </w:r>
          </w:p>
        </w:tc>
        <w:tc>
          <w:tcPr>
            <w:tcW w:w="1417" w:type="dxa"/>
            <w:shd w:val="clear" w:color="auto" w:fill="auto"/>
            <w:noWrap/>
            <w:vAlign w:val="center"/>
            <w:hideMark/>
          </w:tcPr>
          <w:p w14:paraId="2EF05287" w14:textId="2C03D40D" w:rsidR="00471FA9" w:rsidRPr="0080251F" w:rsidRDefault="00E03F47"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98.624,03</w:t>
            </w:r>
          </w:p>
        </w:tc>
        <w:tc>
          <w:tcPr>
            <w:tcW w:w="1399" w:type="dxa"/>
            <w:shd w:val="clear" w:color="auto" w:fill="auto"/>
            <w:noWrap/>
            <w:vAlign w:val="center"/>
            <w:hideMark/>
          </w:tcPr>
          <w:p w14:paraId="549AC209" w14:textId="4AFD9E3A" w:rsidR="00471FA9" w:rsidRPr="0080251F" w:rsidRDefault="00F8200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149.375,53</w:t>
            </w:r>
          </w:p>
        </w:tc>
        <w:tc>
          <w:tcPr>
            <w:tcW w:w="1315" w:type="dxa"/>
            <w:shd w:val="clear" w:color="auto" w:fill="auto"/>
            <w:noWrap/>
            <w:vAlign w:val="center"/>
            <w:hideMark/>
          </w:tcPr>
          <w:p w14:paraId="5012A790" w14:textId="5000EB16" w:rsidR="00471FA9" w:rsidRPr="0080251F" w:rsidRDefault="0060552D"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50.751,50</w:t>
            </w:r>
          </w:p>
        </w:tc>
        <w:tc>
          <w:tcPr>
            <w:tcW w:w="1168" w:type="dxa"/>
            <w:shd w:val="clear" w:color="auto" w:fill="auto"/>
            <w:noWrap/>
            <w:vAlign w:val="center"/>
            <w:hideMark/>
          </w:tcPr>
          <w:p w14:paraId="76B32669" w14:textId="5C6E3E35" w:rsidR="00471FA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151,46</w:t>
            </w:r>
          </w:p>
        </w:tc>
      </w:tr>
      <w:tr w:rsidR="00471FA9" w:rsidRPr="0080251F" w14:paraId="7CC52052" w14:textId="77777777" w:rsidTr="007E784D">
        <w:trPr>
          <w:trHeight w:val="44"/>
        </w:trPr>
        <w:tc>
          <w:tcPr>
            <w:tcW w:w="4395" w:type="dxa"/>
            <w:shd w:val="clear" w:color="000000" w:fill="FFFFFF"/>
            <w:vAlign w:val="center"/>
            <w:hideMark/>
          </w:tcPr>
          <w:p w14:paraId="07CD4E39" w14:textId="26AB1B10" w:rsidR="00471FA9" w:rsidRPr="0080251F" w:rsidRDefault="00471FA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 xml:space="preserve">Numerar </w:t>
            </w:r>
            <w:r w:rsidR="005C02E9" w:rsidRPr="0080251F">
              <w:rPr>
                <w:rFonts w:ascii="Times New Roman" w:eastAsia="Times New Roman" w:hAnsi="Times New Roman" w:cs="Times New Roman"/>
                <w:i/>
                <w:iCs/>
                <w:sz w:val="20"/>
                <w:szCs w:val="20"/>
                <w:lang w:val="ro-MD"/>
              </w:rPr>
              <w:t>în casă și la bancă</w:t>
            </w:r>
          </w:p>
        </w:tc>
        <w:tc>
          <w:tcPr>
            <w:tcW w:w="1417" w:type="dxa"/>
            <w:shd w:val="clear" w:color="auto" w:fill="auto"/>
            <w:noWrap/>
            <w:vAlign w:val="center"/>
            <w:hideMark/>
          </w:tcPr>
          <w:p w14:paraId="7B85DABD" w14:textId="5093D27E" w:rsidR="00471FA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3.562,11</w:t>
            </w:r>
          </w:p>
        </w:tc>
        <w:tc>
          <w:tcPr>
            <w:tcW w:w="1399" w:type="dxa"/>
            <w:shd w:val="clear" w:color="auto" w:fill="auto"/>
            <w:noWrap/>
            <w:vAlign w:val="center"/>
            <w:hideMark/>
          </w:tcPr>
          <w:p w14:paraId="592574C0" w14:textId="183244CD" w:rsidR="00471FA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31,93</w:t>
            </w:r>
          </w:p>
        </w:tc>
        <w:tc>
          <w:tcPr>
            <w:tcW w:w="1315" w:type="dxa"/>
            <w:shd w:val="clear" w:color="auto" w:fill="auto"/>
            <w:noWrap/>
            <w:vAlign w:val="center"/>
            <w:hideMark/>
          </w:tcPr>
          <w:p w14:paraId="0CFCDFC4" w14:textId="64328AD6" w:rsidR="00471FA9" w:rsidRPr="0080251F" w:rsidRDefault="0060552D" w:rsidP="00AF09E4">
            <w:pPr>
              <w:pStyle w:val="a6"/>
              <w:numPr>
                <w:ilvl w:val="0"/>
                <w:numId w:val="9"/>
              </w:numPr>
              <w:spacing w:after="0"/>
              <w:ind w:left="456" w:hanging="96"/>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3.530,18</w:t>
            </w:r>
          </w:p>
        </w:tc>
        <w:tc>
          <w:tcPr>
            <w:tcW w:w="1168" w:type="dxa"/>
            <w:shd w:val="clear" w:color="auto" w:fill="auto"/>
            <w:noWrap/>
            <w:vAlign w:val="center"/>
            <w:hideMark/>
          </w:tcPr>
          <w:p w14:paraId="5C2118E6" w14:textId="67216EC4" w:rsidR="00471FA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0,90</w:t>
            </w:r>
          </w:p>
        </w:tc>
      </w:tr>
      <w:tr w:rsidR="005C02E9" w:rsidRPr="0080251F" w14:paraId="50FC3911" w14:textId="77777777" w:rsidTr="007E784D">
        <w:trPr>
          <w:trHeight w:val="44"/>
        </w:trPr>
        <w:tc>
          <w:tcPr>
            <w:tcW w:w="4395" w:type="dxa"/>
            <w:shd w:val="clear" w:color="000000" w:fill="FFFFFF"/>
            <w:vAlign w:val="center"/>
          </w:tcPr>
          <w:p w14:paraId="4D9BE5C4" w14:textId="22095197" w:rsidR="005C02E9" w:rsidRPr="0080251F" w:rsidRDefault="005C02E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Alte active</w:t>
            </w:r>
          </w:p>
        </w:tc>
        <w:tc>
          <w:tcPr>
            <w:tcW w:w="1417" w:type="dxa"/>
            <w:shd w:val="clear" w:color="auto" w:fill="auto"/>
            <w:noWrap/>
            <w:vAlign w:val="center"/>
          </w:tcPr>
          <w:p w14:paraId="70CA7CC6" w14:textId="3D6073C2"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2.260,64</w:t>
            </w:r>
          </w:p>
        </w:tc>
        <w:tc>
          <w:tcPr>
            <w:tcW w:w="1399" w:type="dxa"/>
            <w:shd w:val="clear" w:color="auto" w:fill="auto"/>
            <w:noWrap/>
            <w:vAlign w:val="center"/>
          </w:tcPr>
          <w:p w14:paraId="2321B057" w14:textId="51171BB6"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2.629,78</w:t>
            </w:r>
          </w:p>
        </w:tc>
        <w:tc>
          <w:tcPr>
            <w:tcW w:w="1315" w:type="dxa"/>
            <w:shd w:val="clear" w:color="auto" w:fill="auto"/>
            <w:noWrap/>
            <w:vAlign w:val="center"/>
          </w:tcPr>
          <w:p w14:paraId="5E76CF8C" w14:textId="202FFE50" w:rsidR="005C02E9" w:rsidRPr="0080251F" w:rsidRDefault="00AB3A16"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369,14</w:t>
            </w:r>
          </w:p>
        </w:tc>
        <w:tc>
          <w:tcPr>
            <w:tcW w:w="1168" w:type="dxa"/>
            <w:shd w:val="clear" w:color="auto" w:fill="auto"/>
            <w:noWrap/>
            <w:vAlign w:val="center"/>
          </w:tcPr>
          <w:p w14:paraId="0F0514D0" w14:textId="64ED6512" w:rsidR="005C02E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116,33</w:t>
            </w:r>
          </w:p>
        </w:tc>
      </w:tr>
      <w:tr w:rsidR="00471FA9" w:rsidRPr="0080251F" w14:paraId="7C3CD028" w14:textId="77777777" w:rsidTr="007E784D">
        <w:trPr>
          <w:trHeight w:val="45"/>
        </w:trPr>
        <w:tc>
          <w:tcPr>
            <w:tcW w:w="4395" w:type="dxa"/>
            <w:shd w:val="clear" w:color="auto" w:fill="D9D9D9" w:themeFill="background1" w:themeFillShade="D9"/>
            <w:vAlign w:val="center"/>
            <w:hideMark/>
          </w:tcPr>
          <w:p w14:paraId="3175D1CA" w14:textId="7F93F0B9" w:rsidR="00471FA9" w:rsidRPr="0080251F" w:rsidRDefault="00471FA9" w:rsidP="00AF09E4">
            <w:pPr>
              <w:spacing w:after="0"/>
              <w:jc w:val="both"/>
              <w:rPr>
                <w:rFonts w:ascii="Times New Roman" w:eastAsia="Times New Roman" w:hAnsi="Times New Roman" w:cs="Times New Roman"/>
                <w:b/>
                <w:bCs/>
                <w:i/>
                <w:iCs/>
                <w:sz w:val="20"/>
                <w:szCs w:val="20"/>
                <w:lang w:val="ro-MD"/>
              </w:rPr>
            </w:pPr>
            <w:r w:rsidRPr="0080251F">
              <w:rPr>
                <w:rFonts w:ascii="Times New Roman" w:eastAsia="Times New Roman" w:hAnsi="Times New Roman" w:cs="Times New Roman"/>
                <w:b/>
                <w:bCs/>
                <w:i/>
                <w:iCs/>
                <w:sz w:val="20"/>
                <w:szCs w:val="20"/>
                <w:lang w:val="ro-MD"/>
              </w:rPr>
              <w:t xml:space="preserve">Total </w:t>
            </w:r>
            <w:r w:rsidR="00FF0088" w:rsidRPr="0080251F">
              <w:rPr>
                <w:rFonts w:ascii="Times New Roman" w:eastAsia="Times New Roman" w:hAnsi="Times New Roman" w:cs="Times New Roman"/>
                <w:b/>
                <w:bCs/>
                <w:i/>
                <w:iCs/>
                <w:sz w:val="20"/>
                <w:szCs w:val="20"/>
                <w:lang w:val="ro-MD"/>
              </w:rPr>
              <w:t>–</w:t>
            </w:r>
            <w:r w:rsidR="003811FA" w:rsidRPr="0080251F">
              <w:rPr>
                <w:rFonts w:ascii="Times New Roman" w:eastAsia="Times New Roman" w:hAnsi="Times New Roman" w:cs="Times New Roman"/>
                <w:b/>
                <w:bCs/>
                <w:i/>
                <w:iCs/>
                <w:sz w:val="20"/>
                <w:szCs w:val="20"/>
                <w:lang w:val="ro-MD"/>
              </w:rPr>
              <w:t xml:space="preserve"> </w:t>
            </w:r>
            <w:r w:rsidRPr="0080251F">
              <w:rPr>
                <w:rFonts w:ascii="Times New Roman" w:eastAsia="Times New Roman" w:hAnsi="Times New Roman" w:cs="Times New Roman"/>
                <w:b/>
                <w:bCs/>
                <w:i/>
                <w:iCs/>
                <w:sz w:val="20"/>
                <w:szCs w:val="20"/>
                <w:lang w:val="ro-MD"/>
              </w:rPr>
              <w:t>ACTIV</w:t>
            </w:r>
          </w:p>
        </w:tc>
        <w:tc>
          <w:tcPr>
            <w:tcW w:w="1417" w:type="dxa"/>
            <w:shd w:val="clear" w:color="auto" w:fill="D9D9D9" w:themeFill="background1" w:themeFillShade="D9"/>
            <w:vAlign w:val="center"/>
            <w:hideMark/>
          </w:tcPr>
          <w:p w14:paraId="20D4309F" w14:textId="54355082" w:rsidR="00471FA9" w:rsidRPr="0080251F" w:rsidRDefault="005C02E9"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2.958.217,19</w:t>
            </w:r>
          </w:p>
        </w:tc>
        <w:tc>
          <w:tcPr>
            <w:tcW w:w="1399" w:type="dxa"/>
            <w:shd w:val="clear" w:color="auto" w:fill="D9D9D9" w:themeFill="background1" w:themeFillShade="D9"/>
            <w:vAlign w:val="center"/>
            <w:hideMark/>
          </w:tcPr>
          <w:p w14:paraId="075A0C12" w14:textId="489C8724" w:rsidR="00471FA9" w:rsidRPr="0080251F" w:rsidRDefault="005C02E9"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2.986.518,10</w:t>
            </w:r>
          </w:p>
        </w:tc>
        <w:tc>
          <w:tcPr>
            <w:tcW w:w="1315" w:type="dxa"/>
            <w:shd w:val="clear" w:color="auto" w:fill="D9D9D9" w:themeFill="background1" w:themeFillShade="D9"/>
            <w:noWrap/>
            <w:vAlign w:val="center"/>
            <w:hideMark/>
          </w:tcPr>
          <w:p w14:paraId="248DCCE2" w14:textId="1C15FCA7" w:rsidR="00471FA9" w:rsidRPr="0080251F" w:rsidRDefault="00AB3A16"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28.300,91</w:t>
            </w:r>
          </w:p>
        </w:tc>
        <w:tc>
          <w:tcPr>
            <w:tcW w:w="1168" w:type="dxa"/>
            <w:shd w:val="clear" w:color="auto" w:fill="D9D9D9" w:themeFill="background1" w:themeFillShade="D9"/>
            <w:noWrap/>
            <w:vAlign w:val="center"/>
            <w:hideMark/>
          </w:tcPr>
          <w:p w14:paraId="6EF9B25F" w14:textId="4B50D372" w:rsidR="00471FA9" w:rsidRPr="0080251F" w:rsidRDefault="00AD7ACC"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100,96</w:t>
            </w:r>
          </w:p>
        </w:tc>
      </w:tr>
      <w:tr w:rsidR="00471FA9" w:rsidRPr="0080251F" w14:paraId="7DC304C6" w14:textId="77777777" w:rsidTr="007E784D">
        <w:trPr>
          <w:trHeight w:val="45"/>
        </w:trPr>
        <w:tc>
          <w:tcPr>
            <w:tcW w:w="4395" w:type="dxa"/>
            <w:shd w:val="clear" w:color="000000" w:fill="FFFFFF"/>
            <w:vAlign w:val="center"/>
            <w:hideMark/>
          </w:tcPr>
          <w:p w14:paraId="440A933B" w14:textId="1A2E7DF8" w:rsidR="00471FA9" w:rsidRPr="0080251F" w:rsidRDefault="00471FA9" w:rsidP="00AF09E4">
            <w:pPr>
              <w:spacing w:after="0"/>
              <w:jc w:val="both"/>
              <w:rPr>
                <w:rFonts w:ascii="Times New Roman" w:eastAsia="Times New Roman" w:hAnsi="Times New Roman" w:cs="Times New Roman"/>
                <w:b/>
                <w:iCs/>
                <w:sz w:val="20"/>
                <w:szCs w:val="20"/>
                <w:lang w:val="ro-MD"/>
              </w:rPr>
            </w:pPr>
            <w:r w:rsidRPr="0080251F">
              <w:rPr>
                <w:rFonts w:ascii="Times New Roman" w:eastAsia="Times New Roman" w:hAnsi="Times New Roman" w:cs="Times New Roman"/>
                <w:b/>
                <w:iCs/>
                <w:sz w:val="20"/>
                <w:szCs w:val="20"/>
                <w:lang w:val="ro-MD"/>
              </w:rPr>
              <w:t>Capital prop</w:t>
            </w:r>
            <w:r w:rsidR="005C02E9" w:rsidRPr="0080251F">
              <w:rPr>
                <w:rFonts w:ascii="Times New Roman" w:eastAsia="Times New Roman" w:hAnsi="Times New Roman" w:cs="Times New Roman"/>
                <w:b/>
                <w:iCs/>
                <w:sz w:val="20"/>
                <w:szCs w:val="20"/>
                <w:lang w:val="ro-MD"/>
              </w:rPr>
              <w:t>riu, total</w:t>
            </w:r>
            <w:r w:rsidRPr="0080251F">
              <w:rPr>
                <w:rFonts w:ascii="Times New Roman" w:eastAsia="Times New Roman" w:hAnsi="Times New Roman" w:cs="Times New Roman"/>
                <w:b/>
                <w:iCs/>
                <w:sz w:val="20"/>
                <w:szCs w:val="20"/>
                <w:lang w:val="ro-MD"/>
              </w:rPr>
              <w:t>:</w:t>
            </w:r>
          </w:p>
        </w:tc>
        <w:tc>
          <w:tcPr>
            <w:tcW w:w="1417" w:type="dxa"/>
            <w:shd w:val="clear" w:color="auto" w:fill="auto"/>
            <w:noWrap/>
            <w:vAlign w:val="center"/>
            <w:hideMark/>
          </w:tcPr>
          <w:p w14:paraId="10471BCC" w14:textId="52E039DA" w:rsidR="00471FA9" w:rsidRPr="0080251F" w:rsidRDefault="007D3F4C" w:rsidP="00AF09E4">
            <w:pPr>
              <w:spacing w:after="0"/>
              <w:jc w:val="right"/>
              <w:rPr>
                <w:rFonts w:ascii="Times New Roman" w:eastAsia="Times New Roman" w:hAnsi="Times New Roman" w:cs="Times New Roman"/>
                <w:b/>
                <w:i/>
                <w:iCs/>
                <w:sz w:val="20"/>
                <w:szCs w:val="20"/>
                <w:lang w:val="ro-MD"/>
              </w:rPr>
            </w:pPr>
            <w:r w:rsidRPr="0080251F">
              <w:rPr>
                <w:rFonts w:ascii="Times New Roman" w:eastAsia="Times New Roman" w:hAnsi="Times New Roman" w:cs="Times New Roman"/>
                <w:b/>
                <w:i/>
                <w:iCs/>
                <w:sz w:val="20"/>
                <w:szCs w:val="20"/>
                <w:lang w:val="ro-MD"/>
              </w:rPr>
              <w:t>2.594.857,22</w:t>
            </w:r>
          </w:p>
        </w:tc>
        <w:tc>
          <w:tcPr>
            <w:tcW w:w="1399" w:type="dxa"/>
            <w:shd w:val="clear" w:color="auto" w:fill="auto"/>
            <w:noWrap/>
            <w:vAlign w:val="center"/>
            <w:hideMark/>
          </w:tcPr>
          <w:p w14:paraId="13021B55" w14:textId="125C0950" w:rsidR="00471FA9" w:rsidRPr="0080251F" w:rsidRDefault="007D3F4C" w:rsidP="00AF09E4">
            <w:pPr>
              <w:spacing w:after="0"/>
              <w:jc w:val="right"/>
              <w:rPr>
                <w:rFonts w:ascii="Times New Roman" w:eastAsia="Times New Roman" w:hAnsi="Times New Roman" w:cs="Times New Roman"/>
                <w:b/>
                <w:i/>
                <w:iCs/>
                <w:sz w:val="20"/>
                <w:szCs w:val="20"/>
                <w:lang w:val="ro-MD"/>
              </w:rPr>
            </w:pPr>
            <w:r w:rsidRPr="0080251F">
              <w:rPr>
                <w:rFonts w:ascii="Times New Roman" w:eastAsia="Times New Roman" w:hAnsi="Times New Roman" w:cs="Times New Roman"/>
                <w:b/>
                <w:i/>
                <w:iCs/>
                <w:sz w:val="20"/>
                <w:szCs w:val="20"/>
                <w:lang w:val="ro-MD"/>
              </w:rPr>
              <w:t>2.637.654,72</w:t>
            </w:r>
          </w:p>
        </w:tc>
        <w:tc>
          <w:tcPr>
            <w:tcW w:w="1315" w:type="dxa"/>
            <w:shd w:val="clear" w:color="auto" w:fill="auto"/>
            <w:noWrap/>
            <w:vAlign w:val="center"/>
            <w:hideMark/>
          </w:tcPr>
          <w:p w14:paraId="52DF4486" w14:textId="205E7DB7" w:rsidR="00471FA9" w:rsidRPr="0080251F" w:rsidRDefault="00AB3A16"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42.797,50</w:t>
            </w:r>
          </w:p>
        </w:tc>
        <w:tc>
          <w:tcPr>
            <w:tcW w:w="1168" w:type="dxa"/>
            <w:shd w:val="clear" w:color="auto" w:fill="auto"/>
            <w:noWrap/>
            <w:vAlign w:val="center"/>
            <w:hideMark/>
          </w:tcPr>
          <w:p w14:paraId="5A54AECE" w14:textId="17623D25" w:rsidR="00471FA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101,65</w:t>
            </w:r>
          </w:p>
        </w:tc>
      </w:tr>
      <w:tr w:rsidR="005C02E9" w:rsidRPr="0080251F" w14:paraId="3A43ED3A" w14:textId="77777777" w:rsidTr="007E784D">
        <w:trPr>
          <w:trHeight w:val="45"/>
        </w:trPr>
        <w:tc>
          <w:tcPr>
            <w:tcW w:w="4395" w:type="dxa"/>
            <w:shd w:val="clear" w:color="000000" w:fill="FFFFFF"/>
            <w:vAlign w:val="center"/>
          </w:tcPr>
          <w:p w14:paraId="16E79367" w14:textId="43300E7C" w:rsidR="005C02E9" w:rsidRPr="0080251F" w:rsidRDefault="005C02E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Capital social</w:t>
            </w:r>
          </w:p>
        </w:tc>
        <w:tc>
          <w:tcPr>
            <w:tcW w:w="1417" w:type="dxa"/>
            <w:shd w:val="clear" w:color="auto" w:fill="auto"/>
            <w:noWrap/>
            <w:vAlign w:val="center"/>
          </w:tcPr>
          <w:p w14:paraId="4D0E88FE" w14:textId="039D94C6"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245.379,28</w:t>
            </w:r>
          </w:p>
        </w:tc>
        <w:tc>
          <w:tcPr>
            <w:tcW w:w="1399" w:type="dxa"/>
            <w:shd w:val="clear" w:color="auto" w:fill="auto"/>
            <w:noWrap/>
            <w:vAlign w:val="center"/>
          </w:tcPr>
          <w:p w14:paraId="41AA696A" w14:textId="36CED041"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245.379,28</w:t>
            </w:r>
          </w:p>
        </w:tc>
        <w:tc>
          <w:tcPr>
            <w:tcW w:w="1315" w:type="dxa"/>
            <w:shd w:val="clear" w:color="auto" w:fill="auto"/>
            <w:noWrap/>
            <w:vAlign w:val="center"/>
          </w:tcPr>
          <w:p w14:paraId="419AEBFD" w14:textId="151030D7" w:rsidR="005C02E9" w:rsidRPr="0080251F" w:rsidRDefault="00AB3A16"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c>
          <w:tcPr>
            <w:tcW w:w="1168" w:type="dxa"/>
            <w:shd w:val="clear" w:color="auto" w:fill="auto"/>
            <w:noWrap/>
            <w:vAlign w:val="center"/>
          </w:tcPr>
          <w:p w14:paraId="6F5C12A3" w14:textId="50CD550D" w:rsidR="005C02E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r>
      <w:tr w:rsidR="005C02E9" w:rsidRPr="0080251F" w14:paraId="18886F5E" w14:textId="77777777" w:rsidTr="007E784D">
        <w:trPr>
          <w:trHeight w:val="45"/>
        </w:trPr>
        <w:tc>
          <w:tcPr>
            <w:tcW w:w="4395" w:type="dxa"/>
            <w:shd w:val="clear" w:color="000000" w:fill="FFFFFF"/>
            <w:vAlign w:val="center"/>
          </w:tcPr>
          <w:p w14:paraId="71C2276E" w14:textId="3C3DCFE7" w:rsidR="005C02E9" w:rsidRPr="0080251F" w:rsidRDefault="005C02E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Alte rezerve</w:t>
            </w:r>
          </w:p>
        </w:tc>
        <w:tc>
          <w:tcPr>
            <w:tcW w:w="1417" w:type="dxa"/>
            <w:shd w:val="clear" w:color="auto" w:fill="auto"/>
            <w:noWrap/>
            <w:vAlign w:val="center"/>
          </w:tcPr>
          <w:p w14:paraId="406F9BA0" w14:textId="7A3ADEA9"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364.147,97</w:t>
            </w:r>
          </w:p>
        </w:tc>
        <w:tc>
          <w:tcPr>
            <w:tcW w:w="1399" w:type="dxa"/>
            <w:shd w:val="clear" w:color="auto" w:fill="auto"/>
            <w:noWrap/>
            <w:vAlign w:val="center"/>
          </w:tcPr>
          <w:p w14:paraId="14B21BEC" w14:textId="7C0C317E"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368.536,96</w:t>
            </w:r>
          </w:p>
        </w:tc>
        <w:tc>
          <w:tcPr>
            <w:tcW w:w="1315" w:type="dxa"/>
            <w:shd w:val="clear" w:color="auto" w:fill="auto"/>
            <w:noWrap/>
            <w:vAlign w:val="center"/>
          </w:tcPr>
          <w:p w14:paraId="0FE5FB90" w14:textId="2541B19B" w:rsidR="005C02E9" w:rsidRPr="0080251F" w:rsidRDefault="00AB3A16"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4.388,99</w:t>
            </w:r>
          </w:p>
        </w:tc>
        <w:tc>
          <w:tcPr>
            <w:tcW w:w="1168" w:type="dxa"/>
            <w:shd w:val="clear" w:color="auto" w:fill="auto"/>
            <w:noWrap/>
            <w:vAlign w:val="center"/>
          </w:tcPr>
          <w:p w14:paraId="04F07A17" w14:textId="6CE3BDAC" w:rsidR="005C02E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101,21</w:t>
            </w:r>
          </w:p>
        </w:tc>
      </w:tr>
      <w:tr w:rsidR="005C02E9" w:rsidRPr="0080251F" w14:paraId="4C0F7E72" w14:textId="77777777" w:rsidTr="007E784D">
        <w:trPr>
          <w:trHeight w:val="45"/>
        </w:trPr>
        <w:tc>
          <w:tcPr>
            <w:tcW w:w="4395" w:type="dxa"/>
            <w:shd w:val="clear" w:color="000000" w:fill="FFFFFF"/>
            <w:vAlign w:val="center"/>
          </w:tcPr>
          <w:p w14:paraId="1E98FEB1" w14:textId="6469B38B" w:rsidR="005C02E9" w:rsidRPr="0080251F" w:rsidRDefault="005C02E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 xml:space="preserve">Rezerve de la reevaluare </w:t>
            </w:r>
          </w:p>
        </w:tc>
        <w:tc>
          <w:tcPr>
            <w:tcW w:w="1417" w:type="dxa"/>
            <w:shd w:val="clear" w:color="auto" w:fill="auto"/>
            <w:noWrap/>
            <w:vAlign w:val="center"/>
          </w:tcPr>
          <w:p w14:paraId="6E6F9EF2" w14:textId="445EF05A"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1.244.733,79</w:t>
            </w:r>
          </w:p>
        </w:tc>
        <w:tc>
          <w:tcPr>
            <w:tcW w:w="1399" w:type="dxa"/>
            <w:shd w:val="clear" w:color="auto" w:fill="auto"/>
            <w:noWrap/>
            <w:vAlign w:val="center"/>
          </w:tcPr>
          <w:p w14:paraId="4B31912A" w14:textId="3C5ECFDD"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1.232.736,52</w:t>
            </w:r>
          </w:p>
        </w:tc>
        <w:tc>
          <w:tcPr>
            <w:tcW w:w="1315" w:type="dxa"/>
            <w:shd w:val="clear" w:color="auto" w:fill="auto"/>
            <w:noWrap/>
            <w:vAlign w:val="center"/>
          </w:tcPr>
          <w:p w14:paraId="479ADDC9" w14:textId="067CD540" w:rsidR="005C02E9" w:rsidRPr="0080251F" w:rsidRDefault="00AB3A16"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- 11.997,27</w:t>
            </w:r>
          </w:p>
        </w:tc>
        <w:tc>
          <w:tcPr>
            <w:tcW w:w="1168" w:type="dxa"/>
            <w:shd w:val="clear" w:color="auto" w:fill="auto"/>
            <w:noWrap/>
            <w:vAlign w:val="center"/>
          </w:tcPr>
          <w:p w14:paraId="1B3B4695" w14:textId="0E6DB9B9" w:rsidR="005C02E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99,04</w:t>
            </w:r>
          </w:p>
        </w:tc>
      </w:tr>
      <w:tr w:rsidR="005C02E9" w:rsidRPr="0080251F" w14:paraId="6A17EC25" w14:textId="77777777" w:rsidTr="007E784D">
        <w:trPr>
          <w:trHeight w:val="45"/>
        </w:trPr>
        <w:tc>
          <w:tcPr>
            <w:tcW w:w="4395" w:type="dxa"/>
            <w:shd w:val="clear" w:color="000000" w:fill="FFFFFF"/>
            <w:vAlign w:val="center"/>
          </w:tcPr>
          <w:p w14:paraId="22AF2CE2" w14:textId="4007C856" w:rsidR="005C02E9" w:rsidRPr="0080251F" w:rsidRDefault="005C02E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Rezultat din tranzacție</w:t>
            </w:r>
          </w:p>
        </w:tc>
        <w:tc>
          <w:tcPr>
            <w:tcW w:w="1417" w:type="dxa"/>
            <w:shd w:val="clear" w:color="auto" w:fill="auto"/>
            <w:noWrap/>
            <w:vAlign w:val="center"/>
          </w:tcPr>
          <w:p w14:paraId="3559AE66" w14:textId="6A698C41"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532.126,39</w:t>
            </w:r>
          </w:p>
        </w:tc>
        <w:tc>
          <w:tcPr>
            <w:tcW w:w="1399" w:type="dxa"/>
            <w:shd w:val="clear" w:color="auto" w:fill="auto"/>
            <w:noWrap/>
            <w:vAlign w:val="center"/>
          </w:tcPr>
          <w:p w14:paraId="4C843FCB" w14:textId="57A77596"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532.126,39</w:t>
            </w:r>
          </w:p>
        </w:tc>
        <w:tc>
          <w:tcPr>
            <w:tcW w:w="1315" w:type="dxa"/>
            <w:shd w:val="clear" w:color="auto" w:fill="auto"/>
            <w:noWrap/>
            <w:vAlign w:val="center"/>
          </w:tcPr>
          <w:p w14:paraId="08902631" w14:textId="6B833AEB" w:rsidR="005C02E9" w:rsidRPr="0080251F" w:rsidRDefault="00AB3A16"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c>
          <w:tcPr>
            <w:tcW w:w="1168" w:type="dxa"/>
            <w:shd w:val="clear" w:color="auto" w:fill="auto"/>
            <w:noWrap/>
            <w:vAlign w:val="center"/>
          </w:tcPr>
          <w:p w14:paraId="1D15D84E" w14:textId="7C2A60D0" w:rsidR="005C02E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r>
      <w:tr w:rsidR="005C02E9" w:rsidRPr="0080251F" w14:paraId="78C7031E" w14:textId="77777777" w:rsidTr="007E784D">
        <w:trPr>
          <w:trHeight w:val="45"/>
        </w:trPr>
        <w:tc>
          <w:tcPr>
            <w:tcW w:w="4395" w:type="dxa"/>
            <w:shd w:val="clear" w:color="000000" w:fill="FFFFFF"/>
            <w:vAlign w:val="center"/>
          </w:tcPr>
          <w:p w14:paraId="4FFB8E4B" w14:textId="48CDB0EB" w:rsidR="005C02E9" w:rsidRPr="0080251F" w:rsidRDefault="005C02E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Profit/pierdere acumulată în perioadele precedente</w:t>
            </w:r>
          </w:p>
        </w:tc>
        <w:tc>
          <w:tcPr>
            <w:tcW w:w="1417" w:type="dxa"/>
            <w:shd w:val="clear" w:color="auto" w:fill="auto"/>
            <w:noWrap/>
            <w:vAlign w:val="center"/>
          </w:tcPr>
          <w:p w14:paraId="008EA3A6" w14:textId="1DD40687"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172.086,13</w:t>
            </w:r>
          </w:p>
        </w:tc>
        <w:tc>
          <w:tcPr>
            <w:tcW w:w="1399" w:type="dxa"/>
            <w:shd w:val="clear" w:color="auto" w:fill="auto"/>
            <w:noWrap/>
            <w:vAlign w:val="center"/>
          </w:tcPr>
          <w:p w14:paraId="7B28C6F5" w14:textId="4D906B95"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153.141,79</w:t>
            </w:r>
          </w:p>
        </w:tc>
        <w:tc>
          <w:tcPr>
            <w:tcW w:w="1315" w:type="dxa"/>
            <w:shd w:val="clear" w:color="auto" w:fill="auto"/>
            <w:noWrap/>
            <w:vAlign w:val="center"/>
          </w:tcPr>
          <w:p w14:paraId="666592EC" w14:textId="4BDAF540" w:rsidR="005C02E9" w:rsidRPr="0080251F" w:rsidRDefault="00AB3A16"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- 18.944,34</w:t>
            </w:r>
          </w:p>
        </w:tc>
        <w:tc>
          <w:tcPr>
            <w:tcW w:w="1168" w:type="dxa"/>
            <w:shd w:val="clear" w:color="auto" w:fill="auto"/>
            <w:noWrap/>
            <w:vAlign w:val="center"/>
          </w:tcPr>
          <w:p w14:paraId="61C25F18" w14:textId="1AA20711" w:rsidR="005C02E9" w:rsidRPr="0080251F" w:rsidRDefault="00AD7ACC"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88,99</w:t>
            </w:r>
          </w:p>
        </w:tc>
      </w:tr>
      <w:tr w:rsidR="005C02E9" w:rsidRPr="0080251F" w14:paraId="4D34F5F5" w14:textId="77777777" w:rsidTr="007E784D">
        <w:trPr>
          <w:trHeight w:val="45"/>
        </w:trPr>
        <w:tc>
          <w:tcPr>
            <w:tcW w:w="4395" w:type="dxa"/>
            <w:shd w:val="clear" w:color="000000" w:fill="FFFFFF"/>
            <w:vAlign w:val="center"/>
          </w:tcPr>
          <w:p w14:paraId="2650FEE1" w14:textId="06F2D7F3" w:rsidR="005C02E9" w:rsidRPr="0080251F" w:rsidRDefault="005C02E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Rezultatul financiar al perioadei</w:t>
            </w:r>
          </w:p>
        </w:tc>
        <w:tc>
          <w:tcPr>
            <w:tcW w:w="1417" w:type="dxa"/>
            <w:shd w:val="clear" w:color="auto" w:fill="auto"/>
            <w:noWrap/>
            <w:vAlign w:val="center"/>
          </w:tcPr>
          <w:p w14:paraId="0C4EC42D" w14:textId="33C14DC0"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0,00</w:t>
            </w:r>
          </w:p>
        </w:tc>
        <w:tc>
          <w:tcPr>
            <w:tcW w:w="1399" w:type="dxa"/>
            <w:shd w:val="clear" w:color="auto" w:fill="auto"/>
            <w:noWrap/>
            <w:vAlign w:val="center"/>
          </w:tcPr>
          <w:p w14:paraId="44C89BEF" w14:textId="59623601"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69.350,10</w:t>
            </w:r>
          </w:p>
        </w:tc>
        <w:tc>
          <w:tcPr>
            <w:tcW w:w="1315" w:type="dxa"/>
            <w:shd w:val="clear" w:color="auto" w:fill="auto"/>
            <w:noWrap/>
            <w:vAlign w:val="center"/>
          </w:tcPr>
          <w:p w14:paraId="5F12F265" w14:textId="52DBEDEB" w:rsidR="005C02E9" w:rsidRPr="0080251F" w:rsidRDefault="00AB3A16"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69.350,10</w:t>
            </w:r>
          </w:p>
        </w:tc>
        <w:tc>
          <w:tcPr>
            <w:tcW w:w="1168" w:type="dxa"/>
            <w:shd w:val="clear" w:color="auto" w:fill="auto"/>
            <w:noWrap/>
            <w:vAlign w:val="center"/>
          </w:tcPr>
          <w:p w14:paraId="74E9ECF9" w14:textId="00544B76" w:rsidR="005C02E9"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100,00</w:t>
            </w:r>
          </w:p>
        </w:tc>
      </w:tr>
      <w:tr w:rsidR="005C02E9" w:rsidRPr="0080251F" w14:paraId="22BACF16" w14:textId="77777777" w:rsidTr="007E784D">
        <w:trPr>
          <w:trHeight w:val="45"/>
        </w:trPr>
        <w:tc>
          <w:tcPr>
            <w:tcW w:w="4395" w:type="dxa"/>
            <w:shd w:val="clear" w:color="000000" w:fill="FFFFFF"/>
            <w:vAlign w:val="center"/>
          </w:tcPr>
          <w:p w14:paraId="7014A32D" w14:textId="4DE21D29" w:rsidR="005C02E9" w:rsidRPr="0080251F" w:rsidRDefault="005C02E9"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Alte elemente de capital propriu</w:t>
            </w:r>
          </w:p>
        </w:tc>
        <w:tc>
          <w:tcPr>
            <w:tcW w:w="1417" w:type="dxa"/>
            <w:shd w:val="clear" w:color="auto" w:fill="auto"/>
            <w:noWrap/>
            <w:vAlign w:val="center"/>
          </w:tcPr>
          <w:p w14:paraId="62C4F6D2" w14:textId="108FA332"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36.383,65</w:t>
            </w:r>
          </w:p>
        </w:tc>
        <w:tc>
          <w:tcPr>
            <w:tcW w:w="1399" w:type="dxa"/>
            <w:shd w:val="clear" w:color="auto" w:fill="auto"/>
            <w:noWrap/>
            <w:vAlign w:val="center"/>
          </w:tcPr>
          <w:p w14:paraId="393DD1B2" w14:textId="638B9E63" w:rsidR="005C02E9" w:rsidRPr="0080251F" w:rsidRDefault="005C02E9"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36.383,65</w:t>
            </w:r>
          </w:p>
        </w:tc>
        <w:tc>
          <w:tcPr>
            <w:tcW w:w="1315" w:type="dxa"/>
            <w:shd w:val="clear" w:color="auto" w:fill="auto"/>
            <w:noWrap/>
            <w:vAlign w:val="center"/>
          </w:tcPr>
          <w:p w14:paraId="13A279BA" w14:textId="573965BD" w:rsidR="005C02E9" w:rsidRPr="0080251F" w:rsidRDefault="00E01C90"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c>
          <w:tcPr>
            <w:tcW w:w="1168" w:type="dxa"/>
            <w:shd w:val="clear" w:color="auto" w:fill="auto"/>
            <w:noWrap/>
            <w:vAlign w:val="center"/>
          </w:tcPr>
          <w:p w14:paraId="5B2482CD" w14:textId="619763E0" w:rsidR="005C02E9"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r>
      <w:tr w:rsidR="00471FA9" w:rsidRPr="0080251F" w14:paraId="258BABD2" w14:textId="77777777" w:rsidTr="007E784D">
        <w:trPr>
          <w:trHeight w:val="45"/>
        </w:trPr>
        <w:tc>
          <w:tcPr>
            <w:tcW w:w="4395" w:type="dxa"/>
            <w:shd w:val="clear" w:color="000000" w:fill="FFFFFF"/>
            <w:vAlign w:val="center"/>
            <w:hideMark/>
          </w:tcPr>
          <w:p w14:paraId="3D9B2E5E" w14:textId="7C6D24B2" w:rsidR="00471FA9" w:rsidRPr="0080251F" w:rsidRDefault="00471FA9" w:rsidP="00AF09E4">
            <w:pPr>
              <w:spacing w:after="0"/>
              <w:jc w:val="both"/>
              <w:rPr>
                <w:rFonts w:ascii="Times New Roman" w:eastAsia="Times New Roman" w:hAnsi="Times New Roman" w:cs="Times New Roman"/>
                <w:b/>
                <w:iCs/>
                <w:sz w:val="20"/>
                <w:szCs w:val="20"/>
                <w:lang w:val="ro-MD"/>
              </w:rPr>
            </w:pPr>
            <w:r w:rsidRPr="0080251F">
              <w:rPr>
                <w:rFonts w:ascii="Times New Roman" w:eastAsia="Times New Roman" w:hAnsi="Times New Roman" w:cs="Times New Roman"/>
                <w:b/>
                <w:iCs/>
                <w:sz w:val="20"/>
                <w:szCs w:val="20"/>
                <w:lang w:val="ro-MD"/>
              </w:rPr>
              <w:t>Datorii pe termen lung</w:t>
            </w:r>
            <w:r w:rsidR="00C75516" w:rsidRPr="0080251F">
              <w:rPr>
                <w:rFonts w:ascii="Times New Roman" w:eastAsia="Times New Roman" w:hAnsi="Times New Roman" w:cs="Times New Roman"/>
                <w:b/>
                <w:iCs/>
                <w:sz w:val="20"/>
                <w:szCs w:val="20"/>
                <w:lang w:val="ro-MD"/>
              </w:rPr>
              <w:t xml:space="preserve"> </w:t>
            </w:r>
            <w:r w:rsidRPr="0080251F">
              <w:rPr>
                <w:rFonts w:ascii="Times New Roman" w:eastAsia="Times New Roman" w:hAnsi="Times New Roman" w:cs="Times New Roman"/>
                <w:b/>
                <w:iCs/>
                <w:sz w:val="20"/>
                <w:szCs w:val="20"/>
                <w:lang w:val="ro-MD"/>
              </w:rPr>
              <w:t>,</w:t>
            </w:r>
            <w:r w:rsidR="00C75516" w:rsidRPr="0080251F">
              <w:rPr>
                <w:rFonts w:ascii="Times New Roman" w:eastAsia="Times New Roman" w:hAnsi="Times New Roman" w:cs="Times New Roman"/>
                <w:b/>
                <w:iCs/>
                <w:sz w:val="20"/>
                <w:szCs w:val="20"/>
                <w:lang w:val="ro-MD"/>
              </w:rPr>
              <w:t>total:</w:t>
            </w:r>
            <w:r w:rsidRPr="0080251F">
              <w:rPr>
                <w:rFonts w:ascii="Times New Roman" w:eastAsia="Times New Roman" w:hAnsi="Times New Roman" w:cs="Times New Roman"/>
                <w:b/>
                <w:iCs/>
                <w:sz w:val="20"/>
                <w:szCs w:val="20"/>
                <w:lang w:val="ro-MD"/>
              </w:rPr>
              <w:t xml:space="preserve"> </w:t>
            </w:r>
          </w:p>
        </w:tc>
        <w:tc>
          <w:tcPr>
            <w:tcW w:w="1417" w:type="dxa"/>
            <w:shd w:val="clear" w:color="auto" w:fill="auto"/>
            <w:noWrap/>
            <w:vAlign w:val="center"/>
            <w:hideMark/>
          </w:tcPr>
          <w:p w14:paraId="36FD58AB" w14:textId="443BF152" w:rsidR="00471FA9" w:rsidRPr="0080251F" w:rsidRDefault="00C75516" w:rsidP="00AF09E4">
            <w:pPr>
              <w:spacing w:after="0"/>
              <w:jc w:val="right"/>
              <w:rPr>
                <w:rFonts w:ascii="Times New Roman" w:eastAsia="Times New Roman" w:hAnsi="Times New Roman" w:cs="Times New Roman"/>
                <w:b/>
                <w:i/>
                <w:iCs/>
                <w:sz w:val="20"/>
                <w:szCs w:val="20"/>
                <w:lang w:val="ro-MD"/>
              </w:rPr>
            </w:pPr>
            <w:r w:rsidRPr="0080251F">
              <w:rPr>
                <w:rFonts w:ascii="Times New Roman" w:eastAsia="Times New Roman" w:hAnsi="Times New Roman" w:cs="Times New Roman"/>
                <w:b/>
                <w:i/>
                <w:iCs/>
                <w:sz w:val="20"/>
                <w:szCs w:val="20"/>
                <w:lang w:val="ro-MD"/>
              </w:rPr>
              <w:t>178.196,56</w:t>
            </w:r>
          </w:p>
        </w:tc>
        <w:tc>
          <w:tcPr>
            <w:tcW w:w="1399" w:type="dxa"/>
            <w:shd w:val="clear" w:color="auto" w:fill="auto"/>
            <w:noWrap/>
            <w:vAlign w:val="center"/>
            <w:hideMark/>
          </w:tcPr>
          <w:p w14:paraId="303F5CAF" w14:textId="5C672C2E" w:rsidR="00471FA9" w:rsidRPr="0080251F" w:rsidRDefault="00C75516" w:rsidP="00AF09E4">
            <w:pPr>
              <w:spacing w:after="0"/>
              <w:jc w:val="right"/>
              <w:rPr>
                <w:rFonts w:ascii="Times New Roman" w:eastAsia="Times New Roman" w:hAnsi="Times New Roman" w:cs="Times New Roman"/>
                <w:b/>
                <w:i/>
                <w:iCs/>
                <w:sz w:val="20"/>
                <w:szCs w:val="20"/>
                <w:lang w:val="ro-MD"/>
              </w:rPr>
            </w:pPr>
            <w:r w:rsidRPr="0080251F">
              <w:rPr>
                <w:rFonts w:ascii="Times New Roman" w:eastAsia="Times New Roman" w:hAnsi="Times New Roman" w:cs="Times New Roman"/>
                <w:b/>
                <w:i/>
                <w:iCs/>
                <w:sz w:val="20"/>
                <w:szCs w:val="20"/>
                <w:lang w:val="ro-MD"/>
              </w:rPr>
              <w:t>142.755,49</w:t>
            </w:r>
          </w:p>
        </w:tc>
        <w:tc>
          <w:tcPr>
            <w:tcW w:w="1315" w:type="dxa"/>
            <w:shd w:val="clear" w:color="auto" w:fill="auto"/>
            <w:noWrap/>
            <w:vAlign w:val="center"/>
            <w:hideMark/>
          </w:tcPr>
          <w:p w14:paraId="09D360C5" w14:textId="54FB7DB1" w:rsidR="00471FA9" w:rsidRPr="0080251F" w:rsidRDefault="00E01C90"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- 35.441,07</w:t>
            </w:r>
          </w:p>
        </w:tc>
        <w:tc>
          <w:tcPr>
            <w:tcW w:w="1168" w:type="dxa"/>
            <w:shd w:val="clear" w:color="auto" w:fill="auto"/>
            <w:noWrap/>
            <w:vAlign w:val="center"/>
            <w:hideMark/>
          </w:tcPr>
          <w:p w14:paraId="0D342C14" w14:textId="7C68A55A" w:rsidR="00471FA9" w:rsidRPr="0080251F" w:rsidRDefault="00C15B09"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80,11</w:t>
            </w:r>
          </w:p>
        </w:tc>
      </w:tr>
      <w:tr w:rsidR="00C75516" w:rsidRPr="0080251F" w14:paraId="186DFAFE" w14:textId="77777777" w:rsidTr="007E784D">
        <w:trPr>
          <w:trHeight w:val="45"/>
        </w:trPr>
        <w:tc>
          <w:tcPr>
            <w:tcW w:w="4395" w:type="dxa"/>
            <w:shd w:val="clear" w:color="000000" w:fill="FFFFFF"/>
            <w:vAlign w:val="center"/>
          </w:tcPr>
          <w:p w14:paraId="3CE87615" w14:textId="3ED35B26" w:rsidR="00C75516" w:rsidRPr="0080251F" w:rsidRDefault="00C75516"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Datorii de la mijloace fixe deținute în folosință</w:t>
            </w:r>
          </w:p>
        </w:tc>
        <w:tc>
          <w:tcPr>
            <w:tcW w:w="1417" w:type="dxa"/>
            <w:shd w:val="clear" w:color="auto" w:fill="auto"/>
            <w:noWrap/>
            <w:vAlign w:val="center"/>
          </w:tcPr>
          <w:p w14:paraId="3D06C9D6" w14:textId="182A69D2"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5.157,69</w:t>
            </w:r>
          </w:p>
        </w:tc>
        <w:tc>
          <w:tcPr>
            <w:tcW w:w="1399" w:type="dxa"/>
            <w:shd w:val="clear" w:color="auto" w:fill="auto"/>
            <w:noWrap/>
            <w:vAlign w:val="center"/>
          </w:tcPr>
          <w:p w14:paraId="4879F826" w14:textId="2802187B"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5.157,69</w:t>
            </w:r>
          </w:p>
        </w:tc>
        <w:tc>
          <w:tcPr>
            <w:tcW w:w="1315" w:type="dxa"/>
            <w:shd w:val="clear" w:color="auto" w:fill="auto"/>
            <w:noWrap/>
            <w:vAlign w:val="center"/>
          </w:tcPr>
          <w:p w14:paraId="0A31A8BE" w14:textId="7376B715" w:rsidR="00C75516" w:rsidRPr="0080251F" w:rsidRDefault="00E01C90"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w:t>
            </w:r>
          </w:p>
        </w:tc>
        <w:tc>
          <w:tcPr>
            <w:tcW w:w="1168" w:type="dxa"/>
            <w:shd w:val="clear" w:color="auto" w:fill="auto"/>
            <w:noWrap/>
            <w:vAlign w:val="center"/>
          </w:tcPr>
          <w:p w14:paraId="2E2339D2" w14:textId="77D8E95D" w:rsidR="00C75516"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0,00</w:t>
            </w:r>
          </w:p>
        </w:tc>
      </w:tr>
      <w:tr w:rsidR="00C75516" w:rsidRPr="0080251F" w14:paraId="02A3DEF0" w14:textId="77777777" w:rsidTr="007E784D">
        <w:trPr>
          <w:trHeight w:val="45"/>
        </w:trPr>
        <w:tc>
          <w:tcPr>
            <w:tcW w:w="4395" w:type="dxa"/>
            <w:shd w:val="clear" w:color="000000" w:fill="FFFFFF"/>
            <w:vAlign w:val="center"/>
          </w:tcPr>
          <w:p w14:paraId="53BBC264" w14:textId="50EF207F" w:rsidR="00C75516" w:rsidRPr="0080251F" w:rsidRDefault="00C75516"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 xml:space="preserve">Impozitul pe venit amânat </w:t>
            </w:r>
          </w:p>
        </w:tc>
        <w:tc>
          <w:tcPr>
            <w:tcW w:w="1417" w:type="dxa"/>
            <w:shd w:val="clear" w:color="auto" w:fill="auto"/>
            <w:noWrap/>
            <w:vAlign w:val="center"/>
          </w:tcPr>
          <w:p w14:paraId="651D6140" w14:textId="7917E8C4"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162.521,62</w:t>
            </w:r>
          </w:p>
        </w:tc>
        <w:tc>
          <w:tcPr>
            <w:tcW w:w="1399" w:type="dxa"/>
            <w:shd w:val="clear" w:color="auto" w:fill="auto"/>
            <w:noWrap/>
            <w:vAlign w:val="center"/>
          </w:tcPr>
          <w:p w14:paraId="3328B5CF" w14:textId="25C319ED"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128.404,08</w:t>
            </w:r>
          </w:p>
        </w:tc>
        <w:tc>
          <w:tcPr>
            <w:tcW w:w="1315" w:type="dxa"/>
            <w:shd w:val="clear" w:color="auto" w:fill="auto"/>
            <w:noWrap/>
            <w:vAlign w:val="center"/>
          </w:tcPr>
          <w:p w14:paraId="3BD38CB5" w14:textId="0825E804" w:rsidR="00C75516" w:rsidRPr="0080251F" w:rsidRDefault="00E01C90"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- 34.117,54</w:t>
            </w:r>
          </w:p>
        </w:tc>
        <w:tc>
          <w:tcPr>
            <w:tcW w:w="1168" w:type="dxa"/>
            <w:shd w:val="clear" w:color="auto" w:fill="auto"/>
            <w:noWrap/>
            <w:vAlign w:val="center"/>
          </w:tcPr>
          <w:p w14:paraId="3DC9D2AC" w14:textId="7FA012B9" w:rsidR="00C75516"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79,01</w:t>
            </w:r>
          </w:p>
        </w:tc>
      </w:tr>
      <w:tr w:rsidR="00C75516" w:rsidRPr="0080251F" w14:paraId="682297C2" w14:textId="77777777" w:rsidTr="007E784D">
        <w:trPr>
          <w:trHeight w:val="45"/>
        </w:trPr>
        <w:tc>
          <w:tcPr>
            <w:tcW w:w="4395" w:type="dxa"/>
            <w:shd w:val="clear" w:color="000000" w:fill="FFFFFF"/>
            <w:vAlign w:val="center"/>
          </w:tcPr>
          <w:p w14:paraId="2DCBA204" w14:textId="4DE927BA" w:rsidR="00C75516" w:rsidRPr="0080251F" w:rsidRDefault="00C75516"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Venituri anticipate pe termen lung</w:t>
            </w:r>
          </w:p>
        </w:tc>
        <w:tc>
          <w:tcPr>
            <w:tcW w:w="1417" w:type="dxa"/>
            <w:shd w:val="clear" w:color="auto" w:fill="auto"/>
            <w:noWrap/>
            <w:vAlign w:val="center"/>
          </w:tcPr>
          <w:p w14:paraId="78134E0A" w14:textId="334D8209"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10.517,25</w:t>
            </w:r>
          </w:p>
        </w:tc>
        <w:tc>
          <w:tcPr>
            <w:tcW w:w="1399" w:type="dxa"/>
            <w:shd w:val="clear" w:color="auto" w:fill="auto"/>
            <w:noWrap/>
            <w:vAlign w:val="center"/>
          </w:tcPr>
          <w:p w14:paraId="17A5DDA1" w14:textId="33827F3F"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9.193,71</w:t>
            </w:r>
          </w:p>
        </w:tc>
        <w:tc>
          <w:tcPr>
            <w:tcW w:w="1315" w:type="dxa"/>
            <w:shd w:val="clear" w:color="auto" w:fill="auto"/>
            <w:noWrap/>
            <w:vAlign w:val="center"/>
          </w:tcPr>
          <w:p w14:paraId="5134370A" w14:textId="2054A9BD" w:rsidR="00C75516" w:rsidRPr="0080251F" w:rsidRDefault="00E01C90"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- 1.323,54</w:t>
            </w:r>
          </w:p>
        </w:tc>
        <w:tc>
          <w:tcPr>
            <w:tcW w:w="1168" w:type="dxa"/>
            <w:shd w:val="clear" w:color="auto" w:fill="auto"/>
            <w:noWrap/>
            <w:vAlign w:val="center"/>
          </w:tcPr>
          <w:p w14:paraId="5B305465" w14:textId="0D5FE041" w:rsidR="00C75516"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87,42</w:t>
            </w:r>
          </w:p>
        </w:tc>
      </w:tr>
      <w:tr w:rsidR="00C75516" w:rsidRPr="0080251F" w14:paraId="42708AB9" w14:textId="77777777" w:rsidTr="007E784D">
        <w:trPr>
          <w:trHeight w:val="45"/>
        </w:trPr>
        <w:tc>
          <w:tcPr>
            <w:tcW w:w="4395" w:type="dxa"/>
            <w:shd w:val="clear" w:color="000000" w:fill="FFFFFF"/>
            <w:vAlign w:val="center"/>
          </w:tcPr>
          <w:p w14:paraId="4E17C8C2" w14:textId="5941C9C7" w:rsidR="00C75516" w:rsidRPr="0080251F" w:rsidRDefault="00C75516" w:rsidP="00AF09E4">
            <w:pPr>
              <w:spacing w:after="0"/>
              <w:jc w:val="both"/>
              <w:rPr>
                <w:rFonts w:ascii="Times New Roman" w:eastAsia="Times New Roman" w:hAnsi="Times New Roman" w:cs="Times New Roman"/>
                <w:b/>
                <w:iCs/>
                <w:sz w:val="20"/>
                <w:szCs w:val="20"/>
                <w:lang w:val="ro-MD"/>
              </w:rPr>
            </w:pPr>
            <w:r w:rsidRPr="0080251F">
              <w:rPr>
                <w:rFonts w:ascii="Times New Roman" w:eastAsia="Times New Roman" w:hAnsi="Times New Roman" w:cs="Times New Roman"/>
                <w:b/>
                <w:iCs/>
                <w:sz w:val="20"/>
                <w:szCs w:val="20"/>
                <w:lang w:val="ro-MD"/>
              </w:rPr>
              <w:t>Datorii curente, total:</w:t>
            </w:r>
          </w:p>
        </w:tc>
        <w:tc>
          <w:tcPr>
            <w:tcW w:w="1417" w:type="dxa"/>
            <w:shd w:val="clear" w:color="auto" w:fill="auto"/>
            <w:noWrap/>
            <w:vAlign w:val="center"/>
          </w:tcPr>
          <w:p w14:paraId="017D8D5A" w14:textId="5FA41B37" w:rsidR="00C75516" w:rsidRPr="0080251F" w:rsidRDefault="003811FA" w:rsidP="00AF09E4">
            <w:pPr>
              <w:spacing w:after="0"/>
              <w:jc w:val="right"/>
              <w:rPr>
                <w:rFonts w:ascii="Times New Roman" w:eastAsia="Times New Roman" w:hAnsi="Times New Roman" w:cs="Times New Roman"/>
                <w:b/>
                <w:i/>
                <w:iCs/>
                <w:sz w:val="20"/>
                <w:szCs w:val="20"/>
                <w:lang w:val="ro-MD"/>
              </w:rPr>
            </w:pPr>
            <w:r w:rsidRPr="0080251F">
              <w:rPr>
                <w:rFonts w:ascii="Times New Roman" w:eastAsia="Times New Roman" w:hAnsi="Times New Roman" w:cs="Times New Roman"/>
                <w:b/>
                <w:i/>
                <w:iCs/>
                <w:sz w:val="20"/>
                <w:szCs w:val="20"/>
                <w:lang w:val="ro-MD"/>
              </w:rPr>
              <w:t>185.163,40</w:t>
            </w:r>
          </w:p>
        </w:tc>
        <w:tc>
          <w:tcPr>
            <w:tcW w:w="1399" w:type="dxa"/>
            <w:shd w:val="clear" w:color="auto" w:fill="auto"/>
            <w:noWrap/>
            <w:vAlign w:val="center"/>
          </w:tcPr>
          <w:p w14:paraId="48A46520" w14:textId="646CDA7F" w:rsidR="00C75516" w:rsidRPr="0080251F" w:rsidRDefault="003811FA" w:rsidP="00AF09E4">
            <w:pPr>
              <w:spacing w:after="0"/>
              <w:jc w:val="right"/>
              <w:rPr>
                <w:rFonts w:ascii="Times New Roman" w:eastAsia="Times New Roman" w:hAnsi="Times New Roman" w:cs="Times New Roman"/>
                <w:b/>
                <w:i/>
                <w:iCs/>
                <w:sz w:val="20"/>
                <w:szCs w:val="20"/>
                <w:lang w:val="ro-MD"/>
              </w:rPr>
            </w:pPr>
            <w:r w:rsidRPr="0080251F">
              <w:rPr>
                <w:rFonts w:ascii="Times New Roman" w:eastAsia="Times New Roman" w:hAnsi="Times New Roman" w:cs="Times New Roman"/>
                <w:b/>
                <w:i/>
                <w:iCs/>
                <w:sz w:val="20"/>
                <w:szCs w:val="20"/>
                <w:lang w:val="ro-MD"/>
              </w:rPr>
              <w:t>206.107,89</w:t>
            </w:r>
          </w:p>
        </w:tc>
        <w:tc>
          <w:tcPr>
            <w:tcW w:w="1315" w:type="dxa"/>
            <w:shd w:val="clear" w:color="auto" w:fill="auto"/>
            <w:noWrap/>
            <w:vAlign w:val="center"/>
          </w:tcPr>
          <w:p w14:paraId="65C855A4" w14:textId="6BC140E9" w:rsidR="00C75516" w:rsidRPr="0080251F" w:rsidRDefault="00E01C90"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20.944,49</w:t>
            </w:r>
          </w:p>
        </w:tc>
        <w:tc>
          <w:tcPr>
            <w:tcW w:w="1168" w:type="dxa"/>
            <w:shd w:val="clear" w:color="auto" w:fill="auto"/>
            <w:noWrap/>
            <w:vAlign w:val="center"/>
          </w:tcPr>
          <w:p w14:paraId="518A51CA" w14:textId="6BFFDEAF" w:rsidR="00C75516" w:rsidRPr="0080251F" w:rsidRDefault="00C15B09"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111,31</w:t>
            </w:r>
          </w:p>
        </w:tc>
      </w:tr>
      <w:tr w:rsidR="00C75516" w:rsidRPr="0080251F" w14:paraId="29BE1BF1" w14:textId="77777777" w:rsidTr="007E784D">
        <w:trPr>
          <w:trHeight w:val="45"/>
        </w:trPr>
        <w:tc>
          <w:tcPr>
            <w:tcW w:w="4395" w:type="dxa"/>
            <w:shd w:val="clear" w:color="000000" w:fill="FFFFFF"/>
            <w:vAlign w:val="center"/>
          </w:tcPr>
          <w:p w14:paraId="01CEFC29" w14:textId="27610A6C" w:rsidR="00C75516" w:rsidRPr="0080251F" w:rsidRDefault="00C75516"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Credite bancare pe termen scurt</w:t>
            </w:r>
          </w:p>
        </w:tc>
        <w:tc>
          <w:tcPr>
            <w:tcW w:w="1417" w:type="dxa"/>
            <w:shd w:val="clear" w:color="auto" w:fill="auto"/>
            <w:noWrap/>
            <w:vAlign w:val="center"/>
          </w:tcPr>
          <w:p w14:paraId="7CAC51C9" w14:textId="7237DCC9"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0,00</w:t>
            </w:r>
          </w:p>
        </w:tc>
        <w:tc>
          <w:tcPr>
            <w:tcW w:w="1399" w:type="dxa"/>
            <w:shd w:val="clear" w:color="auto" w:fill="auto"/>
            <w:noWrap/>
            <w:vAlign w:val="center"/>
          </w:tcPr>
          <w:p w14:paraId="79CA8241" w14:textId="4202C540"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9.462,92</w:t>
            </w:r>
          </w:p>
        </w:tc>
        <w:tc>
          <w:tcPr>
            <w:tcW w:w="1315" w:type="dxa"/>
            <w:shd w:val="clear" w:color="auto" w:fill="auto"/>
            <w:noWrap/>
            <w:vAlign w:val="center"/>
          </w:tcPr>
          <w:p w14:paraId="68F400A8" w14:textId="0D58CC8A" w:rsidR="00C75516" w:rsidRPr="0080251F" w:rsidRDefault="00E01C90"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i/>
                <w:iCs/>
                <w:sz w:val="20"/>
                <w:szCs w:val="20"/>
                <w:lang w:val="ro-MD"/>
              </w:rPr>
              <w:t>9.462,92</w:t>
            </w:r>
          </w:p>
        </w:tc>
        <w:tc>
          <w:tcPr>
            <w:tcW w:w="1168" w:type="dxa"/>
            <w:shd w:val="clear" w:color="auto" w:fill="auto"/>
            <w:noWrap/>
            <w:vAlign w:val="center"/>
          </w:tcPr>
          <w:p w14:paraId="73CA0F69" w14:textId="517E40F6" w:rsidR="00C75516"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100,00</w:t>
            </w:r>
          </w:p>
        </w:tc>
      </w:tr>
      <w:tr w:rsidR="00C75516" w:rsidRPr="0080251F" w14:paraId="553EA4AD" w14:textId="77777777" w:rsidTr="007E784D">
        <w:trPr>
          <w:trHeight w:val="45"/>
        </w:trPr>
        <w:tc>
          <w:tcPr>
            <w:tcW w:w="4395" w:type="dxa"/>
            <w:shd w:val="clear" w:color="000000" w:fill="FFFFFF"/>
            <w:vAlign w:val="center"/>
          </w:tcPr>
          <w:p w14:paraId="152023DF" w14:textId="1E036045" w:rsidR="00C75516" w:rsidRPr="0080251F" w:rsidRDefault="00C75516"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Datorii comerciale</w:t>
            </w:r>
          </w:p>
        </w:tc>
        <w:tc>
          <w:tcPr>
            <w:tcW w:w="1417" w:type="dxa"/>
            <w:shd w:val="clear" w:color="auto" w:fill="auto"/>
            <w:noWrap/>
            <w:vAlign w:val="center"/>
          </w:tcPr>
          <w:p w14:paraId="0D0CE78C" w14:textId="0FDAF53A"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106.985,86</w:t>
            </w:r>
          </w:p>
        </w:tc>
        <w:tc>
          <w:tcPr>
            <w:tcW w:w="1399" w:type="dxa"/>
            <w:shd w:val="clear" w:color="auto" w:fill="auto"/>
            <w:noWrap/>
            <w:vAlign w:val="center"/>
          </w:tcPr>
          <w:p w14:paraId="431BAEEA" w14:textId="49E8DE94"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148.999,64</w:t>
            </w:r>
          </w:p>
        </w:tc>
        <w:tc>
          <w:tcPr>
            <w:tcW w:w="1315" w:type="dxa"/>
            <w:shd w:val="clear" w:color="auto" w:fill="auto"/>
            <w:noWrap/>
            <w:vAlign w:val="center"/>
          </w:tcPr>
          <w:p w14:paraId="181224AC" w14:textId="5A5F0D86" w:rsidR="00C75516" w:rsidRPr="0080251F" w:rsidRDefault="00E01C90"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42.013,78</w:t>
            </w:r>
          </w:p>
        </w:tc>
        <w:tc>
          <w:tcPr>
            <w:tcW w:w="1168" w:type="dxa"/>
            <w:shd w:val="clear" w:color="auto" w:fill="auto"/>
            <w:noWrap/>
            <w:vAlign w:val="center"/>
          </w:tcPr>
          <w:p w14:paraId="0B158FE9" w14:textId="00950231" w:rsidR="00C75516"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139,27</w:t>
            </w:r>
          </w:p>
        </w:tc>
      </w:tr>
      <w:tr w:rsidR="00C75516" w:rsidRPr="0080251F" w14:paraId="4B2F2EAB" w14:textId="77777777" w:rsidTr="007E784D">
        <w:trPr>
          <w:trHeight w:val="45"/>
        </w:trPr>
        <w:tc>
          <w:tcPr>
            <w:tcW w:w="4395" w:type="dxa"/>
            <w:shd w:val="clear" w:color="000000" w:fill="FFFFFF"/>
            <w:vAlign w:val="center"/>
          </w:tcPr>
          <w:p w14:paraId="2FEDD45A" w14:textId="3BA6B62E" w:rsidR="00C75516" w:rsidRPr="0080251F" w:rsidRDefault="00C75516"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Devieri tarifare spre rambursare</w:t>
            </w:r>
          </w:p>
        </w:tc>
        <w:tc>
          <w:tcPr>
            <w:tcW w:w="1417" w:type="dxa"/>
            <w:shd w:val="clear" w:color="auto" w:fill="auto"/>
            <w:noWrap/>
            <w:vAlign w:val="center"/>
          </w:tcPr>
          <w:p w14:paraId="51F855E3" w14:textId="3D34F12A"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40.088,43</w:t>
            </w:r>
          </w:p>
        </w:tc>
        <w:tc>
          <w:tcPr>
            <w:tcW w:w="1399" w:type="dxa"/>
            <w:shd w:val="clear" w:color="auto" w:fill="auto"/>
            <w:noWrap/>
            <w:vAlign w:val="center"/>
          </w:tcPr>
          <w:p w14:paraId="3F03D376" w14:textId="40A24AD4"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0,00</w:t>
            </w:r>
          </w:p>
        </w:tc>
        <w:tc>
          <w:tcPr>
            <w:tcW w:w="1315" w:type="dxa"/>
            <w:shd w:val="clear" w:color="auto" w:fill="auto"/>
            <w:noWrap/>
            <w:vAlign w:val="center"/>
          </w:tcPr>
          <w:p w14:paraId="10D42239" w14:textId="177399C4" w:rsidR="00C75516" w:rsidRPr="0080251F" w:rsidRDefault="00E01C90" w:rsidP="00AF09E4">
            <w:pPr>
              <w:pStyle w:val="a6"/>
              <w:numPr>
                <w:ilvl w:val="0"/>
                <w:numId w:val="9"/>
              </w:numPr>
              <w:spacing w:after="0"/>
              <w:ind w:left="476" w:hanging="116"/>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40.088,43</w:t>
            </w:r>
          </w:p>
        </w:tc>
        <w:tc>
          <w:tcPr>
            <w:tcW w:w="1168" w:type="dxa"/>
            <w:shd w:val="clear" w:color="auto" w:fill="auto"/>
            <w:noWrap/>
            <w:vAlign w:val="center"/>
          </w:tcPr>
          <w:p w14:paraId="35319BB5" w14:textId="2F05372D" w:rsidR="00C75516"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-100,00</w:t>
            </w:r>
          </w:p>
        </w:tc>
      </w:tr>
      <w:tr w:rsidR="00C75516" w:rsidRPr="0080251F" w14:paraId="3DF6249E" w14:textId="77777777" w:rsidTr="007E784D">
        <w:trPr>
          <w:trHeight w:val="45"/>
        </w:trPr>
        <w:tc>
          <w:tcPr>
            <w:tcW w:w="4395" w:type="dxa"/>
            <w:shd w:val="clear" w:color="000000" w:fill="FFFFFF"/>
            <w:vAlign w:val="center"/>
          </w:tcPr>
          <w:p w14:paraId="2F7FBA07" w14:textId="34964632" w:rsidR="00C75516" w:rsidRPr="0080251F" w:rsidRDefault="00C75516"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Venituri anticipate</w:t>
            </w:r>
          </w:p>
        </w:tc>
        <w:tc>
          <w:tcPr>
            <w:tcW w:w="1417" w:type="dxa"/>
            <w:shd w:val="clear" w:color="auto" w:fill="auto"/>
            <w:noWrap/>
            <w:vAlign w:val="center"/>
          </w:tcPr>
          <w:p w14:paraId="52106CFE" w14:textId="0E7E4E67"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1.700,12</w:t>
            </w:r>
          </w:p>
        </w:tc>
        <w:tc>
          <w:tcPr>
            <w:tcW w:w="1399" w:type="dxa"/>
            <w:shd w:val="clear" w:color="auto" w:fill="auto"/>
            <w:noWrap/>
            <w:vAlign w:val="center"/>
          </w:tcPr>
          <w:p w14:paraId="5B322CEE" w14:textId="6B247CDE"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1.583,88</w:t>
            </w:r>
          </w:p>
        </w:tc>
        <w:tc>
          <w:tcPr>
            <w:tcW w:w="1315" w:type="dxa"/>
            <w:shd w:val="clear" w:color="auto" w:fill="auto"/>
            <w:noWrap/>
            <w:vAlign w:val="center"/>
          </w:tcPr>
          <w:p w14:paraId="2EF28C71" w14:textId="73AB5CC1" w:rsidR="00C75516" w:rsidRPr="0080251F" w:rsidRDefault="00E01C90"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- 116,24</w:t>
            </w:r>
          </w:p>
        </w:tc>
        <w:tc>
          <w:tcPr>
            <w:tcW w:w="1168" w:type="dxa"/>
            <w:shd w:val="clear" w:color="auto" w:fill="auto"/>
            <w:noWrap/>
            <w:vAlign w:val="center"/>
          </w:tcPr>
          <w:p w14:paraId="2A0286B2" w14:textId="6B978F7F" w:rsidR="00C75516"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93,16</w:t>
            </w:r>
          </w:p>
        </w:tc>
      </w:tr>
      <w:tr w:rsidR="00C75516" w:rsidRPr="0080251F" w14:paraId="320B5674" w14:textId="77777777" w:rsidTr="007E784D">
        <w:trPr>
          <w:trHeight w:val="45"/>
        </w:trPr>
        <w:tc>
          <w:tcPr>
            <w:tcW w:w="4395" w:type="dxa"/>
            <w:shd w:val="clear" w:color="000000" w:fill="FFFFFF"/>
            <w:vAlign w:val="center"/>
          </w:tcPr>
          <w:p w14:paraId="0229EBF7" w14:textId="1C33982E" w:rsidR="00C75516" w:rsidRPr="0080251F" w:rsidRDefault="00C75516" w:rsidP="00AF09E4">
            <w:pPr>
              <w:spacing w:after="0"/>
              <w:jc w:val="both"/>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Alte datorii</w:t>
            </w:r>
          </w:p>
        </w:tc>
        <w:tc>
          <w:tcPr>
            <w:tcW w:w="1417" w:type="dxa"/>
            <w:shd w:val="clear" w:color="auto" w:fill="auto"/>
            <w:noWrap/>
            <w:vAlign w:val="center"/>
          </w:tcPr>
          <w:p w14:paraId="1D4E239F" w14:textId="3D03B5BE"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36.388,98</w:t>
            </w:r>
          </w:p>
        </w:tc>
        <w:tc>
          <w:tcPr>
            <w:tcW w:w="1399" w:type="dxa"/>
            <w:shd w:val="clear" w:color="auto" w:fill="auto"/>
            <w:noWrap/>
            <w:vAlign w:val="center"/>
          </w:tcPr>
          <w:p w14:paraId="59B949C7" w14:textId="0F40F54D" w:rsidR="00C75516" w:rsidRPr="0080251F" w:rsidRDefault="00C75516" w:rsidP="00AF09E4">
            <w:pPr>
              <w:spacing w:after="0"/>
              <w:jc w:val="right"/>
              <w:rPr>
                <w:rFonts w:ascii="Times New Roman" w:eastAsia="Times New Roman" w:hAnsi="Times New Roman" w:cs="Times New Roman"/>
                <w:i/>
                <w:iCs/>
                <w:sz w:val="20"/>
                <w:szCs w:val="20"/>
                <w:lang w:val="ro-MD"/>
              </w:rPr>
            </w:pPr>
            <w:r w:rsidRPr="0080251F">
              <w:rPr>
                <w:rFonts w:ascii="Times New Roman" w:eastAsia="Times New Roman" w:hAnsi="Times New Roman" w:cs="Times New Roman"/>
                <w:i/>
                <w:iCs/>
                <w:sz w:val="20"/>
                <w:szCs w:val="20"/>
                <w:lang w:val="ro-MD"/>
              </w:rPr>
              <w:t>46.061,44</w:t>
            </w:r>
          </w:p>
        </w:tc>
        <w:tc>
          <w:tcPr>
            <w:tcW w:w="1315" w:type="dxa"/>
            <w:shd w:val="clear" w:color="auto" w:fill="auto"/>
            <w:noWrap/>
            <w:vAlign w:val="center"/>
          </w:tcPr>
          <w:p w14:paraId="34503EEB" w14:textId="7B03736C" w:rsidR="00C75516" w:rsidRPr="0080251F" w:rsidRDefault="00E01C90"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9,672,46</w:t>
            </w:r>
          </w:p>
        </w:tc>
        <w:tc>
          <w:tcPr>
            <w:tcW w:w="1168" w:type="dxa"/>
            <w:shd w:val="clear" w:color="auto" w:fill="auto"/>
            <w:noWrap/>
            <w:vAlign w:val="center"/>
          </w:tcPr>
          <w:p w14:paraId="058A9F3B" w14:textId="3C26A2BD" w:rsidR="00C75516" w:rsidRPr="0080251F" w:rsidRDefault="00C15B09" w:rsidP="00AF09E4">
            <w:pPr>
              <w:spacing w:after="0"/>
              <w:jc w:val="right"/>
              <w:rPr>
                <w:rFonts w:ascii="Times New Roman" w:eastAsia="Times New Roman" w:hAnsi="Times New Roman" w:cs="Times New Roman"/>
                <w:bCs/>
                <w:sz w:val="20"/>
                <w:szCs w:val="20"/>
                <w:lang w:val="ro-MD"/>
              </w:rPr>
            </w:pPr>
            <w:r w:rsidRPr="0080251F">
              <w:rPr>
                <w:rFonts w:ascii="Times New Roman" w:eastAsia="Times New Roman" w:hAnsi="Times New Roman" w:cs="Times New Roman"/>
                <w:bCs/>
                <w:sz w:val="20"/>
                <w:szCs w:val="20"/>
                <w:lang w:val="ro-MD"/>
              </w:rPr>
              <w:t>126,58</w:t>
            </w:r>
          </w:p>
        </w:tc>
      </w:tr>
      <w:tr w:rsidR="003811FA" w:rsidRPr="0080251F" w14:paraId="3256E374" w14:textId="77777777" w:rsidTr="007E784D">
        <w:trPr>
          <w:trHeight w:val="44"/>
        </w:trPr>
        <w:tc>
          <w:tcPr>
            <w:tcW w:w="4395" w:type="dxa"/>
            <w:shd w:val="clear" w:color="auto" w:fill="D9D9D9" w:themeFill="background1" w:themeFillShade="D9"/>
            <w:vAlign w:val="center"/>
            <w:hideMark/>
          </w:tcPr>
          <w:p w14:paraId="49EF1DCB" w14:textId="607EADA7" w:rsidR="003811FA" w:rsidRPr="0080251F" w:rsidRDefault="003811FA" w:rsidP="00AF09E4">
            <w:pPr>
              <w:spacing w:after="0"/>
              <w:jc w:val="both"/>
              <w:rPr>
                <w:rFonts w:ascii="Times New Roman" w:eastAsia="Times New Roman" w:hAnsi="Times New Roman" w:cs="Times New Roman"/>
                <w:b/>
                <w:bCs/>
                <w:i/>
                <w:iCs/>
                <w:sz w:val="20"/>
                <w:szCs w:val="20"/>
                <w:lang w:val="ro-MD"/>
              </w:rPr>
            </w:pPr>
            <w:r w:rsidRPr="0080251F">
              <w:rPr>
                <w:rFonts w:ascii="Times New Roman" w:eastAsia="Times New Roman" w:hAnsi="Times New Roman" w:cs="Times New Roman"/>
                <w:b/>
                <w:bCs/>
                <w:i/>
                <w:iCs/>
                <w:sz w:val="20"/>
                <w:szCs w:val="20"/>
                <w:lang w:val="ro-MD"/>
              </w:rPr>
              <w:t>Total - CAPITAL PROPRIU ȘI DATORII</w:t>
            </w:r>
          </w:p>
        </w:tc>
        <w:tc>
          <w:tcPr>
            <w:tcW w:w="1417" w:type="dxa"/>
            <w:shd w:val="clear" w:color="auto" w:fill="D9D9D9" w:themeFill="background1" w:themeFillShade="D9"/>
            <w:vAlign w:val="center"/>
            <w:hideMark/>
          </w:tcPr>
          <w:p w14:paraId="1F42D687" w14:textId="23DFE518" w:rsidR="003811FA" w:rsidRPr="0080251F" w:rsidRDefault="003811FA"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2.958.217,19</w:t>
            </w:r>
          </w:p>
        </w:tc>
        <w:tc>
          <w:tcPr>
            <w:tcW w:w="1399" w:type="dxa"/>
            <w:shd w:val="clear" w:color="auto" w:fill="D9D9D9" w:themeFill="background1" w:themeFillShade="D9"/>
            <w:vAlign w:val="center"/>
            <w:hideMark/>
          </w:tcPr>
          <w:p w14:paraId="622CB8CE" w14:textId="2E5FEA9D" w:rsidR="003811FA" w:rsidRPr="0080251F" w:rsidRDefault="003811FA"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2.986.518,10</w:t>
            </w:r>
          </w:p>
        </w:tc>
        <w:tc>
          <w:tcPr>
            <w:tcW w:w="1315" w:type="dxa"/>
            <w:shd w:val="clear" w:color="auto" w:fill="D9D9D9" w:themeFill="background1" w:themeFillShade="D9"/>
            <w:noWrap/>
            <w:vAlign w:val="center"/>
            <w:hideMark/>
          </w:tcPr>
          <w:p w14:paraId="68BAA6C7" w14:textId="453AA87A" w:rsidR="003811FA" w:rsidRPr="0080251F" w:rsidRDefault="00E01C90"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28.300,91</w:t>
            </w:r>
          </w:p>
        </w:tc>
        <w:tc>
          <w:tcPr>
            <w:tcW w:w="1168" w:type="dxa"/>
            <w:shd w:val="clear" w:color="auto" w:fill="D9D9D9" w:themeFill="background1" w:themeFillShade="D9"/>
            <w:noWrap/>
            <w:vAlign w:val="center"/>
            <w:hideMark/>
          </w:tcPr>
          <w:p w14:paraId="5B9D085E" w14:textId="7B84A189" w:rsidR="003811FA" w:rsidRPr="0080251F" w:rsidRDefault="00C15B09" w:rsidP="00AF09E4">
            <w:pPr>
              <w:spacing w:after="0"/>
              <w:jc w:val="right"/>
              <w:rPr>
                <w:rFonts w:ascii="Times New Roman" w:eastAsia="Times New Roman" w:hAnsi="Times New Roman" w:cs="Times New Roman"/>
                <w:b/>
                <w:bCs/>
                <w:sz w:val="20"/>
                <w:szCs w:val="20"/>
                <w:lang w:val="ro-MD"/>
              </w:rPr>
            </w:pPr>
            <w:r w:rsidRPr="0080251F">
              <w:rPr>
                <w:rFonts w:ascii="Times New Roman" w:eastAsia="Times New Roman" w:hAnsi="Times New Roman" w:cs="Times New Roman"/>
                <w:b/>
                <w:bCs/>
                <w:sz w:val="20"/>
                <w:szCs w:val="20"/>
                <w:lang w:val="ro-MD"/>
              </w:rPr>
              <w:t>100,96</w:t>
            </w:r>
          </w:p>
        </w:tc>
      </w:tr>
    </w:tbl>
    <w:p w14:paraId="4A60A2CB" w14:textId="0A9067EA" w:rsidR="00F746CF" w:rsidRPr="0080251F" w:rsidRDefault="00F746CF" w:rsidP="00AF09E4">
      <w:pPr>
        <w:spacing w:after="0"/>
        <w:jc w:val="both"/>
        <w:rPr>
          <w:rFonts w:ascii="Times New Roman" w:hAnsi="Times New Roman" w:cs="Times New Roman"/>
          <w:i/>
          <w:sz w:val="20"/>
          <w:szCs w:val="20"/>
          <w:lang w:val="ro-MD"/>
        </w:rPr>
      </w:pPr>
      <w:r w:rsidRPr="0080251F">
        <w:rPr>
          <w:rFonts w:ascii="Times New Roman" w:hAnsi="Times New Roman" w:cs="Times New Roman"/>
          <w:b/>
          <w:i/>
          <w:sz w:val="20"/>
          <w:szCs w:val="20"/>
          <w:lang w:val="ro-MD"/>
        </w:rPr>
        <w:t>Sursa:</w:t>
      </w:r>
      <w:r w:rsidRPr="0080251F">
        <w:rPr>
          <w:rFonts w:ascii="Times New Roman" w:hAnsi="Times New Roman" w:cs="Times New Roman"/>
          <w:i/>
          <w:sz w:val="20"/>
          <w:szCs w:val="20"/>
          <w:lang w:val="ro-MD"/>
        </w:rPr>
        <w:t xml:space="preserve"> </w:t>
      </w:r>
      <w:r w:rsidR="003811FA" w:rsidRPr="0080251F">
        <w:rPr>
          <w:rFonts w:ascii="Times New Roman" w:hAnsi="Times New Roman" w:cs="Times New Roman"/>
          <w:i/>
          <w:sz w:val="20"/>
          <w:szCs w:val="20"/>
          <w:lang w:val="ro-MD"/>
        </w:rPr>
        <w:t>Raportul privind situația poziției financiare</w:t>
      </w:r>
      <w:r w:rsidRPr="0080251F">
        <w:rPr>
          <w:rFonts w:ascii="Times New Roman" w:hAnsi="Times New Roman" w:cs="Times New Roman"/>
          <w:i/>
          <w:sz w:val="20"/>
          <w:szCs w:val="20"/>
          <w:lang w:val="ro-MD"/>
        </w:rPr>
        <w:t xml:space="preserve"> </w:t>
      </w:r>
      <w:r w:rsidR="003811FA" w:rsidRPr="0080251F">
        <w:rPr>
          <w:rFonts w:ascii="Times New Roman" w:hAnsi="Times New Roman" w:cs="Times New Roman"/>
          <w:i/>
          <w:sz w:val="20"/>
          <w:szCs w:val="20"/>
          <w:lang w:val="ro-MD"/>
        </w:rPr>
        <w:t xml:space="preserve">la </w:t>
      </w:r>
      <w:r w:rsidRPr="0080251F">
        <w:rPr>
          <w:rFonts w:ascii="Times New Roman" w:hAnsi="Times New Roman" w:cs="Times New Roman"/>
          <w:i/>
          <w:sz w:val="20"/>
          <w:szCs w:val="20"/>
          <w:lang w:val="ro-MD"/>
        </w:rPr>
        <w:t xml:space="preserve">31.12.2021 și </w:t>
      </w:r>
      <w:r w:rsidR="00FF0088" w:rsidRPr="0080251F">
        <w:rPr>
          <w:rFonts w:ascii="Times New Roman" w:hAnsi="Times New Roman" w:cs="Times New Roman"/>
          <w:i/>
          <w:sz w:val="20"/>
          <w:szCs w:val="20"/>
          <w:lang w:val="ro-MD"/>
        </w:rPr>
        <w:t xml:space="preserve">la </w:t>
      </w:r>
      <w:r w:rsidRPr="0080251F">
        <w:rPr>
          <w:rFonts w:ascii="Times New Roman" w:hAnsi="Times New Roman" w:cs="Times New Roman"/>
          <w:i/>
          <w:sz w:val="20"/>
          <w:szCs w:val="20"/>
          <w:lang w:val="ro-MD"/>
        </w:rPr>
        <w:t>31.12.2022.</w:t>
      </w:r>
    </w:p>
    <w:p w14:paraId="08CD90B1" w14:textId="77777777" w:rsidR="00FD7555" w:rsidRPr="0080251F" w:rsidRDefault="00FD7555" w:rsidP="00F746CF">
      <w:pPr>
        <w:pStyle w:val="1"/>
        <w:jc w:val="right"/>
        <w:rPr>
          <w:rFonts w:ascii="Times New Roman" w:hAnsi="Times New Roman" w:cs="Times New Roman"/>
          <w:b/>
          <w:sz w:val="24"/>
          <w:szCs w:val="24"/>
          <w:lang w:val="ro-MD"/>
        </w:rPr>
        <w:sectPr w:rsidR="00FD7555" w:rsidRPr="0080251F" w:rsidSect="00CA6023">
          <w:footnotePr>
            <w:numRestart w:val="eachSect"/>
          </w:footnotePr>
          <w:pgSz w:w="12240" w:h="15840"/>
          <w:pgMar w:top="851" w:right="851" w:bottom="851" w:left="1701" w:header="709" w:footer="709" w:gutter="0"/>
          <w:cols w:space="708"/>
          <w:docGrid w:linePitch="360"/>
        </w:sectPr>
      </w:pPr>
    </w:p>
    <w:p w14:paraId="38E61817" w14:textId="2C23521E" w:rsidR="007E1056" w:rsidRPr="0080251F" w:rsidRDefault="007E1056" w:rsidP="007E1056">
      <w:pPr>
        <w:pStyle w:val="1"/>
        <w:spacing w:line="276" w:lineRule="auto"/>
        <w:jc w:val="right"/>
        <w:rPr>
          <w:rFonts w:ascii="Times New Roman" w:hAnsi="Times New Roman" w:cs="Times New Roman"/>
          <w:b/>
          <w:sz w:val="24"/>
          <w:szCs w:val="28"/>
          <w:lang w:val="ro-MD"/>
        </w:rPr>
      </w:pPr>
      <w:bookmarkStart w:id="32" w:name="_Toc161169705"/>
      <w:r w:rsidRPr="0080251F">
        <w:rPr>
          <w:rFonts w:ascii="Times New Roman" w:hAnsi="Times New Roman" w:cs="Times New Roman"/>
          <w:b/>
          <w:sz w:val="24"/>
          <w:szCs w:val="28"/>
          <w:lang w:val="ro-MD"/>
        </w:rPr>
        <w:t>Anexa nr.3</w:t>
      </w:r>
      <w:bookmarkEnd w:id="32"/>
    </w:p>
    <w:p w14:paraId="7A2B790D" w14:textId="77777777" w:rsidR="00516ED3" w:rsidRPr="0080251F" w:rsidRDefault="00516ED3" w:rsidP="00516ED3">
      <w:pPr>
        <w:tabs>
          <w:tab w:val="left" w:pos="851"/>
        </w:tabs>
        <w:spacing w:after="0" w:line="276" w:lineRule="auto"/>
        <w:contextualSpacing/>
        <w:jc w:val="center"/>
        <w:rPr>
          <w:rFonts w:ascii="Times New Roman" w:eastAsia="Calibri" w:hAnsi="Times New Roman" w:cs="Times New Roman"/>
          <w:b/>
          <w:bCs/>
          <w:sz w:val="24"/>
          <w:szCs w:val="24"/>
          <w:lang w:val="ro-MD"/>
        </w:rPr>
      </w:pPr>
      <w:r w:rsidRPr="0080251F">
        <w:rPr>
          <w:rFonts w:ascii="Times New Roman" w:eastAsia="Calibri" w:hAnsi="Times New Roman" w:cs="Times New Roman"/>
          <w:b/>
          <w:bCs/>
          <w:sz w:val="24"/>
          <w:szCs w:val="24"/>
          <w:lang w:val="ro-MD"/>
        </w:rPr>
        <w:t>Informația</w:t>
      </w:r>
    </w:p>
    <w:p w14:paraId="70CFF1AA" w14:textId="29E9D522" w:rsidR="00516ED3" w:rsidRPr="0080251F" w:rsidRDefault="00516ED3" w:rsidP="00516ED3">
      <w:pPr>
        <w:tabs>
          <w:tab w:val="left" w:pos="851"/>
        </w:tabs>
        <w:spacing w:after="0" w:line="276" w:lineRule="auto"/>
        <w:contextualSpacing/>
        <w:jc w:val="center"/>
        <w:rPr>
          <w:rFonts w:ascii="Times New Roman" w:eastAsia="Calibri" w:hAnsi="Times New Roman" w:cs="Times New Roman"/>
          <w:b/>
          <w:bCs/>
          <w:sz w:val="24"/>
          <w:szCs w:val="24"/>
          <w:lang w:val="ro-MD"/>
        </w:rPr>
      </w:pPr>
      <w:r w:rsidRPr="0080251F">
        <w:rPr>
          <w:rFonts w:ascii="Times New Roman" w:eastAsia="Calibri" w:hAnsi="Times New Roman" w:cs="Times New Roman"/>
          <w:b/>
          <w:bCs/>
          <w:sz w:val="24"/>
          <w:szCs w:val="24"/>
          <w:lang w:val="ro-MD"/>
        </w:rPr>
        <w:t>cu privire la veniturile, costurile/cheltuielile și rezultatul net din activitatea operațională, anii 2018 - 2022</w:t>
      </w:r>
    </w:p>
    <w:tbl>
      <w:tblPr>
        <w:tblpPr w:leftFromText="180" w:rightFromText="180" w:vertAnchor="text" w:horzAnchor="margin" w:tblpXSpec="right" w:tblpY="415"/>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842"/>
        <w:gridCol w:w="1560"/>
        <w:gridCol w:w="1559"/>
        <w:gridCol w:w="1564"/>
        <w:gridCol w:w="1446"/>
      </w:tblGrid>
      <w:tr w:rsidR="00516ED3" w:rsidRPr="0080251F" w14:paraId="17220149" w14:textId="77777777" w:rsidTr="00D55719">
        <w:tc>
          <w:tcPr>
            <w:tcW w:w="2122" w:type="dxa"/>
            <w:shd w:val="clear" w:color="auto" w:fill="DEEAF6" w:themeFill="accent1" w:themeFillTint="33"/>
          </w:tcPr>
          <w:p w14:paraId="7476F007" w14:textId="77777777" w:rsidR="00516ED3" w:rsidRPr="0080251F" w:rsidRDefault="00516ED3" w:rsidP="00AF09E4">
            <w:pPr>
              <w:pStyle w:val="a6"/>
              <w:tabs>
                <w:tab w:val="left" w:pos="319"/>
              </w:tabs>
              <w:spacing w:after="0"/>
              <w:ind w:left="0"/>
              <w:jc w:val="center"/>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Anul de raportare financiară</w:t>
            </w:r>
          </w:p>
        </w:tc>
        <w:tc>
          <w:tcPr>
            <w:tcW w:w="1842" w:type="dxa"/>
            <w:shd w:val="clear" w:color="auto" w:fill="DEEAF6" w:themeFill="accent1" w:themeFillTint="33"/>
            <w:vAlign w:val="center"/>
          </w:tcPr>
          <w:p w14:paraId="11E344B1" w14:textId="77777777" w:rsidR="00516ED3" w:rsidRPr="0080251F" w:rsidRDefault="00516ED3" w:rsidP="00AF09E4">
            <w:pPr>
              <w:spacing w:after="0"/>
              <w:jc w:val="center"/>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Anul 2022</w:t>
            </w:r>
          </w:p>
        </w:tc>
        <w:tc>
          <w:tcPr>
            <w:tcW w:w="1560" w:type="dxa"/>
            <w:shd w:val="clear" w:color="auto" w:fill="DEEAF6" w:themeFill="accent1" w:themeFillTint="33"/>
            <w:vAlign w:val="center"/>
          </w:tcPr>
          <w:p w14:paraId="56CEEF6D" w14:textId="77777777" w:rsidR="00516ED3" w:rsidRPr="0080251F" w:rsidRDefault="00516ED3" w:rsidP="00AF09E4">
            <w:pPr>
              <w:spacing w:after="0"/>
              <w:jc w:val="center"/>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Anul 2021</w:t>
            </w:r>
          </w:p>
        </w:tc>
        <w:tc>
          <w:tcPr>
            <w:tcW w:w="1559" w:type="dxa"/>
            <w:shd w:val="clear" w:color="auto" w:fill="DEEAF6" w:themeFill="accent1" w:themeFillTint="33"/>
            <w:vAlign w:val="center"/>
          </w:tcPr>
          <w:p w14:paraId="5BC3FA1E" w14:textId="77777777" w:rsidR="00516ED3" w:rsidRPr="0080251F" w:rsidRDefault="00516ED3" w:rsidP="00AF09E4">
            <w:pPr>
              <w:spacing w:after="0"/>
              <w:jc w:val="center"/>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Anul 2020</w:t>
            </w:r>
          </w:p>
        </w:tc>
        <w:tc>
          <w:tcPr>
            <w:tcW w:w="1564" w:type="dxa"/>
            <w:shd w:val="clear" w:color="auto" w:fill="DEEAF6" w:themeFill="accent1" w:themeFillTint="33"/>
            <w:vAlign w:val="center"/>
          </w:tcPr>
          <w:p w14:paraId="085F42B8" w14:textId="77777777" w:rsidR="00516ED3" w:rsidRPr="0080251F" w:rsidRDefault="00516ED3" w:rsidP="00AF09E4">
            <w:pPr>
              <w:spacing w:after="0"/>
              <w:jc w:val="center"/>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Anul 2019</w:t>
            </w:r>
          </w:p>
        </w:tc>
        <w:tc>
          <w:tcPr>
            <w:tcW w:w="1446" w:type="dxa"/>
            <w:shd w:val="clear" w:color="auto" w:fill="DEEAF6" w:themeFill="accent1" w:themeFillTint="33"/>
            <w:vAlign w:val="center"/>
          </w:tcPr>
          <w:p w14:paraId="498F3CF3" w14:textId="77777777" w:rsidR="00516ED3" w:rsidRPr="0080251F" w:rsidRDefault="00516ED3" w:rsidP="00AF09E4">
            <w:pPr>
              <w:spacing w:after="0"/>
              <w:jc w:val="center"/>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Anul 2018</w:t>
            </w:r>
          </w:p>
        </w:tc>
      </w:tr>
      <w:tr w:rsidR="00516ED3" w:rsidRPr="0080251F" w14:paraId="1833633E" w14:textId="77777777" w:rsidTr="00516ED3">
        <w:tc>
          <w:tcPr>
            <w:tcW w:w="2122" w:type="dxa"/>
            <w:shd w:val="clear" w:color="auto" w:fill="auto"/>
          </w:tcPr>
          <w:p w14:paraId="0E97FA2E" w14:textId="6986DFBE" w:rsidR="00516ED3" w:rsidRPr="0080251F" w:rsidRDefault="00516ED3" w:rsidP="00AF09E4">
            <w:pPr>
              <w:spacing w:after="0"/>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1) Profit brut (pierdere brută) din activitatea de baz</w:t>
            </w:r>
            <w:r w:rsidR="00FF0088" w:rsidRPr="0080251F">
              <w:rPr>
                <w:rFonts w:ascii="Times New Roman" w:eastAsia="Times New Roman" w:hAnsi="Times New Roman" w:cs="Times New Roman"/>
                <w:b/>
                <w:sz w:val="18"/>
                <w:szCs w:val="18"/>
                <w:lang w:val="ro-MD" w:eastAsia="ru-RU"/>
              </w:rPr>
              <w:t>ă</w:t>
            </w:r>
            <w:r w:rsidRPr="0080251F">
              <w:rPr>
                <w:rFonts w:ascii="Times New Roman" w:eastAsia="Times New Roman" w:hAnsi="Times New Roman" w:cs="Times New Roman"/>
                <w:b/>
                <w:sz w:val="18"/>
                <w:szCs w:val="18"/>
                <w:lang w:val="ro-MD" w:eastAsia="ru-RU"/>
              </w:rPr>
              <w:t>/reglementată prin tarif, de la:</w:t>
            </w:r>
          </w:p>
        </w:tc>
        <w:tc>
          <w:tcPr>
            <w:tcW w:w="1842" w:type="dxa"/>
            <w:shd w:val="clear" w:color="auto" w:fill="auto"/>
            <w:vAlign w:val="center"/>
          </w:tcPr>
          <w:p w14:paraId="77657413"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110.432.617,00</w:t>
            </w:r>
          </w:p>
        </w:tc>
        <w:tc>
          <w:tcPr>
            <w:tcW w:w="1560" w:type="dxa"/>
            <w:shd w:val="clear" w:color="auto" w:fill="auto"/>
            <w:vAlign w:val="center"/>
          </w:tcPr>
          <w:p w14:paraId="0A22F40B"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112.275.699,00</w:t>
            </w:r>
          </w:p>
        </w:tc>
        <w:tc>
          <w:tcPr>
            <w:tcW w:w="1559" w:type="dxa"/>
            <w:shd w:val="clear" w:color="auto" w:fill="auto"/>
            <w:vAlign w:val="center"/>
          </w:tcPr>
          <w:p w14:paraId="79F8F647"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38.241.814,00</w:t>
            </w:r>
          </w:p>
        </w:tc>
        <w:tc>
          <w:tcPr>
            <w:tcW w:w="1564" w:type="dxa"/>
            <w:shd w:val="clear" w:color="auto" w:fill="auto"/>
            <w:vAlign w:val="center"/>
          </w:tcPr>
          <w:p w14:paraId="5F0CE90B" w14:textId="77777777" w:rsidR="00516ED3" w:rsidRPr="0080251F" w:rsidRDefault="00516ED3" w:rsidP="00AF09E4">
            <w:pPr>
              <w:spacing w:after="0"/>
              <w:jc w:val="right"/>
              <w:rPr>
                <w:rFonts w:ascii="Times New Roman" w:eastAsia="Times New Roman" w:hAnsi="Times New Roman" w:cs="Times New Roman"/>
                <w:b/>
                <w:sz w:val="18"/>
                <w:szCs w:val="18"/>
                <w:u w:val="single"/>
                <w:lang w:val="ro-MD" w:eastAsia="ru-RU"/>
              </w:rPr>
            </w:pPr>
            <w:r w:rsidRPr="0080251F">
              <w:rPr>
                <w:rFonts w:ascii="Times New Roman" w:eastAsia="Times New Roman" w:hAnsi="Times New Roman" w:cs="Times New Roman"/>
                <w:b/>
                <w:sz w:val="18"/>
                <w:szCs w:val="18"/>
                <w:u w:val="single"/>
                <w:lang w:val="ro-MD" w:eastAsia="ru-RU"/>
              </w:rPr>
              <w:t>- 169.936.458,00</w:t>
            </w:r>
          </w:p>
        </w:tc>
        <w:tc>
          <w:tcPr>
            <w:tcW w:w="1446" w:type="dxa"/>
            <w:shd w:val="clear" w:color="auto" w:fill="auto"/>
            <w:vAlign w:val="center"/>
          </w:tcPr>
          <w:p w14:paraId="0D553087"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165.255.687,00</w:t>
            </w:r>
          </w:p>
        </w:tc>
      </w:tr>
      <w:tr w:rsidR="00516ED3" w:rsidRPr="0080251F" w14:paraId="38AD8779" w14:textId="77777777" w:rsidTr="00516ED3">
        <w:tc>
          <w:tcPr>
            <w:tcW w:w="2122" w:type="dxa"/>
            <w:shd w:val="clear" w:color="auto" w:fill="auto"/>
          </w:tcPr>
          <w:p w14:paraId="0672FDD8" w14:textId="77777777" w:rsidR="00516ED3" w:rsidRPr="0080251F" w:rsidRDefault="00516ED3" w:rsidP="00AF09E4">
            <w:pPr>
              <w:spacing w:after="0"/>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venituri din vânzări </w:t>
            </w:r>
            <w:r w:rsidRPr="0080251F">
              <w:rPr>
                <w:rFonts w:ascii="Times New Roman" w:eastAsia="Times New Roman" w:hAnsi="Times New Roman" w:cs="Times New Roman"/>
                <w:b/>
                <w:sz w:val="18"/>
                <w:szCs w:val="18"/>
                <w:lang w:val="ro-MD" w:eastAsia="ru-RU"/>
              </w:rPr>
              <w:t>(611)</w:t>
            </w:r>
          </w:p>
        </w:tc>
        <w:tc>
          <w:tcPr>
            <w:tcW w:w="1842" w:type="dxa"/>
            <w:shd w:val="clear" w:color="auto" w:fill="auto"/>
            <w:vAlign w:val="center"/>
          </w:tcPr>
          <w:p w14:paraId="0481036A"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671.186.899,00</w:t>
            </w:r>
          </w:p>
        </w:tc>
        <w:tc>
          <w:tcPr>
            <w:tcW w:w="1560" w:type="dxa"/>
            <w:shd w:val="clear" w:color="auto" w:fill="auto"/>
            <w:vAlign w:val="center"/>
          </w:tcPr>
          <w:p w14:paraId="646CB8F8"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743.544.970,00</w:t>
            </w:r>
          </w:p>
        </w:tc>
        <w:tc>
          <w:tcPr>
            <w:tcW w:w="1559" w:type="dxa"/>
            <w:shd w:val="clear" w:color="auto" w:fill="auto"/>
            <w:vAlign w:val="center"/>
          </w:tcPr>
          <w:p w14:paraId="3A00FC87"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677.633.530,00</w:t>
            </w:r>
          </w:p>
        </w:tc>
        <w:tc>
          <w:tcPr>
            <w:tcW w:w="1564" w:type="dxa"/>
            <w:shd w:val="clear" w:color="auto" w:fill="auto"/>
            <w:vAlign w:val="center"/>
          </w:tcPr>
          <w:p w14:paraId="52E4993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602.633.207,00</w:t>
            </w:r>
          </w:p>
        </w:tc>
        <w:tc>
          <w:tcPr>
            <w:tcW w:w="1446" w:type="dxa"/>
            <w:shd w:val="clear" w:color="auto" w:fill="auto"/>
            <w:vAlign w:val="center"/>
          </w:tcPr>
          <w:p w14:paraId="26D79CF7"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692.067.132,00</w:t>
            </w:r>
          </w:p>
        </w:tc>
      </w:tr>
      <w:tr w:rsidR="00516ED3" w:rsidRPr="0080251F" w14:paraId="098A71E8" w14:textId="77777777" w:rsidTr="00516ED3">
        <w:tc>
          <w:tcPr>
            <w:tcW w:w="2122" w:type="dxa"/>
            <w:shd w:val="clear" w:color="auto" w:fill="auto"/>
          </w:tcPr>
          <w:p w14:paraId="7432FB54" w14:textId="77777777" w:rsidR="00516ED3" w:rsidRPr="0080251F" w:rsidRDefault="00516ED3" w:rsidP="00AF09E4">
            <w:pPr>
              <w:spacing w:after="0"/>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costul vânzărilor </w:t>
            </w:r>
            <w:r w:rsidRPr="0080251F">
              <w:rPr>
                <w:rFonts w:ascii="Times New Roman" w:eastAsia="Times New Roman" w:hAnsi="Times New Roman" w:cs="Times New Roman"/>
                <w:b/>
                <w:sz w:val="18"/>
                <w:szCs w:val="18"/>
                <w:lang w:val="ro-MD" w:eastAsia="ru-RU"/>
              </w:rPr>
              <w:t>(711)</w:t>
            </w:r>
          </w:p>
        </w:tc>
        <w:tc>
          <w:tcPr>
            <w:tcW w:w="1842" w:type="dxa"/>
            <w:shd w:val="clear" w:color="auto" w:fill="auto"/>
            <w:vAlign w:val="center"/>
          </w:tcPr>
          <w:p w14:paraId="62E0C591"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(631.134.172,00)</w:t>
            </w:r>
          </w:p>
        </w:tc>
        <w:tc>
          <w:tcPr>
            <w:tcW w:w="1560" w:type="dxa"/>
            <w:shd w:val="clear" w:color="auto" w:fill="auto"/>
            <w:vAlign w:val="center"/>
          </w:tcPr>
          <w:p w14:paraId="640835D9"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 (591.180.841,00)</w:t>
            </w:r>
          </w:p>
        </w:tc>
        <w:tc>
          <w:tcPr>
            <w:tcW w:w="1559" w:type="dxa"/>
            <w:shd w:val="clear" w:color="auto" w:fill="auto"/>
            <w:vAlign w:val="center"/>
          </w:tcPr>
          <w:p w14:paraId="2A06AE6F"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(640.251.966,00)</w:t>
            </w:r>
          </w:p>
        </w:tc>
        <w:tc>
          <w:tcPr>
            <w:tcW w:w="1564" w:type="dxa"/>
            <w:shd w:val="clear" w:color="auto" w:fill="auto"/>
            <w:vAlign w:val="center"/>
          </w:tcPr>
          <w:p w14:paraId="5D5EA1A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(772.569.665,00)</w:t>
            </w:r>
          </w:p>
        </w:tc>
        <w:tc>
          <w:tcPr>
            <w:tcW w:w="1446" w:type="dxa"/>
            <w:shd w:val="clear" w:color="auto" w:fill="auto"/>
            <w:vAlign w:val="center"/>
          </w:tcPr>
          <w:p w14:paraId="126D6362"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(526.811.445,0)</w:t>
            </w:r>
          </w:p>
        </w:tc>
      </w:tr>
      <w:tr w:rsidR="00516ED3" w:rsidRPr="0080251F" w14:paraId="4F8E8A98" w14:textId="77777777" w:rsidTr="00516ED3">
        <w:tc>
          <w:tcPr>
            <w:tcW w:w="2122" w:type="dxa"/>
            <w:shd w:val="clear" w:color="auto" w:fill="auto"/>
          </w:tcPr>
          <w:p w14:paraId="1F4099D0" w14:textId="77777777" w:rsidR="00516ED3" w:rsidRPr="0080251F" w:rsidRDefault="00516ED3" w:rsidP="00AF09E4">
            <w:pPr>
              <w:spacing w:after="0"/>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venituri/pierderi din devierile tarifare pozitive (-)/ negative (+) </w:t>
            </w:r>
            <w:r w:rsidRPr="0080251F">
              <w:rPr>
                <w:rFonts w:ascii="Times New Roman" w:eastAsia="Times New Roman" w:hAnsi="Times New Roman" w:cs="Times New Roman"/>
                <w:b/>
                <w:sz w:val="18"/>
                <w:szCs w:val="18"/>
                <w:lang w:val="ro-MD" w:eastAsia="ru-RU"/>
              </w:rPr>
              <w:t>(611)</w:t>
            </w:r>
          </w:p>
        </w:tc>
        <w:tc>
          <w:tcPr>
            <w:tcW w:w="1842" w:type="dxa"/>
            <w:shd w:val="clear" w:color="auto" w:fill="auto"/>
            <w:vAlign w:val="center"/>
          </w:tcPr>
          <w:p w14:paraId="0C5993D0"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 </w:t>
            </w:r>
            <w:r w:rsidRPr="0080251F">
              <w:rPr>
                <w:rFonts w:ascii="Times New Roman" w:eastAsia="Times New Roman" w:hAnsi="Times New Roman" w:cs="Times New Roman"/>
                <w:i/>
                <w:sz w:val="18"/>
                <w:szCs w:val="18"/>
                <w:lang w:val="ro-MD" w:eastAsia="ru-RU"/>
              </w:rPr>
              <w:t>70.379.890,00</w:t>
            </w:r>
          </w:p>
        </w:tc>
        <w:tc>
          <w:tcPr>
            <w:tcW w:w="1560" w:type="dxa"/>
            <w:shd w:val="clear" w:color="auto" w:fill="auto"/>
            <w:vAlign w:val="center"/>
          </w:tcPr>
          <w:p w14:paraId="63883E78"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 </w:t>
            </w:r>
            <w:r w:rsidRPr="0080251F">
              <w:rPr>
                <w:rFonts w:ascii="Times New Roman" w:eastAsia="Times New Roman" w:hAnsi="Times New Roman" w:cs="Times New Roman"/>
                <w:i/>
                <w:sz w:val="18"/>
                <w:szCs w:val="18"/>
                <w:lang w:val="ro-MD" w:eastAsia="ru-RU"/>
              </w:rPr>
              <w:t>40.088.430,00</w:t>
            </w:r>
          </w:p>
        </w:tc>
        <w:tc>
          <w:tcPr>
            <w:tcW w:w="1559" w:type="dxa"/>
            <w:shd w:val="clear" w:color="auto" w:fill="auto"/>
            <w:vAlign w:val="center"/>
          </w:tcPr>
          <w:p w14:paraId="7CD16C5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 </w:t>
            </w:r>
            <w:r w:rsidRPr="0080251F">
              <w:rPr>
                <w:rFonts w:ascii="Times New Roman" w:eastAsia="Times New Roman" w:hAnsi="Times New Roman" w:cs="Times New Roman"/>
                <w:i/>
                <w:sz w:val="18"/>
                <w:szCs w:val="18"/>
                <w:lang w:val="ro-MD" w:eastAsia="ru-RU"/>
              </w:rPr>
              <w:t>860.250,00</w:t>
            </w:r>
          </w:p>
        </w:tc>
        <w:tc>
          <w:tcPr>
            <w:tcW w:w="1564" w:type="dxa"/>
            <w:shd w:val="clear" w:color="auto" w:fill="auto"/>
            <w:vAlign w:val="center"/>
          </w:tcPr>
          <w:p w14:paraId="093725C6" w14:textId="77777777" w:rsidR="00516ED3" w:rsidRPr="0080251F" w:rsidRDefault="00516ED3" w:rsidP="00AF09E4">
            <w:pPr>
              <w:spacing w:after="0"/>
              <w:jc w:val="right"/>
              <w:rPr>
                <w:rFonts w:ascii="Times New Roman" w:eastAsia="Times New Roman" w:hAnsi="Times New Roman" w:cs="Times New Roman"/>
                <w:i/>
                <w:sz w:val="18"/>
                <w:szCs w:val="18"/>
                <w:lang w:val="ro-MD" w:eastAsia="ru-RU"/>
              </w:rPr>
            </w:pPr>
            <w:r w:rsidRPr="0080251F">
              <w:rPr>
                <w:rFonts w:ascii="Times New Roman" w:eastAsia="Times New Roman" w:hAnsi="Times New Roman" w:cs="Times New Roman"/>
                <w:i/>
                <w:sz w:val="18"/>
                <w:szCs w:val="18"/>
                <w:lang w:val="ro-MD" w:eastAsia="ru-RU"/>
              </w:rPr>
              <w:t>0,00</w:t>
            </w:r>
          </w:p>
        </w:tc>
        <w:tc>
          <w:tcPr>
            <w:tcW w:w="1446" w:type="dxa"/>
            <w:shd w:val="clear" w:color="auto" w:fill="auto"/>
            <w:vAlign w:val="center"/>
          </w:tcPr>
          <w:p w14:paraId="23B0C551" w14:textId="77777777" w:rsidR="00516ED3" w:rsidRPr="0080251F" w:rsidRDefault="00516ED3" w:rsidP="00AF09E4">
            <w:pPr>
              <w:spacing w:after="0"/>
              <w:jc w:val="right"/>
              <w:rPr>
                <w:rFonts w:ascii="Times New Roman" w:eastAsia="Times New Roman" w:hAnsi="Times New Roman" w:cs="Times New Roman"/>
                <w:i/>
                <w:sz w:val="18"/>
                <w:szCs w:val="18"/>
                <w:lang w:val="ro-MD" w:eastAsia="ru-RU"/>
              </w:rPr>
            </w:pPr>
            <w:r w:rsidRPr="0080251F">
              <w:rPr>
                <w:rFonts w:ascii="Times New Roman" w:eastAsia="Times New Roman" w:hAnsi="Times New Roman" w:cs="Times New Roman"/>
                <w:i/>
                <w:sz w:val="18"/>
                <w:szCs w:val="18"/>
                <w:lang w:val="ro-MD" w:eastAsia="ru-RU"/>
              </w:rPr>
              <w:t>0,00</w:t>
            </w:r>
          </w:p>
        </w:tc>
      </w:tr>
      <w:tr w:rsidR="00516ED3" w:rsidRPr="0080251F" w14:paraId="068B9BA0" w14:textId="77777777" w:rsidTr="00516ED3">
        <w:tc>
          <w:tcPr>
            <w:tcW w:w="2122" w:type="dxa"/>
            <w:shd w:val="clear" w:color="auto" w:fill="auto"/>
          </w:tcPr>
          <w:p w14:paraId="2A67BEB7" w14:textId="77777777" w:rsidR="00516ED3" w:rsidRPr="0080251F" w:rsidRDefault="00516ED3" w:rsidP="00AF09E4">
            <w:pPr>
              <w:spacing w:after="0"/>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2) Profit operațional (pierderi), de la:</w:t>
            </w:r>
          </w:p>
        </w:tc>
        <w:tc>
          <w:tcPr>
            <w:tcW w:w="1842" w:type="dxa"/>
            <w:shd w:val="clear" w:color="auto" w:fill="auto"/>
            <w:vAlign w:val="center"/>
          </w:tcPr>
          <w:p w14:paraId="690C2F9F"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55.170.380,00</w:t>
            </w:r>
          </w:p>
        </w:tc>
        <w:tc>
          <w:tcPr>
            <w:tcW w:w="1560" w:type="dxa"/>
            <w:shd w:val="clear" w:color="auto" w:fill="auto"/>
            <w:vAlign w:val="center"/>
          </w:tcPr>
          <w:p w14:paraId="138BC8FF"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55.272.475,00</w:t>
            </w:r>
          </w:p>
        </w:tc>
        <w:tc>
          <w:tcPr>
            <w:tcW w:w="1559" w:type="dxa"/>
            <w:shd w:val="clear" w:color="auto" w:fill="auto"/>
            <w:vAlign w:val="center"/>
          </w:tcPr>
          <w:p w14:paraId="74AA9721" w14:textId="77777777" w:rsidR="00516ED3" w:rsidRPr="0080251F" w:rsidRDefault="00516ED3" w:rsidP="00AF09E4">
            <w:pPr>
              <w:spacing w:after="0"/>
              <w:jc w:val="right"/>
              <w:rPr>
                <w:rFonts w:ascii="Times New Roman" w:eastAsia="Times New Roman" w:hAnsi="Times New Roman" w:cs="Times New Roman"/>
                <w:b/>
                <w:sz w:val="18"/>
                <w:szCs w:val="18"/>
                <w:u w:val="single"/>
                <w:lang w:val="ro-MD" w:eastAsia="ru-RU"/>
              </w:rPr>
            </w:pPr>
            <w:r w:rsidRPr="0080251F">
              <w:rPr>
                <w:rFonts w:ascii="Times New Roman" w:eastAsia="Times New Roman" w:hAnsi="Times New Roman" w:cs="Times New Roman"/>
                <w:b/>
                <w:sz w:val="18"/>
                <w:szCs w:val="18"/>
                <w:u w:val="single"/>
                <w:lang w:val="ro-MD" w:eastAsia="ru-RU"/>
              </w:rPr>
              <w:t>- 17.093.679,00</w:t>
            </w:r>
          </w:p>
        </w:tc>
        <w:tc>
          <w:tcPr>
            <w:tcW w:w="1564" w:type="dxa"/>
            <w:shd w:val="clear" w:color="auto" w:fill="auto"/>
            <w:vAlign w:val="center"/>
          </w:tcPr>
          <w:p w14:paraId="4F74CB8B" w14:textId="77777777" w:rsidR="00516ED3" w:rsidRPr="0080251F" w:rsidRDefault="00516ED3" w:rsidP="00AF09E4">
            <w:pPr>
              <w:spacing w:after="0"/>
              <w:jc w:val="right"/>
              <w:rPr>
                <w:rFonts w:ascii="Times New Roman" w:eastAsia="Times New Roman" w:hAnsi="Times New Roman" w:cs="Times New Roman"/>
                <w:b/>
                <w:sz w:val="18"/>
                <w:szCs w:val="18"/>
                <w:u w:val="single"/>
                <w:lang w:val="ro-MD" w:eastAsia="ru-RU"/>
              </w:rPr>
            </w:pPr>
            <w:r w:rsidRPr="0080251F">
              <w:rPr>
                <w:rFonts w:ascii="Times New Roman" w:eastAsia="Times New Roman" w:hAnsi="Times New Roman" w:cs="Times New Roman"/>
                <w:b/>
                <w:sz w:val="18"/>
                <w:szCs w:val="18"/>
                <w:u w:val="single"/>
                <w:lang w:val="ro-MD" w:eastAsia="ru-RU"/>
              </w:rPr>
              <w:t>- 250.645.627,00</w:t>
            </w:r>
          </w:p>
        </w:tc>
        <w:tc>
          <w:tcPr>
            <w:tcW w:w="1446" w:type="dxa"/>
            <w:shd w:val="clear" w:color="auto" w:fill="auto"/>
            <w:vAlign w:val="center"/>
          </w:tcPr>
          <w:p w14:paraId="4EB16564"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107.864.760,00</w:t>
            </w:r>
          </w:p>
        </w:tc>
      </w:tr>
      <w:tr w:rsidR="00516ED3" w:rsidRPr="0080251F" w14:paraId="764FF0F0" w14:textId="77777777" w:rsidTr="00516ED3">
        <w:tc>
          <w:tcPr>
            <w:tcW w:w="2122" w:type="dxa"/>
            <w:shd w:val="clear" w:color="auto" w:fill="auto"/>
          </w:tcPr>
          <w:p w14:paraId="34DE0AFD" w14:textId="77777777" w:rsidR="00516ED3" w:rsidRPr="0080251F" w:rsidRDefault="00516ED3" w:rsidP="00AF09E4">
            <w:pPr>
              <w:spacing w:after="0"/>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alte venituri </w:t>
            </w:r>
            <w:r w:rsidRPr="0080251F">
              <w:rPr>
                <w:rFonts w:ascii="Times New Roman" w:eastAsia="Times New Roman" w:hAnsi="Times New Roman" w:cs="Times New Roman"/>
                <w:b/>
                <w:sz w:val="18"/>
                <w:szCs w:val="18"/>
                <w:lang w:val="ro-MD" w:eastAsia="ru-RU"/>
              </w:rPr>
              <w:t>(612)</w:t>
            </w:r>
          </w:p>
        </w:tc>
        <w:tc>
          <w:tcPr>
            <w:tcW w:w="1842" w:type="dxa"/>
            <w:shd w:val="clear" w:color="auto" w:fill="auto"/>
            <w:vAlign w:val="center"/>
          </w:tcPr>
          <w:p w14:paraId="455858C9"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7.037.534,00</w:t>
            </w:r>
          </w:p>
        </w:tc>
        <w:tc>
          <w:tcPr>
            <w:tcW w:w="1560" w:type="dxa"/>
            <w:shd w:val="clear" w:color="auto" w:fill="auto"/>
            <w:vAlign w:val="center"/>
          </w:tcPr>
          <w:p w14:paraId="6952FECB"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11.1814.044,00</w:t>
            </w:r>
          </w:p>
        </w:tc>
        <w:tc>
          <w:tcPr>
            <w:tcW w:w="1559" w:type="dxa"/>
            <w:shd w:val="clear" w:color="auto" w:fill="auto"/>
            <w:vAlign w:val="center"/>
          </w:tcPr>
          <w:p w14:paraId="3005A18A"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6.804.746,00</w:t>
            </w:r>
          </w:p>
        </w:tc>
        <w:tc>
          <w:tcPr>
            <w:tcW w:w="1564" w:type="dxa"/>
            <w:shd w:val="clear" w:color="auto" w:fill="auto"/>
            <w:vAlign w:val="center"/>
          </w:tcPr>
          <w:p w14:paraId="63130545"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6.756.134,00</w:t>
            </w:r>
          </w:p>
        </w:tc>
        <w:tc>
          <w:tcPr>
            <w:tcW w:w="1446" w:type="dxa"/>
            <w:shd w:val="clear" w:color="auto" w:fill="auto"/>
            <w:vAlign w:val="center"/>
          </w:tcPr>
          <w:p w14:paraId="6BBE159C"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3.609.785,00</w:t>
            </w:r>
          </w:p>
        </w:tc>
      </w:tr>
      <w:tr w:rsidR="00516ED3" w:rsidRPr="0080251F" w14:paraId="1559A698" w14:textId="77777777" w:rsidTr="00516ED3">
        <w:tc>
          <w:tcPr>
            <w:tcW w:w="2122" w:type="dxa"/>
            <w:shd w:val="clear" w:color="auto" w:fill="auto"/>
          </w:tcPr>
          <w:p w14:paraId="73DB1D59" w14:textId="77777777" w:rsidR="00516ED3" w:rsidRPr="0080251F" w:rsidRDefault="00516ED3" w:rsidP="00AF09E4">
            <w:pPr>
              <w:spacing w:after="0"/>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cheltuieli de vânzare și distribuție</w:t>
            </w:r>
          </w:p>
        </w:tc>
        <w:tc>
          <w:tcPr>
            <w:tcW w:w="1842" w:type="dxa"/>
            <w:shd w:val="clear" w:color="auto" w:fill="auto"/>
            <w:vAlign w:val="center"/>
          </w:tcPr>
          <w:p w14:paraId="3801CA68"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c>
          <w:tcPr>
            <w:tcW w:w="1560" w:type="dxa"/>
            <w:shd w:val="clear" w:color="auto" w:fill="auto"/>
            <w:vAlign w:val="center"/>
          </w:tcPr>
          <w:p w14:paraId="37BEC0F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c>
          <w:tcPr>
            <w:tcW w:w="1559" w:type="dxa"/>
            <w:shd w:val="clear" w:color="auto" w:fill="auto"/>
            <w:vAlign w:val="center"/>
          </w:tcPr>
          <w:p w14:paraId="2BFE6F25"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c>
          <w:tcPr>
            <w:tcW w:w="1564" w:type="dxa"/>
            <w:shd w:val="clear" w:color="auto" w:fill="auto"/>
            <w:vAlign w:val="center"/>
          </w:tcPr>
          <w:p w14:paraId="5AFAB1FC"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(105.783,00)</w:t>
            </w:r>
          </w:p>
        </w:tc>
        <w:tc>
          <w:tcPr>
            <w:tcW w:w="1446" w:type="dxa"/>
            <w:shd w:val="clear" w:color="auto" w:fill="auto"/>
            <w:vAlign w:val="center"/>
          </w:tcPr>
          <w:p w14:paraId="5E8AFEB1"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19.219,00</w:t>
            </w:r>
          </w:p>
        </w:tc>
      </w:tr>
      <w:tr w:rsidR="00516ED3" w:rsidRPr="0080251F" w14:paraId="4B3741A9" w14:textId="77777777" w:rsidTr="00516ED3">
        <w:tc>
          <w:tcPr>
            <w:tcW w:w="2122" w:type="dxa"/>
            <w:shd w:val="clear" w:color="auto" w:fill="auto"/>
          </w:tcPr>
          <w:p w14:paraId="2B58C3FA" w14:textId="77777777" w:rsidR="00516ED3" w:rsidRPr="0080251F" w:rsidRDefault="00516ED3" w:rsidP="00AF09E4">
            <w:pPr>
              <w:spacing w:after="0"/>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cheltuieli administrative </w:t>
            </w:r>
            <w:r w:rsidRPr="0080251F">
              <w:rPr>
                <w:rFonts w:ascii="Times New Roman" w:eastAsia="Times New Roman" w:hAnsi="Times New Roman" w:cs="Times New Roman"/>
                <w:b/>
                <w:sz w:val="18"/>
                <w:szCs w:val="18"/>
                <w:lang w:val="ro-MD" w:eastAsia="ru-RU"/>
              </w:rPr>
              <w:t>(713)</w:t>
            </w:r>
          </w:p>
        </w:tc>
        <w:tc>
          <w:tcPr>
            <w:tcW w:w="1842" w:type="dxa"/>
            <w:shd w:val="clear" w:color="auto" w:fill="auto"/>
            <w:vAlign w:val="center"/>
          </w:tcPr>
          <w:p w14:paraId="07630E7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(58.684.062,00)</w:t>
            </w:r>
          </w:p>
        </w:tc>
        <w:tc>
          <w:tcPr>
            <w:tcW w:w="1560" w:type="dxa"/>
            <w:shd w:val="clear" w:color="auto" w:fill="auto"/>
            <w:vAlign w:val="center"/>
          </w:tcPr>
          <w:p w14:paraId="7E2F7B84"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(62.797.947,00)</w:t>
            </w:r>
          </w:p>
        </w:tc>
        <w:tc>
          <w:tcPr>
            <w:tcW w:w="1559" w:type="dxa"/>
            <w:shd w:val="clear" w:color="auto" w:fill="auto"/>
            <w:vAlign w:val="center"/>
          </w:tcPr>
          <w:p w14:paraId="7EA27A4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(57.204.994,00)</w:t>
            </w:r>
          </w:p>
        </w:tc>
        <w:tc>
          <w:tcPr>
            <w:tcW w:w="1564" w:type="dxa"/>
            <w:shd w:val="clear" w:color="auto" w:fill="auto"/>
            <w:vAlign w:val="center"/>
          </w:tcPr>
          <w:p w14:paraId="3A3AC5D9"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(41.326.762,00)</w:t>
            </w:r>
          </w:p>
        </w:tc>
        <w:tc>
          <w:tcPr>
            <w:tcW w:w="1446" w:type="dxa"/>
            <w:shd w:val="clear" w:color="auto" w:fill="auto"/>
            <w:vAlign w:val="center"/>
          </w:tcPr>
          <w:p w14:paraId="7BC4E2A1"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(57.864.279,00)</w:t>
            </w:r>
          </w:p>
        </w:tc>
      </w:tr>
      <w:tr w:rsidR="00516ED3" w:rsidRPr="0080251F" w14:paraId="0A12BEFB" w14:textId="77777777" w:rsidTr="00516ED3">
        <w:tc>
          <w:tcPr>
            <w:tcW w:w="2122" w:type="dxa"/>
            <w:shd w:val="clear" w:color="auto" w:fill="auto"/>
          </w:tcPr>
          <w:p w14:paraId="21DEBDF3" w14:textId="77777777" w:rsidR="00516ED3" w:rsidRPr="0080251F" w:rsidRDefault="00516ED3" w:rsidP="00AF09E4">
            <w:pPr>
              <w:spacing w:after="0"/>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xml:space="preserve">alte cheltuieli </w:t>
            </w:r>
            <w:r w:rsidRPr="0080251F">
              <w:rPr>
                <w:rFonts w:ascii="Times New Roman" w:eastAsia="Times New Roman" w:hAnsi="Times New Roman" w:cs="Times New Roman"/>
                <w:b/>
                <w:sz w:val="18"/>
                <w:szCs w:val="18"/>
                <w:lang w:val="ro-MD" w:eastAsia="ru-RU"/>
              </w:rPr>
              <w:t>(714)</w:t>
            </w:r>
          </w:p>
        </w:tc>
        <w:tc>
          <w:tcPr>
            <w:tcW w:w="1842" w:type="dxa"/>
            <w:shd w:val="clear" w:color="auto" w:fill="auto"/>
            <w:vAlign w:val="center"/>
          </w:tcPr>
          <w:p w14:paraId="7929C6A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(3.615.709,00)</w:t>
            </w:r>
          </w:p>
        </w:tc>
        <w:tc>
          <w:tcPr>
            <w:tcW w:w="1560" w:type="dxa"/>
            <w:shd w:val="clear" w:color="auto" w:fill="auto"/>
            <w:vAlign w:val="center"/>
          </w:tcPr>
          <w:p w14:paraId="52B7CBEA"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(6.019.321,00)</w:t>
            </w:r>
          </w:p>
        </w:tc>
        <w:tc>
          <w:tcPr>
            <w:tcW w:w="1559" w:type="dxa"/>
            <w:shd w:val="clear" w:color="auto" w:fill="auto"/>
            <w:vAlign w:val="center"/>
          </w:tcPr>
          <w:p w14:paraId="7016AD97"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(4.935.245,00)</w:t>
            </w:r>
          </w:p>
        </w:tc>
        <w:tc>
          <w:tcPr>
            <w:tcW w:w="1564" w:type="dxa"/>
            <w:shd w:val="clear" w:color="auto" w:fill="auto"/>
            <w:vAlign w:val="center"/>
          </w:tcPr>
          <w:p w14:paraId="310E750A"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(46.032.758,00)</w:t>
            </w:r>
          </w:p>
        </w:tc>
        <w:tc>
          <w:tcPr>
            <w:tcW w:w="1446" w:type="dxa"/>
            <w:shd w:val="clear" w:color="auto" w:fill="auto"/>
            <w:vAlign w:val="center"/>
          </w:tcPr>
          <w:p w14:paraId="12ACCBCA"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(3.117.214,00)</w:t>
            </w:r>
          </w:p>
        </w:tc>
      </w:tr>
      <w:tr w:rsidR="00516ED3" w:rsidRPr="0080251F" w14:paraId="7C53A259" w14:textId="77777777" w:rsidTr="00516ED3">
        <w:tc>
          <w:tcPr>
            <w:tcW w:w="2122" w:type="dxa"/>
            <w:shd w:val="clear" w:color="auto" w:fill="auto"/>
          </w:tcPr>
          <w:p w14:paraId="0C355850" w14:textId="764263A5" w:rsidR="00516ED3" w:rsidRPr="0080251F" w:rsidRDefault="00516ED3" w:rsidP="00AF09E4">
            <w:pPr>
              <w:spacing w:after="0"/>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3) Rezultatul din alte activități (621, 622, 623) – (721, 722, 723), inclusiv:</w:t>
            </w:r>
          </w:p>
        </w:tc>
        <w:tc>
          <w:tcPr>
            <w:tcW w:w="1842" w:type="dxa"/>
            <w:shd w:val="clear" w:color="auto" w:fill="auto"/>
            <w:vAlign w:val="center"/>
          </w:tcPr>
          <w:p w14:paraId="7589A038"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- 7.882.332,00</w:t>
            </w:r>
          </w:p>
        </w:tc>
        <w:tc>
          <w:tcPr>
            <w:tcW w:w="1560" w:type="dxa"/>
            <w:shd w:val="clear" w:color="auto" w:fill="auto"/>
            <w:vAlign w:val="center"/>
          </w:tcPr>
          <w:p w14:paraId="3BD47629"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- 9.539.081,00</w:t>
            </w:r>
          </w:p>
        </w:tc>
        <w:tc>
          <w:tcPr>
            <w:tcW w:w="1559" w:type="dxa"/>
            <w:shd w:val="clear" w:color="auto" w:fill="auto"/>
            <w:vAlign w:val="center"/>
          </w:tcPr>
          <w:p w14:paraId="60C5D96F" w14:textId="77777777" w:rsidR="00516ED3" w:rsidRPr="0080251F" w:rsidRDefault="00516ED3" w:rsidP="00AF09E4">
            <w:pPr>
              <w:pStyle w:val="a6"/>
              <w:numPr>
                <w:ilvl w:val="0"/>
                <w:numId w:val="9"/>
              </w:numPr>
              <w:tabs>
                <w:tab w:val="left" w:pos="172"/>
              </w:tabs>
              <w:spacing w:after="0"/>
              <w:ind w:left="0" w:firstLine="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3.667.656,00</w:t>
            </w:r>
          </w:p>
        </w:tc>
        <w:tc>
          <w:tcPr>
            <w:tcW w:w="1564" w:type="dxa"/>
            <w:shd w:val="clear" w:color="auto" w:fill="auto"/>
            <w:vAlign w:val="center"/>
          </w:tcPr>
          <w:p w14:paraId="21336FA9"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48.739,00</w:t>
            </w:r>
          </w:p>
        </w:tc>
        <w:tc>
          <w:tcPr>
            <w:tcW w:w="1446" w:type="dxa"/>
            <w:shd w:val="clear" w:color="auto" w:fill="auto"/>
            <w:vAlign w:val="center"/>
          </w:tcPr>
          <w:p w14:paraId="4D4F754B"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 xml:space="preserve"> - 5.712.062,00 </w:t>
            </w:r>
          </w:p>
        </w:tc>
      </w:tr>
      <w:tr w:rsidR="00516ED3" w:rsidRPr="0080251F" w14:paraId="5D843E95" w14:textId="77777777" w:rsidTr="00516ED3">
        <w:tc>
          <w:tcPr>
            <w:tcW w:w="2122" w:type="dxa"/>
            <w:shd w:val="clear" w:color="auto" w:fill="auto"/>
          </w:tcPr>
          <w:p w14:paraId="2F8823F3" w14:textId="77777777" w:rsidR="00516ED3" w:rsidRPr="0080251F" w:rsidRDefault="00516ED3" w:rsidP="00AF09E4">
            <w:pPr>
              <w:spacing w:after="0"/>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venituri din diferența de curs valutar</w:t>
            </w:r>
          </w:p>
        </w:tc>
        <w:tc>
          <w:tcPr>
            <w:tcW w:w="1842" w:type="dxa"/>
            <w:shd w:val="clear" w:color="auto" w:fill="auto"/>
            <w:vAlign w:val="center"/>
          </w:tcPr>
          <w:p w14:paraId="14D7DF3F" w14:textId="77777777" w:rsidR="00516ED3" w:rsidRPr="0080251F" w:rsidRDefault="00516ED3" w:rsidP="00AF09E4">
            <w:pPr>
              <w:pStyle w:val="a6"/>
              <w:numPr>
                <w:ilvl w:val="0"/>
                <w:numId w:val="9"/>
              </w:numPr>
              <w:tabs>
                <w:tab w:val="left" w:pos="176"/>
              </w:tabs>
              <w:spacing w:after="0"/>
              <w:ind w:left="0" w:firstLine="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150.563,00</w:t>
            </w:r>
          </w:p>
        </w:tc>
        <w:tc>
          <w:tcPr>
            <w:tcW w:w="1560" w:type="dxa"/>
            <w:shd w:val="clear" w:color="auto" w:fill="auto"/>
            <w:vAlign w:val="center"/>
          </w:tcPr>
          <w:p w14:paraId="389C2FAE"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2.564.079,00</w:t>
            </w:r>
          </w:p>
        </w:tc>
        <w:tc>
          <w:tcPr>
            <w:tcW w:w="1559" w:type="dxa"/>
            <w:shd w:val="clear" w:color="auto" w:fill="auto"/>
            <w:vAlign w:val="center"/>
          </w:tcPr>
          <w:p w14:paraId="5ADDFE1A"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- 391.989,00</w:t>
            </w:r>
          </w:p>
        </w:tc>
        <w:tc>
          <w:tcPr>
            <w:tcW w:w="1564" w:type="dxa"/>
            <w:shd w:val="clear" w:color="auto" w:fill="auto"/>
            <w:vAlign w:val="center"/>
          </w:tcPr>
          <w:p w14:paraId="116A07C3"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48.739,00</w:t>
            </w:r>
          </w:p>
        </w:tc>
        <w:tc>
          <w:tcPr>
            <w:tcW w:w="1446" w:type="dxa"/>
            <w:shd w:val="clear" w:color="auto" w:fill="auto"/>
            <w:vAlign w:val="center"/>
          </w:tcPr>
          <w:p w14:paraId="2BB86EE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r>
      <w:tr w:rsidR="00516ED3" w:rsidRPr="0080251F" w14:paraId="680E0804" w14:textId="77777777" w:rsidTr="00516ED3">
        <w:tc>
          <w:tcPr>
            <w:tcW w:w="2122" w:type="dxa"/>
            <w:shd w:val="clear" w:color="auto" w:fill="auto"/>
          </w:tcPr>
          <w:p w14:paraId="3561B4B8" w14:textId="77777777" w:rsidR="00516ED3" w:rsidRPr="0080251F" w:rsidRDefault="00516ED3" w:rsidP="00AF09E4">
            <w:pPr>
              <w:spacing w:after="0"/>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4) Profit până la impozitare</w:t>
            </w:r>
          </w:p>
        </w:tc>
        <w:tc>
          <w:tcPr>
            <w:tcW w:w="1842" w:type="dxa"/>
            <w:shd w:val="clear" w:color="auto" w:fill="auto"/>
            <w:vAlign w:val="center"/>
          </w:tcPr>
          <w:p w14:paraId="005EC17A"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47.288.048,00</w:t>
            </w:r>
          </w:p>
        </w:tc>
        <w:tc>
          <w:tcPr>
            <w:tcW w:w="1560" w:type="dxa"/>
            <w:shd w:val="clear" w:color="auto" w:fill="auto"/>
            <w:vAlign w:val="center"/>
          </w:tcPr>
          <w:p w14:paraId="4E311580"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45.733.394,00</w:t>
            </w:r>
          </w:p>
        </w:tc>
        <w:tc>
          <w:tcPr>
            <w:tcW w:w="1559" w:type="dxa"/>
            <w:shd w:val="clear" w:color="auto" w:fill="auto"/>
            <w:vAlign w:val="center"/>
          </w:tcPr>
          <w:p w14:paraId="4C12A179"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- 20.761.335,00</w:t>
            </w:r>
          </w:p>
        </w:tc>
        <w:tc>
          <w:tcPr>
            <w:tcW w:w="1564" w:type="dxa"/>
            <w:shd w:val="clear" w:color="auto" w:fill="auto"/>
            <w:vAlign w:val="center"/>
          </w:tcPr>
          <w:p w14:paraId="01C97C3F"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-250.596.888,00</w:t>
            </w:r>
          </w:p>
        </w:tc>
        <w:tc>
          <w:tcPr>
            <w:tcW w:w="1446" w:type="dxa"/>
            <w:shd w:val="clear" w:color="auto" w:fill="auto"/>
            <w:vAlign w:val="center"/>
          </w:tcPr>
          <w:p w14:paraId="29B035D5"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102.152.698,00</w:t>
            </w:r>
          </w:p>
        </w:tc>
      </w:tr>
      <w:tr w:rsidR="00516ED3" w:rsidRPr="0080251F" w14:paraId="71AEAD84" w14:textId="77777777" w:rsidTr="00516ED3">
        <w:tc>
          <w:tcPr>
            <w:tcW w:w="2122" w:type="dxa"/>
            <w:shd w:val="clear" w:color="auto" w:fill="auto"/>
          </w:tcPr>
          <w:p w14:paraId="7D5677E9" w14:textId="77777777" w:rsidR="00516ED3" w:rsidRPr="0080251F" w:rsidRDefault="00516ED3" w:rsidP="00AF09E4">
            <w:pPr>
              <w:spacing w:after="0"/>
              <w:rPr>
                <w:rFonts w:ascii="Times New Roman" w:eastAsia="Times New Roman" w:hAnsi="Times New Roman" w:cs="Times New Roman"/>
                <w:color w:val="FF0000"/>
                <w:sz w:val="18"/>
                <w:szCs w:val="18"/>
                <w:lang w:val="ro-MD" w:eastAsia="ru-RU"/>
              </w:rPr>
            </w:pPr>
            <w:r w:rsidRPr="0080251F">
              <w:rPr>
                <w:rFonts w:ascii="Times New Roman" w:eastAsia="Times New Roman" w:hAnsi="Times New Roman" w:cs="Times New Roman"/>
                <w:sz w:val="18"/>
                <w:szCs w:val="18"/>
                <w:lang w:val="ro-MD" w:eastAsia="ru-RU"/>
              </w:rPr>
              <w:t>cheltuieli privind impozitul pe venit</w:t>
            </w:r>
          </w:p>
        </w:tc>
        <w:tc>
          <w:tcPr>
            <w:tcW w:w="1842" w:type="dxa"/>
            <w:shd w:val="clear" w:color="auto" w:fill="auto"/>
            <w:vAlign w:val="center"/>
          </w:tcPr>
          <w:p w14:paraId="79432C83"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(10.419.496,00)</w:t>
            </w:r>
          </w:p>
        </w:tc>
        <w:tc>
          <w:tcPr>
            <w:tcW w:w="1560" w:type="dxa"/>
            <w:shd w:val="clear" w:color="auto" w:fill="auto"/>
            <w:vAlign w:val="center"/>
          </w:tcPr>
          <w:p w14:paraId="210F9BFF"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(27.227.385,00)</w:t>
            </w:r>
          </w:p>
        </w:tc>
        <w:tc>
          <w:tcPr>
            <w:tcW w:w="1559" w:type="dxa"/>
            <w:shd w:val="clear" w:color="auto" w:fill="auto"/>
            <w:vAlign w:val="center"/>
          </w:tcPr>
          <w:p w14:paraId="6EE04998"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(18.687.464,00)</w:t>
            </w:r>
          </w:p>
        </w:tc>
        <w:tc>
          <w:tcPr>
            <w:tcW w:w="1564" w:type="dxa"/>
            <w:shd w:val="clear" w:color="auto" w:fill="auto"/>
            <w:vAlign w:val="center"/>
          </w:tcPr>
          <w:p w14:paraId="2D7442C2"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(21.025.509,00)</w:t>
            </w:r>
          </w:p>
        </w:tc>
        <w:tc>
          <w:tcPr>
            <w:tcW w:w="1446" w:type="dxa"/>
            <w:shd w:val="clear" w:color="auto" w:fill="auto"/>
            <w:vAlign w:val="center"/>
          </w:tcPr>
          <w:p w14:paraId="6031CDBD"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(21.637.296,00)</w:t>
            </w:r>
          </w:p>
        </w:tc>
      </w:tr>
      <w:tr w:rsidR="00516ED3" w:rsidRPr="0080251F" w14:paraId="7A49CA95" w14:textId="77777777" w:rsidTr="00516ED3">
        <w:tc>
          <w:tcPr>
            <w:tcW w:w="2122" w:type="dxa"/>
            <w:shd w:val="clear" w:color="auto" w:fill="auto"/>
          </w:tcPr>
          <w:p w14:paraId="55438355" w14:textId="77777777" w:rsidR="00516ED3" w:rsidRPr="0080251F" w:rsidRDefault="00516ED3" w:rsidP="00AF09E4">
            <w:pPr>
              <w:spacing w:after="0"/>
              <w:rPr>
                <w:rFonts w:ascii="Times New Roman" w:eastAsia="Times New Roman" w:hAnsi="Times New Roman" w:cs="Times New Roman"/>
                <w:color w:val="FF0000"/>
                <w:sz w:val="18"/>
                <w:szCs w:val="18"/>
                <w:lang w:val="ro-MD" w:eastAsia="ru-RU"/>
              </w:rPr>
            </w:pPr>
            <w:r w:rsidRPr="0080251F">
              <w:rPr>
                <w:rFonts w:ascii="Times New Roman" w:eastAsia="Times New Roman" w:hAnsi="Times New Roman" w:cs="Times New Roman"/>
                <w:sz w:val="18"/>
                <w:szCs w:val="18"/>
                <w:lang w:val="ro-MD" w:eastAsia="ru-RU"/>
              </w:rPr>
              <w:t xml:space="preserve">cheltuieli privind impozitul pe venit amânat </w:t>
            </w:r>
          </w:p>
        </w:tc>
        <w:tc>
          <w:tcPr>
            <w:tcW w:w="1842" w:type="dxa"/>
            <w:shd w:val="clear" w:color="auto" w:fill="auto"/>
            <w:vAlign w:val="center"/>
          </w:tcPr>
          <w:p w14:paraId="1A1240C1"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32.481.552,00</w:t>
            </w:r>
          </w:p>
        </w:tc>
        <w:tc>
          <w:tcPr>
            <w:tcW w:w="1560" w:type="dxa"/>
            <w:shd w:val="clear" w:color="auto" w:fill="auto"/>
            <w:vAlign w:val="center"/>
          </w:tcPr>
          <w:p w14:paraId="494ADCAB"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32.775.944,00</w:t>
            </w:r>
          </w:p>
        </w:tc>
        <w:tc>
          <w:tcPr>
            <w:tcW w:w="1559" w:type="dxa"/>
            <w:shd w:val="clear" w:color="auto" w:fill="auto"/>
            <w:vAlign w:val="center"/>
          </w:tcPr>
          <w:p w14:paraId="58005A92"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21.510.813,00</w:t>
            </w:r>
          </w:p>
        </w:tc>
        <w:tc>
          <w:tcPr>
            <w:tcW w:w="1564" w:type="dxa"/>
            <w:shd w:val="clear" w:color="auto" w:fill="auto"/>
            <w:vAlign w:val="center"/>
          </w:tcPr>
          <w:p w14:paraId="209F73B3"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c>
          <w:tcPr>
            <w:tcW w:w="1446" w:type="dxa"/>
            <w:shd w:val="clear" w:color="auto" w:fill="auto"/>
            <w:vAlign w:val="center"/>
          </w:tcPr>
          <w:p w14:paraId="202659A5"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r>
      <w:tr w:rsidR="00516ED3" w:rsidRPr="0080251F" w14:paraId="45A25860" w14:textId="77777777" w:rsidTr="00516ED3">
        <w:tc>
          <w:tcPr>
            <w:tcW w:w="2122" w:type="dxa"/>
            <w:shd w:val="clear" w:color="auto" w:fill="auto"/>
          </w:tcPr>
          <w:p w14:paraId="7BEDA671" w14:textId="77777777" w:rsidR="00516ED3" w:rsidRPr="0080251F" w:rsidRDefault="00516ED3" w:rsidP="00AF09E4">
            <w:pPr>
              <w:spacing w:after="0"/>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5) Profit net (pierderi) pentru exercițiul financiar</w:t>
            </w:r>
          </w:p>
        </w:tc>
        <w:tc>
          <w:tcPr>
            <w:tcW w:w="1842" w:type="dxa"/>
            <w:shd w:val="clear" w:color="auto" w:fill="auto"/>
            <w:vAlign w:val="center"/>
          </w:tcPr>
          <w:p w14:paraId="6717480A"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69.350.104,00</w:t>
            </w:r>
          </w:p>
        </w:tc>
        <w:tc>
          <w:tcPr>
            <w:tcW w:w="1560" w:type="dxa"/>
            <w:shd w:val="clear" w:color="auto" w:fill="auto"/>
            <w:vAlign w:val="center"/>
          </w:tcPr>
          <w:p w14:paraId="0333A5BE"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51.281.953,00</w:t>
            </w:r>
          </w:p>
        </w:tc>
        <w:tc>
          <w:tcPr>
            <w:tcW w:w="1559" w:type="dxa"/>
            <w:shd w:val="clear" w:color="auto" w:fill="auto"/>
            <w:vAlign w:val="center"/>
          </w:tcPr>
          <w:p w14:paraId="6F6A1208"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- 17.937.986,00</w:t>
            </w:r>
          </w:p>
        </w:tc>
        <w:tc>
          <w:tcPr>
            <w:tcW w:w="1564" w:type="dxa"/>
            <w:shd w:val="clear" w:color="auto" w:fill="auto"/>
            <w:vAlign w:val="center"/>
          </w:tcPr>
          <w:p w14:paraId="5342BCF6"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- 229.571.379,00</w:t>
            </w:r>
          </w:p>
        </w:tc>
        <w:tc>
          <w:tcPr>
            <w:tcW w:w="1446" w:type="dxa"/>
            <w:shd w:val="clear" w:color="auto" w:fill="auto"/>
            <w:vAlign w:val="center"/>
          </w:tcPr>
          <w:p w14:paraId="4258041B" w14:textId="77777777" w:rsidR="00516ED3" w:rsidRPr="0080251F" w:rsidRDefault="00516ED3" w:rsidP="00AF09E4">
            <w:pPr>
              <w:spacing w:after="0"/>
              <w:jc w:val="right"/>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80.515.402,00</w:t>
            </w:r>
          </w:p>
        </w:tc>
      </w:tr>
      <w:tr w:rsidR="00516ED3" w:rsidRPr="0080251F" w14:paraId="6CAD20E9" w14:textId="77777777" w:rsidTr="00516ED3">
        <w:trPr>
          <w:trHeight w:val="265"/>
        </w:trPr>
        <w:tc>
          <w:tcPr>
            <w:tcW w:w="2122" w:type="dxa"/>
            <w:shd w:val="clear" w:color="auto" w:fill="auto"/>
          </w:tcPr>
          <w:p w14:paraId="0025292E" w14:textId="77777777" w:rsidR="00516ED3" w:rsidRPr="0080251F" w:rsidRDefault="00516ED3" w:rsidP="00AF09E4">
            <w:pPr>
              <w:spacing w:after="0"/>
              <w:jc w:val="both"/>
              <w:rPr>
                <w:rFonts w:ascii="Times New Roman" w:eastAsia="Times New Roman" w:hAnsi="Times New Roman" w:cs="Times New Roman"/>
                <w:bCs/>
                <w:sz w:val="18"/>
                <w:szCs w:val="18"/>
                <w:lang w:val="ro-MD" w:eastAsia="ru-RU"/>
              </w:rPr>
            </w:pPr>
            <w:r w:rsidRPr="0080251F">
              <w:rPr>
                <w:rFonts w:ascii="Times New Roman" w:eastAsia="Times New Roman" w:hAnsi="Times New Roman" w:cs="Times New Roman"/>
                <w:bCs/>
                <w:sz w:val="18"/>
                <w:szCs w:val="18"/>
                <w:lang w:val="ro-MD" w:eastAsia="ru-RU"/>
              </w:rPr>
              <w:t>câștiguri/pierderi din reevaluarea mijloacelor fixe</w:t>
            </w:r>
          </w:p>
        </w:tc>
        <w:tc>
          <w:tcPr>
            <w:tcW w:w="1842" w:type="dxa"/>
            <w:shd w:val="clear" w:color="auto" w:fill="auto"/>
            <w:vAlign w:val="center"/>
          </w:tcPr>
          <w:p w14:paraId="2CA97612"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(13.633.257,00)</w:t>
            </w:r>
          </w:p>
        </w:tc>
        <w:tc>
          <w:tcPr>
            <w:tcW w:w="1560" w:type="dxa"/>
            <w:shd w:val="clear" w:color="auto" w:fill="auto"/>
            <w:vAlign w:val="center"/>
          </w:tcPr>
          <w:p w14:paraId="7C235865"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c>
          <w:tcPr>
            <w:tcW w:w="1559" w:type="dxa"/>
            <w:shd w:val="clear" w:color="auto" w:fill="auto"/>
            <w:vAlign w:val="center"/>
          </w:tcPr>
          <w:p w14:paraId="73030A55"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(10.126,00)</w:t>
            </w:r>
          </w:p>
        </w:tc>
        <w:tc>
          <w:tcPr>
            <w:tcW w:w="1564" w:type="dxa"/>
            <w:shd w:val="clear" w:color="auto" w:fill="auto"/>
            <w:vAlign w:val="center"/>
          </w:tcPr>
          <w:p w14:paraId="56B05198"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(35.516.675,00)</w:t>
            </w:r>
          </w:p>
        </w:tc>
        <w:tc>
          <w:tcPr>
            <w:tcW w:w="1446" w:type="dxa"/>
            <w:shd w:val="clear" w:color="auto" w:fill="auto"/>
            <w:vAlign w:val="center"/>
          </w:tcPr>
          <w:p w14:paraId="453711A8"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r>
      <w:tr w:rsidR="00516ED3" w:rsidRPr="0080251F" w14:paraId="778F9D0F" w14:textId="77777777" w:rsidTr="00516ED3">
        <w:tc>
          <w:tcPr>
            <w:tcW w:w="2122" w:type="dxa"/>
            <w:shd w:val="clear" w:color="auto" w:fill="auto"/>
          </w:tcPr>
          <w:p w14:paraId="48D48467" w14:textId="77777777" w:rsidR="00516ED3" w:rsidRPr="0080251F" w:rsidRDefault="00516ED3" w:rsidP="00AF09E4">
            <w:pPr>
              <w:spacing w:after="0"/>
              <w:jc w:val="both"/>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efectul impozitului pe profit amânat</w:t>
            </w:r>
          </w:p>
        </w:tc>
        <w:tc>
          <w:tcPr>
            <w:tcW w:w="1842" w:type="dxa"/>
            <w:shd w:val="clear" w:color="auto" w:fill="auto"/>
            <w:vAlign w:val="center"/>
          </w:tcPr>
          <w:p w14:paraId="1BE843B4"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1.635.991,00</w:t>
            </w:r>
          </w:p>
        </w:tc>
        <w:tc>
          <w:tcPr>
            <w:tcW w:w="1560" w:type="dxa"/>
            <w:shd w:val="clear" w:color="auto" w:fill="auto"/>
            <w:vAlign w:val="center"/>
          </w:tcPr>
          <w:p w14:paraId="387A1387"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c>
          <w:tcPr>
            <w:tcW w:w="1559" w:type="dxa"/>
            <w:shd w:val="clear" w:color="auto" w:fill="auto"/>
            <w:vAlign w:val="center"/>
          </w:tcPr>
          <w:p w14:paraId="3E4BF24B"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1.215,00</w:t>
            </w:r>
          </w:p>
        </w:tc>
        <w:tc>
          <w:tcPr>
            <w:tcW w:w="1564" w:type="dxa"/>
            <w:shd w:val="clear" w:color="auto" w:fill="auto"/>
            <w:vAlign w:val="center"/>
          </w:tcPr>
          <w:p w14:paraId="029AEF55"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15.659,00</w:t>
            </w:r>
          </w:p>
        </w:tc>
        <w:tc>
          <w:tcPr>
            <w:tcW w:w="1446" w:type="dxa"/>
            <w:shd w:val="clear" w:color="auto" w:fill="auto"/>
            <w:vAlign w:val="center"/>
          </w:tcPr>
          <w:p w14:paraId="0CDC3951"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r>
      <w:tr w:rsidR="00516ED3" w:rsidRPr="0080251F" w14:paraId="6C8EA3DE" w14:textId="77777777" w:rsidTr="00516ED3">
        <w:tc>
          <w:tcPr>
            <w:tcW w:w="2122" w:type="dxa"/>
            <w:shd w:val="clear" w:color="auto" w:fill="auto"/>
          </w:tcPr>
          <w:p w14:paraId="5B8947F7" w14:textId="77777777" w:rsidR="00516ED3" w:rsidRPr="0080251F" w:rsidRDefault="00516ED3" w:rsidP="00AF09E4">
            <w:pPr>
              <w:spacing w:after="0"/>
              <w:jc w:val="both"/>
              <w:rPr>
                <w:rFonts w:ascii="Times New Roman" w:eastAsia="Times New Roman" w:hAnsi="Times New Roman" w:cs="Times New Roman"/>
                <w:b/>
                <w:sz w:val="18"/>
                <w:szCs w:val="18"/>
                <w:lang w:val="ro-MD" w:eastAsia="ru-RU"/>
              </w:rPr>
            </w:pPr>
            <w:r w:rsidRPr="0080251F">
              <w:rPr>
                <w:rFonts w:ascii="Times New Roman" w:eastAsia="Times New Roman" w:hAnsi="Times New Roman" w:cs="Times New Roman"/>
                <w:b/>
                <w:sz w:val="18"/>
                <w:szCs w:val="18"/>
                <w:lang w:val="ro-MD" w:eastAsia="ru-RU"/>
              </w:rPr>
              <w:t>alte elemente ale rezultatului global</w:t>
            </w:r>
          </w:p>
        </w:tc>
        <w:tc>
          <w:tcPr>
            <w:tcW w:w="1842" w:type="dxa"/>
            <w:shd w:val="clear" w:color="auto" w:fill="auto"/>
            <w:vAlign w:val="center"/>
          </w:tcPr>
          <w:p w14:paraId="3C9AC5A4"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(11.997.266,00)</w:t>
            </w:r>
          </w:p>
        </w:tc>
        <w:tc>
          <w:tcPr>
            <w:tcW w:w="1560" w:type="dxa"/>
            <w:shd w:val="clear" w:color="auto" w:fill="auto"/>
            <w:vAlign w:val="center"/>
          </w:tcPr>
          <w:p w14:paraId="189D0889"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c>
          <w:tcPr>
            <w:tcW w:w="1559" w:type="dxa"/>
            <w:shd w:val="clear" w:color="auto" w:fill="auto"/>
            <w:vAlign w:val="center"/>
          </w:tcPr>
          <w:p w14:paraId="5B5D2F15"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(8.911,00)</w:t>
            </w:r>
          </w:p>
        </w:tc>
        <w:tc>
          <w:tcPr>
            <w:tcW w:w="1564" w:type="dxa"/>
            <w:shd w:val="clear" w:color="auto" w:fill="auto"/>
            <w:vAlign w:val="center"/>
          </w:tcPr>
          <w:p w14:paraId="20E42521"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(35.501.016,00)</w:t>
            </w:r>
          </w:p>
        </w:tc>
        <w:tc>
          <w:tcPr>
            <w:tcW w:w="1446" w:type="dxa"/>
            <w:shd w:val="clear" w:color="auto" w:fill="auto"/>
            <w:vAlign w:val="center"/>
          </w:tcPr>
          <w:p w14:paraId="6B711710" w14:textId="77777777" w:rsidR="00516ED3" w:rsidRPr="0080251F" w:rsidRDefault="00516ED3" w:rsidP="00AF09E4">
            <w:pPr>
              <w:spacing w:after="0"/>
              <w:jc w:val="right"/>
              <w:rPr>
                <w:rFonts w:ascii="Times New Roman" w:eastAsia="Times New Roman" w:hAnsi="Times New Roman" w:cs="Times New Roman"/>
                <w:sz w:val="18"/>
                <w:szCs w:val="18"/>
                <w:lang w:val="ro-MD" w:eastAsia="ru-RU"/>
              </w:rPr>
            </w:pPr>
            <w:r w:rsidRPr="0080251F">
              <w:rPr>
                <w:rFonts w:ascii="Times New Roman" w:eastAsia="Times New Roman" w:hAnsi="Times New Roman" w:cs="Times New Roman"/>
                <w:sz w:val="18"/>
                <w:szCs w:val="18"/>
                <w:lang w:val="ro-MD" w:eastAsia="ru-RU"/>
              </w:rPr>
              <w:t>(0,00)</w:t>
            </w:r>
          </w:p>
        </w:tc>
      </w:tr>
      <w:tr w:rsidR="00516ED3" w:rsidRPr="0080251F" w14:paraId="2B8CDF58" w14:textId="77777777" w:rsidTr="00516ED3">
        <w:trPr>
          <w:trHeight w:val="617"/>
        </w:trPr>
        <w:tc>
          <w:tcPr>
            <w:tcW w:w="2122" w:type="dxa"/>
            <w:shd w:val="clear" w:color="auto" w:fill="auto"/>
            <w:vAlign w:val="center"/>
          </w:tcPr>
          <w:p w14:paraId="37315A95" w14:textId="77777777" w:rsidR="00516ED3" w:rsidRPr="0080251F" w:rsidRDefault="00516ED3" w:rsidP="00AF09E4">
            <w:pPr>
              <w:spacing w:after="0"/>
              <w:rPr>
                <w:rFonts w:ascii="Times New Roman" w:eastAsia="Times New Roman" w:hAnsi="Times New Roman" w:cs="Times New Roman"/>
                <w:b/>
                <w:sz w:val="18"/>
                <w:szCs w:val="18"/>
                <w:u w:val="single"/>
                <w:lang w:val="ro-MD" w:eastAsia="ru-RU"/>
              </w:rPr>
            </w:pPr>
            <w:r w:rsidRPr="0080251F">
              <w:rPr>
                <w:rFonts w:ascii="Times New Roman" w:eastAsia="Times New Roman" w:hAnsi="Times New Roman" w:cs="Times New Roman"/>
                <w:b/>
                <w:sz w:val="18"/>
                <w:szCs w:val="18"/>
                <w:u w:val="single"/>
                <w:lang w:val="ro-MD" w:eastAsia="ru-RU"/>
              </w:rPr>
              <w:t>Rezultatul global net al perioadei de gestiune</w:t>
            </w:r>
          </w:p>
        </w:tc>
        <w:tc>
          <w:tcPr>
            <w:tcW w:w="1842" w:type="dxa"/>
            <w:shd w:val="clear" w:color="auto" w:fill="auto"/>
            <w:vAlign w:val="center"/>
          </w:tcPr>
          <w:p w14:paraId="7B6CE55C" w14:textId="77777777" w:rsidR="00516ED3" w:rsidRPr="0080251F" w:rsidRDefault="00516ED3" w:rsidP="00AF09E4">
            <w:pPr>
              <w:spacing w:after="0"/>
              <w:jc w:val="right"/>
              <w:rPr>
                <w:rFonts w:ascii="Times New Roman" w:eastAsia="Times New Roman" w:hAnsi="Times New Roman" w:cs="Times New Roman"/>
                <w:b/>
                <w:color w:val="000000"/>
                <w:sz w:val="18"/>
                <w:szCs w:val="18"/>
                <w:lang w:val="ro-MD"/>
              </w:rPr>
            </w:pPr>
            <w:r w:rsidRPr="0080251F">
              <w:rPr>
                <w:rFonts w:ascii="Times New Roman" w:eastAsia="Times New Roman" w:hAnsi="Times New Roman" w:cs="Times New Roman"/>
                <w:b/>
                <w:color w:val="000000"/>
                <w:sz w:val="18"/>
                <w:szCs w:val="18"/>
                <w:lang w:val="ro-MD"/>
              </w:rPr>
              <w:t>57.352.838,00</w:t>
            </w:r>
          </w:p>
        </w:tc>
        <w:tc>
          <w:tcPr>
            <w:tcW w:w="1560" w:type="dxa"/>
            <w:shd w:val="clear" w:color="auto" w:fill="auto"/>
            <w:vAlign w:val="center"/>
          </w:tcPr>
          <w:p w14:paraId="1BA7F575" w14:textId="77777777" w:rsidR="00516ED3" w:rsidRPr="0080251F" w:rsidRDefault="00516ED3" w:rsidP="00AF09E4">
            <w:pPr>
              <w:spacing w:after="0"/>
              <w:jc w:val="right"/>
              <w:rPr>
                <w:rFonts w:ascii="Times New Roman" w:eastAsia="Times New Roman" w:hAnsi="Times New Roman" w:cs="Times New Roman"/>
                <w:b/>
                <w:color w:val="000000"/>
                <w:sz w:val="18"/>
                <w:szCs w:val="18"/>
                <w:lang w:val="ro-MD"/>
              </w:rPr>
            </w:pPr>
            <w:r w:rsidRPr="0080251F">
              <w:rPr>
                <w:rFonts w:ascii="Times New Roman" w:eastAsia="Times New Roman" w:hAnsi="Times New Roman" w:cs="Times New Roman"/>
                <w:b/>
                <w:sz w:val="18"/>
                <w:szCs w:val="18"/>
                <w:lang w:val="ro-MD" w:eastAsia="ru-RU"/>
              </w:rPr>
              <w:t>51.281.953,00</w:t>
            </w:r>
          </w:p>
        </w:tc>
        <w:tc>
          <w:tcPr>
            <w:tcW w:w="1559" w:type="dxa"/>
            <w:shd w:val="clear" w:color="auto" w:fill="auto"/>
            <w:vAlign w:val="center"/>
          </w:tcPr>
          <w:p w14:paraId="158046E0" w14:textId="77777777" w:rsidR="00516ED3" w:rsidRPr="0080251F" w:rsidRDefault="00516ED3" w:rsidP="00AF09E4">
            <w:pPr>
              <w:spacing w:after="0"/>
              <w:jc w:val="right"/>
              <w:rPr>
                <w:rFonts w:ascii="Times New Roman" w:eastAsia="Times New Roman" w:hAnsi="Times New Roman" w:cs="Times New Roman"/>
                <w:b/>
                <w:color w:val="000000"/>
                <w:sz w:val="18"/>
                <w:szCs w:val="18"/>
                <w:lang w:val="ro-MD"/>
              </w:rPr>
            </w:pPr>
            <w:r w:rsidRPr="0080251F">
              <w:rPr>
                <w:rFonts w:ascii="Times New Roman" w:eastAsia="Times New Roman" w:hAnsi="Times New Roman" w:cs="Times New Roman"/>
                <w:b/>
                <w:sz w:val="18"/>
                <w:szCs w:val="18"/>
                <w:lang w:val="ro-MD" w:eastAsia="ru-RU"/>
              </w:rPr>
              <w:t>-17.946.897,00</w:t>
            </w:r>
          </w:p>
        </w:tc>
        <w:tc>
          <w:tcPr>
            <w:tcW w:w="1564" w:type="dxa"/>
            <w:shd w:val="clear" w:color="auto" w:fill="auto"/>
            <w:vAlign w:val="center"/>
          </w:tcPr>
          <w:p w14:paraId="752BA9C8" w14:textId="77777777" w:rsidR="00516ED3" w:rsidRPr="0080251F" w:rsidRDefault="00516ED3" w:rsidP="00AF09E4">
            <w:pPr>
              <w:spacing w:after="0"/>
              <w:jc w:val="right"/>
              <w:rPr>
                <w:rFonts w:ascii="Times New Roman" w:eastAsia="Times New Roman" w:hAnsi="Times New Roman" w:cs="Times New Roman"/>
                <w:b/>
                <w:color w:val="000000"/>
                <w:sz w:val="18"/>
                <w:szCs w:val="18"/>
                <w:lang w:val="ro-MD"/>
              </w:rPr>
            </w:pPr>
            <w:r w:rsidRPr="0080251F">
              <w:rPr>
                <w:rFonts w:ascii="Times New Roman" w:eastAsia="Times New Roman" w:hAnsi="Times New Roman" w:cs="Times New Roman"/>
                <w:b/>
                <w:sz w:val="18"/>
                <w:szCs w:val="18"/>
                <w:lang w:val="ro-MD" w:eastAsia="ru-RU"/>
              </w:rPr>
              <w:t>-265.072.395,00</w:t>
            </w:r>
          </w:p>
        </w:tc>
        <w:tc>
          <w:tcPr>
            <w:tcW w:w="1446" w:type="dxa"/>
            <w:shd w:val="clear" w:color="auto" w:fill="auto"/>
            <w:vAlign w:val="center"/>
          </w:tcPr>
          <w:p w14:paraId="271D5684" w14:textId="77777777" w:rsidR="00516ED3" w:rsidRPr="0080251F" w:rsidRDefault="00516ED3" w:rsidP="00AF09E4">
            <w:pPr>
              <w:spacing w:after="0"/>
              <w:jc w:val="right"/>
              <w:rPr>
                <w:rFonts w:ascii="Times New Roman" w:eastAsia="Times New Roman" w:hAnsi="Times New Roman" w:cs="Times New Roman"/>
                <w:b/>
                <w:color w:val="000000"/>
                <w:sz w:val="18"/>
                <w:szCs w:val="18"/>
                <w:lang w:val="ro-MD"/>
              </w:rPr>
            </w:pPr>
            <w:r w:rsidRPr="0080251F">
              <w:rPr>
                <w:rFonts w:ascii="Times New Roman" w:eastAsia="Times New Roman" w:hAnsi="Times New Roman" w:cs="Times New Roman"/>
                <w:b/>
                <w:sz w:val="18"/>
                <w:szCs w:val="18"/>
                <w:lang w:val="ro-MD" w:eastAsia="ru-RU"/>
              </w:rPr>
              <w:t>80.515.402,00</w:t>
            </w:r>
          </w:p>
        </w:tc>
      </w:tr>
    </w:tbl>
    <w:p w14:paraId="2B2B0786" w14:textId="29D056A9" w:rsidR="00516ED3" w:rsidRPr="0080251F" w:rsidRDefault="00516ED3" w:rsidP="00516ED3">
      <w:pPr>
        <w:pStyle w:val="a6"/>
        <w:tabs>
          <w:tab w:val="left" w:pos="0"/>
          <w:tab w:val="left" w:pos="567"/>
        </w:tabs>
        <w:spacing w:after="0" w:line="276" w:lineRule="auto"/>
        <w:ind w:left="0"/>
        <w:contextualSpacing w:val="0"/>
        <w:jc w:val="both"/>
        <w:rPr>
          <w:rFonts w:ascii="Times New Roman" w:hAnsi="Times New Roman" w:cs="Times New Roman"/>
          <w:b/>
          <w:bCs/>
          <w:i/>
          <w:sz w:val="24"/>
          <w:szCs w:val="24"/>
          <w:lang w:val="ro-MD"/>
        </w:rPr>
      </w:pPr>
      <w:r w:rsidRPr="0080251F">
        <w:rPr>
          <w:rFonts w:ascii="Times New Roman" w:hAnsi="Times New Roman" w:cs="Times New Roman"/>
          <w:b/>
          <w:bCs/>
          <w:i/>
          <w:lang w:val="ro-MD"/>
        </w:rPr>
        <w:t xml:space="preserve">                                                                                                                                                            </w:t>
      </w:r>
      <w:r w:rsidR="00FF0088" w:rsidRPr="0080251F">
        <w:rPr>
          <w:rFonts w:ascii="Times New Roman" w:hAnsi="Times New Roman" w:cs="Times New Roman"/>
          <w:b/>
          <w:bCs/>
          <w:i/>
          <w:lang w:val="ro-MD"/>
        </w:rPr>
        <w:t xml:space="preserve">        </w:t>
      </w:r>
      <w:r w:rsidRPr="0080251F">
        <w:rPr>
          <w:rFonts w:ascii="Times New Roman" w:hAnsi="Times New Roman" w:cs="Times New Roman"/>
          <w:b/>
          <w:bCs/>
          <w:i/>
          <w:sz w:val="24"/>
          <w:szCs w:val="24"/>
          <w:lang w:val="ro-MD"/>
        </w:rPr>
        <w:t>mii lei</w:t>
      </w:r>
    </w:p>
    <w:p w14:paraId="6713992F" w14:textId="6B742407" w:rsidR="00516ED3" w:rsidRPr="0080251F" w:rsidRDefault="00516ED3" w:rsidP="00FA6F23">
      <w:pPr>
        <w:pStyle w:val="a6"/>
        <w:tabs>
          <w:tab w:val="left" w:pos="0"/>
          <w:tab w:val="left" w:pos="567"/>
        </w:tabs>
        <w:spacing w:after="0"/>
        <w:ind w:left="0"/>
        <w:contextualSpacing w:val="0"/>
        <w:jc w:val="both"/>
        <w:rPr>
          <w:rFonts w:ascii="Times New Roman" w:hAnsi="Times New Roman" w:cs="Times New Roman"/>
          <w:b/>
          <w:sz w:val="24"/>
          <w:szCs w:val="24"/>
          <w:lang w:val="ro-MD"/>
        </w:rPr>
      </w:pPr>
      <w:r w:rsidRPr="0080251F">
        <w:rPr>
          <w:rFonts w:ascii="Times New Roman" w:hAnsi="Times New Roman" w:cs="Times New Roman"/>
          <w:b/>
          <w:bCs/>
          <w:i/>
          <w:sz w:val="18"/>
          <w:szCs w:val="18"/>
          <w:lang w:val="ro-MD"/>
        </w:rPr>
        <w:t>Sursă:</w:t>
      </w:r>
      <w:r w:rsidRPr="0080251F">
        <w:rPr>
          <w:rFonts w:ascii="Times New Roman" w:hAnsi="Times New Roman" w:cs="Times New Roman"/>
          <w:bCs/>
          <w:i/>
          <w:sz w:val="18"/>
          <w:szCs w:val="18"/>
          <w:lang w:val="ro-MD"/>
        </w:rPr>
        <w:t xml:space="preserve"> Bilanțul contabil și rapoartele privin</w:t>
      </w:r>
      <w:r w:rsidR="00AF09E4" w:rsidRPr="0080251F">
        <w:rPr>
          <w:rFonts w:ascii="Times New Roman" w:hAnsi="Times New Roman" w:cs="Times New Roman"/>
          <w:bCs/>
          <w:i/>
          <w:sz w:val="18"/>
          <w:szCs w:val="18"/>
          <w:lang w:val="ro-MD"/>
        </w:rPr>
        <w:t>d situațiile financiare anuale.</w:t>
      </w:r>
    </w:p>
    <w:p w14:paraId="26874781" w14:textId="77777777" w:rsidR="00516ED3" w:rsidRPr="0080251F" w:rsidRDefault="00516ED3" w:rsidP="00516ED3">
      <w:pPr>
        <w:pStyle w:val="1"/>
        <w:spacing w:line="276" w:lineRule="auto"/>
        <w:rPr>
          <w:rFonts w:ascii="Times New Roman" w:hAnsi="Times New Roman" w:cs="Times New Roman"/>
          <w:b/>
          <w:sz w:val="24"/>
          <w:szCs w:val="24"/>
          <w:lang w:val="ro-MD"/>
        </w:rPr>
      </w:pPr>
    </w:p>
    <w:p w14:paraId="5BB33D3B" w14:textId="77777777" w:rsidR="00516ED3" w:rsidRPr="0080251F" w:rsidRDefault="00516ED3" w:rsidP="00516ED3">
      <w:pPr>
        <w:pStyle w:val="1"/>
        <w:spacing w:line="276" w:lineRule="auto"/>
        <w:rPr>
          <w:rFonts w:ascii="Times New Roman" w:hAnsi="Times New Roman" w:cs="Times New Roman"/>
          <w:b/>
          <w:sz w:val="24"/>
          <w:szCs w:val="24"/>
          <w:lang w:val="ro-MD"/>
        </w:rPr>
      </w:pPr>
    </w:p>
    <w:p w14:paraId="34D74DBD" w14:textId="2FE77FB2" w:rsidR="00BB4F94" w:rsidRPr="0080251F" w:rsidRDefault="00BB4F94" w:rsidP="00BB4F94">
      <w:pPr>
        <w:rPr>
          <w:lang w:val="ro-MD"/>
        </w:rPr>
        <w:sectPr w:rsidR="00BB4F94" w:rsidRPr="0080251F" w:rsidSect="00CA6023">
          <w:pgSz w:w="12240" w:h="15840"/>
          <w:pgMar w:top="851" w:right="851" w:bottom="851" w:left="1701" w:header="709" w:footer="709" w:gutter="0"/>
          <w:cols w:space="708"/>
          <w:docGrid w:linePitch="360"/>
        </w:sectPr>
      </w:pPr>
    </w:p>
    <w:p w14:paraId="4AC61B28" w14:textId="052802F9" w:rsidR="00F746CF" w:rsidRPr="0080251F" w:rsidRDefault="00F746CF" w:rsidP="00126D73">
      <w:pPr>
        <w:pStyle w:val="1"/>
        <w:spacing w:line="276" w:lineRule="auto"/>
        <w:jc w:val="right"/>
        <w:rPr>
          <w:rFonts w:ascii="Times New Roman" w:hAnsi="Times New Roman" w:cs="Times New Roman"/>
          <w:b/>
          <w:sz w:val="24"/>
          <w:szCs w:val="24"/>
          <w:lang w:val="ro-MD"/>
        </w:rPr>
      </w:pPr>
      <w:bookmarkStart w:id="33" w:name="_Toc161169706"/>
      <w:r w:rsidRPr="0080251F">
        <w:rPr>
          <w:rFonts w:ascii="Times New Roman" w:hAnsi="Times New Roman" w:cs="Times New Roman"/>
          <w:b/>
          <w:sz w:val="24"/>
          <w:szCs w:val="24"/>
          <w:lang w:val="ro-MD"/>
        </w:rPr>
        <w:t xml:space="preserve">Anexa </w:t>
      </w:r>
      <w:r w:rsidR="00D55719" w:rsidRPr="0080251F">
        <w:rPr>
          <w:rFonts w:ascii="Times New Roman" w:hAnsi="Times New Roman" w:cs="Times New Roman"/>
          <w:b/>
          <w:sz w:val="24"/>
          <w:szCs w:val="24"/>
          <w:lang w:val="ro-MD"/>
        </w:rPr>
        <w:t>nr.4</w:t>
      </w:r>
      <w:bookmarkEnd w:id="33"/>
    </w:p>
    <w:p w14:paraId="55BA4E61" w14:textId="57498ED5" w:rsidR="0016481D" w:rsidRPr="0080251F" w:rsidRDefault="0016481D" w:rsidP="00126D73">
      <w:pPr>
        <w:spacing w:line="276" w:lineRule="auto"/>
        <w:jc w:val="center"/>
        <w:rPr>
          <w:rFonts w:ascii="Times New Roman" w:hAnsi="Times New Roman" w:cs="Times New Roman"/>
          <w:b/>
          <w:i/>
          <w:sz w:val="24"/>
          <w:szCs w:val="24"/>
          <w:lang w:val="ro-MD"/>
        </w:rPr>
      </w:pPr>
      <w:r w:rsidRPr="0080251F">
        <w:rPr>
          <w:rFonts w:ascii="Times New Roman" w:hAnsi="Times New Roman" w:cs="Times New Roman"/>
          <w:b/>
          <w:sz w:val="24"/>
          <w:szCs w:val="24"/>
          <w:lang w:val="ro-MD"/>
        </w:rPr>
        <w:t xml:space="preserve">Sfera și abordarea auditului </w:t>
      </w:r>
    </w:p>
    <w:p w14:paraId="675DCD9B" w14:textId="77777777" w:rsidR="0016481D" w:rsidRPr="0080251F" w:rsidRDefault="0016481D" w:rsidP="009D7578">
      <w:pPr>
        <w:spacing w:after="0" w:line="276" w:lineRule="auto"/>
        <w:ind w:firstLine="709"/>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Mandatul legal și scopul auditului</w:t>
      </w:r>
    </w:p>
    <w:p w14:paraId="38600AF3" w14:textId="7893F60A" w:rsidR="0016481D" w:rsidRPr="0080251F" w:rsidRDefault="007D188E" w:rsidP="009002D2">
      <w:pPr>
        <w:spacing w:after="0" w:line="276" w:lineRule="auto"/>
        <w:ind w:firstLine="709"/>
        <w:jc w:val="both"/>
        <w:rPr>
          <w:rFonts w:ascii="Times New Roman" w:hAnsi="Times New Roman" w:cs="Times New Roman"/>
          <w:sz w:val="24"/>
          <w:szCs w:val="24"/>
          <w:shd w:val="clear" w:color="auto" w:fill="FFFFFF"/>
          <w:lang w:val="ro-MD"/>
        </w:rPr>
      </w:pPr>
      <w:r w:rsidRPr="0080251F">
        <w:rPr>
          <w:rFonts w:ascii="Times New Roman" w:hAnsi="Times New Roman" w:cs="Times New Roman"/>
          <w:sz w:val="24"/>
          <w:szCs w:val="24"/>
          <w:shd w:val="clear" w:color="auto" w:fill="FFFFFF"/>
          <w:lang w:val="ro-MD"/>
        </w:rPr>
        <w:t>Misiunea de audit public extern s-a desfășurat în temeiul art.5, art.31 și art.32 din Legea privind organizarea și funcționarea Curții de Conturi a Republicii Moldova</w:t>
      </w:r>
      <w:r w:rsidR="00CB0344" w:rsidRPr="0080251F">
        <w:rPr>
          <w:rStyle w:val="a5"/>
          <w:rFonts w:ascii="Times New Roman" w:hAnsi="Times New Roman" w:cs="Times New Roman"/>
          <w:sz w:val="24"/>
          <w:szCs w:val="24"/>
          <w:shd w:val="clear" w:color="auto" w:fill="FFFFFF"/>
          <w:lang w:val="ro-MD"/>
        </w:rPr>
        <w:footnoteReference w:id="157"/>
      </w:r>
      <w:r w:rsidRPr="0080251F">
        <w:rPr>
          <w:rFonts w:ascii="Times New Roman" w:hAnsi="Times New Roman" w:cs="Times New Roman"/>
          <w:sz w:val="24"/>
          <w:szCs w:val="24"/>
          <w:shd w:val="clear" w:color="auto" w:fill="FFFFFF"/>
          <w:lang w:val="ro-MD"/>
        </w:rPr>
        <w:t xml:space="preserve"> și în conformitate cu Program</w:t>
      </w:r>
      <w:r w:rsidR="009002D2" w:rsidRPr="0080251F">
        <w:rPr>
          <w:rFonts w:ascii="Times New Roman" w:hAnsi="Times New Roman" w:cs="Times New Roman"/>
          <w:sz w:val="24"/>
          <w:szCs w:val="24"/>
          <w:shd w:val="clear" w:color="auto" w:fill="FFFFFF"/>
          <w:lang w:val="ro-MD"/>
        </w:rPr>
        <w:t>e</w:t>
      </w:r>
      <w:r w:rsidRPr="0080251F">
        <w:rPr>
          <w:rFonts w:ascii="Times New Roman" w:hAnsi="Times New Roman" w:cs="Times New Roman"/>
          <w:sz w:val="24"/>
          <w:szCs w:val="24"/>
          <w:shd w:val="clear" w:color="auto" w:fill="FFFFFF"/>
          <w:lang w:val="ro-MD"/>
        </w:rPr>
        <w:t>l</w:t>
      </w:r>
      <w:r w:rsidR="009002D2" w:rsidRPr="0080251F">
        <w:rPr>
          <w:rFonts w:ascii="Times New Roman" w:hAnsi="Times New Roman" w:cs="Times New Roman"/>
          <w:sz w:val="24"/>
          <w:szCs w:val="24"/>
          <w:shd w:val="clear" w:color="auto" w:fill="FFFFFF"/>
          <w:lang w:val="ro-MD"/>
        </w:rPr>
        <w:t>e</w:t>
      </w:r>
      <w:r w:rsidRPr="0080251F">
        <w:rPr>
          <w:rFonts w:ascii="Times New Roman" w:hAnsi="Times New Roman" w:cs="Times New Roman"/>
          <w:sz w:val="24"/>
          <w:szCs w:val="24"/>
          <w:shd w:val="clear" w:color="auto" w:fill="FFFFFF"/>
          <w:lang w:val="ro-MD"/>
        </w:rPr>
        <w:t xml:space="preserve"> activității de audit a Curții de Conturi pe an</w:t>
      </w:r>
      <w:r w:rsidR="009002D2" w:rsidRPr="0080251F">
        <w:rPr>
          <w:rFonts w:ascii="Times New Roman" w:hAnsi="Times New Roman" w:cs="Times New Roman"/>
          <w:sz w:val="24"/>
          <w:szCs w:val="24"/>
          <w:shd w:val="clear" w:color="auto" w:fill="FFFFFF"/>
          <w:lang w:val="ro-MD"/>
        </w:rPr>
        <w:t>ii</w:t>
      </w:r>
      <w:r w:rsidRPr="0080251F">
        <w:rPr>
          <w:rFonts w:ascii="Times New Roman" w:hAnsi="Times New Roman" w:cs="Times New Roman"/>
          <w:sz w:val="24"/>
          <w:szCs w:val="24"/>
          <w:shd w:val="clear" w:color="auto" w:fill="FFFFFF"/>
          <w:lang w:val="ro-MD"/>
        </w:rPr>
        <w:t xml:space="preserve"> 2023</w:t>
      </w:r>
      <w:r w:rsidRPr="0080251F">
        <w:rPr>
          <w:rFonts w:ascii="Times New Roman" w:hAnsi="Times New Roman" w:cs="Times New Roman"/>
          <w:sz w:val="24"/>
          <w:szCs w:val="24"/>
          <w:shd w:val="clear" w:color="auto" w:fill="FFFFFF"/>
          <w:vertAlign w:val="superscript"/>
          <w:lang w:val="ro-MD"/>
        </w:rPr>
        <w:footnoteReference w:id="158"/>
      </w:r>
      <w:r w:rsidR="009002D2" w:rsidRPr="0080251F">
        <w:rPr>
          <w:rFonts w:ascii="Times New Roman" w:hAnsi="Times New Roman" w:cs="Times New Roman"/>
          <w:sz w:val="24"/>
          <w:szCs w:val="24"/>
          <w:shd w:val="clear" w:color="auto" w:fill="FFFFFF"/>
          <w:lang w:val="ro-MD"/>
        </w:rPr>
        <w:t xml:space="preserve"> și 2024</w:t>
      </w:r>
      <w:r w:rsidR="009002D2" w:rsidRPr="0080251F">
        <w:rPr>
          <w:rStyle w:val="a5"/>
          <w:rFonts w:ascii="Times New Roman" w:hAnsi="Times New Roman" w:cs="Times New Roman"/>
          <w:sz w:val="24"/>
          <w:szCs w:val="24"/>
          <w:shd w:val="clear" w:color="auto" w:fill="FFFFFF"/>
          <w:lang w:val="ro-MD"/>
        </w:rPr>
        <w:footnoteReference w:id="159"/>
      </w:r>
      <w:r w:rsidRPr="0080251F">
        <w:rPr>
          <w:rFonts w:ascii="Times New Roman" w:hAnsi="Times New Roman" w:cs="Times New Roman"/>
          <w:sz w:val="24"/>
          <w:szCs w:val="24"/>
          <w:shd w:val="clear" w:color="auto" w:fill="FFFFFF"/>
          <w:lang w:val="ro-MD"/>
        </w:rPr>
        <w:t xml:space="preserve">, în scopul </w:t>
      </w:r>
      <w:r w:rsidR="00FF0088" w:rsidRPr="0080251F">
        <w:rPr>
          <w:rFonts w:ascii="Times New Roman" w:hAnsi="Times New Roman" w:cs="Times New Roman"/>
          <w:sz w:val="24"/>
          <w:szCs w:val="24"/>
          <w:shd w:val="clear" w:color="auto" w:fill="FFFFFF"/>
          <w:lang w:val="ro-MD"/>
        </w:rPr>
        <w:t xml:space="preserve">evaluării </w:t>
      </w:r>
      <w:r w:rsidRPr="0080251F">
        <w:rPr>
          <w:rFonts w:ascii="Times New Roman" w:hAnsi="Times New Roman" w:cs="Times New Roman"/>
          <w:sz w:val="24"/>
          <w:szCs w:val="24"/>
          <w:shd w:val="clear" w:color="auto" w:fill="FFFFFF"/>
          <w:lang w:val="ro-MD"/>
        </w:rPr>
        <w:t>conformității gestionării patrimoniului și a resurselor financiare publice de către S.A. „RED-Nord” în ani</w:t>
      </w:r>
      <w:r w:rsidR="00FF0088" w:rsidRPr="0080251F">
        <w:rPr>
          <w:rFonts w:ascii="Times New Roman" w:hAnsi="Times New Roman" w:cs="Times New Roman"/>
          <w:sz w:val="24"/>
          <w:szCs w:val="24"/>
          <w:shd w:val="clear" w:color="auto" w:fill="FFFFFF"/>
          <w:lang w:val="ro-MD"/>
        </w:rPr>
        <w:t>i</w:t>
      </w:r>
      <w:r w:rsidRPr="0080251F">
        <w:rPr>
          <w:rFonts w:ascii="Times New Roman" w:hAnsi="Times New Roman" w:cs="Times New Roman"/>
          <w:sz w:val="24"/>
          <w:szCs w:val="24"/>
          <w:shd w:val="clear" w:color="auto" w:fill="FFFFFF"/>
          <w:lang w:val="ro-MD"/>
        </w:rPr>
        <w:t xml:space="preserve"> 2021-2022, în raport cu criteriile de reglementare de ordin normativ</w:t>
      </w:r>
      <w:r w:rsidR="0016481D" w:rsidRPr="0080251F">
        <w:rPr>
          <w:rFonts w:ascii="Times New Roman" w:hAnsi="Times New Roman" w:cs="Times New Roman"/>
          <w:sz w:val="24"/>
          <w:szCs w:val="24"/>
          <w:shd w:val="clear" w:color="auto" w:fill="FFFFFF"/>
          <w:lang w:val="ro-MD"/>
        </w:rPr>
        <w:t>.</w:t>
      </w:r>
    </w:p>
    <w:p w14:paraId="5790CF90" w14:textId="77777777" w:rsidR="0016481D" w:rsidRPr="0080251F" w:rsidRDefault="0016481D" w:rsidP="009D7578">
      <w:pPr>
        <w:spacing w:after="0" w:line="276" w:lineRule="auto"/>
        <w:ind w:firstLine="709"/>
        <w:jc w:val="both"/>
        <w:rPr>
          <w:rFonts w:ascii="Times New Roman" w:hAnsi="Times New Roman" w:cs="Times New Roman"/>
          <w:sz w:val="24"/>
          <w:szCs w:val="24"/>
          <w:shd w:val="clear" w:color="auto" w:fill="FFFFFF"/>
          <w:lang w:val="ro-MD"/>
        </w:rPr>
      </w:pPr>
      <w:r w:rsidRPr="0080251F">
        <w:rPr>
          <w:rFonts w:ascii="Times New Roman" w:hAnsi="Times New Roman" w:cs="Times New Roman"/>
          <w:sz w:val="24"/>
          <w:szCs w:val="24"/>
          <w:lang w:val="ro-MD"/>
        </w:rPr>
        <w:t>Pentru atingerea scopului propus, au fost stabilite următoarele obiective specifice:</w:t>
      </w:r>
    </w:p>
    <w:p w14:paraId="48C70B2A" w14:textId="77777777" w:rsidR="005E0E44" w:rsidRPr="0080251F" w:rsidRDefault="005E0E44" w:rsidP="00FA6F23">
      <w:pPr>
        <w:numPr>
          <w:ilvl w:val="0"/>
          <w:numId w:val="3"/>
        </w:numPr>
        <w:tabs>
          <w:tab w:val="left" w:pos="0"/>
          <w:tab w:val="left" w:pos="851"/>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bCs/>
          <w:iCs/>
          <w:sz w:val="24"/>
          <w:szCs w:val="24"/>
          <w:lang w:val="ro-MD"/>
        </w:rPr>
        <w:t>S.A. „RED-Nord” a asigurat gestionarea și raportarea conformă a imobilizărilor (ne)corporale?</w:t>
      </w:r>
    </w:p>
    <w:p w14:paraId="17041F28" w14:textId="77777777" w:rsidR="005E0E44" w:rsidRPr="0080251F" w:rsidRDefault="005E0E44" w:rsidP="00FA6F23">
      <w:pPr>
        <w:numPr>
          <w:ilvl w:val="0"/>
          <w:numId w:val="3"/>
        </w:numPr>
        <w:tabs>
          <w:tab w:val="left" w:pos="0"/>
          <w:tab w:val="left" w:pos="851"/>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bCs/>
          <w:iCs/>
          <w:sz w:val="24"/>
          <w:szCs w:val="24"/>
          <w:lang w:val="ro-MD"/>
        </w:rPr>
        <w:t>S.A. „RED-Nord” a asigurat gestionarea și raportarea conformă a stocurilor de materiale?</w:t>
      </w:r>
    </w:p>
    <w:p w14:paraId="142BED4B" w14:textId="5E975182" w:rsidR="005E0E44" w:rsidRPr="0080251F" w:rsidRDefault="005E0E44" w:rsidP="00FA6F23">
      <w:pPr>
        <w:numPr>
          <w:ilvl w:val="0"/>
          <w:numId w:val="3"/>
        </w:numPr>
        <w:tabs>
          <w:tab w:val="left" w:pos="0"/>
          <w:tab w:val="left" w:pos="709"/>
          <w:tab w:val="left" w:pos="851"/>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bCs/>
          <w:iCs/>
          <w:sz w:val="24"/>
          <w:szCs w:val="24"/>
          <w:lang w:val="ro-MD"/>
        </w:rPr>
        <w:t xml:space="preserve">S.A. „RED-Nord” a </w:t>
      </w:r>
      <w:r w:rsidR="00913343" w:rsidRPr="0080251F">
        <w:rPr>
          <w:rFonts w:ascii="Times New Roman" w:hAnsi="Times New Roman" w:cs="Times New Roman"/>
          <w:bCs/>
          <w:iCs/>
          <w:sz w:val="24"/>
          <w:szCs w:val="24"/>
          <w:lang w:val="ro-MD"/>
        </w:rPr>
        <w:t>gestionat</w:t>
      </w:r>
      <w:r w:rsidRPr="0080251F">
        <w:rPr>
          <w:rFonts w:ascii="Times New Roman" w:hAnsi="Times New Roman" w:cs="Times New Roman"/>
          <w:bCs/>
          <w:iCs/>
          <w:sz w:val="24"/>
          <w:szCs w:val="24"/>
          <w:lang w:val="ro-MD"/>
        </w:rPr>
        <w:t xml:space="preserve"> conform creanțel</w:t>
      </w:r>
      <w:r w:rsidR="00913343" w:rsidRPr="0080251F">
        <w:rPr>
          <w:rFonts w:ascii="Times New Roman" w:hAnsi="Times New Roman" w:cs="Times New Roman"/>
          <w:bCs/>
          <w:iCs/>
          <w:sz w:val="24"/>
          <w:szCs w:val="24"/>
          <w:lang w:val="ro-MD"/>
        </w:rPr>
        <w:t>e</w:t>
      </w:r>
      <w:r w:rsidRPr="0080251F">
        <w:rPr>
          <w:rFonts w:ascii="Times New Roman" w:hAnsi="Times New Roman" w:cs="Times New Roman"/>
          <w:bCs/>
          <w:iCs/>
          <w:sz w:val="24"/>
          <w:szCs w:val="24"/>
          <w:lang w:val="ro-MD"/>
        </w:rPr>
        <w:t xml:space="preserve"> și datoriil</w:t>
      </w:r>
      <w:r w:rsidR="00913343" w:rsidRPr="0080251F">
        <w:rPr>
          <w:rFonts w:ascii="Times New Roman" w:hAnsi="Times New Roman" w:cs="Times New Roman"/>
          <w:bCs/>
          <w:iCs/>
          <w:sz w:val="24"/>
          <w:szCs w:val="24"/>
          <w:lang w:val="ro-MD"/>
        </w:rPr>
        <w:t>e</w:t>
      </w:r>
      <w:r w:rsidRPr="0080251F">
        <w:rPr>
          <w:rFonts w:ascii="Times New Roman" w:hAnsi="Times New Roman" w:cs="Times New Roman"/>
          <w:bCs/>
          <w:iCs/>
          <w:sz w:val="24"/>
          <w:szCs w:val="24"/>
          <w:lang w:val="ro-MD"/>
        </w:rPr>
        <w:t xml:space="preserve"> existente?</w:t>
      </w:r>
    </w:p>
    <w:p w14:paraId="743B0CB7" w14:textId="77777777" w:rsidR="005E0E44" w:rsidRPr="0080251F" w:rsidRDefault="005E0E44" w:rsidP="00FA6F23">
      <w:pPr>
        <w:numPr>
          <w:ilvl w:val="0"/>
          <w:numId w:val="3"/>
        </w:numPr>
        <w:tabs>
          <w:tab w:val="left" w:pos="0"/>
          <w:tab w:val="left" w:pos="851"/>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bCs/>
          <w:iCs/>
          <w:sz w:val="24"/>
          <w:szCs w:val="24"/>
          <w:lang w:val="ro-MD"/>
        </w:rPr>
        <w:t>Plățile salariale la S.A. „RED-Nord” au fost determinate și achitate în conformitate cu cadrul normativ?</w:t>
      </w:r>
    </w:p>
    <w:p w14:paraId="1863CAB5" w14:textId="648A02BC" w:rsidR="005E0E44" w:rsidRPr="0080251F" w:rsidRDefault="005E0E44" w:rsidP="00FA6F23">
      <w:pPr>
        <w:numPr>
          <w:ilvl w:val="0"/>
          <w:numId w:val="3"/>
        </w:numPr>
        <w:tabs>
          <w:tab w:val="left" w:pos="0"/>
          <w:tab w:val="left" w:pos="851"/>
        </w:tabs>
        <w:spacing w:after="0" w:line="276" w:lineRule="auto"/>
        <w:ind w:left="0" w:firstLine="709"/>
        <w:jc w:val="both"/>
        <w:rPr>
          <w:rFonts w:ascii="Times New Roman" w:hAnsi="Times New Roman" w:cs="Times New Roman"/>
          <w:b/>
          <w:bCs/>
          <w:i/>
          <w:iCs/>
          <w:sz w:val="24"/>
          <w:szCs w:val="24"/>
          <w:lang w:val="ro-MD"/>
        </w:rPr>
      </w:pPr>
      <w:r w:rsidRPr="0080251F">
        <w:rPr>
          <w:rFonts w:ascii="Times New Roman" w:hAnsi="Times New Roman" w:cs="Times New Roman"/>
          <w:bCs/>
          <w:iCs/>
          <w:sz w:val="24"/>
          <w:szCs w:val="24"/>
          <w:lang w:val="ro-MD"/>
        </w:rPr>
        <w:t>S.A. „RED-Nord” a respectat prevederile cadrului normativ la executare</w:t>
      </w:r>
      <w:r w:rsidR="00FF0088" w:rsidRPr="0080251F">
        <w:rPr>
          <w:rFonts w:ascii="Times New Roman" w:hAnsi="Times New Roman" w:cs="Times New Roman"/>
          <w:bCs/>
          <w:iCs/>
          <w:sz w:val="24"/>
          <w:szCs w:val="24"/>
          <w:lang w:val="ro-MD"/>
        </w:rPr>
        <w:t>a</w:t>
      </w:r>
      <w:r w:rsidRPr="0080251F">
        <w:rPr>
          <w:rFonts w:ascii="Times New Roman" w:hAnsi="Times New Roman" w:cs="Times New Roman"/>
          <w:bCs/>
          <w:iCs/>
          <w:sz w:val="24"/>
          <w:szCs w:val="24"/>
          <w:lang w:val="ro-MD"/>
        </w:rPr>
        <w:t xml:space="preserve"> procedurilor privind achiziționarea bunurilor, serviciilor și lucrărilor?</w:t>
      </w:r>
    </w:p>
    <w:p w14:paraId="47644FE7" w14:textId="4FF3CF6E" w:rsidR="005E0E44" w:rsidRPr="0080251F" w:rsidRDefault="005E0E44" w:rsidP="00FA6F23">
      <w:pPr>
        <w:numPr>
          <w:ilvl w:val="0"/>
          <w:numId w:val="3"/>
        </w:numPr>
        <w:tabs>
          <w:tab w:val="left" w:pos="0"/>
          <w:tab w:val="left" w:pos="851"/>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bCs/>
          <w:iCs/>
          <w:sz w:val="24"/>
          <w:szCs w:val="24"/>
          <w:lang w:val="ro-MD"/>
        </w:rPr>
        <w:t>S.A. „RED-Nord</w:t>
      </w:r>
      <w:r w:rsidR="00565B1D" w:rsidRPr="0080251F">
        <w:rPr>
          <w:rFonts w:ascii="Times New Roman" w:hAnsi="Times New Roman" w:cs="Times New Roman"/>
          <w:bCs/>
          <w:iCs/>
          <w:sz w:val="24"/>
          <w:szCs w:val="24"/>
          <w:lang w:val="ro-MD"/>
        </w:rPr>
        <w:t>”</w:t>
      </w:r>
      <w:r w:rsidRPr="0080251F">
        <w:rPr>
          <w:rFonts w:ascii="Times New Roman" w:hAnsi="Times New Roman" w:cs="Times New Roman"/>
          <w:bCs/>
          <w:iCs/>
          <w:sz w:val="24"/>
          <w:szCs w:val="24"/>
          <w:lang w:val="ro-MD"/>
        </w:rPr>
        <w:t xml:space="preserve"> a asigurat planificarea și executarea conformă a investițiilor?</w:t>
      </w:r>
    </w:p>
    <w:p w14:paraId="1FB1518D" w14:textId="77777777" w:rsidR="009426A9" w:rsidRPr="0080251F" w:rsidRDefault="009426A9" w:rsidP="00FA6F23">
      <w:pPr>
        <w:numPr>
          <w:ilvl w:val="0"/>
          <w:numId w:val="3"/>
        </w:numPr>
        <w:tabs>
          <w:tab w:val="left" w:pos="426"/>
          <w:tab w:val="left" w:pos="851"/>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bCs/>
          <w:iCs/>
          <w:sz w:val="24"/>
          <w:szCs w:val="24"/>
          <w:lang w:val="ro-MD"/>
        </w:rPr>
        <w:t>S.A. „RED-Nord” a asigurat gestionarea și raportarea conformă a costurilor reglementate prin tarif?</w:t>
      </w:r>
    </w:p>
    <w:p w14:paraId="70926476" w14:textId="77777777" w:rsidR="009426A9" w:rsidRPr="0080251F" w:rsidRDefault="009426A9" w:rsidP="00FA6F23">
      <w:pPr>
        <w:numPr>
          <w:ilvl w:val="0"/>
          <w:numId w:val="3"/>
        </w:numPr>
        <w:tabs>
          <w:tab w:val="left" w:pos="426"/>
          <w:tab w:val="left" w:pos="851"/>
        </w:tabs>
        <w:spacing w:after="0" w:line="276" w:lineRule="auto"/>
        <w:ind w:left="0" w:firstLine="709"/>
        <w:jc w:val="both"/>
        <w:rPr>
          <w:rFonts w:ascii="Times New Roman" w:hAnsi="Times New Roman" w:cs="Times New Roman"/>
          <w:bCs/>
          <w:i/>
          <w:iCs/>
          <w:sz w:val="24"/>
          <w:szCs w:val="24"/>
          <w:lang w:val="ro-MD"/>
        </w:rPr>
      </w:pPr>
      <w:r w:rsidRPr="0080251F">
        <w:rPr>
          <w:rFonts w:ascii="Times New Roman" w:hAnsi="Times New Roman" w:cs="Times New Roman"/>
          <w:bCs/>
          <w:iCs/>
          <w:sz w:val="24"/>
          <w:szCs w:val="24"/>
          <w:lang w:val="ro-MD"/>
        </w:rPr>
        <w:t>Cheltuielile din profitul net au fost conforme sau oportune în raport cu domeniile de activitate statutare?</w:t>
      </w:r>
    </w:p>
    <w:p w14:paraId="401698E3" w14:textId="77777777" w:rsidR="0016481D" w:rsidRPr="0080251F" w:rsidRDefault="0016481D" w:rsidP="009D7578">
      <w:pPr>
        <w:tabs>
          <w:tab w:val="left" w:pos="426"/>
        </w:tabs>
        <w:spacing w:after="0" w:line="276" w:lineRule="auto"/>
        <w:ind w:firstLine="709"/>
        <w:rPr>
          <w:rFonts w:ascii="Times New Roman" w:hAnsi="Times New Roman" w:cs="Times New Roman"/>
          <w:b/>
          <w:bCs/>
          <w:sz w:val="24"/>
          <w:szCs w:val="24"/>
          <w:lang w:val="ro-MD"/>
        </w:rPr>
      </w:pPr>
      <w:r w:rsidRPr="0080251F">
        <w:rPr>
          <w:rFonts w:ascii="Times New Roman" w:hAnsi="Times New Roman" w:cs="Times New Roman"/>
          <w:b/>
          <w:bCs/>
          <w:sz w:val="24"/>
          <w:szCs w:val="24"/>
          <w:lang w:val="ro-MD"/>
        </w:rPr>
        <w:t>Abordarea auditului</w:t>
      </w:r>
    </w:p>
    <w:p w14:paraId="1B8BE867" w14:textId="77777777" w:rsidR="007D188E" w:rsidRPr="0080251F" w:rsidRDefault="007D188E" w:rsidP="009D7578">
      <w:pPr>
        <w:tabs>
          <w:tab w:val="left" w:pos="709"/>
        </w:tabs>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Misiunea de audit public extern s-a desfășurat în conformitate cu Standardele Internaționale ale Instituțiilor Supreme de Audit (ISSAI 100, ISSAI 400 și ISSAI 4000)</w:t>
      </w:r>
      <w:r w:rsidRPr="0080251F">
        <w:rPr>
          <w:rFonts w:ascii="Times New Roman" w:eastAsia="Times New Roman" w:hAnsi="Times New Roman" w:cs="Times New Roman"/>
          <w:sz w:val="24"/>
          <w:szCs w:val="24"/>
          <w:vertAlign w:val="superscript"/>
          <w:lang w:val="ro-MD"/>
        </w:rPr>
        <w:footnoteReference w:id="160"/>
      </w:r>
      <w:r w:rsidRPr="0080251F">
        <w:rPr>
          <w:rFonts w:ascii="Times New Roman" w:eastAsia="Times New Roman" w:hAnsi="Times New Roman" w:cs="Times New Roman"/>
          <w:sz w:val="24"/>
          <w:szCs w:val="24"/>
          <w:lang w:val="ro-MD"/>
        </w:rPr>
        <w:t xml:space="preserve"> și cu cadrul normativ-metodologic instituțional aferent, aplicate de Curtea de Conturi.</w:t>
      </w:r>
    </w:p>
    <w:p w14:paraId="615F72AF" w14:textId="77777777" w:rsidR="007D188E" w:rsidRPr="0080251F" w:rsidRDefault="007D188E" w:rsidP="009D7578">
      <w:pPr>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Abordarea auditului public extern s-a bazat pe riscuri, fapt ce presupune orientarea activității de audit asupra acelor procese din cadrul S.A. „RED-Nord”, care sunt predispuse unor neconformități semnificative. Angajamentul auditului a fost cel de raportare directă. Prin urmare, procesele auditate au fost evaluate în raport cu criteriile de audit extrase din prevederile cadrului normativ aplicabil, iar asigurarea limitată oferită ne permite, în baza constatărilor susținute de probele de audit, să formulăm concluzia generală.</w:t>
      </w:r>
    </w:p>
    <w:p w14:paraId="77EE26BD" w14:textId="0D5B8678" w:rsidR="008A3382" w:rsidRPr="0080251F" w:rsidRDefault="007D188E" w:rsidP="009D7578">
      <w:pPr>
        <w:spacing w:after="0" w:line="276" w:lineRule="auto"/>
        <w:ind w:firstLine="709"/>
        <w:jc w:val="both"/>
        <w:rPr>
          <w:rFonts w:ascii="Times New Roman" w:eastAsia="Times New Roman" w:hAnsi="Times New Roman" w:cs="Times New Roman"/>
          <w:sz w:val="24"/>
          <w:szCs w:val="24"/>
          <w:lang w:val="ro-MD"/>
        </w:rPr>
      </w:pPr>
      <w:r w:rsidRPr="0080251F">
        <w:rPr>
          <w:rFonts w:ascii="Times New Roman" w:eastAsia="Times New Roman" w:hAnsi="Times New Roman" w:cs="Times New Roman"/>
          <w:sz w:val="24"/>
          <w:szCs w:val="24"/>
          <w:lang w:val="ro-MD"/>
        </w:rPr>
        <w:t xml:space="preserve">Probele de audit au fost colectate la fața locului, prin examinarea proceselor-verbale și deciziilor organelor de conducere, dosarelor și documentelor primare, analiza informațiilor financiare și nefinanciare, recalcularea și contrapunerea datelor, observarea directă, precum și prin intervievarea persoanelor responsabile din cadrul entității auditate. </w:t>
      </w:r>
    </w:p>
    <w:p w14:paraId="0B425D00" w14:textId="794F454C" w:rsidR="00126D73" w:rsidRPr="0080251F" w:rsidRDefault="00126D73" w:rsidP="00126D73">
      <w:pPr>
        <w:spacing w:after="0" w:line="276" w:lineRule="auto"/>
        <w:ind w:firstLine="567"/>
        <w:jc w:val="both"/>
        <w:rPr>
          <w:rFonts w:ascii="Times New Roman" w:eastAsia="Times New Roman" w:hAnsi="Times New Roman" w:cs="Times New Roman"/>
          <w:sz w:val="24"/>
          <w:szCs w:val="24"/>
          <w:lang w:val="ro-MD"/>
        </w:rPr>
      </w:pPr>
    </w:p>
    <w:p w14:paraId="712260BA" w14:textId="3C1C63B6" w:rsidR="00FA6EF8" w:rsidRPr="0080251F" w:rsidRDefault="00FA6EF8" w:rsidP="00126D73">
      <w:pPr>
        <w:spacing w:after="0" w:line="276" w:lineRule="auto"/>
        <w:ind w:firstLine="567"/>
        <w:jc w:val="both"/>
        <w:rPr>
          <w:rFonts w:ascii="Times New Roman" w:eastAsia="Times New Roman" w:hAnsi="Times New Roman" w:cs="Times New Roman"/>
          <w:sz w:val="24"/>
          <w:szCs w:val="24"/>
          <w:lang w:val="ro-MD"/>
        </w:rPr>
      </w:pPr>
    </w:p>
    <w:p w14:paraId="282A0965" w14:textId="5464D7C8" w:rsidR="007E1056" w:rsidRPr="0080251F" w:rsidRDefault="007E1056" w:rsidP="00126D73">
      <w:pPr>
        <w:spacing w:after="0" w:line="276" w:lineRule="auto"/>
        <w:ind w:firstLine="567"/>
        <w:jc w:val="both"/>
        <w:rPr>
          <w:rFonts w:ascii="Times New Roman" w:eastAsia="Times New Roman" w:hAnsi="Times New Roman" w:cs="Times New Roman"/>
          <w:sz w:val="24"/>
          <w:szCs w:val="24"/>
          <w:lang w:val="ro-MD"/>
        </w:rPr>
      </w:pPr>
    </w:p>
    <w:p w14:paraId="3BB6E82D" w14:textId="06A5412D" w:rsidR="007E1056" w:rsidRPr="0080251F" w:rsidRDefault="007E1056" w:rsidP="00126D73">
      <w:pPr>
        <w:spacing w:after="0" w:line="276" w:lineRule="auto"/>
        <w:ind w:firstLine="567"/>
        <w:jc w:val="both"/>
        <w:rPr>
          <w:rFonts w:ascii="Times New Roman" w:eastAsia="Times New Roman" w:hAnsi="Times New Roman" w:cs="Times New Roman"/>
          <w:sz w:val="24"/>
          <w:szCs w:val="24"/>
          <w:lang w:val="ro-MD"/>
        </w:rPr>
      </w:pPr>
    </w:p>
    <w:p w14:paraId="0CC213EC" w14:textId="21768AF6" w:rsidR="007E1056" w:rsidRPr="0080251F" w:rsidRDefault="007E1056" w:rsidP="00126D73">
      <w:pPr>
        <w:spacing w:after="0" w:line="276" w:lineRule="auto"/>
        <w:ind w:firstLine="567"/>
        <w:jc w:val="both"/>
        <w:rPr>
          <w:rFonts w:ascii="Times New Roman" w:eastAsia="Times New Roman" w:hAnsi="Times New Roman" w:cs="Times New Roman"/>
          <w:sz w:val="24"/>
          <w:szCs w:val="24"/>
          <w:lang w:val="ro-MD"/>
        </w:rPr>
      </w:pPr>
    </w:p>
    <w:p w14:paraId="5CA43DA0" w14:textId="7DD367C7" w:rsidR="007E1056" w:rsidRPr="0080251F" w:rsidRDefault="007E1056" w:rsidP="004A4F46">
      <w:pPr>
        <w:spacing w:after="0" w:line="276" w:lineRule="auto"/>
        <w:rPr>
          <w:rFonts w:ascii="Times New Roman" w:hAnsi="Times New Roman" w:cs="Times New Roman"/>
          <w:b/>
          <w:sz w:val="24"/>
          <w:szCs w:val="24"/>
          <w:lang w:val="ro-MD"/>
        </w:rPr>
        <w:sectPr w:rsidR="007E1056" w:rsidRPr="0080251F" w:rsidSect="004A4F46">
          <w:footerReference w:type="default" r:id="rId14"/>
          <w:footnotePr>
            <w:numRestart w:val="eachSect"/>
          </w:footnotePr>
          <w:pgSz w:w="11906" w:h="16838" w:code="9"/>
          <w:pgMar w:top="851" w:right="851" w:bottom="851" w:left="1701" w:header="709" w:footer="709" w:gutter="0"/>
          <w:cols w:space="708"/>
          <w:docGrid w:linePitch="360"/>
        </w:sectPr>
      </w:pPr>
    </w:p>
    <w:tbl>
      <w:tblPr>
        <w:tblStyle w:val="TableGrid11111"/>
        <w:tblW w:w="15173" w:type="dxa"/>
        <w:tblInd w:w="-856" w:type="dxa"/>
        <w:tblLayout w:type="fixed"/>
        <w:tblLook w:val="04A0" w:firstRow="1" w:lastRow="0" w:firstColumn="1" w:lastColumn="0" w:noHBand="0" w:noVBand="1"/>
      </w:tblPr>
      <w:tblGrid>
        <w:gridCol w:w="2127"/>
        <w:gridCol w:w="8363"/>
        <w:gridCol w:w="2410"/>
        <w:gridCol w:w="2273"/>
      </w:tblGrid>
      <w:tr w:rsidR="007E784D" w:rsidRPr="0080251F" w14:paraId="6A719FE5" w14:textId="77777777" w:rsidTr="008A1A07">
        <w:trPr>
          <w:trHeight w:val="148"/>
        </w:trPr>
        <w:tc>
          <w:tcPr>
            <w:tcW w:w="2127" w:type="dxa"/>
            <w:shd w:val="clear" w:color="auto" w:fill="DEEAF6" w:themeFill="accent1" w:themeFillTint="33"/>
          </w:tcPr>
          <w:p w14:paraId="5FAE179E" w14:textId="77777777" w:rsidR="007E784D" w:rsidRPr="0080251F" w:rsidRDefault="007E784D" w:rsidP="009A17C7">
            <w:pPr>
              <w:spacing w:line="259" w:lineRule="auto"/>
              <w:jc w:val="center"/>
              <w:rPr>
                <w:rFonts w:ascii="Times New Roman" w:eastAsia="Times New Roman" w:hAnsi="Times New Roman"/>
                <w:b/>
                <w:bCs/>
                <w:color w:val="000000"/>
                <w:sz w:val="18"/>
                <w:szCs w:val="18"/>
                <w:lang w:val="ro-MD"/>
              </w:rPr>
            </w:pPr>
            <w:r w:rsidRPr="0080251F">
              <w:rPr>
                <w:rFonts w:ascii="Times New Roman" w:eastAsia="Times New Roman" w:hAnsi="Times New Roman"/>
                <w:b/>
                <w:bCs/>
                <w:color w:val="000000"/>
                <w:sz w:val="18"/>
                <w:szCs w:val="18"/>
                <w:lang w:val="ro-MD"/>
              </w:rPr>
              <w:t>Paragraful din raport/ referință la riscul testat</w:t>
            </w:r>
          </w:p>
        </w:tc>
        <w:tc>
          <w:tcPr>
            <w:tcW w:w="8363" w:type="dxa"/>
            <w:shd w:val="clear" w:color="auto" w:fill="DEEAF6" w:themeFill="accent1" w:themeFillTint="33"/>
          </w:tcPr>
          <w:p w14:paraId="34CD0036" w14:textId="77777777" w:rsidR="007E784D" w:rsidRPr="0080251F" w:rsidRDefault="007E784D" w:rsidP="009A17C7">
            <w:pPr>
              <w:spacing w:line="259" w:lineRule="auto"/>
              <w:jc w:val="center"/>
              <w:rPr>
                <w:rFonts w:ascii="Times New Roman" w:eastAsia="Times New Roman" w:hAnsi="Times New Roman"/>
                <w:b/>
                <w:bCs/>
                <w:color w:val="000000"/>
                <w:sz w:val="18"/>
                <w:szCs w:val="18"/>
                <w:lang w:val="ro-MD"/>
              </w:rPr>
            </w:pPr>
            <w:r w:rsidRPr="0080251F">
              <w:rPr>
                <w:rFonts w:ascii="Times New Roman" w:hAnsi="Times New Roman"/>
                <w:b/>
                <w:bCs/>
                <w:sz w:val="18"/>
                <w:szCs w:val="18"/>
                <w:lang w:val="ro-MD"/>
              </w:rPr>
              <w:t>Criteriile de audit</w:t>
            </w:r>
          </w:p>
        </w:tc>
        <w:tc>
          <w:tcPr>
            <w:tcW w:w="2410" w:type="dxa"/>
            <w:shd w:val="clear" w:color="auto" w:fill="DEEAF6" w:themeFill="accent1" w:themeFillTint="33"/>
          </w:tcPr>
          <w:p w14:paraId="378DDC1A" w14:textId="77777777" w:rsidR="007E784D" w:rsidRPr="0080251F" w:rsidRDefault="007E784D" w:rsidP="009A17C7">
            <w:pPr>
              <w:spacing w:line="259" w:lineRule="auto"/>
              <w:jc w:val="center"/>
              <w:rPr>
                <w:rFonts w:ascii="Times New Roman" w:eastAsia="Times New Roman" w:hAnsi="Times New Roman"/>
                <w:b/>
                <w:bCs/>
                <w:color w:val="000000"/>
                <w:sz w:val="18"/>
                <w:szCs w:val="18"/>
                <w:lang w:val="ro-MD"/>
              </w:rPr>
            </w:pPr>
            <w:r w:rsidRPr="0080251F">
              <w:rPr>
                <w:rFonts w:ascii="Times New Roman" w:eastAsia="Times New Roman" w:hAnsi="Times New Roman"/>
                <w:b/>
                <w:bCs/>
                <w:color w:val="000000"/>
                <w:sz w:val="18"/>
                <w:szCs w:val="18"/>
                <w:lang w:val="ro-MD"/>
              </w:rPr>
              <w:t>Procedurile de audit planificate</w:t>
            </w:r>
          </w:p>
        </w:tc>
        <w:tc>
          <w:tcPr>
            <w:tcW w:w="2273" w:type="dxa"/>
            <w:shd w:val="clear" w:color="auto" w:fill="DEEAF6" w:themeFill="accent1" w:themeFillTint="33"/>
          </w:tcPr>
          <w:p w14:paraId="5841AC08" w14:textId="77777777" w:rsidR="007E784D" w:rsidRPr="0080251F" w:rsidRDefault="007E784D" w:rsidP="009A17C7">
            <w:pPr>
              <w:spacing w:line="259" w:lineRule="auto"/>
              <w:jc w:val="center"/>
              <w:rPr>
                <w:rFonts w:ascii="Times New Roman" w:eastAsia="Times New Roman" w:hAnsi="Times New Roman"/>
                <w:b/>
                <w:bCs/>
                <w:color w:val="000000"/>
                <w:sz w:val="18"/>
                <w:szCs w:val="18"/>
                <w:lang w:val="ro-MD"/>
              </w:rPr>
            </w:pPr>
            <w:r w:rsidRPr="0080251F">
              <w:rPr>
                <w:rFonts w:ascii="Times New Roman" w:eastAsia="Times New Roman" w:hAnsi="Times New Roman"/>
                <w:b/>
                <w:bCs/>
                <w:color w:val="000000"/>
                <w:sz w:val="18"/>
                <w:szCs w:val="18"/>
                <w:lang w:val="ro-MD"/>
              </w:rPr>
              <w:t>Dimensiunea eșantionului</w:t>
            </w:r>
          </w:p>
        </w:tc>
      </w:tr>
      <w:tr w:rsidR="007E784D" w:rsidRPr="0080251F" w14:paraId="176CBE0E" w14:textId="77777777" w:rsidTr="008A1A07">
        <w:trPr>
          <w:trHeight w:val="59"/>
        </w:trPr>
        <w:tc>
          <w:tcPr>
            <w:tcW w:w="15173" w:type="dxa"/>
            <w:gridSpan w:val="4"/>
            <w:shd w:val="clear" w:color="auto" w:fill="C5E0B3" w:themeFill="accent6" w:themeFillTint="66"/>
          </w:tcPr>
          <w:p w14:paraId="24101119" w14:textId="77777777" w:rsidR="007E784D" w:rsidRPr="0080251F" w:rsidRDefault="007E784D" w:rsidP="009A17C7">
            <w:pPr>
              <w:spacing w:line="259" w:lineRule="auto"/>
              <w:rPr>
                <w:rFonts w:ascii="Times New Roman" w:hAnsi="Times New Roman"/>
                <w:b/>
                <w:sz w:val="18"/>
                <w:szCs w:val="18"/>
                <w:lang w:val="ro-MD"/>
              </w:rPr>
            </w:pPr>
            <w:r w:rsidRPr="0080251F">
              <w:rPr>
                <w:rFonts w:ascii="Times New Roman" w:hAnsi="Times New Roman"/>
                <w:b/>
                <w:sz w:val="18"/>
                <w:szCs w:val="18"/>
                <w:lang w:val="ro-MD"/>
              </w:rPr>
              <w:t xml:space="preserve">Obiectivul 4.1. </w:t>
            </w:r>
            <w:r w:rsidRPr="0080251F">
              <w:rPr>
                <w:rFonts w:ascii="Times New Roman" w:hAnsi="Times New Roman"/>
                <w:b/>
                <w:bCs/>
                <w:iCs/>
                <w:sz w:val="18"/>
                <w:szCs w:val="18"/>
                <w:lang w:val="ro-MD"/>
              </w:rPr>
              <w:t>S.A. „RED-Nord” a asigurat gestionarea și raportarea conformă a imobilizărilor (ne)corporale?</w:t>
            </w:r>
          </w:p>
        </w:tc>
      </w:tr>
      <w:tr w:rsidR="007E784D" w:rsidRPr="0080251F" w14:paraId="7CBC3AFD" w14:textId="77777777" w:rsidTr="008A1A07">
        <w:trPr>
          <w:trHeight w:val="59"/>
        </w:trPr>
        <w:tc>
          <w:tcPr>
            <w:tcW w:w="2127" w:type="dxa"/>
            <w:shd w:val="clear" w:color="auto" w:fill="auto"/>
          </w:tcPr>
          <w:p w14:paraId="41C3EDFC" w14:textId="77777777" w:rsidR="007E784D" w:rsidRPr="0080251F" w:rsidRDefault="007E784D" w:rsidP="009A17C7">
            <w:pPr>
              <w:tabs>
                <w:tab w:val="left" w:pos="318"/>
              </w:tabs>
              <w:spacing w:line="259" w:lineRule="auto"/>
              <w:rPr>
                <w:rFonts w:ascii="Times New Roman" w:eastAsia="Times New Roman" w:hAnsi="Times New Roman"/>
                <w:bCs/>
                <w:color w:val="000000"/>
                <w:sz w:val="18"/>
                <w:szCs w:val="18"/>
                <w:lang w:val="ro-MD"/>
              </w:rPr>
            </w:pPr>
            <w:r w:rsidRPr="0080251F">
              <w:rPr>
                <w:rFonts w:ascii="Times New Roman" w:hAnsi="Times New Roman"/>
                <w:bCs/>
                <w:color w:val="000000" w:themeColor="text1"/>
                <w:sz w:val="18"/>
                <w:szCs w:val="18"/>
                <w:lang w:val="ro-MD"/>
              </w:rPr>
              <w:t>4.1.1. Înregistrarea neconformă a valorii imobilizărilor necorporale și corporale în evidența contabilă.</w:t>
            </w:r>
          </w:p>
        </w:tc>
        <w:tc>
          <w:tcPr>
            <w:tcW w:w="8363" w:type="dxa"/>
            <w:shd w:val="clear" w:color="auto" w:fill="auto"/>
          </w:tcPr>
          <w:p w14:paraId="148DC0A7" w14:textId="77777777" w:rsidR="007E784D" w:rsidRPr="0080251F" w:rsidRDefault="007E784D" w:rsidP="009A17C7">
            <w:pPr>
              <w:spacing w:line="259" w:lineRule="auto"/>
              <w:rPr>
                <w:rFonts w:ascii="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Legea contabilității și raportării financiare nr.287 din 15.12.2017:</w:t>
            </w:r>
            <w:r w:rsidRPr="0080251F">
              <w:rPr>
                <w:rFonts w:ascii="Times New Roman" w:eastAsia="Times New Roman" w:hAnsi="Times New Roman"/>
                <w:bCs/>
                <w:color w:val="000000"/>
                <w:sz w:val="18"/>
                <w:szCs w:val="18"/>
                <w:lang w:val="ro-MD"/>
              </w:rPr>
              <w:t xml:space="preserve"> </w:t>
            </w:r>
            <w:r w:rsidRPr="0080251F">
              <w:rPr>
                <w:rFonts w:ascii="Times New Roman" w:eastAsia="Times New Roman" w:hAnsi="Times New Roman"/>
                <w:b/>
                <w:bCs/>
                <w:color w:val="000000"/>
                <w:sz w:val="18"/>
                <w:szCs w:val="18"/>
                <w:lang w:val="ro-MD"/>
              </w:rPr>
              <w:t>1)</w:t>
            </w:r>
            <w:r w:rsidRPr="0080251F">
              <w:rPr>
                <w:rFonts w:ascii="Times New Roman" w:eastAsia="Times New Roman" w:hAnsi="Times New Roman"/>
                <w:bCs/>
                <w:color w:val="000000"/>
                <w:sz w:val="18"/>
                <w:szCs w:val="18"/>
                <w:lang w:val="ro-MD"/>
              </w:rPr>
              <w:t xml:space="preserve"> </w:t>
            </w:r>
            <w:r w:rsidRPr="0080251F">
              <w:rPr>
                <w:rFonts w:ascii="Times New Roman" w:hAnsi="Times New Roman"/>
                <w:b/>
                <w:bCs/>
                <w:color w:val="000000"/>
                <w:sz w:val="18"/>
                <w:szCs w:val="18"/>
                <w:lang w:val="ro-MD"/>
              </w:rPr>
              <w:t xml:space="preserve">art.6. </w:t>
            </w:r>
            <w:r w:rsidRPr="0080251F">
              <w:rPr>
                <w:rFonts w:ascii="Times New Roman" w:hAnsi="Times New Roman"/>
                <w:bCs/>
                <w:color w:val="000000"/>
                <w:sz w:val="18"/>
                <w:szCs w:val="18"/>
                <w:lang w:val="ro-MD"/>
              </w:rPr>
              <w:t xml:space="preserve">Principii generale - </w:t>
            </w:r>
            <w:r w:rsidRPr="0080251F">
              <w:rPr>
                <w:rFonts w:ascii="Times New Roman" w:eastAsia="Times New Roman" w:hAnsi="Times New Roman"/>
                <w:bCs/>
                <w:color w:val="000000"/>
                <w:sz w:val="18"/>
                <w:szCs w:val="18"/>
                <w:lang w:val="ro-MD"/>
              </w:rPr>
              <w:t>Contabilitatea și raportarea financiară se bazează pe următoarele principii generale:</w:t>
            </w:r>
            <w:r w:rsidRPr="0080251F">
              <w:rPr>
                <w:rFonts w:ascii="Times New Roman" w:hAnsi="Times New Roman"/>
                <w:bCs/>
                <w:color w:val="000000"/>
                <w:sz w:val="18"/>
                <w:szCs w:val="18"/>
                <w:lang w:val="ro-MD"/>
              </w:rPr>
              <w:t xml:space="preserve"> </w:t>
            </w:r>
            <w:r w:rsidRPr="0080251F">
              <w:rPr>
                <w:rFonts w:ascii="Times New Roman" w:eastAsia="Times New Roman" w:hAnsi="Times New Roman"/>
                <w:bCs/>
                <w:color w:val="000000"/>
                <w:sz w:val="18"/>
                <w:szCs w:val="18"/>
                <w:lang w:val="ro-MD"/>
              </w:rPr>
              <w:t xml:space="preserve">b) </w:t>
            </w:r>
            <w:r w:rsidRPr="0080251F">
              <w:rPr>
                <w:rFonts w:ascii="Times New Roman" w:eastAsia="Times New Roman" w:hAnsi="Times New Roman"/>
                <w:bCs/>
                <w:i/>
                <w:iCs/>
                <w:color w:val="000000"/>
                <w:sz w:val="18"/>
                <w:szCs w:val="18"/>
                <w:lang w:val="ro-MD"/>
              </w:rPr>
              <w:t>contabilitatea de angajamente</w:t>
            </w:r>
            <w:r w:rsidRPr="0080251F">
              <w:rPr>
                <w:rFonts w:ascii="Times New Roman" w:eastAsia="Times New Roman" w:hAnsi="Times New Roman"/>
                <w:bCs/>
                <w:color w:val="000000"/>
                <w:sz w:val="18"/>
                <w:szCs w:val="18"/>
                <w:lang w:val="ro-MD"/>
              </w:rPr>
              <w:t xml:space="preserve"> – prevede recunoașterea elementelor contabile pe măsura apariției acestora, indiferent de momentul încasării/plății de numerar sau al compensării sub altă formă; c) </w:t>
            </w:r>
            <w:r w:rsidRPr="0080251F">
              <w:rPr>
                <w:rFonts w:ascii="Times New Roman" w:eastAsia="Times New Roman" w:hAnsi="Times New Roman"/>
                <w:bCs/>
                <w:i/>
                <w:iCs/>
                <w:color w:val="000000"/>
                <w:sz w:val="18"/>
                <w:szCs w:val="18"/>
                <w:lang w:val="ro-MD"/>
              </w:rPr>
              <w:t>permanența metodelor</w:t>
            </w:r>
            <w:r w:rsidRPr="0080251F">
              <w:rPr>
                <w:rFonts w:ascii="Times New Roman" w:eastAsia="Times New Roman" w:hAnsi="Times New Roman"/>
                <w:bCs/>
                <w:color w:val="000000"/>
                <w:sz w:val="18"/>
                <w:szCs w:val="18"/>
                <w:lang w:val="ro-MD"/>
              </w:rPr>
              <w:t xml:space="preserve"> – constă în aplicarea politicilor contabile în mod consecvent de la o perioadă de gestiune la următoarea; </w:t>
            </w:r>
            <w:r w:rsidRPr="0080251F">
              <w:rPr>
                <w:rFonts w:ascii="Times New Roman" w:hAnsi="Times New Roman"/>
                <w:bCs/>
                <w:color w:val="000000"/>
                <w:sz w:val="18"/>
                <w:szCs w:val="18"/>
                <w:lang w:val="ro-MD"/>
              </w:rPr>
              <w:t xml:space="preserve">h) </w:t>
            </w:r>
            <w:r w:rsidRPr="0080251F">
              <w:rPr>
                <w:rFonts w:ascii="Times New Roman" w:hAnsi="Times New Roman"/>
                <w:bCs/>
                <w:i/>
                <w:iCs/>
                <w:color w:val="000000"/>
                <w:sz w:val="18"/>
                <w:szCs w:val="18"/>
                <w:lang w:val="ro-MD"/>
              </w:rPr>
              <w:t>prioritatea conținutului asupra formei</w:t>
            </w:r>
            <w:r w:rsidRPr="0080251F">
              <w:rPr>
                <w:rFonts w:ascii="Times New Roman" w:hAnsi="Times New Roman"/>
                <w:bCs/>
                <w:color w:val="000000"/>
                <w:sz w:val="18"/>
                <w:szCs w:val="18"/>
                <w:lang w:val="ro-MD"/>
              </w:rPr>
              <w:t xml:space="preserve"> – presupune că informațiile prezentate în situațiile financiare trebuie să reflecte mai curând esența și conținutul faptelor economice, decât forma juridică a acestora; </w:t>
            </w:r>
            <w:r w:rsidRPr="0080251F">
              <w:rPr>
                <w:rFonts w:ascii="Times New Roman" w:eastAsia="Times New Roman" w:hAnsi="Times New Roman"/>
                <w:bCs/>
                <w:color w:val="000000"/>
                <w:sz w:val="18"/>
                <w:szCs w:val="18"/>
                <w:lang w:val="ro-MD"/>
              </w:rPr>
              <w:t xml:space="preserve">i) </w:t>
            </w:r>
            <w:r w:rsidRPr="0080251F">
              <w:rPr>
                <w:rFonts w:ascii="Times New Roman" w:eastAsia="Times New Roman" w:hAnsi="Times New Roman"/>
                <w:bCs/>
                <w:i/>
                <w:iCs/>
                <w:color w:val="000000"/>
                <w:sz w:val="18"/>
                <w:szCs w:val="18"/>
                <w:lang w:val="ro-MD"/>
              </w:rPr>
              <w:t>evaluarea la cost de intrare</w:t>
            </w:r>
            <w:r w:rsidRPr="0080251F">
              <w:rPr>
                <w:rFonts w:ascii="Times New Roman" w:eastAsia="Times New Roman" w:hAnsi="Times New Roman"/>
                <w:bCs/>
                <w:color w:val="000000"/>
                <w:sz w:val="18"/>
                <w:szCs w:val="18"/>
                <w:lang w:val="ro-MD"/>
              </w:rPr>
              <w:t xml:space="preserve"> – prevede că elementele contabile prezentate în situațiile financiare sunt evaluate la cost de achiziție sau la cost de producție, cu excepția cazurilor prevăzute de standardele de contabilitate. </w:t>
            </w:r>
            <w:r w:rsidRPr="0080251F">
              <w:rPr>
                <w:rFonts w:ascii="Times New Roman" w:eastAsia="Times New Roman" w:hAnsi="Times New Roman"/>
                <w:b/>
                <w:bCs/>
                <w:color w:val="000000"/>
                <w:sz w:val="18"/>
                <w:szCs w:val="18"/>
                <w:lang w:val="ro-MD"/>
              </w:rPr>
              <w:t>2)</w:t>
            </w:r>
            <w:r w:rsidRPr="0080251F">
              <w:rPr>
                <w:rFonts w:ascii="Times New Roman" w:eastAsia="Times New Roman" w:hAnsi="Times New Roman"/>
                <w:bCs/>
                <w:color w:val="000000"/>
                <w:sz w:val="18"/>
                <w:szCs w:val="18"/>
                <w:lang w:val="ro-MD"/>
              </w:rPr>
              <w:t xml:space="preserve"> </w:t>
            </w:r>
            <w:r w:rsidRPr="0080251F">
              <w:rPr>
                <w:rFonts w:ascii="Times New Roman" w:hAnsi="Times New Roman"/>
                <w:b/>
                <w:bCs/>
                <w:color w:val="000000"/>
                <w:sz w:val="18"/>
                <w:szCs w:val="18"/>
                <w:lang w:val="ro-MD"/>
              </w:rPr>
              <w:t>art.11.</w:t>
            </w:r>
            <w:r w:rsidRPr="0080251F">
              <w:rPr>
                <w:rFonts w:ascii="Times New Roman" w:hAnsi="Times New Roman"/>
                <w:bCs/>
                <w:color w:val="000000"/>
                <w:sz w:val="18"/>
                <w:szCs w:val="18"/>
                <w:lang w:val="ro-MD"/>
              </w:rPr>
              <w:t xml:space="preserve"> Documentele primare - </w:t>
            </w:r>
            <w:r w:rsidRPr="0080251F">
              <w:rPr>
                <w:rFonts w:ascii="Times New Roman" w:eastAsia="Times New Roman" w:hAnsi="Times New Roman"/>
                <w:bCs/>
                <w:color w:val="000000"/>
                <w:sz w:val="18"/>
                <w:szCs w:val="18"/>
                <w:lang w:val="ro-MD"/>
              </w:rPr>
              <w:t>alin. (1) Faptele economice se contabilizează în temeiul documentelor primare; alin. (2) Deținerea de către entitate a activelor cu orice titlu, înregistrarea surselor de proveniență a acestora și a faptelor economice fără documentarea și reflectarea acestora în contabilitate sunt interzise; a</w:t>
            </w:r>
            <w:r w:rsidRPr="0080251F">
              <w:rPr>
                <w:rFonts w:ascii="Times New Roman" w:hAnsi="Times New Roman"/>
                <w:bCs/>
                <w:color w:val="000000"/>
                <w:sz w:val="18"/>
                <w:szCs w:val="18"/>
                <w:lang w:val="ro-MD"/>
              </w:rPr>
              <w:t>lin.</w:t>
            </w:r>
            <w:r w:rsidRPr="0080251F">
              <w:rPr>
                <w:rFonts w:ascii="Times New Roman" w:eastAsia="Times New Roman" w:hAnsi="Times New Roman"/>
                <w:bCs/>
                <w:color w:val="000000"/>
                <w:sz w:val="18"/>
                <w:szCs w:val="18"/>
                <w:lang w:val="ro-MD"/>
              </w:rPr>
              <w:t xml:space="preserve">(3) Documentele primare se întocmesc în timpul efectuării (producerii) faptelor economice, iar dacă acest lucru este imposibil – nemijlocit după efectuarea (producerea) faptelor respective. </w:t>
            </w:r>
            <w:r w:rsidRPr="0080251F">
              <w:rPr>
                <w:rFonts w:ascii="Times New Roman" w:eastAsia="Times New Roman" w:hAnsi="Times New Roman"/>
                <w:b/>
                <w:bCs/>
                <w:color w:val="000000"/>
                <w:sz w:val="18"/>
                <w:szCs w:val="18"/>
                <w:lang w:val="ro-MD"/>
              </w:rPr>
              <w:t xml:space="preserve">3) </w:t>
            </w:r>
            <w:r w:rsidRPr="0080251F">
              <w:rPr>
                <w:rFonts w:ascii="Times New Roman" w:hAnsi="Times New Roman"/>
                <w:b/>
                <w:bCs/>
                <w:color w:val="000000"/>
                <w:sz w:val="18"/>
                <w:szCs w:val="18"/>
                <w:lang w:val="ro-MD"/>
              </w:rPr>
              <w:t>art.20.</w:t>
            </w:r>
            <w:r w:rsidRPr="0080251F">
              <w:rPr>
                <w:rFonts w:ascii="Times New Roman" w:hAnsi="Times New Roman"/>
                <w:bCs/>
                <w:color w:val="000000"/>
                <w:sz w:val="18"/>
                <w:szCs w:val="18"/>
                <w:lang w:val="ro-MD"/>
              </w:rPr>
              <w:t xml:space="preserve"> – alun.</w:t>
            </w:r>
            <w:r w:rsidRPr="0080251F">
              <w:rPr>
                <w:rFonts w:ascii="Times New Roman" w:eastAsia="Times New Roman" w:hAnsi="Times New Roman"/>
                <w:bCs/>
                <w:color w:val="000000"/>
                <w:sz w:val="18"/>
                <w:szCs w:val="18"/>
                <w:lang w:val="ro-MD"/>
              </w:rPr>
              <w:t xml:space="preserve">(1) Situațiile financiare se întocmesc cu claritate, oferind o imagine fidelă a poziției financiare, a performanței financiare și a altor informații aferente activității entității; </w:t>
            </w:r>
            <w:r w:rsidRPr="0080251F">
              <w:rPr>
                <w:rFonts w:ascii="Times New Roman" w:hAnsi="Times New Roman"/>
                <w:bCs/>
                <w:color w:val="000000"/>
                <w:sz w:val="18"/>
                <w:szCs w:val="18"/>
                <w:lang w:val="ro-MD"/>
              </w:rPr>
              <w:t>a</w:t>
            </w:r>
            <w:r w:rsidRPr="0080251F">
              <w:rPr>
                <w:rFonts w:ascii="Times New Roman" w:eastAsia="Times New Roman" w:hAnsi="Times New Roman"/>
                <w:bCs/>
                <w:color w:val="000000"/>
                <w:sz w:val="18"/>
                <w:szCs w:val="18"/>
                <w:lang w:val="ro-MD"/>
              </w:rPr>
              <w:t xml:space="preserve">lin. (3) Caracteristicile calitative fundamentale sunt: b) </w:t>
            </w:r>
            <w:r w:rsidRPr="0080251F">
              <w:rPr>
                <w:rFonts w:ascii="Times New Roman" w:eastAsia="Times New Roman" w:hAnsi="Times New Roman"/>
                <w:bCs/>
                <w:i/>
                <w:iCs/>
                <w:color w:val="000000"/>
                <w:sz w:val="18"/>
                <w:szCs w:val="18"/>
                <w:lang w:val="ro-MD"/>
              </w:rPr>
              <w:t>reprezentarea exactă</w:t>
            </w:r>
            <w:r w:rsidRPr="0080251F">
              <w:rPr>
                <w:rFonts w:ascii="Times New Roman" w:eastAsia="Times New Roman" w:hAnsi="Times New Roman"/>
                <w:bCs/>
                <w:color w:val="000000"/>
                <w:sz w:val="18"/>
                <w:szCs w:val="18"/>
                <w:lang w:val="ro-MD"/>
              </w:rPr>
              <w:t xml:space="preserve"> – prevede că informațiile prezentate în situațiile financiare trebuie să fie complete, imparțiale și fără erori.</w:t>
            </w:r>
          </w:p>
          <w:p w14:paraId="1D2493EC" w14:textId="77777777" w:rsidR="007E784D" w:rsidRPr="0080251F" w:rsidRDefault="007E784D" w:rsidP="009A17C7">
            <w:pPr>
              <w:spacing w:line="259" w:lineRule="auto"/>
              <w:rPr>
                <w:rFonts w:ascii="Times New Roman" w:eastAsia="Times New Roman" w:hAnsi="Times New Roman"/>
                <w:bCs/>
                <w:iCs/>
                <w:color w:val="000000"/>
                <w:sz w:val="18"/>
                <w:szCs w:val="18"/>
                <w:lang w:val="ro-MD"/>
              </w:rPr>
            </w:pPr>
            <w:r w:rsidRPr="0080251F">
              <w:rPr>
                <w:rFonts w:ascii="Times New Roman" w:eastAsia="Times New Roman" w:hAnsi="Times New Roman"/>
                <w:b/>
                <w:bCs/>
                <w:color w:val="000000"/>
                <w:sz w:val="18"/>
                <w:szCs w:val="18"/>
                <w:lang w:val="ro-MD"/>
              </w:rPr>
              <w:t>Ordinul Ministerului Finanțelor cu privire la aprobarea Regulamentului privind inventarierea nr.60 din</w:t>
            </w:r>
            <w:r w:rsidRPr="0080251F">
              <w:rPr>
                <w:rFonts w:ascii="Times New Roman" w:eastAsia="Times New Roman" w:hAnsi="Times New Roman"/>
                <w:b/>
                <w:bCs/>
                <w:iCs/>
                <w:color w:val="000000"/>
                <w:sz w:val="18"/>
                <w:szCs w:val="18"/>
                <w:lang w:val="ro-MD"/>
              </w:rPr>
              <w:t xml:space="preserve"> 29.05.2012:</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1) pct.</w:t>
            </w:r>
            <w:r w:rsidRPr="0080251F">
              <w:rPr>
                <w:rFonts w:ascii="Times New Roman" w:hAnsi="Times New Roman"/>
                <w:b/>
                <w:bCs/>
                <w:iCs/>
                <w:color w:val="000000"/>
                <w:sz w:val="18"/>
                <w:szCs w:val="18"/>
                <w:lang w:val="ro-MD"/>
              </w:rPr>
              <w:t xml:space="preserve">4. - </w:t>
            </w:r>
            <w:r w:rsidRPr="0080251F">
              <w:rPr>
                <w:rFonts w:ascii="Times New Roman" w:hAnsi="Times New Roman"/>
                <w:bCs/>
                <w:iCs/>
                <w:color w:val="000000"/>
                <w:sz w:val="18"/>
                <w:szCs w:val="18"/>
                <w:lang w:val="ro-MD"/>
              </w:rPr>
              <w:t xml:space="preserve">Inventarierii generale trebuie supuse toate tipurile de bunuri ale entității care cuprind: </w:t>
            </w:r>
            <w:r w:rsidRPr="0080251F">
              <w:rPr>
                <w:rFonts w:ascii="Times New Roman" w:eastAsia="Times New Roman" w:hAnsi="Times New Roman"/>
                <w:bCs/>
                <w:iCs/>
                <w:color w:val="000000"/>
                <w:sz w:val="18"/>
                <w:szCs w:val="18"/>
                <w:lang w:val="ro-MD"/>
              </w:rPr>
              <w:t xml:space="preserve">1) bunuri ce aparțin entității și se află pe teritoriul acesteia (imobilizările necorporale și corporale, stocuri, titluri de valori, mijloace și documente bănești, formulare tipizate de documente primare cu regim special etc.); 2) bunuri ce aparțin entității, dar se află în afara teritoriului acesteia (imobilizările necorporale și corporale predate în leasing operațional (arendă, locațiune), imobilizările corporale transmise la reparație, bunuri transmise altor entități pentru păstrare și/sau prelucrare, în consignație etc.); 3) bunuri ce nu aparțin entității, dar se află în gestiunea acesteia (imobilizările necorporale și corporale primite în leasing operațional (arendă, locațiune), primite pentru instalare, bunuri primite la păstrare, pentru prelucrare, în consignație etc.); 4) bunuri neînregistrate (necontabilizate) din diferite motive. </w:t>
            </w:r>
            <w:r w:rsidRPr="0080251F">
              <w:rPr>
                <w:rFonts w:ascii="Times New Roman" w:eastAsia="Times New Roman" w:hAnsi="Times New Roman"/>
                <w:b/>
                <w:bCs/>
                <w:iCs/>
                <w:color w:val="000000"/>
                <w:sz w:val="18"/>
                <w:szCs w:val="18"/>
                <w:lang w:val="ro-MD"/>
              </w:rPr>
              <w:t>2) pct.</w:t>
            </w:r>
            <w:r w:rsidRPr="0080251F">
              <w:rPr>
                <w:rFonts w:ascii="Times New Roman" w:hAnsi="Times New Roman"/>
                <w:b/>
                <w:bCs/>
                <w:iCs/>
                <w:color w:val="000000"/>
                <w:sz w:val="18"/>
                <w:szCs w:val="18"/>
                <w:lang w:val="ro-MD"/>
              </w:rPr>
              <w:t xml:space="preserve">35. - </w:t>
            </w:r>
            <w:r w:rsidRPr="0080251F">
              <w:rPr>
                <w:rFonts w:ascii="Times New Roman" w:hAnsi="Times New Roman"/>
                <w:bCs/>
                <w:iCs/>
                <w:color w:val="000000"/>
                <w:sz w:val="18"/>
                <w:szCs w:val="18"/>
                <w:lang w:val="ro-MD"/>
              </w:rPr>
              <w:t xml:space="preserve">Inventarierea imobilizărilor necorporale și corporale se efectuează prin verificarea: </w:t>
            </w:r>
            <w:r w:rsidRPr="0080251F">
              <w:rPr>
                <w:rFonts w:ascii="Times New Roman" w:eastAsia="Times New Roman" w:hAnsi="Times New Roman"/>
                <w:bCs/>
                <w:iCs/>
                <w:color w:val="000000"/>
                <w:sz w:val="18"/>
                <w:szCs w:val="18"/>
                <w:lang w:val="ro-MD"/>
              </w:rPr>
              <w:t xml:space="preserve">1) dreptului de proprietate sau de utilizare a brevetelor, emblemelor comerciale și mărcilor de deservire, licențelor, know-how-urilor, francizelor, programelor informatice, desenelor și mostrelor industriale și de utilitate, website-urilor, drepturilor de autor, drepturilor care rezultă din titlurile de protecție, altor imobilizări necorporale; 2) dreptului de proprietate și apartenența imobilizărilor corporale prin identificarea titlurilor de proprietate, pașapoartelor tehnice, a dosarului și schițelor de amplasare a acestora, documentelor primare de intrare și altor documente; 3) documentelor primare aferente imobilizărilor necorporale și corporale transmise sau primite în leasing operațional (arendă, locațiune), la păstrare și/sau în folosință temporară. </w:t>
            </w:r>
            <w:r w:rsidRPr="0080251F">
              <w:rPr>
                <w:rFonts w:ascii="Times New Roman" w:eastAsia="Times New Roman" w:hAnsi="Times New Roman"/>
                <w:b/>
                <w:bCs/>
                <w:iCs/>
                <w:color w:val="000000"/>
                <w:sz w:val="18"/>
                <w:szCs w:val="18"/>
                <w:lang w:val="ro-MD"/>
              </w:rPr>
              <w:t>3) pct.</w:t>
            </w:r>
            <w:r w:rsidRPr="0080251F">
              <w:rPr>
                <w:rFonts w:ascii="Times New Roman" w:hAnsi="Times New Roman"/>
                <w:b/>
                <w:bCs/>
                <w:iCs/>
                <w:color w:val="000000"/>
                <w:sz w:val="18"/>
                <w:szCs w:val="18"/>
                <w:lang w:val="ro-MD"/>
              </w:rPr>
              <w:t xml:space="preserve">80. - </w:t>
            </w:r>
            <w:r w:rsidRPr="0080251F">
              <w:rPr>
                <w:rFonts w:ascii="Times New Roman" w:hAnsi="Times New Roman"/>
                <w:bCs/>
                <w:iCs/>
                <w:color w:val="000000"/>
                <w:sz w:val="18"/>
                <w:szCs w:val="18"/>
                <w:lang w:val="ro-MD"/>
              </w:rPr>
              <w:t xml:space="preserve">Plusurile constatate cu ocazia inventarierii se evaluează: </w:t>
            </w:r>
            <w:r w:rsidRPr="0080251F">
              <w:rPr>
                <w:rFonts w:ascii="Times New Roman" w:eastAsia="Times New Roman" w:hAnsi="Times New Roman"/>
                <w:bCs/>
                <w:iCs/>
                <w:color w:val="000000"/>
                <w:sz w:val="18"/>
                <w:szCs w:val="18"/>
                <w:lang w:val="ro-MD"/>
              </w:rPr>
              <w:t xml:space="preserve">1) imobilizările necorporale și corporale, stocurile și alte active curente – la valoarea justă la data constatării; 2) creanțele, datoriile, mijloacele și documentele bănești – la valoarea nominală. </w:t>
            </w:r>
            <w:r w:rsidRPr="0080251F">
              <w:rPr>
                <w:rFonts w:ascii="Times New Roman" w:eastAsia="Times New Roman" w:hAnsi="Times New Roman"/>
                <w:b/>
                <w:bCs/>
                <w:iCs/>
                <w:color w:val="000000"/>
                <w:sz w:val="18"/>
                <w:szCs w:val="18"/>
                <w:lang w:val="ro-MD"/>
              </w:rPr>
              <w:t xml:space="preserve">4) pct.81. - </w:t>
            </w:r>
            <w:r w:rsidRPr="0080251F">
              <w:rPr>
                <w:rFonts w:ascii="Times New Roman" w:eastAsia="Times New Roman" w:hAnsi="Times New Roman"/>
                <w:bCs/>
                <w:iCs/>
                <w:color w:val="000000"/>
                <w:sz w:val="18"/>
                <w:szCs w:val="18"/>
                <w:lang w:val="ro-MD"/>
              </w:rPr>
              <w:t>Lipsurile și pierderile din deteriorarea bunurilor se evaluează: 1) imobilizările necorporale și corporale – la valoarea de bilanț la momentul constatării acestora; 2) stocurile și alte active curente – la valoarea de bilanț (cost efectiv, valoare de intrare, valoarea realizabilă netă); 3) bunurile deteriorate parțial – la suma pierderilor efective stabilite de comisia de inventariere sau experți independenți; 4) creanțele, datoriile, mijloacele și documentele bănești – la valoarea nominală.</w:t>
            </w:r>
          </w:p>
          <w:p w14:paraId="1F4B82A1" w14:textId="5D5FD5EE" w:rsidR="007E784D" w:rsidRPr="0080251F" w:rsidRDefault="007E784D" w:rsidP="009A17C7">
            <w:pPr>
              <w:spacing w:line="259" w:lineRule="auto"/>
              <w:rPr>
                <w:rFonts w:ascii="Times New Roman" w:hAnsi="Times New Roman"/>
                <w:b/>
                <w:bCs/>
                <w:iCs/>
                <w:color w:val="000000"/>
                <w:sz w:val="18"/>
                <w:szCs w:val="18"/>
                <w:lang w:val="ro-MD"/>
              </w:rPr>
            </w:pPr>
            <w:r w:rsidRPr="0080251F">
              <w:rPr>
                <w:rFonts w:ascii="Times New Roman" w:hAnsi="Times New Roman"/>
                <w:b/>
                <w:bCs/>
                <w:iCs/>
                <w:color w:val="000000"/>
                <w:sz w:val="18"/>
                <w:szCs w:val="18"/>
                <w:lang w:val="ro-MD"/>
              </w:rPr>
              <w:t xml:space="preserve">Standardele Internaționale de </w:t>
            </w:r>
            <w:r w:rsidR="004B4E15" w:rsidRPr="0080251F">
              <w:rPr>
                <w:rFonts w:ascii="Times New Roman" w:hAnsi="Times New Roman"/>
                <w:b/>
                <w:bCs/>
                <w:iCs/>
                <w:color w:val="000000"/>
                <w:sz w:val="18"/>
                <w:szCs w:val="18"/>
                <w:lang w:val="ro-MD"/>
              </w:rPr>
              <w:t>E</w:t>
            </w:r>
            <w:r w:rsidRPr="0080251F">
              <w:rPr>
                <w:rFonts w:ascii="Times New Roman" w:hAnsi="Times New Roman"/>
                <w:b/>
                <w:bCs/>
                <w:iCs/>
                <w:color w:val="000000"/>
                <w:sz w:val="18"/>
                <w:szCs w:val="18"/>
                <w:lang w:val="ro-MD"/>
              </w:rPr>
              <w:t xml:space="preserve">vidență și </w:t>
            </w:r>
            <w:r w:rsidR="004B4E15" w:rsidRPr="0080251F">
              <w:rPr>
                <w:rFonts w:ascii="Times New Roman" w:hAnsi="Times New Roman"/>
                <w:b/>
                <w:bCs/>
                <w:iCs/>
                <w:color w:val="000000"/>
                <w:sz w:val="18"/>
                <w:szCs w:val="18"/>
                <w:lang w:val="ro-MD"/>
              </w:rPr>
              <w:t>R</w:t>
            </w:r>
            <w:r w:rsidRPr="0080251F">
              <w:rPr>
                <w:rFonts w:ascii="Times New Roman" w:hAnsi="Times New Roman"/>
                <w:b/>
                <w:bCs/>
                <w:iCs/>
                <w:color w:val="000000"/>
                <w:sz w:val="18"/>
                <w:szCs w:val="18"/>
                <w:lang w:val="ro-MD"/>
              </w:rPr>
              <w:t>aportare Financiară:</w:t>
            </w:r>
            <w:r w:rsidRPr="0080251F">
              <w:rPr>
                <w:rFonts w:ascii="Times New Roman" w:eastAsiaTheme="minorEastAsia" w:hAnsi="Times New Roman"/>
                <w:iCs/>
                <w:sz w:val="18"/>
                <w:szCs w:val="18"/>
                <w:lang w:val="ro-MD"/>
              </w:rPr>
              <w:t xml:space="preserve"> </w:t>
            </w:r>
            <w:r w:rsidRPr="0080251F">
              <w:rPr>
                <w:rFonts w:ascii="Times New Roman" w:eastAsiaTheme="minorEastAsia" w:hAnsi="Times New Roman"/>
                <w:b/>
                <w:iCs/>
                <w:sz w:val="18"/>
                <w:szCs w:val="18"/>
                <w:lang w:val="ro-MD"/>
              </w:rPr>
              <w:t>1)</w:t>
            </w:r>
            <w:r w:rsidRPr="0080251F">
              <w:rPr>
                <w:rFonts w:ascii="Times New Roman" w:eastAsiaTheme="minorEastAsia" w:hAnsi="Times New Roman"/>
                <w:iCs/>
                <w:sz w:val="18"/>
                <w:szCs w:val="18"/>
                <w:lang w:val="ro-MD"/>
              </w:rPr>
              <w:t xml:space="preserve"> </w:t>
            </w:r>
            <w:r w:rsidRPr="0080251F">
              <w:rPr>
                <w:rFonts w:ascii="Times New Roman" w:hAnsi="Times New Roman"/>
                <w:b/>
                <w:bCs/>
                <w:iCs/>
                <w:color w:val="000000"/>
                <w:sz w:val="18"/>
                <w:szCs w:val="18"/>
                <w:lang w:val="ro-MD"/>
              </w:rPr>
              <w:t xml:space="preserve">IAS 20, pct.3 </w:t>
            </w:r>
            <w:r w:rsidRPr="0080251F">
              <w:rPr>
                <w:rFonts w:ascii="Times New Roman" w:hAnsi="Times New Roman"/>
                <w:bCs/>
                <w:iCs/>
                <w:color w:val="000000"/>
                <w:sz w:val="18"/>
                <w:szCs w:val="18"/>
                <w:lang w:val="ro-MD"/>
              </w:rPr>
              <w:t xml:space="preserve">- Subvențiile guvernamentale reprezintă asistența acordată de </w:t>
            </w:r>
            <w:r w:rsidR="004B4E15" w:rsidRPr="0080251F">
              <w:rPr>
                <w:rFonts w:ascii="Times New Roman" w:hAnsi="Times New Roman"/>
                <w:bCs/>
                <w:iCs/>
                <w:color w:val="000000"/>
                <w:sz w:val="18"/>
                <w:szCs w:val="18"/>
                <w:lang w:val="ro-MD"/>
              </w:rPr>
              <w:t>G</w:t>
            </w:r>
            <w:r w:rsidRPr="0080251F">
              <w:rPr>
                <w:rFonts w:ascii="Times New Roman" w:hAnsi="Times New Roman"/>
                <w:bCs/>
                <w:iCs/>
                <w:color w:val="000000"/>
                <w:sz w:val="18"/>
                <w:szCs w:val="18"/>
                <w:lang w:val="ro-MD"/>
              </w:rPr>
              <w:t xml:space="preserve">uvern sub forma unor transferuri de resurse către o entitate în schimbul conformării, în trecut sau în viitor, cu anumite condiții referitoare la activitățile de exploatare ale entității. Subvențiile privind activele reprezintă subvenții guvernamentale pentru acordarea cărora principala condiție este că o entitate beneficiară trebuie să cumpere, să construiască sau să dobândească în alt mod active imobilizate. De asemenea, pot exista și condiții secundare care restricționează tipul sau amplasarea activelor sau perioadele în care acestea urmează a fi dobândite sau deținute. </w:t>
            </w:r>
            <w:r w:rsidRPr="0080251F">
              <w:rPr>
                <w:rFonts w:ascii="Times New Roman" w:hAnsi="Times New Roman"/>
                <w:b/>
                <w:bCs/>
                <w:iCs/>
                <w:color w:val="000000"/>
                <w:sz w:val="18"/>
                <w:szCs w:val="18"/>
                <w:lang w:val="ro-MD"/>
              </w:rPr>
              <w:t xml:space="preserve">2) IAS 20, pct.8 - </w:t>
            </w:r>
            <w:r w:rsidRPr="0080251F">
              <w:rPr>
                <w:rFonts w:ascii="Times New Roman" w:hAnsi="Times New Roman"/>
                <w:bCs/>
                <w:iCs/>
                <w:color w:val="000000"/>
                <w:sz w:val="18"/>
                <w:szCs w:val="18"/>
                <w:lang w:val="ro-MD"/>
              </w:rPr>
              <w:t>O subvenție guvernamentală nu este recunoscută până când nu există siguranța rezonabilă că entitatea va respecta condițiile atașate acordării acesteia și că subvenția va fi primită. Doar primirea unei subvenții nu oferă în sine dovezi concludente că toate condițiile atașate acordării subvenției au fost sau vor fi îndeplinite.</w:t>
            </w:r>
            <w:r w:rsidRPr="0080251F">
              <w:rPr>
                <w:rFonts w:ascii="Times New Roman" w:hAnsi="Times New Roman"/>
                <w:b/>
                <w:bCs/>
                <w:iCs/>
                <w:color w:val="000000"/>
                <w:sz w:val="18"/>
                <w:szCs w:val="18"/>
                <w:lang w:val="ro-MD"/>
              </w:rPr>
              <w:t xml:space="preserve"> 3) IAS 20, pct.23 - </w:t>
            </w:r>
            <w:r w:rsidRPr="0080251F">
              <w:rPr>
                <w:rFonts w:ascii="Times New Roman" w:hAnsi="Times New Roman"/>
                <w:bCs/>
                <w:iCs/>
                <w:color w:val="000000"/>
                <w:sz w:val="18"/>
                <w:szCs w:val="18"/>
                <w:lang w:val="ro-MD"/>
              </w:rPr>
              <w:t>O subvenție guvernamentală poate îmbrăca forma transferului unui activ nemonetar, cum ar fi terenuri sau alte resurse, pentru uzul entității. În astfel de circumstanțe este normal să se evalueze valoarea justă a activului nemonetar și să se contabilizeze atât subvenția, cât și activul la acea valoare justă. O alternativă utilizată uneori este de a se înregistra atât activul, cât și subvenția la o valoare nominală.</w:t>
            </w:r>
          </w:p>
          <w:p w14:paraId="2EDF0F50" w14:textId="77777777" w:rsidR="007E784D" w:rsidRPr="0080251F" w:rsidRDefault="007E784D" w:rsidP="009A17C7">
            <w:pPr>
              <w:spacing w:line="259" w:lineRule="auto"/>
              <w:rPr>
                <w:rFonts w:ascii="Times New Roman" w:hAnsi="Times New Roman"/>
                <w:sz w:val="18"/>
                <w:szCs w:val="18"/>
                <w:lang w:val="ro-MD"/>
              </w:rPr>
            </w:pPr>
            <w:r w:rsidRPr="0080251F">
              <w:rPr>
                <w:rFonts w:ascii="Times New Roman" w:hAnsi="Times New Roman"/>
                <w:b/>
                <w:sz w:val="18"/>
                <w:szCs w:val="18"/>
                <w:lang w:val="ro-MD"/>
              </w:rPr>
              <w:t>Standardul Internațional de Raportare Financiară „Cadrul general conceptual de raportare financiară”: pct.4.4</w:t>
            </w:r>
            <w:r w:rsidRPr="0080251F">
              <w:rPr>
                <w:rFonts w:ascii="Times New Roman" w:hAnsi="Times New Roman"/>
                <w:sz w:val="18"/>
                <w:szCs w:val="18"/>
                <w:lang w:val="ro-MD"/>
              </w:rPr>
              <w:t xml:space="preserve"> - Un activ este o resursă controlată de entitate ca rezultat al unor evenimente trecute și de la care se preconizează că vor decurge beneficii economice viitoare pentru entitate; </w:t>
            </w:r>
            <w:r w:rsidRPr="0080251F">
              <w:rPr>
                <w:rFonts w:ascii="Times New Roman" w:hAnsi="Times New Roman"/>
                <w:b/>
                <w:sz w:val="18"/>
                <w:szCs w:val="18"/>
                <w:lang w:val="ro-MD"/>
              </w:rPr>
              <w:t>2) pct.4.33</w:t>
            </w:r>
            <w:r w:rsidRPr="0080251F">
              <w:rPr>
                <w:rFonts w:ascii="Times New Roman" w:hAnsi="Times New Roman"/>
                <w:sz w:val="18"/>
                <w:szCs w:val="18"/>
                <w:lang w:val="ro-MD"/>
              </w:rPr>
              <w:t xml:space="preserve"> - Definiția cheltuielilor include pierderile, precum și acele cheltuieli care apar în procesul desfășurării activităților curente ale entității. Ele se regăsesc, de obicei, sub forma ieșirilor sau scăderii valorii activelor, cum ar fi numerarul sau echivalentele de numerar, stocurile și imobilizările corporale. </w:t>
            </w:r>
          </w:p>
        </w:tc>
        <w:tc>
          <w:tcPr>
            <w:tcW w:w="2410" w:type="dxa"/>
            <w:shd w:val="clear" w:color="auto" w:fill="auto"/>
          </w:tcPr>
          <w:p w14:paraId="3E5B4C13" w14:textId="34563E0A"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politica contabilă; documentele de inventariere; documentele/contra</w:t>
            </w:r>
            <w:r w:rsidR="009F185E"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tele de achiziție și executare a lucrărilor; actele de punere în funcțiune/exploatare.</w:t>
            </w:r>
          </w:p>
          <w:p w14:paraId="4F8250D7"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w:t>
            </w:r>
          </w:p>
        </w:tc>
        <w:tc>
          <w:tcPr>
            <w:tcW w:w="2273" w:type="dxa"/>
            <w:shd w:val="clear" w:color="auto" w:fill="auto"/>
          </w:tcPr>
          <w:p w14:paraId="55641D13" w14:textId="409EE659"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cont de evidență si raportare contabilă a operațiunilor financiar</w:t>
            </w:r>
            <w:r w:rsidR="009F185E"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economice (imobilizări necorporale: conturile 111-112; imobilizări corporale: conturile 122-124, 127). În baza rezultatelor testărilor efectuate, au fost verificate toate operațiunile înregistrate la conturile de evidență - 100 %.</w:t>
            </w:r>
          </w:p>
        </w:tc>
      </w:tr>
      <w:tr w:rsidR="007E784D" w:rsidRPr="0080251F" w14:paraId="0641AD18" w14:textId="77777777" w:rsidTr="008A1A07">
        <w:trPr>
          <w:trHeight w:val="59"/>
        </w:trPr>
        <w:tc>
          <w:tcPr>
            <w:tcW w:w="2127" w:type="dxa"/>
            <w:shd w:val="clear" w:color="auto" w:fill="auto"/>
          </w:tcPr>
          <w:p w14:paraId="5C2FFAFD" w14:textId="77777777" w:rsidR="007E784D" w:rsidRPr="0080251F" w:rsidRDefault="007E784D" w:rsidP="009A17C7">
            <w:pPr>
              <w:tabs>
                <w:tab w:val="left" w:pos="318"/>
              </w:tabs>
              <w:spacing w:line="259" w:lineRule="auto"/>
              <w:rPr>
                <w:rFonts w:ascii="Times New Roman" w:hAnsi="Times New Roman"/>
                <w:bCs/>
                <w:color w:val="000000" w:themeColor="text1"/>
                <w:sz w:val="18"/>
                <w:szCs w:val="18"/>
                <w:lang w:val="ro-MD"/>
              </w:rPr>
            </w:pPr>
            <w:r w:rsidRPr="0080251F">
              <w:rPr>
                <w:rFonts w:ascii="Times New Roman" w:hAnsi="Times New Roman"/>
                <w:bCs/>
                <w:color w:val="000000" w:themeColor="text1"/>
                <w:sz w:val="18"/>
                <w:szCs w:val="18"/>
                <w:lang w:val="ro-MD"/>
              </w:rPr>
              <w:t>4.1.2. Clasificarea/atribuirea neconformă a bunurilor materiale la categoria de imobilizări corporale</w:t>
            </w:r>
            <w:r w:rsidRPr="0080251F">
              <w:rPr>
                <w:rFonts w:ascii="Times New Roman" w:hAnsi="Times New Roman"/>
                <w:color w:val="000000" w:themeColor="text1"/>
                <w:sz w:val="18"/>
                <w:szCs w:val="18"/>
                <w:lang w:val="ro-MD"/>
              </w:rPr>
              <w:t>.</w:t>
            </w:r>
          </w:p>
        </w:tc>
        <w:tc>
          <w:tcPr>
            <w:tcW w:w="8363" w:type="dxa"/>
            <w:shd w:val="clear" w:color="auto" w:fill="auto"/>
          </w:tcPr>
          <w:p w14:paraId="37BC9826" w14:textId="264FB461"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 xml:space="preserve">HG cu privire la aprobarea Catalogului mijloacelor fixe nr.941 din 22.12.2020 </w:t>
            </w:r>
            <w:r w:rsidRPr="0080251F">
              <w:rPr>
                <w:rFonts w:ascii="Times New Roman" w:eastAsia="Times New Roman" w:hAnsi="Times New Roman"/>
                <w:bCs/>
                <w:color w:val="000000"/>
                <w:sz w:val="18"/>
                <w:szCs w:val="18"/>
                <w:lang w:val="ro-MD"/>
              </w:rPr>
              <w:t>(în contextul reevaluării activelor în anul 2019 și raportării lor la finele anului 2020):</w:t>
            </w:r>
            <w:r w:rsidRPr="0080251F">
              <w:rPr>
                <w:rFonts w:ascii="Times New Roman" w:eastAsia="Times New Roman" w:hAnsi="Times New Roman"/>
                <w:b/>
                <w:bCs/>
                <w:color w:val="000000"/>
                <w:sz w:val="18"/>
                <w:szCs w:val="18"/>
                <w:lang w:val="ro-MD"/>
              </w:rPr>
              <w:t xml:space="preserve"> 1) pct.4. - </w:t>
            </w:r>
            <w:r w:rsidRPr="0080251F">
              <w:rPr>
                <w:rFonts w:ascii="Times New Roman" w:eastAsia="Times New Roman" w:hAnsi="Times New Roman"/>
                <w:bCs/>
                <w:color w:val="000000"/>
                <w:sz w:val="18"/>
                <w:szCs w:val="18"/>
                <w:lang w:val="ro-MD"/>
              </w:rPr>
              <w:t>În cazul persoanelor juridice și fizice care desfășoară activitate de întreprinzător, recunoașterea mijloacelor fixe se efectuează în conformitate cu prevederile legislației fiscal</w:t>
            </w:r>
            <w:r w:rsidR="004B4E15" w:rsidRPr="0080251F">
              <w:rPr>
                <w:rFonts w:ascii="Times New Roman" w:eastAsia="Times New Roman" w:hAnsi="Times New Roman"/>
                <w:bCs/>
                <w:color w:val="000000"/>
                <w:sz w:val="18"/>
                <w:szCs w:val="18"/>
                <w:lang w:val="ro-MD"/>
              </w:rPr>
              <w:t>e</w:t>
            </w:r>
            <w:r w:rsidRPr="0080251F">
              <w:rPr>
                <w:rFonts w:ascii="Times New Roman" w:eastAsia="Times New Roman" w:hAnsi="Times New Roman"/>
                <w:bCs/>
                <w:color w:val="000000"/>
                <w:sz w:val="18"/>
                <w:szCs w:val="18"/>
                <w:lang w:val="ro-MD"/>
              </w:rPr>
              <w:t xml:space="preserve">. </w:t>
            </w:r>
            <w:r w:rsidRPr="0080251F">
              <w:rPr>
                <w:rFonts w:ascii="Times New Roman" w:eastAsia="Times New Roman" w:hAnsi="Times New Roman"/>
                <w:b/>
                <w:bCs/>
                <w:color w:val="000000"/>
                <w:sz w:val="18"/>
                <w:szCs w:val="18"/>
                <w:lang w:val="ro-MD"/>
              </w:rPr>
              <w:t xml:space="preserve">2) pct.6. - </w:t>
            </w:r>
            <w:r w:rsidRPr="0080251F">
              <w:rPr>
                <w:rFonts w:ascii="Times New Roman" w:eastAsia="Times New Roman" w:hAnsi="Times New Roman"/>
                <w:bCs/>
                <w:color w:val="000000"/>
                <w:sz w:val="18"/>
                <w:szCs w:val="18"/>
                <w:lang w:val="ro-MD"/>
              </w:rPr>
              <w:t>În componența mijloacelor fixe sunt incluse următoarele categorii: 1) clădiri; 2) construcții speciale;3) instalații de transmisie; 4) mașini și utilaje; 5) mijloace de transport; 6) unelte și scule, inventar de producere și gospodăresc, alte tipuri de mijloace fixe; 7) animale de producție și reproducție; 8) plantații perene; 9) alte mijloace fixe.</w:t>
            </w:r>
          </w:p>
          <w:p w14:paraId="5925B448" w14:textId="24C811FC" w:rsidR="007E784D" w:rsidRPr="0080251F" w:rsidRDefault="007E784D" w:rsidP="009A17C7">
            <w:pPr>
              <w:spacing w:line="259" w:lineRule="auto"/>
              <w:rPr>
                <w:rFonts w:ascii="Times New Roman" w:eastAsia="Times New Roman" w:hAnsi="Times New Roman"/>
                <w:b/>
                <w:bCs/>
                <w:iCs/>
                <w:color w:val="000000"/>
                <w:sz w:val="18"/>
                <w:szCs w:val="18"/>
                <w:lang w:val="ro-MD"/>
              </w:rPr>
            </w:pPr>
            <w:r w:rsidRPr="0080251F">
              <w:rPr>
                <w:rFonts w:ascii="Times New Roman" w:eastAsia="Times New Roman" w:hAnsi="Times New Roman"/>
                <w:b/>
                <w:bCs/>
                <w:iCs/>
                <w:color w:val="000000"/>
                <w:sz w:val="18"/>
                <w:szCs w:val="18"/>
                <w:lang w:val="ro-MD"/>
              </w:rPr>
              <w:t>Codul fiscal</w:t>
            </w:r>
            <w:r w:rsidR="00C656D2" w:rsidRPr="0080251F">
              <w:rPr>
                <w:rFonts w:ascii="Times New Roman" w:eastAsia="Times New Roman" w:hAnsi="Times New Roman"/>
                <w:b/>
                <w:bCs/>
                <w:iCs/>
                <w:color w:val="000000"/>
                <w:sz w:val="18"/>
                <w:szCs w:val="18"/>
                <w:lang w:val="ro-MD"/>
              </w:rPr>
              <w:t>,</w:t>
            </w:r>
            <w:r w:rsidRPr="0080251F">
              <w:rPr>
                <w:rFonts w:ascii="Times New Roman" w:eastAsia="Times New Roman" w:hAnsi="Times New Roman"/>
                <w:b/>
                <w:bCs/>
                <w:iCs/>
                <w:color w:val="000000"/>
                <w:sz w:val="18"/>
                <w:szCs w:val="18"/>
                <w:lang w:val="ro-MD"/>
              </w:rPr>
              <w:t xml:space="preserve"> aprobat prin Legea nr.1163-XIII din  24.04.1997: art.26</w:t>
            </w:r>
            <w:r w:rsidRPr="0080251F">
              <w:rPr>
                <w:rFonts w:ascii="Times New Roman" w:eastAsia="Times New Roman" w:hAnsi="Times New Roman"/>
                <w:b/>
                <w:bCs/>
                <w:iCs/>
                <w:color w:val="000000"/>
                <w:sz w:val="18"/>
                <w:szCs w:val="18"/>
                <w:vertAlign w:val="superscript"/>
                <w:lang w:val="ro-MD"/>
              </w:rPr>
              <w:t>1</w:t>
            </w:r>
            <w:r w:rsidRPr="0080251F">
              <w:rPr>
                <w:rFonts w:ascii="Times New Roman" w:eastAsia="Times New Roman" w:hAnsi="Times New Roman"/>
                <w:b/>
                <w:bCs/>
                <w:iCs/>
                <w:color w:val="000000"/>
                <w:sz w:val="18"/>
                <w:szCs w:val="18"/>
                <w:lang w:val="ro-MD"/>
              </w:rPr>
              <w:t xml:space="preserve"> alin.(2) </w:t>
            </w:r>
            <w:r w:rsidRPr="0080251F">
              <w:rPr>
                <w:rFonts w:ascii="Times New Roman" w:eastAsia="Times New Roman" w:hAnsi="Times New Roman"/>
                <w:bCs/>
                <w:iCs/>
                <w:color w:val="000000"/>
                <w:sz w:val="18"/>
                <w:szCs w:val="18"/>
                <w:lang w:val="ro-MD"/>
              </w:rPr>
              <w:t>- Mijloacele fixe pe care se calculează amortizarea este proprietatea materială reflectată în bilanțul contribuabilului în conformitate cu legislația și folosită în activitatea de întreprinzător, a căror valoare scade prezumtiv ca urmare a uzurii fizice și morale și a cărei perioadă de exploatare este mai mare de un an, iar valoarea ei depășește suma de 6,0 mii lei.</w:t>
            </w:r>
            <w:r w:rsidRPr="0080251F">
              <w:rPr>
                <w:rFonts w:ascii="Times New Roman" w:eastAsia="Times New Roman" w:hAnsi="Times New Roman"/>
                <w:b/>
                <w:bCs/>
                <w:iCs/>
                <w:color w:val="000000"/>
                <w:sz w:val="18"/>
                <w:szCs w:val="18"/>
                <w:lang w:val="ro-MD"/>
              </w:rPr>
              <w:t xml:space="preserve"> </w:t>
            </w:r>
          </w:p>
          <w:p w14:paraId="16821D21" w14:textId="2AF7CAD6"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iCs/>
                <w:color w:val="000000"/>
                <w:sz w:val="18"/>
                <w:szCs w:val="18"/>
                <w:lang w:val="ro-MD"/>
              </w:rPr>
              <w:t xml:space="preserve">Politica contabilă, valabilă pentru anul de gestiune: pct. 2 - </w:t>
            </w:r>
            <w:r w:rsidRPr="0080251F">
              <w:rPr>
                <w:rFonts w:ascii="Times New Roman" w:eastAsia="Times New Roman" w:hAnsi="Times New Roman"/>
                <w:bCs/>
                <w:iCs/>
                <w:color w:val="000000"/>
                <w:sz w:val="18"/>
                <w:szCs w:val="18"/>
                <w:lang w:val="ro-MD"/>
              </w:rPr>
              <w:t>În componența mijloacelor fixe se includ imobilizările corporale, valoarea unitară a cărora depășește plafonul valoric prevăzut de legislația fiscală (6,0 mii lei), cu excepția clădirilor, rețelelor electrice, contoarelor, care sunt considerate imobilizări corporale atunci când se estimează c</w:t>
            </w:r>
            <w:r w:rsidR="00C656D2" w:rsidRPr="0080251F">
              <w:rPr>
                <w:rFonts w:ascii="Times New Roman" w:eastAsia="Times New Roman" w:hAnsi="Times New Roman"/>
                <w:bCs/>
                <w:iCs/>
                <w:color w:val="000000"/>
                <w:sz w:val="18"/>
                <w:szCs w:val="18"/>
                <w:lang w:val="ro-MD"/>
              </w:rPr>
              <w:t>ă</w:t>
            </w:r>
            <w:r w:rsidRPr="0080251F">
              <w:rPr>
                <w:rFonts w:ascii="Times New Roman" w:eastAsia="Times New Roman" w:hAnsi="Times New Roman"/>
                <w:bCs/>
                <w:iCs/>
                <w:color w:val="000000"/>
                <w:sz w:val="18"/>
                <w:szCs w:val="18"/>
                <w:lang w:val="ro-MD"/>
              </w:rPr>
              <w:t xml:space="preserve"> vor fi folosite pe parcursul unei perioade mai mari de un an.</w:t>
            </w:r>
          </w:p>
        </w:tc>
        <w:tc>
          <w:tcPr>
            <w:tcW w:w="2410" w:type="dxa"/>
            <w:shd w:val="clear" w:color="auto" w:fill="auto"/>
          </w:tcPr>
          <w:p w14:paraId="18A42ED7" w14:textId="1BB8169C"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politica contabilă; documentele/contra</w:t>
            </w:r>
            <w:r w:rsidR="009F185E"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tele de achiziție; registrul procurărilor.</w:t>
            </w:r>
          </w:p>
          <w:p w14:paraId="6DA5BC41"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w:t>
            </w:r>
          </w:p>
        </w:tc>
        <w:tc>
          <w:tcPr>
            <w:tcW w:w="2273" w:type="dxa"/>
            <w:shd w:val="clear" w:color="auto" w:fill="auto"/>
          </w:tcPr>
          <w:p w14:paraId="0A33F4C4" w14:textId="7F2D39CC"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cont de evidență si raportare contabilă a operațiunilor financiar</w:t>
            </w:r>
            <w:r w:rsidR="009F185E"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economice (imobilizări corporale: conturile 122-124, 127). În baza testărilor efectuate, au fost verificate toate operațiunile înregistrate la conturile de evidență - 100 %.</w:t>
            </w:r>
          </w:p>
        </w:tc>
      </w:tr>
      <w:tr w:rsidR="007E784D" w:rsidRPr="0080251F" w14:paraId="358C91BC" w14:textId="77777777" w:rsidTr="008A1A07">
        <w:trPr>
          <w:trHeight w:val="59"/>
        </w:trPr>
        <w:tc>
          <w:tcPr>
            <w:tcW w:w="2127" w:type="dxa"/>
            <w:shd w:val="clear" w:color="auto" w:fill="auto"/>
          </w:tcPr>
          <w:p w14:paraId="209A1370" w14:textId="77777777" w:rsidR="007E784D" w:rsidRPr="0080251F" w:rsidRDefault="007E784D" w:rsidP="009A17C7">
            <w:pPr>
              <w:tabs>
                <w:tab w:val="left" w:pos="318"/>
              </w:tabs>
              <w:spacing w:line="259" w:lineRule="auto"/>
              <w:rPr>
                <w:rFonts w:ascii="Times New Roman" w:hAnsi="Times New Roman"/>
                <w:bCs/>
                <w:color w:val="000000" w:themeColor="text1"/>
                <w:sz w:val="18"/>
                <w:szCs w:val="18"/>
                <w:lang w:val="ro-MD"/>
              </w:rPr>
            </w:pPr>
            <w:r w:rsidRPr="0080251F">
              <w:rPr>
                <w:rFonts w:ascii="Times New Roman" w:hAnsi="Times New Roman"/>
                <w:bCs/>
                <w:color w:val="000000" w:themeColor="text1"/>
                <w:sz w:val="18"/>
                <w:szCs w:val="18"/>
                <w:lang w:val="ro-MD"/>
              </w:rPr>
              <w:t>4.1.3. Înregistrarea neconformă a creșterii și descreșterii valorii imobilizărilor necorporale și corporale (creșterea de capital/reevaluarea; deprecierea economică/amortizarea).</w:t>
            </w:r>
          </w:p>
        </w:tc>
        <w:tc>
          <w:tcPr>
            <w:tcW w:w="8363" w:type="dxa"/>
            <w:shd w:val="clear" w:color="auto" w:fill="auto"/>
          </w:tcPr>
          <w:p w14:paraId="51E87F7C"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 xml:space="preserve">HG cu privire la aprobarea Catalogului mijloacelor fixe nr.941 din 22.12.2020 </w:t>
            </w:r>
            <w:r w:rsidRPr="0080251F">
              <w:rPr>
                <w:rFonts w:ascii="Times New Roman" w:eastAsia="Times New Roman" w:hAnsi="Times New Roman"/>
                <w:bCs/>
                <w:color w:val="000000"/>
                <w:sz w:val="18"/>
                <w:szCs w:val="18"/>
                <w:lang w:val="ro-MD"/>
              </w:rPr>
              <w:t>(în contextul reevaluării activelor în anul 2019 și raportării lor la finele anului 2020):</w:t>
            </w:r>
            <w:r w:rsidRPr="0080251F">
              <w:rPr>
                <w:rFonts w:ascii="Times New Roman" w:eastAsia="Times New Roman" w:hAnsi="Times New Roman"/>
                <w:b/>
                <w:bCs/>
                <w:color w:val="000000"/>
                <w:sz w:val="18"/>
                <w:szCs w:val="18"/>
                <w:lang w:val="ro-MD"/>
              </w:rPr>
              <w:t xml:space="preserve"> 1) pct.10. - </w:t>
            </w:r>
            <w:r w:rsidRPr="0080251F">
              <w:rPr>
                <w:rFonts w:ascii="Times New Roman" w:eastAsia="Times New Roman" w:hAnsi="Times New Roman"/>
                <w:bCs/>
                <w:color w:val="000000"/>
                <w:sz w:val="18"/>
                <w:szCs w:val="18"/>
                <w:lang w:val="ro-MD"/>
              </w:rPr>
              <w:t xml:space="preserve">În cazul în care în scopuri financiare, în urma procesului de reparație sau dezvoltare a mijloacelor fixe în scopul îmbunătățirii caracteristicilor inițiale ale acestora și, respectiv, majorării beneficiilor economice așteptate din utilizarea obiectului ce poate să rezulte din: prelungirea duratei de utilizare a obiectului, creșterea capacității de producție, a suprafeței sau a altor caracteristici ale obiectului, îmbunătățirea substanțială a calității producției fabricate (serviciilor prestate), prelungirea intervalelor dintre înlocuirile pârților componente în limita duratei de utilizare a obiectului, crearea componentelor care nu mai necesită înlocuire în limita duratei de utilizare a obiectului, reducerea semnificativă a costurilor de exploatare prevăzute inițial etc., persoanele care desfășoară activitate de întreprinzător decid majorarea duratei de funcționare utilă, atunci în aceeași mărime se majorează durata de funcționare utilă în scopuri fiscale, fără a ține cont de limita maximă a intervalului prevăzut în anexă. </w:t>
            </w:r>
            <w:r w:rsidRPr="0080251F">
              <w:rPr>
                <w:rFonts w:ascii="Times New Roman" w:eastAsia="Times New Roman" w:hAnsi="Times New Roman"/>
                <w:b/>
                <w:bCs/>
                <w:color w:val="000000"/>
                <w:sz w:val="18"/>
                <w:szCs w:val="18"/>
                <w:lang w:val="ro-MD"/>
              </w:rPr>
              <w:t xml:space="preserve">2) pct.11. </w:t>
            </w:r>
            <w:r w:rsidRPr="0080251F">
              <w:rPr>
                <w:rFonts w:ascii="Times New Roman" w:eastAsia="Times New Roman" w:hAnsi="Times New Roman"/>
                <w:bCs/>
                <w:color w:val="000000"/>
                <w:sz w:val="18"/>
                <w:szCs w:val="18"/>
                <w:lang w:val="ro-MD"/>
              </w:rPr>
              <w:t>- În cazul în care în scopuri financiare în funcție de modificările tehnologice, intensitatea și condițiile de exploatare a mijloacelor fixe (condiții nocive, nefavorabile, de umiditate etc.) entitatea decide micșorarea duratei de funcționare utilă, atunci în aceeași mărime se micșorează durata de funcționare utilă în scopuri fiscale, cu condiția ca durata de funcționare utilă ajustată să nu fie mai mică decât limita minimă prevăzută în anexă. În cazul în care durata de funcționare utilă ajustată în scopuri financiare este mai mică decât limita minimă prevăzută în anexă, în scopuri fiscale se stabilește limita minimă prevăzută în anexă.</w:t>
            </w:r>
          </w:p>
          <w:p w14:paraId="5F6FA30B" w14:textId="77777777" w:rsidR="007E784D" w:rsidRPr="0080251F" w:rsidRDefault="007E784D" w:rsidP="009A17C7">
            <w:pPr>
              <w:spacing w:line="259" w:lineRule="auto"/>
              <w:rPr>
                <w:rFonts w:ascii="Times New Roman" w:eastAsia="Times New Roman" w:hAnsi="Times New Roman"/>
                <w:bCs/>
                <w:iCs/>
                <w:color w:val="000000"/>
                <w:sz w:val="18"/>
                <w:szCs w:val="18"/>
                <w:lang w:val="ro-MD"/>
              </w:rPr>
            </w:pPr>
            <w:r w:rsidRPr="0080251F">
              <w:rPr>
                <w:rFonts w:ascii="Times New Roman" w:eastAsia="Times New Roman" w:hAnsi="Times New Roman"/>
                <w:b/>
                <w:bCs/>
                <w:color w:val="000000"/>
                <w:sz w:val="18"/>
                <w:szCs w:val="18"/>
                <w:lang w:val="ro-MD"/>
              </w:rPr>
              <w:t>Ordinul Ministerului Finanțelor cu privire la aprobarea Regulamentului privind inventarierea nr.60 din</w:t>
            </w:r>
            <w:r w:rsidRPr="0080251F">
              <w:rPr>
                <w:rFonts w:ascii="Times New Roman" w:eastAsia="Times New Roman" w:hAnsi="Times New Roman"/>
                <w:b/>
                <w:bCs/>
                <w:iCs/>
                <w:color w:val="000000"/>
                <w:sz w:val="18"/>
                <w:szCs w:val="18"/>
                <w:lang w:val="ro-MD"/>
              </w:rPr>
              <w:t xml:space="preserve"> 29.05.2012: pct.8. - </w:t>
            </w:r>
            <w:r w:rsidRPr="0080251F">
              <w:rPr>
                <w:rFonts w:ascii="Times New Roman" w:eastAsia="Times New Roman" w:hAnsi="Times New Roman"/>
                <w:bCs/>
                <w:iCs/>
                <w:color w:val="000000"/>
                <w:sz w:val="18"/>
                <w:szCs w:val="18"/>
                <w:lang w:val="ro-MD"/>
              </w:rPr>
              <w:t>În cadrul inventarierii: 1) se stabilește existența efectivă a elementelor de activ și datorii (imobilizărilor necorporale și corporale, investițiilor financiare, stocurilor, mijloacelor bănești din casierie și conturile curente în instituțiile financiare, documentelor bănești, volumului producției în curs de execuție, creanțelor și datoriilor); 2) se verifică integritatea activelor prin compararea existenței efective a acestora cu datele contabilității; 3) se constată creanțele compromise și datoriile cu termenul de prescripție expirat; 4) se stabilesc bunurile care parțial sau total și-au pierdut calitatea inițială; 5) se constată bunurile neutilizate în activitatea entității; 6) se verifică respectarea regulilor și condițiilor de păstrare a stocurilor, mijloacelor și documentelor bănești, precum și condițiile de întreținere și păstrare a mașinilor, utilajelor și a altor imobilizări corporale.</w:t>
            </w:r>
          </w:p>
          <w:p w14:paraId="58CEC585" w14:textId="353B44E1" w:rsidR="007E784D" w:rsidRPr="0080251F" w:rsidRDefault="007E784D" w:rsidP="009A17C7">
            <w:pPr>
              <w:spacing w:line="259" w:lineRule="auto"/>
              <w:rPr>
                <w:rFonts w:ascii="Times New Roman" w:eastAsia="Times New Roman" w:hAnsi="Times New Roman"/>
                <w:bCs/>
                <w:iCs/>
                <w:color w:val="000000"/>
                <w:sz w:val="18"/>
                <w:szCs w:val="18"/>
                <w:lang w:val="ro-MD"/>
              </w:rPr>
            </w:pPr>
            <w:r w:rsidRPr="0080251F">
              <w:rPr>
                <w:rFonts w:ascii="Times New Roman" w:eastAsia="Times New Roman" w:hAnsi="Times New Roman"/>
                <w:b/>
                <w:bCs/>
                <w:iCs/>
                <w:color w:val="000000"/>
                <w:sz w:val="18"/>
                <w:szCs w:val="18"/>
                <w:lang w:val="ro-MD"/>
              </w:rPr>
              <w:t xml:space="preserve">Standardele Internaționale de </w:t>
            </w:r>
            <w:r w:rsidR="00C656D2" w:rsidRPr="0080251F">
              <w:rPr>
                <w:rFonts w:ascii="Times New Roman" w:eastAsia="Times New Roman" w:hAnsi="Times New Roman"/>
                <w:b/>
                <w:bCs/>
                <w:iCs/>
                <w:color w:val="000000"/>
                <w:sz w:val="18"/>
                <w:szCs w:val="18"/>
                <w:lang w:val="ro-MD"/>
              </w:rPr>
              <w:t>E</w:t>
            </w:r>
            <w:r w:rsidRPr="0080251F">
              <w:rPr>
                <w:rFonts w:ascii="Times New Roman" w:eastAsia="Times New Roman" w:hAnsi="Times New Roman"/>
                <w:b/>
                <w:bCs/>
                <w:iCs/>
                <w:color w:val="000000"/>
                <w:sz w:val="18"/>
                <w:szCs w:val="18"/>
                <w:lang w:val="ro-MD"/>
              </w:rPr>
              <w:t xml:space="preserve">vidență și </w:t>
            </w:r>
            <w:r w:rsidR="00C656D2" w:rsidRPr="0080251F">
              <w:rPr>
                <w:rFonts w:ascii="Times New Roman" w:eastAsia="Times New Roman" w:hAnsi="Times New Roman"/>
                <w:b/>
                <w:bCs/>
                <w:iCs/>
                <w:color w:val="000000"/>
                <w:sz w:val="18"/>
                <w:szCs w:val="18"/>
                <w:lang w:val="ro-MD"/>
              </w:rPr>
              <w:t>R</w:t>
            </w:r>
            <w:r w:rsidRPr="0080251F">
              <w:rPr>
                <w:rFonts w:ascii="Times New Roman" w:eastAsia="Times New Roman" w:hAnsi="Times New Roman"/>
                <w:b/>
                <w:bCs/>
                <w:iCs/>
                <w:color w:val="000000"/>
                <w:sz w:val="18"/>
                <w:szCs w:val="18"/>
                <w:lang w:val="ro-MD"/>
              </w:rPr>
              <w:t>aportare Financiară:</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1)</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 xml:space="preserve">IAS 16, pct.6 – </w:t>
            </w:r>
            <w:r w:rsidRPr="0080251F">
              <w:rPr>
                <w:rFonts w:ascii="Times New Roman" w:eastAsia="Times New Roman" w:hAnsi="Times New Roman"/>
                <w:bCs/>
                <w:iCs/>
                <w:color w:val="000000"/>
                <w:sz w:val="18"/>
                <w:szCs w:val="18"/>
                <w:lang w:val="ro-MD"/>
              </w:rPr>
              <w:t xml:space="preserve">Durata de viață utilă este fie: (a) perioada în care se preconizează că un activ va fi disponibil pentru a fi utilizat de către o entitate; fie (b) numărul de unități de producție sau de unități similare pe care entitatea preconizează să le obțină de la activ. </w:t>
            </w:r>
            <w:r w:rsidRPr="0080251F">
              <w:rPr>
                <w:rFonts w:ascii="Times New Roman" w:eastAsia="Times New Roman" w:hAnsi="Times New Roman"/>
                <w:b/>
                <w:bCs/>
                <w:iCs/>
                <w:color w:val="000000"/>
                <w:sz w:val="18"/>
                <w:szCs w:val="18"/>
                <w:lang w:val="ro-MD"/>
              </w:rPr>
              <w:t>2)</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 xml:space="preserve">IAS 16, pct.31 - </w:t>
            </w:r>
            <w:r w:rsidRPr="0080251F">
              <w:rPr>
                <w:rFonts w:ascii="Times New Roman" w:eastAsia="Times New Roman" w:hAnsi="Times New Roman"/>
                <w:bCs/>
                <w:color w:val="000000"/>
                <w:sz w:val="18"/>
                <w:szCs w:val="18"/>
                <w:lang w:val="ro-MD" w:bidi="ro-RO"/>
              </w:rPr>
              <w:t>După recunoașterea ca activ, un element de imobilizări corporale a cărui valoare justă poate fi evaluată în mod fiabil trebuie contabilizat la o valoare reevaluată, aceasta fiind valoarea sa justă la data reevaluării minus orice amortizare cumulată ulterior și orice pierderi cumulate din depreciere. Reevaluările trebuie să fie făcute cu suficientă regularitate pentru a se asigura că valoarea contabilă nu se deosebește semnificativ de ceea ce s-ar fi determinat prin utilizarea valorii juste la finalul perioadei de raportare.</w:t>
            </w:r>
            <w:r w:rsidRPr="0080251F">
              <w:rPr>
                <w:rFonts w:ascii="Times New Roman" w:eastAsia="Times New Roman" w:hAnsi="Times New Roman"/>
                <w:b/>
                <w:bCs/>
                <w:iCs/>
                <w:color w:val="000000"/>
                <w:sz w:val="18"/>
                <w:szCs w:val="18"/>
                <w:lang w:val="ro-MD"/>
              </w:rPr>
              <w:t xml:space="preserve"> 3)</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IAS 16, pct.51 -</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Cs/>
                <w:iCs/>
                <w:color w:val="000000"/>
                <w:sz w:val="18"/>
                <w:szCs w:val="18"/>
                <w:lang w:val="ro-MD" w:bidi="ro-RO"/>
              </w:rPr>
              <w:t xml:space="preserve">Valoarea reziduală și durata de viață utilă ale unui activ trebuie revizuite cel puțin la fiecare sfârșit de exercițiu financiar și, dacă așteptările se deosebesc de alte estimări anterioare, modificarea (modificările) trebuie contabilizată (contabilizate) ca o modificare a unei estimări contabile, în conformitate cu IAS 8 Politici contabile, modificări ale estimărilor contabile și erori. </w:t>
            </w:r>
            <w:r w:rsidRPr="0080251F">
              <w:rPr>
                <w:rFonts w:ascii="Times New Roman" w:eastAsia="Times New Roman" w:hAnsi="Times New Roman"/>
                <w:b/>
                <w:bCs/>
                <w:iCs/>
                <w:color w:val="000000"/>
                <w:sz w:val="18"/>
                <w:szCs w:val="18"/>
                <w:lang w:val="ro-MD" w:bidi="ro-RO"/>
              </w:rPr>
              <w:t>4) IAS 8, pct.34</w:t>
            </w:r>
            <w:r w:rsidRPr="0080251F">
              <w:rPr>
                <w:rFonts w:ascii="Times New Roman" w:eastAsia="Times New Roman" w:hAnsi="Times New Roman"/>
                <w:bCs/>
                <w:iCs/>
                <w:color w:val="000000"/>
                <w:sz w:val="18"/>
                <w:szCs w:val="18"/>
                <w:lang w:val="ro-MD" w:bidi="ro-RO"/>
              </w:rPr>
              <w:t xml:space="preserve"> - O estimare poate necesita o revizuire dacă au loc schimbări privind circumstanțele pe care s-a bazat această estimare sau ca urmare a unor noi informații sau a unor experiențe ulterioare. Prin natura ei, revizuirea unei estimări nu are legătură cu perioadele anterioare și nu reprezintă corectarea unei erori.</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5) IFRS 1</w:t>
            </w:r>
            <w:r w:rsidRPr="0080251F">
              <w:rPr>
                <w:rFonts w:ascii="Times New Roman" w:eastAsia="Times New Roman" w:hAnsi="Times New Roman"/>
                <w:b/>
                <w:bCs/>
                <w:color w:val="000000"/>
                <w:sz w:val="18"/>
                <w:szCs w:val="18"/>
                <w:lang w:val="ro-MD"/>
              </w:rPr>
              <w:t>, Anexa D, pct.d 5</w:t>
            </w:r>
            <w:r w:rsidRPr="0080251F">
              <w:rPr>
                <w:rFonts w:ascii="Times New Roman" w:eastAsia="Times New Roman" w:hAnsi="Times New Roman"/>
                <w:b/>
                <w:bCs/>
                <w:i/>
                <w:color w:val="000000"/>
                <w:sz w:val="18"/>
                <w:szCs w:val="18"/>
                <w:lang w:val="ro-MD"/>
              </w:rPr>
              <w:t xml:space="preserve"> - </w:t>
            </w:r>
            <w:r w:rsidRPr="0080251F">
              <w:rPr>
                <w:rFonts w:ascii="Times New Roman" w:eastAsia="Times New Roman" w:hAnsi="Times New Roman"/>
                <w:bCs/>
                <w:color w:val="000000"/>
                <w:sz w:val="18"/>
                <w:szCs w:val="18"/>
                <w:lang w:val="ro-MD"/>
              </w:rPr>
              <w:t xml:space="preserve">O entitate poate alege să evalueze un element de imobilizări corporale, la data trecerii la IFRS-uri, la valoarea sa justă și să folosească această valoare justă drept cost presupus la acea dată; </w:t>
            </w:r>
            <w:r w:rsidRPr="0080251F">
              <w:rPr>
                <w:rFonts w:ascii="Times New Roman" w:eastAsia="Times New Roman" w:hAnsi="Times New Roman"/>
                <w:b/>
                <w:bCs/>
                <w:color w:val="000000"/>
                <w:sz w:val="18"/>
                <w:szCs w:val="18"/>
                <w:lang w:val="ro-MD"/>
              </w:rPr>
              <w:t>6) IFRS 13, pct.9</w:t>
            </w:r>
            <w:r w:rsidRPr="0080251F">
              <w:rPr>
                <w:rFonts w:ascii="Times New Roman" w:eastAsia="Times New Roman" w:hAnsi="Times New Roman"/>
                <w:bCs/>
                <w:color w:val="000000"/>
                <w:sz w:val="18"/>
                <w:szCs w:val="18"/>
                <w:lang w:val="ro-MD"/>
              </w:rPr>
              <w:t xml:space="preserve"> - </w:t>
            </w:r>
            <w:r w:rsidRPr="0080251F">
              <w:rPr>
                <w:rFonts w:ascii="Times New Roman" w:eastAsia="Times New Roman" w:hAnsi="Times New Roman"/>
                <w:bCs/>
                <w:color w:val="000000"/>
                <w:sz w:val="18"/>
                <w:szCs w:val="18"/>
                <w:lang w:val="ro-MD" w:bidi="ro-RO"/>
              </w:rPr>
              <w:t>Prezentul IFRS definește valoarea justă drept prețul care ar fi încasat pentru vânzarea unui activ sau plătit pentru transferul unei datorii într-o tranzacție reglementată între participanții de pe piață, la data evaluării</w:t>
            </w:r>
            <w:r w:rsidRPr="0080251F">
              <w:rPr>
                <w:rFonts w:ascii="Times New Roman" w:eastAsia="Times New Roman" w:hAnsi="Times New Roman"/>
                <w:bCs/>
                <w:color w:val="000000"/>
                <w:sz w:val="18"/>
                <w:szCs w:val="18"/>
                <w:lang w:val="ro-MD"/>
              </w:rPr>
              <w:t xml:space="preserve">; </w:t>
            </w:r>
            <w:r w:rsidRPr="0080251F">
              <w:rPr>
                <w:rFonts w:ascii="Times New Roman" w:eastAsia="Times New Roman" w:hAnsi="Times New Roman"/>
                <w:b/>
                <w:bCs/>
                <w:color w:val="000000"/>
                <w:sz w:val="18"/>
                <w:szCs w:val="18"/>
                <w:lang w:val="ro-MD"/>
              </w:rPr>
              <w:t>7) IFRS 13, pct.27</w:t>
            </w:r>
            <w:r w:rsidRPr="0080251F">
              <w:rPr>
                <w:rFonts w:ascii="Times New Roman" w:eastAsia="Times New Roman" w:hAnsi="Times New Roman"/>
                <w:bCs/>
                <w:color w:val="000000"/>
                <w:sz w:val="18"/>
                <w:szCs w:val="18"/>
                <w:lang w:val="ro-MD"/>
              </w:rPr>
              <w:t xml:space="preserve"> - </w:t>
            </w:r>
            <w:r w:rsidRPr="0080251F">
              <w:rPr>
                <w:rFonts w:ascii="Times New Roman" w:eastAsia="Times New Roman" w:hAnsi="Times New Roman"/>
                <w:bCs/>
                <w:color w:val="000000"/>
                <w:sz w:val="18"/>
                <w:szCs w:val="18"/>
                <w:lang w:val="ro-MD" w:bidi="ro-RO"/>
              </w:rPr>
              <w:t xml:space="preserve">O evaluare la valoarea justă a unui activ nefinanciar ține cont de capacitatea unui participant de pe piață de a genera beneficii economice prin utilizarea </w:t>
            </w:r>
            <w:r w:rsidRPr="0080251F">
              <w:rPr>
                <w:rFonts w:ascii="Times New Roman" w:eastAsia="Times New Roman" w:hAnsi="Times New Roman"/>
                <w:bCs/>
                <w:i/>
                <w:color w:val="000000"/>
                <w:sz w:val="18"/>
                <w:szCs w:val="18"/>
                <w:lang w:val="ro-MD" w:bidi="ro-RO"/>
              </w:rPr>
              <w:t>cea mai intensă și cea mai bună</w:t>
            </w:r>
            <w:r w:rsidRPr="0080251F">
              <w:rPr>
                <w:rFonts w:ascii="Times New Roman" w:eastAsia="Times New Roman" w:hAnsi="Times New Roman"/>
                <w:bCs/>
                <w:color w:val="000000"/>
                <w:sz w:val="18"/>
                <w:szCs w:val="18"/>
                <w:lang w:val="ro-MD" w:bidi="ro-RO"/>
              </w:rPr>
              <w:t xml:space="preserve"> a activului sau prin vânzarea acestuia unui alt participant de pe piață care va utiliza activul cel mai intens și cel mai bine.</w:t>
            </w:r>
          </w:p>
        </w:tc>
        <w:tc>
          <w:tcPr>
            <w:tcW w:w="2410" w:type="dxa"/>
            <w:shd w:val="clear" w:color="auto" w:fill="auto"/>
          </w:tcPr>
          <w:p w14:paraId="0F7C6812" w14:textId="487002D2"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politica contabilă; documentele/contra</w:t>
            </w:r>
            <w:r w:rsidR="009F185E"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tele de achiziție și executare a lucrărilor; actele de punere în funcțiune/exploatare; actele de consum a</w:t>
            </w:r>
            <w:r w:rsidR="009F185E" w:rsidRPr="0080251F">
              <w:rPr>
                <w:rFonts w:ascii="Times New Roman" w:eastAsia="Times New Roman" w:hAnsi="Times New Roman"/>
                <w:bCs/>
                <w:color w:val="000000"/>
                <w:sz w:val="18"/>
                <w:szCs w:val="18"/>
                <w:lang w:val="ro-MD"/>
              </w:rPr>
              <w:t>l</w:t>
            </w:r>
            <w:r w:rsidRPr="0080251F">
              <w:rPr>
                <w:rFonts w:ascii="Times New Roman" w:eastAsia="Times New Roman" w:hAnsi="Times New Roman"/>
                <w:bCs/>
                <w:color w:val="000000"/>
                <w:sz w:val="18"/>
                <w:szCs w:val="18"/>
                <w:lang w:val="ro-MD"/>
              </w:rPr>
              <w:t xml:space="preserve"> materialelor;</w:t>
            </w:r>
            <w:r w:rsidRPr="0080251F">
              <w:rPr>
                <w:rFonts w:ascii="Times New Roman" w:eastAsia="Times New Roman" w:hAnsi="Times New Roman"/>
                <w:b/>
                <w:bCs/>
                <w:color w:val="000000"/>
                <w:sz w:val="18"/>
                <w:szCs w:val="18"/>
                <w:lang w:val="ro-MD"/>
              </w:rPr>
              <w:t xml:space="preserve"> </w:t>
            </w:r>
            <w:r w:rsidRPr="0080251F">
              <w:rPr>
                <w:rFonts w:ascii="Times New Roman" w:eastAsia="Times New Roman" w:hAnsi="Times New Roman"/>
                <w:bCs/>
                <w:color w:val="000000"/>
                <w:sz w:val="18"/>
                <w:szCs w:val="18"/>
                <w:lang w:val="ro-MD"/>
              </w:rPr>
              <w:t>actele de reevaluare; actele de inventariere și casare.</w:t>
            </w:r>
          </w:p>
          <w:p w14:paraId="32B12B78"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w:t>
            </w:r>
          </w:p>
        </w:tc>
        <w:tc>
          <w:tcPr>
            <w:tcW w:w="2273" w:type="dxa"/>
            <w:shd w:val="clear" w:color="auto" w:fill="auto"/>
          </w:tcPr>
          <w:p w14:paraId="51DD6585" w14:textId="3DCE31B9"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cont de evidență si raportare contabilă a operațiunilor financiar</w:t>
            </w:r>
            <w:r w:rsidR="009F185E"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economice (imobilizări necorporale: conturile 111-112; imobilizări corporale: conturile 122-124, 127). În baza testărilor efectuate, au fost verificate toate operațiunile înregistrate la conturile de evidență - 100 %.</w:t>
            </w:r>
          </w:p>
        </w:tc>
      </w:tr>
      <w:tr w:rsidR="007E784D" w:rsidRPr="0080251F" w14:paraId="230FF94C" w14:textId="77777777" w:rsidTr="008A1A07">
        <w:trPr>
          <w:trHeight w:val="59"/>
        </w:trPr>
        <w:tc>
          <w:tcPr>
            <w:tcW w:w="2127" w:type="dxa"/>
            <w:shd w:val="clear" w:color="auto" w:fill="auto"/>
          </w:tcPr>
          <w:p w14:paraId="6CBF9AC8" w14:textId="77777777" w:rsidR="007E784D" w:rsidRPr="0080251F" w:rsidRDefault="007E784D" w:rsidP="009A17C7">
            <w:pPr>
              <w:tabs>
                <w:tab w:val="left" w:pos="318"/>
              </w:tabs>
              <w:spacing w:line="259" w:lineRule="auto"/>
              <w:rPr>
                <w:rFonts w:ascii="Times New Roman" w:hAnsi="Times New Roman"/>
                <w:bCs/>
                <w:color w:val="000000" w:themeColor="text1"/>
                <w:sz w:val="18"/>
                <w:szCs w:val="18"/>
                <w:lang w:val="ro-MD"/>
              </w:rPr>
            </w:pPr>
            <w:r w:rsidRPr="0080251F">
              <w:rPr>
                <w:rFonts w:ascii="Times New Roman" w:hAnsi="Times New Roman"/>
                <w:bCs/>
                <w:color w:val="000000" w:themeColor="text1"/>
                <w:sz w:val="18"/>
                <w:szCs w:val="18"/>
                <w:lang w:val="ro-MD"/>
              </w:rPr>
              <w:t>4.1.4. Înregistrarea neconformă a valorii investițiilor financiare pe termen lung (contul 141) și altor active imobilizate (contul 171).</w:t>
            </w:r>
          </w:p>
        </w:tc>
        <w:tc>
          <w:tcPr>
            <w:tcW w:w="8363" w:type="dxa"/>
            <w:shd w:val="clear" w:color="auto" w:fill="auto"/>
          </w:tcPr>
          <w:p w14:paraId="0DA1E16C"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Legea contabilității și raportării financiare nr.287 din 15.12.2017:</w:t>
            </w:r>
            <w:r w:rsidRPr="0080251F">
              <w:rPr>
                <w:rFonts w:ascii="Times New Roman" w:eastAsia="Times New Roman" w:hAnsi="Times New Roman"/>
                <w:bCs/>
                <w:color w:val="000000"/>
                <w:sz w:val="18"/>
                <w:szCs w:val="18"/>
                <w:lang w:val="ro-MD"/>
              </w:rPr>
              <w:t xml:space="preserve"> </w:t>
            </w:r>
            <w:r w:rsidRPr="0080251F">
              <w:rPr>
                <w:rFonts w:ascii="Times New Roman" w:eastAsia="Times New Roman" w:hAnsi="Times New Roman"/>
                <w:b/>
                <w:bCs/>
                <w:color w:val="000000"/>
                <w:sz w:val="18"/>
                <w:szCs w:val="18"/>
                <w:lang w:val="ro-MD"/>
              </w:rPr>
              <w:t xml:space="preserve">art.6. - </w:t>
            </w:r>
            <w:r w:rsidRPr="0080251F">
              <w:rPr>
                <w:rFonts w:ascii="Times New Roman" w:eastAsia="Times New Roman" w:hAnsi="Times New Roman"/>
                <w:bCs/>
                <w:color w:val="000000"/>
                <w:sz w:val="18"/>
                <w:szCs w:val="18"/>
                <w:lang w:val="ro-MD"/>
              </w:rPr>
              <w:t>Principii generale ale contabilității și raportării financiară.</w:t>
            </w:r>
          </w:p>
          <w:p w14:paraId="16519BF7"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Standardul Internațional de Raportare Financiară „Cadrul general conceptual de raportare financiară”: 1) pct.4.4</w:t>
            </w:r>
            <w:r w:rsidRPr="0080251F">
              <w:rPr>
                <w:rFonts w:ascii="Times New Roman" w:eastAsia="Times New Roman" w:hAnsi="Times New Roman"/>
                <w:bCs/>
                <w:color w:val="000000"/>
                <w:sz w:val="18"/>
                <w:szCs w:val="18"/>
                <w:lang w:val="ro-MD"/>
              </w:rPr>
              <w:t xml:space="preserve"> - Un activ este o resursă controlată de entitate ca rezultat al unor evenimente trecute și de la care se preconizează că vor decurge beneficii economice viitoare pentru entitate; </w:t>
            </w:r>
            <w:r w:rsidRPr="0080251F">
              <w:rPr>
                <w:rFonts w:ascii="Times New Roman" w:eastAsia="Times New Roman" w:hAnsi="Times New Roman"/>
                <w:b/>
                <w:bCs/>
                <w:color w:val="000000"/>
                <w:sz w:val="18"/>
                <w:szCs w:val="18"/>
                <w:lang w:val="ro-MD"/>
              </w:rPr>
              <w:t>2) pct.4.33</w:t>
            </w:r>
            <w:r w:rsidRPr="0080251F">
              <w:rPr>
                <w:rFonts w:ascii="Times New Roman" w:eastAsia="Times New Roman" w:hAnsi="Times New Roman"/>
                <w:bCs/>
                <w:color w:val="000000"/>
                <w:sz w:val="18"/>
                <w:szCs w:val="18"/>
                <w:lang w:val="ro-MD"/>
              </w:rPr>
              <w:t xml:space="preserve"> - Definiția cheltuielilor include pierderile, precum și acele cheltuieli care apar în procesul desfășurării activităților curente ale entității. Ele se regăsesc, de obicei, sub forma ieșirilor sau scăderii valorii activelor, cum ar fi numerarul sau echivalentele de numerar, stocurile și imobilizările corporale.</w:t>
            </w:r>
          </w:p>
          <w:p w14:paraId="53D92141" w14:textId="2906909A" w:rsidR="007E784D" w:rsidRPr="0080251F" w:rsidRDefault="007E784D" w:rsidP="009A17C7">
            <w:pPr>
              <w:spacing w:line="259" w:lineRule="auto"/>
              <w:rPr>
                <w:rFonts w:ascii="Times New Roman" w:eastAsia="Times New Roman" w:hAnsi="Times New Roman"/>
                <w:b/>
                <w:bCs/>
                <w:iCs/>
                <w:color w:val="000000"/>
                <w:sz w:val="18"/>
                <w:szCs w:val="18"/>
                <w:lang w:val="ro-MD"/>
              </w:rPr>
            </w:pPr>
            <w:r w:rsidRPr="0080251F">
              <w:rPr>
                <w:rFonts w:ascii="Times New Roman" w:eastAsia="Times New Roman" w:hAnsi="Times New Roman"/>
                <w:b/>
                <w:bCs/>
                <w:iCs/>
                <w:color w:val="000000"/>
                <w:sz w:val="18"/>
                <w:szCs w:val="18"/>
                <w:lang w:val="ro-MD"/>
              </w:rPr>
              <w:t>Codul fiscal</w:t>
            </w:r>
            <w:r w:rsidR="00C656D2" w:rsidRPr="0080251F">
              <w:rPr>
                <w:rFonts w:ascii="Times New Roman" w:eastAsia="Times New Roman" w:hAnsi="Times New Roman"/>
                <w:b/>
                <w:bCs/>
                <w:iCs/>
                <w:color w:val="000000"/>
                <w:sz w:val="18"/>
                <w:szCs w:val="18"/>
                <w:lang w:val="ro-MD"/>
              </w:rPr>
              <w:t>,</w:t>
            </w:r>
            <w:r w:rsidRPr="0080251F">
              <w:rPr>
                <w:rFonts w:ascii="Times New Roman" w:eastAsia="Times New Roman" w:hAnsi="Times New Roman"/>
                <w:b/>
                <w:bCs/>
                <w:iCs/>
                <w:color w:val="000000"/>
                <w:sz w:val="18"/>
                <w:szCs w:val="18"/>
                <w:lang w:val="ro-MD"/>
              </w:rPr>
              <w:t xml:space="preserve"> aprobat prin Legea nr.1163-XIII din 24.04.1997: art.26</w:t>
            </w:r>
            <w:r w:rsidRPr="0080251F">
              <w:rPr>
                <w:rFonts w:ascii="Times New Roman" w:eastAsia="Times New Roman" w:hAnsi="Times New Roman"/>
                <w:b/>
                <w:bCs/>
                <w:iCs/>
                <w:color w:val="000000"/>
                <w:sz w:val="18"/>
                <w:szCs w:val="18"/>
                <w:vertAlign w:val="superscript"/>
                <w:lang w:val="ro-MD"/>
              </w:rPr>
              <w:t>1</w:t>
            </w:r>
            <w:r w:rsidRPr="0080251F">
              <w:rPr>
                <w:rFonts w:ascii="Times New Roman" w:eastAsia="Times New Roman" w:hAnsi="Times New Roman"/>
                <w:b/>
                <w:bCs/>
                <w:iCs/>
                <w:color w:val="000000"/>
                <w:sz w:val="18"/>
                <w:szCs w:val="18"/>
                <w:lang w:val="ro-MD"/>
              </w:rPr>
              <w:t xml:space="preserve"> alin.(2)</w:t>
            </w:r>
            <w:r w:rsidRPr="0080251F">
              <w:rPr>
                <w:rFonts w:ascii="Times New Roman" w:eastAsia="Times New Roman" w:hAnsi="Times New Roman"/>
                <w:bCs/>
                <w:iCs/>
                <w:color w:val="000000"/>
                <w:sz w:val="18"/>
                <w:szCs w:val="18"/>
                <w:lang w:val="ro-MD"/>
              </w:rPr>
              <w:t>.</w:t>
            </w:r>
            <w:r w:rsidRPr="0080251F">
              <w:rPr>
                <w:rFonts w:ascii="Times New Roman" w:eastAsia="Times New Roman" w:hAnsi="Times New Roman"/>
                <w:b/>
                <w:bCs/>
                <w:iCs/>
                <w:color w:val="000000"/>
                <w:sz w:val="18"/>
                <w:szCs w:val="18"/>
                <w:lang w:val="ro-MD"/>
              </w:rPr>
              <w:t xml:space="preserve"> </w:t>
            </w:r>
          </w:p>
          <w:p w14:paraId="4BDDA23D" w14:textId="77777777" w:rsidR="007E784D" w:rsidRPr="0080251F" w:rsidRDefault="007E784D" w:rsidP="009A17C7">
            <w:pPr>
              <w:spacing w:line="259" w:lineRule="auto"/>
              <w:rPr>
                <w:rFonts w:ascii="Times New Roman" w:eastAsia="Times New Roman" w:hAnsi="Times New Roman"/>
                <w:bCs/>
                <w:iCs/>
                <w:color w:val="000000"/>
                <w:sz w:val="18"/>
                <w:szCs w:val="18"/>
                <w:lang w:val="ro-MD"/>
              </w:rPr>
            </w:pPr>
            <w:r w:rsidRPr="0080251F">
              <w:rPr>
                <w:rFonts w:ascii="Times New Roman" w:eastAsia="Times New Roman" w:hAnsi="Times New Roman"/>
                <w:b/>
                <w:bCs/>
                <w:iCs/>
                <w:color w:val="000000"/>
                <w:sz w:val="18"/>
                <w:szCs w:val="18"/>
                <w:lang w:val="ro-MD"/>
              </w:rPr>
              <w:t>Politica contabilă, valabilă pentru anul de gestiune: 1) pct. 2.</w:t>
            </w:r>
            <w:r w:rsidRPr="0080251F">
              <w:rPr>
                <w:rFonts w:ascii="Times New Roman" w:eastAsiaTheme="minorHAnsi" w:hAnsi="Times New Roman"/>
                <w:bCs/>
                <w:color w:val="000000" w:themeColor="text1"/>
                <w:sz w:val="16"/>
                <w:szCs w:val="16"/>
                <w:lang w:val="ro-MD"/>
              </w:rPr>
              <w:t xml:space="preserve"> </w:t>
            </w:r>
          </w:p>
        </w:tc>
        <w:tc>
          <w:tcPr>
            <w:tcW w:w="2410" w:type="dxa"/>
            <w:shd w:val="clear" w:color="auto" w:fill="auto"/>
          </w:tcPr>
          <w:p w14:paraId="10A5E005" w14:textId="77777777"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politica contabilă; actele de deținere a valorilor mobiliare; actele de punere în funcțiune/exploatare și de evidență a contoarelor; actele de casare a contoarelor.</w:t>
            </w:r>
          </w:p>
          <w:p w14:paraId="468FDBD5"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w:t>
            </w:r>
          </w:p>
        </w:tc>
        <w:tc>
          <w:tcPr>
            <w:tcW w:w="2273" w:type="dxa"/>
            <w:shd w:val="clear" w:color="auto" w:fill="auto"/>
          </w:tcPr>
          <w:p w14:paraId="17F1672D" w14:textId="2A5652B6"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cont de evidență si raportare contabilă a operațiunilor financiar</w:t>
            </w:r>
            <w:r w:rsidR="004873F3"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economice (investiții financiare pe termen lung: contul 141;  alte active imobilizate: contul 171). În baza testărilor efectuate, au fost verificate toate operațiunile înregistrate la conturile de evidență - 100 %.</w:t>
            </w:r>
          </w:p>
        </w:tc>
      </w:tr>
      <w:tr w:rsidR="007E784D" w:rsidRPr="0080251F" w14:paraId="3F27167E" w14:textId="77777777" w:rsidTr="008A1A07">
        <w:trPr>
          <w:trHeight w:val="59"/>
        </w:trPr>
        <w:tc>
          <w:tcPr>
            <w:tcW w:w="2127" w:type="dxa"/>
            <w:shd w:val="clear" w:color="auto" w:fill="auto"/>
          </w:tcPr>
          <w:p w14:paraId="36DBAB2E" w14:textId="77777777" w:rsidR="007E784D" w:rsidRPr="0080251F" w:rsidRDefault="007E784D" w:rsidP="009A17C7">
            <w:pPr>
              <w:tabs>
                <w:tab w:val="left" w:pos="318"/>
              </w:tabs>
              <w:rPr>
                <w:rFonts w:ascii="Times New Roman" w:hAnsi="Times New Roman"/>
                <w:bCs/>
                <w:color w:val="000000" w:themeColor="text1"/>
                <w:sz w:val="18"/>
                <w:szCs w:val="18"/>
                <w:lang w:val="ro-MD"/>
              </w:rPr>
            </w:pPr>
            <w:r w:rsidRPr="0080251F">
              <w:rPr>
                <w:rFonts w:ascii="Times New Roman" w:hAnsi="Times New Roman"/>
                <w:bCs/>
                <w:color w:val="000000" w:themeColor="text1"/>
                <w:sz w:val="18"/>
                <w:szCs w:val="18"/>
                <w:lang w:val="ro-MD"/>
              </w:rPr>
              <w:t>4.1.5. Înregistrarea în evidență a imobilizărilor necorporale și corporale neutilizate în activitatea de producere (necasarea activelor neutilizate).</w:t>
            </w:r>
          </w:p>
          <w:p w14:paraId="2442E3FF" w14:textId="77777777" w:rsidR="007E784D" w:rsidRPr="0080251F" w:rsidRDefault="007E784D" w:rsidP="009A17C7">
            <w:pPr>
              <w:tabs>
                <w:tab w:val="left" w:pos="318"/>
              </w:tabs>
              <w:rPr>
                <w:rFonts w:ascii="Times New Roman" w:hAnsi="Times New Roman"/>
                <w:bCs/>
                <w:color w:val="000000" w:themeColor="text1"/>
                <w:sz w:val="18"/>
                <w:szCs w:val="18"/>
                <w:lang w:val="ro-MD"/>
              </w:rPr>
            </w:pPr>
          </w:p>
        </w:tc>
        <w:tc>
          <w:tcPr>
            <w:tcW w:w="8363" w:type="dxa"/>
            <w:shd w:val="clear" w:color="auto" w:fill="auto"/>
          </w:tcPr>
          <w:p w14:paraId="353170C6" w14:textId="77777777" w:rsidR="007E784D" w:rsidRPr="0080251F" w:rsidRDefault="007E784D" w:rsidP="009A17C7">
            <w:pPr>
              <w:rPr>
                <w:rFonts w:ascii="Times New Roman" w:eastAsia="Times New Roman" w:hAnsi="Times New Roman"/>
                <w:bCs/>
                <w:iCs/>
                <w:color w:val="000000"/>
                <w:sz w:val="18"/>
                <w:szCs w:val="18"/>
                <w:lang w:val="ro-MD"/>
              </w:rPr>
            </w:pPr>
            <w:r w:rsidRPr="0080251F">
              <w:rPr>
                <w:rFonts w:ascii="Times New Roman" w:eastAsia="Times New Roman" w:hAnsi="Times New Roman"/>
                <w:b/>
                <w:bCs/>
                <w:color w:val="000000"/>
                <w:sz w:val="18"/>
                <w:szCs w:val="18"/>
                <w:lang w:val="ro-MD"/>
              </w:rPr>
              <w:t>Ordinul Ministerului Finanțelor cu privire la aprobarea Regulamentului privind inventarierea nr.60 din</w:t>
            </w:r>
            <w:r w:rsidRPr="0080251F">
              <w:rPr>
                <w:rFonts w:ascii="Times New Roman" w:eastAsia="Times New Roman" w:hAnsi="Times New Roman"/>
                <w:b/>
                <w:bCs/>
                <w:iCs/>
                <w:color w:val="000000"/>
                <w:sz w:val="18"/>
                <w:szCs w:val="18"/>
                <w:lang w:val="ro-MD"/>
              </w:rPr>
              <w:t xml:space="preserve"> 29.05.2012: 1) pct.8. </w:t>
            </w:r>
            <w:r w:rsidRPr="0080251F">
              <w:rPr>
                <w:rFonts w:ascii="Times New Roman" w:eastAsia="Times New Roman" w:hAnsi="Times New Roman"/>
                <w:bCs/>
                <w:iCs/>
                <w:color w:val="000000"/>
                <w:sz w:val="18"/>
                <w:szCs w:val="18"/>
                <w:lang w:val="ro-MD"/>
              </w:rPr>
              <w:t xml:space="preserve">- În cadrul inventarierii, se constată bunurile neutilizate în activitatea entității. </w:t>
            </w:r>
            <w:r w:rsidRPr="0080251F">
              <w:rPr>
                <w:rFonts w:ascii="Times New Roman" w:eastAsia="Times New Roman" w:hAnsi="Times New Roman"/>
                <w:b/>
                <w:bCs/>
                <w:iCs/>
                <w:color w:val="000000"/>
                <w:sz w:val="18"/>
                <w:szCs w:val="18"/>
                <w:lang w:val="ro-MD"/>
              </w:rPr>
              <w:t xml:space="preserve">2) pct.42 - </w:t>
            </w:r>
            <w:r w:rsidRPr="0080251F">
              <w:rPr>
                <w:rFonts w:ascii="Times New Roman" w:eastAsia="Times New Roman" w:hAnsi="Times New Roman"/>
                <w:bCs/>
                <w:iCs/>
                <w:color w:val="000000"/>
                <w:sz w:val="18"/>
                <w:szCs w:val="18"/>
                <w:lang w:val="ro-MD"/>
              </w:rPr>
              <w:t>Imobilizările corporale care nu sunt utilizate din diferite motive și/sau care nu se supun restabilirii se includ într-o listă de inventariere separată cu indicarea motivelor care au cauzat neutilizarea lor (deteriorarea, uzura completă, etc.) și se transmit comisiei centrale, după caz, sau conducătorului entității, cu înaintarea propunerilor privind vânzarea, casarea sau reutilarea acestora.</w:t>
            </w:r>
          </w:p>
          <w:p w14:paraId="44C02C2E" w14:textId="77777777" w:rsidR="007E784D" w:rsidRPr="0080251F" w:rsidRDefault="007E784D" w:rsidP="009A17C7">
            <w:pPr>
              <w:rPr>
                <w:rFonts w:ascii="Times New Roman" w:eastAsia="Times New Roman" w:hAnsi="Times New Roman"/>
                <w:b/>
                <w:bCs/>
                <w:color w:val="000000"/>
                <w:sz w:val="18"/>
                <w:szCs w:val="18"/>
                <w:lang w:val="ro-MD"/>
              </w:rPr>
            </w:pPr>
          </w:p>
        </w:tc>
        <w:tc>
          <w:tcPr>
            <w:tcW w:w="2410" w:type="dxa"/>
            <w:shd w:val="clear" w:color="auto" w:fill="auto"/>
          </w:tcPr>
          <w:p w14:paraId="1B6BA8CB"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documentele de inventariere; registrul mijloacelor fixe. Examinarea vizuală.  Contrapunerea documentelor analizate cu înregistrările raportate în bilanțul contabil.</w:t>
            </w:r>
          </w:p>
        </w:tc>
        <w:tc>
          <w:tcPr>
            <w:tcW w:w="2273" w:type="dxa"/>
            <w:shd w:val="clear" w:color="auto" w:fill="auto"/>
          </w:tcPr>
          <w:p w14:paraId="0C37438C" w14:textId="77777777" w:rsidR="007E784D" w:rsidRPr="0080251F" w:rsidRDefault="007E784D" w:rsidP="009A17C7">
            <w:pPr>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analizat și verificat mijloacele fixe înregistrate în evidență - 100 %.</w:t>
            </w:r>
          </w:p>
        </w:tc>
      </w:tr>
      <w:tr w:rsidR="007E784D" w:rsidRPr="0080251F" w14:paraId="088EF45D" w14:textId="77777777" w:rsidTr="008A1A07">
        <w:trPr>
          <w:trHeight w:val="59"/>
        </w:trPr>
        <w:tc>
          <w:tcPr>
            <w:tcW w:w="15173" w:type="dxa"/>
            <w:gridSpan w:val="4"/>
            <w:shd w:val="clear" w:color="auto" w:fill="C5E0B3" w:themeFill="accent6" w:themeFillTint="66"/>
          </w:tcPr>
          <w:p w14:paraId="5996C84C" w14:textId="77777777"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
                <w:bCs/>
                <w:color w:val="000000"/>
                <w:sz w:val="18"/>
                <w:szCs w:val="18"/>
                <w:lang w:val="ro-MD"/>
              </w:rPr>
              <w:t xml:space="preserve">Obiectivul 4.2. </w:t>
            </w:r>
            <w:r w:rsidRPr="0080251F">
              <w:rPr>
                <w:rFonts w:ascii="Times New Roman" w:eastAsia="Times New Roman" w:hAnsi="Times New Roman"/>
                <w:b/>
                <w:bCs/>
                <w:iCs/>
                <w:color w:val="000000"/>
                <w:sz w:val="18"/>
                <w:szCs w:val="18"/>
                <w:lang w:val="ro-MD"/>
              </w:rPr>
              <w:t>S.A. „RED-Nord” a asigurat gestionarea și raportarea conformă a stocurilor de materiale?</w:t>
            </w:r>
          </w:p>
        </w:tc>
      </w:tr>
      <w:tr w:rsidR="007E784D" w:rsidRPr="0080251F" w14:paraId="2479E8A4" w14:textId="77777777" w:rsidTr="008A1A07">
        <w:trPr>
          <w:trHeight w:val="59"/>
        </w:trPr>
        <w:tc>
          <w:tcPr>
            <w:tcW w:w="2127" w:type="dxa"/>
            <w:shd w:val="clear" w:color="auto" w:fill="auto"/>
          </w:tcPr>
          <w:p w14:paraId="6F4144B6" w14:textId="77777777" w:rsidR="007E784D" w:rsidRPr="0080251F" w:rsidRDefault="007E784D" w:rsidP="009A17C7">
            <w:pPr>
              <w:tabs>
                <w:tab w:val="left" w:pos="318"/>
              </w:tabs>
              <w:spacing w:line="259" w:lineRule="auto"/>
              <w:rPr>
                <w:rFonts w:ascii="Times New Roman" w:hAnsi="Times New Roman"/>
                <w:bCs/>
                <w:color w:val="000000" w:themeColor="text1"/>
                <w:sz w:val="18"/>
                <w:szCs w:val="18"/>
                <w:lang w:val="ro-MD"/>
              </w:rPr>
            </w:pPr>
            <w:r w:rsidRPr="0080251F">
              <w:rPr>
                <w:rFonts w:ascii="Times New Roman" w:hAnsi="Times New Roman"/>
                <w:bCs/>
                <w:color w:val="000000" w:themeColor="text1"/>
                <w:sz w:val="18"/>
                <w:szCs w:val="18"/>
                <w:lang w:val="ro-MD"/>
              </w:rPr>
              <w:t>4.2. Trecerea neconformă la cheltuieli a valorii stocurilor (neperfectarea actelor de consum; nereflectarea costului în valoarea de capitalizare a activelor).</w:t>
            </w:r>
          </w:p>
        </w:tc>
        <w:tc>
          <w:tcPr>
            <w:tcW w:w="8363" w:type="dxa"/>
            <w:shd w:val="clear" w:color="auto" w:fill="auto"/>
          </w:tcPr>
          <w:p w14:paraId="35F5EB69"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Legea contabilității și raportării financiare nr.287 din 15.12.2017: art.6; art.11; art.20.</w:t>
            </w:r>
            <w:r w:rsidRPr="0080251F">
              <w:rPr>
                <w:rFonts w:ascii="Times New Roman" w:eastAsia="Times New Roman" w:hAnsi="Times New Roman"/>
                <w:bCs/>
                <w:color w:val="000000"/>
                <w:sz w:val="18"/>
                <w:szCs w:val="18"/>
                <w:lang w:val="ro-MD"/>
              </w:rPr>
              <w:t xml:space="preserve"> </w:t>
            </w:r>
          </w:p>
          <w:p w14:paraId="3654E733"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Ordinul Ministerului Finanțelor cu privire la aprobarea Regulamentului privind inventarierea nr.60 din</w:t>
            </w:r>
            <w:r w:rsidRPr="0080251F">
              <w:rPr>
                <w:rFonts w:ascii="Times New Roman" w:eastAsia="Times New Roman" w:hAnsi="Times New Roman"/>
                <w:b/>
                <w:bCs/>
                <w:iCs/>
                <w:color w:val="000000"/>
                <w:sz w:val="18"/>
                <w:szCs w:val="18"/>
                <w:lang w:val="ro-MD"/>
              </w:rPr>
              <w:t xml:space="preserve"> 29.05.2012:</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pct.4.;</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pct.80.; pct.81.; pct.35.</w:t>
            </w:r>
          </w:p>
          <w:p w14:paraId="72365103" w14:textId="108D31C3"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iCs/>
                <w:color w:val="000000"/>
                <w:sz w:val="18"/>
                <w:szCs w:val="18"/>
                <w:lang w:val="ro-MD"/>
              </w:rPr>
              <w:t xml:space="preserve">Standardele Internaționale de </w:t>
            </w:r>
            <w:r w:rsidR="00C656D2" w:rsidRPr="0080251F">
              <w:rPr>
                <w:rFonts w:ascii="Times New Roman" w:eastAsia="Times New Roman" w:hAnsi="Times New Roman"/>
                <w:b/>
                <w:bCs/>
                <w:iCs/>
                <w:color w:val="000000"/>
                <w:sz w:val="18"/>
                <w:szCs w:val="18"/>
                <w:lang w:val="ro-MD"/>
              </w:rPr>
              <w:t>E</w:t>
            </w:r>
            <w:r w:rsidRPr="0080251F">
              <w:rPr>
                <w:rFonts w:ascii="Times New Roman" w:eastAsia="Times New Roman" w:hAnsi="Times New Roman"/>
                <w:b/>
                <w:bCs/>
                <w:iCs/>
                <w:color w:val="000000"/>
                <w:sz w:val="18"/>
                <w:szCs w:val="18"/>
                <w:lang w:val="ro-MD"/>
              </w:rPr>
              <w:t xml:space="preserve">vidență și </w:t>
            </w:r>
            <w:r w:rsidR="00C656D2" w:rsidRPr="0080251F">
              <w:rPr>
                <w:rFonts w:ascii="Times New Roman" w:eastAsia="Times New Roman" w:hAnsi="Times New Roman"/>
                <w:b/>
                <w:bCs/>
                <w:iCs/>
                <w:color w:val="000000"/>
                <w:sz w:val="18"/>
                <w:szCs w:val="18"/>
                <w:lang w:val="ro-MD"/>
              </w:rPr>
              <w:t>R</w:t>
            </w:r>
            <w:r w:rsidRPr="0080251F">
              <w:rPr>
                <w:rFonts w:ascii="Times New Roman" w:eastAsia="Times New Roman" w:hAnsi="Times New Roman"/>
                <w:b/>
                <w:bCs/>
                <w:iCs/>
                <w:color w:val="000000"/>
                <w:sz w:val="18"/>
                <w:szCs w:val="18"/>
                <w:lang w:val="ro-MD"/>
              </w:rPr>
              <w:t>aportare Financiară:</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1)</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 xml:space="preserve">IAS 2, pct.9 </w:t>
            </w:r>
            <w:r w:rsidRPr="0080251F">
              <w:rPr>
                <w:rFonts w:ascii="Times New Roman" w:eastAsia="Times New Roman" w:hAnsi="Times New Roman"/>
                <w:bCs/>
                <w:iCs/>
                <w:color w:val="000000"/>
                <w:sz w:val="18"/>
                <w:szCs w:val="18"/>
                <w:lang w:val="ro-MD"/>
              </w:rPr>
              <w:t>-  Stocurile trebuie evaluate la valoarea cea mai mică dintre cost și valoarea realizabilă netă.</w:t>
            </w:r>
            <w:r w:rsidRPr="0080251F">
              <w:rPr>
                <w:rFonts w:ascii="Times New Roman" w:eastAsia="Times New Roman" w:hAnsi="Times New Roman"/>
                <w:b/>
                <w:bCs/>
                <w:iCs/>
                <w:color w:val="000000"/>
                <w:sz w:val="18"/>
                <w:szCs w:val="18"/>
                <w:lang w:val="ro-MD"/>
              </w:rPr>
              <w:t xml:space="preserve"> 2) IAS 2, pct.10 - </w:t>
            </w:r>
            <w:r w:rsidRPr="0080251F">
              <w:rPr>
                <w:rFonts w:ascii="Times New Roman" w:eastAsia="Times New Roman" w:hAnsi="Times New Roman"/>
                <w:bCs/>
                <w:iCs/>
                <w:color w:val="000000"/>
                <w:sz w:val="18"/>
                <w:szCs w:val="18"/>
                <w:lang w:val="ro-MD"/>
              </w:rPr>
              <w:t xml:space="preserve">Costul stocurilor trebuie să cuprindă toate costurile de achiziție, costurile conversiei, precum și alte costuri suportate pentru a aduce stocurile în starea și în locul în care se găsesc în prezent. </w:t>
            </w:r>
            <w:r w:rsidRPr="0080251F">
              <w:rPr>
                <w:rFonts w:ascii="Times New Roman" w:eastAsia="Times New Roman" w:hAnsi="Times New Roman"/>
                <w:b/>
                <w:bCs/>
                <w:iCs/>
                <w:color w:val="000000"/>
                <w:sz w:val="18"/>
                <w:szCs w:val="18"/>
                <w:lang w:val="ro-MD"/>
              </w:rPr>
              <w:t>3)</w:t>
            </w:r>
            <w:r w:rsidRPr="0080251F">
              <w:rPr>
                <w:rFonts w:ascii="Times New Roman" w:eastAsiaTheme="minorHAnsi" w:hAnsi="Times New Roman"/>
                <w:spacing w:val="-3"/>
                <w:sz w:val="24"/>
                <w:szCs w:val="24"/>
                <w:lang w:val="ro-MD"/>
              </w:rPr>
              <w:t xml:space="preserve"> </w:t>
            </w:r>
            <w:r w:rsidRPr="0080251F">
              <w:rPr>
                <w:rFonts w:ascii="Times New Roman" w:eastAsia="Times New Roman" w:hAnsi="Times New Roman"/>
                <w:b/>
                <w:bCs/>
                <w:iCs/>
                <w:color w:val="000000"/>
                <w:sz w:val="18"/>
                <w:szCs w:val="18"/>
                <w:lang w:val="ro-MD"/>
              </w:rPr>
              <w:t xml:space="preserve">IAS 2, pct.33 - </w:t>
            </w:r>
            <w:r w:rsidRPr="0080251F">
              <w:rPr>
                <w:rFonts w:ascii="Times New Roman" w:eastAsia="Times New Roman" w:hAnsi="Times New Roman"/>
                <w:bCs/>
                <w:iCs/>
                <w:color w:val="000000"/>
                <w:sz w:val="18"/>
                <w:szCs w:val="18"/>
                <w:lang w:val="ro-MD"/>
              </w:rPr>
              <w:t>Pentru fiecare perioadă ulterioară se efectuează o nouă evaluare a valorii realizabile nete. Atunci când condițiile care au determinat în trecut reducerea valorii contabile a stocurilor sub cost au încetat să mai existe sau atunci când există dovezi clare ale unei creșteri a valorii realizabile nete ca urmare a schimbării unor circumstanțe economice, suma care reprezintă reducerea valorii contabile este reluată (adică reluarea este limitată la valoarea reducerii inițiale), astfel încât noua valoare contabilă a stocului să fie egală cu cea mai mică valoare dintre cost și valoarea realizabilă netă revizuită. Aceasta se întâmplă, de exemplu, atunci când un element de natura stocurilor, care este contabilizat la valoarea realizabilă netă, din cauza scăderii prețului său de vânzare, este încă în stoc într-o perioadă ulterioară, iar prețul său de vânzare a crescut.</w:t>
            </w:r>
          </w:p>
          <w:p w14:paraId="28CED6DA" w14:textId="77777777" w:rsidR="007E784D" w:rsidRPr="0080251F" w:rsidRDefault="007E784D" w:rsidP="009A17C7">
            <w:pPr>
              <w:spacing w:line="259" w:lineRule="auto"/>
              <w:rPr>
                <w:rFonts w:ascii="Times New Roman" w:eastAsia="Times New Roman" w:hAnsi="Times New Roman"/>
                <w:bCs/>
                <w:iCs/>
                <w:color w:val="000000"/>
                <w:sz w:val="18"/>
                <w:szCs w:val="18"/>
                <w:lang w:val="ro-MD"/>
              </w:rPr>
            </w:pPr>
            <w:r w:rsidRPr="0080251F">
              <w:rPr>
                <w:rFonts w:ascii="Times New Roman" w:eastAsia="Times New Roman" w:hAnsi="Times New Roman"/>
                <w:b/>
                <w:bCs/>
                <w:iCs/>
                <w:color w:val="000000"/>
                <w:sz w:val="18"/>
                <w:szCs w:val="18"/>
                <w:lang w:val="ro-MD"/>
              </w:rPr>
              <w:t>Politica contabilă, valabilă pentru anul de gestiune: 1) pct.4</w:t>
            </w:r>
            <w:r w:rsidRPr="0080251F">
              <w:rPr>
                <w:rFonts w:ascii="Times New Roman" w:eastAsia="Times New Roman" w:hAnsi="Times New Roman"/>
                <w:bCs/>
                <w:iCs/>
                <w:color w:val="000000"/>
                <w:sz w:val="18"/>
                <w:szCs w:val="18"/>
                <w:lang w:val="ro-MD"/>
              </w:rPr>
              <w:t xml:space="preserve"> - stocurile sunt evaluate la valoarea cea mai mică dintre cost și valoarea realizabilă netă (VRN), iar suma oricărei diminuări a valorii stocurilor până la VRN se contabilizează ca contabilizare a cheltuielilor curente și majorare a ajustării pentru deprecierea stocurilor.</w:t>
            </w:r>
          </w:p>
        </w:tc>
        <w:tc>
          <w:tcPr>
            <w:tcW w:w="2410" w:type="dxa"/>
            <w:shd w:val="clear" w:color="auto" w:fill="auto"/>
          </w:tcPr>
          <w:p w14:paraId="22153F4A" w14:textId="3D3CAB3F"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politica contabilă; documentele/contra</w:t>
            </w:r>
            <w:r w:rsidR="004873F3"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tele de achiziție și executare a lucrărilor; actele de punere în funcțiune/exploatare; actele de consum a</w:t>
            </w:r>
            <w:r w:rsidR="004873F3" w:rsidRPr="0080251F">
              <w:rPr>
                <w:rFonts w:ascii="Times New Roman" w:eastAsia="Times New Roman" w:hAnsi="Times New Roman"/>
                <w:bCs/>
                <w:color w:val="000000"/>
                <w:sz w:val="18"/>
                <w:szCs w:val="18"/>
                <w:lang w:val="ro-MD"/>
              </w:rPr>
              <w:t>l</w:t>
            </w:r>
            <w:r w:rsidRPr="0080251F">
              <w:rPr>
                <w:rFonts w:ascii="Times New Roman" w:eastAsia="Times New Roman" w:hAnsi="Times New Roman"/>
                <w:bCs/>
                <w:color w:val="000000"/>
                <w:sz w:val="18"/>
                <w:szCs w:val="18"/>
                <w:lang w:val="ro-MD"/>
              </w:rPr>
              <w:t xml:space="preserve"> materialelor.</w:t>
            </w:r>
          </w:p>
          <w:p w14:paraId="2429C869"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w:t>
            </w:r>
          </w:p>
        </w:tc>
        <w:tc>
          <w:tcPr>
            <w:tcW w:w="2273" w:type="dxa"/>
            <w:shd w:val="clear" w:color="auto" w:fill="auto"/>
          </w:tcPr>
          <w:p w14:paraId="71FA2568" w14:textId="13BAB7BF"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cont de evidență si raportare contabilă a operațiunilor financiar</w:t>
            </w:r>
            <w:r w:rsidR="004873F3"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economice (stocuri: conturile 211, 213-215, 217-218). În baza testărilor efectuate, au fost verificate toate operațiunile înregistrate la conturile de evidență - 100 %.</w:t>
            </w:r>
          </w:p>
        </w:tc>
      </w:tr>
      <w:tr w:rsidR="007E784D" w:rsidRPr="0080251F" w14:paraId="5AC425B6" w14:textId="77777777" w:rsidTr="008A1A07">
        <w:trPr>
          <w:trHeight w:val="59"/>
        </w:trPr>
        <w:tc>
          <w:tcPr>
            <w:tcW w:w="2127" w:type="dxa"/>
            <w:shd w:val="clear" w:color="auto" w:fill="auto"/>
          </w:tcPr>
          <w:p w14:paraId="73DE97BE" w14:textId="77777777" w:rsidR="007E784D" w:rsidRPr="0080251F" w:rsidRDefault="007E784D" w:rsidP="009A17C7">
            <w:pPr>
              <w:tabs>
                <w:tab w:val="left" w:pos="318"/>
              </w:tabs>
              <w:spacing w:line="259" w:lineRule="auto"/>
              <w:rPr>
                <w:rFonts w:ascii="Times New Roman" w:hAnsi="Times New Roman"/>
                <w:bCs/>
                <w:color w:val="000000" w:themeColor="text1"/>
                <w:sz w:val="18"/>
                <w:szCs w:val="18"/>
                <w:lang w:val="ro-MD"/>
              </w:rPr>
            </w:pPr>
            <w:r w:rsidRPr="0080251F">
              <w:rPr>
                <w:rFonts w:ascii="Times New Roman" w:hAnsi="Times New Roman"/>
                <w:bCs/>
                <w:color w:val="000000" w:themeColor="text1"/>
                <w:sz w:val="18"/>
                <w:szCs w:val="18"/>
                <w:lang w:val="ro-MD"/>
              </w:rPr>
              <w:t>4.2. Înregistrarea în evidență a stocurilor neutilizate în activitatea de producere (necasarea stocurilor neutilizate).</w:t>
            </w:r>
          </w:p>
        </w:tc>
        <w:tc>
          <w:tcPr>
            <w:tcW w:w="8363" w:type="dxa"/>
            <w:shd w:val="clear" w:color="auto" w:fill="auto"/>
          </w:tcPr>
          <w:p w14:paraId="3D704EC2" w14:textId="77777777" w:rsidR="007E784D" w:rsidRPr="0080251F" w:rsidRDefault="007E784D" w:rsidP="009A17C7">
            <w:pPr>
              <w:spacing w:line="259" w:lineRule="auto"/>
              <w:rPr>
                <w:rFonts w:ascii="Times New Roman" w:hAnsi="Times New Roman"/>
                <w:b/>
                <w:bCs/>
                <w:iCs/>
                <w:color w:val="000000"/>
                <w:sz w:val="18"/>
                <w:szCs w:val="18"/>
                <w:lang w:val="ro-MD"/>
              </w:rPr>
            </w:pPr>
            <w:r w:rsidRPr="0080251F">
              <w:rPr>
                <w:rFonts w:ascii="Times New Roman" w:eastAsia="Times New Roman" w:hAnsi="Times New Roman"/>
                <w:b/>
                <w:bCs/>
                <w:color w:val="000000"/>
                <w:sz w:val="18"/>
                <w:szCs w:val="18"/>
                <w:lang w:val="ro-MD"/>
              </w:rPr>
              <w:t>Ordinul Ministerului Finanțelor cu privire la aprobarea Regulamentului privind inventarierea nr.60 din</w:t>
            </w:r>
            <w:r w:rsidRPr="0080251F">
              <w:rPr>
                <w:rFonts w:ascii="Times New Roman" w:eastAsia="Times New Roman" w:hAnsi="Times New Roman"/>
                <w:b/>
                <w:bCs/>
                <w:iCs/>
                <w:color w:val="000000"/>
                <w:sz w:val="18"/>
                <w:szCs w:val="18"/>
                <w:lang w:val="ro-MD"/>
              </w:rPr>
              <w:t xml:space="preserve"> 29.05.2012:</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1) pct.</w:t>
            </w:r>
            <w:r w:rsidRPr="0080251F">
              <w:rPr>
                <w:rFonts w:ascii="Times New Roman" w:hAnsi="Times New Roman"/>
                <w:b/>
                <w:bCs/>
                <w:iCs/>
                <w:color w:val="000000"/>
                <w:sz w:val="18"/>
                <w:szCs w:val="18"/>
                <w:lang w:val="ro-MD"/>
              </w:rPr>
              <w:t xml:space="preserve">8. - </w:t>
            </w:r>
            <w:r w:rsidRPr="0080251F">
              <w:rPr>
                <w:rFonts w:ascii="Times New Roman" w:hAnsi="Times New Roman"/>
                <w:bCs/>
                <w:iCs/>
                <w:color w:val="000000"/>
                <w:sz w:val="18"/>
                <w:szCs w:val="18"/>
                <w:lang w:val="ro-MD"/>
              </w:rPr>
              <w:t xml:space="preserve">În cadrul inventarierii: </w:t>
            </w:r>
            <w:r w:rsidRPr="0080251F">
              <w:rPr>
                <w:rFonts w:ascii="Times New Roman" w:eastAsia="Times New Roman" w:hAnsi="Times New Roman"/>
                <w:bCs/>
                <w:iCs/>
                <w:color w:val="000000"/>
                <w:sz w:val="18"/>
                <w:szCs w:val="18"/>
                <w:lang w:val="ro-MD"/>
              </w:rPr>
              <w:t>1) se stabilește existența efectivă a elementelor de activ și datorii (imobilizărilor necorporale și corporale, investițiilor financiare, stocurilor, mijloacelor bănești din casierie și conturile curente în instituțiile financiare, documentelor bănești, volumului producției în curs de execuție, creanțelor și datoriilor); 2) se verifică integritatea activelor prin compararea existenței efective a acestora cu datele contabilității; 3) se constată creanțele compromise și datoriile cu termenul de prescripție expirat; 4) se stabilesc bunurile care parțial sau total și-au pierdut calitatea inițială; 5) se constată bunurile neutilizate în activitatea entității; 6) se verifică respectarea regulilor și condițiilor de păstrare a stocurilor, mijloacelor și documentelor bănești, precum și condițiile de întreținere și păstrare a mașinilor, utilajelor și a altor imobilizări corporale.</w:t>
            </w:r>
          </w:p>
        </w:tc>
        <w:tc>
          <w:tcPr>
            <w:tcW w:w="2410" w:type="dxa"/>
            <w:shd w:val="clear" w:color="auto" w:fill="auto"/>
          </w:tcPr>
          <w:p w14:paraId="188A3056" w14:textId="334271CE"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documentele/contra</w:t>
            </w:r>
            <w:r w:rsidR="004873F3"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tele de achiziție; soldurile raportate în bilanțul contabil în anii precedenți; actele de inventariere. Contrapunerea documentelor analizate cu înregistrările raportate în bilanțul contabil.</w:t>
            </w:r>
          </w:p>
        </w:tc>
        <w:tc>
          <w:tcPr>
            <w:tcW w:w="2273" w:type="dxa"/>
            <w:shd w:val="clear" w:color="auto" w:fill="auto"/>
          </w:tcPr>
          <w:p w14:paraId="086D0E24" w14:textId="7D27CCCF"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cont de evidență si raportare contabilă a operațiunilor financiar</w:t>
            </w:r>
            <w:r w:rsidR="004873F3"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economice (stocuri: conturile 211, 213-215, 217-218). În baza testărilor efectuate, au fost verificate toate operațiunile înregistrate la conturile de evidență - 100 %.</w:t>
            </w:r>
          </w:p>
        </w:tc>
      </w:tr>
      <w:tr w:rsidR="007E784D" w:rsidRPr="0080251F" w14:paraId="1DB92145" w14:textId="77777777" w:rsidTr="008A1A07">
        <w:trPr>
          <w:trHeight w:val="59"/>
        </w:trPr>
        <w:tc>
          <w:tcPr>
            <w:tcW w:w="15173" w:type="dxa"/>
            <w:gridSpan w:val="4"/>
            <w:shd w:val="clear" w:color="auto" w:fill="C5E0B3" w:themeFill="accent6" w:themeFillTint="66"/>
          </w:tcPr>
          <w:p w14:paraId="31E79E85"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Obiectivul 4.3. S.A. „RED-Nord” a gestionat conform creanțele și datoriile existente?</w:t>
            </w:r>
          </w:p>
        </w:tc>
      </w:tr>
      <w:tr w:rsidR="007E784D" w:rsidRPr="0080251F" w14:paraId="7CD71FE9" w14:textId="77777777" w:rsidTr="008A1A07">
        <w:trPr>
          <w:trHeight w:val="59"/>
        </w:trPr>
        <w:tc>
          <w:tcPr>
            <w:tcW w:w="2127" w:type="dxa"/>
            <w:shd w:val="clear" w:color="auto" w:fill="auto"/>
          </w:tcPr>
          <w:p w14:paraId="623E1C72" w14:textId="77777777" w:rsidR="007E784D" w:rsidRPr="0080251F" w:rsidRDefault="007E784D" w:rsidP="009A17C7">
            <w:pPr>
              <w:tabs>
                <w:tab w:val="left" w:pos="318"/>
              </w:tabs>
              <w:spacing w:line="259" w:lineRule="auto"/>
              <w:rPr>
                <w:rFonts w:ascii="Times New Roman" w:hAnsi="Times New Roman"/>
                <w:bCs/>
                <w:color w:val="000000" w:themeColor="text1"/>
                <w:sz w:val="18"/>
                <w:szCs w:val="18"/>
                <w:lang w:val="ro-MD"/>
              </w:rPr>
            </w:pPr>
            <w:r w:rsidRPr="0080251F">
              <w:rPr>
                <w:rFonts w:ascii="Times New Roman" w:hAnsi="Times New Roman"/>
                <w:bCs/>
                <w:color w:val="000000" w:themeColor="text1"/>
                <w:sz w:val="18"/>
                <w:szCs w:val="18"/>
                <w:lang w:val="ro-MD"/>
              </w:rPr>
              <w:t>4.3. Înregistrarea neconformă a valorii creanțelor în evidența contabilă.</w:t>
            </w:r>
          </w:p>
        </w:tc>
        <w:tc>
          <w:tcPr>
            <w:tcW w:w="8363" w:type="dxa"/>
            <w:shd w:val="clear" w:color="auto" w:fill="auto"/>
          </w:tcPr>
          <w:p w14:paraId="03D62D17"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Legea contabilității și raportării financiare nr.287 din 15.12.2017: art.6; art.11; art.20.</w:t>
            </w:r>
            <w:r w:rsidRPr="0080251F">
              <w:rPr>
                <w:rFonts w:ascii="Times New Roman" w:eastAsia="Times New Roman" w:hAnsi="Times New Roman"/>
                <w:bCs/>
                <w:color w:val="000000"/>
                <w:sz w:val="18"/>
                <w:szCs w:val="18"/>
                <w:lang w:val="ro-MD"/>
              </w:rPr>
              <w:t xml:space="preserve"> </w:t>
            </w:r>
          </w:p>
          <w:p w14:paraId="4A8C7F81" w14:textId="77777777" w:rsidR="007E784D" w:rsidRPr="0080251F" w:rsidRDefault="007E784D" w:rsidP="009A17C7">
            <w:pPr>
              <w:spacing w:line="259" w:lineRule="auto"/>
              <w:rPr>
                <w:rFonts w:ascii="Times New Roman" w:hAnsi="Times New Roman"/>
                <w:bCs/>
                <w:iCs/>
                <w:color w:val="000000"/>
                <w:sz w:val="18"/>
                <w:szCs w:val="18"/>
                <w:lang w:val="ro-MD"/>
              </w:rPr>
            </w:pPr>
            <w:r w:rsidRPr="0080251F">
              <w:rPr>
                <w:rFonts w:ascii="Times New Roman" w:eastAsia="Times New Roman" w:hAnsi="Times New Roman"/>
                <w:b/>
                <w:bCs/>
                <w:color w:val="000000"/>
                <w:sz w:val="18"/>
                <w:szCs w:val="18"/>
                <w:lang w:val="ro-MD"/>
              </w:rPr>
              <w:t>Ordinul Ministerului Finanțelor cu privire la aprobarea Regulamentului privind inventarierea nr.60 din</w:t>
            </w:r>
            <w:r w:rsidRPr="0080251F">
              <w:rPr>
                <w:rFonts w:ascii="Times New Roman" w:eastAsia="Times New Roman" w:hAnsi="Times New Roman"/>
                <w:b/>
                <w:bCs/>
                <w:iCs/>
                <w:color w:val="000000"/>
                <w:sz w:val="18"/>
                <w:szCs w:val="18"/>
                <w:lang w:val="ro-MD"/>
              </w:rPr>
              <w:t xml:space="preserve"> 29.05.2012: 1) pct.8</w:t>
            </w:r>
            <w:r w:rsidRPr="0080251F">
              <w:rPr>
                <w:rFonts w:ascii="Times New Roman" w:eastAsia="Times New Roman" w:hAnsi="Times New Roman"/>
                <w:bCs/>
                <w:iCs/>
                <w:color w:val="000000"/>
                <w:sz w:val="18"/>
                <w:szCs w:val="18"/>
                <w:lang w:val="ro-MD"/>
              </w:rPr>
              <w:t xml:space="preserve">.; </w:t>
            </w:r>
            <w:r w:rsidRPr="0080251F">
              <w:rPr>
                <w:rFonts w:ascii="Times New Roman" w:eastAsia="Times New Roman" w:hAnsi="Times New Roman"/>
                <w:b/>
                <w:bCs/>
                <w:iCs/>
                <w:color w:val="000000"/>
                <w:sz w:val="18"/>
                <w:szCs w:val="18"/>
                <w:lang w:val="ro-MD"/>
              </w:rPr>
              <w:t>2) pct.</w:t>
            </w:r>
            <w:r w:rsidRPr="0080251F">
              <w:rPr>
                <w:rFonts w:ascii="Times New Roman" w:hAnsi="Times New Roman"/>
                <w:b/>
                <w:bCs/>
                <w:iCs/>
                <w:color w:val="000000"/>
                <w:sz w:val="18"/>
                <w:szCs w:val="18"/>
                <w:lang w:val="ro-MD"/>
              </w:rPr>
              <w:t xml:space="preserve">71. - </w:t>
            </w:r>
            <w:r w:rsidRPr="0080251F">
              <w:rPr>
                <w:rFonts w:ascii="Times New Roman" w:hAnsi="Times New Roman"/>
                <w:bCs/>
                <w:iCs/>
                <w:color w:val="000000"/>
                <w:sz w:val="18"/>
                <w:szCs w:val="18"/>
                <w:lang w:val="ro-MD"/>
              </w:rPr>
              <w:t xml:space="preserve">Inventarierii se supun toate tipurile de creanțe și datorii ale entității privind decontările cu: </w:t>
            </w:r>
            <w:r w:rsidRPr="0080251F">
              <w:rPr>
                <w:rFonts w:ascii="Times New Roman" w:eastAsia="Times New Roman" w:hAnsi="Times New Roman"/>
                <w:bCs/>
                <w:iCs/>
                <w:color w:val="000000"/>
                <w:sz w:val="18"/>
                <w:szCs w:val="18"/>
                <w:lang w:val="ro-MD"/>
              </w:rPr>
              <w:t xml:space="preserve">1) cumpărătorii și beneficiarii; 2) furnizorii și antreprenorii; 3) bugetul; 4) instituțiile financiare; 5) organele de asigurări sociale și de asistență medicală; 6) fondatorii (asociați, participanți); 7) pârțile afiliate; 8) personalul, inclusiv titularii de avans și deponenții; 9) alți debitori și creditori; </w:t>
            </w:r>
            <w:r w:rsidRPr="0080251F">
              <w:rPr>
                <w:rFonts w:ascii="Times New Roman" w:eastAsia="Times New Roman" w:hAnsi="Times New Roman"/>
                <w:b/>
                <w:bCs/>
                <w:iCs/>
                <w:color w:val="000000"/>
                <w:sz w:val="18"/>
                <w:szCs w:val="18"/>
                <w:lang w:val="ro-MD"/>
              </w:rPr>
              <w:t>pct.80.; pct.81.</w:t>
            </w:r>
          </w:p>
        </w:tc>
        <w:tc>
          <w:tcPr>
            <w:tcW w:w="2410" w:type="dxa"/>
            <w:shd w:val="clear" w:color="auto" w:fill="auto"/>
          </w:tcPr>
          <w:p w14:paraId="0B0461E4" w14:textId="0001A758"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documentele/contra</w:t>
            </w:r>
            <w:r w:rsidR="004873F3"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tele de vânzare/livrare; soldurile raportate în bilanțul contabil în anii precedenți; actele/facturile de livrare; actele de verificare a decontărilor reciproce;</w:t>
            </w:r>
            <w:r w:rsidRPr="0080251F">
              <w:rPr>
                <w:rFonts w:ascii="Times New Roman" w:eastAsia="Times New Roman" w:hAnsi="Times New Roman" w:cstheme="minorBidi"/>
                <w:bCs/>
                <w:color w:val="000000"/>
                <w:sz w:val="18"/>
                <w:szCs w:val="18"/>
                <w:lang w:val="ro-MD"/>
              </w:rPr>
              <w:t xml:space="preserve"> </w:t>
            </w:r>
            <w:r w:rsidRPr="0080251F">
              <w:rPr>
                <w:rFonts w:ascii="Times New Roman" w:eastAsia="Times New Roman" w:hAnsi="Times New Roman"/>
                <w:bCs/>
                <w:color w:val="000000"/>
                <w:sz w:val="18"/>
                <w:szCs w:val="18"/>
                <w:lang w:val="ro-MD"/>
              </w:rPr>
              <w:t>documentele de inventariere.</w:t>
            </w:r>
          </w:p>
          <w:p w14:paraId="422C1C21"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w:t>
            </w:r>
          </w:p>
        </w:tc>
        <w:tc>
          <w:tcPr>
            <w:tcW w:w="2273" w:type="dxa"/>
            <w:shd w:val="clear" w:color="auto" w:fill="auto"/>
          </w:tcPr>
          <w:p w14:paraId="313FEF96" w14:textId="7AE92AC4"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cont de evidență si raportare contabilă a operațiunilor financiar</w:t>
            </w:r>
            <w:r w:rsidR="004873F3"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economice (creanțe comerciale și calculate: conturile 211-222, 224-226, 231-234). În baza testărilor efectuate, au fost verificate toate operațiunile înregistrate la conturile de evidență - 100 %.</w:t>
            </w:r>
          </w:p>
        </w:tc>
      </w:tr>
      <w:tr w:rsidR="007E784D" w:rsidRPr="0080251F" w14:paraId="73D66FC9" w14:textId="77777777" w:rsidTr="008A1A07">
        <w:trPr>
          <w:trHeight w:val="59"/>
        </w:trPr>
        <w:tc>
          <w:tcPr>
            <w:tcW w:w="2127" w:type="dxa"/>
            <w:shd w:val="clear" w:color="auto" w:fill="auto"/>
          </w:tcPr>
          <w:p w14:paraId="63F0265A" w14:textId="77777777" w:rsidR="007E784D" w:rsidRPr="0080251F" w:rsidRDefault="007E784D" w:rsidP="009A17C7">
            <w:pPr>
              <w:tabs>
                <w:tab w:val="left" w:pos="318"/>
              </w:tabs>
              <w:spacing w:line="259" w:lineRule="auto"/>
              <w:rPr>
                <w:rFonts w:ascii="Times New Roman" w:hAnsi="Times New Roman"/>
                <w:bCs/>
                <w:color w:val="000000" w:themeColor="text1"/>
                <w:sz w:val="18"/>
                <w:szCs w:val="18"/>
                <w:lang w:val="ro-MD"/>
              </w:rPr>
            </w:pPr>
            <w:r w:rsidRPr="0080251F">
              <w:rPr>
                <w:rFonts w:ascii="Times New Roman" w:hAnsi="Times New Roman"/>
                <w:bCs/>
                <w:color w:val="000000" w:themeColor="text1"/>
                <w:sz w:val="18"/>
                <w:szCs w:val="18"/>
                <w:lang w:val="ro-MD"/>
              </w:rPr>
              <w:t>4.3. Înregistrarea neconformă a valorii datoriilor în evidența contabilă.</w:t>
            </w:r>
          </w:p>
        </w:tc>
        <w:tc>
          <w:tcPr>
            <w:tcW w:w="8363" w:type="dxa"/>
            <w:shd w:val="clear" w:color="auto" w:fill="auto"/>
          </w:tcPr>
          <w:p w14:paraId="0EFC3C84"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Legea contabilității și raportării financiare nr.287 din 15.12.2017: art.6; art.11; art.20.</w:t>
            </w:r>
            <w:r w:rsidRPr="0080251F">
              <w:rPr>
                <w:rFonts w:ascii="Times New Roman" w:eastAsia="Times New Roman" w:hAnsi="Times New Roman"/>
                <w:bCs/>
                <w:color w:val="000000"/>
                <w:sz w:val="18"/>
                <w:szCs w:val="18"/>
                <w:lang w:val="ro-MD"/>
              </w:rPr>
              <w:t xml:space="preserve"> </w:t>
            </w:r>
          </w:p>
          <w:p w14:paraId="7DAA440E" w14:textId="77777777" w:rsidR="007E784D" w:rsidRPr="0080251F" w:rsidRDefault="007E784D" w:rsidP="009A17C7">
            <w:pPr>
              <w:spacing w:line="259" w:lineRule="auto"/>
              <w:rPr>
                <w:rFonts w:ascii="Times New Roman" w:eastAsia="Times New Roman" w:hAnsi="Times New Roman"/>
                <w:bCs/>
                <w:iCs/>
                <w:color w:val="000000"/>
                <w:sz w:val="18"/>
                <w:szCs w:val="18"/>
                <w:lang w:val="ro-MD"/>
              </w:rPr>
            </w:pPr>
            <w:r w:rsidRPr="0080251F">
              <w:rPr>
                <w:rFonts w:ascii="Times New Roman" w:eastAsia="Times New Roman" w:hAnsi="Times New Roman"/>
                <w:b/>
                <w:bCs/>
                <w:color w:val="000000"/>
                <w:sz w:val="18"/>
                <w:szCs w:val="18"/>
                <w:lang w:val="ro-MD"/>
              </w:rPr>
              <w:t>Ordinul Ministerului Finanțelor cu privire la aprobarea Regulamentului privind inventarierea nr.60 din</w:t>
            </w:r>
            <w:r w:rsidRPr="0080251F">
              <w:rPr>
                <w:rFonts w:ascii="Times New Roman" w:eastAsia="Times New Roman" w:hAnsi="Times New Roman"/>
                <w:b/>
                <w:bCs/>
                <w:iCs/>
                <w:color w:val="000000"/>
                <w:sz w:val="18"/>
                <w:szCs w:val="18"/>
                <w:lang w:val="ro-MD"/>
              </w:rPr>
              <w:t xml:space="preserve"> 29.05.2012: 1) pct.8.; 2) pct.71.; pct.80.; pct.81.</w:t>
            </w:r>
          </w:p>
        </w:tc>
        <w:tc>
          <w:tcPr>
            <w:tcW w:w="2410" w:type="dxa"/>
            <w:shd w:val="clear" w:color="auto" w:fill="auto"/>
          </w:tcPr>
          <w:p w14:paraId="0801BE75" w14:textId="765FA744"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documentele/contra</w:t>
            </w:r>
            <w:r w:rsidR="004873F3"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tele de achiziție; soldurile raportate în bilanțul contabil în anii precedenți; actele/facturile de livrare; actele de verificare a decontărilor reciproce; registrul procurărilor; documentele de inventariere.</w:t>
            </w:r>
          </w:p>
          <w:p w14:paraId="45F43B3C"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w:t>
            </w:r>
          </w:p>
        </w:tc>
        <w:tc>
          <w:tcPr>
            <w:tcW w:w="2273" w:type="dxa"/>
            <w:shd w:val="clear" w:color="auto" w:fill="auto"/>
          </w:tcPr>
          <w:p w14:paraId="4591577F" w14:textId="5E1A8DEC"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cont de evidență si raportare contabilă a operațiunilor financiar</w:t>
            </w:r>
            <w:r w:rsidR="004873F3"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economice (datorii pe termen lung și curente: conturile 424-427, 511, 521, 523, 531-536, 538, 544). În baza testărilor efectuate, au fost verificate toate operațiunile înregistrate la conturile de evidență - 100 %.</w:t>
            </w:r>
          </w:p>
        </w:tc>
      </w:tr>
      <w:tr w:rsidR="007E784D" w:rsidRPr="0080251F" w14:paraId="739E728E" w14:textId="77777777" w:rsidTr="008A1A07">
        <w:trPr>
          <w:trHeight w:val="164"/>
        </w:trPr>
        <w:tc>
          <w:tcPr>
            <w:tcW w:w="15173" w:type="dxa"/>
            <w:gridSpan w:val="4"/>
            <w:shd w:val="clear" w:color="auto" w:fill="C5E0B3" w:themeFill="accent6" w:themeFillTint="66"/>
          </w:tcPr>
          <w:p w14:paraId="048B6B42"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 xml:space="preserve">Obiectivul 4.4. </w:t>
            </w:r>
            <w:r w:rsidRPr="0080251F">
              <w:rPr>
                <w:rFonts w:ascii="Times New Roman" w:eastAsia="Times New Roman" w:hAnsi="Times New Roman"/>
                <w:b/>
                <w:bCs/>
                <w:iCs/>
                <w:color w:val="000000"/>
                <w:sz w:val="18"/>
                <w:szCs w:val="18"/>
                <w:lang w:val="ro-MD"/>
              </w:rPr>
              <w:t>Plățile salariale la S.A. „RED-Nord” au fost determinate și achitate în conformitate cu cadrul normativ?</w:t>
            </w:r>
          </w:p>
        </w:tc>
      </w:tr>
      <w:tr w:rsidR="007E784D" w:rsidRPr="0080251F" w14:paraId="10236293" w14:textId="77777777" w:rsidTr="008A1A07">
        <w:trPr>
          <w:trHeight w:val="59"/>
        </w:trPr>
        <w:tc>
          <w:tcPr>
            <w:tcW w:w="2127" w:type="dxa"/>
            <w:shd w:val="clear" w:color="auto" w:fill="auto"/>
          </w:tcPr>
          <w:p w14:paraId="209D988A" w14:textId="3BC38627" w:rsidR="007E784D" w:rsidRPr="0080251F" w:rsidRDefault="007E784D" w:rsidP="009A17C7">
            <w:pPr>
              <w:spacing w:line="259" w:lineRule="auto"/>
              <w:rPr>
                <w:rFonts w:ascii="Times New Roman" w:hAnsi="Times New Roman"/>
                <w:bCs/>
                <w:color w:val="000000" w:themeColor="text1"/>
                <w:sz w:val="18"/>
                <w:szCs w:val="18"/>
                <w:lang w:val="ro-MD"/>
              </w:rPr>
            </w:pPr>
            <w:r w:rsidRPr="0080251F">
              <w:rPr>
                <w:rFonts w:ascii="Times New Roman" w:hAnsi="Times New Roman"/>
                <w:color w:val="000000" w:themeColor="text1"/>
                <w:sz w:val="18"/>
                <w:szCs w:val="18"/>
                <w:lang w:val="ro-MD"/>
              </w:rPr>
              <w:t>4.4.1. – 4.4.3. Stabilirea neconformă a drepturilor salariale - salariul de bază, premii, suplimente și ad</w:t>
            </w:r>
            <w:r w:rsidR="004873F3" w:rsidRPr="0080251F">
              <w:rPr>
                <w:rFonts w:ascii="Times New Roman" w:hAnsi="Times New Roman"/>
                <w:color w:val="000000" w:themeColor="text1"/>
                <w:sz w:val="18"/>
                <w:szCs w:val="18"/>
                <w:lang w:val="ro-MD"/>
              </w:rPr>
              <w:t>o</w:t>
            </w:r>
            <w:r w:rsidRPr="0080251F">
              <w:rPr>
                <w:rFonts w:ascii="Times New Roman" w:hAnsi="Times New Roman"/>
                <w:color w:val="000000" w:themeColor="text1"/>
                <w:sz w:val="18"/>
                <w:szCs w:val="18"/>
                <w:lang w:val="ro-MD"/>
              </w:rPr>
              <w:t>usuri la salariul de bază.</w:t>
            </w:r>
          </w:p>
        </w:tc>
        <w:tc>
          <w:tcPr>
            <w:tcW w:w="8363" w:type="dxa"/>
            <w:shd w:val="clear" w:color="auto" w:fill="auto"/>
          </w:tcPr>
          <w:p w14:paraId="58F1AFC9" w14:textId="56FE63D4" w:rsidR="007E784D" w:rsidRPr="0080251F" w:rsidRDefault="007E784D" w:rsidP="009A17C7">
            <w:pPr>
              <w:spacing w:line="259" w:lineRule="auto"/>
              <w:rPr>
                <w:rFonts w:ascii="Times New Roman" w:hAnsi="Times New Roman"/>
                <w:bCs/>
                <w:color w:val="000000" w:themeColor="text1"/>
                <w:sz w:val="18"/>
                <w:szCs w:val="18"/>
                <w:lang w:val="ro-MD"/>
              </w:rPr>
            </w:pPr>
            <w:r w:rsidRPr="0080251F">
              <w:rPr>
                <w:rFonts w:ascii="Times New Roman" w:hAnsi="Times New Roman"/>
                <w:b/>
                <w:bCs/>
                <w:color w:val="000000" w:themeColor="text1"/>
                <w:sz w:val="18"/>
                <w:szCs w:val="18"/>
                <w:lang w:val="ro-MD"/>
              </w:rPr>
              <w:t xml:space="preserve">Codul </w:t>
            </w:r>
            <w:r w:rsidR="0051537D" w:rsidRPr="0080251F">
              <w:rPr>
                <w:rFonts w:ascii="Times New Roman" w:hAnsi="Times New Roman"/>
                <w:b/>
                <w:bCs/>
                <w:color w:val="000000" w:themeColor="text1"/>
                <w:sz w:val="18"/>
                <w:szCs w:val="18"/>
                <w:lang w:val="ro-MD"/>
              </w:rPr>
              <w:t>m</w:t>
            </w:r>
            <w:r w:rsidRPr="0080251F">
              <w:rPr>
                <w:rFonts w:ascii="Times New Roman" w:hAnsi="Times New Roman"/>
                <w:b/>
                <w:bCs/>
                <w:color w:val="000000" w:themeColor="text1"/>
                <w:sz w:val="18"/>
                <w:szCs w:val="18"/>
                <w:lang w:val="ro-MD"/>
              </w:rPr>
              <w:t>uncii: art.167</w:t>
            </w:r>
            <w:r w:rsidRPr="0080251F">
              <w:rPr>
                <w:rFonts w:ascii="Times New Roman" w:hAnsi="Times New Roman"/>
                <w:bCs/>
                <w:color w:val="000000" w:themeColor="text1"/>
                <w:sz w:val="18"/>
                <w:szCs w:val="18"/>
                <w:lang w:val="ro-MD"/>
              </w:rPr>
              <w:t xml:space="preserve"> - Prin </w:t>
            </w:r>
            <w:r w:rsidRPr="0080251F">
              <w:rPr>
                <w:rFonts w:ascii="Times New Roman" w:hAnsi="Times New Roman"/>
                <w:bCs/>
                <w:iCs/>
                <w:color w:val="000000" w:themeColor="text1"/>
                <w:sz w:val="18"/>
                <w:szCs w:val="18"/>
                <w:lang w:val="ro-MD"/>
              </w:rPr>
              <w:t>norme de muncă</w:t>
            </w:r>
            <w:r w:rsidRPr="0080251F">
              <w:rPr>
                <w:rFonts w:ascii="Times New Roman" w:hAnsi="Times New Roman"/>
                <w:bCs/>
                <w:color w:val="000000" w:themeColor="text1"/>
                <w:sz w:val="18"/>
                <w:szCs w:val="18"/>
                <w:lang w:val="ro-MD"/>
              </w:rPr>
              <w:t xml:space="preserve"> se înțeleg normele de producție, de timp, de deservire, de personal care se stabilesc de către angajator pentru salariați în concordanță cu nivelul atins al tehnicii și tehnologiei, al organizării producției și a muncii, astfel încât să corespundă condițiilor concrete din unitate și să nu conducă la suprasolicitarea salariaților.</w:t>
            </w:r>
          </w:p>
          <w:p w14:paraId="4AF1A110" w14:textId="77777777" w:rsidR="007E784D" w:rsidRPr="0080251F" w:rsidRDefault="007E784D" w:rsidP="009A17C7">
            <w:pPr>
              <w:spacing w:line="259" w:lineRule="auto"/>
              <w:rPr>
                <w:rFonts w:ascii="Times New Roman" w:hAnsi="Times New Roman"/>
                <w:bCs/>
                <w:color w:val="000000" w:themeColor="text1"/>
                <w:sz w:val="18"/>
                <w:szCs w:val="18"/>
                <w:lang w:val="ro-MD"/>
              </w:rPr>
            </w:pPr>
            <w:r w:rsidRPr="0080251F">
              <w:rPr>
                <w:rFonts w:ascii="Times New Roman" w:hAnsi="Times New Roman"/>
                <w:b/>
                <w:bCs/>
                <w:color w:val="000000" w:themeColor="text1"/>
                <w:sz w:val="18"/>
                <w:szCs w:val="18"/>
                <w:lang w:val="ro-MD"/>
              </w:rPr>
              <w:t>Legea privind controlul financiar public intern nr.229 din 23.09.2010: art.19 alin.(6</w:t>
            </w:r>
            <w:r w:rsidRPr="0080251F">
              <w:rPr>
                <w:rFonts w:ascii="Times New Roman" w:hAnsi="Times New Roman"/>
                <w:bCs/>
                <w:color w:val="000000" w:themeColor="text1"/>
                <w:sz w:val="18"/>
                <w:szCs w:val="18"/>
                <w:lang w:val="ro-MD"/>
              </w:rPr>
              <w:t>) - Conducătorul subdiviziunii de audit intern deține certificat de calificare profesională în domeniul auditului intern în sectorul public, eliberat de către Ministerul Finanțelor, sau certificat de calificare cu recunoaștere internațională în domeniul auditului intern.</w:t>
            </w:r>
          </w:p>
          <w:p w14:paraId="32BCC3FF" w14:textId="77777777" w:rsidR="007E784D" w:rsidRPr="0080251F" w:rsidRDefault="007E784D" w:rsidP="009A17C7">
            <w:pPr>
              <w:spacing w:line="259" w:lineRule="auto"/>
              <w:rPr>
                <w:rFonts w:ascii="Times New Roman" w:hAnsi="Times New Roman"/>
                <w:bCs/>
                <w:color w:val="000000" w:themeColor="text1"/>
                <w:sz w:val="18"/>
                <w:szCs w:val="18"/>
                <w:lang w:val="ro-MD"/>
              </w:rPr>
            </w:pPr>
            <w:r w:rsidRPr="0080251F">
              <w:rPr>
                <w:rFonts w:ascii="Times New Roman" w:hAnsi="Times New Roman"/>
                <w:b/>
                <w:bCs/>
                <w:color w:val="000000" w:themeColor="text1"/>
                <w:sz w:val="18"/>
                <w:szCs w:val="18"/>
                <w:lang w:val="ro-MD"/>
              </w:rPr>
              <w:t>Legea salarizării nr.847 din 14.02.2002: art.15</w:t>
            </w:r>
            <w:r w:rsidRPr="0080251F">
              <w:rPr>
                <w:rFonts w:ascii="Times New Roman" w:hAnsi="Times New Roman"/>
                <w:bCs/>
                <w:color w:val="000000" w:themeColor="text1"/>
                <w:sz w:val="18"/>
                <w:szCs w:val="18"/>
                <w:lang w:val="ro-MD"/>
              </w:rPr>
              <w:t xml:space="preserve"> - Este reglementat că mărimea concretă a sporurilor de compensare pentru munca prestată în condiții nefavorabile se stabilește în funcție de greutate și nocivitate, în limitele negociate de partenerii sociali și aprobate prin convenția colectivă la nivel național și ramural.</w:t>
            </w:r>
          </w:p>
          <w:p w14:paraId="0EB7D7AB" w14:textId="77777777"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b/>
                <w:bCs/>
                <w:color w:val="000000" w:themeColor="text1"/>
                <w:sz w:val="18"/>
                <w:szCs w:val="18"/>
                <w:lang w:val="ro-MD"/>
              </w:rPr>
              <w:t>Convenția colectivă la nivel de ramură: pct.4.4</w:t>
            </w:r>
            <w:r w:rsidRPr="0080251F">
              <w:rPr>
                <w:rFonts w:ascii="Times New Roman" w:hAnsi="Times New Roman"/>
                <w:bCs/>
                <w:color w:val="000000" w:themeColor="text1"/>
                <w:sz w:val="18"/>
                <w:szCs w:val="18"/>
                <w:lang w:val="ro-MD"/>
              </w:rPr>
              <w:t>. – Se stipulează că pentru salariații care activează în condiții de muncă nefavorabile se stabilesc, în funcție de starea reală a condițiilor de muncă, sporuri de compensare în mărimile prevăzute de Convenția colectivă (nivel național) nr.1 din 3 februarie 2004 „Salarizarea angajaților aflați în relații de muncă în baza contractelor individuale de muncă”.</w:t>
            </w:r>
          </w:p>
          <w:p w14:paraId="3DD98048" w14:textId="77777777" w:rsidR="007E784D" w:rsidRPr="0080251F" w:rsidRDefault="007E784D" w:rsidP="009A17C7">
            <w:pPr>
              <w:spacing w:line="259" w:lineRule="auto"/>
              <w:rPr>
                <w:rFonts w:ascii="Times New Roman" w:hAnsi="Times New Roman"/>
                <w:bCs/>
                <w:color w:val="000000" w:themeColor="text1"/>
                <w:sz w:val="18"/>
                <w:szCs w:val="18"/>
                <w:lang w:val="ro-MD"/>
              </w:rPr>
            </w:pPr>
            <w:r w:rsidRPr="0080251F">
              <w:rPr>
                <w:rFonts w:ascii="Times New Roman" w:hAnsi="Times New Roman"/>
                <w:b/>
                <w:bCs/>
                <w:color w:val="000000" w:themeColor="text1"/>
                <w:sz w:val="18"/>
                <w:szCs w:val="18"/>
                <w:lang w:val="ro-MD"/>
              </w:rPr>
              <w:t>HG nr.98 din 04.02.2013 „Pentru aprobarea Regulamentului privind modul de organizare a normării muncii în ramurile economiei naționale”: pct.9</w:t>
            </w:r>
            <w:r w:rsidRPr="0080251F">
              <w:rPr>
                <w:rFonts w:ascii="Times New Roman" w:hAnsi="Times New Roman"/>
                <w:bCs/>
                <w:color w:val="000000" w:themeColor="text1"/>
                <w:sz w:val="18"/>
                <w:szCs w:val="18"/>
                <w:lang w:val="ro-MD"/>
              </w:rPr>
              <w:t xml:space="preserve"> - Conform domeniului de aplicare normativele de muncă se divizează în: </w:t>
            </w:r>
            <w:r w:rsidRPr="0080251F">
              <w:rPr>
                <w:rFonts w:ascii="Times New Roman" w:hAnsi="Times New Roman"/>
                <w:b/>
                <w:bCs/>
                <w:color w:val="000000" w:themeColor="text1"/>
                <w:sz w:val="18"/>
                <w:szCs w:val="18"/>
                <w:lang w:val="ro-MD"/>
              </w:rPr>
              <w:t>normative de muncă interramurale</w:t>
            </w:r>
            <w:r w:rsidRPr="0080251F">
              <w:rPr>
                <w:rFonts w:ascii="Times New Roman" w:hAnsi="Times New Roman"/>
                <w:bCs/>
                <w:color w:val="000000" w:themeColor="text1"/>
                <w:sz w:val="18"/>
                <w:szCs w:val="18"/>
                <w:lang w:val="ro-MD"/>
              </w:rPr>
              <w:t xml:space="preserve"> – normative de muncă cu caracter unificat elaborate ținând cont de condițiile tehnico-organizatorice generalizate în unități din diferite ramuri; </w:t>
            </w:r>
            <w:r w:rsidRPr="0080251F">
              <w:rPr>
                <w:rFonts w:ascii="Times New Roman" w:hAnsi="Times New Roman"/>
                <w:b/>
                <w:bCs/>
                <w:color w:val="000000" w:themeColor="text1"/>
                <w:sz w:val="18"/>
                <w:szCs w:val="18"/>
                <w:lang w:val="ro-MD"/>
              </w:rPr>
              <w:t>normative de muncă ramurale</w:t>
            </w:r>
            <w:r w:rsidRPr="0080251F">
              <w:rPr>
                <w:rFonts w:ascii="Times New Roman" w:hAnsi="Times New Roman"/>
                <w:bCs/>
                <w:color w:val="000000" w:themeColor="text1"/>
                <w:sz w:val="18"/>
                <w:szCs w:val="18"/>
                <w:lang w:val="ro-MD"/>
              </w:rPr>
              <w:t xml:space="preserve"> – normative de muncă elaborate pentru lucrările specifice unei ramuri concrete. La elaborarea acestora se efectuează cercetări în unitățile unei ramuri aparte; </w:t>
            </w:r>
            <w:r w:rsidRPr="0080251F">
              <w:rPr>
                <w:rFonts w:ascii="Times New Roman" w:hAnsi="Times New Roman"/>
                <w:b/>
                <w:bCs/>
                <w:color w:val="000000" w:themeColor="text1"/>
                <w:sz w:val="18"/>
                <w:szCs w:val="18"/>
                <w:lang w:val="ro-MD"/>
              </w:rPr>
              <w:t>normative de muncă locale</w:t>
            </w:r>
            <w:r w:rsidRPr="0080251F">
              <w:rPr>
                <w:rFonts w:ascii="Times New Roman" w:hAnsi="Times New Roman"/>
                <w:bCs/>
                <w:color w:val="000000" w:themeColor="text1"/>
                <w:sz w:val="18"/>
                <w:szCs w:val="18"/>
                <w:lang w:val="ro-MD"/>
              </w:rPr>
              <w:t xml:space="preserve"> – normative de muncă elaborate nemijlocit în unități și la acele feluri de lucrări care sunt specifice pentru unitate și pentru care lipsesc norme interramurale sau ramurale.</w:t>
            </w:r>
          </w:p>
          <w:p w14:paraId="5C1B16BB" w14:textId="77777777" w:rsidR="007E784D" w:rsidRPr="0080251F" w:rsidRDefault="007E784D" w:rsidP="009A17C7">
            <w:pPr>
              <w:spacing w:line="259" w:lineRule="auto"/>
              <w:rPr>
                <w:rFonts w:ascii="Times New Roman" w:hAnsi="Times New Roman"/>
                <w:bCs/>
                <w:color w:val="000000" w:themeColor="text1"/>
                <w:sz w:val="18"/>
                <w:szCs w:val="18"/>
                <w:lang w:val="ro-MD"/>
              </w:rPr>
            </w:pPr>
            <w:r w:rsidRPr="0080251F">
              <w:rPr>
                <w:rFonts w:ascii="Times New Roman" w:hAnsi="Times New Roman"/>
                <w:b/>
                <w:bCs/>
                <w:color w:val="000000" w:themeColor="text1"/>
                <w:sz w:val="18"/>
                <w:szCs w:val="18"/>
                <w:lang w:val="ro-MD"/>
              </w:rPr>
              <w:t>HG nr.743 din 11.06.2002 „Cu privire la salarizarea angajaților din unitățile cu autonomie financiară”:  1) pct.3 -</w:t>
            </w:r>
            <w:r w:rsidRPr="0080251F">
              <w:rPr>
                <w:rFonts w:ascii="Times New Roman" w:eastAsiaTheme="minorHAnsi" w:hAnsi="Times New Roman"/>
                <w:sz w:val="22"/>
                <w:szCs w:val="22"/>
                <w:lang w:val="ro-MD"/>
              </w:rPr>
              <w:t xml:space="preserve"> </w:t>
            </w:r>
            <w:r w:rsidRPr="0080251F">
              <w:rPr>
                <w:rFonts w:ascii="Times New Roman" w:hAnsi="Times New Roman"/>
                <w:bCs/>
                <w:color w:val="000000" w:themeColor="text1"/>
                <w:sz w:val="18"/>
                <w:szCs w:val="18"/>
                <w:lang w:val="ro-MD"/>
              </w:rPr>
              <w:t>Evaluarea complexității lucrărilor executate și a performanțelor individuale pentru stabilirea salariului de funcție în raport proporțional cu salariul minim sau al salariului tarifar stabilit la unitate se efectuează de către angajator.</w:t>
            </w:r>
            <w:r w:rsidRPr="0080251F">
              <w:rPr>
                <w:rFonts w:ascii="Times New Roman" w:hAnsi="Times New Roman"/>
                <w:b/>
                <w:bCs/>
                <w:color w:val="000000" w:themeColor="text1"/>
                <w:sz w:val="18"/>
                <w:szCs w:val="18"/>
                <w:lang w:val="ro-MD"/>
              </w:rPr>
              <w:t xml:space="preserve"> 2) Anexa nr.4 -  </w:t>
            </w:r>
            <w:r w:rsidRPr="0080251F">
              <w:rPr>
                <w:rFonts w:ascii="Times New Roman" w:hAnsi="Times New Roman"/>
                <w:bCs/>
                <w:color w:val="000000" w:themeColor="text1"/>
                <w:sz w:val="18"/>
                <w:szCs w:val="18"/>
                <w:lang w:val="ro-MD"/>
              </w:rPr>
              <w:t xml:space="preserve">se reglementează diapazonul </w:t>
            </w:r>
            <w:r w:rsidRPr="0080251F">
              <w:rPr>
                <w:rFonts w:ascii="Times New Roman" w:hAnsi="Times New Roman"/>
                <w:bCs/>
                <w:iCs/>
                <w:color w:val="000000" w:themeColor="text1"/>
                <w:sz w:val="18"/>
                <w:szCs w:val="18"/>
                <w:lang w:val="ro-MD"/>
              </w:rPr>
              <w:t>coeficienților de multiplicare</w:t>
            </w:r>
            <w:r w:rsidRPr="0080251F">
              <w:rPr>
                <w:rFonts w:ascii="Times New Roman" w:hAnsi="Times New Roman"/>
                <w:bCs/>
                <w:color w:val="000000" w:themeColor="text1"/>
                <w:sz w:val="18"/>
                <w:szCs w:val="18"/>
                <w:lang w:val="ro-MD"/>
              </w:rPr>
              <w:t xml:space="preserve"> și </w:t>
            </w:r>
            <w:r w:rsidRPr="0080251F">
              <w:rPr>
                <w:rFonts w:ascii="Times New Roman" w:hAnsi="Times New Roman"/>
                <w:bCs/>
                <w:iCs/>
                <w:color w:val="000000" w:themeColor="text1"/>
                <w:sz w:val="18"/>
                <w:szCs w:val="18"/>
                <w:lang w:val="ro-MD"/>
              </w:rPr>
              <w:t>categoria respectivă de angajat</w:t>
            </w:r>
            <w:r w:rsidRPr="0080251F">
              <w:rPr>
                <w:rFonts w:ascii="Times New Roman" w:hAnsi="Times New Roman"/>
                <w:bCs/>
                <w:color w:val="000000" w:themeColor="text1"/>
                <w:sz w:val="18"/>
                <w:szCs w:val="18"/>
                <w:lang w:val="ro-MD"/>
              </w:rPr>
              <w:t xml:space="preserve">. - </w:t>
            </w:r>
            <w:r w:rsidRPr="0080251F">
              <w:rPr>
                <w:rFonts w:ascii="Times New Roman" w:hAnsi="Times New Roman"/>
                <w:b/>
                <w:bCs/>
                <w:color w:val="000000" w:themeColor="text1"/>
                <w:sz w:val="18"/>
                <w:szCs w:val="18"/>
                <w:lang w:val="ro-MD"/>
              </w:rPr>
              <w:t xml:space="preserve">3) Anexa nr.4, </w:t>
            </w:r>
            <w:r w:rsidRPr="0080251F">
              <w:rPr>
                <w:rFonts w:ascii="Times New Roman" w:hAnsi="Times New Roman"/>
                <w:b/>
                <w:bCs/>
                <w:iCs/>
                <w:color w:val="000000" w:themeColor="text1"/>
                <w:sz w:val="18"/>
                <w:szCs w:val="18"/>
                <w:lang w:val="ro-MD"/>
              </w:rPr>
              <w:t>Note:</w:t>
            </w:r>
            <w:r w:rsidRPr="0080251F">
              <w:rPr>
                <w:rFonts w:ascii="Times New Roman" w:hAnsi="Times New Roman"/>
                <w:b/>
                <w:bCs/>
                <w:color w:val="000000" w:themeColor="text1"/>
                <w:sz w:val="18"/>
                <w:szCs w:val="18"/>
                <w:lang w:val="ro-MD"/>
              </w:rPr>
              <w:t xml:space="preserve"> 1. </w:t>
            </w:r>
            <w:r w:rsidRPr="0080251F">
              <w:rPr>
                <w:rFonts w:ascii="Times New Roman" w:hAnsi="Times New Roman"/>
                <w:bCs/>
                <w:color w:val="000000" w:themeColor="text1"/>
                <w:sz w:val="18"/>
                <w:szCs w:val="18"/>
                <w:lang w:val="ro-MD"/>
              </w:rPr>
              <w:t xml:space="preserve">Raportarea personalului la categoriile de personal se efectuează în conformitate cu Clasificatorul ocupațiilor din Republica Moldova. </w:t>
            </w:r>
            <w:r w:rsidRPr="0080251F">
              <w:rPr>
                <w:rFonts w:ascii="Times New Roman" w:hAnsi="Times New Roman"/>
                <w:b/>
                <w:bCs/>
                <w:color w:val="000000" w:themeColor="text1"/>
                <w:sz w:val="18"/>
                <w:szCs w:val="18"/>
                <w:lang w:val="ro-MD"/>
              </w:rPr>
              <w:t xml:space="preserve">4) Anexa nr.6 – </w:t>
            </w:r>
            <w:r w:rsidRPr="0080251F">
              <w:rPr>
                <w:rFonts w:ascii="Times New Roman" w:hAnsi="Times New Roman"/>
                <w:bCs/>
                <w:color w:val="000000" w:themeColor="text1"/>
                <w:sz w:val="18"/>
                <w:szCs w:val="18"/>
                <w:lang w:val="ro-MD"/>
              </w:rPr>
              <w:t>se stabilesc criterii de stimulare pentru stabilirea sporurilor și adaosurilor angajaților la salariul de bază și care se achită din economia fondului de salariu, obținută de la disponibilizarea personalului, adică pentru o funcție vacantă</w:t>
            </w:r>
            <w:r w:rsidRPr="0080251F">
              <w:rPr>
                <w:rFonts w:ascii="Times New Roman" w:hAnsi="Times New Roman"/>
                <w:bCs/>
                <w:color w:val="000000" w:themeColor="text1"/>
                <w:sz w:val="18"/>
                <w:szCs w:val="18"/>
                <w:vertAlign w:val="superscript"/>
                <w:lang w:val="ro-MD"/>
              </w:rPr>
              <w:footnoteReference w:id="161"/>
            </w:r>
            <w:r w:rsidRPr="0080251F">
              <w:rPr>
                <w:rFonts w:ascii="Times New Roman" w:hAnsi="Times New Roman"/>
                <w:bCs/>
                <w:color w:val="000000" w:themeColor="text1"/>
                <w:sz w:val="18"/>
                <w:szCs w:val="18"/>
                <w:lang w:val="ro-MD"/>
              </w:rPr>
              <w:t xml:space="preserve"> sau în lipsa temporară a unui lucrător.</w:t>
            </w:r>
          </w:p>
          <w:p w14:paraId="1643F634" w14:textId="77777777" w:rsidR="007E784D" w:rsidRPr="0080251F" w:rsidRDefault="007E784D" w:rsidP="009A17C7">
            <w:pPr>
              <w:spacing w:line="259" w:lineRule="auto"/>
              <w:rPr>
                <w:rFonts w:ascii="Times New Roman" w:hAnsi="Times New Roman"/>
                <w:bCs/>
                <w:color w:val="000000" w:themeColor="text1"/>
                <w:sz w:val="18"/>
                <w:szCs w:val="18"/>
                <w:lang w:val="ro-MD"/>
              </w:rPr>
            </w:pPr>
            <w:r w:rsidRPr="0080251F">
              <w:rPr>
                <w:rFonts w:ascii="Times New Roman" w:hAnsi="Times New Roman"/>
                <w:b/>
                <w:bCs/>
                <w:color w:val="000000" w:themeColor="text1"/>
                <w:sz w:val="18"/>
                <w:szCs w:val="18"/>
                <w:lang w:val="ro-MD"/>
              </w:rPr>
              <w:t>Ordinul Ministerului Muncii și Protecției Sociale nr.11 din 12.11.2021 „Cu privire la aprobarea Clasificatorului Ocupațiilor din Republica Moldova”</w:t>
            </w:r>
            <w:r w:rsidRPr="0080251F">
              <w:rPr>
                <w:rFonts w:ascii="Times New Roman" w:hAnsi="Times New Roman"/>
                <w:bCs/>
                <w:color w:val="000000" w:themeColor="text1"/>
                <w:sz w:val="18"/>
                <w:szCs w:val="18"/>
                <w:lang w:val="ro-MD"/>
              </w:rPr>
              <w:t xml:space="preserve"> – se reglementează clasificarea ocupațiilor și competențele proprii funcțiilor.</w:t>
            </w:r>
          </w:p>
        </w:tc>
        <w:tc>
          <w:tcPr>
            <w:tcW w:w="2410" w:type="dxa"/>
            <w:shd w:val="clear" w:color="auto" w:fill="auto"/>
          </w:tcPr>
          <w:p w14:paraId="4848DC71" w14:textId="01EC662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 xml:space="preserve">Examinarea și analiza documentelor: </w:t>
            </w:r>
            <w:r w:rsidR="004873F3"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 xml:space="preserve">ontractul </w:t>
            </w:r>
            <w:r w:rsidR="004873F3"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 xml:space="preserve">olectiv de </w:t>
            </w:r>
            <w:r w:rsidR="004873F3" w:rsidRPr="0080251F">
              <w:rPr>
                <w:rFonts w:ascii="Times New Roman" w:eastAsia="Times New Roman" w:hAnsi="Times New Roman"/>
                <w:bCs/>
                <w:color w:val="000000"/>
                <w:sz w:val="18"/>
                <w:szCs w:val="18"/>
                <w:lang w:val="ro-MD"/>
              </w:rPr>
              <w:t>m</w:t>
            </w:r>
            <w:r w:rsidRPr="0080251F">
              <w:rPr>
                <w:rFonts w:ascii="Times New Roman" w:eastAsia="Times New Roman" w:hAnsi="Times New Roman"/>
                <w:bCs/>
                <w:color w:val="000000"/>
                <w:sz w:val="18"/>
                <w:szCs w:val="18"/>
                <w:lang w:val="ro-MD"/>
              </w:rPr>
              <w:t>uncă; statele de personal și salariile de bază aprobate; ordinele interne de stabilire a premiilor, suplimentelor și ada</w:t>
            </w:r>
            <w:r w:rsidR="004873F3" w:rsidRPr="0080251F">
              <w:rPr>
                <w:rFonts w:ascii="Times New Roman" w:eastAsia="Times New Roman" w:hAnsi="Times New Roman"/>
                <w:bCs/>
                <w:color w:val="000000"/>
                <w:sz w:val="18"/>
                <w:szCs w:val="18"/>
                <w:lang w:val="ro-MD"/>
              </w:rPr>
              <w:t>o</w:t>
            </w:r>
            <w:r w:rsidRPr="0080251F">
              <w:rPr>
                <w:rFonts w:ascii="Times New Roman" w:eastAsia="Times New Roman" w:hAnsi="Times New Roman"/>
                <w:bCs/>
                <w:color w:val="000000"/>
                <w:sz w:val="18"/>
                <w:szCs w:val="18"/>
                <w:lang w:val="ro-MD"/>
              </w:rPr>
              <w:t>surilor; fișele de calcul a</w:t>
            </w:r>
            <w:r w:rsidR="004B772D" w:rsidRPr="0080251F">
              <w:rPr>
                <w:rFonts w:ascii="Times New Roman" w:eastAsia="Times New Roman" w:hAnsi="Times New Roman"/>
                <w:bCs/>
                <w:color w:val="000000"/>
                <w:sz w:val="18"/>
                <w:szCs w:val="18"/>
                <w:lang w:val="ro-MD"/>
              </w:rPr>
              <w:t>le</w:t>
            </w:r>
            <w:r w:rsidRPr="0080251F">
              <w:rPr>
                <w:rFonts w:ascii="Times New Roman" w:eastAsia="Times New Roman" w:hAnsi="Times New Roman"/>
                <w:bCs/>
                <w:color w:val="000000"/>
                <w:sz w:val="18"/>
                <w:szCs w:val="18"/>
                <w:lang w:val="ro-MD"/>
              </w:rPr>
              <w:t xml:space="preserve"> drepturilor salariale. Contrapunerea documentelor analizate cu înregistrările raportate în bilanțul contabil.</w:t>
            </w:r>
          </w:p>
        </w:tc>
        <w:tc>
          <w:tcPr>
            <w:tcW w:w="2273" w:type="dxa"/>
            <w:shd w:val="clear" w:color="auto" w:fill="auto"/>
          </w:tcPr>
          <w:p w14:paraId="2E3DB3B1"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 calculele efectuate pentru 4 luni. În baza testărilor efectuate, au fost verificate toate operațiunile înregistrate la conturile de evidență - 100 %.</w:t>
            </w:r>
          </w:p>
        </w:tc>
      </w:tr>
      <w:tr w:rsidR="007E784D" w:rsidRPr="0080251F" w14:paraId="74D79156" w14:textId="77777777" w:rsidTr="008A1A07">
        <w:trPr>
          <w:trHeight w:val="59"/>
        </w:trPr>
        <w:tc>
          <w:tcPr>
            <w:tcW w:w="2127" w:type="dxa"/>
            <w:shd w:val="clear" w:color="auto" w:fill="auto"/>
          </w:tcPr>
          <w:p w14:paraId="388949A4" w14:textId="77777777"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color w:val="000000" w:themeColor="text1"/>
                <w:sz w:val="18"/>
                <w:szCs w:val="18"/>
                <w:lang w:val="ro-MD"/>
              </w:rPr>
              <w:t>4.4.3. - 4.4.4. Aplicarea neoportună a unor criterii de performanță/evaluare la stabilirea unor suplimente la salariul de bază.</w:t>
            </w:r>
          </w:p>
        </w:tc>
        <w:tc>
          <w:tcPr>
            <w:tcW w:w="8363" w:type="dxa"/>
            <w:shd w:val="clear" w:color="auto" w:fill="auto"/>
          </w:tcPr>
          <w:p w14:paraId="05DAE0D0" w14:textId="77777777"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b/>
                <w:color w:val="000000" w:themeColor="text1"/>
                <w:sz w:val="18"/>
                <w:szCs w:val="18"/>
                <w:lang w:val="ro-MD"/>
              </w:rPr>
              <w:t>Legea salarizării nr.847 din 14.02.2002: art.4</w:t>
            </w:r>
            <w:r w:rsidRPr="0080251F">
              <w:rPr>
                <w:rFonts w:ascii="Times New Roman" w:hAnsi="Times New Roman"/>
                <w:color w:val="000000" w:themeColor="text1"/>
                <w:sz w:val="18"/>
                <w:szCs w:val="18"/>
                <w:lang w:val="ro-MD"/>
              </w:rPr>
              <w:t xml:space="preserve"> </w:t>
            </w:r>
            <w:r w:rsidRPr="0080251F">
              <w:rPr>
                <w:rFonts w:ascii="Times New Roman" w:hAnsi="Times New Roman"/>
                <w:b/>
                <w:color w:val="000000" w:themeColor="text1"/>
                <w:sz w:val="18"/>
                <w:szCs w:val="18"/>
                <w:lang w:val="ro-MD"/>
              </w:rPr>
              <w:t>(în contextul acordării premiilor pentru participarea la competiții interne)</w:t>
            </w:r>
            <w:r w:rsidRPr="0080251F">
              <w:rPr>
                <w:rFonts w:ascii="Times New Roman" w:hAnsi="Times New Roman"/>
                <w:color w:val="000000" w:themeColor="text1"/>
                <w:sz w:val="18"/>
                <w:szCs w:val="18"/>
                <w:lang w:val="ro-MD"/>
              </w:rPr>
              <w:t xml:space="preserve"> - Structura salariului (1) În sistemul tarifar și sistemele netarifare salariul include salariul de bază (salariul tarifar, salariul funcției), salariul suplimentar (adaosurile și sporurile la salariul de bază) și alte plăți de stimulare și compensare; (2) Salariul de bază se stabilește sub formă de salarii tarifare pentru muncitori și salarii ale funcției pentru funcționari, specialiști și conducători pentru munca executată în conformitate cu normele de muncă stabilite potrivit calificării, gradului de pregătire profesională și competenței salariatului, calității, gradului de răspundere pe care îl implică lucrările executate și complexității lor; (3) Salariul suplimentar reprezintă o recompensă pentru munca peste normele stabilite, pentru muncă eficientă și inventivitate și pentru condiții deosebite de muncă. El include adaosurile și sporurile la salariul de bază, alte plăți garantate și premii curente, care se stabilesc în conformitate cu rezultatele obținute, condițiile de muncă concrete, iar în unele cazuri prevăzute de legislație – și luându-se în considerare vechimea în muncă;: (4) Alte plăți de stimulare și compensare includ recompensele conform rezultatelor activității anuale, premiile potrivit sistemelor și regulamentelor speciale, plățile de compensare, precum și alte plăți neprevăzute de legislație care nu contravin acesteia.</w:t>
            </w:r>
          </w:p>
          <w:p w14:paraId="38EF42EF" w14:textId="6517A315"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b/>
                <w:bCs/>
                <w:color w:val="000000" w:themeColor="text1"/>
                <w:sz w:val="18"/>
                <w:szCs w:val="18"/>
                <w:lang w:val="ro-MD"/>
              </w:rPr>
              <w:t xml:space="preserve">Codul </w:t>
            </w:r>
            <w:r w:rsidR="0051537D" w:rsidRPr="0080251F">
              <w:rPr>
                <w:rFonts w:ascii="Times New Roman" w:hAnsi="Times New Roman"/>
                <w:b/>
                <w:bCs/>
                <w:color w:val="000000" w:themeColor="text1"/>
                <w:sz w:val="18"/>
                <w:szCs w:val="18"/>
                <w:lang w:val="ro-MD"/>
              </w:rPr>
              <w:t>m</w:t>
            </w:r>
            <w:r w:rsidRPr="0080251F">
              <w:rPr>
                <w:rFonts w:ascii="Times New Roman" w:hAnsi="Times New Roman"/>
                <w:b/>
                <w:bCs/>
                <w:color w:val="000000" w:themeColor="text1"/>
                <w:sz w:val="18"/>
                <w:szCs w:val="18"/>
                <w:lang w:val="ro-MD"/>
              </w:rPr>
              <w:t>uncii: art.</w:t>
            </w:r>
            <w:r w:rsidRPr="0080251F">
              <w:rPr>
                <w:rFonts w:ascii="Times New Roman" w:hAnsi="Times New Roman"/>
                <w:b/>
                <w:color w:val="000000" w:themeColor="text1"/>
                <w:sz w:val="18"/>
                <w:szCs w:val="18"/>
                <w:lang w:val="ro-MD"/>
              </w:rPr>
              <w:t>121 alin.(5)</w:t>
            </w:r>
            <w:r w:rsidRPr="0080251F">
              <w:rPr>
                <w:rFonts w:ascii="Times New Roman" w:hAnsi="Times New Roman"/>
                <w:color w:val="000000" w:themeColor="text1"/>
                <w:sz w:val="18"/>
                <w:szCs w:val="18"/>
                <w:lang w:val="ro-MD"/>
              </w:rPr>
              <w:t xml:space="preserve"> – deși se reglementează că în Contractele colective de muncă pot fi prevăzute și alte categorii de salariați cărora li se acordă concedii de odihnă anuale suplimentare plătite, nu există un act normativ cu prevederi exhaustive în temeiul căruia s-ar determina clar criteriile de evaluare și apreciere a condițiilor de muncă cu efort psiho-emoțional sporit.</w:t>
            </w:r>
          </w:p>
        </w:tc>
        <w:tc>
          <w:tcPr>
            <w:tcW w:w="2410" w:type="dxa"/>
          </w:tcPr>
          <w:p w14:paraId="4DE7AD94" w14:textId="28251E55"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heme="minorHAnsi" w:hAnsi="Times New Roman"/>
                <w:bCs/>
                <w:sz w:val="18"/>
                <w:szCs w:val="18"/>
                <w:lang w:val="ro-MD"/>
              </w:rPr>
              <w:t xml:space="preserve">Examinarea și analiza documentelor: </w:t>
            </w:r>
            <w:r w:rsidR="004B772D" w:rsidRPr="0080251F">
              <w:rPr>
                <w:rFonts w:ascii="Times New Roman" w:eastAsiaTheme="minorHAnsi" w:hAnsi="Times New Roman"/>
                <w:bCs/>
                <w:sz w:val="18"/>
                <w:szCs w:val="18"/>
                <w:lang w:val="ro-MD"/>
              </w:rPr>
              <w:t>c</w:t>
            </w:r>
            <w:r w:rsidRPr="0080251F">
              <w:rPr>
                <w:rFonts w:ascii="Times New Roman" w:eastAsiaTheme="minorHAnsi" w:hAnsi="Times New Roman"/>
                <w:bCs/>
                <w:sz w:val="18"/>
                <w:szCs w:val="18"/>
                <w:lang w:val="ro-MD"/>
              </w:rPr>
              <w:t xml:space="preserve">ontractul </w:t>
            </w:r>
            <w:r w:rsidR="004B772D" w:rsidRPr="0080251F">
              <w:rPr>
                <w:rFonts w:ascii="Times New Roman" w:eastAsiaTheme="minorHAnsi" w:hAnsi="Times New Roman"/>
                <w:bCs/>
                <w:sz w:val="18"/>
                <w:szCs w:val="18"/>
                <w:lang w:val="ro-MD"/>
              </w:rPr>
              <w:t>c</w:t>
            </w:r>
            <w:r w:rsidRPr="0080251F">
              <w:rPr>
                <w:rFonts w:ascii="Times New Roman" w:eastAsiaTheme="minorHAnsi" w:hAnsi="Times New Roman"/>
                <w:bCs/>
                <w:sz w:val="18"/>
                <w:szCs w:val="18"/>
                <w:lang w:val="ro-MD"/>
              </w:rPr>
              <w:t xml:space="preserve">olectiv de </w:t>
            </w:r>
            <w:r w:rsidR="004B772D" w:rsidRPr="0080251F">
              <w:rPr>
                <w:rFonts w:ascii="Times New Roman" w:eastAsiaTheme="minorHAnsi" w:hAnsi="Times New Roman"/>
                <w:bCs/>
                <w:sz w:val="18"/>
                <w:szCs w:val="18"/>
                <w:lang w:val="ro-MD"/>
              </w:rPr>
              <w:t>m</w:t>
            </w:r>
            <w:r w:rsidRPr="0080251F">
              <w:rPr>
                <w:rFonts w:ascii="Times New Roman" w:eastAsiaTheme="minorHAnsi" w:hAnsi="Times New Roman"/>
                <w:bCs/>
                <w:sz w:val="18"/>
                <w:szCs w:val="18"/>
                <w:lang w:val="ro-MD"/>
              </w:rPr>
              <w:t>uncă; statele de personal și salariile de bază aprobate; ordinele interne de stabilire a premiilor, suplimentelor și ada</w:t>
            </w:r>
            <w:r w:rsidR="004B772D" w:rsidRPr="0080251F">
              <w:rPr>
                <w:rFonts w:ascii="Times New Roman" w:eastAsiaTheme="minorHAnsi" w:hAnsi="Times New Roman"/>
                <w:bCs/>
                <w:sz w:val="18"/>
                <w:szCs w:val="18"/>
                <w:lang w:val="ro-MD"/>
              </w:rPr>
              <w:t>o</w:t>
            </w:r>
            <w:r w:rsidRPr="0080251F">
              <w:rPr>
                <w:rFonts w:ascii="Times New Roman" w:eastAsiaTheme="minorHAnsi" w:hAnsi="Times New Roman"/>
                <w:bCs/>
                <w:sz w:val="18"/>
                <w:szCs w:val="18"/>
                <w:lang w:val="ro-MD"/>
              </w:rPr>
              <w:t>surilor; fișele de calcul a</w:t>
            </w:r>
            <w:r w:rsidR="004B772D" w:rsidRPr="0080251F">
              <w:rPr>
                <w:rFonts w:ascii="Times New Roman" w:eastAsiaTheme="minorHAnsi" w:hAnsi="Times New Roman"/>
                <w:bCs/>
                <w:sz w:val="18"/>
                <w:szCs w:val="18"/>
                <w:lang w:val="ro-MD"/>
              </w:rPr>
              <w:t>le</w:t>
            </w:r>
            <w:r w:rsidRPr="0080251F">
              <w:rPr>
                <w:rFonts w:ascii="Times New Roman" w:eastAsiaTheme="minorHAnsi" w:hAnsi="Times New Roman"/>
                <w:bCs/>
                <w:sz w:val="18"/>
                <w:szCs w:val="18"/>
                <w:lang w:val="ro-MD"/>
              </w:rPr>
              <w:t xml:space="preserve"> drepturilor salariale. Contrapunerea documentelor analizate cu înregistrările raportate în bilanțul contabil.</w:t>
            </w:r>
          </w:p>
        </w:tc>
        <w:tc>
          <w:tcPr>
            <w:tcW w:w="2273" w:type="dxa"/>
            <w:shd w:val="clear" w:color="auto" w:fill="auto"/>
          </w:tcPr>
          <w:p w14:paraId="4BFAF00A"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 calculele efectuate pentru 4 luni. În baza testărilor efectuate, au fost verificate toate operațiunile înregistrate la conturile de evidență - 100 %.</w:t>
            </w:r>
          </w:p>
        </w:tc>
      </w:tr>
      <w:tr w:rsidR="007E784D" w:rsidRPr="0080251F" w14:paraId="5CB64079" w14:textId="77777777" w:rsidTr="008A1A07">
        <w:trPr>
          <w:trHeight w:val="59"/>
        </w:trPr>
        <w:tc>
          <w:tcPr>
            <w:tcW w:w="15173" w:type="dxa"/>
            <w:gridSpan w:val="4"/>
            <w:shd w:val="clear" w:color="auto" w:fill="C5E0B3" w:themeFill="accent6" w:themeFillTint="66"/>
          </w:tcPr>
          <w:p w14:paraId="0CEF8B0E" w14:textId="71F217A0"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 xml:space="preserve">Obiectivul 4.5. </w:t>
            </w:r>
            <w:r w:rsidRPr="0080251F">
              <w:rPr>
                <w:rFonts w:ascii="Times New Roman" w:eastAsia="Times New Roman" w:hAnsi="Times New Roman"/>
                <w:b/>
                <w:bCs/>
                <w:iCs/>
                <w:color w:val="000000"/>
                <w:sz w:val="18"/>
                <w:szCs w:val="18"/>
                <w:lang w:val="ro-MD"/>
              </w:rPr>
              <w:t>S.A. „RED-Nord” a respectat prevederile cadrului normativ la executare</w:t>
            </w:r>
            <w:r w:rsidR="004B772D" w:rsidRPr="0080251F">
              <w:rPr>
                <w:rFonts w:ascii="Times New Roman" w:eastAsia="Times New Roman" w:hAnsi="Times New Roman"/>
                <w:b/>
                <w:bCs/>
                <w:iCs/>
                <w:color w:val="000000"/>
                <w:sz w:val="18"/>
                <w:szCs w:val="18"/>
                <w:lang w:val="ro-MD"/>
              </w:rPr>
              <w:t>a</w:t>
            </w:r>
            <w:r w:rsidRPr="0080251F">
              <w:rPr>
                <w:rFonts w:ascii="Times New Roman" w:eastAsia="Times New Roman" w:hAnsi="Times New Roman"/>
                <w:b/>
                <w:bCs/>
                <w:iCs/>
                <w:color w:val="000000"/>
                <w:sz w:val="18"/>
                <w:szCs w:val="18"/>
                <w:lang w:val="ro-MD"/>
              </w:rPr>
              <w:t xml:space="preserve"> procedurilor privind achiziționarea bunurilor, serviciilor și lucrărilor?</w:t>
            </w:r>
          </w:p>
        </w:tc>
      </w:tr>
      <w:tr w:rsidR="007E784D" w:rsidRPr="0080251F" w14:paraId="225EFB2B" w14:textId="77777777" w:rsidTr="008A1A07">
        <w:trPr>
          <w:trHeight w:val="59"/>
        </w:trPr>
        <w:tc>
          <w:tcPr>
            <w:tcW w:w="2127" w:type="dxa"/>
            <w:shd w:val="clear" w:color="auto" w:fill="auto"/>
          </w:tcPr>
          <w:p w14:paraId="56D43820"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hAnsi="Times New Roman"/>
                <w:bCs/>
                <w:color w:val="000000" w:themeColor="text1"/>
                <w:sz w:val="18"/>
                <w:szCs w:val="18"/>
                <w:lang w:val="ro-MD"/>
              </w:rPr>
              <w:t>4.5. Planificarea neconformă a achizițiilor (cantitatea, valoarea estimată).</w:t>
            </w:r>
          </w:p>
        </w:tc>
        <w:tc>
          <w:tcPr>
            <w:tcW w:w="8363" w:type="dxa"/>
            <w:shd w:val="clear" w:color="auto" w:fill="auto"/>
          </w:tcPr>
          <w:p w14:paraId="2679F91F" w14:textId="77777777"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b/>
                <w:bCs/>
                <w:color w:val="000000" w:themeColor="text1"/>
                <w:sz w:val="18"/>
                <w:szCs w:val="18"/>
                <w:lang w:val="ro-MD"/>
              </w:rPr>
              <w:t>Regulamentul intern al entității privind activitatea grupului de lucru și organizarea achizițiilor de bunuri, servicii și lucrări</w:t>
            </w:r>
            <w:r w:rsidRPr="0080251F">
              <w:rPr>
                <w:rFonts w:ascii="Times New Roman" w:hAnsi="Times New Roman"/>
                <w:b/>
                <w:bCs/>
                <w:color w:val="000000" w:themeColor="text1"/>
                <w:sz w:val="18"/>
                <w:szCs w:val="18"/>
                <w:vertAlign w:val="superscript"/>
                <w:lang w:val="ro-MD"/>
              </w:rPr>
              <w:t xml:space="preserve"> </w:t>
            </w:r>
            <w:r w:rsidRPr="0080251F">
              <w:rPr>
                <w:rFonts w:ascii="Times New Roman" w:hAnsi="Times New Roman"/>
                <w:b/>
                <w:bCs/>
                <w:color w:val="000000" w:themeColor="text1"/>
                <w:sz w:val="18"/>
                <w:szCs w:val="18"/>
                <w:lang w:val="ro-MD"/>
              </w:rPr>
              <w:t>și Regulamentul intern privind organizarea achizițiilor de mică valoare</w:t>
            </w:r>
            <w:r w:rsidRPr="0080251F">
              <w:rPr>
                <w:rFonts w:ascii="Times New Roman" w:hAnsi="Times New Roman"/>
                <w:bCs/>
                <w:color w:val="000000" w:themeColor="text1"/>
                <w:sz w:val="18"/>
                <w:szCs w:val="18"/>
                <w:lang w:val="ro-MD"/>
              </w:rPr>
              <w:t xml:space="preserve"> – se reglementează procedurile interne de planificare a achizițiilor.</w:t>
            </w:r>
          </w:p>
        </w:tc>
        <w:tc>
          <w:tcPr>
            <w:tcW w:w="2410" w:type="dxa"/>
            <w:shd w:val="clear" w:color="auto" w:fill="auto"/>
          </w:tcPr>
          <w:p w14:paraId="3056D768" w14:textId="77777777"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planurile de achiziții;: documentele primare de estimare a valorii achizițiilor (cantitatea, cost unitate); registrul procurărilor.</w:t>
            </w:r>
          </w:p>
        </w:tc>
        <w:tc>
          <w:tcPr>
            <w:tcW w:w="2273" w:type="dxa"/>
            <w:shd w:val="clear" w:color="auto" w:fill="auto"/>
          </w:tcPr>
          <w:p w14:paraId="0E926CA7"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În baza testărilor efectuate, au fost verificate toate operațiunile de planificare a achizițiilor - 100 %.</w:t>
            </w:r>
          </w:p>
        </w:tc>
      </w:tr>
      <w:tr w:rsidR="007E784D" w:rsidRPr="0080251F" w14:paraId="42BE6C48" w14:textId="77777777" w:rsidTr="008A1A07">
        <w:trPr>
          <w:trHeight w:val="59"/>
        </w:trPr>
        <w:tc>
          <w:tcPr>
            <w:tcW w:w="2127" w:type="dxa"/>
            <w:shd w:val="clear" w:color="auto" w:fill="auto"/>
          </w:tcPr>
          <w:p w14:paraId="30D65273" w14:textId="77777777"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bCs/>
                <w:color w:val="000000" w:themeColor="text1"/>
                <w:sz w:val="18"/>
                <w:szCs w:val="18"/>
                <w:lang w:val="ro-MD"/>
              </w:rPr>
              <w:t>4.5. Executarea neconformă a procedurii de achiziție (tipul procedurii aplicate, divizarea achizițiilor, evaluarea ofertelor, adjudecarea câștigătorului).</w:t>
            </w:r>
          </w:p>
        </w:tc>
        <w:tc>
          <w:tcPr>
            <w:tcW w:w="8363" w:type="dxa"/>
            <w:shd w:val="clear" w:color="auto" w:fill="auto"/>
          </w:tcPr>
          <w:p w14:paraId="2925D79A" w14:textId="0DC8F31B"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b/>
                <w:bCs/>
                <w:iCs/>
                <w:color w:val="000000" w:themeColor="text1"/>
                <w:sz w:val="18"/>
                <w:szCs w:val="18"/>
                <w:lang w:val="ro-MD"/>
              </w:rPr>
              <w:t xml:space="preserve">Legea nr.74 din 21.05.2020 </w:t>
            </w:r>
            <w:r w:rsidR="0051537D" w:rsidRPr="0080251F">
              <w:rPr>
                <w:rFonts w:ascii="Times New Roman" w:hAnsi="Times New Roman"/>
                <w:b/>
                <w:bCs/>
                <w:iCs/>
                <w:color w:val="000000" w:themeColor="text1"/>
                <w:sz w:val="18"/>
                <w:szCs w:val="18"/>
                <w:lang w:val="ro-MD"/>
              </w:rPr>
              <w:t>p</w:t>
            </w:r>
            <w:r w:rsidRPr="0080251F">
              <w:rPr>
                <w:rFonts w:ascii="Times New Roman" w:hAnsi="Times New Roman"/>
                <w:b/>
                <w:bCs/>
                <w:iCs/>
                <w:color w:val="000000" w:themeColor="text1"/>
                <w:sz w:val="18"/>
                <w:szCs w:val="18"/>
                <w:lang w:val="ro-MD"/>
              </w:rPr>
              <w:t xml:space="preserve">rivind achizițiile în sectoarele energeticii, apei, transporturilor și serviciilor poștale: se reglementează - </w:t>
            </w:r>
            <w:r w:rsidRPr="0080251F">
              <w:rPr>
                <w:rFonts w:ascii="Times New Roman" w:hAnsi="Times New Roman"/>
                <w:bCs/>
                <w:iCs/>
                <w:color w:val="000000" w:themeColor="text1"/>
                <w:sz w:val="18"/>
                <w:szCs w:val="18"/>
                <w:lang w:val="ro-MD"/>
              </w:rPr>
              <w:t>tipul procedurii aplicate, divizarea achizițiilor, evaluarea ofertelor, adjudecarea câștigătorului.</w:t>
            </w:r>
            <w:r w:rsidRPr="0080251F">
              <w:rPr>
                <w:rFonts w:ascii="Times New Roman" w:hAnsi="Times New Roman"/>
                <w:b/>
                <w:bCs/>
                <w:iCs/>
                <w:color w:val="000000" w:themeColor="text1"/>
                <w:sz w:val="18"/>
                <w:szCs w:val="18"/>
                <w:lang w:val="ro-MD"/>
              </w:rPr>
              <w:t xml:space="preserve"> 2) Anexa nr.3,  </w:t>
            </w:r>
            <w:r w:rsidRPr="0080251F">
              <w:rPr>
                <w:rFonts w:ascii="Times New Roman" w:hAnsi="Times New Roman"/>
                <w:b/>
                <w:iCs/>
                <w:color w:val="000000" w:themeColor="text1"/>
                <w:sz w:val="18"/>
                <w:szCs w:val="18"/>
                <w:lang w:val="ro-MD"/>
              </w:rPr>
              <w:t>pct.15</w:t>
            </w:r>
            <w:r w:rsidRPr="0080251F">
              <w:rPr>
                <w:rFonts w:ascii="Times New Roman" w:hAnsi="Times New Roman"/>
                <w:iCs/>
                <w:color w:val="000000" w:themeColor="text1"/>
                <w:sz w:val="18"/>
                <w:szCs w:val="18"/>
                <w:lang w:val="ro-MD"/>
              </w:rPr>
              <w:t xml:space="preserve"> – După caz, orice garanții solicitate</w:t>
            </w:r>
            <w:r w:rsidR="0051537D" w:rsidRPr="0080251F">
              <w:rPr>
                <w:rFonts w:ascii="Times New Roman" w:hAnsi="Times New Roman"/>
                <w:iCs/>
                <w:color w:val="000000" w:themeColor="text1"/>
                <w:sz w:val="18"/>
                <w:szCs w:val="18"/>
                <w:lang w:val="ro-MD"/>
              </w:rPr>
              <w:t>.</w:t>
            </w:r>
            <w:r w:rsidRPr="0080251F">
              <w:rPr>
                <w:rFonts w:ascii="Times New Roman" w:hAnsi="Times New Roman"/>
                <w:iCs/>
                <w:color w:val="000000" w:themeColor="text1"/>
                <w:sz w:val="18"/>
                <w:szCs w:val="18"/>
                <w:lang w:val="ro-MD"/>
              </w:rPr>
              <w:t xml:space="preserve"> </w:t>
            </w:r>
          </w:p>
          <w:p w14:paraId="2BCCEFE9" w14:textId="77777777"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b/>
                <w:color w:val="000000" w:themeColor="text1"/>
                <w:sz w:val="18"/>
                <w:szCs w:val="18"/>
                <w:lang w:val="ro-MD"/>
              </w:rPr>
              <w:t>HANRE</w:t>
            </w:r>
            <w:r w:rsidRPr="0080251F">
              <w:rPr>
                <w:rFonts w:ascii="Times New Roman" w:hAnsi="Times New Roman"/>
                <w:b/>
                <w:bCs/>
                <w:color w:val="000000" w:themeColor="text1"/>
                <w:sz w:val="18"/>
                <w:szCs w:val="18"/>
                <w:lang w:val="ro-MD"/>
              </w:rPr>
              <w:t xml:space="preserve"> nr.24/2017 din 26.01.2017</w:t>
            </w:r>
            <w:r w:rsidRPr="0080251F">
              <w:rPr>
                <w:rFonts w:ascii="Times New Roman" w:hAnsi="Times New Roman"/>
                <w:b/>
                <w:color w:val="000000" w:themeColor="text1"/>
                <w:sz w:val="18"/>
                <w:szCs w:val="18"/>
                <w:lang w:val="ro-MD"/>
              </w:rPr>
              <w:t xml:space="preserve"> „</w:t>
            </w:r>
            <w:r w:rsidRPr="0080251F">
              <w:rPr>
                <w:rFonts w:ascii="Times New Roman" w:hAnsi="Times New Roman"/>
                <w:b/>
                <w:bCs/>
                <w:color w:val="000000" w:themeColor="text1"/>
                <w:sz w:val="18"/>
                <w:szCs w:val="18"/>
                <w:lang w:val="ro-MD"/>
              </w:rPr>
              <w:t xml:space="preserve">Cu privire la aprobarea Regulamentului privind procedurile de achiziție a bunurilor, lucrărilor și serviciilor utilizate în activitatea titularilor de licență din sectoarele electroenergetic, termoenergetic, gazelor naturale și a operatorilor care furnizează serviciul public de alimentare cu apă și de canalizare”: </w:t>
            </w:r>
            <w:r w:rsidRPr="0080251F">
              <w:rPr>
                <w:rFonts w:ascii="Times New Roman" w:hAnsi="Times New Roman"/>
                <w:b/>
                <w:bCs/>
                <w:iCs/>
                <w:color w:val="000000" w:themeColor="text1"/>
                <w:sz w:val="18"/>
                <w:szCs w:val="18"/>
                <w:lang w:val="ro-MD"/>
              </w:rPr>
              <w:t xml:space="preserve">pct.178 </w:t>
            </w:r>
            <w:r w:rsidRPr="0080251F">
              <w:rPr>
                <w:rFonts w:ascii="Times New Roman" w:hAnsi="Times New Roman"/>
                <w:bCs/>
                <w:iCs/>
                <w:color w:val="000000" w:themeColor="text1"/>
                <w:sz w:val="18"/>
                <w:szCs w:val="18"/>
                <w:lang w:val="ro-MD"/>
              </w:rPr>
              <w:t>- Operatorul economic care îndeplinește în totalitate cerințele documentației de atribuire și criteriile de calificare este considerat candidat calificat pentru evaluarea ofertelor.</w:t>
            </w:r>
          </w:p>
        </w:tc>
        <w:tc>
          <w:tcPr>
            <w:tcW w:w="2410" w:type="dxa"/>
            <w:shd w:val="clear" w:color="auto" w:fill="auto"/>
          </w:tcPr>
          <w:p w14:paraId="701C83A0" w14:textId="77777777"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w:t>
            </w:r>
            <w:r w:rsidRPr="0080251F">
              <w:rPr>
                <w:rFonts w:ascii="Times New Roman" w:hAnsi="Times New Roman"/>
                <w:sz w:val="18"/>
                <w:szCs w:val="18"/>
                <w:lang w:val="ro-MD"/>
              </w:rPr>
              <w:t xml:space="preserve"> d</w:t>
            </w:r>
            <w:r w:rsidRPr="0080251F">
              <w:rPr>
                <w:rFonts w:ascii="Times New Roman" w:eastAsia="Times New Roman" w:hAnsi="Times New Roman"/>
                <w:bCs/>
                <w:color w:val="000000"/>
                <w:sz w:val="18"/>
                <w:szCs w:val="18"/>
                <w:lang w:val="ro-MD"/>
              </w:rPr>
              <w:t>osarele de achiziții; deciziile grupului de lucru pentru achiziții; registrul procurărilor.</w:t>
            </w:r>
          </w:p>
        </w:tc>
        <w:tc>
          <w:tcPr>
            <w:tcW w:w="2273" w:type="dxa"/>
            <w:shd w:val="clear" w:color="auto" w:fill="auto"/>
          </w:tcPr>
          <w:p w14:paraId="10F283FE"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tip de procedură – licitație și achiziție de valoare mică, achiziția dintr-o singură sursă (pentru grupurile de procurări – bunuri, servicii și lucrări). În baza testărilor efectuate, au fost verificate toate operațiunile înregistrate la conturile de evidență - 100 %.</w:t>
            </w:r>
          </w:p>
        </w:tc>
      </w:tr>
      <w:tr w:rsidR="007E784D" w:rsidRPr="0080251F" w14:paraId="07E6580B" w14:textId="77777777" w:rsidTr="008A1A07">
        <w:trPr>
          <w:trHeight w:val="59"/>
        </w:trPr>
        <w:tc>
          <w:tcPr>
            <w:tcW w:w="15173" w:type="dxa"/>
            <w:gridSpan w:val="4"/>
            <w:shd w:val="clear" w:color="auto" w:fill="C5E0B3" w:themeFill="accent6" w:themeFillTint="66"/>
          </w:tcPr>
          <w:p w14:paraId="1E4CEB29" w14:textId="71230B8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 xml:space="preserve">Obiectivul 4.6. </w:t>
            </w:r>
            <w:r w:rsidR="002E3F8C" w:rsidRPr="0080251F">
              <w:rPr>
                <w:rFonts w:ascii="Times New Roman" w:eastAsia="Times New Roman" w:hAnsi="Times New Roman"/>
                <w:b/>
                <w:bCs/>
                <w:iCs/>
                <w:color w:val="000000"/>
                <w:sz w:val="18"/>
                <w:szCs w:val="18"/>
                <w:lang w:val="ro-MD"/>
              </w:rPr>
              <w:t>S.A. „RED-Nord”</w:t>
            </w:r>
            <w:r w:rsidRPr="0080251F">
              <w:rPr>
                <w:rFonts w:ascii="Times New Roman" w:eastAsia="Times New Roman" w:hAnsi="Times New Roman"/>
                <w:b/>
                <w:bCs/>
                <w:iCs/>
                <w:color w:val="000000"/>
                <w:sz w:val="18"/>
                <w:szCs w:val="18"/>
                <w:lang w:val="ro-MD"/>
              </w:rPr>
              <w:t xml:space="preserve"> a asigurat inițierea și executarea conformă a investițiilor?</w:t>
            </w:r>
          </w:p>
        </w:tc>
      </w:tr>
      <w:tr w:rsidR="007E784D" w:rsidRPr="0080251F" w14:paraId="481B9723" w14:textId="77777777" w:rsidTr="008A1A07">
        <w:trPr>
          <w:trHeight w:val="59"/>
        </w:trPr>
        <w:tc>
          <w:tcPr>
            <w:tcW w:w="2127" w:type="dxa"/>
            <w:shd w:val="clear" w:color="auto" w:fill="auto"/>
          </w:tcPr>
          <w:p w14:paraId="2ACC50CD" w14:textId="692E8B5B" w:rsidR="007E784D" w:rsidRPr="0080251F" w:rsidRDefault="007E784D" w:rsidP="009A17C7">
            <w:pPr>
              <w:spacing w:line="259" w:lineRule="auto"/>
              <w:rPr>
                <w:rFonts w:ascii="Times New Roman" w:hAnsi="Times New Roman"/>
                <w:color w:val="000000" w:themeColor="text1"/>
                <w:sz w:val="18"/>
                <w:szCs w:val="18"/>
                <w:lang w:val="ro-MD"/>
              </w:rPr>
            </w:pPr>
            <w:r w:rsidRPr="0080251F">
              <w:rPr>
                <w:rFonts w:ascii="Times New Roman" w:hAnsi="Times New Roman"/>
                <w:bCs/>
                <w:color w:val="000000" w:themeColor="text1"/>
                <w:sz w:val="18"/>
                <w:szCs w:val="18"/>
                <w:lang w:val="ro-MD"/>
              </w:rPr>
              <w:t>4.6. Inițierea și executarea investițiilor s-a</w:t>
            </w:r>
            <w:r w:rsidR="004B772D" w:rsidRPr="0080251F">
              <w:rPr>
                <w:rFonts w:ascii="Times New Roman" w:hAnsi="Times New Roman"/>
                <w:bCs/>
                <w:color w:val="000000" w:themeColor="text1"/>
                <w:sz w:val="18"/>
                <w:szCs w:val="18"/>
                <w:lang w:val="ro-MD"/>
              </w:rPr>
              <w:t>u</w:t>
            </w:r>
            <w:r w:rsidRPr="0080251F">
              <w:rPr>
                <w:rFonts w:ascii="Times New Roman" w:hAnsi="Times New Roman"/>
                <w:bCs/>
                <w:color w:val="000000" w:themeColor="text1"/>
                <w:sz w:val="18"/>
                <w:szCs w:val="18"/>
                <w:lang w:val="ro-MD"/>
              </w:rPr>
              <w:t xml:space="preserve"> efectuat neconform (proiectarea, obținerea autorizațiilor, executarea lucrărilor).</w:t>
            </w:r>
          </w:p>
        </w:tc>
        <w:tc>
          <w:tcPr>
            <w:tcW w:w="8363" w:type="dxa"/>
            <w:shd w:val="clear" w:color="auto" w:fill="auto"/>
          </w:tcPr>
          <w:p w14:paraId="7B4481CA" w14:textId="77777777" w:rsidR="007E784D" w:rsidRPr="0080251F" w:rsidRDefault="007E784D" w:rsidP="009A17C7">
            <w:pPr>
              <w:rPr>
                <w:rFonts w:ascii="Times New Roman" w:hAnsi="Times New Roman"/>
                <w:bCs/>
                <w:color w:val="000000" w:themeColor="text1"/>
                <w:sz w:val="18"/>
                <w:szCs w:val="18"/>
                <w:lang w:val="ro-MD"/>
              </w:rPr>
            </w:pPr>
            <w:r w:rsidRPr="0080251F">
              <w:rPr>
                <w:rFonts w:ascii="Times New Roman" w:hAnsi="Times New Roman"/>
                <w:b/>
                <w:color w:val="000000" w:themeColor="text1"/>
                <w:sz w:val="18"/>
                <w:szCs w:val="18"/>
                <w:lang w:val="ro-MD"/>
              </w:rPr>
              <w:t xml:space="preserve">HANRE </w:t>
            </w:r>
            <w:r w:rsidRPr="0080251F">
              <w:rPr>
                <w:rFonts w:ascii="Times New Roman" w:hAnsi="Times New Roman"/>
                <w:b/>
                <w:bCs/>
                <w:color w:val="000000" w:themeColor="text1"/>
                <w:sz w:val="18"/>
                <w:szCs w:val="18"/>
                <w:lang w:val="ro-MD"/>
              </w:rPr>
              <w:t>nr.283/2016 din 15.11.2016 „Cu privire la aprobarea Regulamentului privind planificarea, aprobarea și efectuarea investițiilor”:</w:t>
            </w:r>
            <w:r w:rsidRPr="0080251F">
              <w:rPr>
                <w:rFonts w:ascii="Times New Roman" w:eastAsia="Times New Roman" w:hAnsi="Times New Roman"/>
                <w:b/>
                <w:bCs/>
                <w:sz w:val="18"/>
                <w:szCs w:val="18"/>
                <w:lang w:val="ro-MD"/>
              </w:rPr>
              <w:t xml:space="preserve"> </w:t>
            </w:r>
            <w:r w:rsidRPr="0080251F">
              <w:rPr>
                <w:rFonts w:ascii="Times New Roman" w:hAnsi="Times New Roman"/>
                <w:b/>
                <w:bCs/>
                <w:color w:val="000000" w:themeColor="text1"/>
                <w:sz w:val="18"/>
                <w:szCs w:val="18"/>
                <w:lang w:val="ro-MD"/>
              </w:rPr>
              <w:t xml:space="preserve">se reglementează – </w:t>
            </w:r>
            <w:r w:rsidRPr="0080251F">
              <w:rPr>
                <w:rFonts w:ascii="Times New Roman" w:hAnsi="Times New Roman"/>
                <w:bCs/>
                <w:color w:val="000000" w:themeColor="text1"/>
                <w:sz w:val="18"/>
                <w:szCs w:val="18"/>
                <w:lang w:val="ro-MD"/>
              </w:rPr>
              <w:t>activitățile privind planificarea, aprobarea și efectuarea investițiilor.</w:t>
            </w:r>
          </w:p>
          <w:p w14:paraId="0E3420DD" w14:textId="687E2723" w:rsidR="007E784D" w:rsidRPr="0080251F" w:rsidRDefault="007E784D" w:rsidP="009A17C7">
            <w:pPr>
              <w:rPr>
                <w:rFonts w:ascii="Times New Roman" w:hAnsi="Times New Roman"/>
                <w:color w:val="000000" w:themeColor="text1"/>
                <w:sz w:val="18"/>
                <w:szCs w:val="18"/>
                <w:lang w:val="ro-MD"/>
              </w:rPr>
            </w:pPr>
            <w:r w:rsidRPr="0080251F">
              <w:rPr>
                <w:rFonts w:ascii="Times New Roman" w:hAnsi="Times New Roman"/>
                <w:b/>
                <w:bCs/>
                <w:color w:val="000000" w:themeColor="text1"/>
                <w:sz w:val="18"/>
                <w:szCs w:val="18"/>
                <w:lang w:val="ro-MD"/>
              </w:rPr>
              <w:t xml:space="preserve">Legea nr. 721 din 02.02.1996 </w:t>
            </w:r>
            <w:r w:rsidR="0051537D" w:rsidRPr="0080251F">
              <w:rPr>
                <w:rFonts w:ascii="Times New Roman" w:hAnsi="Times New Roman"/>
                <w:b/>
                <w:bCs/>
                <w:color w:val="000000" w:themeColor="text1"/>
                <w:sz w:val="18"/>
                <w:szCs w:val="18"/>
                <w:lang w:val="ro-MD"/>
              </w:rPr>
              <w:t>p</w:t>
            </w:r>
            <w:r w:rsidRPr="0080251F">
              <w:rPr>
                <w:rFonts w:ascii="Times New Roman" w:hAnsi="Times New Roman"/>
                <w:b/>
                <w:bCs/>
                <w:color w:val="000000" w:themeColor="text1"/>
                <w:sz w:val="18"/>
                <w:szCs w:val="18"/>
                <w:lang w:val="ro-MD"/>
              </w:rPr>
              <w:t>rivind calitatea în construcții”: 1) art.13</w:t>
            </w:r>
            <w:r w:rsidRPr="0080251F">
              <w:rPr>
                <w:rFonts w:ascii="Times New Roman" w:hAnsi="Times New Roman"/>
                <w:bCs/>
                <w:color w:val="000000" w:themeColor="text1"/>
                <w:sz w:val="18"/>
                <w:szCs w:val="18"/>
                <w:lang w:val="ro-MD"/>
              </w:rPr>
              <w:t xml:space="preserve"> – se reglementează condiția cu privire la documentației de proiect</w:t>
            </w:r>
            <w:r w:rsidRPr="0080251F">
              <w:rPr>
                <w:rFonts w:ascii="Times New Roman" w:eastAsiaTheme="minorHAnsi" w:hAnsi="Times New Roman"/>
                <w:color w:val="333333"/>
                <w:sz w:val="18"/>
                <w:szCs w:val="18"/>
                <w:shd w:val="clear" w:color="auto" w:fill="FFFFFF"/>
                <w:lang w:val="ro-MD"/>
              </w:rPr>
              <w:t xml:space="preserve">, activitatea </w:t>
            </w:r>
            <w:r w:rsidRPr="0080251F">
              <w:rPr>
                <w:rFonts w:ascii="Times New Roman" w:hAnsi="Times New Roman"/>
                <w:bCs/>
                <w:color w:val="000000" w:themeColor="text1"/>
                <w:sz w:val="18"/>
                <w:szCs w:val="18"/>
                <w:lang w:val="ro-MD"/>
              </w:rPr>
              <w:t xml:space="preserve">proiectanților și verificatorilor atestați. </w:t>
            </w:r>
            <w:r w:rsidRPr="0080251F">
              <w:rPr>
                <w:rFonts w:ascii="Times New Roman" w:hAnsi="Times New Roman"/>
                <w:b/>
                <w:bCs/>
                <w:color w:val="000000" w:themeColor="text1"/>
                <w:sz w:val="18"/>
                <w:szCs w:val="18"/>
                <w:lang w:val="ro-MD"/>
              </w:rPr>
              <w:t>2) art.18</w:t>
            </w:r>
            <w:r w:rsidRPr="0080251F">
              <w:rPr>
                <w:rFonts w:ascii="Times New Roman" w:hAnsi="Times New Roman"/>
                <w:bCs/>
                <w:color w:val="000000" w:themeColor="text1"/>
                <w:sz w:val="18"/>
                <w:szCs w:val="18"/>
                <w:lang w:val="ro-MD"/>
              </w:rPr>
              <w:t xml:space="preserve"> – se reglementează </w:t>
            </w:r>
            <w:r w:rsidRPr="0080251F">
              <w:rPr>
                <w:rFonts w:ascii="Times New Roman" w:hAnsi="Times New Roman"/>
                <w:bCs/>
                <w:iCs/>
                <w:color w:val="000000" w:themeColor="text1"/>
                <w:sz w:val="18"/>
                <w:szCs w:val="18"/>
                <w:lang w:val="ro-MD"/>
              </w:rPr>
              <w:t xml:space="preserve">perfectarea și păstrarea Cărților tehnice. </w:t>
            </w:r>
            <w:r w:rsidRPr="0080251F">
              <w:rPr>
                <w:rFonts w:ascii="Times New Roman" w:hAnsi="Times New Roman"/>
                <w:b/>
                <w:bCs/>
                <w:iCs/>
                <w:color w:val="000000" w:themeColor="text1"/>
                <w:sz w:val="18"/>
                <w:szCs w:val="18"/>
                <w:lang w:val="ro-MD"/>
              </w:rPr>
              <w:t>3) art.22 lit.b)</w:t>
            </w:r>
            <w:r w:rsidRPr="0080251F">
              <w:rPr>
                <w:rFonts w:ascii="Times New Roman" w:hAnsi="Times New Roman"/>
                <w:bCs/>
                <w:iCs/>
                <w:color w:val="000000" w:themeColor="text1"/>
                <w:sz w:val="18"/>
                <w:szCs w:val="18"/>
                <w:lang w:val="ro-MD"/>
              </w:rPr>
              <w:t xml:space="preserve"> – se reglementează condiția de deținere a autorizațiilor de construire.</w:t>
            </w:r>
          </w:p>
        </w:tc>
        <w:tc>
          <w:tcPr>
            <w:tcW w:w="2410" w:type="dxa"/>
            <w:shd w:val="clear" w:color="auto" w:fill="auto"/>
          </w:tcPr>
          <w:p w14:paraId="00DD8925" w14:textId="7AA4F2EC"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w:t>
            </w:r>
            <w:r w:rsidRPr="0080251F">
              <w:rPr>
                <w:rFonts w:ascii="Times New Roman" w:hAnsi="Times New Roman"/>
                <w:sz w:val="18"/>
                <w:szCs w:val="18"/>
                <w:lang w:val="ro-MD"/>
              </w:rPr>
              <w:t xml:space="preserve"> </w:t>
            </w:r>
            <w:r w:rsidRPr="0080251F">
              <w:rPr>
                <w:rFonts w:ascii="Times New Roman" w:eastAsia="Times New Roman" w:hAnsi="Times New Roman"/>
                <w:bCs/>
                <w:color w:val="000000"/>
                <w:sz w:val="18"/>
                <w:szCs w:val="18"/>
                <w:lang w:val="ro-MD"/>
              </w:rPr>
              <w:t>planul de investiții aprobat și notele de argumentare; raportul privind executarea Planului de investiții și notele de argumentare; documentația de proiect și de deviz; documentele/contra</w:t>
            </w:r>
            <w:r w:rsidR="004B772D" w:rsidRPr="0080251F">
              <w:rPr>
                <w:rFonts w:ascii="Times New Roman" w:eastAsia="Times New Roman" w:hAnsi="Times New Roman"/>
                <w:bCs/>
                <w:color w:val="000000"/>
                <w:sz w:val="18"/>
                <w:szCs w:val="18"/>
                <w:lang w:val="ro-MD"/>
              </w:rPr>
              <w:t>c</w:t>
            </w:r>
            <w:r w:rsidRPr="0080251F">
              <w:rPr>
                <w:rFonts w:ascii="Times New Roman" w:eastAsia="Times New Roman" w:hAnsi="Times New Roman"/>
                <w:bCs/>
                <w:color w:val="000000"/>
                <w:sz w:val="18"/>
                <w:szCs w:val="18"/>
                <w:lang w:val="ro-MD"/>
              </w:rPr>
              <w:t>tele de executare a lucrărilor; actele de consum a</w:t>
            </w:r>
            <w:r w:rsidR="004B772D" w:rsidRPr="0080251F">
              <w:rPr>
                <w:rFonts w:ascii="Times New Roman" w:eastAsia="Times New Roman" w:hAnsi="Times New Roman"/>
                <w:bCs/>
                <w:color w:val="000000"/>
                <w:sz w:val="18"/>
                <w:szCs w:val="18"/>
                <w:lang w:val="ro-MD"/>
              </w:rPr>
              <w:t>l</w:t>
            </w:r>
            <w:r w:rsidRPr="0080251F">
              <w:rPr>
                <w:rFonts w:ascii="Times New Roman" w:eastAsia="Times New Roman" w:hAnsi="Times New Roman"/>
                <w:bCs/>
                <w:color w:val="000000"/>
                <w:sz w:val="18"/>
                <w:szCs w:val="18"/>
                <w:lang w:val="ro-MD"/>
              </w:rPr>
              <w:t xml:space="preserve"> materialelor.</w:t>
            </w:r>
          </w:p>
          <w:p w14:paraId="4DE2EF29"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 (rulajele pe operațiuni, soldul raportat).</w:t>
            </w:r>
          </w:p>
        </w:tc>
        <w:tc>
          <w:tcPr>
            <w:tcW w:w="2273" w:type="dxa"/>
            <w:shd w:val="clear" w:color="auto" w:fill="auto"/>
          </w:tcPr>
          <w:p w14:paraId="15FDE3DF" w14:textId="3B8D9C68"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aplicat 2-3 testări de fond pentru fiecare tip de investiție, clasificată conform prevederilor normative (imobilizări corporale în curs de execuție: contul 121). S</w:t>
            </w:r>
            <w:r w:rsidR="004B772D" w:rsidRPr="0080251F">
              <w:rPr>
                <w:rFonts w:ascii="Times New Roman" w:eastAsia="Times New Roman" w:hAnsi="Times New Roman"/>
                <w:bCs/>
                <w:color w:val="000000"/>
                <w:sz w:val="18"/>
                <w:szCs w:val="18"/>
                <w:lang w:val="ro-MD"/>
              </w:rPr>
              <w:t>-</w:t>
            </w:r>
            <w:r w:rsidRPr="0080251F">
              <w:rPr>
                <w:rFonts w:ascii="Times New Roman" w:eastAsia="Times New Roman" w:hAnsi="Times New Roman"/>
                <w:bCs/>
                <w:color w:val="000000"/>
                <w:sz w:val="18"/>
                <w:szCs w:val="18"/>
                <w:lang w:val="ro-MD"/>
              </w:rPr>
              <w:t>a verificat în teren executarea conformă a unor lucrări executate (2 obiecte de investiții). În baza testărilor efectuate, au fost verificate toate operațiunile înregistrate la conturile de evidență - 100 %.</w:t>
            </w:r>
          </w:p>
        </w:tc>
      </w:tr>
      <w:tr w:rsidR="007E784D" w:rsidRPr="0080251F" w14:paraId="442A4E9D" w14:textId="77777777" w:rsidTr="008A1A07">
        <w:trPr>
          <w:trHeight w:val="59"/>
        </w:trPr>
        <w:tc>
          <w:tcPr>
            <w:tcW w:w="15173" w:type="dxa"/>
            <w:gridSpan w:val="4"/>
            <w:shd w:val="clear" w:color="auto" w:fill="C5E0B3" w:themeFill="accent6" w:themeFillTint="66"/>
          </w:tcPr>
          <w:p w14:paraId="6581EB3C" w14:textId="77777777"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
                <w:bCs/>
                <w:color w:val="000000"/>
                <w:sz w:val="18"/>
                <w:szCs w:val="18"/>
                <w:lang w:val="ro-MD"/>
              </w:rPr>
              <w:t xml:space="preserve">Obiectivul nr.4.7.  </w:t>
            </w:r>
            <w:r w:rsidRPr="0080251F">
              <w:rPr>
                <w:rFonts w:ascii="Times New Roman" w:eastAsia="Times New Roman" w:hAnsi="Times New Roman"/>
                <w:b/>
                <w:bCs/>
                <w:iCs/>
                <w:color w:val="000000"/>
                <w:sz w:val="18"/>
                <w:szCs w:val="18"/>
                <w:lang w:val="ro-MD"/>
              </w:rPr>
              <w:t>S.A. „RED-Nord” a asigurat gestionarea și raportarea conformă a costurilor reglementate prin tarif</w:t>
            </w:r>
            <w:r w:rsidRPr="0080251F">
              <w:rPr>
                <w:rFonts w:ascii="Times New Roman" w:eastAsia="Times New Roman" w:hAnsi="Times New Roman"/>
                <w:b/>
                <w:bCs/>
                <w:color w:val="000000"/>
                <w:sz w:val="18"/>
                <w:szCs w:val="18"/>
                <w:lang w:val="ro-MD"/>
              </w:rPr>
              <w:t>?</w:t>
            </w:r>
          </w:p>
        </w:tc>
      </w:tr>
      <w:tr w:rsidR="007E784D" w:rsidRPr="0080251F" w14:paraId="0C108235" w14:textId="77777777" w:rsidTr="008A1A07">
        <w:trPr>
          <w:trHeight w:val="59"/>
        </w:trPr>
        <w:tc>
          <w:tcPr>
            <w:tcW w:w="2127" w:type="dxa"/>
            <w:shd w:val="clear" w:color="auto" w:fill="auto"/>
          </w:tcPr>
          <w:p w14:paraId="2616B381" w14:textId="4AB05589"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hAnsi="Times New Roman"/>
                <w:sz w:val="18"/>
                <w:szCs w:val="18"/>
                <w:lang w:val="ro-MD"/>
              </w:rPr>
              <w:t>4.7. Costurile de formare</w:t>
            </w:r>
            <w:r w:rsidR="004B772D" w:rsidRPr="0080251F">
              <w:rPr>
                <w:rFonts w:ascii="Times New Roman" w:hAnsi="Times New Roman"/>
                <w:sz w:val="18"/>
                <w:szCs w:val="18"/>
                <w:lang w:val="ro-MD"/>
              </w:rPr>
              <w:t xml:space="preserve"> </w:t>
            </w:r>
            <w:r w:rsidRPr="0080251F">
              <w:rPr>
                <w:rFonts w:ascii="Times New Roman" w:hAnsi="Times New Roman"/>
                <w:sz w:val="18"/>
                <w:szCs w:val="18"/>
                <w:lang w:val="ro-MD"/>
              </w:rPr>
              <w:t xml:space="preserve"> a tarifului  nu au fost ajustate la timp.</w:t>
            </w:r>
          </w:p>
        </w:tc>
        <w:tc>
          <w:tcPr>
            <w:tcW w:w="8363" w:type="dxa"/>
            <w:shd w:val="clear" w:color="auto" w:fill="auto"/>
          </w:tcPr>
          <w:p w14:paraId="4FF126DE" w14:textId="69CE5138" w:rsidR="007E784D" w:rsidRPr="0080251F" w:rsidRDefault="007E784D" w:rsidP="009A17C7">
            <w:pPr>
              <w:spacing w:line="259" w:lineRule="auto"/>
              <w:rPr>
                <w:rFonts w:ascii="Times New Roman" w:eastAsia="Times New Roman" w:hAnsi="Times New Roman"/>
                <w:bCs/>
                <w:sz w:val="18"/>
                <w:szCs w:val="18"/>
                <w:lang w:val="ro-MD"/>
              </w:rPr>
            </w:pPr>
            <w:r w:rsidRPr="0080251F">
              <w:rPr>
                <w:rFonts w:ascii="Times New Roman" w:eastAsia="Times New Roman" w:hAnsi="Times New Roman"/>
                <w:b/>
                <w:bCs/>
                <w:sz w:val="18"/>
                <w:szCs w:val="18"/>
                <w:lang w:val="ro-MD"/>
              </w:rPr>
              <w:t>HANRE nr.64/2018 din 22.02.2018 „Cu privire la aprobarea Metodologiei de calculare, aprobare și aplicare a tarifelor pentru serviciul de distribuție a energiei electrice”:</w:t>
            </w:r>
            <w:r w:rsidRPr="0080251F">
              <w:rPr>
                <w:rFonts w:ascii="Times New Roman" w:eastAsia="Times New Roman" w:hAnsi="Times New Roman"/>
                <w:bCs/>
                <w:sz w:val="18"/>
                <w:szCs w:val="18"/>
                <w:lang w:val="ro-MD"/>
              </w:rPr>
              <w:t xml:space="preserve"> se reglementează modalitatea de calculare a tarifului.</w:t>
            </w:r>
          </w:p>
          <w:p w14:paraId="716CE5AB" w14:textId="2B0EB320" w:rsidR="007E784D" w:rsidRPr="0080251F" w:rsidRDefault="007E784D" w:rsidP="009A17C7">
            <w:pPr>
              <w:spacing w:line="259" w:lineRule="auto"/>
              <w:rPr>
                <w:rFonts w:ascii="Times New Roman" w:eastAsia="Times New Roman" w:hAnsi="Times New Roman"/>
                <w:bCs/>
                <w:sz w:val="18"/>
                <w:szCs w:val="18"/>
                <w:lang w:val="ro-MD"/>
              </w:rPr>
            </w:pPr>
            <w:r w:rsidRPr="0080251F">
              <w:rPr>
                <w:rFonts w:ascii="Times New Roman" w:eastAsia="Times New Roman" w:hAnsi="Times New Roman"/>
                <w:b/>
                <w:bCs/>
                <w:sz w:val="18"/>
                <w:szCs w:val="18"/>
                <w:lang w:val="ro-MD"/>
              </w:rPr>
              <w:t>HANRE nr.286/2018 din 17.10.2018 „Cu privire la aprobarea Regulamentului privind procedurile de prezentare și de examinare a cererilor titularilor de licențe privind pre</w:t>
            </w:r>
            <w:r w:rsidR="0051537D" w:rsidRPr="0080251F">
              <w:rPr>
                <w:rFonts w:ascii="Times New Roman" w:eastAsia="Times New Roman" w:hAnsi="Times New Roman"/>
                <w:b/>
                <w:bCs/>
                <w:sz w:val="18"/>
                <w:szCs w:val="18"/>
                <w:lang w:val="ro-MD"/>
              </w:rPr>
              <w:t>ț</w:t>
            </w:r>
            <w:r w:rsidRPr="0080251F">
              <w:rPr>
                <w:rFonts w:ascii="Times New Roman" w:eastAsia="Times New Roman" w:hAnsi="Times New Roman"/>
                <w:b/>
                <w:bCs/>
                <w:sz w:val="18"/>
                <w:szCs w:val="18"/>
                <w:lang w:val="ro-MD"/>
              </w:rPr>
              <w:t>urile și tarifele reglementate”:</w:t>
            </w:r>
            <w:r w:rsidRPr="0080251F">
              <w:rPr>
                <w:rFonts w:ascii="Times New Roman" w:eastAsia="Times New Roman" w:hAnsi="Times New Roman"/>
                <w:bCs/>
                <w:sz w:val="18"/>
                <w:szCs w:val="18"/>
                <w:lang w:val="ro-MD"/>
              </w:rPr>
              <w:t xml:space="preserve"> se reglementează condițiile de ajustare periodică (1 în an) a tarifului de distribuție.</w:t>
            </w:r>
          </w:p>
          <w:p w14:paraId="79B3B4D9" w14:textId="77777777" w:rsidR="007E784D" w:rsidRPr="0080251F" w:rsidRDefault="007E784D" w:rsidP="009A17C7">
            <w:pPr>
              <w:spacing w:line="259" w:lineRule="auto"/>
              <w:rPr>
                <w:rFonts w:ascii="Times New Roman" w:eastAsia="Times New Roman" w:hAnsi="Times New Roman"/>
                <w:bCs/>
                <w:sz w:val="18"/>
                <w:szCs w:val="18"/>
                <w:lang w:val="ro-MD"/>
              </w:rPr>
            </w:pPr>
            <w:r w:rsidRPr="0080251F">
              <w:rPr>
                <w:rFonts w:ascii="Times New Roman" w:eastAsia="Times New Roman" w:hAnsi="Times New Roman"/>
                <w:b/>
                <w:bCs/>
                <w:sz w:val="18"/>
                <w:szCs w:val="18"/>
                <w:lang w:val="ro-MD"/>
              </w:rPr>
              <w:t>HANRE nr.269/2018 din 28.09.2018 „Cu privire la aprobarea Metodologiei de calculare, aprobare și aplicare a tarifelor reglementate pentru serviciile auxiliare prestate de către operatorii de sistem din sectorul electroenergetic”:</w:t>
            </w:r>
            <w:r w:rsidRPr="0080251F">
              <w:rPr>
                <w:rFonts w:ascii="Times New Roman" w:eastAsia="Times New Roman" w:hAnsi="Times New Roman"/>
                <w:bCs/>
                <w:sz w:val="18"/>
                <w:szCs w:val="18"/>
                <w:lang w:val="ro-MD"/>
              </w:rPr>
              <w:t xml:space="preserve"> se reglementează procedura de aprobare și ajustare a tarifului pentru serviciile auxiliare.</w:t>
            </w:r>
          </w:p>
        </w:tc>
        <w:tc>
          <w:tcPr>
            <w:tcW w:w="2410" w:type="dxa"/>
            <w:shd w:val="clear" w:color="auto" w:fill="auto"/>
          </w:tcPr>
          <w:p w14:paraId="7E2DE00A" w14:textId="77777777" w:rsidR="007E784D" w:rsidRPr="0080251F" w:rsidRDefault="007E784D" w:rsidP="009A17C7">
            <w:pPr>
              <w:spacing w:line="259" w:lineRule="auto"/>
              <w:rPr>
                <w:rFonts w:ascii="Times New Roman" w:eastAsia="Times New Roman" w:hAnsi="Times New Roman"/>
                <w:b/>
                <w:bCs/>
                <w:color w:val="000000"/>
                <w:sz w:val="18"/>
                <w:szCs w:val="18"/>
                <w:lang w:val="ro-MD"/>
              </w:rPr>
            </w:pPr>
            <w:r w:rsidRPr="0080251F">
              <w:rPr>
                <w:rFonts w:ascii="Times New Roman" w:eastAsia="Times New Roman" w:hAnsi="Times New Roman"/>
                <w:bCs/>
                <w:color w:val="000000"/>
                <w:sz w:val="18"/>
                <w:szCs w:val="18"/>
                <w:lang w:val="ro-MD"/>
              </w:rPr>
              <w:t>Examinarea și analiza documentelor: documentele privind aprobarea cheltuielilor de bază pentru activitatea reglementată prin tarif; formarea și raportarea devierilor tarifare; documentația de solicitare a ajustării tarifului.</w:t>
            </w:r>
          </w:p>
          <w:p w14:paraId="40F8DF89"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Contrapunerea documentelor analizate cu înregistrările raportate în bilanțul contabil (devierile tarifare).</w:t>
            </w:r>
          </w:p>
        </w:tc>
        <w:tc>
          <w:tcPr>
            <w:tcW w:w="2273" w:type="dxa"/>
            <w:shd w:val="clear" w:color="auto" w:fill="auto"/>
          </w:tcPr>
          <w:p w14:paraId="26A46702"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analizat veniturile, cheltuielile societății și devierile tarifare raportate – 100 %. S-a verificat tariful pentru serviciile auxiliare.</w:t>
            </w:r>
          </w:p>
        </w:tc>
      </w:tr>
      <w:tr w:rsidR="007E784D" w:rsidRPr="0080251F" w14:paraId="2C1B1923" w14:textId="77777777" w:rsidTr="008A1A07">
        <w:trPr>
          <w:trHeight w:val="59"/>
        </w:trPr>
        <w:tc>
          <w:tcPr>
            <w:tcW w:w="15173" w:type="dxa"/>
            <w:gridSpan w:val="4"/>
            <w:shd w:val="clear" w:color="auto" w:fill="C5E0B3" w:themeFill="accent6" w:themeFillTint="66"/>
          </w:tcPr>
          <w:p w14:paraId="705FF3DB"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
                <w:bCs/>
                <w:color w:val="000000"/>
                <w:sz w:val="18"/>
                <w:szCs w:val="18"/>
                <w:lang w:val="ro-MD"/>
              </w:rPr>
              <w:t xml:space="preserve">Obiectivul nr.4.8. </w:t>
            </w:r>
            <w:r w:rsidRPr="0080251F">
              <w:rPr>
                <w:rFonts w:ascii="Times New Roman" w:eastAsia="Times New Roman" w:hAnsi="Times New Roman"/>
                <w:b/>
                <w:bCs/>
                <w:iCs/>
                <w:color w:val="000000"/>
                <w:sz w:val="18"/>
                <w:szCs w:val="18"/>
                <w:lang w:val="ro-MD"/>
              </w:rPr>
              <w:t>Cheltuielile din profitul net au fost conforme sau oportune în raport cu domeniile de activitate statutare</w:t>
            </w:r>
            <w:r w:rsidRPr="0080251F">
              <w:rPr>
                <w:rFonts w:ascii="Times New Roman" w:eastAsia="Times New Roman" w:hAnsi="Times New Roman"/>
                <w:b/>
                <w:bCs/>
                <w:color w:val="000000"/>
                <w:sz w:val="18"/>
                <w:szCs w:val="18"/>
                <w:lang w:val="ro-MD"/>
              </w:rPr>
              <w:t>?</w:t>
            </w:r>
          </w:p>
        </w:tc>
      </w:tr>
      <w:tr w:rsidR="007E784D" w:rsidRPr="0080251F" w14:paraId="5A2A6410" w14:textId="77777777" w:rsidTr="008A1A07">
        <w:trPr>
          <w:trHeight w:val="851"/>
        </w:trPr>
        <w:tc>
          <w:tcPr>
            <w:tcW w:w="2127" w:type="dxa"/>
            <w:shd w:val="clear" w:color="auto" w:fill="auto"/>
          </w:tcPr>
          <w:p w14:paraId="26A021DE" w14:textId="77777777" w:rsidR="007E784D" w:rsidRPr="0080251F" w:rsidRDefault="007E784D" w:rsidP="009A17C7">
            <w:pPr>
              <w:spacing w:line="259" w:lineRule="auto"/>
              <w:rPr>
                <w:rFonts w:ascii="Times New Roman" w:hAnsi="Times New Roman"/>
                <w:sz w:val="18"/>
                <w:szCs w:val="18"/>
                <w:lang w:val="ro-MD"/>
              </w:rPr>
            </w:pPr>
            <w:r w:rsidRPr="0080251F">
              <w:rPr>
                <w:rFonts w:ascii="Times New Roman" w:hAnsi="Times New Roman"/>
                <w:bCs/>
                <w:color w:val="000000" w:themeColor="text1"/>
                <w:sz w:val="18"/>
                <w:szCs w:val="18"/>
                <w:lang w:val="ro-MD"/>
              </w:rPr>
              <w:t>4.8. Cheltuielile din profitul net nu sunt conforme sau oportune în raport cu domeniile de activitate statutare.</w:t>
            </w:r>
          </w:p>
        </w:tc>
        <w:tc>
          <w:tcPr>
            <w:tcW w:w="8363" w:type="dxa"/>
            <w:shd w:val="clear" w:color="auto" w:fill="auto"/>
          </w:tcPr>
          <w:p w14:paraId="6840066E" w14:textId="44F38030" w:rsidR="007E784D" w:rsidRPr="0080251F" w:rsidRDefault="007E784D" w:rsidP="009A17C7">
            <w:pPr>
              <w:shd w:val="clear" w:color="auto" w:fill="FFFFFF"/>
              <w:spacing w:line="259" w:lineRule="auto"/>
              <w:rPr>
                <w:color w:val="333333"/>
                <w:sz w:val="18"/>
                <w:szCs w:val="18"/>
                <w:lang w:val="ro-MD"/>
              </w:rPr>
            </w:pPr>
            <w:r w:rsidRPr="0080251F">
              <w:rPr>
                <w:rFonts w:ascii="Times New Roman" w:eastAsia="Times New Roman" w:hAnsi="Times New Roman"/>
                <w:b/>
                <w:color w:val="333333"/>
                <w:sz w:val="18"/>
                <w:szCs w:val="18"/>
                <w:lang w:val="ro-MD"/>
              </w:rPr>
              <w:t>Statutul S.A. „RED-Nord”: art.57</w:t>
            </w:r>
            <w:r w:rsidRPr="0080251F">
              <w:rPr>
                <w:rFonts w:ascii="Times New Roman" w:eastAsia="Times New Roman" w:hAnsi="Times New Roman"/>
                <w:color w:val="333333"/>
                <w:sz w:val="18"/>
                <w:szCs w:val="18"/>
                <w:lang w:val="ro-MD"/>
              </w:rPr>
              <w:t xml:space="preserve"> - este reglementat că sursa principală de finanțare a Societății este profitul net, care se distribuie în conformitate cu deciziile luate de către Adunarea generală a acționarilor, la propunerea Consiliului societății. Societatea este în drept să formeze din defalcările anuale din profitul net, stabilite de către Adunarea generală a acționarilor, rezerve, fondul de dezvoltare și fondul de consum. </w:t>
            </w:r>
            <w:r w:rsidRPr="0080251F">
              <w:rPr>
                <w:rFonts w:ascii="Times New Roman" w:eastAsia="Times New Roman" w:hAnsi="Times New Roman"/>
                <w:b/>
                <w:color w:val="333333"/>
                <w:sz w:val="18"/>
                <w:szCs w:val="18"/>
                <w:lang w:val="ro-MD"/>
              </w:rPr>
              <w:t xml:space="preserve">Legea nr.1134 din 02.04.1997 </w:t>
            </w:r>
            <w:r w:rsidR="0051537D" w:rsidRPr="0080251F">
              <w:rPr>
                <w:rFonts w:ascii="Times New Roman" w:eastAsia="Times New Roman" w:hAnsi="Times New Roman"/>
                <w:b/>
                <w:color w:val="333333"/>
                <w:sz w:val="18"/>
                <w:szCs w:val="18"/>
                <w:lang w:val="ro-MD"/>
              </w:rPr>
              <w:t>p</w:t>
            </w:r>
            <w:r w:rsidRPr="0080251F">
              <w:rPr>
                <w:rFonts w:ascii="Times New Roman" w:eastAsia="Times New Roman" w:hAnsi="Times New Roman"/>
                <w:b/>
                <w:color w:val="333333"/>
                <w:sz w:val="18"/>
                <w:szCs w:val="18"/>
                <w:lang w:val="ro-MD"/>
              </w:rPr>
              <w:t>rivind societățile pe acțiuni: art.45</w:t>
            </w:r>
            <w:r w:rsidRPr="0080251F">
              <w:rPr>
                <w:rFonts w:ascii="Times New Roman" w:eastAsia="Times New Roman" w:hAnsi="Times New Roman"/>
                <w:color w:val="333333"/>
                <w:sz w:val="18"/>
                <w:szCs w:val="18"/>
                <w:lang w:val="ro-MD"/>
              </w:rPr>
              <w:t xml:space="preserve"> - (1) Profitul (pierderile) societății se stabilește în conformitate cu prevederile legislației; (2) Profitul net se formează după achitarea impozitelor și altor plăți obligatorii și rămâne la dispoziția societății;: (3) Profitul net poate fi utilizat pentru:</w:t>
            </w:r>
            <w:r w:rsidRPr="0080251F">
              <w:rPr>
                <w:color w:val="333333"/>
                <w:sz w:val="18"/>
                <w:szCs w:val="18"/>
                <w:lang w:val="ro-MD"/>
              </w:rPr>
              <w:t xml:space="preserve"> </w:t>
            </w:r>
            <w:r w:rsidRPr="0080251F">
              <w:rPr>
                <w:rFonts w:ascii="Times New Roman" w:eastAsia="Times New Roman" w:hAnsi="Times New Roman"/>
                <w:color w:val="333333"/>
                <w:sz w:val="18"/>
                <w:szCs w:val="18"/>
                <w:lang w:val="ro-MD"/>
              </w:rPr>
              <w:t>a) acoperirea pierderilor din anii precedenți;</w:t>
            </w:r>
            <w:r w:rsidRPr="0080251F">
              <w:rPr>
                <w:color w:val="333333"/>
                <w:sz w:val="18"/>
                <w:szCs w:val="18"/>
                <w:lang w:val="ro-MD"/>
              </w:rPr>
              <w:t xml:space="preserve"> </w:t>
            </w:r>
            <w:r w:rsidRPr="0080251F">
              <w:rPr>
                <w:rFonts w:ascii="Times New Roman" w:eastAsia="Times New Roman" w:hAnsi="Times New Roman"/>
                <w:color w:val="333333"/>
                <w:sz w:val="18"/>
                <w:szCs w:val="18"/>
                <w:lang w:val="ro-MD"/>
              </w:rPr>
              <w:t>b) formarea capitalului de rezervă;</w:t>
            </w:r>
            <w:r w:rsidRPr="0080251F">
              <w:rPr>
                <w:color w:val="333333"/>
                <w:sz w:val="18"/>
                <w:szCs w:val="18"/>
                <w:lang w:val="ro-MD"/>
              </w:rPr>
              <w:t xml:space="preserve"> </w:t>
            </w:r>
            <w:r w:rsidRPr="0080251F">
              <w:rPr>
                <w:rFonts w:ascii="Times New Roman" w:eastAsia="Times New Roman" w:hAnsi="Times New Roman"/>
                <w:color w:val="333333"/>
                <w:sz w:val="18"/>
                <w:szCs w:val="18"/>
                <w:lang w:val="ro-MD"/>
              </w:rPr>
              <w:t>c) formarea, conform prevederilor statutului, a fondurilor pentru răscumpărarea acțiunilor prevăzute la art.78 din care nu pot fi plătite dividende;</w:t>
            </w:r>
            <w:r w:rsidRPr="0080251F">
              <w:rPr>
                <w:color w:val="333333"/>
                <w:sz w:val="18"/>
                <w:szCs w:val="18"/>
                <w:lang w:val="ro-MD"/>
              </w:rPr>
              <w:t xml:space="preserve"> </w:t>
            </w:r>
            <w:r w:rsidRPr="0080251F">
              <w:rPr>
                <w:rFonts w:ascii="Times New Roman" w:eastAsia="Times New Roman" w:hAnsi="Times New Roman"/>
                <w:color w:val="333333"/>
                <w:sz w:val="18"/>
                <w:szCs w:val="18"/>
                <w:lang w:val="ro-MD"/>
              </w:rPr>
              <w:t>d) plata recompenselor către membrii consiliului societății, ai comisiei de cenzori și ai comitetului de audit;</w:t>
            </w:r>
            <w:r w:rsidRPr="0080251F">
              <w:rPr>
                <w:color w:val="333333"/>
                <w:sz w:val="18"/>
                <w:szCs w:val="18"/>
                <w:lang w:val="ro-MD"/>
              </w:rPr>
              <w:t xml:space="preserve"> </w:t>
            </w:r>
            <w:r w:rsidRPr="0080251F">
              <w:rPr>
                <w:rFonts w:ascii="Times New Roman" w:eastAsia="Times New Roman" w:hAnsi="Times New Roman"/>
                <w:color w:val="333333"/>
                <w:sz w:val="18"/>
                <w:szCs w:val="18"/>
                <w:lang w:val="ro-MD"/>
              </w:rPr>
              <w:t>e) investirea în vederea dezvoltării producției;</w:t>
            </w:r>
            <w:r w:rsidRPr="0080251F">
              <w:rPr>
                <w:color w:val="333333"/>
                <w:sz w:val="18"/>
                <w:szCs w:val="18"/>
                <w:lang w:val="ro-MD"/>
              </w:rPr>
              <w:t xml:space="preserve"> </w:t>
            </w:r>
            <w:r w:rsidRPr="0080251F">
              <w:rPr>
                <w:rFonts w:ascii="Times New Roman" w:eastAsia="Times New Roman" w:hAnsi="Times New Roman"/>
                <w:color w:val="333333"/>
                <w:sz w:val="18"/>
                <w:szCs w:val="18"/>
                <w:lang w:val="ro-MD"/>
              </w:rPr>
              <w:t>f) plata dividendelor; precum și pentru</w:t>
            </w:r>
            <w:r w:rsidRPr="0080251F">
              <w:rPr>
                <w:color w:val="333333"/>
                <w:sz w:val="18"/>
                <w:szCs w:val="18"/>
                <w:lang w:val="ro-MD"/>
              </w:rPr>
              <w:t xml:space="preserve"> </w:t>
            </w:r>
            <w:r w:rsidRPr="0080251F">
              <w:rPr>
                <w:rFonts w:ascii="Times New Roman" w:eastAsia="Times New Roman" w:hAnsi="Times New Roman"/>
                <w:color w:val="333333"/>
                <w:sz w:val="18"/>
                <w:szCs w:val="18"/>
                <w:lang w:val="ro-MD"/>
              </w:rPr>
              <w:t>g) alte scopuri, în corespundere cu legislația și cu statutul societății; (4) Decizia de repartizare a profitului net în cursul anului financiar se ia de consiliul societății, în baza normativelor de repartizare aprobate de adunarea generală a acționarilor, iar hotărârea de repartizare a profitului net anual se ia de adunarea generală anuală a acționarilor, la propunerea consiliului societății.</w:t>
            </w:r>
          </w:p>
        </w:tc>
        <w:tc>
          <w:tcPr>
            <w:tcW w:w="2410" w:type="dxa"/>
            <w:shd w:val="clear" w:color="auto" w:fill="auto"/>
          </w:tcPr>
          <w:p w14:paraId="7B43A06B" w14:textId="4C898116"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 xml:space="preserve">Examinarea și analiza documentelor: Statutul societății economice; hotărârile Adunării </w:t>
            </w:r>
            <w:r w:rsidR="004B772D" w:rsidRPr="0080251F">
              <w:rPr>
                <w:rFonts w:ascii="Times New Roman" w:eastAsia="Times New Roman" w:hAnsi="Times New Roman"/>
                <w:bCs/>
                <w:color w:val="000000"/>
                <w:sz w:val="18"/>
                <w:szCs w:val="18"/>
                <w:lang w:val="ro-MD"/>
              </w:rPr>
              <w:t>G</w:t>
            </w:r>
            <w:r w:rsidRPr="0080251F">
              <w:rPr>
                <w:rFonts w:ascii="Times New Roman" w:eastAsia="Times New Roman" w:hAnsi="Times New Roman"/>
                <w:bCs/>
                <w:color w:val="000000"/>
                <w:sz w:val="18"/>
                <w:szCs w:val="18"/>
                <w:lang w:val="ro-MD"/>
              </w:rPr>
              <w:t>enerale</w:t>
            </w:r>
            <w:r w:rsidR="004B772D" w:rsidRPr="0080251F">
              <w:rPr>
                <w:rFonts w:ascii="Times New Roman" w:eastAsia="Times New Roman" w:hAnsi="Times New Roman"/>
                <w:bCs/>
                <w:color w:val="000000"/>
                <w:sz w:val="18"/>
                <w:szCs w:val="18"/>
                <w:lang w:val="ro-MD"/>
              </w:rPr>
              <w:t xml:space="preserve"> a Acționarilor.</w:t>
            </w:r>
            <w:r w:rsidRPr="0080251F">
              <w:rPr>
                <w:rFonts w:ascii="Times New Roman" w:eastAsia="Times New Roman" w:hAnsi="Times New Roman"/>
                <w:bCs/>
                <w:color w:val="000000"/>
                <w:sz w:val="18"/>
                <w:szCs w:val="18"/>
                <w:lang w:val="ro-MD"/>
              </w:rPr>
              <w:t>.</w:t>
            </w:r>
          </w:p>
        </w:tc>
        <w:tc>
          <w:tcPr>
            <w:tcW w:w="2273" w:type="dxa"/>
            <w:shd w:val="clear" w:color="auto" w:fill="auto"/>
          </w:tcPr>
          <w:p w14:paraId="6C6E2FBD" w14:textId="77777777" w:rsidR="007E784D" w:rsidRPr="0080251F" w:rsidRDefault="007E784D" w:rsidP="009A17C7">
            <w:pPr>
              <w:spacing w:line="259" w:lineRule="auto"/>
              <w:rPr>
                <w:rFonts w:ascii="Times New Roman" w:eastAsia="Times New Roman" w:hAnsi="Times New Roman"/>
                <w:bCs/>
                <w:color w:val="000000"/>
                <w:sz w:val="18"/>
                <w:szCs w:val="18"/>
                <w:lang w:val="ro-MD"/>
              </w:rPr>
            </w:pPr>
            <w:r w:rsidRPr="0080251F">
              <w:rPr>
                <w:rFonts w:ascii="Times New Roman" w:eastAsia="Times New Roman" w:hAnsi="Times New Roman"/>
                <w:bCs/>
                <w:color w:val="000000"/>
                <w:sz w:val="18"/>
                <w:szCs w:val="18"/>
                <w:lang w:val="ro-MD"/>
              </w:rPr>
              <w:t>S-au analizat cheltuielile societății efectuate din contul profitului net – 100 %.</w:t>
            </w:r>
          </w:p>
        </w:tc>
      </w:tr>
    </w:tbl>
    <w:p w14:paraId="47C6F048" w14:textId="77777777" w:rsidR="007E784D" w:rsidRPr="0080251F" w:rsidRDefault="007E784D" w:rsidP="00F7042A">
      <w:pPr>
        <w:spacing w:after="0" w:line="276" w:lineRule="auto"/>
        <w:jc w:val="center"/>
        <w:rPr>
          <w:rFonts w:ascii="Times New Roman" w:hAnsi="Times New Roman" w:cs="Times New Roman"/>
          <w:b/>
          <w:sz w:val="24"/>
          <w:szCs w:val="24"/>
          <w:lang w:val="ro-MD"/>
        </w:rPr>
      </w:pPr>
    </w:p>
    <w:sectPr w:rsidR="007E784D" w:rsidRPr="0080251F" w:rsidSect="008A1A07">
      <w:footnotePr>
        <w:numRestart w:val="eachSect"/>
      </w:footnotePr>
      <w:pgSz w:w="16838" w:h="11906" w:orient="landscape" w:code="9"/>
      <w:pgMar w:top="127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21CB1" w14:textId="77777777" w:rsidR="004B6393" w:rsidRDefault="004B6393" w:rsidP="00850044">
      <w:pPr>
        <w:spacing w:after="0" w:line="240" w:lineRule="auto"/>
      </w:pPr>
      <w:r>
        <w:separator/>
      </w:r>
    </w:p>
  </w:endnote>
  <w:endnote w:type="continuationSeparator" w:id="0">
    <w:p w14:paraId="72D9B162" w14:textId="77777777" w:rsidR="004B6393" w:rsidRDefault="004B6393" w:rsidP="0085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171492"/>
      <w:docPartObj>
        <w:docPartGallery w:val="Page Numbers (Bottom of Page)"/>
        <w:docPartUnique/>
      </w:docPartObj>
    </w:sdtPr>
    <w:sdtEndPr>
      <w:rPr>
        <w:noProof/>
      </w:rPr>
    </w:sdtEndPr>
    <w:sdtContent>
      <w:p w14:paraId="3DBB8E16" w14:textId="29A01A87" w:rsidR="00471F97" w:rsidRDefault="00471F97">
        <w:pPr>
          <w:pStyle w:val="ad"/>
          <w:jc w:val="right"/>
        </w:pPr>
        <w:r>
          <w:fldChar w:fldCharType="begin"/>
        </w:r>
        <w:r>
          <w:instrText xml:space="preserve"> PAGE   \* MERGEFORMAT </w:instrText>
        </w:r>
        <w:r>
          <w:fldChar w:fldCharType="separate"/>
        </w:r>
        <w:r w:rsidR="00FC04E7">
          <w:rPr>
            <w:noProof/>
          </w:rPr>
          <w:t>20</w:t>
        </w:r>
        <w:r>
          <w:rPr>
            <w:noProof/>
          </w:rPr>
          <w:fldChar w:fldCharType="end"/>
        </w:r>
      </w:p>
    </w:sdtContent>
  </w:sdt>
  <w:p w14:paraId="01D0B9AA" w14:textId="77777777" w:rsidR="00C242C2" w:rsidRDefault="00C242C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28292"/>
      <w:docPartObj>
        <w:docPartGallery w:val="Page Numbers (Bottom of Page)"/>
        <w:docPartUnique/>
      </w:docPartObj>
    </w:sdtPr>
    <w:sdtEndPr>
      <w:rPr>
        <w:noProof/>
      </w:rPr>
    </w:sdtEndPr>
    <w:sdtContent>
      <w:p w14:paraId="655F6BAC" w14:textId="29530E18" w:rsidR="00C242C2" w:rsidRDefault="00C242C2">
        <w:pPr>
          <w:pStyle w:val="ad"/>
          <w:jc w:val="right"/>
        </w:pPr>
        <w:r>
          <w:fldChar w:fldCharType="begin"/>
        </w:r>
        <w:r>
          <w:instrText xml:space="preserve"> PAGE   \* MERGEFORMAT </w:instrText>
        </w:r>
        <w:r>
          <w:fldChar w:fldCharType="separate"/>
        </w:r>
        <w:r w:rsidR="00FC04E7">
          <w:rPr>
            <w:noProof/>
          </w:rPr>
          <w:t>51</w:t>
        </w:r>
        <w:r>
          <w:rPr>
            <w:noProof/>
          </w:rPr>
          <w:fldChar w:fldCharType="end"/>
        </w:r>
      </w:p>
    </w:sdtContent>
  </w:sdt>
  <w:p w14:paraId="18B29CEC" w14:textId="77777777" w:rsidR="00C242C2" w:rsidRDefault="00C242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C2A5D" w14:textId="77777777" w:rsidR="004B6393" w:rsidRDefault="004B6393" w:rsidP="00850044">
      <w:pPr>
        <w:spacing w:after="0" w:line="240" w:lineRule="auto"/>
      </w:pPr>
      <w:r>
        <w:separator/>
      </w:r>
    </w:p>
  </w:footnote>
  <w:footnote w:type="continuationSeparator" w:id="0">
    <w:p w14:paraId="15F2DD89" w14:textId="77777777" w:rsidR="004B6393" w:rsidRDefault="004B6393" w:rsidP="00850044">
      <w:pPr>
        <w:spacing w:after="0" w:line="240" w:lineRule="auto"/>
      </w:pPr>
      <w:r>
        <w:continuationSeparator/>
      </w:r>
    </w:p>
  </w:footnote>
  <w:footnote w:id="1">
    <w:p w14:paraId="15EBBBC4" w14:textId="77777777" w:rsidR="00C242C2" w:rsidRPr="00F43F69" w:rsidRDefault="00C242C2" w:rsidP="004C4954">
      <w:pPr>
        <w:pStyle w:val="a3"/>
        <w:jc w:val="both"/>
        <w:rPr>
          <w:rFonts w:ascii="Times New Roman" w:hAnsi="Times New Roman" w:cs="Times New Roman"/>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Hotărârea Guvernului nr.628 din 08.07.1997 „Cu privire la aprobarea Planului de restructurare a sectorului electroenergetic”, abrogată prin Hotărârea Guvernului nr.796 din 25.10.2012.</w:t>
      </w:r>
    </w:p>
  </w:footnote>
  <w:footnote w:id="2">
    <w:p w14:paraId="0F8F1DC8" w14:textId="22229820" w:rsidR="00C242C2" w:rsidRPr="00F43F69" w:rsidRDefault="00C242C2" w:rsidP="004C4954">
      <w:pPr>
        <w:pStyle w:val="a3"/>
        <w:jc w:val="both"/>
        <w:rPr>
          <w:rFonts w:ascii="Times New Roman" w:hAnsi="Times New Roman" w:cs="Times New Roman"/>
          <w:b/>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 xml:space="preserve">Hotărârea Guvernului nr.172 din 15.04.2015 </w:t>
      </w:r>
      <w:r w:rsidRPr="00F43F69">
        <w:rPr>
          <w:rFonts w:ascii="Times New Roman" w:hAnsi="Times New Roman" w:cs="Times New Roman"/>
          <w:bCs/>
          <w:sz w:val="16"/>
          <w:szCs w:val="16"/>
        </w:rPr>
        <w:t>„</w:t>
      </w:r>
      <w:r w:rsidRPr="00F43F69">
        <w:rPr>
          <w:rFonts w:ascii="Times New Roman" w:hAnsi="Times New Roman" w:cs="Times New Roman"/>
          <w:bCs/>
          <w:sz w:val="16"/>
          <w:szCs w:val="16"/>
          <w:lang w:val="ro-RO"/>
        </w:rPr>
        <w:t>Privind inițierea reorganizării unor societăți pe acțiuni”.</w:t>
      </w:r>
    </w:p>
  </w:footnote>
  <w:footnote w:id="3">
    <w:p w14:paraId="5151717D" w14:textId="77777777" w:rsidR="00C242C2" w:rsidRPr="00F43F69" w:rsidRDefault="00C242C2" w:rsidP="004C4954">
      <w:pPr>
        <w:pStyle w:val="a3"/>
        <w:jc w:val="both"/>
        <w:rPr>
          <w:rFonts w:ascii="Times New Roman" w:hAnsi="Times New Roman" w:cs="Times New Roman"/>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Hotărârea Guvernului nr.605 din 26.07.2017 „Cu privire la reorganizarea unor societăți pe acțiuni”.</w:t>
      </w:r>
    </w:p>
  </w:footnote>
  <w:footnote w:id="4">
    <w:p w14:paraId="3C7BB00A" w14:textId="75E87E75" w:rsidR="00C242C2" w:rsidRPr="00F43F69" w:rsidRDefault="00C242C2" w:rsidP="004C4954">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sz w:val="16"/>
          <w:szCs w:val="16"/>
        </w:rPr>
        <w:t>Oficiul municipal Bălți; oficiile raionale – Fălești, Florești</w:t>
      </w:r>
      <w:r>
        <w:rPr>
          <w:rFonts w:ascii="Times New Roman" w:hAnsi="Times New Roman" w:cs="Times New Roman"/>
          <w:sz w:val="16"/>
          <w:szCs w:val="16"/>
        </w:rPr>
        <w:t>,</w:t>
      </w:r>
      <w:r w:rsidRPr="00F43F69">
        <w:rPr>
          <w:rFonts w:ascii="Times New Roman" w:hAnsi="Times New Roman" w:cs="Times New Roman"/>
          <w:sz w:val="16"/>
          <w:szCs w:val="16"/>
        </w:rPr>
        <w:t xml:space="preserve"> Râșcani, Rezina, Sângerei, Ungheni, Dondușeni, Soroca, Drochia, Edineț, Briceni, Ocnița. </w:t>
      </w:r>
    </w:p>
  </w:footnote>
  <w:footnote w:id="5">
    <w:p w14:paraId="701D3696" w14:textId="32A0CA28" w:rsidR="00C242C2" w:rsidRPr="00F43F69" w:rsidRDefault="00C242C2" w:rsidP="004C495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Consumatori casnici – 461.221; consumatori noncasnici – 31.365.</w:t>
      </w:r>
    </w:p>
  </w:footnote>
  <w:footnote w:id="6">
    <w:p w14:paraId="2BC41938" w14:textId="355FA5C4" w:rsidR="00C242C2" w:rsidRPr="00F43F69" w:rsidRDefault="00C242C2" w:rsidP="004C495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Pe lângă subdiviziunile teritoriale amplasate în 13 centre administrative raionale, inclusiv raio</w:t>
      </w:r>
      <w:r>
        <w:rPr>
          <w:rFonts w:ascii="Times New Roman" w:hAnsi="Times New Roman" w:cs="Times New Roman"/>
          <w:sz w:val="16"/>
          <w:szCs w:val="16"/>
          <w:lang w:val="ro-RO"/>
        </w:rPr>
        <w:t>anele</w:t>
      </w:r>
      <w:r w:rsidRPr="00F43F69">
        <w:rPr>
          <w:rFonts w:ascii="Times New Roman" w:hAnsi="Times New Roman" w:cs="Times New Roman"/>
          <w:sz w:val="16"/>
          <w:szCs w:val="16"/>
          <w:lang w:val="ro-RO"/>
        </w:rPr>
        <w:t xml:space="preserve"> Briceni și Șoldănești.</w:t>
      </w:r>
    </w:p>
  </w:footnote>
  <w:footnote w:id="7">
    <w:p w14:paraId="5547A436" w14:textId="59CB2773" w:rsidR="00C242C2" w:rsidRPr="00F43F69" w:rsidRDefault="00C242C2" w:rsidP="00C915BD">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Legea nr.260 din 07.12.2017 </w:t>
      </w:r>
      <w:r>
        <w:rPr>
          <w:rFonts w:ascii="Times New Roman" w:hAnsi="Times New Roman" w:cs="Times New Roman"/>
          <w:sz w:val="16"/>
          <w:szCs w:val="16"/>
        </w:rPr>
        <w:t>p</w:t>
      </w:r>
      <w:r w:rsidRPr="00F43F69">
        <w:rPr>
          <w:rFonts w:ascii="Times New Roman" w:hAnsi="Times New Roman" w:cs="Times New Roman"/>
          <w:sz w:val="16"/>
          <w:szCs w:val="16"/>
        </w:rPr>
        <w:t>rivind organizarea și funcționarea Curții de Conturi a Republicii Moldova.</w:t>
      </w:r>
    </w:p>
  </w:footnote>
  <w:footnote w:id="8">
    <w:p w14:paraId="5C00AD65" w14:textId="77777777" w:rsidR="00C242C2" w:rsidRPr="00F43F69" w:rsidRDefault="00C242C2" w:rsidP="008115E8">
      <w:pPr>
        <w:pStyle w:val="a3"/>
        <w:spacing w:line="276" w:lineRule="auto"/>
        <w:jc w:val="both"/>
        <w:rPr>
          <w:rFonts w:asciiTheme="majorBidi" w:hAnsiTheme="majorBidi" w:cstheme="majorBidi"/>
          <w:sz w:val="16"/>
          <w:szCs w:val="16"/>
        </w:rPr>
      </w:pPr>
      <w:r w:rsidRPr="00F43F69">
        <w:rPr>
          <w:rStyle w:val="a5"/>
          <w:rFonts w:asciiTheme="majorBidi" w:hAnsiTheme="majorBidi" w:cstheme="majorBidi"/>
          <w:sz w:val="16"/>
          <w:szCs w:val="16"/>
        </w:rPr>
        <w:footnoteRef/>
      </w:r>
      <w:r w:rsidRPr="00F43F69">
        <w:rPr>
          <w:rFonts w:asciiTheme="majorBidi" w:hAnsiTheme="majorBidi" w:cstheme="majorBidi"/>
          <w:sz w:val="16"/>
          <w:szCs w:val="16"/>
        </w:rPr>
        <w:t xml:space="preserve"> Programul activității de audit a Curții de Conturi pe anul 2023, aprobat prin Hotărârea Curții de Conturi nr.65 din 22.12.2022.</w:t>
      </w:r>
    </w:p>
  </w:footnote>
  <w:footnote w:id="9">
    <w:p w14:paraId="6BFB5504" w14:textId="1586E28E" w:rsidR="00C242C2" w:rsidRPr="00F43F69" w:rsidRDefault="00C242C2" w:rsidP="008F1B3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Hotărârea Curții de Conturi nr.2 din 24.01.2020 „Cu privire la Cadrul Declarațiilor Profesionale ale INTOSAI”.</w:t>
      </w:r>
    </w:p>
  </w:footnote>
  <w:footnote w:id="10">
    <w:p w14:paraId="554D60C3" w14:textId="6019F6C4" w:rsidR="00C242C2" w:rsidRPr="00F43F69" w:rsidRDefault="00C242C2" w:rsidP="00465E06">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Legea privind societățile pe acțiuni nr.1134 din 02.04.1997.</w:t>
      </w:r>
    </w:p>
  </w:footnote>
  <w:footnote w:id="11">
    <w:p w14:paraId="322B6732" w14:textId="3C45AB7F" w:rsidR="00C242C2" w:rsidRPr="00F43F69" w:rsidRDefault="00C242C2" w:rsidP="006E0D1F">
      <w:pPr>
        <w:pStyle w:val="a3"/>
        <w:jc w:val="both"/>
        <w:rPr>
          <w:rFonts w:ascii="Times New Roman" w:hAnsi="Times New Roman" w:cs="Times New Roman"/>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Anexa nr.4</w:t>
      </w:r>
      <w:r w:rsidRPr="00F43F69">
        <w:rPr>
          <w:rFonts w:ascii="Times New Roman" w:hAnsi="Times New Roman" w:cs="Times New Roman"/>
          <w:sz w:val="16"/>
          <w:szCs w:val="16"/>
          <w:vertAlign w:val="superscript"/>
          <w:lang w:val="ro-RO"/>
        </w:rPr>
        <w:t>1</w:t>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 xml:space="preserve">Lista societăților comerciale cu cota statului în capitalul social în care Agenția Proprietății Publice exercită funcția de deținător de acțiuni (pârți sociale)” </w:t>
      </w:r>
      <w:r w:rsidRPr="00F43F69">
        <w:rPr>
          <w:rFonts w:ascii="Times New Roman" w:hAnsi="Times New Roman" w:cs="Times New Roman"/>
          <w:sz w:val="16"/>
          <w:szCs w:val="16"/>
          <w:lang w:val="ro-RO"/>
        </w:rPr>
        <w:t xml:space="preserve">din </w:t>
      </w:r>
      <w:r w:rsidRPr="00F43F69">
        <w:rPr>
          <w:rFonts w:ascii="Times New Roman" w:hAnsi="Times New Roman" w:cs="Times New Roman"/>
          <w:bCs/>
          <w:sz w:val="16"/>
          <w:szCs w:val="16"/>
          <w:lang w:val="ro-RO"/>
        </w:rPr>
        <w:t>Regulamentul aprobat prin Hotărârea Guvernului nr.902 din 06.11.2017 „Cu privire la organizarea și funcționarea Agenției Proprietății Publice”.</w:t>
      </w:r>
    </w:p>
  </w:footnote>
  <w:footnote w:id="12">
    <w:p w14:paraId="4F32C144" w14:textId="77777777" w:rsidR="00C242C2" w:rsidRPr="00F43F69" w:rsidRDefault="00C242C2" w:rsidP="00207AC2">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Sursa – Raportul anual privind situația poziției financiare (01.01.2022 – 31.12.2022).</w:t>
      </w:r>
    </w:p>
  </w:footnote>
  <w:footnote w:id="13">
    <w:p w14:paraId="60739E99" w14:textId="77777777" w:rsidR="00C242C2" w:rsidRPr="00F43F69" w:rsidRDefault="00C242C2" w:rsidP="00197B92">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eastAsia="Times New Roman" w:hAnsi="Times New Roman" w:cs="Times New Roman"/>
          <w:sz w:val="16"/>
          <w:szCs w:val="16"/>
        </w:rPr>
        <w:t xml:space="preserve">Hotărârea Curții de Conturi nr.19 din 05.04.2019 „Cu privire la aprobarea Codului etic al Curții de Conturi”. </w:t>
      </w:r>
    </w:p>
  </w:footnote>
  <w:footnote w:id="14">
    <w:p w14:paraId="4F05A2D8" w14:textId="0193BE0A" w:rsidR="00C242C2" w:rsidRPr="00F43F69" w:rsidRDefault="00C242C2" w:rsidP="00D47182">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sz w:val="16"/>
          <w:szCs w:val="16"/>
          <w:lang w:val="ro-RO"/>
        </w:rPr>
        <w:t>Linii electrice aeriene/subterane, utilaje electrice de la: entități publice (Consiliul raional Soroca, Consiliul raional Sângerei, primăria Copăceni) – 28 unități în sum</w:t>
      </w:r>
      <w:r>
        <w:rPr>
          <w:rFonts w:ascii="Times New Roman" w:hAnsi="Times New Roman" w:cs="Times New Roman"/>
          <w:sz w:val="16"/>
          <w:szCs w:val="16"/>
          <w:lang w:val="ro-RO"/>
        </w:rPr>
        <w:t>ă</w:t>
      </w:r>
      <w:r w:rsidRPr="00F43F69">
        <w:rPr>
          <w:rFonts w:ascii="Times New Roman" w:hAnsi="Times New Roman" w:cs="Times New Roman"/>
          <w:sz w:val="16"/>
          <w:szCs w:val="16"/>
          <w:lang w:val="ro-RO"/>
        </w:rPr>
        <w:t xml:space="preserve"> de 5014,9 mii lei; entități private - 70 unități de utilaj în sum</w:t>
      </w:r>
      <w:r>
        <w:rPr>
          <w:rFonts w:ascii="Times New Roman" w:hAnsi="Times New Roman" w:cs="Times New Roman"/>
          <w:sz w:val="16"/>
          <w:szCs w:val="16"/>
          <w:lang w:val="ro-RO"/>
        </w:rPr>
        <w:t>ă</w:t>
      </w:r>
      <w:r w:rsidRPr="00F43F69">
        <w:rPr>
          <w:rFonts w:ascii="Times New Roman" w:hAnsi="Times New Roman" w:cs="Times New Roman"/>
          <w:sz w:val="16"/>
          <w:szCs w:val="16"/>
          <w:lang w:val="ro-RO"/>
        </w:rPr>
        <w:t xml:space="preserve"> de 2651,9 mii lei (anul 2021 - 38 unități cu valoarea de 1659,2 mii lei; anul 2022 – 32 unități cu valoarea de 992,7 mii lei).</w:t>
      </w:r>
    </w:p>
  </w:footnote>
  <w:footnote w:id="15">
    <w:p w14:paraId="66F43240" w14:textId="1BEE3E0E" w:rsidR="00C242C2" w:rsidRPr="00F43F69" w:rsidRDefault="00C242C2" w:rsidP="00D47182">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sz w:val="16"/>
          <w:szCs w:val="16"/>
          <w:lang w:val="ro-RO"/>
        </w:rPr>
        <w:t>S-a reflectat corectarea valorii mijloacelor fixe înregistrate inițial în mod incorect (</w:t>
      </w:r>
      <w:r w:rsidRPr="007C54B8">
        <w:rPr>
          <w:rFonts w:ascii="Times New Roman" w:hAnsi="Times New Roman" w:cs="Times New Roman"/>
          <w:sz w:val="16"/>
          <w:szCs w:val="16"/>
          <w:lang w:val="ro-RO"/>
        </w:rPr>
        <w:t>branșamente post transformare</w:t>
      </w:r>
      <w:r w:rsidRPr="00F43F69">
        <w:rPr>
          <w:rFonts w:ascii="Times New Roman" w:hAnsi="Times New Roman" w:cs="Times New Roman"/>
          <w:sz w:val="16"/>
          <w:szCs w:val="16"/>
          <w:lang w:val="ro-RO"/>
        </w:rPr>
        <w:t>).</w:t>
      </w:r>
    </w:p>
  </w:footnote>
  <w:footnote w:id="16">
    <w:p w14:paraId="4E38FC32" w14:textId="12BFF037" w:rsidR="00C242C2" w:rsidRPr="00F43F69" w:rsidRDefault="00C242C2" w:rsidP="00D47182">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sz w:val="16"/>
          <w:szCs w:val="16"/>
          <w:lang w:val="ro-RO"/>
        </w:rPr>
        <w:t>Divizarea unor mijloace fixe, înregistrate în evidență anterior ca un obiect, și ulterior contabilizate ca active separate.</w:t>
      </w:r>
    </w:p>
  </w:footnote>
  <w:footnote w:id="17">
    <w:p w14:paraId="2B799CBF" w14:textId="1DCF7050" w:rsidR="00C242C2" w:rsidRPr="00F43F69" w:rsidRDefault="00C242C2" w:rsidP="00EC6943">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sz w:val="16"/>
          <w:szCs w:val="16"/>
          <w:lang w:val="ro-RO"/>
        </w:rPr>
        <w:t>S-a reflectat corectarea valorii mijloacelor fixe înregistrate inițial incorect (branșamente post transformare, transformatoare).</w:t>
      </w:r>
    </w:p>
  </w:footnote>
  <w:footnote w:id="18">
    <w:p w14:paraId="0CBB755B" w14:textId="77874403" w:rsidR="00C242C2" w:rsidRPr="00F43F69" w:rsidRDefault="00C242C2" w:rsidP="00621F44">
      <w:pPr>
        <w:pStyle w:val="a3"/>
        <w:jc w:val="both"/>
        <w:rPr>
          <w:rFonts w:ascii="Times New Roman" w:hAnsi="Times New Roman" w:cs="Times New Roman"/>
          <w:bCs/>
          <w:sz w:val="16"/>
          <w:szCs w:val="16"/>
          <w:lang w:val="ro-RO" w:bidi="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Art.11 alin.(2) din </w:t>
      </w:r>
      <w:r w:rsidRPr="00F43F69">
        <w:rPr>
          <w:rFonts w:ascii="Times New Roman" w:hAnsi="Times New Roman" w:cs="Times New Roman"/>
          <w:bCs/>
          <w:sz w:val="16"/>
          <w:szCs w:val="16"/>
          <w:lang w:val="ro-RO"/>
        </w:rPr>
        <w:t xml:space="preserve">Legea contabilității și raportării financiare nr.287 din 15.12.2017. Art.11 alin.(2) - Deținerea de către entitate a activelor cu orice titlu, înregistrarea surselor de proveniență a acestora și a faptelor economice fără documentarea și reflectarea acestora în contabilitate sunt interzise. Pct.7 din Standardul Internațional de Contabilitate 16 „Imobilizări corporale”. Pct.7 - </w:t>
      </w:r>
      <w:r w:rsidRPr="00F43F69">
        <w:rPr>
          <w:rFonts w:ascii="Times New Roman" w:hAnsi="Times New Roman" w:cs="Times New Roman"/>
          <w:bCs/>
          <w:sz w:val="16"/>
          <w:szCs w:val="16"/>
          <w:lang w:val="ro-RO" w:bidi="ro-RO"/>
        </w:rPr>
        <w:t>Costul unui element de imobilizări corporale trebuie recunoscut ca activ dacă și numai dacă: (a)</w:t>
      </w:r>
      <w:bookmarkStart w:id="15" w:name="SL144234"/>
      <w:r w:rsidRPr="00F43F69">
        <w:rPr>
          <w:rFonts w:ascii="Times New Roman" w:hAnsi="Times New Roman" w:cs="Times New Roman"/>
          <w:bCs/>
          <w:sz w:val="16"/>
          <w:szCs w:val="16"/>
          <w:lang w:val="ro-RO" w:bidi="ro-RO"/>
        </w:rPr>
        <w:t xml:space="preserve"> este probabilă generarea de beneficii economice viitoare aferente elementului pentru entitate; și</w:t>
      </w:r>
      <w:bookmarkEnd w:id="15"/>
      <w:r w:rsidRPr="00F43F69">
        <w:rPr>
          <w:rFonts w:ascii="Times New Roman" w:hAnsi="Times New Roman" w:cs="Times New Roman"/>
          <w:bCs/>
          <w:sz w:val="16"/>
          <w:szCs w:val="16"/>
          <w:lang w:val="ro-RO" w:bidi="ro-RO"/>
        </w:rPr>
        <w:t xml:space="preserve"> (b) costul elementului poate fi evaluat în mod fiabil.</w:t>
      </w:r>
    </w:p>
  </w:footnote>
  <w:footnote w:id="19">
    <w:p w14:paraId="5558D64F" w14:textId="77777777" w:rsidR="00C242C2" w:rsidRPr="00B5181F" w:rsidRDefault="00C242C2" w:rsidP="00CF5F7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Terenuri: 1) cod cadastral 3401109.085, or. Dondușeni, str. Alexandr Pușkin 7, suprafața 0,1301 ha, valoarea estimată 16,8 mii lei; 2) cod cadastral </w:t>
      </w:r>
      <w:r w:rsidRPr="00B5181F">
        <w:rPr>
          <w:rFonts w:ascii="Times New Roman" w:hAnsi="Times New Roman" w:cs="Times New Roman"/>
          <w:sz w:val="16"/>
          <w:szCs w:val="16"/>
          <w:lang w:val="ro-RO"/>
        </w:rPr>
        <w:t>7401503.100, or. Sângerei, str. Viilor 13, suprafața 2,0028 ha, valoarea estimată 258,7 mii lei.</w:t>
      </w:r>
    </w:p>
  </w:footnote>
  <w:footnote w:id="20">
    <w:p w14:paraId="6A709045" w14:textId="3A146825" w:rsidR="00C242C2" w:rsidRPr="00B5181F" w:rsidRDefault="00C242C2" w:rsidP="002953B7">
      <w:pPr>
        <w:pStyle w:val="a3"/>
        <w:jc w:val="both"/>
        <w:rPr>
          <w:rFonts w:ascii="Times New Roman" w:hAnsi="Times New Roman" w:cs="Times New Roman"/>
          <w:sz w:val="16"/>
          <w:szCs w:val="16"/>
          <w:lang w:val="ro-RO"/>
        </w:rPr>
      </w:pPr>
      <w:r w:rsidRPr="00B5181F">
        <w:rPr>
          <w:rStyle w:val="a5"/>
          <w:rFonts w:ascii="Times New Roman" w:hAnsi="Times New Roman" w:cs="Times New Roman"/>
          <w:sz w:val="16"/>
          <w:szCs w:val="16"/>
          <w:lang w:val="ro-RO"/>
        </w:rPr>
        <w:footnoteRef/>
      </w:r>
      <w:r w:rsidRPr="00B5181F">
        <w:rPr>
          <w:rFonts w:ascii="Times New Roman" w:hAnsi="Times New Roman" w:cs="Times New Roman"/>
          <w:sz w:val="16"/>
          <w:szCs w:val="16"/>
          <w:lang w:val="ro-RO"/>
        </w:rPr>
        <w:t xml:space="preserve"> Nota contabilă din 20.01.2024, semnată de către contabilul</w:t>
      </w:r>
      <w:r>
        <w:rPr>
          <w:rFonts w:ascii="Times New Roman" w:hAnsi="Times New Roman" w:cs="Times New Roman"/>
          <w:sz w:val="16"/>
          <w:szCs w:val="16"/>
          <w:lang w:val="ro-RO"/>
        </w:rPr>
        <w:t>-</w:t>
      </w:r>
      <w:r w:rsidRPr="00B5181F">
        <w:rPr>
          <w:rFonts w:ascii="Times New Roman" w:hAnsi="Times New Roman" w:cs="Times New Roman"/>
          <w:sz w:val="16"/>
          <w:szCs w:val="16"/>
          <w:lang w:val="ro-RO"/>
        </w:rPr>
        <w:t>șef.</w:t>
      </w:r>
    </w:p>
  </w:footnote>
  <w:footnote w:id="21">
    <w:p w14:paraId="62031434" w14:textId="3BEC22AE" w:rsidR="00C242C2" w:rsidRPr="00F43F69" w:rsidRDefault="00C242C2" w:rsidP="001314E7">
      <w:pPr>
        <w:pStyle w:val="a3"/>
        <w:jc w:val="both"/>
        <w:rPr>
          <w:rFonts w:ascii="Times New Roman" w:hAnsi="Times New Roman" w:cs="Times New Roman"/>
          <w:sz w:val="16"/>
          <w:szCs w:val="16"/>
          <w:lang w:val="ro-RO"/>
        </w:rPr>
      </w:pPr>
      <w:r w:rsidRPr="00B5181F">
        <w:rPr>
          <w:rStyle w:val="a5"/>
          <w:rFonts w:ascii="Times New Roman" w:hAnsi="Times New Roman" w:cs="Times New Roman"/>
          <w:sz w:val="16"/>
          <w:szCs w:val="16"/>
          <w:lang w:val="ro-RO"/>
        </w:rPr>
        <w:footnoteRef/>
      </w:r>
      <w:r w:rsidRPr="00B5181F">
        <w:rPr>
          <w:rFonts w:ascii="Times New Roman" w:hAnsi="Times New Roman" w:cs="Times New Roman"/>
          <w:sz w:val="16"/>
          <w:szCs w:val="16"/>
          <w:lang w:val="ro-RO"/>
        </w:rPr>
        <w:t xml:space="preserve"> Art.26</w:t>
      </w:r>
      <w:r w:rsidRPr="00B5181F">
        <w:rPr>
          <w:rFonts w:ascii="Times New Roman" w:hAnsi="Times New Roman" w:cs="Times New Roman"/>
          <w:sz w:val="16"/>
          <w:szCs w:val="16"/>
          <w:vertAlign w:val="superscript"/>
          <w:lang w:val="ro-RO"/>
        </w:rPr>
        <w:t>1</w:t>
      </w:r>
      <w:r w:rsidRPr="00B5181F">
        <w:rPr>
          <w:rFonts w:ascii="Times New Roman" w:hAnsi="Times New Roman" w:cs="Times New Roman"/>
          <w:sz w:val="16"/>
          <w:szCs w:val="16"/>
          <w:lang w:val="ro-RO"/>
        </w:rPr>
        <w:t xml:space="preserve"> alin.(2) din Legea nr.1163 din 24.04.1997„Codul fiscal” (cu modificările ulterioare, operate inclusiv prin Legea nr.356 din 29.12.2022). Art.26</w:t>
      </w:r>
      <w:r w:rsidRPr="00B5181F">
        <w:rPr>
          <w:rFonts w:ascii="Times New Roman" w:hAnsi="Times New Roman" w:cs="Times New Roman"/>
          <w:sz w:val="16"/>
          <w:szCs w:val="16"/>
          <w:vertAlign w:val="superscript"/>
          <w:lang w:val="ro-RO"/>
        </w:rPr>
        <w:t>1</w:t>
      </w:r>
      <w:r w:rsidRPr="00B5181F">
        <w:rPr>
          <w:rFonts w:ascii="Times New Roman" w:hAnsi="Times New Roman" w:cs="Times New Roman"/>
          <w:sz w:val="16"/>
          <w:szCs w:val="16"/>
          <w:lang w:val="ro-RO"/>
        </w:rPr>
        <w:t xml:space="preserve"> -</w:t>
      </w:r>
      <w:r w:rsidRPr="00B5181F">
        <w:rPr>
          <w:sz w:val="22"/>
          <w:szCs w:val="22"/>
          <w:lang w:val="ro-RO"/>
        </w:rPr>
        <w:t xml:space="preserve"> </w:t>
      </w:r>
      <w:r w:rsidRPr="00B5181F">
        <w:rPr>
          <w:rFonts w:ascii="Times New Roman" w:hAnsi="Times New Roman" w:cs="Times New Roman"/>
          <w:sz w:val="16"/>
          <w:szCs w:val="16"/>
          <w:lang w:val="ro-RO"/>
        </w:rPr>
        <w:t>Mijloacele fixe pe care se calculează amortizarea este</w:t>
      </w:r>
      <w:r w:rsidRPr="00F43F69">
        <w:rPr>
          <w:rFonts w:ascii="Times New Roman" w:hAnsi="Times New Roman" w:cs="Times New Roman"/>
          <w:sz w:val="16"/>
          <w:szCs w:val="16"/>
          <w:lang w:val="ro-RO"/>
        </w:rPr>
        <w:t xml:space="preserve"> proprietatea materială reflectată în bilanțul contribuabilului în conformitate cu legislația și folosită în activitatea de întreprinzător, a căror valoare scade prezumtiv ca urmare a uzurii fizice și morale și a cărei perioadă de exploatare este mai mare de un an, iar valoarea ei depășește suma de 6,0 mii lei.</w:t>
      </w:r>
    </w:p>
  </w:footnote>
  <w:footnote w:id="22">
    <w:p w14:paraId="4ED7CD93" w14:textId="77777777" w:rsidR="00C242C2" w:rsidRPr="00F43F69" w:rsidRDefault="00C242C2" w:rsidP="001314E7">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Pct.6, pct.31 și pct.51 din Standardul Internațional de Contabilitate 16 „Imobilizări corporale”. Pct.6 - </w:t>
      </w:r>
      <w:r w:rsidRPr="00F43F69">
        <w:rPr>
          <w:rFonts w:ascii="Times New Roman" w:hAnsi="Times New Roman" w:cs="Times New Roman"/>
          <w:bCs/>
          <w:sz w:val="16"/>
          <w:szCs w:val="16"/>
        </w:rPr>
        <w:t>D</w:t>
      </w:r>
      <w:r w:rsidRPr="00F43F69">
        <w:rPr>
          <w:rFonts w:ascii="Times New Roman" w:hAnsi="Times New Roman" w:cs="Times New Roman"/>
          <w:bCs/>
          <w:sz w:val="16"/>
          <w:szCs w:val="16"/>
          <w:lang w:val="ro-RO"/>
        </w:rPr>
        <w:t xml:space="preserve">urata de viață utilă este fie: (a) perioada în care se preconizează că un activ va fi disponibil pentru a fi utilizat de către o entitate; fie (b) numărul de unități de producție sau de unități similare pe care entitatea preconizează să le obțină de la activ. Pct.31 - </w:t>
      </w:r>
      <w:r w:rsidRPr="00F43F69">
        <w:rPr>
          <w:rFonts w:ascii="Times New Roman" w:hAnsi="Times New Roman" w:cs="Times New Roman"/>
          <w:bCs/>
          <w:sz w:val="16"/>
          <w:szCs w:val="16"/>
          <w:lang w:val="ro-RO" w:bidi="ro-RO"/>
        </w:rPr>
        <w:t>După recunoașterea ca activ, un element de imobilizări corporale a cărui valoare justă poate fi evaluată în mod fiabil trebuie contabilizat la o valoare reevaluată, aceasta fiind valoarea sa justă la data reevaluării minus orice amortizare cumulată ulterior și orice pierderi cumulate din depreciere. Reevaluările trebuie să fie făcute cu suficientă regularitate pentru a se asigura că valoarea contabilă nu se deosebește semnificativ de ceea ce s-ar fi determinat prin utilizarea valorii juste la finalul perioadei de raportare. Pct.51 - Valoarea reziduală și durata de viață utilă ale unui activ trebuie revizuite cel puțin la fiecare sfârșit de exercițiu financiar și, dacă așteptările se deosebesc de alte estimări anterioare, modificarea (modificările) trebuie contabilizată (contabilizate) ca o modificare a unei estimări contabile, în conformitate cu IAS 8 Politici contabile, modificări ale estimărilor contabile  și erori.</w:t>
      </w:r>
    </w:p>
  </w:footnote>
  <w:footnote w:id="23">
    <w:p w14:paraId="47F65200" w14:textId="7C7D4AF0" w:rsidR="00C242C2" w:rsidRPr="00F43F69" w:rsidRDefault="00C242C2" w:rsidP="001314E7">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Durata de funcționare pentru recunoașterea mijlocului </w:t>
      </w:r>
      <w:r>
        <w:rPr>
          <w:rFonts w:ascii="Times New Roman" w:hAnsi="Times New Roman" w:cs="Times New Roman"/>
          <w:sz w:val="16"/>
          <w:szCs w:val="16"/>
        </w:rPr>
        <w:t>f</w:t>
      </w:r>
      <w:r w:rsidRPr="00F43F69">
        <w:rPr>
          <w:rFonts w:ascii="Times New Roman" w:hAnsi="Times New Roman" w:cs="Times New Roman"/>
          <w:sz w:val="16"/>
          <w:szCs w:val="16"/>
        </w:rPr>
        <w:t>ix – mai mult de 1 an.</w:t>
      </w:r>
    </w:p>
  </w:footnote>
  <w:footnote w:id="24">
    <w:p w14:paraId="3282C930" w14:textId="2AA7F714" w:rsidR="00C242C2" w:rsidRPr="00F43F69" w:rsidRDefault="00C242C2" w:rsidP="001314E7">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Evaluatorul SRL</w:t>
      </w:r>
      <w:r w:rsidRPr="00F43F69">
        <w:rPr>
          <w:rFonts w:ascii="Times New Roman" w:hAnsi="Times New Roman" w:cs="Times New Roman"/>
          <w:caps/>
          <w:sz w:val="16"/>
          <w:szCs w:val="16"/>
          <w:lang w:val="ro-RO"/>
        </w:rPr>
        <w:t xml:space="preserve"> „Lexasigur”</w:t>
      </w:r>
      <w:r w:rsidRPr="00F43F69">
        <w:rPr>
          <w:rFonts w:ascii="Times New Roman" w:hAnsi="Times New Roman" w:cs="Times New Roman"/>
          <w:sz w:val="16"/>
          <w:szCs w:val="16"/>
          <w:lang w:val="ro-RO"/>
        </w:rPr>
        <w:t>.</w:t>
      </w:r>
    </w:p>
  </w:footnote>
  <w:footnote w:id="25">
    <w:p w14:paraId="6E500D86" w14:textId="7754F3BF" w:rsidR="00C242C2" w:rsidRPr="00F43F69" w:rsidRDefault="00C242C2" w:rsidP="00B531A8">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Clădiri – 2 unități (51,63 m</w:t>
      </w:r>
      <w:r w:rsidRPr="00F43F69">
        <w:rPr>
          <w:rFonts w:ascii="Times New Roman" w:hAnsi="Times New Roman" w:cs="Times New Roman"/>
          <w:sz w:val="16"/>
          <w:szCs w:val="16"/>
          <w:vertAlign w:val="superscript"/>
          <w:lang w:val="ro-RO"/>
        </w:rPr>
        <w:t>2</w:t>
      </w:r>
      <w:r w:rsidRPr="00F43F69">
        <w:rPr>
          <w:rFonts w:ascii="Times New Roman" w:hAnsi="Times New Roman" w:cs="Times New Roman"/>
          <w:sz w:val="16"/>
          <w:szCs w:val="16"/>
          <w:lang w:val="ro-RO"/>
        </w:rPr>
        <w:t xml:space="preserve">), cu valoarea reevaluată de 14,1 mii lei; linii electrice – 354 unități (lungimea </w:t>
      </w:r>
      <w:r>
        <w:rPr>
          <w:rFonts w:ascii="Times New Roman" w:hAnsi="Times New Roman" w:cs="Times New Roman"/>
          <w:sz w:val="16"/>
          <w:szCs w:val="16"/>
          <w:lang w:val="ro-RO"/>
        </w:rPr>
        <w:t xml:space="preserve">de </w:t>
      </w:r>
      <w:r w:rsidRPr="00F43F69">
        <w:rPr>
          <w:rFonts w:ascii="Times New Roman" w:hAnsi="Times New Roman" w:cs="Times New Roman"/>
          <w:sz w:val="16"/>
          <w:szCs w:val="16"/>
          <w:lang w:val="ro-RO"/>
        </w:rPr>
        <w:t>266,0 km) cu valoarea reevaluată de 4.421,2 mii lei; mașini și utilaje – 4.799 unități</w:t>
      </w:r>
      <w:r>
        <w:rPr>
          <w:rFonts w:ascii="Times New Roman" w:hAnsi="Times New Roman" w:cs="Times New Roman"/>
          <w:sz w:val="16"/>
          <w:szCs w:val="16"/>
          <w:lang w:val="ro-RO"/>
        </w:rPr>
        <w:t>,</w:t>
      </w:r>
      <w:r w:rsidRPr="00F43F69">
        <w:rPr>
          <w:rFonts w:ascii="Times New Roman" w:hAnsi="Times New Roman" w:cs="Times New Roman"/>
          <w:sz w:val="16"/>
          <w:szCs w:val="16"/>
          <w:lang w:val="ro-RO"/>
        </w:rPr>
        <w:t xml:space="preserve"> cu valoarea reevaluată de 478,2 mii lei.</w:t>
      </w:r>
    </w:p>
  </w:footnote>
  <w:footnote w:id="26">
    <w:p w14:paraId="1023BD53" w14:textId="77777777" w:rsidR="00C242C2" w:rsidRPr="00F43F69" w:rsidRDefault="00C242C2" w:rsidP="00B531A8">
      <w:pPr>
        <w:pStyle w:val="a3"/>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sz w:val="16"/>
          <w:szCs w:val="16"/>
          <w:lang w:val="ro-RO"/>
        </w:rPr>
        <w:t>Clădiri - 14,1 mii lei; construcții speciale</w:t>
      </w:r>
      <w:r w:rsidRPr="00F43F69">
        <w:rPr>
          <w:rFonts w:ascii="Times New Roman" w:hAnsi="Times New Roman" w:cs="Times New Roman"/>
          <w:sz w:val="16"/>
          <w:szCs w:val="16"/>
          <w:lang w:val="ro-RO"/>
        </w:rPr>
        <w:tab/>
        <w:t>- 16.641,7 mii lei; inventar și mobilier - 49,3 mii lei.</w:t>
      </w:r>
    </w:p>
  </w:footnote>
  <w:footnote w:id="27">
    <w:p w14:paraId="4622E581" w14:textId="135ED3AA" w:rsidR="00C242C2" w:rsidRPr="00F43F69" w:rsidRDefault="00C242C2" w:rsidP="00D855F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Garaj cu încăperi accesorii dou</w:t>
      </w:r>
      <w:r>
        <w:rPr>
          <w:rFonts w:ascii="Times New Roman" w:hAnsi="Times New Roman" w:cs="Times New Roman"/>
          <w:sz w:val="16"/>
          <w:szCs w:val="16"/>
          <w:lang w:val="ro-RO"/>
        </w:rPr>
        <w:t>ă</w:t>
      </w:r>
      <w:r w:rsidRPr="00F43F69">
        <w:rPr>
          <w:rFonts w:ascii="Times New Roman" w:hAnsi="Times New Roman" w:cs="Times New Roman"/>
          <w:sz w:val="16"/>
          <w:szCs w:val="16"/>
          <w:lang w:val="ro-RO"/>
        </w:rPr>
        <w:t xml:space="preserve"> nivel</w:t>
      </w:r>
      <w:r>
        <w:rPr>
          <w:rFonts w:ascii="Times New Roman" w:hAnsi="Times New Roman" w:cs="Times New Roman"/>
          <w:sz w:val="16"/>
          <w:szCs w:val="16"/>
          <w:lang w:val="ro-RO"/>
        </w:rPr>
        <w:t>e</w:t>
      </w:r>
      <w:r w:rsidRPr="00F43F69">
        <w:rPr>
          <w:rFonts w:ascii="Times New Roman" w:hAnsi="Times New Roman" w:cs="Times New Roman"/>
          <w:sz w:val="16"/>
          <w:szCs w:val="16"/>
          <w:lang w:val="ro-RO"/>
        </w:rPr>
        <w:t xml:space="preserve"> - 712,0 mii lei; pasaj pentru reparații auto – 31,5 mii lei; linia electrică LEA-10kV F.20 Florești – 26,3 mii lei.</w:t>
      </w:r>
    </w:p>
  </w:footnote>
  <w:footnote w:id="28">
    <w:p w14:paraId="06701DE2" w14:textId="77777777" w:rsidR="00C242C2" w:rsidRPr="00F43F69" w:rsidRDefault="00C242C2" w:rsidP="0042503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Pct.4.4 și pct.4.33 din Standardul Internațional de Raportare Financiară „</w:t>
      </w:r>
      <w:bookmarkStart w:id="16" w:name="F15147319"/>
      <w:r w:rsidRPr="00F43F69">
        <w:rPr>
          <w:rFonts w:ascii="Times New Roman" w:hAnsi="Times New Roman" w:cs="Times New Roman"/>
          <w:sz w:val="16"/>
          <w:szCs w:val="16"/>
          <w:lang w:val="ro-RO"/>
        </w:rPr>
        <w:t>Cadrul general conceptual de raportare financiară</w:t>
      </w:r>
      <w:bookmarkEnd w:id="16"/>
      <w:r w:rsidRPr="00F43F69">
        <w:rPr>
          <w:rFonts w:ascii="Times New Roman" w:hAnsi="Times New Roman" w:cs="Times New Roman"/>
          <w:sz w:val="16"/>
          <w:szCs w:val="16"/>
          <w:lang w:val="ro-RO"/>
        </w:rPr>
        <w:t xml:space="preserve">”. Pct.4.4 - Un activ este o resursă controlată de entitate ca rezultat al unor evenimente trecute și de la care se preconizează că vor decurge beneficii economice viitoare pentru entitate. Pct.4.33 - </w:t>
      </w:r>
      <w:bookmarkStart w:id="17" w:name="F15147846"/>
      <w:r w:rsidRPr="00F43F69">
        <w:rPr>
          <w:rFonts w:ascii="Times New Roman" w:hAnsi="Times New Roman" w:cs="Times New Roman"/>
          <w:sz w:val="16"/>
          <w:szCs w:val="16"/>
          <w:lang w:val="ro-RO"/>
        </w:rPr>
        <w:t>Definiția cheltuielilor include pierderile, precum și acele cheltuieli care apar în procesul desfășurării activităților curente ale entității. Ele se regăsesc, de obicei, sub forma ieșirilor sau scăderii valorii activelor, cum ar fi numerarul sau echivalentele de numerar, stocurile și imobilizările corporale.</w:t>
      </w:r>
      <w:bookmarkEnd w:id="17"/>
    </w:p>
  </w:footnote>
  <w:footnote w:id="29">
    <w:p w14:paraId="5D9C48DB" w14:textId="4FC83914" w:rsidR="00C242C2" w:rsidRPr="00F43F69" w:rsidRDefault="00C242C2" w:rsidP="00021E48">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sz w:val="16"/>
          <w:szCs w:val="16"/>
          <w:lang w:val="ro-RO"/>
        </w:rPr>
        <w:t xml:space="preserve">Pct. 2 din Politica contabilă a S.A. </w:t>
      </w:r>
      <w:r>
        <w:rPr>
          <w:rFonts w:ascii="Times New Roman" w:hAnsi="Times New Roman" w:cs="Times New Roman"/>
          <w:sz w:val="16"/>
          <w:szCs w:val="16"/>
          <w:lang w:val="ro-RO"/>
        </w:rPr>
        <w:t>„</w:t>
      </w:r>
      <w:r w:rsidRPr="00F43F69">
        <w:rPr>
          <w:rFonts w:ascii="Times New Roman" w:hAnsi="Times New Roman" w:cs="Times New Roman"/>
          <w:sz w:val="16"/>
          <w:szCs w:val="16"/>
          <w:lang w:val="ro-RO"/>
        </w:rPr>
        <w:t>RED-Nord</w:t>
      </w:r>
      <w:r>
        <w:rPr>
          <w:rFonts w:ascii="Times New Roman" w:hAnsi="Times New Roman" w:cs="Times New Roman"/>
          <w:sz w:val="16"/>
          <w:szCs w:val="16"/>
          <w:lang w:val="ro-RO"/>
        </w:rPr>
        <w:t>”</w:t>
      </w:r>
      <w:r w:rsidRPr="00F43F69">
        <w:rPr>
          <w:rFonts w:ascii="Times New Roman" w:hAnsi="Times New Roman" w:cs="Times New Roman"/>
          <w:sz w:val="16"/>
          <w:szCs w:val="16"/>
          <w:lang w:val="ro-RO"/>
        </w:rPr>
        <w:t xml:space="preserve"> - în componența mijloacelor fixe se includ imobilizările corporale, </w:t>
      </w:r>
      <w:r>
        <w:rPr>
          <w:rFonts w:ascii="Times New Roman" w:hAnsi="Times New Roman" w:cs="Times New Roman"/>
          <w:sz w:val="16"/>
          <w:szCs w:val="16"/>
          <w:lang w:val="ro-RO"/>
        </w:rPr>
        <w:t>a căror</w:t>
      </w:r>
      <w:r w:rsidRPr="00F43F69">
        <w:rPr>
          <w:rFonts w:ascii="Times New Roman" w:hAnsi="Times New Roman" w:cs="Times New Roman"/>
          <w:sz w:val="16"/>
          <w:szCs w:val="16"/>
          <w:lang w:val="ro-RO"/>
        </w:rPr>
        <w:t xml:space="preserve"> valoare unitară depășește plafonul valoric prevăzut de legislația fiscală (6,0 mii lei), cu excepția clădirilor, rețelelor electrice, contoarelor, care sunt considerate imobilizări corporale atunci când se estimează c</w:t>
      </w:r>
      <w:r>
        <w:rPr>
          <w:rFonts w:ascii="Times New Roman" w:hAnsi="Times New Roman" w:cs="Times New Roman"/>
          <w:sz w:val="16"/>
          <w:szCs w:val="16"/>
          <w:lang w:val="ro-RO"/>
        </w:rPr>
        <w:t>ă</w:t>
      </w:r>
      <w:r w:rsidRPr="00F43F69">
        <w:rPr>
          <w:rFonts w:ascii="Times New Roman" w:hAnsi="Times New Roman" w:cs="Times New Roman"/>
          <w:sz w:val="16"/>
          <w:szCs w:val="16"/>
          <w:lang w:val="ro-RO"/>
        </w:rPr>
        <w:t xml:space="preserve"> vor fi folosite pe parcursul unei perioade mai mari de un an.  </w:t>
      </w:r>
    </w:p>
  </w:footnote>
  <w:footnote w:id="30">
    <w:p w14:paraId="386A5930" w14:textId="3B3EA95C" w:rsidR="00C242C2" w:rsidRPr="00F43F69" w:rsidRDefault="00C242C2" w:rsidP="0042503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SRL „Audit-Sedan”, licența: AMMII nr. 044543 din 20.04.2015, numărul individual al entității de audit – 1903058.</w:t>
      </w:r>
    </w:p>
  </w:footnote>
  <w:footnote w:id="31">
    <w:p w14:paraId="68CAA6F5" w14:textId="4DB393CC" w:rsidR="00C242C2" w:rsidRPr="00F43F69" w:rsidRDefault="00C242C2" w:rsidP="00A978F5">
      <w:pPr>
        <w:pStyle w:val="a3"/>
        <w:jc w:val="both"/>
        <w:rPr>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color w:val="000000" w:themeColor="text1"/>
          <w:sz w:val="16"/>
          <w:szCs w:val="16"/>
          <w:lang w:val="ro-RO"/>
        </w:rPr>
        <w:t>Pct.8</w:t>
      </w:r>
      <w:r>
        <w:rPr>
          <w:rFonts w:ascii="Times New Roman" w:hAnsi="Times New Roman" w:cs="Times New Roman"/>
          <w:color w:val="000000" w:themeColor="text1"/>
          <w:sz w:val="16"/>
          <w:szCs w:val="16"/>
          <w:lang w:val="ro-RO"/>
        </w:rPr>
        <w:t>,</w:t>
      </w:r>
      <w:r w:rsidRPr="00F43F69">
        <w:rPr>
          <w:rFonts w:ascii="Times New Roman" w:hAnsi="Times New Roman" w:cs="Times New Roman"/>
          <w:color w:val="000000" w:themeColor="text1"/>
          <w:sz w:val="16"/>
          <w:szCs w:val="16"/>
          <w:lang w:val="ro-RO"/>
        </w:rPr>
        <w:t xml:space="preserve"> alin.5) și pct.42 din Ordinul Ministerului Finanțelor </w:t>
      </w:r>
      <w:r w:rsidRPr="00F43F69">
        <w:rPr>
          <w:rFonts w:ascii="Times New Roman" w:hAnsi="Times New Roman" w:cs="Times New Roman"/>
          <w:bCs/>
          <w:color w:val="000000" w:themeColor="text1"/>
          <w:sz w:val="16"/>
          <w:szCs w:val="16"/>
          <w:lang w:val="ro-RO"/>
        </w:rPr>
        <w:t>nr.60 din</w:t>
      </w:r>
      <w:r w:rsidRPr="00F43F69">
        <w:rPr>
          <w:rFonts w:ascii="Times New Roman" w:hAnsi="Times New Roman" w:cs="Times New Roman"/>
          <w:iCs/>
          <w:color w:val="000000" w:themeColor="text1"/>
          <w:sz w:val="16"/>
          <w:szCs w:val="16"/>
          <w:lang w:val="ro-RO"/>
        </w:rPr>
        <w:t xml:space="preserve"> 29.05.2012 </w:t>
      </w:r>
      <w:r w:rsidRPr="00F43F69">
        <w:rPr>
          <w:rFonts w:ascii="Times New Roman" w:hAnsi="Times New Roman" w:cs="Times New Roman"/>
          <w:bCs/>
          <w:color w:val="000000" w:themeColor="text1"/>
          <w:sz w:val="16"/>
          <w:szCs w:val="16"/>
          <w:lang w:val="ro-RO"/>
        </w:rPr>
        <w:t>„Cu privire la aprobarea Regulamentului privind inventarierea”.</w:t>
      </w:r>
      <w:r w:rsidRPr="00F43F69">
        <w:rPr>
          <w:rFonts w:ascii="Times New Roman" w:hAnsi="Times New Roman" w:cs="Times New Roman"/>
          <w:color w:val="000000" w:themeColor="text1"/>
          <w:sz w:val="16"/>
          <w:szCs w:val="16"/>
          <w:lang w:val="ro-RO"/>
        </w:rPr>
        <w:t xml:space="preserve"> </w:t>
      </w:r>
      <w:r w:rsidRPr="00F43F69">
        <w:rPr>
          <w:rFonts w:ascii="Times New Roman" w:hAnsi="Times New Roman" w:cs="Times New Roman"/>
          <w:bCs/>
          <w:color w:val="000000" w:themeColor="text1"/>
          <w:sz w:val="16"/>
          <w:szCs w:val="16"/>
          <w:lang w:val="ro-RO"/>
        </w:rPr>
        <w:t>Pct.8 alin.5) -  În cadrul inventarierii:</w:t>
      </w:r>
      <w:r w:rsidRPr="00F43F69">
        <w:rPr>
          <w:sz w:val="22"/>
          <w:szCs w:val="22"/>
          <w:lang w:val="ro-RO"/>
        </w:rPr>
        <w:t xml:space="preserve"> </w:t>
      </w:r>
      <w:r w:rsidRPr="00F43F69">
        <w:rPr>
          <w:rFonts w:ascii="Times New Roman" w:hAnsi="Times New Roman" w:cs="Times New Roman"/>
          <w:bCs/>
          <w:color w:val="000000" w:themeColor="text1"/>
          <w:sz w:val="16"/>
          <w:szCs w:val="16"/>
          <w:lang w:val="ro-RO"/>
        </w:rPr>
        <w:t>se constată bunurile neutilizate în activitatea entității.</w:t>
      </w:r>
      <w:r w:rsidRPr="00F43F69">
        <w:rPr>
          <w:rFonts w:ascii="Times New Roman" w:hAnsi="Times New Roman" w:cs="Times New Roman"/>
          <w:color w:val="000000" w:themeColor="text1"/>
          <w:sz w:val="16"/>
          <w:szCs w:val="16"/>
          <w:lang w:val="ro-RO"/>
        </w:rPr>
        <w:t xml:space="preserve"> </w:t>
      </w:r>
      <w:r w:rsidRPr="00F43F69">
        <w:rPr>
          <w:rFonts w:ascii="Times New Roman" w:hAnsi="Times New Roman" w:cs="Times New Roman"/>
          <w:bCs/>
          <w:color w:val="000000" w:themeColor="text1"/>
          <w:sz w:val="16"/>
          <w:szCs w:val="16"/>
          <w:lang w:val="ro-RO"/>
        </w:rPr>
        <w:t>Pct.42 - Imobilizările corporale care nu sunt utilizate din diferite motive și/sau care nu se supun restabilirii se includ într-o listă de inventariere separată</w:t>
      </w:r>
      <w:r>
        <w:rPr>
          <w:rFonts w:ascii="Times New Roman" w:hAnsi="Times New Roman" w:cs="Times New Roman"/>
          <w:bCs/>
          <w:color w:val="000000" w:themeColor="text1"/>
          <w:sz w:val="16"/>
          <w:szCs w:val="16"/>
          <w:lang w:val="ro-RO"/>
        </w:rPr>
        <w:t>,</w:t>
      </w:r>
      <w:r w:rsidRPr="00F43F69">
        <w:rPr>
          <w:rFonts w:ascii="Times New Roman" w:hAnsi="Times New Roman" w:cs="Times New Roman"/>
          <w:bCs/>
          <w:color w:val="000000" w:themeColor="text1"/>
          <w:sz w:val="16"/>
          <w:szCs w:val="16"/>
          <w:lang w:val="ro-RO"/>
        </w:rPr>
        <w:t xml:space="preserve"> cu indicarea motivelor care au cauzat neutilizarea lor (deteriorarea, uzura completă, etc.) și se transmit comisiei centrale, după caz, sau conducătorului entității, cu înaintarea propunerilor privind vânzarea, casarea sau reutilarea acestora.</w:t>
      </w:r>
    </w:p>
  </w:footnote>
  <w:footnote w:id="32">
    <w:p w14:paraId="08C27487" w14:textId="77777777" w:rsidR="00C242C2" w:rsidRPr="00F43F69" w:rsidRDefault="00C242C2" w:rsidP="00DE39F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 xml:space="preserve">Utilizată anterior pentru cazarea fostului director al S.A. „RED Nord-Vest”.  </w:t>
      </w:r>
    </w:p>
  </w:footnote>
  <w:footnote w:id="33">
    <w:p w14:paraId="27E7EADD" w14:textId="641CF66F" w:rsidR="00C242C2" w:rsidRPr="00F43F69" w:rsidRDefault="00C242C2" w:rsidP="004826D3">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Pct.9 - </w:t>
      </w:r>
      <w:r w:rsidRPr="00F43F69">
        <w:rPr>
          <w:rFonts w:ascii="Times New Roman" w:hAnsi="Times New Roman" w:cs="Times New Roman"/>
          <w:sz w:val="16"/>
          <w:szCs w:val="16"/>
          <w:lang w:val="ro-RO"/>
        </w:rPr>
        <w:t>Stocurile trebuie evaluate la valoarea cea mai mică dintre cost și valoarea realizabilă netă.</w:t>
      </w:r>
    </w:p>
  </w:footnote>
  <w:footnote w:id="34">
    <w:p w14:paraId="240F5B6E" w14:textId="537DA002" w:rsidR="00C242C2" w:rsidRPr="00F43F69" w:rsidRDefault="00C242C2" w:rsidP="004826D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Pct.10 - Costul stocurilor trebuie să cuprindă toate costurile de achiziție, costurile conversiei, precum și alte costuri suportate pentru a aduce stocurile în starea și în locul în care se găsesc în prezent.</w:t>
      </w:r>
    </w:p>
  </w:footnote>
  <w:footnote w:id="35">
    <w:p w14:paraId="580B6C34" w14:textId="77E90F07" w:rsidR="00C242C2" w:rsidRPr="00F43F69" w:rsidRDefault="00C242C2" w:rsidP="00AA008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Acumulatoare, suporturi din beton și lemn, conectoare de argint, metal – argint, etc.</w:t>
      </w:r>
    </w:p>
  </w:footnote>
  <w:footnote w:id="36">
    <w:p w14:paraId="7AF29A89" w14:textId="29BF1E93" w:rsidR="00C242C2" w:rsidRPr="00F43F69" w:rsidRDefault="00C242C2" w:rsidP="00BA2F4D">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Roți pentru sudat, conectoare de argint, lămpi, mânere din plumb, întrerupătoare, butoaie, etc.</w:t>
      </w:r>
    </w:p>
  </w:footnote>
  <w:footnote w:id="37">
    <w:p w14:paraId="79E74E86" w14:textId="62661243" w:rsidR="00C242C2" w:rsidRPr="00F43F69" w:rsidRDefault="00C242C2" w:rsidP="00816C1D">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657,7 mii lei x 372,9% - 657,7 mii lei.</w:t>
      </w:r>
    </w:p>
  </w:footnote>
  <w:footnote w:id="38">
    <w:p w14:paraId="2224042D" w14:textId="4FA50ABC" w:rsidR="00C242C2" w:rsidRPr="00B5181F" w:rsidRDefault="00C242C2" w:rsidP="00513D8B">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Notă: </w:t>
      </w:r>
      <w:r w:rsidRPr="00B5181F">
        <w:rPr>
          <w:rFonts w:ascii="Times New Roman" w:hAnsi="Times New Roman" w:cs="Times New Roman"/>
          <w:sz w:val="16"/>
          <w:szCs w:val="16"/>
          <w:lang w:val="ro-RO"/>
        </w:rPr>
        <w:t>conform procesului</w:t>
      </w:r>
      <w:r>
        <w:rPr>
          <w:rFonts w:ascii="Times New Roman" w:hAnsi="Times New Roman" w:cs="Times New Roman"/>
          <w:sz w:val="16"/>
          <w:szCs w:val="16"/>
          <w:lang w:val="ro-RO"/>
        </w:rPr>
        <w:t>-</w:t>
      </w:r>
      <w:r w:rsidRPr="00B5181F">
        <w:rPr>
          <w:rFonts w:ascii="Times New Roman" w:hAnsi="Times New Roman" w:cs="Times New Roman"/>
          <w:sz w:val="16"/>
          <w:szCs w:val="16"/>
          <w:lang w:val="ro-RO"/>
        </w:rPr>
        <w:t xml:space="preserve">verbal nr.9 din 29.12.2020 al </w:t>
      </w:r>
      <w:r>
        <w:rPr>
          <w:rFonts w:ascii="Times New Roman" w:hAnsi="Times New Roman" w:cs="Times New Roman"/>
          <w:sz w:val="16"/>
          <w:szCs w:val="16"/>
          <w:lang w:val="ro-RO"/>
        </w:rPr>
        <w:t>C</w:t>
      </w:r>
      <w:r w:rsidRPr="00B5181F">
        <w:rPr>
          <w:rFonts w:ascii="Times New Roman" w:hAnsi="Times New Roman" w:cs="Times New Roman"/>
          <w:sz w:val="16"/>
          <w:szCs w:val="16"/>
          <w:lang w:val="ro-RO"/>
        </w:rPr>
        <w:t>omisiei centrale de inventariere, cinci membri ai comisiei au votat pentru recuperarea prejudiciului la prețul de 2,7 lei, iar un membru - pentru recuperarea prejudiciului la valoarea de piață de 16,5 lei.</w:t>
      </w:r>
    </w:p>
  </w:footnote>
  <w:footnote w:id="39">
    <w:p w14:paraId="75640E14" w14:textId="53C8CC1D" w:rsidR="00C242C2" w:rsidRPr="00B5181F" w:rsidRDefault="00C242C2" w:rsidP="00513D8B">
      <w:pPr>
        <w:pStyle w:val="a3"/>
        <w:jc w:val="both"/>
        <w:rPr>
          <w:rFonts w:ascii="Times New Roman" w:hAnsi="Times New Roman" w:cs="Times New Roman"/>
          <w:sz w:val="16"/>
          <w:szCs w:val="16"/>
          <w:lang w:val="ro-RO"/>
        </w:rPr>
      </w:pPr>
      <w:r w:rsidRPr="00B5181F">
        <w:rPr>
          <w:rStyle w:val="a5"/>
          <w:rFonts w:ascii="Times New Roman" w:hAnsi="Times New Roman" w:cs="Times New Roman"/>
          <w:sz w:val="16"/>
          <w:szCs w:val="16"/>
          <w:lang w:val="ro-RO"/>
        </w:rPr>
        <w:footnoteRef/>
      </w:r>
      <w:r w:rsidRPr="00B5181F">
        <w:rPr>
          <w:rFonts w:ascii="Times New Roman" w:hAnsi="Times New Roman" w:cs="Times New Roman"/>
          <w:sz w:val="16"/>
          <w:szCs w:val="16"/>
          <w:lang w:val="ro-RO"/>
        </w:rPr>
        <w:t xml:space="preserve"> </w:t>
      </w:r>
      <w:r w:rsidRPr="00B5181F">
        <w:rPr>
          <w:rFonts w:ascii="Times New Roman" w:hAnsi="Times New Roman" w:cs="Times New Roman"/>
          <w:sz w:val="16"/>
          <w:szCs w:val="16"/>
          <w:shd w:val="clear" w:color="auto" w:fill="FFFFFF"/>
          <w:lang w:val="ro-RO"/>
        </w:rPr>
        <w:t>16,5 lei x 2345 kg x 1,2 TVA.</w:t>
      </w:r>
    </w:p>
  </w:footnote>
  <w:footnote w:id="40">
    <w:p w14:paraId="5A4FAB78" w14:textId="4E3B9CFB" w:rsidR="00C242C2" w:rsidRPr="00B5181F" w:rsidRDefault="00C242C2" w:rsidP="001B13CC">
      <w:pPr>
        <w:pStyle w:val="a3"/>
        <w:jc w:val="both"/>
        <w:rPr>
          <w:rFonts w:ascii="Times New Roman" w:hAnsi="Times New Roman" w:cs="Times New Roman"/>
          <w:sz w:val="16"/>
          <w:szCs w:val="16"/>
          <w:lang w:val="ro-RO"/>
        </w:rPr>
      </w:pPr>
      <w:r w:rsidRPr="00B5181F">
        <w:rPr>
          <w:rStyle w:val="a5"/>
          <w:rFonts w:ascii="Times New Roman" w:hAnsi="Times New Roman" w:cs="Times New Roman"/>
          <w:sz w:val="16"/>
          <w:szCs w:val="16"/>
          <w:lang w:val="ro-RO"/>
        </w:rPr>
        <w:footnoteRef/>
      </w:r>
      <w:r w:rsidRPr="00B5181F">
        <w:rPr>
          <w:rFonts w:ascii="Times New Roman" w:hAnsi="Times New Roman" w:cs="Times New Roman"/>
          <w:sz w:val="16"/>
          <w:szCs w:val="16"/>
          <w:lang w:val="ro-RO"/>
        </w:rPr>
        <w:t xml:space="preserve"> „Cu privire la luarea la evidență a bunurilor materiale în urma reparației sau casării mijloacelor fixe”.</w:t>
      </w:r>
    </w:p>
  </w:footnote>
  <w:footnote w:id="41">
    <w:p w14:paraId="7B25BD0A" w14:textId="77777777" w:rsidR="00C242C2" w:rsidRPr="00F43F69" w:rsidRDefault="00C242C2" w:rsidP="003D6A19">
      <w:pPr>
        <w:pStyle w:val="a3"/>
        <w:jc w:val="both"/>
        <w:rPr>
          <w:rFonts w:ascii="Times New Roman" w:hAnsi="Times New Roman" w:cs="Times New Roman"/>
          <w:sz w:val="16"/>
          <w:szCs w:val="16"/>
          <w:lang w:val="ro-RO"/>
        </w:rPr>
      </w:pPr>
      <w:r w:rsidRPr="00B5181F">
        <w:rPr>
          <w:rStyle w:val="a5"/>
          <w:rFonts w:ascii="Times New Roman" w:hAnsi="Times New Roman" w:cs="Times New Roman"/>
          <w:sz w:val="16"/>
          <w:szCs w:val="16"/>
          <w:lang w:val="ro-RO"/>
        </w:rPr>
        <w:footnoteRef/>
      </w:r>
      <w:r w:rsidRPr="00B5181F">
        <w:rPr>
          <w:rFonts w:ascii="Times New Roman" w:hAnsi="Times New Roman" w:cs="Times New Roman"/>
          <w:sz w:val="16"/>
          <w:szCs w:val="16"/>
          <w:lang w:val="ro-RO"/>
        </w:rPr>
        <w:t xml:space="preserve"> </w:t>
      </w:r>
      <w:r w:rsidRPr="00B5181F">
        <w:rPr>
          <w:rFonts w:ascii="Times New Roman" w:hAnsi="Times New Roman" w:cs="Times New Roman"/>
          <w:bCs/>
          <w:sz w:val="16"/>
          <w:szCs w:val="16"/>
          <w:lang w:val="ro-RO"/>
        </w:rPr>
        <w:t>Plățile estimative efectuate pentru achitarea trimestrială a impozitului pe venit din activitate, care, în rezultatul</w:t>
      </w:r>
      <w:r w:rsidRPr="00F43F69">
        <w:rPr>
          <w:rFonts w:ascii="Times New Roman" w:hAnsi="Times New Roman" w:cs="Times New Roman"/>
          <w:bCs/>
          <w:sz w:val="16"/>
          <w:szCs w:val="16"/>
          <w:lang w:val="ro-RO"/>
        </w:rPr>
        <w:t xml:space="preserve"> calculelor la sfârșitul perioadei de gestiune, au rămas ca avansări la plata impozitului.</w:t>
      </w:r>
    </w:p>
  </w:footnote>
  <w:footnote w:id="42">
    <w:p w14:paraId="0D7D88DF" w14:textId="4C08E2D3" w:rsidR="00C242C2" w:rsidRPr="00F43F69" w:rsidRDefault="00C242C2" w:rsidP="004C2DCB">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w:t>
      </w:r>
      <w:r w:rsidRPr="00F43F69">
        <w:rPr>
          <w:rFonts w:ascii="Times New Roman" w:hAnsi="Times New Roman" w:cs="Times New Roman"/>
          <w:bCs/>
          <w:sz w:val="16"/>
          <w:szCs w:val="16"/>
          <w:lang w:val="ro-RO"/>
        </w:rPr>
        <w:t>onform prevederilor HANRE nr.64/2018 din 22.02.2018 „Cu privire la aprobarea Metodologiei de calculare, aprobare și aplicare a tarifelor pentru serviciul de distribuție a energiei electrice”, urmează a fi acoperită prin actualizarea/ajustarea tarifului de distribuție.</w:t>
      </w:r>
    </w:p>
  </w:footnote>
  <w:footnote w:id="43">
    <w:p w14:paraId="0EA90CB6" w14:textId="56B7A825" w:rsidR="00C242C2" w:rsidRPr="00F43F69" w:rsidRDefault="00C242C2" w:rsidP="007B64B0">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Persoane fizice – 80; persoane juridice - 33.</w:t>
      </w:r>
    </w:p>
  </w:footnote>
  <w:footnote w:id="44">
    <w:p w14:paraId="3152803B" w14:textId="472C4483" w:rsidR="00C242C2" w:rsidRPr="00F43F69" w:rsidRDefault="00C242C2" w:rsidP="00B57E90">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sz w:val="16"/>
          <w:szCs w:val="16"/>
          <w:lang w:val="ro-RO"/>
        </w:rPr>
        <w:t>Persoane fizice – 80; persoane juridice - 16.</w:t>
      </w:r>
    </w:p>
  </w:footnote>
  <w:footnote w:id="45">
    <w:p w14:paraId="10E501FE" w14:textId="68ADE6B0" w:rsidR="00C242C2" w:rsidRPr="00F43F69" w:rsidRDefault="00C242C2" w:rsidP="00150468">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Î.M. Regia „Apă-Canal Bălți” – 11.376,7 mii lei; SRL „Magt-Vest” – 2.299,9 mii lei; SRL „Digomobil” – 1.026,4 mii lei; S.A. „Flamingo-96” - 665,3 mii lei; SRL „Promagroproduct”- 161,6 mii lei.</w:t>
      </w:r>
    </w:p>
  </w:footnote>
  <w:footnote w:id="46">
    <w:p w14:paraId="06C61C79" w14:textId="77777777" w:rsidR="00C242C2" w:rsidRPr="00F43F69" w:rsidRDefault="00C242C2" w:rsidP="008D169E">
      <w:pPr>
        <w:pStyle w:val="a3"/>
        <w:jc w:val="both"/>
        <w:rPr>
          <w:rFonts w:ascii="Times New Roman" w:hAnsi="Times New Roman" w:cs="Times New Roman"/>
          <w:sz w:val="16"/>
          <w:szCs w:val="16"/>
          <w:lang w:val="ro-RO"/>
        </w:rPr>
      </w:pPr>
      <w:r w:rsidRPr="00F43F69">
        <w:rPr>
          <w:rFonts w:ascii="Times New Roman" w:hAnsi="Times New Roman" w:cs="Times New Roman"/>
          <w:sz w:val="16"/>
          <w:szCs w:val="16"/>
          <w:lang w:val="ro-RO"/>
        </w:rPr>
        <w:t xml:space="preserve"> </w:t>
      </w: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Calculul costurilor</w:t>
      </w:r>
      <w:r w:rsidRPr="00F43F69">
        <w:rPr>
          <w:rFonts w:ascii="Times New Roman" w:hAnsi="Times New Roman" w:cs="Times New Roman"/>
          <w:sz w:val="16"/>
          <w:szCs w:val="16"/>
          <w:lang w:val="ro-RO"/>
        </w:rPr>
        <w:t xml:space="preserve"> pentru: provizioane; accidentele de muncă și pagubele civile; plățile regulatorii; cotizații sindicale; serviciul militar de alternativă; compensarea depășirii valorii indicilor garantați la energia electrică distribuită.</w:t>
      </w:r>
    </w:p>
  </w:footnote>
  <w:footnote w:id="47">
    <w:p w14:paraId="2478024D" w14:textId="68E220B8" w:rsidR="00C242C2" w:rsidRPr="00F43F69" w:rsidRDefault="00C242C2" w:rsidP="008B5C0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Sumele primite (calculate) în perioada de gestiune curentă, dar care urmează a fi atribuite la veniturile curente pe parcursul unei perioade mai mari de 12 luni: bunuri materiale primite de la donatori externi și interni</w:t>
      </w:r>
      <w:r>
        <w:rPr>
          <w:rFonts w:ascii="Times New Roman" w:hAnsi="Times New Roman" w:cs="Times New Roman"/>
          <w:sz w:val="16"/>
          <w:szCs w:val="16"/>
          <w:lang w:val="ro-RO"/>
        </w:rPr>
        <w:t>,</w:t>
      </w:r>
      <w:r w:rsidRPr="00F43F69">
        <w:rPr>
          <w:rFonts w:ascii="Times New Roman" w:hAnsi="Times New Roman" w:cs="Times New Roman"/>
          <w:sz w:val="16"/>
          <w:szCs w:val="16"/>
          <w:lang w:val="ro-RO"/>
        </w:rPr>
        <w:t xml:space="preserve"> destinate pentru înlăturarea deteriorărilor de infrastructură provocate de calamitățile naturale în 27.11.2000 (piloni, alte materiale pentru rețele); mijloacele fixe primite cu titlu gratuit de la terți. Datoria se micșorează din contul valorii uzurii acumulate anual, care se reflectă la venituri.</w:t>
      </w:r>
    </w:p>
  </w:footnote>
  <w:footnote w:id="48">
    <w:p w14:paraId="2AFD0683" w14:textId="34480BB7" w:rsidR="00C242C2" w:rsidRPr="00F43F69" w:rsidRDefault="00C242C2" w:rsidP="008B5C0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Datorii privind impozitul amânat, diferențe temporare impozabile pentru active, tranzacții/evenimente: diferența dintre valoarea contabilă și suma atribuită în scopuri fiscale (consecințe fiscale curente și viitoare). Plăți viitoare mai mari privind impozitul pe profit, atunci când valoarea contabilă a unui activ sau valoarea contabilă a unei datorii va fi recuperată sau lichidată.</w:t>
      </w:r>
    </w:p>
  </w:footnote>
  <w:footnote w:id="49">
    <w:p w14:paraId="47EF8E74" w14:textId="0E7D80BE" w:rsidR="00C242C2" w:rsidRPr="00F43F69" w:rsidRDefault="00C242C2" w:rsidP="008B5C01">
      <w:pPr>
        <w:pStyle w:val="a3"/>
        <w:jc w:val="both"/>
        <w:rPr>
          <w:rFonts w:ascii="Calibri Light" w:hAnsi="Calibri Light" w:cs="Calibri Light"/>
          <w:sz w:val="18"/>
          <w:szCs w:val="18"/>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iCs/>
          <w:sz w:val="16"/>
          <w:szCs w:val="16"/>
          <w:lang w:val="ro-RO"/>
        </w:rPr>
        <w:t>Devieri tarifare</w:t>
      </w:r>
      <w:r w:rsidRPr="00F43F69">
        <w:rPr>
          <w:rFonts w:ascii="Times New Roman" w:hAnsi="Times New Roman" w:cs="Times New Roman"/>
          <w:sz w:val="16"/>
          <w:szCs w:val="16"/>
          <w:lang w:val="ro-RO"/>
        </w:rPr>
        <w:t xml:space="preserve"> pozitive sau negative - rezultat al diferențelor între parametrii estimați la determinarea tarifelor pentru anul de activitate și cei reali obținuți în anul </w:t>
      </w:r>
      <w:r w:rsidRPr="00F43F69">
        <w:rPr>
          <w:rFonts w:ascii="Times New Roman" w:hAnsi="Times New Roman" w:cs="Times New Roman"/>
          <w:iCs/>
          <w:sz w:val="16"/>
          <w:szCs w:val="16"/>
          <w:lang w:val="ro-RO"/>
        </w:rPr>
        <w:t xml:space="preserve">respectiv. </w:t>
      </w:r>
      <w:r w:rsidRPr="00F43F69">
        <w:rPr>
          <w:rFonts w:ascii="Times New Roman" w:hAnsi="Times New Roman" w:cs="Times New Roman"/>
          <w:bCs/>
          <w:iCs/>
          <w:sz w:val="16"/>
          <w:szCs w:val="16"/>
          <w:lang w:val="ro-RO"/>
        </w:rPr>
        <w:t>Devieri tarifare</w:t>
      </w:r>
      <w:r w:rsidRPr="00F43F69">
        <w:rPr>
          <w:rFonts w:ascii="Times New Roman" w:hAnsi="Times New Roman" w:cs="Times New Roman"/>
          <w:iCs/>
          <w:sz w:val="16"/>
          <w:szCs w:val="16"/>
          <w:lang w:val="ro-RO"/>
        </w:rPr>
        <w:t xml:space="preserve"> pozitive – situația când tariful aprobat este mai mare decât cel real obținut din activitate. </w:t>
      </w:r>
      <w:r w:rsidRPr="00F43F69">
        <w:rPr>
          <w:rFonts w:ascii="Times New Roman" w:hAnsi="Times New Roman" w:cs="Times New Roman"/>
          <w:bCs/>
          <w:iCs/>
          <w:sz w:val="16"/>
          <w:szCs w:val="16"/>
          <w:lang w:val="ro-RO"/>
        </w:rPr>
        <w:t xml:space="preserve">Devieri tarifare </w:t>
      </w:r>
      <w:r w:rsidRPr="00F43F69">
        <w:rPr>
          <w:rFonts w:ascii="Times New Roman" w:hAnsi="Times New Roman" w:cs="Times New Roman"/>
          <w:iCs/>
          <w:sz w:val="16"/>
          <w:szCs w:val="16"/>
          <w:lang w:val="ro-RO"/>
        </w:rPr>
        <w:t>negative – situația când tariful aprobat este mai mic decât cel real obținut din activitate.</w:t>
      </w:r>
      <w:r w:rsidRPr="00F43F69">
        <w:rPr>
          <w:rFonts w:ascii="Times New Roman" w:hAnsi="Times New Roman" w:cs="Times New Roman"/>
          <w:bCs/>
          <w:iCs/>
          <w:sz w:val="16"/>
          <w:szCs w:val="16"/>
          <w:lang w:val="ro-RO"/>
        </w:rPr>
        <w:t xml:space="preserve"> Devierile tarifare negative din anul 2022 (70.379,9 mii lei) au fost recuperate parțial cu devierile tarifare pozitive </w:t>
      </w:r>
      <w:r w:rsidRPr="00F43F69">
        <w:rPr>
          <w:rFonts w:ascii="Times New Roman" w:hAnsi="Times New Roman" w:cs="Times New Roman"/>
          <w:bCs/>
          <w:sz w:val="16"/>
          <w:szCs w:val="16"/>
          <w:lang w:val="ro-RO"/>
        </w:rPr>
        <w:t>înregistrate în anul 2021 în valoare de 40.088,4 mii lei.</w:t>
      </w:r>
    </w:p>
  </w:footnote>
  <w:footnote w:id="50">
    <w:p w14:paraId="7D6BBDA0" w14:textId="77777777" w:rsidR="00C242C2" w:rsidRPr="00F43F69" w:rsidRDefault="00C242C2" w:rsidP="00086D72">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Sumele primite sau calculate în perioada de gestiune curentă, dar care urmează a fi atribuite la veniturile curente ale perioadelor viitoare și se înregistrează ca majorare concomitentă a datoriilor curente și/sau pe termen lung. </w:t>
      </w:r>
    </w:p>
  </w:footnote>
  <w:footnote w:id="51">
    <w:p w14:paraId="6A2C88C8" w14:textId="77777777" w:rsidR="00C242C2" w:rsidRPr="00F43F69" w:rsidRDefault="00C242C2" w:rsidP="00FF54D5">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Calculul efectuat de serviciul economic al întreprinderii - de la dezechilibrele pozitive și negative constatate în anul 2022.</w:t>
      </w:r>
    </w:p>
  </w:footnote>
  <w:footnote w:id="52">
    <w:p w14:paraId="347267B3" w14:textId="77777777" w:rsidR="00C242C2" w:rsidRPr="00F43F69" w:rsidRDefault="00C242C2" w:rsidP="000F2B8B">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Garanțiile contractuale de bună execuție se restituie după executarea contractelor de achiziții.</w:t>
      </w:r>
    </w:p>
  </w:footnote>
  <w:footnote w:id="53">
    <w:p w14:paraId="240113F9" w14:textId="6597C61B" w:rsidR="00C242C2" w:rsidRPr="00F43F69" w:rsidRDefault="00C242C2" w:rsidP="000F2B8B">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2,0% din salariul calculat. </w:t>
      </w:r>
    </w:p>
  </w:footnote>
  <w:footnote w:id="54">
    <w:p w14:paraId="5867F80B" w14:textId="460E1958" w:rsidR="00C242C2" w:rsidRPr="00F43F69" w:rsidRDefault="00C242C2" w:rsidP="00AD297E">
      <w:pPr>
        <w:pStyle w:val="a3"/>
        <w:jc w:val="both"/>
        <w:rPr>
          <w:rFonts w:ascii="Calibri Light" w:hAnsi="Calibri Light" w:cs="Calibri Light"/>
          <w:b/>
          <w:bCs/>
          <w:sz w:val="18"/>
          <w:szCs w:val="18"/>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Compensații</w:t>
      </w:r>
      <w:r w:rsidRPr="00F43F69">
        <w:rPr>
          <w:rFonts w:ascii="Times New Roman" w:eastAsia="PMingLiU" w:hAnsi="Times New Roman" w:cs="Times New Roman"/>
          <w:sz w:val="16"/>
          <w:szCs w:val="16"/>
          <w:lang w:val="ro-RO" w:eastAsia="ar-SA"/>
        </w:rPr>
        <w:t xml:space="preserve"> </w:t>
      </w:r>
      <w:r w:rsidRPr="00F43F69">
        <w:rPr>
          <w:rFonts w:ascii="Times New Roman" w:hAnsi="Times New Roman" w:cs="Times New Roman"/>
          <w:sz w:val="16"/>
          <w:szCs w:val="16"/>
          <w:lang w:val="ro-RO"/>
        </w:rPr>
        <w:t>plătite utilizatorilor de sistem</w:t>
      </w:r>
      <w:r w:rsidRPr="00F43F69">
        <w:rPr>
          <w:rFonts w:ascii="Times New Roman" w:eastAsia="PMingLiU" w:hAnsi="Times New Roman" w:cs="Times New Roman"/>
          <w:sz w:val="16"/>
          <w:szCs w:val="16"/>
          <w:lang w:val="ro-RO" w:eastAsia="ar-SA"/>
        </w:rPr>
        <w:t xml:space="preserve"> </w:t>
      </w:r>
      <w:r w:rsidRPr="00F43F69">
        <w:rPr>
          <w:rFonts w:ascii="Times New Roman" w:hAnsi="Times New Roman" w:cs="Times New Roman"/>
          <w:sz w:val="16"/>
          <w:szCs w:val="16"/>
          <w:lang w:val="ro-RO"/>
        </w:rPr>
        <w:t>în cazul depășirii valorilor</w:t>
      </w:r>
      <w:r>
        <w:rPr>
          <w:rFonts w:ascii="Times New Roman" w:hAnsi="Times New Roman" w:cs="Times New Roman"/>
          <w:sz w:val="16"/>
          <w:szCs w:val="16"/>
          <w:lang w:val="ro-RO"/>
        </w:rPr>
        <w:t>-</w:t>
      </w:r>
      <w:r w:rsidRPr="00F43F69">
        <w:rPr>
          <w:rFonts w:ascii="Times New Roman" w:hAnsi="Times New Roman" w:cs="Times New Roman"/>
          <w:sz w:val="16"/>
          <w:szCs w:val="16"/>
          <w:lang w:val="ro-RO"/>
        </w:rPr>
        <w:t>limită ale indicatorilor garantați de continuitate a serviciului de distribuție a energiei electrice (durata deconectărilor, numărul deconectărilor).</w:t>
      </w:r>
      <w:r w:rsidRPr="00F43F69">
        <w:rPr>
          <w:rFonts w:ascii="Times New Roman" w:hAnsi="Times New Roman" w:cs="Times New Roman"/>
          <w:iCs/>
          <w:sz w:val="16"/>
          <w:szCs w:val="16"/>
          <w:lang w:val="ro-RO"/>
        </w:rPr>
        <w:t xml:space="preserve"> Utilizator de sistem</w:t>
      </w:r>
      <w:r w:rsidRPr="00F43F69">
        <w:rPr>
          <w:rFonts w:ascii="Times New Roman" w:hAnsi="Times New Roman" w:cs="Times New Roman"/>
          <w:sz w:val="16"/>
          <w:szCs w:val="16"/>
          <w:lang w:val="ro-RO"/>
        </w:rPr>
        <w:t xml:space="preserve"> – persoană fizică sau persoană juridică care livrează energie electrică în sistemul electroenergetic sau căreia i se livrează energie electrică din sistemul electroenergetic. Calculele s-au efectuat în baza prevederilor HANRE nr.537/2020 din 24.12.2020 „</w:t>
      </w:r>
      <w:r w:rsidRPr="00F43F69">
        <w:rPr>
          <w:rFonts w:ascii="Times New Roman" w:hAnsi="Times New Roman" w:cs="Times New Roman"/>
          <w:bCs/>
          <w:sz w:val="16"/>
          <w:szCs w:val="16"/>
          <w:lang w:val="ro-RO"/>
        </w:rPr>
        <w:t xml:space="preserve">Pentru aprobarea Regulamentului cu privire la calitatea serviciilor </w:t>
      </w:r>
      <w:r w:rsidRPr="00F43F69">
        <w:rPr>
          <w:rFonts w:ascii="Times New Roman" w:hAnsi="Times New Roman" w:cs="Times New Roman"/>
          <w:sz w:val="16"/>
          <w:szCs w:val="16"/>
          <w:lang w:val="ro-RO"/>
        </w:rPr>
        <w:t>de transport și de distribuție a energiei electrice” și au fost prezentate S.A. „FEE-Nord” pentru a fi incluse cu titlu de compensare în factura pentru energia electrică consumată.</w:t>
      </w:r>
    </w:p>
  </w:footnote>
  <w:footnote w:id="55">
    <w:p w14:paraId="11B705EF" w14:textId="1B20465D" w:rsidR="00C242C2" w:rsidRPr="00F43F69" w:rsidRDefault="00C242C2" w:rsidP="000F2B8B">
      <w:pPr>
        <w:pStyle w:val="a3"/>
        <w:jc w:val="both"/>
        <w:rPr>
          <w:iCs/>
          <w:sz w:val="16"/>
          <w:szCs w:val="16"/>
          <w:lang w:val="ro-RO"/>
        </w:rPr>
      </w:pPr>
      <w:r w:rsidRPr="00F43F69">
        <w:rPr>
          <w:rStyle w:val="a5"/>
          <w:rFonts w:asciiTheme="majorBidi" w:hAnsiTheme="majorBidi" w:cstheme="majorBidi"/>
          <w:sz w:val="16"/>
          <w:szCs w:val="16"/>
        </w:rPr>
        <w:footnoteRef/>
      </w:r>
      <w:r w:rsidRPr="00F43F69">
        <w:rPr>
          <w:rFonts w:asciiTheme="majorBidi" w:hAnsiTheme="majorBidi" w:cstheme="majorBidi"/>
          <w:sz w:val="16"/>
          <w:szCs w:val="16"/>
        </w:rPr>
        <w:t xml:space="preserve"> </w:t>
      </w:r>
      <w:r w:rsidRPr="00F43F69">
        <w:rPr>
          <w:rFonts w:asciiTheme="majorBidi" w:hAnsiTheme="majorBidi" w:cstheme="majorBidi"/>
          <w:iCs/>
          <w:sz w:val="16"/>
          <w:szCs w:val="16"/>
          <w:lang w:val="ro-RO"/>
        </w:rPr>
        <w:t>Anul</w:t>
      </w:r>
      <w:r w:rsidRPr="00F43F69">
        <w:rPr>
          <w:rFonts w:ascii="Times New Roman" w:hAnsi="Times New Roman" w:cs="Times New Roman"/>
          <w:iCs/>
          <w:sz w:val="16"/>
          <w:szCs w:val="16"/>
          <w:lang w:val="ro-RO"/>
        </w:rPr>
        <w:t xml:space="preserve"> 2021 – 1.285,9 mii lei; anul 2022 – 1.294,8 mii lei.</w:t>
      </w:r>
    </w:p>
  </w:footnote>
  <w:footnote w:id="56">
    <w:p w14:paraId="326A0685" w14:textId="64469CCC" w:rsidR="00C242C2" w:rsidRPr="00F43F69" w:rsidRDefault="00C242C2" w:rsidP="000F2B8B">
      <w:pPr>
        <w:pStyle w:val="a3"/>
        <w:jc w:val="both"/>
        <w:rPr>
          <w:rFonts w:ascii="Times New Roman" w:eastAsia="Times New Roman" w:hAnsi="Times New Roman" w:cs="Times New Roman"/>
          <w:spacing w:val="-3"/>
          <w:sz w:val="16"/>
          <w:szCs w:val="16"/>
          <w:lang w:val="ro-RO" w:eastAsia="ru-RU"/>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eastAsia="Times New Roman" w:hAnsi="Times New Roman" w:cs="Times New Roman"/>
          <w:spacing w:val="-3"/>
          <w:sz w:val="16"/>
          <w:szCs w:val="16"/>
          <w:lang w:val="ro-RO" w:eastAsia="ru-RU"/>
        </w:rPr>
        <w:t xml:space="preserve">Codul </w:t>
      </w:r>
      <w:r>
        <w:rPr>
          <w:rFonts w:ascii="Times New Roman" w:eastAsia="Times New Roman" w:hAnsi="Times New Roman" w:cs="Times New Roman"/>
          <w:spacing w:val="-3"/>
          <w:sz w:val="16"/>
          <w:szCs w:val="16"/>
          <w:lang w:val="ro-RO" w:eastAsia="ru-RU"/>
        </w:rPr>
        <w:t>m</w:t>
      </w:r>
      <w:r w:rsidRPr="00F43F69">
        <w:rPr>
          <w:rFonts w:ascii="Times New Roman" w:eastAsia="Times New Roman" w:hAnsi="Times New Roman" w:cs="Times New Roman"/>
          <w:spacing w:val="-3"/>
          <w:sz w:val="16"/>
          <w:szCs w:val="16"/>
          <w:lang w:val="ro-RO" w:eastAsia="ru-RU"/>
        </w:rPr>
        <w:t>uncii</w:t>
      </w:r>
      <w:r>
        <w:rPr>
          <w:rFonts w:ascii="Times New Roman" w:eastAsia="Times New Roman" w:hAnsi="Times New Roman" w:cs="Times New Roman"/>
          <w:spacing w:val="-3"/>
          <w:sz w:val="16"/>
          <w:szCs w:val="16"/>
          <w:lang w:val="ro-RO" w:eastAsia="ru-RU"/>
        </w:rPr>
        <w:t>,</w:t>
      </w:r>
      <w:r w:rsidRPr="00F43F69">
        <w:rPr>
          <w:rFonts w:ascii="Times New Roman" w:eastAsia="Times New Roman" w:hAnsi="Times New Roman" w:cs="Times New Roman"/>
          <w:spacing w:val="-3"/>
          <w:sz w:val="16"/>
          <w:szCs w:val="16"/>
          <w:lang w:val="ro-RO" w:eastAsia="ru-RU"/>
        </w:rPr>
        <w:t xml:space="preserve"> aprobat prin </w:t>
      </w:r>
      <w:r>
        <w:rPr>
          <w:rFonts w:ascii="Times New Roman" w:eastAsia="Times New Roman" w:hAnsi="Times New Roman" w:cs="Times New Roman"/>
          <w:spacing w:val="-3"/>
          <w:sz w:val="16"/>
          <w:szCs w:val="16"/>
          <w:lang w:val="ro-RO" w:eastAsia="ru-RU"/>
        </w:rPr>
        <w:t>L</w:t>
      </w:r>
      <w:r w:rsidRPr="00F43F69">
        <w:rPr>
          <w:rFonts w:ascii="Times New Roman" w:eastAsia="Times New Roman" w:hAnsi="Times New Roman" w:cs="Times New Roman"/>
          <w:spacing w:val="-3"/>
          <w:sz w:val="16"/>
          <w:szCs w:val="16"/>
          <w:lang w:val="ro-RO" w:eastAsia="ru-RU"/>
        </w:rPr>
        <w:t xml:space="preserve">egea nr.154 din 28.03.2003; </w:t>
      </w:r>
      <w:r w:rsidRPr="00F43F69">
        <w:rPr>
          <w:rFonts w:ascii="Times New Roman" w:eastAsia="Times New Roman" w:hAnsi="Times New Roman" w:cs="Times New Roman"/>
          <w:bCs/>
          <w:spacing w:val="-3"/>
          <w:sz w:val="16"/>
          <w:szCs w:val="16"/>
          <w:lang w:val="ro-RO" w:eastAsia="ru-RU"/>
        </w:rPr>
        <w:t>Legea salarizării nr.847 din 14.02.2002; Hotărârea Guvernului nr.743 din 11.06.2002 „Cu privire la salarizarea angajaților din unitățile cu autonomie financiară”; Hotărârea Guvernului nr.165 din 09.03.2010 „Cu privire la cuantumul minim garantat al salariului în sectorul real”, abrogată prin Hotărârea Guvernului nr.670 din 29.09.2022.</w:t>
      </w:r>
      <w:r w:rsidRPr="00F43F69">
        <w:rPr>
          <w:rFonts w:ascii="Times New Roman" w:eastAsia="Times New Roman" w:hAnsi="Times New Roman" w:cs="Times New Roman"/>
          <w:sz w:val="16"/>
          <w:szCs w:val="16"/>
          <w:lang w:val="ro-RO" w:eastAsia="ru-RU"/>
        </w:rPr>
        <w:t xml:space="preserve"> </w:t>
      </w:r>
    </w:p>
  </w:footnote>
  <w:footnote w:id="57">
    <w:p w14:paraId="65D6EC10" w14:textId="13F61495" w:rsidR="00C242C2" w:rsidRPr="00F43F69" w:rsidRDefault="00C242C2" w:rsidP="002B55B8">
      <w:pPr>
        <w:pStyle w:val="a3"/>
        <w:rPr>
          <w:rFonts w:asciiTheme="majorBidi" w:hAnsiTheme="majorBidi" w:cstheme="majorBidi"/>
          <w:sz w:val="16"/>
          <w:szCs w:val="16"/>
        </w:rPr>
      </w:pPr>
      <w:r w:rsidRPr="00F43F69">
        <w:rPr>
          <w:rStyle w:val="a5"/>
          <w:rFonts w:asciiTheme="majorBidi" w:hAnsiTheme="majorBidi"/>
          <w:sz w:val="16"/>
          <w:szCs w:val="16"/>
        </w:rPr>
        <w:footnoteRef/>
      </w:r>
      <w:r w:rsidRPr="00F43F69">
        <w:rPr>
          <w:rFonts w:asciiTheme="majorBidi" w:hAnsiTheme="majorBidi" w:cstheme="majorBidi"/>
          <w:sz w:val="16"/>
          <w:szCs w:val="16"/>
        </w:rPr>
        <w:t xml:space="preserve"> Cuantumul minim garantat al salariului în sectorul real pentru anul 2021 constituie 2.935 lei pe lună.</w:t>
      </w:r>
    </w:p>
  </w:footnote>
  <w:footnote w:id="58">
    <w:p w14:paraId="012B1C79" w14:textId="09E64D90" w:rsidR="00C242C2" w:rsidRPr="00F43F69" w:rsidRDefault="00C242C2" w:rsidP="002B55B8">
      <w:pPr>
        <w:pStyle w:val="a3"/>
        <w:rPr>
          <w:rFonts w:asciiTheme="majorBidi" w:hAnsiTheme="majorBidi" w:cstheme="majorBidi"/>
          <w:lang w:val="ro-RO"/>
        </w:rPr>
      </w:pPr>
      <w:r w:rsidRPr="00F43F69">
        <w:rPr>
          <w:rStyle w:val="a5"/>
          <w:rFonts w:asciiTheme="majorBidi" w:hAnsiTheme="majorBidi"/>
          <w:sz w:val="16"/>
          <w:szCs w:val="16"/>
        </w:rPr>
        <w:footnoteRef/>
      </w:r>
      <w:r w:rsidRPr="00F43F69">
        <w:rPr>
          <w:rFonts w:asciiTheme="majorBidi" w:hAnsiTheme="majorBidi" w:cstheme="majorBidi"/>
          <w:sz w:val="16"/>
          <w:szCs w:val="16"/>
        </w:rPr>
        <w:t xml:space="preserve"> Cuantumul minim garantat al salariului în sectorul real pentru anul 2022 constituie 3.500 lei pe lună.</w:t>
      </w:r>
    </w:p>
  </w:footnote>
  <w:footnote w:id="59">
    <w:p w14:paraId="6C20A915" w14:textId="77777777" w:rsidR="00C242C2" w:rsidRPr="00F43F69" w:rsidRDefault="00C242C2" w:rsidP="0076333F">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Salariul tarifar (inclusiv indemnizația pentru incapacitate temporară de muncă); sporul pentru vechimea în muncă; sporul pentru clasa de calificare la șoferi; sporul pentru extinderea zonelor de deservire sau sporirea volumului de lucrări executate; sporul pentru cumulare de profesii/funcții; sporul </w:t>
      </w:r>
      <w:r w:rsidRPr="00F43F69">
        <w:rPr>
          <w:rFonts w:ascii="Times New Roman" w:hAnsi="Times New Roman" w:cs="Times New Roman"/>
          <w:bCs/>
          <w:sz w:val="16"/>
          <w:szCs w:val="16"/>
          <w:lang w:val="ro-RO"/>
        </w:rPr>
        <w:t>pentru munca prestată în program de noapte; sporul la salariu pentru lucrul în condiții vătămătoare.</w:t>
      </w:r>
    </w:p>
  </w:footnote>
  <w:footnote w:id="60">
    <w:p w14:paraId="3C037E78" w14:textId="77777777" w:rsidR="00C242C2" w:rsidRPr="00F43F69" w:rsidRDefault="00C242C2" w:rsidP="0076333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Premiul lunar curent; premiul unic - la depistarea furtului de energie; cu ocazia zilelor de sărbătoare oficiale și zilei profesionale; cu ocazia atingerii vârstei jubiliare; pentru participarea la competiții profesionale interne. </w:t>
      </w:r>
    </w:p>
  </w:footnote>
  <w:footnote w:id="61">
    <w:p w14:paraId="6D179489" w14:textId="03FA254A" w:rsidR="00C242C2" w:rsidRPr="00F43F69" w:rsidRDefault="00C242C2" w:rsidP="0076333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Ajutorul material anual/de bază (acordat la concediul de odihnă); ajutorul material unic - în caz de accidente, îmbolnăvire și deces.</w:t>
      </w:r>
    </w:p>
  </w:footnote>
  <w:footnote w:id="62">
    <w:p w14:paraId="3CAA4EE5" w14:textId="3BF1891D" w:rsidR="00C242C2" w:rsidRPr="00F43F69" w:rsidRDefault="00C242C2" w:rsidP="003E3480">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Concediul de bază (28 zile); concediul suplimentar – pentru </w:t>
      </w:r>
      <w:r w:rsidRPr="00F43F69">
        <w:rPr>
          <w:rFonts w:ascii="Times New Roman" w:hAnsi="Times New Roman" w:cs="Times New Roman"/>
          <w:bCs/>
          <w:sz w:val="16"/>
          <w:szCs w:val="16"/>
          <w:lang w:val="ro-RO"/>
        </w:rPr>
        <w:t>eforturi psiho-emoționale sporite (7 zile); concediul unic - la 1 septembrie; ziua de căsătorie; decesul rudelor.</w:t>
      </w:r>
    </w:p>
  </w:footnote>
  <w:footnote w:id="63">
    <w:p w14:paraId="2898F8F3" w14:textId="77777777" w:rsidR="00C242C2" w:rsidRPr="00F43F69" w:rsidRDefault="00C242C2" w:rsidP="0081099D">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Determinarea volumului de muncă necesar pentru executarea lucrărilor, stabilirea pentru salariați a sarcinii de muncă optimale, intensificarea dependenței salarizării angajaților de rezultatele finale ale activității și optimizarea consumului de muncă.</w:t>
      </w:r>
    </w:p>
  </w:footnote>
  <w:footnote w:id="64">
    <w:p w14:paraId="0F934BEF" w14:textId="708593E9" w:rsidR="00C242C2" w:rsidRPr="00F43F69" w:rsidRDefault="00C242C2" w:rsidP="0081099D">
      <w:pPr>
        <w:pStyle w:val="a3"/>
        <w:jc w:val="both"/>
        <w:rPr>
          <w:rFonts w:ascii="Times New Roman" w:hAnsi="Times New Roman" w:cs="Times New Roman"/>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Hotărârea Guvernului nr.98 din 04.02.2013 „Pentru aprobarea Regulamentului privind modul de organizare a normării muncii în ramurile economiei naționale”.</w:t>
      </w:r>
    </w:p>
  </w:footnote>
  <w:footnote w:id="65">
    <w:p w14:paraId="2082AE0C" w14:textId="409F403D" w:rsidR="00C242C2" w:rsidRPr="00F43F69" w:rsidRDefault="00C242C2" w:rsidP="0081099D">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bCs/>
          <w:sz w:val="16"/>
          <w:szCs w:val="16"/>
        </w:rPr>
        <w:t xml:space="preserve"> Pct.9 din Regulamentul aprobat prin </w:t>
      </w:r>
      <w:r w:rsidRPr="00F43F69">
        <w:rPr>
          <w:rFonts w:ascii="Times New Roman" w:hAnsi="Times New Roman" w:cs="Times New Roman"/>
          <w:bCs/>
          <w:sz w:val="16"/>
          <w:szCs w:val="16"/>
          <w:lang w:val="ro-RO"/>
        </w:rPr>
        <w:t xml:space="preserve">HG </w:t>
      </w:r>
      <w:r w:rsidRPr="00F43F69">
        <w:rPr>
          <w:rFonts w:ascii="Times New Roman" w:hAnsi="Times New Roman" w:cs="Times New Roman"/>
          <w:bCs/>
          <w:sz w:val="16"/>
          <w:szCs w:val="16"/>
        </w:rPr>
        <w:t xml:space="preserve">nr.98 din 04.02.2013 – </w:t>
      </w:r>
      <w:r w:rsidRPr="00F43F69">
        <w:rPr>
          <w:rFonts w:ascii="Times New Roman" w:hAnsi="Times New Roman" w:cs="Times New Roman"/>
          <w:sz w:val="16"/>
          <w:szCs w:val="16"/>
        </w:rPr>
        <w:t xml:space="preserve"> normative de muncă cu caracter unificat elaborate ținând</w:t>
      </w:r>
      <w:r>
        <w:rPr>
          <w:rFonts w:ascii="Times New Roman" w:hAnsi="Times New Roman" w:cs="Times New Roman"/>
          <w:sz w:val="16"/>
          <w:szCs w:val="16"/>
        </w:rPr>
        <w:t>u-se</w:t>
      </w:r>
      <w:r w:rsidRPr="00F43F69">
        <w:rPr>
          <w:rFonts w:ascii="Times New Roman" w:hAnsi="Times New Roman" w:cs="Times New Roman"/>
          <w:sz w:val="16"/>
          <w:szCs w:val="16"/>
        </w:rPr>
        <w:t xml:space="preserve"> cont de condițiile tehnico-organizatorice generalizate în unități din diferite ramuri; normative de muncă elaborate pentru lucrările specifice unei ramuri concrete.</w:t>
      </w:r>
    </w:p>
  </w:footnote>
  <w:footnote w:id="66">
    <w:p w14:paraId="505BCC63" w14:textId="77777777" w:rsidR="00C242C2" w:rsidRPr="00AB6DDC" w:rsidRDefault="00C242C2" w:rsidP="0081099D">
      <w:pPr>
        <w:pStyle w:val="a3"/>
        <w:jc w:val="both"/>
        <w:rPr>
          <w:rFonts w:ascii="Times New Roman" w:hAnsi="Times New Roman" w:cs="Times New Roman"/>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 xml:space="preserve">Ordinul  Ministerului Economiei și Comerțului nr.135 din </w:t>
      </w:r>
      <w:r w:rsidRPr="00AB6DDC">
        <w:rPr>
          <w:rFonts w:ascii="Times New Roman" w:hAnsi="Times New Roman" w:cs="Times New Roman"/>
          <w:bCs/>
          <w:sz w:val="16"/>
          <w:szCs w:val="16"/>
          <w:lang w:val="ro-RO"/>
        </w:rPr>
        <w:t>14.09.2006 „Cu privire la aprobarea Normelor de timp pentru deservirea tehnică și reparația sistemelor de gaze NTSG-01-2005”.</w:t>
      </w:r>
    </w:p>
  </w:footnote>
  <w:footnote w:id="67">
    <w:p w14:paraId="0AFDC013" w14:textId="67B0FCFB" w:rsidR="00C242C2" w:rsidRPr="00AB6DDC" w:rsidRDefault="00C242C2" w:rsidP="001B13CC">
      <w:pPr>
        <w:pStyle w:val="a3"/>
        <w:jc w:val="both"/>
        <w:rPr>
          <w:rFonts w:ascii="Times New Roman" w:hAnsi="Times New Roman" w:cs="Times New Roman"/>
          <w:sz w:val="16"/>
          <w:szCs w:val="16"/>
          <w:lang w:val="ro-RO"/>
        </w:rPr>
      </w:pPr>
      <w:r w:rsidRPr="00AB6DDC">
        <w:rPr>
          <w:rStyle w:val="a5"/>
          <w:rFonts w:ascii="Times New Roman" w:hAnsi="Times New Roman" w:cs="Times New Roman"/>
          <w:sz w:val="16"/>
          <w:szCs w:val="16"/>
          <w:lang w:val="ro-RO"/>
        </w:rPr>
        <w:footnoteRef/>
      </w:r>
      <w:r w:rsidRPr="00AB6DDC">
        <w:rPr>
          <w:rFonts w:ascii="Times New Roman" w:hAnsi="Times New Roman" w:cs="Times New Roman"/>
          <w:sz w:val="16"/>
          <w:szCs w:val="16"/>
          <w:lang w:val="ro-RO"/>
        </w:rPr>
        <w:t xml:space="preserve"> „Referitor la elaborarea Regulamentului privind normarea muncii în cadrul S.A. „RED-Nord”.</w:t>
      </w:r>
    </w:p>
  </w:footnote>
  <w:footnote w:id="68">
    <w:p w14:paraId="6CBCDD7C" w14:textId="1BB828D1" w:rsidR="00C242C2" w:rsidRPr="00FA6CC7" w:rsidRDefault="00C242C2" w:rsidP="0081099D">
      <w:pPr>
        <w:pStyle w:val="a3"/>
        <w:jc w:val="both"/>
        <w:rPr>
          <w:rFonts w:asciiTheme="majorBidi" w:hAnsiTheme="majorBidi" w:cstheme="majorBidi"/>
          <w:sz w:val="16"/>
          <w:szCs w:val="16"/>
          <w:lang w:val="ro-RO"/>
        </w:rPr>
      </w:pPr>
      <w:r w:rsidRPr="00FA6CC7">
        <w:rPr>
          <w:rStyle w:val="a5"/>
          <w:rFonts w:asciiTheme="majorBidi" w:hAnsiTheme="majorBidi" w:cstheme="majorBidi"/>
          <w:sz w:val="16"/>
          <w:szCs w:val="16"/>
          <w:lang w:val="ro-RO"/>
        </w:rPr>
        <w:footnoteRef/>
      </w:r>
      <w:r w:rsidRPr="00FA6CC7">
        <w:rPr>
          <w:rFonts w:asciiTheme="majorBidi" w:hAnsiTheme="majorBidi" w:cstheme="majorBidi"/>
          <w:sz w:val="16"/>
          <w:szCs w:val="16"/>
          <w:lang w:val="ro-RO"/>
        </w:rPr>
        <w:t xml:space="preserve"> </w:t>
      </w:r>
      <w:r w:rsidRPr="00FA6CC7">
        <w:rPr>
          <w:rFonts w:asciiTheme="majorBidi" w:hAnsiTheme="majorBidi" w:cstheme="majorBidi"/>
          <w:bCs/>
          <w:sz w:val="16"/>
          <w:szCs w:val="16"/>
          <w:lang w:val="ro-RO"/>
        </w:rPr>
        <w:t>Legea nr.229 din 23.09.2010 „Privind controlul financiar public intern”.</w:t>
      </w:r>
      <w:r w:rsidRPr="00FA6CC7">
        <w:rPr>
          <w:rFonts w:asciiTheme="majorBidi" w:hAnsiTheme="majorBidi" w:cstheme="majorBidi"/>
          <w:sz w:val="16"/>
          <w:szCs w:val="16"/>
          <w:lang w:val="ro-RO"/>
        </w:rPr>
        <w:t xml:space="preserve"> Art.2 – „Prevederile legii se aplică autorităților/instituțiilor bugetare, autorităților bugetare independente/autonome, autorităților/instituțiilor publice la autogestiune, întreprinderilor de stat/municipale, </w:t>
      </w:r>
      <w:r w:rsidRPr="00FA6CC7">
        <w:rPr>
          <w:rFonts w:asciiTheme="majorBidi" w:hAnsiTheme="majorBidi" w:cstheme="majorBidi"/>
          <w:b/>
          <w:i/>
          <w:sz w:val="16"/>
          <w:szCs w:val="16"/>
          <w:lang w:val="ro-RO"/>
        </w:rPr>
        <w:t>societăților comerciale cu capital integral sau majoritar public</w:t>
      </w:r>
      <w:r w:rsidRPr="00FA6CC7">
        <w:rPr>
          <w:rFonts w:asciiTheme="majorBidi" w:hAnsiTheme="majorBidi" w:cstheme="majorBidi"/>
          <w:sz w:val="16"/>
          <w:szCs w:val="16"/>
          <w:lang w:val="ro-RO"/>
        </w:rPr>
        <w:t>, precum și entităților/autorităților independente responsabile de reglementarea unui domeniu economic și/sau social”.</w:t>
      </w:r>
    </w:p>
  </w:footnote>
  <w:footnote w:id="69">
    <w:p w14:paraId="26D764C7" w14:textId="0D1283EE" w:rsidR="00C242C2" w:rsidRPr="00FA6CC7" w:rsidRDefault="00C242C2">
      <w:pPr>
        <w:pStyle w:val="a3"/>
        <w:rPr>
          <w:rFonts w:asciiTheme="majorBidi" w:hAnsiTheme="majorBidi" w:cstheme="majorBidi"/>
          <w:sz w:val="16"/>
          <w:szCs w:val="16"/>
          <w:lang w:val="ro-RO"/>
        </w:rPr>
      </w:pPr>
      <w:r w:rsidRPr="00FA6CC7">
        <w:rPr>
          <w:rStyle w:val="a5"/>
          <w:rFonts w:asciiTheme="majorBidi" w:hAnsiTheme="majorBidi" w:cstheme="majorBidi"/>
          <w:sz w:val="16"/>
          <w:szCs w:val="16"/>
        </w:rPr>
        <w:footnoteRef/>
      </w:r>
      <w:r w:rsidRPr="00FA6CC7">
        <w:rPr>
          <w:rFonts w:asciiTheme="majorBidi" w:hAnsiTheme="majorBidi" w:cstheme="majorBidi"/>
          <w:sz w:val="16"/>
          <w:szCs w:val="16"/>
        </w:rPr>
        <w:t xml:space="preserve"> </w:t>
      </w:r>
      <w:r w:rsidRPr="00FA6CC7">
        <w:rPr>
          <w:rFonts w:asciiTheme="majorBidi" w:eastAsia="Times New Roman" w:hAnsiTheme="majorBidi" w:cstheme="majorBidi"/>
          <w:bCs/>
          <w:sz w:val="16"/>
          <w:szCs w:val="16"/>
          <w:lang w:val="ro-RO" w:eastAsia="ru-RU"/>
        </w:rPr>
        <w:t>3,0 unități de personal.</w:t>
      </w:r>
    </w:p>
  </w:footnote>
  <w:footnote w:id="70">
    <w:p w14:paraId="236909CD" w14:textId="4A2A9421" w:rsidR="00C242C2" w:rsidRPr="00F43F69" w:rsidRDefault="00C242C2" w:rsidP="00B9236E">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A participat la 9 misiuni de audit în anul 2021 și în anul 2022.</w:t>
      </w:r>
    </w:p>
  </w:footnote>
  <w:footnote w:id="71">
    <w:p w14:paraId="70D1706B" w14:textId="77777777" w:rsidR="00C242C2" w:rsidRPr="005208BB" w:rsidRDefault="00C242C2" w:rsidP="001751C7">
      <w:pPr>
        <w:pStyle w:val="a3"/>
        <w:jc w:val="both"/>
        <w:rPr>
          <w:rFonts w:asciiTheme="majorBidi" w:hAnsiTheme="majorBidi" w:cstheme="majorBidi"/>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5208BB">
        <w:rPr>
          <w:rFonts w:ascii="Times New Roman" w:hAnsi="Times New Roman" w:cs="Times New Roman"/>
          <w:bCs/>
          <w:sz w:val="16"/>
          <w:szCs w:val="16"/>
          <w:lang w:val="ro-RO"/>
        </w:rPr>
        <w:t>Salariul de bază/</w:t>
      </w:r>
      <w:r w:rsidRPr="005208BB">
        <w:rPr>
          <w:rFonts w:asciiTheme="majorBidi" w:hAnsiTheme="majorBidi" w:cstheme="majorBidi"/>
          <w:bCs/>
          <w:sz w:val="16"/>
          <w:szCs w:val="16"/>
          <w:lang w:val="ro-RO"/>
        </w:rPr>
        <w:t>tarifar; premiul lunar curent;</w:t>
      </w:r>
      <w:r w:rsidRPr="005208BB">
        <w:rPr>
          <w:rFonts w:asciiTheme="majorBidi" w:eastAsia="Times New Roman" w:hAnsiTheme="majorBidi" w:cstheme="majorBidi"/>
          <w:bCs/>
          <w:sz w:val="16"/>
          <w:szCs w:val="16"/>
          <w:lang w:val="ro-RO" w:eastAsia="ru-RU"/>
        </w:rPr>
        <w:t xml:space="preserve"> </w:t>
      </w:r>
      <w:r w:rsidRPr="005208BB">
        <w:rPr>
          <w:rFonts w:asciiTheme="majorBidi" w:hAnsiTheme="majorBidi" w:cstheme="majorBidi"/>
          <w:bCs/>
          <w:sz w:val="16"/>
          <w:szCs w:val="16"/>
          <w:lang w:val="ro-RO"/>
        </w:rPr>
        <w:t>premii unice; sporul la salariu pentru lucrul în condiții vătămătoare.</w:t>
      </w:r>
    </w:p>
  </w:footnote>
  <w:footnote w:id="72">
    <w:p w14:paraId="4B67F680" w14:textId="2E753FEE" w:rsidR="00C242C2" w:rsidRPr="005208BB" w:rsidRDefault="00C242C2">
      <w:pPr>
        <w:pStyle w:val="a3"/>
        <w:rPr>
          <w:lang w:val="en-US"/>
        </w:rPr>
      </w:pPr>
      <w:r w:rsidRPr="005208BB">
        <w:rPr>
          <w:rStyle w:val="a5"/>
          <w:rFonts w:asciiTheme="majorBidi" w:hAnsiTheme="majorBidi" w:cstheme="majorBidi"/>
          <w:sz w:val="16"/>
          <w:szCs w:val="16"/>
        </w:rPr>
        <w:footnoteRef/>
      </w:r>
      <w:r w:rsidRPr="005208BB">
        <w:rPr>
          <w:rFonts w:asciiTheme="majorBidi" w:hAnsiTheme="majorBidi" w:cstheme="majorBidi"/>
          <w:sz w:val="16"/>
          <w:szCs w:val="16"/>
        </w:rPr>
        <w:t xml:space="preserve"> </w:t>
      </w:r>
      <w:r w:rsidRPr="005208BB">
        <w:rPr>
          <w:rFonts w:asciiTheme="majorBidi" w:eastAsia="Times New Roman" w:hAnsiTheme="majorBidi" w:cstheme="majorBidi"/>
          <w:iCs/>
          <w:sz w:val="16"/>
          <w:szCs w:val="16"/>
          <w:lang w:val="ro-RO" w:eastAsia="ru-RU"/>
        </w:rPr>
        <w:t>Anul 2021 – 1.285,9 mii</w:t>
      </w:r>
      <w:r w:rsidRPr="005208BB">
        <w:rPr>
          <w:rFonts w:ascii="Times New Roman" w:eastAsia="Times New Roman" w:hAnsi="Times New Roman" w:cs="Times New Roman"/>
          <w:iCs/>
          <w:sz w:val="16"/>
          <w:szCs w:val="16"/>
          <w:lang w:val="ro-RO" w:eastAsia="ru-RU"/>
        </w:rPr>
        <w:t xml:space="preserve"> lei; anul 2022 – 1.294,8 mii lei.</w:t>
      </w:r>
    </w:p>
  </w:footnote>
  <w:footnote w:id="73">
    <w:p w14:paraId="10D69585" w14:textId="04253FD5" w:rsidR="00C242C2" w:rsidRPr="005208BB" w:rsidRDefault="00C242C2" w:rsidP="0024667A">
      <w:pPr>
        <w:pStyle w:val="a3"/>
        <w:jc w:val="both"/>
        <w:rPr>
          <w:rFonts w:ascii="Times New Roman" w:hAnsi="Times New Roman" w:cs="Times New Roman"/>
          <w:sz w:val="16"/>
          <w:szCs w:val="16"/>
          <w:lang w:val="ro-RO"/>
        </w:rPr>
      </w:pPr>
      <w:r w:rsidRPr="005208BB">
        <w:rPr>
          <w:rStyle w:val="a5"/>
          <w:rFonts w:ascii="Times New Roman" w:hAnsi="Times New Roman" w:cs="Times New Roman"/>
          <w:sz w:val="16"/>
          <w:szCs w:val="16"/>
          <w:lang w:val="ro-RO"/>
        </w:rPr>
        <w:footnoteRef/>
      </w:r>
      <w:r w:rsidRPr="005208BB">
        <w:rPr>
          <w:rFonts w:ascii="Times New Roman" w:hAnsi="Times New Roman" w:cs="Times New Roman"/>
          <w:sz w:val="16"/>
          <w:szCs w:val="16"/>
          <w:lang w:val="ro-RO"/>
        </w:rPr>
        <w:t xml:space="preserve"> </w:t>
      </w:r>
      <w:r w:rsidRPr="005208BB">
        <w:rPr>
          <w:rFonts w:ascii="Times New Roman" w:hAnsi="Times New Roman" w:cs="Times New Roman"/>
          <w:bCs/>
          <w:sz w:val="16"/>
          <w:szCs w:val="16"/>
          <w:lang w:val="ro-RO"/>
        </w:rPr>
        <w:t>Ordinul m</w:t>
      </w:r>
      <w:r w:rsidR="003211B0" w:rsidRPr="005208BB">
        <w:rPr>
          <w:rFonts w:ascii="Times New Roman" w:hAnsi="Times New Roman" w:cs="Times New Roman"/>
          <w:bCs/>
          <w:sz w:val="16"/>
          <w:szCs w:val="16"/>
          <w:lang w:val="ro-RO"/>
        </w:rPr>
        <w:t>inistrului</w:t>
      </w:r>
      <w:r w:rsidRPr="005208BB">
        <w:rPr>
          <w:rFonts w:ascii="Times New Roman" w:hAnsi="Times New Roman" w:cs="Times New Roman"/>
          <w:bCs/>
          <w:sz w:val="16"/>
          <w:szCs w:val="16"/>
          <w:lang w:val="ro-RO"/>
        </w:rPr>
        <w:t xml:space="preserve"> </w:t>
      </w:r>
      <w:r w:rsidR="003211B0" w:rsidRPr="005208BB">
        <w:rPr>
          <w:rFonts w:ascii="Times New Roman" w:hAnsi="Times New Roman" w:cs="Times New Roman"/>
          <w:bCs/>
          <w:sz w:val="16"/>
          <w:szCs w:val="16"/>
          <w:lang w:val="ro-RO"/>
        </w:rPr>
        <w:t>m</w:t>
      </w:r>
      <w:r w:rsidRPr="005208BB">
        <w:rPr>
          <w:rFonts w:ascii="Times New Roman" w:hAnsi="Times New Roman" w:cs="Times New Roman"/>
          <w:bCs/>
          <w:sz w:val="16"/>
          <w:szCs w:val="16"/>
          <w:lang w:val="ro-RO"/>
        </w:rPr>
        <w:t xml:space="preserve">uncii, </w:t>
      </w:r>
      <w:r w:rsidR="003211B0" w:rsidRPr="005208BB">
        <w:rPr>
          <w:rFonts w:ascii="Times New Roman" w:hAnsi="Times New Roman" w:cs="Times New Roman"/>
          <w:bCs/>
          <w:sz w:val="16"/>
          <w:szCs w:val="16"/>
          <w:lang w:val="ro-RO"/>
        </w:rPr>
        <w:t>protecției sociale și f</w:t>
      </w:r>
      <w:r w:rsidRPr="005208BB">
        <w:rPr>
          <w:rFonts w:ascii="Times New Roman" w:hAnsi="Times New Roman" w:cs="Times New Roman"/>
          <w:bCs/>
          <w:sz w:val="16"/>
          <w:szCs w:val="16"/>
          <w:lang w:val="ro-RO"/>
        </w:rPr>
        <w:t>amiliei nr.22 din 03.03.2014 „Cu privire la aprobarea Clasificatorului Ocupațiilor din Republica Moldova (CORM 006-14)”.</w:t>
      </w:r>
    </w:p>
  </w:footnote>
  <w:footnote w:id="74">
    <w:p w14:paraId="1332BDB3" w14:textId="4FE126E6" w:rsidR="00C242C2" w:rsidRPr="00F43F69" w:rsidRDefault="00C242C2" w:rsidP="0024667A">
      <w:pPr>
        <w:pStyle w:val="a3"/>
        <w:jc w:val="both"/>
        <w:rPr>
          <w:rFonts w:ascii="Times New Roman" w:hAnsi="Times New Roman" w:cs="Times New Roman"/>
          <w:sz w:val="16"/>
          <w:szCs w:val="16"/>
          <w:lang w:val="ro-RO"/>
        </w:rPr>
      </w:pPr>
      <w:r w:rsidRPr="005208BB">
        <w:rPr>
          <w:rStyle w:val="a5"/>
          <w:rFonts w:ascii="Times New Roman" w:hAnsi="Times New Roman" w:cs="Times New Roman"/>
          <w:sz w:val="16"/>
          <w:szCs w:val="16"/>
          <w:lang w:val="ro-RO"/>
        </w:rPr>
        <w:footnoteRef/>
      </w:r>
      <w:r w:rsidRPr="005208BB">
        <w:rPr>
          <w:rFonts w:ascii="Times New Roman" w:hAnsi="Times New Roman" w:cs="Times New Roman"/>
          <w:sz w:val="16"/>
          <w:szCs w:val="16"/>
          <w:lang w:val="ro-RO"/>
        </w:rPr>
        <w:t xml:space="preserve"> </w:t>
      </w:r>
      <w:r w:rsidRPr="005208BB">
        <w:rPr>
          <w:rFonts w:ascii="Times New Roman" w:hAnsi="Times New Roman" w:cs="Times New Roman"/>
          <w:bCs/>
          <w:sz w:val="16"/>
          <w:szCs w:val="16"/>
          <w:lang w:val="ro-RO"/>
        </w:rPr>
        <w:t xml:space="preserve">Ordinul </w:t>
      </w:r>
      <w:r w:rsidR="003211B0" w:rsidRPr="005208BB">
        <w:rPr>
          <w:rFonts w:ascii="Times New Roman" w:hAnsi="Times New Roman" w:cs="Times New Roman"/>
          <w:bCs/>
          <w:sz w:val="16"/>
          <w:szCs w:val="16"/>
          <w:lang w:val="ro-RO"/>
        </w:rPr>
        <w:t>ministrului muncii și protecției s</w:t>
      </w:r>
      <w:r w:rsidRPr="005208BB">
        <w:rPr>
          <w:rFonts w:ascii="Times New Roman" w:hAnsi="Times New Roman" w:cs="Times New Roman"/>
          <w:bCs/>
          <w:sz w:val="16"/>
          <w:szCs w:val="16"/>
          <w:lang w:val="ro-RO"/>
        </w:rPr>
        <w:t>ociale nr.11 din 12.11.2021 „Cu privire la aprobarea Clasificatorului Ocupațiilor din Republica Moldova”. Conform pct.3 din ordin –</w:t>
      </w:r>
      <w:r w:rsidRPr="005208BB">
        <w:rPr>
          <w:rFonts w:ascii="Times New Roman" w:hAnsi="Times New Roman" w:cs="Times New Roman"/>
          <w:sz w:val="16"/>
          <w:szCs w:val="16"/>
          <w:lang w:val="ro-RO"/>
        </w:rPr>
        <w:t xml:space="preserve"> „Î</w:t>
      </w:r>
      <w:r w:rsidRPr="005208BB">
        <w:rPr>
          <w:rFonts w:ascii="Times New Roman" w:hAnsi="Times New Roman" w:cs="Times New Roman"/>
          <w:bCs/>
          <w:sz w:val="16"/>
          <w:szCs w:val="16"/>
          <w:lang w:val="ro-RO"/>
        </w:rPr>
        <w:t xml:space="preserve">n vederea asigurării tranziției de la Clasificatorul Ocupațiilor din Republica Moldova (CORM 006-14), aprobat prin </w:t>
      </w:r>
      <w:hyperlink r:id="rId1" w:history="1">
        <w:r w:rsidRPr="005208BB">
          <w:rPr>
            <w:rStyle w:val="a9"/>
            <w:rFonts w:ascii="Times New Roman" w:hAnsi="Times New Roman" w:cs="Times New Roman"/>
            <w:bCs/>
            <w:color w:val="auto"/>
            <w:sz w:val="16"/>
            <w:szCs w:val="16"/>
            <w:u w:val="none"/>
            <w:lang w:val="ro-RO"/>
          </w:rPr>
          <w:t>Ordinul ministrului muncii, protecției sociale și familiei nr.22/2014</w:t>
        </w:r>
      </w:hyperlink>
      <w:r w:rsidRPr="00F43F69">
        <w:rPr>
          <w:rFonts w:ascii="Times New Roman" w:hAnsi="Times New Roman" w:cs="Times New Roman"/>
          <w:bCs/>
          <w:sz w:val="16"/>
          <w:szCs w:val="16"/>
          <w:lang w:val="ro-RO"/>
        </w:rPr>
        <w:t>, cu modificările ulterioare, la noul CORM 006-2021, CORM 006-14 va fi utilizat în paralel cu CORM 006-2021 până la 30 iunie 2022”.</w:t>
      </w:r>
    </w:p>
  </w:footnote>
  <w:footnote w:id="75">
    <w:p w14:paraId="1CA44037" w14:textId="06BF1A52" w:rsidR="00C242C2" w:rsidRPr="00F43F69" w:rsidRDefault="00C242C2" w:rsidP="0024667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Anexa nr.4, </w:t>
      </w:r>
      <w:r w:rsidRPr="00F43F69">
        <w:rPr>
          <w:rFonts w:ascii="Times New Roman" w:hAnsi="Times New Roman" w:cs="Times New Roman"/>
          <w:bCs/>
          <w:iCs/>
          <w:sz w:val="16"/>
          <w:szCs w:val="16"/>
          <w:lang w:val="ro-RO"/>
        </w:rPr>
        <w:t>Note:</w:t>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1.</w:t>
      </w:r>
      <w:r w:rsidRPr="00F43F69">
        <w:rPr>
          <w:rFonts w:ascii="Times New Roman" w:hAnsi="Times New Roman" w:cs="Times New Roman"/>
          <w:b/>
          <w:bCs/>
          <w:sz w:val="16"/>
          <w:szCs w:val="16"/>
          <w:lang w:val="ro-RO"/>
        </w:rPr>
        <w:t xml:space="preserve"> </w:t>
      </w:r>
      <w:r w:rsidRPr="00F43F69">
        <w:rPr>
          <w:rFonts w:ascii="Times New Roman" w:hAnsi="Times New Roman" w:cs="Times New Roman"/>
          <w:sz w:val="16"/>
          <w:szCs w:val="16"/>
          <w:lang w:val="ro-RO"/>
        </w:rPr>
        <w:t xml:space="preserve">Raportarea personalului la categoriile de personal se efectuează în conformitate cu Clasificatorul </w:t>
      </w:r>
      <w:r>
        <w:rPr>
          <w:rFonts w:ascii="Times New Roman" w:hAnsi="Times New Roman" w:cs="Times New Roman"/>
          <w:sz w:val="16"/>
          <w:szCs w:val="16"/>
          <w:lang w:val="ro-RO"/>
        </w:rPr>
        <w:t>O</w:t>
      </w:r>
      <w:r w:rsidRPr="00F43F69">
        <w:rPr>
          <w:rFonts w:ascii="Times New Roman" w:hAnsi="Times New Roman" w:cs="Times New Roman"/>
          <w:sz w:val="16"/>
          <w:szCs w:val="16"/>
          <w:lang w:val="ro-RO"/>
        </w:rPr>
        <w:t>cupațiilor din Republica Moldova.</w:t>
      </w:r>
    </w:p>
  </w:footnote>
  <w:footnote w:id="76">
    <w:p w14:paraId="64403CB2" w14:textId="1F29AAE4" w:rsidR="00C242C2" w:rsidRPr="00F43F69" w:rsidRDefault="00C242C2" w:rsidP="0024667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bCs/>
          <w:sz w:val="16"/>
          <w:szCs w:val="16"/>
          <w:lang w:val="ro-RO"/>
        </w:rPr>
        <w:t xml:space="preserve"> Coeficientul de multiplicare efectiv aplicat - 5,567.</w:t>
      </w:r>
    </w:p>
  </w:footnote>
  <w:footnote w:id="77">
    <w:p w14:paraId="61AEEFF3" w14:textId="56793052" w:rsidR="00C242C2" w:rsidRPr="00F43F69" w:rsidRDefault="00C242C2" w:rsidP="0033039B">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Calcul estimativ, reieșind din orele lucrate pe an și </w:t>
      </w:r>
      <w:r>
        <w:rPr>
          <w:rFonts w:ascii="Times New Roman" w:hAnsi="Times New Roman" w:cs="Times New Roman"/>
          <w:sz w:val="16"/>
          <w:szCs w:val="16"/>
          <w:lang w:val="ro-RO"/>
        </w:rPr>
        <w:t xml:space="preserve">din </w:t>
      </w:r>
      <w:r w:rsidRPr="00F43F69">
        <w:rPr>
          <w:rFonts w:ascii="Times New Roman" w:hAnsi="Times New Roman" w:cs="Times New Roman"/>
          <w:sz w:val="16"/>
          <w:szCs w:val="16"/>
          <w:lang w:val="ro-RO"/>
        </w:rPr>
        <w:t>marja de creștere a salariului total în raport cu salariul de bază/tarifar.</w:t>
      </w:r>
    </w:p>
  </w:footnote>
  <w:footnote w:id="78">
    <w:p w14:paraId="0F381D1D" w14:textId="2E0FB1B8" w:rsidR="00C242C2" w:rsidRPr="00F43F69" w:rsidRDefault="00C242C2" w:rsidP="0033039B">
      <w:pPr>
        <w:pStyle w:val="a3"/>
        <w:rPr>
          <w:rFonts w:asciiTheme="majorBidi" w:hAnsiTheme="majorBidi" w:cstheme="majorBidi"/>
          <w:sz w:val="16"/>
          <w:szCs w:val="16"/>
          <w:lang w:val="ro-RO"/>
        </w:rPr>
      </w:pPr>
      <w:r w:rsidRPr="00F43F69">
        <w:rPr>
          <w:rStyle w:val="a5"/>
          <w:rFonts w:asciiTheme="majorBidi" w:hAnsiTheme="majorBidi" w:cstheme="majorBidi"/>
          <w:sz w:val="16"/>
          <w:szCs w:val="16"/>
        </w:rPr>
        <w:footnoteRef/>
      </w:r>
      <w:r w:rsidRPr="00F43F69">
        <w:rPr>
          <w:rFonts w:asciiTheme="majorBidi" w:hAnsiTheme="majorBidi" w:cstheme="majorBidi"/>
          <w:sz w:val="16"/>
          <w:szCs w:val="16"/>
        </w:rPr>
        <w:t xml:space="preserve"> </w:t>
      </w:r>
      <w:r w:rsidRPr="00F43F69">
        <w:rPr>
          <w:rFonts w:asciiTheme="majorBidi" w:hAnsiTheme="majorBidi" w:cstheme="majorBidi"/>
          <w:bCs/>
          <w:iCs/>
          <w:sz w:val="16"/>
          <w:szCs w:val="16"/>
          <w:lang w:val="ro-RO"/>
        </w:rPr>
        <w:t>În anul 2021- 115,4 mii lei</w:t>
      </w:r>
      <w:r>
        <w:rPr>
          <w:rFonts w:asciiTheme="majorBidi" w:hAnsiTheme="majorBidi" w:cstheme="majorBidi"/>
          <w:bCs/>
          <w:iCs/>
          <w:sz w:val="16"/>
          <w:szCs w:val="16"/>
          <w:lang w:val="ro-RO"/>
        </w:rPr>
        <w:t>,</w:t>
      </w:r>
      <w:r w:rsidRPr="00F43F69">
        <w:rPr>
          <w:rFonts w:asciiTheme="majorBidi" w:hAnsiTheme="majorBidi" w:cstheme="majorBidi"/>
          <w:bCs/>
          <w:iCs/>
          <w:sz w:val="16"/>
          <w:szCs w:val="16"/>
          <w:lang w:val="ro-RO"/>
        </w:rPr>
        <w:t xml:space="preserve"> și în anul 2022 - 111,3 mii lei.</w:t>
      </w:r>
    </w:p>
  </w:footnote>
  <w:footnote w:id="79">
    <w:p w14:paraId="6C5A49F6" w14:textId="77777777" w:rsidR="00C242C2" w:rsidRPr="00F43F69" w:rsidRDefault="00C242C2" w:rsidP="001713B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În corespundere cu modificările/completările efectuate prin </w:t>
      </w:r>
      <w:r w:rsidRPr="00F43F69">
        <w:rPr>
          <w:rFonts w:ascii="Times New Roman" w:hAnsi="Times New Roman" w:cs="Times New Roman"/>
          <w:bCs/>
          <w:sz w:val="16"/>
          <w:szCs w:val="16"/>
          <w:lang w:val="ro-RO"/>
        </w:rPr>
        <w:t>Hotărârea Guvernului</w:t>
      </w:r>
      <w:r w:rsidRPr="00F43F69">
        <w:rPr>
          <w:rFonts w:ascii="Times New Roman" w:hAnsi="Times New Roman" w:cs="Times New Roman"/>
          <w:b/>
          <w:bCs/>
          <w:i/>
          <w:sz w:val="16"/>
          <w:szCs w:val="16"/>
          <w:lang w:val="ro-RO"/>
        </w:rPr>
        <w:t xml:space="preserve"> </w:t>
      </w:r>
      <w:r w:rsidRPr="00F43F69">
        <w:rPr>
          <w:rFonts w:ascii="Times New Roman" w:hAnsi="Times New Roman" w:cs="Times New Roman"/>
          <w:bCs/>
          <w:sz w:val="16"/>
          <w:szCs w:val="16"/>
          <w:lang w:val="ro-RO"/>
        </w:rPr>
        <w:t>nr.896 din 07.08.2006.</w:t>
      </w:r>
    </w:p>
  </w:footnote>
  <w:footnote w:id="80">
    <w:p w14:paraId="5ED4645E" w14:textId="6C616A78" w:rsidR="00C242C2" w:rsidRPr="00F43F69" w:rsidRDefault="00C242C2" w:rsidP="001713B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Pentru specialiști șefi (care au în subordine personal), directori de subdiviziuni și filiale, adjuncți ai conducătorului de unitate.</w:t>
      </w:r>
    </w:p>
  </w:footnote>
  <w:footnote w:id="81">
    <w:p w14:paraId="3615EF75" w14:textId="5C6B839D" w:rsidR="00C242C2" w:rsidRPr="00F43F69" w:rsidRDefault="00C242C2" w:rsidP="00877C86">
      <w:pPr>
        <w:pStyle w:val="a3"/>
        <w:jc w:val="both"/>
        <w:rPr>
          <w:rFonts w:asciiTheme="majorBidi" w:hAnsiTheme="majorBidi" w:cstheme="majorBidi"/>
          <w:sz w:val="16"/>
          <w:szCs w:val="16"/>
          <w:lang w:val="ro-RO"/>
        </w:rPr>
      </w:pPr>
      <w:r w:rsidRPr="00F43F69">
        <w:rPr>
          <w:rStyle w:val="a5"/>
          <w:rFonts w:asciiTheme="majorBidi" w:hAnsiTheme="majorBidi" w:cstheme="majorBidi"/>
          <w:sz w:val="16"/>
          <w:szCs w:val="16"/>
          <w:lang w:val="ro-RO"/>
        </w:rPr>
        <w:footnoteRef/>
      </w:r>
      <w:r w:rsidRPr="00F43F69">
        <w:rPr>
          <w:rFonts w:asciiTheme="majorBidi" w:hAnsiTheme="majorBidi" w:cstheme="majorBidi"/>
          <w:sz w:val="16"/>
          <w:szCs w:val="16"/>
          <w:lang w:val="ro-RO"/>
        </w:rPr>
        <w:t xml:space="preserve"> Calcul estimativ, reieșind din orele lucrate pe an și </w:t>
      </w:r>
      <w:r>
        <w:rPr>
          <w:rFonts w:asciiTheme="majorBidi" w:hAnsiTheme="majorBidi" w:cstheme="majorBidi"/>
          <w:sz w:val="16"/>
          <w:szCs w:val="16"/>
          <w:lang w:val="ro-RO"/>
        </w:rPr>
        <w:t xml:space="preserve">din </w:t>
      </w:r>
      <w:r w:rsidRPr="00F43F69">
        <w:rPr>
          <w:rFonts w:asciiTheme="majorBidi" w:hAnsiTheme="majorBidi" w:cstheme="majorBidi"/>
          <w:sz w:val="16"/>
          <w:szCs w:val="16"/>
          <w:lang w:val="ro-RO"/>
        </w:rPr>
        <w:t>marja de creștere a salariului total în raport cu salariul de bază/tarifar.</w:t>
      </w:r>
    </w:p>
  </w:footnote>
  <w:footnote w:id="82">
    <w:p w14:paraId="029024A3" w14:textId="703E5DA6" w:rsidR="00C242C2" w:rsidRPr="00F43F69" w:rsidRDefault="00C242C2" w:rsidP="00877C86">
      <w:pPr>
        <w:pStyle w:val="a3"/>
        <w:jc w:val="both"/>
        <w:rPr>
          <w:rFonts w:asciiTheme="majorBidi" w:hAnsiTheme="majorBidi" w:cstheme="majorBidi"/>
          <w:sz w:val="16"/>
          <w:szCs w:val="16"/>
          <w:lang w:val="ro-RO"/>
        </w:rPr>
      </w:pPr>
      <w:r w:rsidRPr="00F43F69">
        <w:rPr>
          <w:rStyle w:val="a5"/>
          <w:rFonts w:asciiTheme="majorBidi" w:hAnsiTheme="majorBidi" w:cstheme="majorBidi"/>
          <w:sz w:val="16"/>
          <w:szCs w:val="16"/>
        </w:rPr>
        <w:footnoteRef/>
      </w:r>
      <w:r w:rsidRPr="00F43F69">
        <w:rPr>
          <w:rFonts w:asciiTheme="majorBidi" w:hAnsiTheme="majorBidi" w:cstheme="majorBidi"/>
          <w:sz w:val="16"/>
          <w:szCs w:val="16"/>
        </w:rPr>
        <w:t xml:space="preserve"> </w:t>
      </w:r>
      <w:r w:rsidRPr="00F43F69">
        <w:rPr>
          <w:rFonts w:asciiTheme="majorBidi" w:eastAsia="Times New Roman" w:hAnsiTheme="majorBidi" w:cstheme="majorBidi"/>
          <w:bCs/>
          <w:iCs/>
          <w:sz w:val="16"/>
          <w:szCs w:val="16"/>
          <w:lang w:val="ro-RO" w:eastAsia="ru-RU"/>
        </w:rPr>
        <w:t>În anul 2021 - 119,9 mii lei</w:t>
      </w:r>
      <w:r>
        <w:rPr>
          <w:rFonts w:asciiTheme="majorBidi" w:eastAsia="Times New Roman" w:hAnsiTheme="majorBidi" w:cstheme="majorBidi"/>
          <w:bCs/>
          <w:iCs/>
          <w:sz w:val="16"/>
          <w:szCs w:val="16"/>
          <w:lang w:val="ro-RO" w:eastAsia="ru-RU"/>
        </w:rPr>
        <w:t xml:space="preserve">, </w:t>
      </w:r>
      <w:r w:rsidRPr="00F43F69">
        <w:rPr>
          <w:rFonts w:asciiTheme="majorBidi" w:eastAsia="Times New Roman" w:hAnsiTheme="majorBidi" w:cstheme="majorBidi"/>
          <w:bCs/>
          <w:iCs/>
          <w:sz w:val="16"/>
          <w:szCs w:val="16"/>
          <w:lang w:val="ro-RO" w:eastAsia="ru-RU"/>
        </w:rPr>
        <w:t>și în anul 2022 - 162,5 mii lei.</w:t>
      </w:r>
    </w:p>
  </w:footnote>
  <w:footnote w:id="83">
    <w:p w14:paraId="6EDA3F7A" w14:textId="12CB84DC" w:rsidR="00C242C2" w:rsidRPr="00F43F69" w:rsidRDefault="00C242C2" w:rsidP="00877C86">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eastAsia="Times New Roman" w:hAnsi="Times New Roman" w:cs="Times New Roman"/>
          <w:bCs/>
          <w:iCs/>
          <w:sz w:val="16"/>
          <w:szCs w:val="16"/>
          <w:lang w:val="ro-RO" w:eastAsia="ru-RU"/>
        </w:rPr>
        <w:t>În anul 2021 - 131,0 mii lei</w:t>
      </w:r>
      <w:r>
        <w:rPr>
          <w:rFonts w:ascii="Times New Roman" w:eastAsia="Times New Roman" w:hAnsi="Times New Roman" w:cs="Times New Roman"/>
          <w:bCs/>
          <w:iCs/>
          <w:sz w:val="16"/>
          <w:szCs w:val="16"/>
          <w:lang w:val="ro-RO" w:eastAsia="ru-RU"/>
        </w:rPr>
        <w:t>,</w:t>
      </w:r>
      <w:r w:rsidRPr="00F43F69">
        <w:rPr>
          <w:rFonts w:ascii="Times New Roman" w:eastAsia="Times New Roman" w:hAnsi="Times New Roman" w:cs="Times New Roman"/>
          <w:bCs/>
          <w:iCs/>
          <w:sz w:val="16"/>
          <w:szCs w:val="16"/>
          <w:lang w:val="ro-RO" w:eastAsia="ru-RU"/>
        </w:rPr>
        <w:t xml:space="preserve"> și în anul 2022 - 101,9 mii lei.</w:t>
      </w:r>
    </w:p>
  </w:footnote>
  <w:footnote w:id="84">
    <w:p w14:paraId="45C2295A" w14:textId="35A086CA" w:rsidR="00C242C2" w:rsidRPr="00F43F69" w:rsidRDefault="00C242C2" w:rsidP="00877C86">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eastAsia="Times New Roman" w:hAnsi="Times New Roman" w:cs="Times New Roman"/>
          <w:bCs/>
          <w:iCs/>
          <w:sz w:val="16"/>
          <w:szCs w:val="16"/>
          <w:lang w:val="ro-RO" w:eastAsia="ru-RU"/>
        </w:rPr>
        <w:t>În anul 2021 - 51,7 mii lei</w:t>
      </w:r>
      <w:r>
        <w:rPr>
          <w:rFonts w:ascii="Times New Roman" w:eastAsia="Times New Roman" w:hAnsi="Times New Roman" w:cs="Times New Roman"/>
          <w:bCs/>
          <w:iCs/>
          <w:sz w:val="16"/>
          <w:szCs w:val="16"/>
          <w:lang w:val="ro-RO" w:eastAsia="ru-RU"/>
        </w:rPr>
        <w:t>,</w:t>
      </w:r>
      <w:r w:rsidRPr="00F43F69">
        <w:rPr>
          <w:rFonts w:ascii="Times New Roman" w:eastAsia="Times New Roman" w:hAnsi="Times New Roman" w:cs="Times New Roman"/>
          <w:bCs/>
          <w:iCs/>
          <w:sz w:val="16"/>
          <w:szCs w:val="16"/>
          <w:lang w:val="ro-RO" w:eastAsia="ru-RU"/>
        </w:rPr>
        <w:t xml:space="preserve"> și în anul 2022 - 48,8 mii lei.</w:t>
      </w:r>
    </w:p>
  </w:footnote>
  <w:footnote w:id="85">
    <w:p w14:paraId="44B9402E" w14:textId="69BB13B5" w:rsidR="00C242C2" w:rsidRPr="00F43F69" w:rsidRDefault="00C242C2" w:rsidP="00877C86">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eastAsia="Times New Roman" w:hAnsi="Times New Roman" w:cs="Times New Roman"/>
          <w:bCs/>
          <w:iCs/>
          <w:sz w:val="16"/>
          <w:szCs w:val="16"/>
          <w:lang w:val="ro-RO" w:eastAsia="ru-RU"/>
        </w:rPr>
        <w:t>În anul 2021 - 72,4 mii lei</w:t>
      </w:r>
      <w:r>
        <w:rPr>
          <w:rFonts w:ascii="Times New Roman" w:eastAsia="Times New Roman" w:hAnsi="Times New Roman" w:cs="Times New Roman"/>
          <w:bCs/>
          <w:iCs/>
          <w:sz w:val="16"/>
          <w:szCs w:val="16"/>
          <w:lang w:val="ro-RO" w:eastAsia="ru-RU"/>
        </w:rPr>
        <w:t>,</w:t>
      </w:r>
      <w:r w:rsidRPr="00F43F69">
        <w:rPr>
          <w:rFonts w:ascii="Times New Roman" w:eastAsia="Times New Roman" w:hAnsi="Times New Roman" w:cs="Times New Roman"/>
          <w:bCs/>
          <w:iCs/>
          <w:sz w:val="16"/>
          <w:szCs w:val="16"/>
          <w:lang w:val="ro-RO" w:eastAsia="ru-RU"/>
        </w:rPr>
        <w:t xml:space="preserve"> și în anul 2022 - 36,3 mii lei. </w:t>
      </w:r>
    </w:p>
  </w:footnote>
  <w:footnote w:id="86">
    <w:p w14:paraId="11E0006D" w14:textId="454A1CDB" w:rsidR="00C242C2" w:rsidRPr="00F43F69" w:rsidRDefault="00C242C2" w:rsidP="00877C86">
      <w:pPr>
        <w:pStyle w:val="a3"/>
        <w:jc w:val="both"/>
        <w:rPr>
          <w:sz w:val="16"/>
          <w:szCs w:val="16"/>
          <w:lang w:val="ro-RO"/>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eastAsia="Times New Roman" w:hAnsi="Times New Roman" w:cs="Times New Roman"/>
          <w:bCs/>
          <w:iCs/>
          <w:sz w:val="16"/>
          <w:szCs w:val="16"/>
          <w:lang w:val="ro-RO" w:eastAsia="ru-RU"/>
        </w:rPr>
        <w:t>În anul 2021 - 36,9 mii lei</w:t>
      </w:r>
      <w:r>
        <w:rPr>
          <w:rFonts w:ascii="Times New Roman" w:eastAsia="Times New Roman" w:hAnsi="Times New Roman" w:cs="Times New Roman"/>
          <w:bCs/>
          <w:iCs/>
          <w:sz w:val="16"/>
          <w:szCs w:val="16"/>
          <w:lang w:val="ro-RO" w:eastAsia="ru-RU"/>
        </w:rPr>
        <w:t>,</w:t>
      </w:r>
      <w:r w:rsidRPr="00F43F69">
        <w:rPr>
          <w:rFonts w:ascii="Times New Roman" w:eastAsia="Times New Roman" w:hAnsi="Times New Roman" w:cs="Times New Roman"/>
          <w:bCs/>
          <w:iCs/>
          <w:sz w:val="16"/>
          <w:szCs w:val="16"/>
          <w:lang w:val="ro-RO" w:eastAsia="ru-RU"/>
        </w:rPr>
        <w:t xml:space="preserve"> și în anul 2022 - 12,0 mii lei.</w:t>
      </w:r>
    </w:p>
  </w:footnote>
  <w:footnote w:id="87">
    <w:p w14:paraId="367500B5" w14:textId="28C94BF6" w:rsidR="00C242C2" w:rsidRPr="001E6185" w:rsidRDefault="00C242C2" w:rsidP="000F1110">
      <w:pPr>
        <w:pStyle w:val="a3"/>
        <w:jc w:val="both"/>
        <w:rPr>
          <w:rFonts w:ascii="Times New Roman" w:hAnsi="Times New Roman" w:cs="Times New Roman"/>
          <w:sz w:val="16"/>
          <w:szCs w:val="16"/>
        </w:rPr>
      </w:pPr>
      <w:r w:rsidRPr="00AB6DDC">
        <w:rPr>
          <w:rStyle w:val="a5"/>
          <w:rFonts w:ascii="Times New Roman" w:hAnsi="Times New Roman" w:cs="Times New Roman"/>
          <w:sz w:val="16"/>
          <w:szCs w:val="16"/>
        </w:rPr>
        <w:footnoteRef/>
      </w:r>
      <w:r w:rsidRPr="00AB6DDC">
        <w:rPr>
          <w:rFonts w:ascii="Times New Roman" w:hAnsi="Times New Roman" w:cs="Times New Roman"/>
          <w:sz w:val="16"/>
          <w:szCs w:val="16"/>
        </w:rPr>
        <w:t xml:space="preserve"> </w:t>
      </w:r>
      <w:r w:rsidRPr="00FA6CC7">
        <w:rPr>
          <w:rFonts w:ascii="Times New Roman" w:hAnsi="Times New Roman" w:cs="Times New Roman"/>
          <w:bCs/>
          <w:sz w:val="16"/>
          <w:szCs w:val="16"/>
          <w:lang w:val="ro-RO"/>
        </w:rPr>
        <w:t xml:space="preserve">Anexa nr.2 </w:t>
      </w:r>
      <w:r w:rsidRPr="00FA6CC7">
        <w:rPr>
          <w:rFonts w:ascii="Times New Roman" w:hAnsi="Times New Roman" w:cs="Times New Roman"/>
          <w:bCs/>
          <w:sz w:val="16"/>
          <w:szCs w:val="16"/>
        </w:rPr>
        <w:t xml:space="preserve">„Regulamentul privind calcularea salariului” </w:t>
      </w:r>
      <w:r w:rsidRPr="00FA6CC7">
        <w:rPr>
          <w:rFonts w:ascii="Times New Roman" w:hAnsi="Times New Roman" w:cs="Times New Roman"/>
          <w:bCs/>
          <w:sz w:val="16"/>
          <w:szCs w:val="16"/>
          <w:lang w:val="ro-RO"/>
        </w:rPr>
        <w:t>la Contractul colectiv de muncă aprobată de către directorul general în redacție nouă în data de 01.01.2024, după care s-a stabilit intervalul valoric</w:t>
      </w:r>
      <w:r w:rsidRPr="00FA6CC7">
        <w:rPr>
          <w:rFonts w:ascii="Times New Roman" w:hAnsi="Times New Roman" w:cs="Times New Roman"/>
          <w:sz w:val="16"/>
          <w:szCs w:val="16"/>
          <w:lang w:val="ro-RO"/>
        </w:rPr>
        <w:t xml:space="preserve"> pentru calcularea salariului tarifar/de funcție.</w:t>
      </w:r>
      <w:r>
        <w:rPr>
          <w:rFonts w:ascii="Times New Roman" w:hAnsi="Times New Roman" w:cs="Times New Roman"/>
          <w:sz w:val="16"/>
          <w:szCs w:val="16"/>
          <w:lang w:val="ro-RO"/>
        </w:rPr>
        <w:t xml:space="preserve"> </w:t>
      </w:r>
    </w:p>
  </w:footnote>
  <w:footnote w:id="88">
    <w:p w14:paraId="56AA0FF2" w14:textId="77777777" w:rsidR="00C242C2" w:rsidRPr="00F43F69" w:rsidRDefault="00C242C2" w:rsidP="0003314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Mărimea: în funcție de volumul de lucru executat, poate fi folosită toată economia fondului de salariu, obținută de la disponibilizarea personalului.</w:t>
      </w:r>
    </w:p>
  </w:footnote>
  <w:footnote w:id="89">
    <w:p w14:paraId="55328BE2" w14:textId="77777777" w:rsidR="00C242C2" w:rsidRPr="00F43F69" w:rsidRDefault="00C242C2" w:rsidP="0003314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Funcție liberă, fără titular.</w:t>
      </w:r>
    </w:p>
  </w:footnote>
  <w:footnote w:id="90">
    <w:p w14:paraId="0F2D3632" w14:textId="77777777" w:rsidR="00C242C2" w:rsidRPr="00F43F69" w:rsidRDefault="00C242C2" w:rsidP="0003314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În caz de boală sau traumatism, concediu de studii, concediu neplătit, detașare la alt loc de muncă sau pe perioada stabilită de legislație în cazul concediului de maternitate, când salariatului i se păstrează locul de muncă, iar raporturile de serviciu nu au fost suspendate.</w:t>
      </w:r>
    </w:p>
  </w:footnote>
  <w:footnote w:id="91">
    <w:p w14:paraId="7B28F6EF" w14:textId="00010736" w:rsidR="00C242C2" w:rsidRPr="00F43F69" w:rsidRDefault="00C242C2" w:rsidP="00BF034D">
      <w:pPr>
        <w:pStyle w:val="a3"/>
        <w:jc w:val="both"/>
        <w:rPr>
          <w:rFonts w:asciiTheme="majorBidi" w:hAnsiTheme="majorBidi" w:cstheme="majorBidi"/>
          <w:sz w:val="16"/>
          <w:szCs w:val="16"/>
          <w:lang w:val="ro-RO"/>
        </w:rPr>
      </w:pPr>
      <w:r w:rsidRPr="00F43F69">
        <w:rPr>
          <w:rStyle w:val="a5"/>
          <w:rFonts w:asciiTheme="majorBidi" w:hAnsiTheme="majorBidi" w:cstheme="majorBidi"/>
          <w:sz w:val="16"/>
          <w:szCs w:val="16"/>
        </w:rPr>
        <w:footnoteRef/>
      </w:r>
      <w:r w:rsidRPr="00F43F69">
        <w:rPr>
          <w:rFonts w:asciiTheme="majorBidi" w:hAnsiTheme="majorBidi" w:cstheme="majorBidi"/>
          <w:sz w:val="16"/>
          <w:szCs w:val="16"/>
        </w:rPr>
        <w:t xml:space="preserve"> </w:t>
      </w:r>
      <w:r w:rsidRPr="00F43F69">
        <w:rPr>
          <w:rFonts w:asciiTheme="majorBidi" w:eastAsia="Times New Roman" w:hAnsiTheme="majorBidi" w:cstheme="majorBidi"/>
          <w:bCs/>
          <w:iCs/>
          <w:sz w:val="16"/>
          <w:szCs w:val="16"/>
          <w:lang w:eastAsia="ru-RU"/>
        </w:rPr>
        <w:t>Î</w:t>
      </w:r>
      <w:r w:rsidRPr="00F43F69">
        <w:rPr>
          <w:rFonts w:asciiTheme="majorBidi" w:eastAsia="Times New Roman" w:hAnsiTheme="majorBidi" w:cstheme="majorBidi"/>
          <w:bCs/>
          <w:iCs/>
          <w:sz w:val="16"/>
          <w:szCs w:val="16"/>
          <w:lang w:val="ro-RO" w:eastAsia="ru-RU"/>
        </w:rPr>
        <w:t>n anul 2021 - 200,1 mii lei (pentru 126 de salariați)</w:t>
      </w:r>
      <w:r>
        <w:rPr>
          <w:rFonts w:asciiTheme="majorBidi" w:eastAsia="Times New Roman" w:hAnsiTheme="majorBidi" w:cstheme="majorBidi"/>
          <w:bCs/>
          <w:iCs/>
          <w:sz w:val="16"/>
          <w:szCs w:val="16"/>
          <w:lang w:val="ro-RO" w:eastAsia="ru-RU"/>
        </w:rPr>
        <w:t>,</w:t>
      </w:r>
      <w:r w:rsidRPr="00F43F69">
        <w:rPr>
          <w:rFonts w:asciiTheme="majorBidi" w:eastAsia="Times New Roman" w:hAnsiTheme="majorBidi" w:cstheme="majorBidi"/>
          <w:bCs/>
          <w:iCs/>
          <w:sz w:val="16"/>
          <w:szCs w:val="16"/>
          <w:lang w:val="ro-RO" w:eastAsia="ru-RU"/>
        </w:rPr>
        <w:t xml:space="preserve"> și în anul 2022 - 486,7 mii lei (pentru 187 de salariați)</w:t>
      </w:r>
      <w:r>
        <w:rPr>
          <w:rFonts w:asciiTheme="majorBidi" w:eastAsia="Times New Roman" w:hAnsiTheme="majorBidi" w:cstheme="majorBidi"/>
          <w:bCs/>
          <w:iCs/>
          <w:sz w:val="16"/>
          <w:szCs w:val="16"/>
          <w:lang w:val="ro-RO" w:eastAsia="ru-RU"/>
        </w:rPr>
        <w:t>.</w:t>
      </w:r>
    </w:p>
  </w:footnote>
  <w:footnote w:id="92">
    <w:p w14:paraId="5484CE84" w14:textId="61F0A261" w:rsidR="00C242C2" w:rsidRPr="00F43F69" w:rsidRDefault="00C242C2" w:rsidP="0003314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Total, anul 2021 -</w:t>
      </w:r>
      <w:r w:rsidRPr="00F43F69">
        <w:rPr>
          <w:rFonts w:ascii="Times New Roman" w:hAnsi="Times New Roman" w:cs="Times New Roman"/>
          <w:bCs/>
          <w:sz w:val="16"/>
          <w:szCs w:val="16"/>
          <w:lang w:val="ro-RO"/>
        </w:rPr>
        <w:t xml:space="preserve"> 164.903,6 mii lei, anul 2022 – 176.041,6 mii lei. </w:t>
      </w:r>
      <w:r w:rsidRPr="00F43F69">
        <w:rPr>
          <w:rFonts w:ascii="Times New Roman" w:hAnsi="Times New Roman" w:cs="Times New Roman"/>
          <w:sz w:val="16"/>
          <w:szCs w:val="16"/>
          <w:lang w:val="ro-RO"/>
        </w:rPr>
        <w:t xml:space="preserve">Plățile pentru: vechimea în muncă; clasa de calificare la șofer; mărirea volumului de muncă; înlocuirea funcției; cumularea funcției; orele de noapte; zilele de repaus, zilele de sărbători și lucrul extraprogram; păstrarea salariului mediu la deplasare, </w:t>
      </w:r>
      <w:r w:rsidR="008D2840" w:rsidRPr="005208BB">
        <w:rPr>
          <w:rFonts w:ascii="Times New Roman" w:hAnsi="Times New Roman" w:cs="Times New Roman"/>
          <w:sz w:val="16"/>
          <w:szCs w:val="16"/>
          <w:lang w:val="ro-RO"/>
        </w:rPr>
        <w:t>donatorii</w:t>
      </w:r>
      <w:r w:rsidRPr="005208BB">
        <w:rPr>
          <w:rFonts w:ascii="Times New Roman" w:hAnsi="Times New Roman" w:cs="Times New Roman"/>
          <w:sz w:val="16"/>
          <w:szCs w:val="16"/>
          <w:lang w:val="ro-RO"/>
        </w:rPr>
        <w:t xml:space="preserve"> </w:t>
      </w:r>
      <w:r w:rsidR="00CC4D54" w:rsidRPr="005208BB">
        <w:rPr>
          <w:rFonts w:ascii="Times New Roman" w:hAnsi="Times New Roman" w:cs="Times New Roman"/>
          <w:sz w:val="16"/>
          <w:szCs w:val="16"/>
          <w:lang w:val="ro-RO"/>
        </w:rPr>
        <w:t>de sânge</w:t>
      </w:r>
      <w:r w:rsidRPr="005208BB">
        <w:rPr>
          <w:rFonts w:ascii="Times New Roman" w:hAnsi="Times New Roman" w:cs="Times New Roman"/>
          <w:sz w:val="16"/>
          <w:szCs w:val="16"/>
          <w:lang w:val="ro-RO"/>
        </w:rPr>
        <w:t xml:space="preserve">; </w:t>
      </w:r>
      <w:r w:rsidR="004B5E19" w:rsidRPr="005208BB">
        <w:rPr>
          <w:rFonts w:ascii="Times New Roman" w:hAnsi="Times New Roman" w:cs="Times New Roman"/>
          <w:sz w:val="16"/>
          <w:szCs w:val="16"/>
          <w:lang w:val="ro-RO"/>
        </w:rPr>
        <w:t xml:space="preserve">staționarea de producție; </w:t>
      </w:r>
      <w:r w:rsidRPr="005208BB">
        <w:rPr>
          <w:rFonts w:ascii="Times New Roman" w:hAnsi="Times New Roman" w:cs="Times New Roman"/>
          <w:sz w:val="16"/>
          <w:szCs w:val="16"/>
          <w:lang w:val="ro-RO"/>
        </w:rPr>
        <w:t>condițiile vătămătoare de lucru.</w:t>
      </w:r>
      <w:r w:rsidRPr="00F43F69">
        <w:rPr>
          <w:rFonts w:ascii="Times New Roman" w:hAnsi="Times New Roman" w:cs="Times New Roman"/>
          <w:sz w:val="16"/>
          <w:szCs w:val="16"/>
          <w:lang w:val="ro-RO"/>
        </w:rPr>
        <w:t xml:space="preserve"> </w:t>
      </w:r>
    </w:p>
  </w:footnote>
  <w:footnote w:id="93">
    <w:p w14:paraId="68A37447" w14:textId="77777777" w:rsidR="00C242C2" w:rsidRPr="00F43F69" w:rsidRDefault="00C242C2" w:rsidP="00033141">
      <w:pPr>
        <w:pStyle w:val="a3"/>
        <w:jc w:val="both"/>
        <w:rPr>
          <w:rFonts w:ascii="Times New Roman" w:hAnsi="Times New Roman" w:cs="Times New Roman"/>
          <w:sz w:val="16"/>
          <w:szCs w:val="16"/>
          <w:lang w:val="en-US"/>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Adaosurile și sporurile la salariul de bază, alte plăți garantate și premii curente, care se stabilesc în conformitate cu rezultatele obținute, condițiile de muncă concrete.</w:t>
      </w:r>
    </w:p>
  </w:footnote>
  <w:footnote w:id="94">
    <w:p w14:paraId="61B0B6C3" w14:textId="0EB712DC" w:rsidR="00C242C2" w:rsidRPr="00F43F69" w:rsidRDefault="00C242C2" w:rsidP="0003314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Convenția Colectivă la nivelul sectorului electroenergetic al economiei naționale</w:t>
      </w:r>
      <w:r w:rsidRPr="00F43F69">
        <w:rPr>
          <w:rFonts w:ascii="Times New Roman" w:hAnsi="Times New Roman" w:cs="Times New Roman"/>
          <w:b/>
          <w:bCs/>
          <w:sz w:val="16"/>
          <w:szCs w:val="16"/>
          <w:lang w:val="ro-RO"/>
        </w:rPr>
        <w:t xml:space="preserve"> </w:t>
      </w:r>
      <w:r w:rsidRPr="00F43F69">
        <w:rPr>
          <w:rFonts w:ascii="Times New Roman" w:hAnsi="Times New Roman" w:cs="Times New Roman"/>
          <w:bCs/>
          <w:sz w:val="16"/>
          <w:szCs w:val="16"/>
          <w:lang w:val="ro-RO"/>
        </w:rPr>
        <w:t>din Republica Moldova pentru anii 2010-2015”</w:t>
      </w:r>
      <w:r w:rsidRPr="00F43F69">
        <w:rPr>
          <w:rFonts w:ascii="Times New Roman" w:hAnsi="Times New Roman" w:cs="Times New Roman"/>
          <w:sz w:val="16"/>
          <w:szCs w:val="16"/>
          <w:lang w:val="ro-RO"/>
        </w:rPr>
        <w:t>, publicată în Monitorul Oficial nr.116-119/400 din 28.07.2006 (cu prelungirea automată în fiecare an, în cazul în care nu a fost reziliată de către părțile contractante).</w:t>
      </w:r>
    </w:p>
  </w:footnote>
  <w:footnote w:id="95">
    <w:p w14:paraId="2DDB96F5" w14:textId="77777777" w:rsidR="00C242C2" w:rsidRPr="00F43F69" w:rsidRDefault="00C242C2" w:rsidP="009C36F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În redacția ultimelor modificări operate prin Legea nr.271 din 23.11.2018.</w:t>
      </w:r>
    </w:p>
  </w:footnote>
  <w:footnote w:id="96">
    <w:p w14:paraId="28DAAE45" w14:textId="77777777" w:rsidR="00C242C2" w:rsidRPr="00F43F69" w:rsidRDefault="00C242C2" w:rsidP="009F63F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Publicată în Monitorul Oficial nr.30-34/268 din 20.02.2004 (cu modificările ulterioare).</w:t>
      </w:r>
    </w:p>
  </w:footnote>
  <w:footnote w:id="97">
    <w:p w14:paraId="7AFFB1FE" w14:textId="77777777" w:rsidR="00C242C2" w:rsidRPr="00F43F69" w:rsidRDefault="00C242C2" w:rsidP="009F63F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 xml:space="preserve">Hotărârea Guvernului </w:t>
      </w:r>
      <w:r w:rsidRPr="00F43F69">
        <w:rPr>
          <w:rFonts w:ascii="Times New Roman" w:hAnsi="Times New Roman" w:cs="Times New Roman"/>
          <w:sz w:val="16"/>
          <w:szCs w:val="16"/>
          <w:lang w:val="ro-RO"/>
        </w:rPr>
        <w:t>nr.550 din 09.07.2014 „Privind stabilirea cuantumului salariului minim pe țară”.</w:t>
      </w:r>
    </w:p>
  </w:footnote>
  <w:footnote w:id="98">
    <w:p w14:paraId="3E5C4739" w14:textId="1740D27F" w:rsidR="00C242C2" w:rsidRPr="00F43F69" w:rsidRDefault="00C242C2" w:rsidP="009F63F4">
      <w:pPr>
        <w:pStyle w:val="a3"/>
        <w:jc w:val="both"/>
        <w:rPr>
          <w:rFonts w:ascii="Times New Roman" w:hAnsi="Times New Roman" w:cs="Times New Roman"/>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Conform prevederilor </w:t>
      </w:r>
      <w:r w:rsidRPr="00F43F69">
        <w:rPr>
          <w:rFonts w:ascii="Times New Roman" w:hAnsi="Times New Roman" w:cs="Times New Roman"/>
          <w:bCs/>
          <w:sz w:val="16"/>
          <w:szCs w:val="16"/>
          <w:lang w:val="ro-RO"/>
        </w:rPr>
        <w:t>Hotărârii Guvernului nr.165 din 09.03.2010 (până la aprobarea HG nr.670 din 29.09.2022, după care, de la data de 01.01.2023, salariul minim pe țară a constituit valoarea de 4000,00 lei</w:t>
      </w:r>
      <w:r w:rsidRPr="00F43F69">
        <w:rPr>
          <w:rFonts w:ascii="Times New Roman" w:hAnsi="Times New Roman" w:cs="Times New Roman"/>
          <w:bCs/>
          <w:iCs/>
          <w:sz w:val="16"/>
          <w:szCs w:val="16"/>
          <w:lang w:val="ro-RO"/>
        </w:rPr>
        <w:t>).</w:t>
      </w:r>
    </w:p>
  </w:footnote>
  <w:footnote w:id="99">
    <w:p w14:paraId="7525298D" w14:textId="77777777" w:rsidR="00C242C2" w:rsidRPr="00F43F69" w:rsidRDefault="00C242C2" w:rsidP="009F63F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Calcul estimativ, reieșind din programul complet de lucru în medie de 169 de ore pe lună.</w:t>
      </w:r>
    </w:p>
  </w:footnote>
  <w:footnote w:id="100">
    <w:p w14:paraId="2DB7E9E1" w14:textId="57CDF121" w:rsidR="00C242C2" w:rsidRPr="00F43F69" w:rsidRDefault="00C242C2" w:rsidP="009F63F4">
      <w:pPr>
        <w:pStyle w:val="a3"/>
        <w:jc w:val="both"/>
        <w:rPr>
          <w:rFonts w:asciiTheme="majorBidi" w:hAnsiTheme="majorBidi" w:cstheme="majorBidi"/>
          <w:sz w:val="16"/>
          <w:szCs w:val="16"/>
          <w:lang w:val="ro-RO"/>
        </w:rPr>
      </w:pPr>
      <w:r w:rsidRPr="00F43F69">
        <w:rPr>
          <w:rStyle w:val="a5"/>
          <w:rFonts w:asciiTheme="majorBidi" w:hAnsiTheme="majorBidi" w:cstheme="majorBidi"/>
          <w:sz w:val="16"/>
          <w:szCs w:val="16"/>
        </w:rPr>
        <w:footnoteRef/>
      </w:r>
      <w:r w:rsidRPr="00F43F69">
        <w:rPr>
          <w:rFonts w:asciiTheme="majorBidi" w:hAnsiTheme="majorBidi" w:cstheme="majorBidi"/>
          <w:sz w:val="16"/>
          <w:szCs w:val="16"/>
        </w:rPr>
        <w:t xml:space="preserve"> </w:t>
      </w:r>
      <w:r w:rsidRPr="00F43F69">
        <w:rPr>
          <w:rFonts w:asciiTheme="majorBidi" w:eastAsia="Times New Roman" w:hAnsiTheme="majorBidi" w:cstheme="majorBidi"/>
          <w:bCs/>
          <w:iCs/>
          <w:sz w:val="16"/>
          <w:szCs w:val="16"/>
          <w:lang w:eastAsia="ru-RU"/>
        </w:rPr>
        <w:t>Î</w:t>
      </w:r>
      <w:r w:rsidRPr="00F43F69">
        <w:rPr>
          <w:rFonts w:asciiTheme="majorBidi" w:eastAsia="Times New Roman" w:hAnsiTheme="majorBidi" w:cstheme="majorBidi"/>
          <w:bCs/>
          <w:iCs/>
          <w:sz w:val="16"/>
          <w:szCs w:val="16"/>
          <w:lang w:val="ro-RO" w:eastAsia="ru-RU"/>
        </w:rPr>
        <w:t>n anul 2021 - 215,0 mii lei (412 salariați)</w:t>
      </w:r>
      <w:r>
        <w:rPr>
          <w:rFonts w:asciiTheme="majorBidi" w:eastAsia="Times New Roman" w:hAnsiTheme="majorBidi" w:cstheme="majorBidi"/>
          <w:bCs/>
          <w:iCs/>
          <w:sz w:val="16"/>
          <w:szCs w:val="16"/>
          <w:lang w:val="ro-RO" w:eastAsia="ru-RU"/>
        </w:rPr>
        <w:t>,</w:t>
      </w:r>
      <w:r w:rsidRPr="00F43F69">
        <w:rPr>
          <w:rFonts w:asciiTheme="majorBidi" w:eastAsia="Times New Roman" w:hAnsiTheme="majorBidi" w:cstheme="majorBidi"/>
          <w:bCs/>
          <w:iCs/>
          <w:sz w:val="16"/>
          <w:szCs w:val="16"/>
          <w:lang w:val="ro-RO" w:eastAsia="ru-RU"/>
        </w:rPr>
        <w:t xml:space="preserve"> și în anul 2022 - 335,3 mii lei (457 </w:t>
      </w:r>
      <w:r>
        <w:rPr>
          <w:rFonts w:asciiTheme="majorBidi" w:eastAsia="Times New Roman" w:hAnsiTheme="majorBidi" w:cstheme="majorBidi"/>
          <w:bCs/>
          <w:iCs/>
          <w:sz w:val="16"/>
          <w:szCs w:val="16"/>
          <w:lang w:val="ro-RO" w:eastAsia="ru-RU"/>
        </w:rPr>
        <w:t xml:space="preserve">de </w:t>
      </w:r>
      <w:r w:rsidRPr="00F43F69">
        <w:rPr>
          <w:rFonts w:asciiTheme="majorBidi" w:eastAsia="Times New Roman" w:hAnsiTheme="majorBidi" w:cstheme="majorBidi"/>
          <w:bCs/>
          <w:iCs/>
          <w:sz w:val="16"/>
          <w:szCs w:val="16"/>
          <w:lang w:val="ro-RO" w:eastAsia="ru-RU"/>
        </w:rPr>
        <w:t>salariați).</w:t>
      </w:r>
    </w:p>
  </w:footnote>
  <w:footnote w:id="101">
    <w:p w14:paraId="72052E85" w14:textId="77777777" w:rsidR="00C242C2" w:rsidRPr="00F43F69" w:rsidRDefault="00C242C2" w:rsidP="002E3F0B">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Stare psiho-emoțională: reacție afectivă de intensitate mijlocie și de durată relativ scurtă, însoțită adesea de modificări în activitățile organismului, oglindind atitudinea individului față de realitate -</w:t>
      </w:r>
      <w:r w:rsidRPr="00F43F69">
        <w:rPr>
          <w:rFonts w:ascii="Times New Roman" w:hAnsi="Times New Roman" w:cs="Times New Roman"/>
          <w:i/>
          <w:iCs/>
          <w:sz w:val="16"/>
          <w:szCs w:val="16"/>
          <w:lang w:val="ro-RO"/>
        </w:rPr>
        <w:t> </w:t>
      </w:r>
      <w:r w:rsidRPr="00F43F69">
        <w:rPr>
          <w:rFonts w:ascii="Times New Roman" w:hAnsi="Times New Roman" w:cs="Times New Roman"/>
          <w:iCs/>
          <w:sz w:val="16"/>
          <w:szCs w:val="16"/>
          <w:lang w:val="ro-RO"/>
        </w:rPr>
        <w:t>spaima, mânia, neliniștea</w:t>
      </w:r>
      <w:r w:rsidRPr="00F43F69">
        <w:rPr>
          <w:rFonts w:ascii="Times New Roman" w:hAnsi="Times New Roman" w:cs="Times New Roman"/>
          <w:bCs/>
          <w:iCs/>
          <w:sz w:val="16"/>
          <w:szCs w:val="16"/>
          <w:lang w:val="ro-RO"/>
        </w:rPr>
        <w:t> </w:t>
      </w:r>
      <w:r w:rsidRPr="00F43F69">
        <w:rPr>
          <w:rFonts w:ascii="Times New Roman" w:hAnsi="Times New Roman" w:cs="Times New Roman"/>
          <w:iCs/>
          <w:sz w:val="16"/>
          <w:szCs w:val="16"/>
          <w:lang w:val="ro-RO"/>
        </w:rPr>
        <w:t>și </w:t>
      </w:r>
      <w:r w:rsidRPr="00F43F69">
        <w:rPr>
          <w:rFonts w:ascii="Times New Roman" w:hAnsi="Times New Roman" w:cs="Times New Roman"/>
          <w:bCs/>
          <w:iCs/>
          <w:sz w:val="16"/>
          <w:szCs w:val="16"/>
          <w:lang w:val="ro-RO"/>
        </w:rPr>
        <w:t>bucuria</w:t>
      </w:r>
      <w:r w:rsidRPr="00F43F69">
        <w:rPr>
          <w:rFonts w:ascii="Times New Roman" w:hAnsi="Times New Roman" w:cs="Times New Roman"/>
          <w:iCs/>
          <w:sz w:val="16"/>
          <w:szCs w:val="16"/>
          <w:lang w:val="ro-RO"/>
        </w:rPr>
        <w:t>.</w:t>
      </w:r>
    </w:p>
  </w:footnote>
  <w:footnote w:id="102">
    <w:p w14:paraId="4A8C201A" w14:textId="3612715B" w:rsidR="00C242C2" w:rsidRPr="00F43F69" w:rsidRDefault="00C242C2" w:rsidP="00745FE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Acordat următoarelor categorii de salariați: directorul general și directori</w:t>
      </w:r>
      <w:r>
        <w:rPr>
          <w:rFonts w:ascii="Times New Roman" w:hAnsi="Times New Roman" w:cs="Times New Roman"/>
          <w:sz w:val="16"/>
          <w:szCs w:val="16"/>
          <w:lang w:val="ro-RO"/>
        </w:rPr>
        <w:t xml:space="preserve">i </w:t>
      </w:r>
      <w:r w:rsidRPr="00F43F69">
        <w:rPr>
          <w:rFonts w:ascii="Times New Roman" w:hAnsi="Times New Roman" w:cs="Times New Roman"/>
          <w:sz w:val="16"/>
          <w:szCs w:val="16"/>
          <w:lang w:val="ro-RO"/>
        </w:rPr>
        <w:t>de subdiviziuni; contabilul</w:t>
      </w:r>
      <w:r>
        <w:rPr>
          <w:rFonts w:ascii="Times New Roman" w:hAnsi="Times New Roman" w:cs="Times New Roman"/>
          <w:sz w:val="16"/>
          <w:szCs w:val="16"/>
          <w:lang w:val="ro-RO"/>
        </w:rPr>
        <w:t>-</w:t>
      </w:r>
      <w:r w:rsidRPr="00F43F69">
        <w:rPr>
          <w:rFonts w:ascii="Times New Roman" w:hAnsi="Times New Roman" w:cs="Times New Roman"/>
          <w:sz w:val="16"/>
          <w:szCs w:val="16"/>
          <w:lang w:val="ro-RO"/>
        </w:rPr>
        <w:t>șef; șefii de subdiviziuni interioare și oficii teritoriale; maiștri</w:t>
      </w:r>
      <w:r>
        <w:rPr>
          <w:rFonts w:ascii="Times New Roman" w:hAnsi="Times New Roman" w:cs="Times New Roman"/>
          <w:sz w:val="16"/>
          <w:szCs w:val="16"/>
          <w:lang w:val="ro-RO"/>
        </w:rPr>
        <w:t>i</w:t>
      </w:r>
      <w:r w:rsidRPr="00F43F69">
        <w:rPr>
          <w:rFonts w:ascii="Times New Roman" w:hAnsi="Times New Roman" w:cs="Times New Roman"/>
          <w:sz w:val="16"/>
          <w:szCs w:val="16"/>
          <w:lang w:val="ro-RO"/>
        </w:rPr>
        <w:t>; dispecerii; funcționarii informații clienți; inginerii; tehnicienii; economiștii; specialiștii resurse umane; juriștii; specialiștii securitate și sănătate în muncă; administratorii de sisteme informaționale; contabilii; auditorii interni; inspectorii pe securitate; administratorii de baze de date; agenții de aprovizionare; specialiștii achiziții publice; administratorii rețelelor de comunicație; secretarul; operatorii la introducerea și validarea datelor; felcerul.</w:t>
      </w:r>
    </w:p>
  </w:footnote>
  <w:footnote w:id="103">
    <w:p w14:paraId="6D0FD201" w14:textId="43578BA4" w:rsidR="00C242C2" w:rsidRPr="00F43F69" w:rsidRDefault="00C242C2" w:rsidP="00E03A8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Calcul</w:t>
      </w:r>
      <w:r>
        <w:rPr>
          <w:rFonts w:ascii="Times New Roman" w:hAnsi="Times New Roman" w:cs="Times New Roman"/>
          <w:sz w:val="16"/>
          <w:szCs w:val="16"/>
          <w:lang w:val="ro-RO"/>
        </w:rPr>
        <w:t>e</w:t>
      </w:r>
      <w:r w:rsidRPr="00F43F69">
        <w:rPr>
          <w:rFonts w:ascii="Times New Roman" w:hAnsi="Times New Roman" w:cs="Times New Roman"/>
          <w:sz w:val="16"/>
          <w:szCs w:val="16"/>
          <w:lang w:val="ro-RO"/>
        </w:rPr>
        <w:t xml:space="preserve"> estimative doar pentru zilele de concediu de peste 35 </w:t>
      </w:r>
      <w:r>
        <w:rPr>
          <w:rFonts w:ascii="Times New Roman" w:hAnsi="Times New Roman" w:cs="Times New Roman"/>
          <w:sz w:val="16"/>
          <w:szCs w:val="16"/>
          <w:lang w:val="ro-RO"/>
        </w:rPr>
        <w:t xml:space="preserve">de </w:t>
      </w:r>
      <w:r w:rsidRPr="00F43F69">
        <w:rPr>
          <w:rFonts w:ascii="Times New Roman" w:hAnsi="Times New Roman" w:cs="Times New Roman"/>
          <w:sz w:val="16"/>
          <w:szCs w:val="16"/>
          <w:lang w:val="ro-RO"/>
        </w:rPr>
        <w:t xml:space="preserve">zile (28 </w:t>
      </w:r>
      <w:r>
        <w:rPr>
          <w:rFonts w:ascii="Times New Roman" w:hAnsi="Times New Roman" w:cs="Times New Roman"/>
          <w:sz w:val="16"/>
          <w:szCs w:val="16"/>
          <w:lang w:val="ro-RO"/>
        </w:rPr>
        <w:t xml:space="preserve">de </w:t>
      </w:r>
      <w:r w:rsidRPr="00F43F69">
        <w:rPr>
          <w:rFonts w:ascii="Times New Roman" w:hAnsi="Times New Roman" w:cs="Times New Roman"/>
          <w:sz w:val="16"/>
          <w:szCs w:val="16"/>
          <w:lang w:val="ro-RO"/>
        </w:rPr>
        <w:t>zile concediu de bază + 7 zile suplimenta</w:t>
      </w:r>
      <w:r>
        <w:rPr>
          <w:rFonts w:ascii="Times New Roman" w:hAnsi="Times New Roman" w:cs="Times New Roman"/>
          <w:sz w:val="16"/>
          <w:szCs w:val="16"/>
          <w:lang w:val="ro-RO"/>
        </w:rPr>
        <w:t>r</w:t>
      </w:r>
      <w:r w:rsidRPr="00F43F69">
        <w:rPr>
          <w:rFonts w:ascii="Times New Roman" w:hAnsi="Times New Roman" w:cs="Times New Roman"/>
          <w:sz w:val="16"/>
          <w:szCs w:val="16"/>
          <w:lang w:val="ro-RO"/>
        </w:rPr>
        <w:t xml:space="preserve">, pentru </w:t>
      </w:r>
      <w:r w:rsidRPr="00F43F69">
        <w:rPr>
          <w:rFonts w:ascii="Times New Roman" w:hAnsi="Times New Roman" w:cs="Times New Roman"/>
          <w:bCs/>
          <w:sz w:val="16"/>
          <w:szCs w:val="16"/>
          <w:lang w:val="ro-RO"/>
        </w:rPr>
        <w:t>efort psiho-emoțional sporit).</w:t>
      </w:r>
    </w:p>
  </w:footnote>
  <w:footnote w:id="104">
    <w:p w14:paraId="2E4FF584" w14:textId="522114A2" w:rsidR="00C242C2" w:rsidRPr="00F43F69" w:rsidRDefault="00C242C2" w:rsidP="001F5C25">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Legea nr.74 din 21.05.2020</w:t>
      </w:r>
      <w:r>
        <w:rPr>
          <w:rFonts w:ascii="Times New Roman" w:hAnsi="Times New Roman" w:cs="Times New Roman"/>
          <w:bCs/>
          <w:sz w:val="16"/>
          <w:szCs w:val="16"/>
          <w:lang w:val="ro-RO"/>
        </w:rPr>
        <w:t xml:space="preserve"> p</w:t>
      </w:r>
      <w:r w:rsidRPr="00F43F69">
        <w:rPr>
          <w:rFonts w:ascii="Times New Roman" w:hAnsi="Times New Roman" w:cs="Times New Roman"/>
          <w:bCs/>
          <w:sz w:val="16"/>
          <w:szCs w:val="16"/>
          <w:lang w:val="ro-RO"/>
        </w:rPr>
        <w:t>rivind achizițiile în sectoarele energeticii, apei, transporturilor și serviciilor poștale.</w:t>
      </w:r>
    </w:p>
  </w:footnote>
  <w:footnote w:id="105">
    <w:p w14:paraId="67F0AD99" w14:textId="6C559500" w:rsidR="00C242C2" w:rsidRPr="00F43F69" w:rsidRDefault="00C242C2" w:rsidP="002815D4">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iCs/>
          <w:sz w:val="16"/>
          <w:szCs w:val="16"/>
          <w:lang w:val="ro-RO"/>
        </w:rPr>
        <w:t>Nu s-au verificat: contoare de energie electrică monofazate cu inducție - 318 unități (4,8 mii lei); contoare de energie electrică monofazate electronice</w:t>
      </w:r>
      <w:r>
        <w:rPr>
          <w:rFonts w:ascii="Times New Roman" w:hAnsi="Times New Roman" w:cs="Times New Roman"/>
          <w:iCs/>
          <w:sz w:val="16"/>
          <w:szCs w:val="16"/>
          <w:lang w:val="ro-RO"/>
        </w:rPr>
        <w:t xml:space="preserve"> </w:t>
      </w:r>
      <w:r w:rsidRPr="00F43F69">
        <w:rPr>
          <w:rFonts w:ascii="Times New Roman" w:hAnsi="Times New Roman" w:cs="Times New Roman"/>
          <w:iCs/>
          <w:sz w:val="16"/>
          <w:szCs w:val="16"/>
          <w:lang w:val="ro-RO"/>
        </w:rPr>
        <w:t xml:space="preserve"> – 12.229 unități (201,3 mii lei); contoare de energie electrică trifazate electronice cu inducție - 778 unități (16,4 mii lei); contoare de energie electrică trifazate electronice multifuncționale - 144 unități (42,2 mii lei); transformatoare de curent 0,4 Kv – 1.200 unități (43,2 mii lei); transformatoare de curent 10 Kv - 200 unități (28,8 mii lei); alte aparate de măsurat - 44 unități (28,8 mii lei).</w:t>
      </w:r>
    </w:p>
  </w:footnote>
  <w:footnote w:id="106">
    <w:p w14:paraId="1740AA64" w14:textId="785C88B9" w:rsidR="00C242C2" w:rsidRPr="00F43F69" w:rsidRDefault="00C242C2" w:rsidP="00745FE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iCs/>
          <w:sz w:val="16"/>
          <w:szCs w:val="16"/>
          <w:lang w:val="ro-RO"/>
        </w:rPr>
        <w:t xml:space="preserve">S-au verificat: contoare de energie electrică monofazate cu inducție – 11.986 </w:t>
      </w:r>
      <w:r>
        <w:rPr>
          <w:rFonts w:ascii="Times New Roman" w:hAnsi="Times New Roman" w:cs="Times New Roman"/>
          <w:iCs/>
          <w:sz w:val="16"/>
          <w:szCs w:val="16"/>
          <w:lang w:val="ro-RO"/>
        </w:rPr>
        <w:t xml:space="preserve">unități </w:t>
      </w:r>
      <w:r w:rsidRPr="00F43F69">
        <w:rPr>
          <w:rFonts w:ascii="Times New Roman" w:hAnsi="Times New Roman" w:cs="Times New Roman"/>
          <w:iCs/>
          <w:sz w:val="16"/>
          <w:szCs w:val="16"/>
          <w:lang w:val="ro-RO"/>
        </w:rPr>
        <w:t xml:space="preserve">(768,1 mii lei); contoare </w:t>
      </w:r>
      <w:r>
        <w:rPr>
          <w:rFonts w:ascii="Times New Roman" w:hAnsi="Times New Roman" w:cs="Times New Roman"/>
          <w:iCs/>
          <w:sz w:val="16"/>
          <w:szCs w:val="16"/>
          <w:lang w:val="ro-RO"/>
        </w:rPr>
        <w:t xml:space="preserve">de </w:t>
      </w:r>
      <w:r w:rsidRPr="00F43F69">
        <w:rPr>
          <w:rFonts w:ascii="Times New Roman" w:hAnsi="Times New Roman" w:cs="Times New Roman"/>
          <w:iCs/>
          <w:sz w:val="16"/>
          <w:szCs w:val="16"/>
          <w:lang w:val="ro-RO"/>
        </w:rPr>
        <w:t xml:space="preserve">energie electrică trifazate cu inducție – 152 unități (17,9 mii lei); contoare de energie electrică trifazate electronice – 1.142 unități (273,8 mii lei).   </w:t>
      </w:r>
    </w:p>
  </w:footnote>
  <w:footnote w:id="107">
    <w:p w14:paraId="26D56FB5" w14:textId="4DA51188" w:rsidR="00C242C2" w:rsidRPr="00F43F69" w:rsidRDefault="00C242C2" w:rsidP="002815D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În cazul a 2 ofertanți, care au participat la procedurile de achiziții publice - </w:t>
      </w:r>
      <w:r w:rsidRPr="00F43F69">
        <w:rPr>
          <w:rFonts w:ascii="Times New Roman" w:hAnsi="Times New Roman" w:cs="Times New Roman"/>
          <w:iCs/>
          <w:sz w:val="16"/>
          <w:szCs w:val="16"/>
          <w:lang w:val="ro-RO"/>
        </w:rPr>
        <w:t>ÎS „CMAC” și SRL „Tehlabservicii”.</w:t>
      </w:r>
    </w:p>
  </w:footnote>
  <w:footnote w:id="108">
    <w:p w14:paraId="652B4121" w14:textId="77777777" w:rsidR="00C242C2" w:rsidRPr="00F43F69" w:rsidRDefault="00C242C2" w:rsidP="002815D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Operatorul economic care îndeplinește în totalitate cerințele documentației de atribuire și criteriile de calificare este considerat candidat calificat pentru evaluarea ofertelor.</w:t>
      </w:r>
    </w:p>
  </w:footnote>
  <w:footnote w:id="109">
    <w:p w14:paraId="476E68AD" w14:textId="348A68BD" w:rsidR="00C242C2" w:rsidRPr="00F43F69" w:rsidRDefault="00C242C2" w:rsidP="00F346D7">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HANRE</w:t>
      </w:r>
      <w:r w:rsidRPr="00F43F69">
        <w:rPr>
          <w:rFonts w:ascii="Times New Roman" w:hAnsi="Times New Roman" w:cs="Times New Roman"/>
          <w:bCs/>
          <w:sz w:val="16"/>
          <w:szCs w:val="16"/>
          <w:lang w:val="ro-RO"/>
        </w:rPr>
        <w:t xml:space="preserve"> nr.24/2017 din 26.01.2017</w:t>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Cu privire la aprobarea Regulamentului privind procedurile de achiziție a bunurilor, lucrărilor și serviciilor utilizate în activitatea titularilor de licență din sectoarele electroenergetic, termoenergetic, gazelor naturale și a operatorilor care furnizează serviciul public de alimentare cu apă și de canalizare”, abrogată prin HANRE nr.305 din 20.07.2021.</w:t>
      </w:r>
    </w:p>
  </w:footnote>
  <w:footnote w:id="110">
    <w:p w14:paraId="71B29EF2" w14:textId="4142C236" w:rsidR="00C242C2" w:rsidRPr="00F43F69" w:rsidRDefault="00C242C2" w:rsidP="002815D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SRL „CBS Motors” – 1.399,0 mii lei; S.A. „Eximotor” – 1.690,8 mii lei; SRL „Dynaic Gaz Grup” – 1.696,0 mii lei; SRL „MVS Auto” – 1.787,5 mii lei.</w:t>
      </w:r>
    </w:p>
  </w:footnote>
  <w:footnote w:id="111">
    <w:p w14:paraId="6C888B8B" w14:textId="6B900256" w:rsidR="00C242C2" w:rsidRPr="00F43F69" w:rsidRDefault="00C242C2" w:rsidP="002815D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Sarcina maximă admisibilă fără contragreutate - 16 tone; lungimea braț</w:t>
      </w:r>
      <w:r>
        <w:rPr>
          <w:rFonts w:ascii="Times New Roman" w:hAnsi="Times New Roman" w:cs="Times New Roman"/>
          <w:sz w:val="16"/>
          <w:szCs w:val="16"/>
          <w:lang w:val="ro-RO"/>
        </w:rPr>
        <w:t>ului</w:t>
      </w:r>
      <w:r w:rsidRPr="00F43F69">
        <w:rPr>
          <w:rFonts w:ascii="Times New Roman" w:hAnsi="Times New Roman" w:cs="Times New Roman"/>
          <w:sz w:val="16"/>
          <w:szCs w:val="16"/>
          <w:lang w:val="ro-RO"/>
        </w:rPr>
        <w:t xml:space="preserve"> telescopic - 18 metri; masa totală a macaralei - 17 tone; lungimea – 10 metri; lățimea - 2,5 metri; înălțimea - 4 metri; diapazonul de lucru </w:t>
      </w:r>
      <w:r>
        <w:rPr>
          <w:rFonts w:ascii="Times New Roman" w:hAnsi="Times New Roman" w:cs="Times New Roman"/>
          <w:sz w:val="16"/>
          <w:szCs w:val="16"/>
          <w:lang w:val="ro-RO"/>
        </w:rPr>
        <w:t>–</w:t>
      </w:r>
      <w:r w:rsidRPr="00F43F69">
        <w:rPr>
          <w:rFonts w:ascii="Times New Roman" w:hAnsi="Times New Roman" w:cs="Times New Roman"/>
          <w:sz w:val="16"/>
          <w:szCs w:val="16"/>
          <w:lang w:val="ro-RO"/>
        </w:rPr>
        <w:t xml:space="preserve"> 270</w:t>
      </w:r>
      <w:r>
        <w:rPr>
          <w:rFonts w:ascii="Times New Roman" w:hAnsi="Times New Roman" w:cs="Times New Roman"/>
          <w:sz w:val="16"/>
          <w:szCs w:val="16"/>
          <w:lang w:val="ro-RO"/>
        </w:rPr>
        <w:t xml:space="preserve"> </w:t>
      </w:r>
      <w:r w:rsidRPr="00F43F69">
        <w:rPr>
          <w:rFonts w:ascii="Times New Roman" w:hAnsi="Times New Roman" w:cs="Times New Roman"/>
          <w:sz w:val="16"/>
          <w:szCs w:val="16"/>
          <w:lang w:val="ro-RO"/>
        </w:rPr>
        <w:t>grade; autoșasiu - 4x2;  motor - 230 CP; viteza de deplasare - 60 km/h; roată de rezervă; condiția de livrare, recepție, de garanție.</w:t>
      </w:r>
    </w:p>
  </w:footnote>
  <w:footnote w:id="112">
    <w:p w14:paraId="250D4819" w14:textId="77777777" w:rsidR="00C242C2" w:rsidRPr="00F43F69" w:rsidRDefault="00C242C2" w:rsidP="00054A02">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iCs/>
          <w:sz w:val="16"/>
          <w:szCs w:val="16"/>
          <w:lang w:val="ro-RO"/>
        </w:rPr>
        <w:t>În mărime de 0,1% pentru fiecare zi de întârziere, dar nu mai mult de 5%.</w:t>
      </w:r>
    </w:p>
  </w:footnote>
  <w:footnote w:id="113">
    <w:p w14:paraId="34E660FC" w14:textId="77777777" w:rsidR="00C242C2" w:rsidRPr="00F43F69" w:rsidRDefault="00C242C2" w:rsidP="002815D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iCs/>
          <w:sz w:val="16"/>
          <w:szCs w:val="16"/>
          <w:lang w:val="ro-RO"/>
        </w:rPr>
        <w:t>Specificația tehnică: autovehicul (microbuz) 8+1 locuri + cargo; combustibil - motorină; capacitate cilindrică - 2500 cm/cub; putere motor - 112 CP; consum - 10 litri la sută, maxim; tracțiune - față 4x2; cutie viteză - manuală 6+1; greutatea maximă autorizată - 3500 kg; roți spate - ordinare; rezervor - 60 litri. Datele tehnice ale caroseriei: 8+1 locuri, mixt; uși - 4 (spate dublu); ușa laterală - deschidere 1270 mm; lungimea portbagajului - 2400 mm.</w:t>
      </w:r>
    </w:p>
  </w:footnote>
  <w:footnote w:id="114">
    <w:p w14:paraId="05237539" w14:textId="165C08D7" w:rsidR="00C242C2" w:rsidRPr="00F43F69" w:rsidRDefault="00C242C2" w:rsidP="002815D4">
      <w:pPr>
        <w:pStyle w:val="a3"/>
        <w:jc w:val="both"/>
        <w:rPr>
          <w:rFonts w:ascii="Times New Roman" w:hAnsi="Times New Roman" w:cs="Times New Roman"/>
          <w:b/>
          <w:bCs/>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Pct.129 din </w:t>
      </w:r>
      <w:r w:rsidRPr="00F43F69">
        <w:rPr>
          <w:rFonts w:ascii="Times New Roman" w:hAnsi="Times New Roman" w:cs="Times New Roman"/>
          <w:bCs/>
          <w:sz w:val="16"/>
          <w:szCs w:val="16"/>
          <w:lang w:val="ro-RO"/>
        </w:rPr>
        <w:t>Hotărârea Guvernului  nr.357  din  13.05.2009 „Cu privire la aprobarea Regulamentului circulației rutiere”. Pct.129 - Persoanele responsabile respective sunt obligate să coordoneze</w:t>
      </w:r>
      <w:r w:rsidRPr="00F43F69">
        <w:rPr>
          <w:rFonts w:ascii="Times New Roman" w:hAnsi="Times New Roman" w:cs="Times New Roman"/>
          <w:sz w:val="16"/>
          <w:szCs w:val="16"/>
          <w:lang w:val="ro-RO"/>
        </w:rPr>
        <w:t xml:space="preserve"> reutilarea vehiculelor</w:t>
      </w:r>
      <w:r w:rsidRPr="00F43F69">
        <w:rPr>
          <w:rFonts w:ascii="Times New Roman" w:hAnsi="Times New Roman" w:cs="Times New Roman"/>
          <w:bCs/>
          <w:sz w:val="16"/>
          <w:szCs w:val="16"/>
          <w:lang w:val="ro-RO"/>
        </w:rPr>
        <w:t>, în modul stabilit, cu Inspectoratul Național de Securitate Publică</w:t>
      </w:r>
      <w:r>
        <w:rPr>
          <w:rFonts w:ascii="Times New Roman" w:hAnsi="Times New Roman" w:cs="Times New Roman"/>
          <w:bCs/>
          <w:sz w:val="16"/>
          <w:szCs w:val="16"/>
          <w:lang w:val="ro-RO"/>
        </w:rPr>
        <w:t>,</w:t>
      </w:r>
      <w:r w:rsidRPr="00F43F69">
        <w:rPr>
          <w:rFonts w:ascii="Times New Roman" w:hAnsi="Times New Roman" w:cs="Times New Roman"/>
          <w:bCs/>
          <w:sz w:val="16"/>
          <w:szCs w:val="16"/>
          <w:lang w:val="ro-RO"/>
        </w:rPr>
        <w:t xml:space="preserve"> sau </w:t>
      </w:r>
      <w:r>
        <w:rPr>
          <w:rFonts w:ascii="Times New Roman" w:hAnsi="Times New Roman" w:cs="Times New Roman"/>
          <w:bCs/>
          <w:sz w:val="16"/>
          <w:szCs w:val="16"/>
          <w:lang w:val="ro-RO"/>
        </w:rPr>
        <w:t xml:space="preserve">cu </w:t>
      </w:r>
      <w:r w:rsidRPr="00F43F69">
        <w:rPr>
          <w:rFonts w:ascii="Times New Roman" w:hAnsi="Times New Roman" w:cs="Times New Roman"/>
          <w:bCs/>
          <w:sz w:val="16"/>
          <w:szCs w:val="16"/>
          <w:lang w:val="ro-RO"/>
        </w:rPr>
        <w:t>subdiviziunea teritorială a Poliției pentru drumurile locale și străzile localităților din teritoriul administrat</w:t>
      </w:r>
      <w:r w:rsidRPr="00F43F69">
        <w:rPr>
          <w:rFonts w:ascii="Times New Roman" w:hAnsi="Times New Roman" w:cs="Times New Roman"/>
          <w:b/>
          <w:bCs/>
          <w:sz w:val="16"/>
          <w:szCs w:val="16"/>
          <w:lang w:val="ro-RO"/>
        </w:rPr>
        <w:t>.</w:t>
      </w:r>
    </w:p>
  </w:footnote>
  <w:footnote w:id="115">
    <w:p w14:paraId="3C54BEBC" w14:textId="43481AEE" w:rsidR="00C242C2" w:rsidRPr="00F43F69" w:rsidRDefault="00C242C2" w:rsidP="002815D4">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Trei autovehicule FIAT Ducato 2,3 dizel, în sumă totală de 1.796,1 mii lei (fără TVA).</w:t>
      </w:r>
    </w:p>
  </w:footnote>
  <w:footnote w:id="116">
    <w:p w14:paraId="1A260086" w14:textId="2692DB64" w:rsidR="00C242C2" w:rsidRPr="00F43F69" w:rsidRDefault="00C242C2" w:rsidP="002815D4">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iCs/>
          <w:sz w:val="16"/>
          <w:szCs w:val="16"/>
        </w:rPr>
        <w:t>Pașapoartele tehnice indică categoria N1 (autovehicul conceput și construit</w:t>
      </w:r>
      <w:r>
        <w:rPr>
          <w:rFonts w:ascii="Times New Roman" w:hAnsi="Times New Roman" w:cs="Times New Roman"/>
          <w:iCs/>
          <w:sz w:val="16"/>
          <w:szCs w:val="16"/>
        </w:rPr>
        <w:t>,</w:t>
      </w:r>
      <w:r w:rsidRPr="00F43F69">
        <w:rPr>
          <w:rFonts w:ascii="Times New Roman" w:hAnsi="Times New Roman" w:cs="Times New Roman"/>
          <w:iCs/>
          <w:sz w:val="16"/>
          <w:szCs w:val="16"/>
        </w:rPr>
        <w:t xml:space="preserve"> în principal</w:t>
      </w:r>
      <w:r>
        <w:rPr>
          <w:rFonts w:ascii="Times New Roman" w:hAnsi="Times New Roman" w:cs="Times New Roman"/>
          <w:iCs/>
          <w:sz w:val="16"/>
          <w:szCs w:val="16"/>
        </w:rPr>
        <w:t>,</w:t>
      </w:r>
      <w:r w:rsidRPr="00F43F69">
        <w:rPr>
          <w:rFonts w:ascii="Times New Roman" w:hAnsi="Times New Roman" w:cs="Times New Roman"/>
          <w:iCs/>
          <w:sz w:val="16"/>
          <w:szCs w:val="16"/>
        </w:rPr>
        <w:t xml:space="preserve"> pentru transporturi de mărfuri</w:t>
      </w:r>
      <w:r>
        <w:rPr>
          <w:rFonts w:ascii="Times New Roman" w:hAnsi="Times New Roman" w:cs="Times New Roman"/>
          <w:iCs/>
          <w:sz w:val="16"/>
          <w:szCs w:val="16"/>
        </w:rPr>
        <w:t>,</w:t>
      </w:r>
      <w:r w:rsidRPr="00F43F69">
        <w:rPr>
          <w:rFonts w:ascii="Times New Roman" w:hAnsi="Times New Roman" w:cs="Times New Roman"/>
          <w:iCs/>
          <w:sz w:val="16"/>
          <w:szCs w:val="16"/>
        </w:rPr>
        <w:t xml:space="preserve"> având o masă ce nu depășește 3,5 tone; numărul de locuri este 7, inclusiv șoferul).</w:t>
      </w:r>
    </w:p>
  </w:footnote>
  <w:footnote w:id="117">
    <w:p w14:paraId="74B37E00" w14:textId="739D16D6" w:rsidR="00C242C2" w:rsidRPr="00FA6CC7" w:rsidRDefault="00C242C2" w:rsidP="007B0581">
      <w:pPr>
        <w:pStyle w:val="a3"/>
        <w:rPr>
          <w:rFonts w:asciiTheme="majorBidi" w:hAnsiTheme="majorBidi" w:cstheme="majorBidi"/>
          <w:sz w:val="16"/>
          <w:szCs w:val="16"/>
          <w:lang w:val="ro-RO"/>
        </w:rPr>
      </w:pPr>
      <w:r w:rsidRPr="00FA6CC7">
        <w:rPr>
          <w:rStyle w:val="a5"/>
          <w:rFonts w:asciiTheme="majorBidi" w:hAnsiTheme="majorBidi" w:cstheme="majorBidi"/>
          <w:sz w:val="16"/>
          <w:szCs w:val="16"/>
        </w:rPr>
        <w:footnoteRef/>
      </w:r>
      <w:r w:rsidRPr="00FA6CC7">
        <w:rPr>
          <w:rFonts w:asciiTheme="majorBidi" w:hAnsiTheme="majorBidi" w:cstheme="majorBidi"/>
          <w:sz w:val="16"/>
          <w:szCs w:val="16"/>
        </w:rPr>
        <w:t xml:space="preserve"> </w:t>
      </w:r>
      <w:r w:rsidRPr="00FA6CC7">
        <w:rPr>
          <w:rFonts w:asciiTheme="majorBidi" w:hAnsiTheme="majorBidi" w:cstheme="majorBidi"/>
          <w:iCs/>
          <w:sz w:val="16"/>
          <w:szCs w:val="16"/>
        </w:rPr>
        <w:t>licența - 206,2 mii lei; lucrări de implementare a programului - 549,8 mii lei</w:t>
      </w:r>
    </w:p>
  </w:footnote>
  <w:footnote w:id="118">
    <w:p w14:paraId="60D49D4F" w14:textId="4E994831" w:rsidR="00C242C2" w:rsidRPr="00F43F69" w:rsidRDefault="00C242C2" w:rsidP="00A83E4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iCs/>
          <w:sz w:val="16"/>
          <w:szCs w:val="16"/>
          <w:lang w:val="ro-RO"/>
        </w:rPr>
        <w:t>Semnate în data de 07.06.2021, 03.02.2023, 02.01.2024.</w:t>
      </w:r>
    </w:p>
  </w:footnote>
  <w:footnote w:id="119">
    <w:p w14:paraId="7EB97B72" w14:textId="7A61288A" w:rsidR="00C242C2" w:rsidRPr="00F43F69" w:rsidRDefault="00C242C2" w:rsidP="006C289F">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bCs/>
          <w:sz w:val="16"/>
          <w:szCs w:val="16"/>
          <w:lang w:val="ro-RO"/>
        </w:rPr>
        <w:t>Consumul tehnologic și pierderile de energie electrică în rețelele de distribuție în anul 2022 au constituit 7,46% (72.480,5 mii kWh), în anul 2021 – 7,64% (78.063,7 mii kWh)</w:t>
      </w:r>
      <w:r>
        <w:rPr>
          <w:rFonts w:ascii="Times New Roman" w:hAnsi="Times New Roman" w:cs="Times New Roman"/>
          <w:bCs/>
          <w:sz w:val="16"/>
          <w:szCs w:val="16"/>
          <w:lang w:val="ro-RO"/>
        </w:rPr>
        <w:t>,</w:t>
      </w:r>
      <w:r w:rsidRPr="00F43F69">
        <w:rPr>
          <w:rFonts w:ascii="Times New Roman" w:hAnsi="Times New Roman" w:cs="Times New Roman"/>
          <w:bCs/>
          <w:sz w:val="16"/>
          <w:szCs w:val="16"/>
          <w:lang w:val="ro-RO"/>
        </w:rPr>
        <w:t xml:space="preserve"> și în anul 2020 – 7,71% (74.305,9 mii kWh). Față de anul 2002 (24,09%), consumul tehnologic și pierderile de energie electrică în rețelele de distribuție au înregistrat o dinamică stabilă de descreștere.</w:t>
      </w:r>
    </w:p>
  </w:footnote>
  <w:footnote w:id="120">
    <w:p w14:paraId="783F3BDE" w14:textId="0EB68D57" w:rsidR="00C242C2" w:rsidRPr="00F43F69" w:rsidRDefault="00C242C2" w:rsidP="00F7136B">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Anul 2020 – total 490801 consumatori (casnici – 460699; noncasnici – 30102); anul 2022 – total 461221 consumatori (casnici – 4613221; noncasnici – 31365). Creșterea total</w:t>
      </w:r>
      <w:r>
        <w:rPr>
          <w:rFonts w:ascii="Times New Roman" w:hAnsi="Times New Roman" w:cs="Times New Roman"/>
          <w:sz w:val="16"/>
          <w:szCs w:val="16"/>
          <w:lang w:val="ro-RO"/>
        </w:rPr>
        <w:t>ă</w:t>
      </w:r>
      <w:r w:rsidRPr="00F43F69">
        <w:rPr>
          <w:rFonts w:ascii="Times New Roman" w:hAnsi="Times New Roman" w:cs="Times New Roman"/>
          <w:sz w:val="16"/>
          <w:szCs w:val="16"/>
          <w:lang w:val="ro-RO"/>
        </w:rPr>
        <w:t xml:space="preserve"> în anii 2020 – 2022 a constituit</w:t>
      </w:r>
      <w:r>
        <w:rPr>
          <w:rFonts w:ascii="Times New Roman" w:hAnsi="Times New Roman" w:cs="Times New Roman"/>
          <w:sz w:val="16"/>
          <w:szCs w:val="16"/>
          <w:lang w:val="ro-RO"/>
        </w:rPr>
        <w:t xml:space="preserve"> </w:t>
      </w:r>
      <w:r w:rsidRPr="00F43F69">
        <w:rPr>
          <w:rFonts w:ascii="Times New Roman" w:hAnsi="Times New Roman" w:cs="Times New Roman"/>
          <w:sz w:val="16"/>
          <w:szCs w:val="16"/>
          <w:lang w:val="ro-RO"/>
        </w:rPr>
        <w:t>1785 consumatori.</w:t>
      </w:r>
    </w:p>
  </w:footnote>
  <w:footnote w:id="121">
    <w:p w14:paraId="1A816FE1" w14:textId="7C36AF85"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Legea nr.107 din 27.05.2016  „Cu privire la energia electrică</w:t>
      </w:r>
      <w:r w:rsidRPr="00F43F69">
        <w:rPr>
          <w:rFonts w:ascii="Times New Roman" w:hAnsi="Times New Roman" w:cs="Times New Roman"/>
          <w:sz w:val="16"/>
          <w:szCs w:val="16"/>
        </w:rPr>
        <w:t>”</w:t>
      </w:r>
      <w:r w:rsidRPr="00F43F69">
        <w:rPr>
          <w:rFonts w:ascii="Times New Roman" w:hAnsi="Times New Roman" w:cs="Times New Roman"/>
          <w:sz w:val="16"/>
          <w:szCs w:val="16"/>
          <w:lang w:val="ro-RO"/>
        </w:rPr>
        <w:t>.</w:t>
      </w:r>
    </w:p>
  </w:footnote>
  <w:footnote w:id="122">
    <w:p w14:paraId="72ADC149" w14:textId="039D7B70" w:rsidR="00C242C2" w:rsidRPr="00F43F69" w:rsidRDefault="00C242C2" w:rsidP="00616F6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HANRE </w:t>
      </w:r>
      <w:r w:rsidRPr="00F43F69">
        <w:rPr>
          <w:rFonts w:ascii="Times New Roman" w:hAnsi="Times New Roman" w:cs="Times New Roman"/>
          <w:bCs/>
          <w:sz w:val="16"/>
          <w:szCs w:val="16"/>
          <w:lang w:val="ro-RO"/>
        </w:rPr>
        <w:t>nr.283/2016 din 15.11.2016 „Cu privire la aprobarea Regulamentului privind planificarea, aprobarea și efectuarea investițiilor”.</w:t>
      </w:r>
    </w:p>
  </w:footnote>
  <w:footnote w:id="123">
    <w:p w14:paraId="0EDCF05A" w14:textId="50303811" w:rsidR="00C242C2" w:rsidRPr="00F43F69" w:rsidRDefault="00C242C2" w:rsidP="00616F6F">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HANRE nr.509/2020 din 10.12.2020, ulterior, modificată de 2 ori la solicitarea S.A. „RED-Nord” (de la 263,1 și 308,7 mil. lei la 297,1 mil. lei).</w:t>
      </w:r>
    </w:p>
  </w:footnote>
  <w:footnote w:id="124">
    <w:p w14:paraId="4CFD76A6" w14:textId="4A5E66E4"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Raportul S.A. „RED-Nord” </w:t>
      </w:r>
      <w:r>
        <w:rPr>
          <w:rFonts w:ascii="Times New Roman" w:hAnsi="Times New Roman" w:cs="Times New Roman"/>
          <w:sz w:val="16"/>
          <w:szCs w:val="16"/>
          <w:lang w:val="ro-RO"/>
        </w:rPr>
        <w:t>privind</w:t>
      </w:r>
      <w:r w:rsidRPr="00F43F69">
        <w:rPr>
          <w:rFonts w:ascii="Times New Roman" w:hAnsi="Times New Roman" w:cs="Times New Roman"/>
          <w:sz w:val="16"/>
          <w:szCs w:val="16"/>
          <w:lang w:val="ro-RO"/>
        </w:rPr>
        <w:t xml:space="preserve"> executarea planului de investiții pentru anul 2021 (adresat ANRE prin scrisoarea nr.JIC-03/617 din 25.03.2022).</w:t>
      </w:r>
    </w:p>
  </w:footnote>
  <w:footnote w:id="125">
    <w:p w14:paraId="32BDA2DC" w14:textId="50A55FC7" w:rsidR="00C242C2" w:rsidRPr="00F43F69" w:rsidRDefault="00C242C2" w:rsidP="00894AC9">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HANRE nr.642 din 17.12.2021, ulterior, modificată de 2 </w:t>
      </w:r>
      <w:r>
        <w:rPr>
          <w:rFonts w:ascii="Times New Roman" w:hAnsi="Times New Roman" w:cs="Times New Roman"/>
          <w:sz w:val="16"/>
          <w:szCs w:val="16"/>
          <w:lang w:val="ro-RO"/>
        </w:rPr>
        <w:t xml:space="preserve">ori </w:t>
      </w:r>
      <w:r w:rsidRPr="00F43F69">
        <w:rPr>
          <w:rFonts w:ascii="Times New Roman" w:hAnsi="Times New Roman" w:cs="Times New Roman"/>
          <w:sz w:val="16"/>
          <w:szCs w:val="16"/>
          <w:lang w:val="ro-RO"/>
        </w:rPr>
        <w:t>la solicitarea S.A. „RED-Nord” (de la 204,9 mil. lei la 204,3 mil. lei).</w:t>
      </w:r>
    </w:p>
  </w:footnote>
  <w:footnote w:id="126">
    <w:p w14:paraId="301DA29F" w14:textId="22EED670"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Raportul S.A. „RED-Nord” </w:t>
      </w:r>
      <w:r>
        <w:rPr>
          <w:rFonts w:ascii="Times New Roman" w:hAnsi="Times New Roman" w:cs="Times New Roman"/>
          <w:sz w:val="16"/>
          <w:szCs w:val="16"/>
          <w:lang w:val="ro-RO"/>
        </w:rPr>
        <w:t>privind</w:t>
      </w:r>
      <w:r w:rsidRPr="00F43F69">
        <w:rPr>
          <w:rFonts w:ascii="Times New Roman" w:hAnsi="Times New Roman" w:cs="Times New Roman"/>
          <w:sz w:val="16"/>
          <w:szCs w:val="16"/>
          <w:lang w:val="ro-RO"/>
        </w:rPr>
        <w:t xml:space="preserve"> executarea planului de investiții pentru anul 2022 (adresat ANRE prin scrisoarea nr.JIC-04/616 din 04.04.2023).</w:t>
      </w:r>
    </w:p>
  </w:footnote>
  <w:footnote w:id="127">
    <w:p w14:paraId="7BF47949" w14:textId="26DA73AF" w:rsidR="00C242C2" w:rsidRPr="00F43F69" w:rsidRDefault="00C242C2" w:rsidP="00894AC9">
      <w:pPr>
        <w:pStyle w:val="a3"/>
        <w:jc w:val="both"/>
        <w:rPr>
          <w:rFonts w:ascii="Times New Roman" w:hAnsi="Times New Roman" w:cs="Times New Roman"/>
          <w:bCs/>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bCs/>
          <w:sz w:val="16"/>
          <w:szCs w:val="16"/>
        </w:rPr>
        <w:t xml:space="preserve">HANRE nr. 396/2019  din  01.11.2019 „Cu privire la aprobarea Metodologiei de calculare, aprobare și aplicare a prețurilor reglementate de producere a energiei electrice de către centralele de termoficare urbane și </w:t>
      </w:r>
      <w:r>
        <w:rPr>
          <w:rFonts w:ascii="Times New Roman" w:hAnsi="Times New Roman" w:cs="Times New Roman"/>
          <w:bCs/>
          <w:sz w:val="16"/>
          <w:szCs w:val="16"/>
        </w:rPr>
        <w:t xml:space="preserve">a </w:t>
      </w:r>
      <w:r w:rsidRPr="00F43F69">
        <w:rPr>
          <w:rFonts w:ascii="Times New Roman" w:hAnsi="Times New Roman" w:cs="Times New Roman"/>
          <w:bCs/>
          <w:sz w:val="16"/>
          <w:szCs w:val="16"/>
        </w:rPr>
        <w:t xml:space="preserve">tarifelor pentru producerea, distribuția și furnizarea energiei termice”, pct.125 și </w:t>
      </w:r>
      <w:r>
        <w:rPr>
          <w:rFonts w:ascii="Times New Roman" w:hAnsi="Times New Roman" w:cs="Times New Roman"/>
          <w:bCs/>
          <w:sz w:val="16"/>
          <w:szCs w:val="16"/>
        </w:rPr>
        <w:t>pct.</w:t>
      </w:r>
      <w:r w:rsidRPr="00F43F69">
        <w:rPr>
          <w:rFonts w:ascii="Times New Roman" w:hAnsi="Times New Roman" w:cs="Times New Roman"/>
          <w:bCs/>
          <w:sz w:val="16"/>
          <w:szCs w:val="16"/>
        </w:rPr>
        <w:t xml:space="preserve">131. </w:t>
      </w:r>
      <w:r w:rsidRPr="00F43F69">
        <w:rPr>
          <w:rFonts w:ascii="Times New Roman" w:hAnsi="Times New Roman" w:cs="Times New Roman"/>
          <w:bCs/>
          <w:sz w:val="16"/>
          <w:szCs w:val="16"/>
          <w:lang w:val="ro-RO"/>
        </w:rPr>
        <w:t>Regulamentul aprobat prin HANRE nr.283/2016 din 15.11.2016</w:t>
      </w:r>
      <w:r w:rsidRPr="00F43F69">
        <w:rPr>
          <w:rFonts w:ascii="Times New Roman" w:hAnsi="Times New Roman" w:cs="Times New Roman"/>
          <w:bCs/>
          <w:sz w:val="16"/>
          <w:szCs w:val="16"/>
        </w:rPr>
        <w:t>, pct.45</w:t>
      </w:r>
      <w:r w:rsidRPr="00F43F69">
        <w:rPr>
          <w:rFonts w:ascii="Times New Roman" w:hAnsi="Times New Roman" w:cs="Times New Roman"/>
          <w:bCs/>
          <w:sz w:val="16"/>
          <w:szCs w:val="16"/>
          <w:vertAlign w:val="superscript"/>
        </w:rPr>
        <w:t>1</w:t>
      </w:r>
      <w:r w:rsidRPr="00F43F69">
        <w:rPr>
          <w:rFonts w:ascii="Times New Roman" w:hAnsi="Times New Roman" w:cs="Times New Roman"/>
          <w:bCs/>
          <w:sz w:val="16"/>
          <w:szCs w:val="16"/>
        </w:rPr>
        <w:t>.</w:t>
      </w:r>
    </w:p>
  </w:footnote>
  <w:footnote w:id="128">
    <w:p w14:paraId="6CDDE951" w14:textId="4161A72C"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Art.37 - Titularul de licență, pe parcursul anului, este în drept să depună la ANRE nu mai mult de două solicitări de modificare a planului anual de investiții aprobat, termenul</w:t>
      </w:r>
      <w:r>
        <w:rPr>
          <w:rFonts w:ascii="Times New Roman" w:hAnsi="Times New Roman" w:cs="Times New Roman"/>
          <w:sz w:val="16"/>
          <w:szCs w:val="16"/>
          <w:lang w:val="ro-RO"/>
        </w:rPr>
        <w:t>-</w:t>
      </w:r>
      <w:r w:rsidRPr="00F43F69">
        <w:rPr>
          <w:rFonts w:ascii="Times New Roman" w:hAnsi="Times New Roman" w:cs="Times New Roman"/>
          <w:sz w:val="16"/>
          <w:szCs w:val="16"/>
          <w:lang w:val="ro-RO"/>
        </w:rPr>
        <w:t xml:space="preserve">limită fiind </w:t>
      </w:r>
      <w:r w:rsidRPr="00F43F69">
        <w:rPr>
          <w:rFonts w:ascii="Times New Roman" w:hAnsi="Times New Roman" w:cs="Times New Roman"/>
          <w:iCs/>
          <w:sz w:val="16"/>
          <w:szCs w:val="16"/>
          <w:lang w:val="ro-RO"/>
        </w:rPr>
        <w:t>1 noiembrie.</w:t>
      </w:r>
    </w:p>
  </w:footnote>
  <w:footnote w:id="129">
    <w:p w14:paraId="184CB5C0" w14:textId="5858FA96"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Legea nr. 721 din 02.02.1996 </w:t>
      </w:r>
      <w:r>
        <w:rPr>
          <w:rFonts w:ascii="Times New Roman" w:hAnsi="Times New Roman" w:cs="Times New Roman"/>
          <w:sz w:val="16"/>
          <w:szCs w:val="16"/>
          <w:lang w:val="ro-RO"/>
        </w:rPr>
        <w:t>p</w:t>
      </w:r>
      <w:r w:rsidRPr="00F43F69">
        <w:rPr>
          <w:rFonts w:ascii="Times New Roman" w:hAnsi="Times New Roman" w:cs="Times New Roman"/>
          <w:sz w:val="16"/>
          <w:szCs w:val="16"/>
          <w:lang w:val="ro-RO"/>
        </w:rPr>
        <w:t>rivind calitatea în construcții.</w:t>
      </w:r>
    </w:p>
  </w:footnote>
  <w:footnote w:id="130">
    <w:p w14:paraId="51E53AD3" w14:textId="64B76A70" w:rsidR="00C242C2" w:rsidRPr="00F43F69" w:rsidRDefault="00C242C2" w:rsidP="00C847DE">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Art.13 din Legea nr.721 din 02.02.1996.</w:t>
      </w:r>
    </w:p>
  </w:footnote>
  <w:footnote w:id="131">
    <w:p w14:paraId="620E93B5" w14:textId="7C847710"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Cartea tehnică a construcției cuprinde toată documentația tehnică privind realizarea construcției</w:t>
      </w:r>
      <w:r>
        <w:rPr>
          <w:rFonts w:ascii="Times New Roman" w:hAnsi="Times New Roman" w:cs="Times New Roman"/>
          <w:sz w:val="16"/>
          <w:szCs w:val="16"/>
          <w:lang w:val="ro-RO"/>
        </w:rPr>
        <w:t>,</w:t>
      </w:r>
      <w:r w:rsidRPr="00F43F69">
        <w:rPr>
          <w:rFonts w:ascii="Times New Roman" w:hAnsi="Times New Roman" w:cs="Times New Roman"/>
          <w:sz w:val="16"/>
          <w:szCs w:val="16"/>
          <w:lang w:val="ro-RO"/>
        </w:rPr>
        <w:t xml:space="preserve"> începând cu etapa de proiectare și până la punerea în funcțiune a obiectului, oglindind, totodată, și exploatarea ulterioară a obiectului, inclusiv toate modificările c</w:t>
      </w:r>
      <w:r>
        <w:rPr>
          <w:rFonts w:ascii="Times New Roman" w:hAnsi="Times New Roman" w:cs="Times New Roman"/>
          <w:sz w:val="16"/>
          <w:szCs w:val="16"/>
          <w:lang w:val="ro-RO"/>
        </w:rPr>
        <w:t>ar</w:t>
      </w:r>
      <w:r w:rsidRPr="00F43F69">
        <w:rPr>
          <w:rFonts w:ascii="Times New Roman" w:hAnsi="Times New Roman" w:cs="Times New Roman"/>
          <w:sz w:val="16"/>
          <w:szCs w:val="16"/>
          <w:lang w:val="ro-RO"/>
        </w:rPr>
        <w:t>e se vor opera în procesul exploatării lui.</w:t>
      </w:r>
    </w:p>
  </w:footnote>
  <w:footnote w:id="132">
    <w:p w14:paraId="64456589" w14:textId="35973AFD"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Exemple: anul 2021, reconstrucția LEA 0,4 kV PT234RT2, mun. Bălți - executat cu 4 piloni mai mult; anul 2022, reconstrucția LEA 0,4 kV PT382TT13 din s. Pererâta, raionul Briceni – executat cu 158 km de rețea mai mult;  anul 2022, reconstrucția LEA 0,4 PT 136DR22F1F2F3 din s. Țarigrad, raionul Drochia – executat cu  0,411 km de rețea mai mult.</w:t>
      </w:r>
    </w:p>
  </w:footnote>
  <w:footnote w:id="133">
    <w:p w14:paraId="5555305B" w14:textId="77777777"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Anul 2021 – 219 autorizații de construire; anul 2022 – 133 autorizații de construire.</w:t>
      </w:r>
    </w:p>
  </w:footnote>
  <w:footnote w:id="134">
    <w:p w14:paraId="402CE900" w14:textId="77777777" w:rsidR="00C242C2" w:rsidRPr="00F43F69" w:rsidRDefault="00C242C2" w:rsidP="003C5C43">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Anul 2021 – 80 certificate de urbanism pentru proiectare; anul 2022 – 30 certificate de urbanism pentru proiectare.</w:t>
      </w:r>
    </w:p>
  </w:footnote>
  <w:footnote w:id="135">
    <w:p w14:paraId="74D41E8D" w14:textId="44194FC6" w:rsidR="00C242C2" w:rsidRPr="00F43F69" w:rsidRDefault="00C242C2" w:rsidP="00007ADA">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Tarife aprobate pentru distribuția energiei electrice. Perioada 01.01. – 31.01.2021: 28 bani/kWh pe nivel de tensiune 10 kV și 86 bani/kWh pe nivel de tensiune 0,4 kV; perioada 01.02. – 31.12.2021: 28 bani/kWh pe nivel de tensiune 10 kV și 89 bani/kWh pe nivel de tensiune 0,4 kV. Pentru perioada anului 2022, ANRE a aprobat următoarele tarife pentru distribuția energiei electrice: perioada 01.01. – 31.03.2022: 28 bani/kWh pe nivel de tensiune 10 kV și 89 bani/kWh pe nivel de tensiune 0,4 kV; perioada 01.04. – 17.11.2022</w:t>
      </w:r>
      <w:r w:rsidRPr="00F43F69">
        <w:rPr>
          <w:rFonts w:ascii="Times New Roman" w:hAnsi="Times New Roman" w:cs="Times New Roman"/>
          <w:bCs/>
          <w:sz w:val="16"/>
          <w:szCs w:val="16"/>
          <w:vertAlign w:val="superscript"/>
          <w:lang w:val="ro-RO"/>
        </w:rPr>
        <w:footnoteRef/>
      </w:r>
      <w:r w:rsidRPr="00F43F69">
        <w:rPr>
          <w:rFonts w:ascii="Times New Roman" w:hAnsi="Times New Roman" w:cs="Times New Roman"/>
          <w:bCs/>
          <w:sz w:val="16"/>
          <w:szCs w:val="16"/>
          <w:lang w:val="ro-RO"/>
        </w:rPr>
        <w:t>: 16 bani/kWh pe nivel de tensiune 10 kV și 76 bani/kWh pe nivel de tensiune 0,4 kV; perioada 18.11. – 31.12.2022</w:t>
      </w:r>
      <w:r w:rsidRPr="00F43F69">
        <w:rPr>
          <w:rFonts w:ascii="Times New Roman" w:hAnsi="Times New Roman" w:cs="Times New Roman"/>
          <w:bCs/>
          <w:sz w:val="16"/>
          <w:szCs w:val="16"/>
          <w:vertAlign w:val="superscript"/>
          <w:lang w:val="ro-RO"/>
        </w:rPr>
        <w:footnoteRef/>
      </w:r>
      <w:r w:rsidRPr="00F43F69">
        <w:rPr>
          <w:rFonts w:ascii="Times New Roman" w:hAnsi="Times New Roman" w:cs="Times New Roman"/>
          <w:bCs/>
          <w:sz w:val="16"/>
          <w:szCs w:val="16"/>
          <w:lang w:val="ro-RO"/>
        </w:rPr>
        <w:t>: 26 bani/kWh pe nivel de tensiune 10 kV și 126 bani/kWh pe nivel de tensiune 0,4 kV.</w:t>
      </w:r>
    </w:p>
  </w:footnote>
  <w:footnote w:id="136">
    <w:p w14:paraId="1DEE4DDF" w14:textId="3D5A460A" w:rsidR="00C242C2" w:rsidRPr="00F43F69" w:rsidRDefault="00C242C2" w:rsidP="000143DC">
      <w:pPr>
        <w:pStyle w:val="a3"/>
        <w:jc w:val="both"/>
        <w:rPr>
          <w:rFonts w:ascii="Times New Roman" w:hAnsi="Times New Roman" w:cs="Times New Roman"/>
          <w:sz w:val="16"/>
          <w:szCs w:val="16"/>
          <w:lang w:val="en-US"/>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HANRE nr.286/2018 din 17.10.2018 „Cu privire la aprobarea Regulamentului privind procedurile de prezentare și de examinare a cererilor titularilor de licențe privind preturile și tarifele reglementate”.</w:t>
      </w:r>
    </w:p>
  </w:footnote>
  <w:footnote w:id="137">
    <w:p w14:paraId="2E3EBCAF" w14:textId="1CC7BCFD" w:rsidR="00C242C2" w:rsidRPr="00F43F69" w:rsidRDefault="00C242C2" w:rsidP="000143DC">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HANRE </w:t>
      </w:r>
      <w:r w:rsidRPr="00F43F69">
        <w:rPr>
          <w:rFonts w:ascii="Times New Roman" w:hAnsi="Times New Roman" w:cs="Times New Roman"/>
          <w:bCs/>
          <w:sz w:val="16"/>
          <w:szCs w:val="16"/>
          <w:lang w:val="ro-RO"/>
        </w:rPr>
        <w:t>nr.269/2018 din 28.09.2018 „Cu privire la aprobarea Metodologiei de calculare, aprobare și aplicare a tarifelor reglementate pentru serviciile auxiliare prestate de către operatorii de sistem din sectorul electroenergetic”.</w:t>
      </w:r>
    </w:p>
  </w:footnote>
  <w:footnote w:id="138">
    <w:p w14:paraId="37D94411" w14:textId="68922B20" w:rsidR="00C242C2" w:rsidRPr="00F43F69" w:rsidRDefault="00C242C2" w:rsidP="00C73D92">
      <w:pPr>
        <w:pStyle w:val="a3"/>
        <w:jc w:val="both"/>
        <w:rPr>
          <w:rFonts w:ascii="Times New Roman" w:hAnsi="Times New Roman" w:cs="Times New Roman"/>
          <w:sz w:val="16"/>
          <w:szCs w:val="16"/>
          <w:lang w:val="en-US"/>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HANRE privind tarifele pentru serviciile auxiliare prestate de S.A. „RED</w:t>
      </w:r>
      <w:r>
        <w:rPr>
          <w:rFonts w:ascii="Times New Roman" w:hAnsi="Times New Roman" w:cs="Times New Roman"/>
          <w:bCs/>
          <w:sz w:val="16"/>
          <w:szCs w:val="16"/>
          <w:lang w:val="ro-RO"/>
        </w:rPr>
        <w:t>-</w:t>
      </w:r>
      <w:r w:rsidRPr="00F43F69">
        <w:rPr>
          <w:rFonts w:ascii="Times New Roman" w:hAnsi="Times New Roman" w:cs="Times New Roman"/>
          <w:bCs/>
          <w:sz w:val="16"/>
          <w:szCs w:val="16"/>
          <w:lang w:val="ro-RO"/>
        </w:rPr>
        <w:t>Nord” nr.120 din 19.03.2021.</w:t>
      </w:r>
    </w:p>
  </w:footnote>
  <w:footnote w:id="139">
    <w:p w14:paraId="44D5AE8B" w14:textId="52BDE071" w:rsidR="00C242C2" w:rsidRPr="00F43F69" w:rsidRDefault="00C242C2" w:rsidP="003B3889">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Solicitarea nr.SE-08/1635 din 15.08.2022. Argumentele de revizuire: majorarea salariului; majorarea costului produselor petroliere; majorarea costului materialelor.</w:t>
      </w:r>
    </w:p>
  </w:footnote>
  <w:footnote w:id="140">
    <w:p w14:paraId="07F95819" w14:textId="3079D844" w:rsidR="00C242C2" w:rsidRPr="00F43F69" w:rsidRDefault="00C242C2" w:rsidP="003B3889">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Solicitarea nr.adm-12/2519 din 30.12.2022, de precizare și completarea a solicitării anterioare nr.SE-08/1635 din 15.08.2022. Argumentele de completare: majorarea repetată a salariului.</w:t>
      </w:r>
    </w:p>
  </w:footnote>
  <w:footnote w:id="141">
    <w:p w14:paraId="25150663" w14:textId="10EEF197" w:rsidR="00C242C2" w:rsidRPr="00F43F69" w:rsidRDefault="00C242C2" w:rsidP="00C73D92">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lang w:val="en-US"/>
        </w:rPr>
        <w:t xml:space="preserve"> </w:t>
      </w:r>
      <w:r w:rsidRPr="00F43F69">
        <w:rPr>
          <w:rFonts w:ascii="Times New Roman" w:hAnsi="Times New Roman" w:cs="Times New Roman"/>
          <w:bCs/>
          <w:sz w:val="16"/>
          <w:szCs w:val="16"/>
          <w:lang w:val="ro-RO"/>
        </w:rPr>
        <w:t>HANRE privind tarifele pentru serviciile auxiliare prestate de S.A. „Rețelele Electrice de Distribuție Nord” nr.</w:t>
      </w:r>
      <w:r w:rsidRPr="00F43F69">
        <w:rPr>
          <w:rFonts w:ascii="Times New Roman" w:hAnsi="Times New Roman" w:cs="Times New Roman"/>
          <w:bCs/>
          <w:sz w:val="16"/>
          <w:szCs w:val="16"/>
        </w:rPr>
        <w:t>472 din 27.07.2023.</w:t>
      </w:r>
    </w:p>
  </w:footnote>
  <w:footnote w:id="142">
    <w:p w14:paraId="4007DCED" w14:textId="09FEBB52" w:rsidR="00C242C2" w:rsidRPr="00F43F69" w:rsidRDefault="00C242C2" w:rsidP="00D459C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Distribuția energiei electrice; prestarea serviciilor auxiliare (conectări/deconectări; reparația liniilor și utilajelor electrice; racordarea; </w:t>
      </w:r>
      <w:r w:rsidRPr="00F43F69">
        <w:rPr>
          <w:rFonts w:ascii="Times New Roman" w:hAnsi="Times New Roman" w:cs="Times New Roman"/>
          <w:bCs/>
          <w:sz w:val="16"/>
          <w:szCs w:val="16"/>
          <w:lang w:val="ro-RO"/>
        </w:rPr>
        <w:t xml:space="preserve">punerea sub tensiune a instalației electrice;  </w:t>
      </w:r>
      <w:r w:rsidRPr="00F43F69">
        <w:rPr>
          <w:rFonts w:ascii="Times New Roman" w:hAnsi="Times New Roman" w:cs="Times New Roman"/>
          <w:sz w:val="16"/>
          <w:szCs w:val="16"/>
          <w:lang w:val="ro-RO"/>
        </w:rPr>
        <w:t>montarea/demontarea utilajului electric;</w:t>
      </w:r>
      <w:r w:rsidRPr="00F43F69">
        <w:rPr>
          <w:rFonts w:ascii="Times New Roman" w:hAnsi="Times New Roman" w:cs="Times New Roman"/>
          <w:bCs/>
          <w:sz w:val="16"/>
          <w:szCs w:val="16"/>
          <w:lang w:val="ro-RO"/>
        </w:rPr>
        <w:t xml:space="preserve"> reamplasarea echipamentului de măsurare; sigilarea/desigilarea;</w:t>
      </w:r>
      <w:r w:rsidRPr="00F43F69">
        <w:rPr>
          <w:rFonts w:ascii="Times New Roman" w:hAnsi="Times New Roman" w:cs="Times New Roman"/>
          <w:sz w:val="16"/>
          <w:szCs w:val="16"/>
          <w:lang w:val="ro-RO"/>
        </w:rPr>
        <w:t xml:space="preserve"> etc.); darea în locațiune a imobilelor; devierile tarifare pozitive/negative.</w:t>
      </w:r>
    </w:p>
  </w:footnote>
  <w:footnote w:id="143">
    <w:p w14:paraId="08B35807" w14:textId="18F7E2D2" w:rsidR="00C242C2" w:rsidRPr="00F43F69" w:rsidRDefault="00C242C2" w:rsidP="00D459C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Profitul brut de la activitatea de bază/reglementată prin tarif: anul 2018 – 165.255,7 mii lei; anul 2020 – 38.241,8 mii lei; anul 2021 – 112.275,7 mii lei; anul 2022 – 110.432,6 mii lei. </w:t>
      </w:r>
    </w:p>
  </w:footnote>
  <w:footnote w:id="144">
    <w:p w14:paraId="6344B58B" w14:textId="77777777" w:rsidR="00C242C2" w:rsidRPr="00F43F69" w:rsidRDefault="00C242C2" w:rsidP="00D459C1">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iCs/>
          <w:sz w:val="16"/>
          <w:szCs w:val="16"/>
          <w:lang w:val="ro-RO"/>
        </w:rPr>
        <w:t>Devieri tarifare</w:t>
      </w:r>
      <w:r w:rsidRPr="00F43F69">
        <w:rPr>
          <w:rFonts w:ascii="Times New Roman" w:hAnsi="Times New Roman" w:cs="Times New Roman"/>
          <w:sz w:val="16"/>
          <w:szCs w:val="16"/>
          <w:lang w:val="ro-RO"/>
        </w:rPr>
        <w:t xml:space="preserve"> pozitive sau negative - rezultat al diferențelor între parametrii estimați la determinarea tarifelor pentru anul de activitate și cei reali obținuți în anul </w:t>
      </w:r>
      <w:r w:rsidRPr="00F43F69">
        <w:rPr>
          <w:rFonts w:ascii="Times New Roman" w:hAnsi="Times New Roman" w:cs="Times New Roman"/>
          <w:iCs/>
          <w:sz w:val="16"/>
          <w:szCs w:val="16"/>
          <w:lang w:val="ro-RO"/>
        </w:rPr>
        <w:t xml:space="preserve">respectiv. </w:t>
      </w:r>
      <w:r w:rsidRPr="00F43F69">
        <w:rPr>
          <w:rFonts w:ascii="Times New Roman" w:hAnsi="Times New Roman" w:cs="Times New Roman"/>
          <w:bCs/>
          <w:iCs/>
          <w:sz w:val="16"/>
          <w:szCs w:val="16"/>
          <w:lang w:val="ro-RO"/>
        </w:rPr>
        <w:t>Devieri tarifare</w:t>
      </w:r>
      <w:r w:rsidRPr="00F43F69">
        <w:rPr>
          <w:rFonts w:ascii="Times New Roman" w:hAnsi="Times New Roman" w:cs="Times New Roman"/>
          <w:iCs/>
          <w:sz w:val="16"/>
          <w:szCs w:val="16"/>
          <w:lang w:val="ro-RO"/>
        </w:rPr>
        <w:t xml:space="preserve"> pozitive – situația când tariful aprobat este mai mare decât cel real obținut din activitate. </w:t>
      </w:r>
      <w:r w:rsidRPr="00F43F69">
        <w:rPr>
          <w:rFonts w:ascii="Times New Roman" w:hAnsi="Times New Roman" w:cs="Times New Roman"/>
          <w:bCs/>
          <w:iCs/>
          <w:sz w:val="16"/>
          <w:szCs w:val="16"/>
          <w:lang w:val="ro-RO"/>
        </w:rPr>
        <w:t xml:space="preserve">Devieri tarifare </w:t>
      </w:r>
      <w:r w:rsidRPr="00F43F69">
        <w:rPr>
          <w:rFonts w:ascii="Times New Roman" w:hAnsi="Times New Roman" w:cs="Times New Roman"/>
          <w:iCs/>
          <w:sz w:val="16"/>
          <w:szCs w:val="16"/>
          <w:lang w:val="ro-RO"/>
        </w:rPr>
        <w:t>negative – situația când tariful aprobat este mai mic decât cel real obținut din activitate.</w:t>
      </w:r>
    </w:p>
  </w:footnote>
  <w:footnote w:id="145">
    <w:p w14:paraId="5DF58DC1" w14:textId="47416A7E" w:rsidR="00C242C2" w:rsidRPr="005208BB" w:rsidRDefault="00C242C2" w:rsidP="005208BB">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Conform calculelor estimative ale Serviciului economic și reieșind din tarifele existente la moment, devierile tarifare</w:t>
      </w:r>
      <w:r w:rsidR="005208BB">
        <w:rPr>
          <w:rFonts w:ascii="Times New Roman" w:hAnsi="Times New Roman" w:cs="Times New Roman"/>
          <w:sz w:val="16"/>
          <w:szCs w:val="16"/>
          <w:lang w:val="ro-RO"/>
        </w:rPr>
        <w:t xml:space="preserve"> </w:t>
      </w:r>
      <w:r w:rsidR="005208BB" w:rsidRPr="005208BB">
        <w:rPr>
          <w:rFonts w:ascii="Times New Roman" w:hAnsi="Times New Roman" w:cs="Times New Roman"/>
          <w:sz w:val="16"/>
          <w:szCs w:val="16"/>
          <w:lang w:val="ro-RO"/>
        </w:rPr>
        <w:t>pozitive</w:t>
      </w:r>
      <w:r w:rsidRPr="005208BB">
        <w:rPr>
          <w:rFonts w:ascii="Times New Roman" w:hAnsi="Times New Roman" w:cs="Times New Roman"/>
          <w:sz w:val="16"/>
          <w:szCs w:val="16"/>
          <w:lang w:val="ro-RO"/>
        </w:rPr>
        <w:t xml:space="preserve"> pentru </w:t>
      </w:r>
      <w:r w:rsidR="00C51006" w:rsidRPr="005208BB">
        <w:rPr>
          <w:rFonts w:ascii="Times New Roman" w:hAnsi="Times New Roman" w:cs="Times New Roman"/>
          <w:sz w:val="16"/>
          <w:szCs w:val="16"/>
          <w:lang w:val="ro-RO"/>
        </w:rPr>
        <w:t>anul 2020</w:t>
      </w:r>
      <w:r w:rsidRPr="005208BB">
        <w:rPr>
          <w:rFonts w:ascii="Times New Roman" w:hAnsi="Times New Roman" w:cs="Times New Roman"/>
          <w:sz w:val="16"/>
          <w:szCs w:val="16"/>
          <w:lang w:val="ro-RO"/>
        </w:rPr>
        <w:t xml:space="preserve"> au constituit 38.404,85 lei în anul 2019 – 23.516,27 lei.</w:t>
      </w:r>
    </w:p>
  </w:footnote>
  <w:footnote w:id="146">
    <w:p w14:paraId="325B59D1" w14:textId="4A8D5446" w:rsidR="00C242C2" w:rsidRPr="00F43F69" w:rsidRDefault="00C242C2" w:rsidP="00366DB8">
      <w:pPr>
        <w:pStyle w:val="a3"/>
        <w:jc w:val="both"/>
        <w:rPr>
          <w:rFonts w:ascii="Times New Roman" w:hAnsi="Times New Roman" w:cs="Times New Roman"/>
          <w:sz w:val="16"/>
          <w:szCs w:val="16"/>
        </w:rPr>
      </w:pPr>
      <w:r w:rsidRPr="005208BB">
        <w:rPr>
          <w:rStyle w:val="a5"/>
          <w:rFonts w:ascii="Times New Roman" w:hAnsi="Times New Roman" w:cs="Times New Roman"/>
          <w:sz w:val="16"/>
          <w:szCs w:val="16"/>
        </w:rPr>
        <w:footnoteRef/>
      </w:r>
      <w:r w:rsidRPr="005208BB">
        <w:rPr>
          <w:rFonts w:ascii="Times New Roman" w:hAnsi="Times New Roman" w:cs="Times New Roman"/>
          <w:sz w:val="16"/>
          <w:szCs w:val="16"/>
        </w:rPr>
        <w:t xml:space="preserve"> Din anul 2023 tichetele de masă nu se acordă.</w:t>
      </w:r>
    </w:p>
  </w:footnote>
  <w:footnote w:id="147">
    <w:p w14:paraId="75916E2E" w14:textId="77777777" w:rsidR="00C242C2" w:rsidRPr="00F43F69" w:rsidRDefault="00C242C2" w:rsidP="00366DB8">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Contractul semnat în data de 06.10.2020, cu modificările ulterioare, valabil în anii 2020 – 2024.</w:t>
      </w:r>
    </w:p>
  </w:footnote>
  <w:footnote w:id="148">
    <w:p w14:paraId="673CD0F2" w14:textId="77777777" w:rsidR="00C242C2" w:rsidRPr="00F43F69" w:rsidRDefault="00C242C2" w:rsidP="00366DB8">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Reprezentarea în instanțele de judecată; explicații cu referire la cauza aflată pe rol; întocmirea actelor procesuale necesare pentru soluționarea cauzelor în instanța de judecată. </w:t>
      </w:r>
    </w:p>
  </w:footnote>
  <w:footnote w:id="149">
    <w:p w14:paraId="2328C608" w14:textId="2AE6DF9E" w:rsidR="00C242C2" w:rsidRPr="00F43F69" w:rsidRDefault="00C242C2" w:rsidP="00366DB8">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Onorariul de succes se va negocia în fiecare caz în parte și se va consemn</w:t>
      </w:r>
      <w:r>
        <w:rPr>
          <w:rFonts w:ascii="Times New Roman" w:hAnsi="Times New Roman" w:cs="Times New Roman"/>
          <w:sz w:val="16"/>
          <w:szCs w:val="16"/>
          <w:lang w:val="ro-RO"/>
        </w:rPr>
        <w:t>a</w:t>
      </w:r>
      <w:r w:rsidRPr="00F43F69">
        <w:rPr>
          <w:rFonts w:ascii="Times New Roman" w:hAnsi="Times New Roman" w:cs="Times New Roman"/>
          <w:sz w:val="16"/>
          <w:szCs w:val="16"/>
          <w:lang w:val="ro-RO"/>
        </w:rPr>
        <w:t xml:space="preserve"> într-un act semnat de ambele părți.</w:t>
      </w:r>
    </w:p>
  </w:footnote>
  <w:footnote w:id="150">
    <w:p w14:paraId="6E41ECE2" w14:textId="27457687" w:rsidR="00C242C2" w:rsidRPr="00F43F69" w:rsidRDefault="00C242C2" w:rsidP="00366DB8">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Minus despăgubiri materiale – 29,8 mii lei, care au fost achitate în anul 2021.</w:t>
      </w:r>
    </w:p>
  </w:footnote>
  <w:footnote w:id="151">
    <w:p w14:paraId="32A4D811" w14:textId="60AF9415" w:rsidR="00C242C2" w:rsidRPr="00F43F69" w:rsidRDefault="00C242C2" w:rsidP="006B7A2A">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Inspector pe securitate; specialist relații publice; 2 șefi </w:t>
      </w:r>
      <w:r>
        <w:rPr>
          <w:rFonts w:ascii="Times New Roman" w:hAnsi="Times New Roman" w:cs="Times New Roman"/>
          <w:sz w:val="16"/>
          <w:szCs w:val="16"/>
        </w:rPr>
        <w:t xml:space="preserve">de </w:t>
      </w:r>
      <w:r w:rsidRPr="00F43F69">
        <w:rPr>
          <w:rFonts w:ascii="Times New Roman" w:hAnsi="Times New Roman" w:cs="Times New Roman"/>
          <w:sz w:val="16"/>
          <w:szCs w:val="16"/>
        </w:rPr>
        <w:t xml:space="preserve">serviciu. </w:t>
      </w:r>
    </w:p>
  </w:footnote>
  <w:footnote w:id="152">
    <w:p w14:paraId="6EAEB797" w14:textId="3D2697C9" w:rsidR="00C242C2" w:rsidRPr="00F43F69" w:rsidRDefault="00C242C2" w:rsidP="004E1A4C">
      <w:pPr>
        <w:pStyle w:val="a3"/>
        <w:jc w:val="both"/>
        <w:rPr>
          <w:rFonts w:ascii="Times New Roman" w:hAnsi="Times New Roman" w:cs="Times New Roman"/>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imes New Roman" w:hAnsi="Times New Roman" w:cs="Times New Roman"/>
          <w:sz w:val="16"/>
          <w:szCs w:val="16"/>
          <w:lang w:val="ro-RO"/>
        </w:rPr>
        <w:t xml:space="preserve">Acoperirea pierderilor din anii precedenți; formarea capitalului de rezervă; formarea, conform prevederilor statutului, a fondurilor pentru răscumpărarea acțiunilor din care nu pot fi plătite dividende; plata recompenselor către membrii </w:t>
      </w:r>
      <w:r>
        <w:rPr>
          <w:rFonts w:ascii="Times New Roman" w:hAnsi="Times New Roman" w:cs="Times New Roman"/>
          <w:sz w:val="16"/>
          <w:szCs w:val="16"/>
          <w:lang w:val="ro-RO"/>
        </w:rPr>
        <w:t>C</w:t>
      </w:r>
      <w:r w:rsidRPr="00F43F69">
        <w:rPr>
          <w:rFonts w:ascii="Times New Roman" w:hAnsi="Times New Roman" w:cs="Times New Roman"/>
          <w:sz w:val="16"/>
          <w:szCs w:val="16"/>
          <w:lang w:val="ro-RO"/>
        </w:rPr>
        <w:t xml:space="preserve">onsiliului societății, ai </w:t>
      </w:r>
      <w:r>
        <w:rPr>
          <w:rFonts w:ascii="Times New Roman" w:hAnsi="Times New Roman" w:cs="Times New Roman"/>
          <w:sz w:val="16"/>
          <w:szCs w:val="16"/>
          <w:lang w:val="ro-RO"/>
        </w:rPr>
        <w:t>C</w:t>
      </w:r>
      <w:r w:rsidRPr="00F43F69">
        <w:rPr>
          <w:rFonts w:ascii="Times New Roman" w:hAnsi="Times New Roman" w:cs="Times New Roman"/>
          <w:sz w:val="16"/>
          <w:szCs w:val="16"/>
          <w:lang w:val="ro-RO"/>
        </w:rPr>
        <w:t xml:space="preserve">omisiei de cenzori și ai </w:t>
      </w:r>
      <w:r>
        <w:rPr>
          <w:rFonts w:ascii="Times New Roman" w:hAnsi="Times New Roman" w:cs="Times New Roman"/>
          <w:sz w:val="16"/>
          <w:szCs w:val="16"/>
          <w:lang w:val="ro-RO"/>
        </w:rPr>
        <w:t>C</w:t>
      </w:r>
      <w:r w:rsidRPr="00F43F69">
        <w:rPr>
          <w:rFonts w:ascii="Times New Roman" w:hAnsi="Times New Roman" w:cs="Times New Roman"/>
          <w:sz w:val="16"/>
          <w:szCs w:val="16"/>
          <w:lang w:val="ro-RO"/>
        </w:rPr>
        <w:t>omitetului de audit; investirea în vederea dezvoltării producției; plata dividendelor.</w:t>
      </w:r>
    </w:p>
  </w:footnote>
  <w:footnote w:id="153">
    <w:p w14:paraId="5866584A" w14:textId="15AC4177" w:rsidR="00C242C2" w:rsidRPr="00F43F69" w:rsidRDefault="00C242C2" w:rsidP="00366DB8">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Regulamentul privind acordarea ajutorului material de către S.A. „R</w:t>
      </w:r>
      <w:r>
        <w:rPr>
          <w:rFonts w:ascii="Times New Roman" w:hAnsi="Times New Roman" w:cs="Times New Roman"/>
          <w:sz w:val="16"/>
          <w:szCs w:val="16"/>
          <w:lang w:val="ro-RO"/>
        </w:rPr>
        <w:t>ED</w:t>
      </w:r>
      <w:r w:rsidRPr="00F43F69">
        <w:rPr>
          <w:rFonts w:ascii="Times New Roman" w:hAnsi="Times New Roman" w:cs="Times New Roman"/>
          <w:sz w:val="16"/>
          <w:szCs w:val="16"/>
          <w:lang w:val="ro-RO"/>
        </w:rPr>
        <w:t xml:space="preserve">-Nord” în caz de accidente, îmbolnăvire și deces, aprobat de către Consiliul societății în data de 19.05.2020. Cuantumul ajutorului material unic în caz de accidente și îmbolnăvire se determină în </w:t>
      </w:r>
      <w:r>
        <w:rPr>
          <w:rFonts w:ascii="Times New Roman" w:hAnsi="Times New Roman" w:cs="Times New Roman"/>
          <w:sz w:val="16"/>
          <w:szCs w:val="16"/>
          <w:lang w:val="ro-RO"/>
        </w:rPr>
        <w:t>funcție</w:t>
      </w:r>
      <w:r w:rsidRPr="00F43F69">
        <w:rPr>
          <w:rFonts w:ascii="Times New Roman" w:hAnsi="Times New Roman" w:cs="Times New Roman"/>
          <w:sz w:val="16"/>
          <w:szCs w:val="16"/>
          <w:lang w:val="ro-RO"/>
        </w:rPr>
        <w:t xml:space="preserve"> de gravitatea cazului și poate fi stabilit în mărime de până la 5,0 mii lei, iar cuantumul ajutorului material unic în caz de deces – se stabilește în mărime de 4,0 mii lei (nefiind luate în calcul defalcările în fondul social și medical, pentru a păstra valoarea netă spre achitare).</w:t>
      </w:r>
    </w:p>
  </w:footnote>
  <w:footnote w:id="154">
    <w:p w14:paraId="14F25084" w14:textId="3034D9B0" w:rsidR="00C242C2" w:rsidRPr="00F43F69" w:rsidRDefault="00C242C2" w:rsidP="00FC244C">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Competența </w:t>
      </w:r>
      <w:r w:rsidRPr="00F43F69">
        <w:rPr>
          <w:rFonts w:ascii="Times New Roman" w:hAnsi="Times New Roman" w:cs="Times New Roman"/>
          <w:bCs/>
          <w:sz w:val="16"/>
          <w:szCs w:val="16"/>
          <w:lang w:val="ro-RO"/>
        </w:rPr>
        <w:t xml:space="preserve">Adunării </w:t>
      </w:r>
      <w:r>
        <w:rPr>
          <w:rFonts w:ascii="Times New Roman" w:hAnsi="Times New Roman" w:cs="Times New Roman"/>
          <w:bCs/>
          <w:sz w:val="16"/>
          <w:szCs w:val="16"/>
          <w:lang w:val="ro-RO"/>
        </w:rPr>
        <w:t>G</w:t>
      </w:r>
      <w:r w:rsidRPr="00F43F69">
        <w:rPr>
          <w:rFonts w:ascii="Times New Roman" w:hAnsi="Times New Roman" w:cs="Times New Roman"/>
          <w:bCs/>
          <w:sz w:val="16"/>
          <w:szCs w:val="16"/>
          <w:lang w:val="ro-RO"/>
        </w:rPr>
        <w:t xml:space="preserve">enerale a </w:t>
      </w:r>
      <w:r>
        <w:rPr>
          <w:rFonts w:ascii="Times New Roman" w:hAnsi="Times New Roman" w:cs="Times New Roman"/>
          <w:bCs/>
          <w:sz w:val="16"/>
          <w:szCs w:val="16"/>
          <w:lang w:val="ro-RO"/>
        </w:rPr>
        <w:t>A</w:t>
      </w:r>
      <w:r w:rsidRPr="00F43F69">
        <w:rPr>
          <w:rFonts w:ascii="Times New Roman" w:hAnsi="Times New Roman" w:cs="Times New Roman"/>
          <w:bCs/>
          <w:sz w:val="16"/>
          <w:szCs w:val="16"/>
          <w:lang w:val="ro-RO"/>
        </w:rPr>
        <w:t>cționarilor: aprobă normativele de repartizare a profitului net al societății; hotărăște cu privire la repartizarea profitului net anual, inclusiv plata dividendelor anuale sau la acoperirea pierderilor societății.</w:t>
      </w:r>
    </w:p>
  </w:footnote>
  <w:footnote w:id="155">
    <w:p w14:paraId="2F07A3EF" w14:textId="77777777" w:rsidR="00C242C2" w:rsidRPr="00F43F69" w:rsidRDefault="00C242C2" w:rsidP="00FC244C">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Procesul-verbal nr.9/2022 din 19.07.2022 al ședinței Consiliului societății.</w:t>
      </w:r>
    </w:p>
  </w:footnote>
  <w:footnote w:id="156">
    <w:p w14:paraId="5328C258" w14:textId="3284FCF9" w:rsidR="00C242C2" w:rsidRPr="00F43F69" w:rsidRDefault="00C242C2" w:rsidP="00FC244C">
      <w:pPr>
        <w:pStyle w:val="a3"/>
        <w:jc w:val="both"/>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w:t>
      </w:r>
      <w:r w:rsidRPr="00F43F69">
        <w:rPr>
          <w:rFonts w:ascii="Times New Roman" w:hAnsi="Times New Roman" w:cs="Times New Roman"/>
          <w:bCs/>
          <w:sz w:val="16"/>
          <w:szCs w:val="16"/>
          <w:lang w:val="ro-RO"/>
        </w:rPr>
        <w:t>Notă</w:t>
      </w:r>
      <w:r w:rsidRPr="00F43F69">
        <w:rPr>
          <w:rFonts w:ascii="Times New Roman" w:hAnsi="Times New Roman" w:cs="Times New Roman"/>
          <w:b/>
          <w:bCs/>
          <w:sz w:val="16"/>
          <w:szCs w:val="16"/>
          <w:lang w:val="ro-RO"/>
        </w:rPr>
        <w:t xml:space="preserve">: </w:t>
      </w:r>
      <w:r w:rsidRPr="00F43F69">
        <w:rPr>
          <w:rFonts w:ascii="Times New Roman" w:hAnsi="Times New Roman" w:cs="Times New Roman"/>
          <w:bCs/>
          <w:sz w:val="16"/>
          <w:szCs w:val="16"/>
          <w:lang w:val="ro-RO"/>
        </w:rPr>
        <w:t>În cazul în care recompensa nu ar fi acordată pentru directoriul tehnic (25,4 mii lei), directorul financiar (25,4 mii lei), directorul administrativ (25,4 mii lei) și secretarul Consiliului societății (2,3 mii lei), iar recompensa reprezentantului statului (25,4 mii lei) ar fi atribuită directorului general (organul executiv), atunci suma totală a recompensei ar corespunde cu prevederile</w:t>
      </w:r>
      <w:r>
        <w:rPr>
          <w:rFonts w:ascii="Times New Roman" w:hAnsi="Times New Roman" w:cs="Times New Roman"/>
          <w:bCs/>
          <w:sz w:val="16"/>
          <w:szCs w:val="16"/>
          <w:lang w:val="ro-RO"/>
        </w:rPr>
        <w:t xml:space="preserve"> H</w:t>
      </w:r>
      <w:r w:rsidRPr="00F43F69">
        <w:rPr>
          <w:rFonts w:ascii="Times New Roman" w:hAnsi="Times New Roman" w:cs="Times New Roman"/>
          <w:bCs/>
          <w:sz w:val="16"/>
          <w:szCs w:val="16"/>
          <w:lang w:val="ro-RO"/>
        </w:rPr>
        <w:t xml:space="preserve">otărârii Adunării </w:t>
      </w:r>
      <w:r>
        <w:rPr>
          <w:rFonts w:ascii="Times New Roman" w:hAnsi="Times New Roman" w:cs="Times New Roman"/>
          <w:bCs/>
          <w:sz w:val="16"/>
          <w:szCs w:val="16"/>
          <w:lang w:val="ro-RO"/>
        </w:rPr>
        <w:t>G</w:t>
      </w:r>
      <w:r w:rsidRPr="00F43F69">
        <w:rPr>
          <w:rFonts w:ascii="Times New Roman" w:hAnsi="Times New Roman" w:cs="Times New Roman"/>
          <w:bCs/>
          <w:sz w:val="16"/>
          <w:szCs w:val="16"/>
          <w:lang w:val="ro-RO"/>
        </w:rPr>
        <w:t xml:space="preserve">enerale a </w:t>
      </w:r>
      <w:r>
        <w:rPr>
          <w:rFonts w:ascii="Times New Roman" w:hAnsi="Times New Roman" w:cs="Times New Roman"/>
          <w:bCs/>
          <w:sz w:val="16"/>
          <w:szCs w:val="16"/>
          <w:lang w:val="ro-RO"/>
        </w:rPr>
        <w:t>A</w:t>
      </w:r>
      <w:r w:rsidRPr="00F43F69">
        <w:rPr>
          <w:rFonts w:ascii="Times New Roman" w:hAnsi="Times New Roman" w:cs="Times New Roman"/>
          <w:bCs/>
          <w:sz w:val="16"/>
          <w:szCs w:val="16"/>
          <w:lang w:val="ro-RO"/>
        </w:rPr>
        <w:t>cționarilor din 21.06.2022 – 358,9 mii lei.</w:t>
      </w:r>
    </w:p>
  </w:footnote>
  <w:footnote w:id="157">
    <w:p w14:paraId="58A89BE7" w14:textId="11A52935" w:rsidR="00C242C2" w:rsidRPr="00F43F69" w:rsidRDefault="00C242C2" w:rsidP="00CB0344">
      <w:pPr>
        <w:pStyle w:val="a3"/>
        <w:jc w:val="both"/>
        <w:rPr>
          <w:rFonts w:ascii="Times New Roman" w:hAnsi="Times New Roman" w:cs="Times New Roman"/>
          <w:b/>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Legea nr.260 din 07.12.2017 privind organizarea și funcționarea Curții de Conturi a Republicii Moldova.</w:t>
      </w:r>
    </w:p>
  </w:footnote>
  <w:footnote w:id="158">
    <w:p w14:paraId="53FB860C" w14:textId="77777777" w:rsidR="00C242C2" w:rsidRPr="00F43F69" w:rsidRDefault="00C242C2" w:rsidP="007D188E">
      <w:pPr>
        <w:pStyle w:val="a3"/>
        <w:jc w:val="both"/>
        <w:rPr>
          <w:rFonts w:asciiTheme="majorBidi" w:hAnsiTheme="majorBidi" w:cstheme="majorBidi"/>
          <w:sz w:val="16"/>
          <w:szCs w:val="16"/>
        </w:rPr>
      </w:pPr>
      <w:r w:rsidRPr="00F43F69">
        <w:rPr>
          <w:rStyle w:val="a5"/>
          <w:rFonts w:ascii="Times New Roman" w:hAnsi="Times New Roman" w:cs="Times New Roman"/>
          <w:sz w:val="16"/>
          <w:szCs w:val="16"/>
        </w:rPr>
        <w:footnoteRef/>
      </w:r>
      <w:r w:rsidRPr="00F43F69">
        <w:rPr>
          <w:rFonts w:ascii="Times New Roman" w:hAnsi="Times New Roman" w:cs="Times New Roman"/>
          <w:sz w:val="16"/>
          <w:szCs w:val="16"/>
        </w:rPr>
        <w:t xml:space="preserve"> </w:t>
      </w:r>
      <w:r w:rsidRPr="00F43F69">
        <w:rPr>
          <w:rFonts w:asciiTheme="majorBidi" w:hAnsiTheme="majorBidi" w:cstheme="majorBidi"/>
          <w:sz w:val="16"/>
          <w:szCs w:val="16"/>
        </w:rPr>
        <w:t>Hotărârea Curții de Conturi nr.65 din 22.12.2022.</w:t>
      </w:r>
    </w:p>
  </w:footnote>
  <w:footnote w:id="159">
    <w:p w14:paraId="4D0BC84C" w14:textId="7A30E042" w:rsidR="00C242C2" w:rsidRPr="00F43F69" w:rsidRDefault="00C242C2">
      <w:pPr>
        <w:pStyle w:val="a3"/>
        <w:rPr>
          <w:rFonts w:asciiTheme="majorBidi" w:hAnsiTheme="majorBidi" w:cstheme="majorBidi"/>
          <w:sz w:val="16"/>
          <w:szCs w:val="16"/>
          <w:lang w:val="ro-RO"/>
        </w:rPr>
      </w:pPr>
      <w:r w:rsidRPr="00F43F69">
        <w:rPr>
          <w:rStyle w:val="a5"/>
          <w:rFonts w:asciiTheme="majorBidi" w:hAnsiTheme="majorBidi" w:cstheme="majorBidi"/>
          <w:sz w:val="16"/>
          <w:szCs w:val="16"/>
        </w:rPr>
        <w:footnoteRef/>
      </w:r>
      <w:r w:rsidRPr="00F43F69">
        <w:rPr>
          <w:rFonts w:asciiTheme="majorBidi" w:hAnsiTheme="majorBidi" w:cstheme="majorBidi"/>
          <w:sz w:val="16"/>
          <w:szCs w:val="16"/>
        </w:rPr>
        <w:t xml:space="preserve"> Hotărârea Curții de Conturi nr.45 din 15.12.2022.</w:t>
      </w:r>
    </w:p>
  </w:footnote>
  <w:footnote w:id="160">
    <w:p w14:paraId="764CCF28" w14:textId="77777777" w:rsidR="00C242C2" w:rsidRPr="00F43F69" w:rsidRDefault="00C242C2" w:rsidP="007D188E">
      <w:pPr>
        <w:pStyle w:val="a3"/>
        <w:jc w:val="both"/>
        <w:rPr>
          <w:rFonts w:ascii="Times New Roman" w:hAnsi="Times New Roman" w:cs="Times New Roman"/>
          <w:sz w:val="16"/>
          <w:szCs w:val="16"/>
          <w:vertAlign w:val="superscript"/>
        </w:rPr>
      </w:pPr>
      <w:r w:rsidRPr="00F43F69">
        <w:rPr>
          <w:rStyle w:val="a5"/>
          <w:rFonts w:asciiTheme="majorBidi" w:hAnsiTheme="majorBidi" w:cstheme="majorBidi"/>
          <w:sz w:val="16"/>
          <w:szCs w:val="16"/>
        </w:rPr>
        <w:footnoteRef/>
      </w:r>
      <w:r w:rsidRPr="00F43F69">
        <w:rPr>
          <w:rFonts w:asciiTheme="majorBidi" w:hAnsiTheme="majorBidi" w:cstheme="majorBidi"/>
          <w:sz w:val="16"/>
          <w:szCs w:val="16"/>
          <w:vertAlign w:val="superscript"/>
        </w:rPr>
        <w:t xml:space="preserve"> </w:t>
      </w:r>
      <w:r w:rsidRPr="00F43F69">
        <w:rPr>
          <w:rFonts w:asciiTheme="majorBidi" w:hAnsiTheme="majorBidi" w:cstheme="majorBidi"/>
          <w:sz w:val="16"/>
          <w:szCs w:val="16"/>
        </w:rPr>
        <w:t>Hotărârea Curții de Conturi</w:t>
      </w:r>
      <w:r w:rsidRPr="00F43F69">
        <w:rPr>
          <w:rFonts w:ascii="Times New Roman" w:hAnsi="Times New Roman" w:cs="Times New Roman"/>
          <w:sz w:val="16"/>
          <w:szCs w:val="16"/>
        </w:rPr>
        <w:t xml:space="preserve"> nr.2 din 24.01.2020 „Cu privire la Cadrul Declarațiilor Profesionale ale INTOSAI”.</w:t>
      </w:r>
    </w:p>
  </w:footnote>
  <w:footnote w:id="161">
    <w:p w14:paraId="274DA423" w14:textId="77777777" w:rsidR="00C242C2" w:rsidRPr="002F3145" w:rsidRDefault="00C242C2" w:rsidP="007E784D">
      <w:pPr>
        <w:pStyle w:val="a3"/>
        <w:rPr>
          <w:rFonts w:ascii="Times New Roman" w:hAnsi="Times New Roman" w:cs="Times New Roman"/>
          <w:sz w:val="16"/>
          <w:szCs w:val="16"/>
          <w:lang w:val="ro-RO"/>
        </w:rPr>
      </w:pPr>
      <w:r w:rsidRPr="00F43F69">
        <w:rPr>
          <w:rStyle w:val="a5"/>
          <w:rFonts w:ascii="Times New Roman" w:hAnsi="Times New Roman" w:cs="Times New Roman"/>
          <w:sz w:val="16"/>
          <w:szCs w:val="16"/>
          <w:lang w:val="ro-RO"/>
        </w:rPr>
        <w:footnoteRef/>
      </w:r>
      <w:r w:rsidRPr="00F43F69">
        <w:rPr>
          <w:rFonts w:ascii="Times New Roman" w:hAnsi="Times New Roman" w:cs="Times New Roman"/>
          <w:sz w:val="16"/>
          <w:szCs w:val="16"/>
          <w:lang w:val="ro-RO"/>
        </w:rPr>
        <w:t xml:space="preserve"> Funcție liberă, fără titular.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4B6"/>
    <w:multiLevelType w:val="hybridMultilevel"/>
    <w:tmpl w:val="F1D05D7C"/>
    <w:lvl w:ilvl="0" w:tplc="FBD004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9C2E84"/>
    <w:multiLevelType w:val="hybridMultilevel"/>
    <w:tmpl w:val="0BEA9118"/>
    <w:lvl w:ilvl="0" w:tplc="72F0D3E2">
      <w:start w:val="19"/>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9CB4F4A"/>
    <w:multiLevelType w:val="hybridMultilevel"/>
    <w:tmpl w:val="C2FCC000"/>
    <w:lvl w:ilvl="0" w:tplc="96C6B78A">
      <w:start w:val="1"/>
      <w:numFmt w:val="decimal"/>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 w15:restartNumberingAfterBreak="0">
    <w:nsid w:val="0A9B0F3D"/>
    <w:multiLevelType w:val="hybridMultilevel"/>
    <w:tmpl w:val="51102D94"/>
    <w:lvl w:ilvl="0" w:tplc="8F3EB4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D0D4F71"/>
    <w:multiLevelType w:val="hybridMultilevel"/>
    <w:tmpl w:val="E9528EB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0C934F9"/>
    <w:multiLevelType w:val="hybridMultilevel"/>
    <w:tmpl w:val="E1FAD064"/>
    <w:lvl w:ilvl="0" w:tplc="04090001">
      <w:start w:val="1"/>
      <w:numFmt w:val="bullet"/>
      <w:lvlText w:val=""/>
      <w:lvlJc w:val="left"/>
      <w:pPr>
        <w:ind w:left="927" w:hanging="360"/>
      </w:pPr>
      <w:rPr>
        <w:rFonts w:ascii="Symbol" w:hAnsi="Symbol"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B763308"/>
    <w:multiLevelType w:val="hybridMultilevel"/>
    <w:tmpl w:val="F7CAB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114DE"/>
    <w:multiLevelType w:val="hybridMultilevel"/>
    <w:tmpl w:val="1BC24652"/>
    <w:lvl w:ilvl="0" w:tplc="4B7A1D84">
      <w:start w:val="1"/>
      <w:numFmt w:val="decimal"/>
      <w:lvlText w:val="%1)"/>
      <w:lvlJc w:val="left"/>
      <w:pPr>
        <w:ind w:left="927" w:hanging="360"/>
      </w:pPr>
      <w:rPr>
        <w:rFonts w:ascii="Times New Roman" w:eastAsia="Times New Roman" w:hAnsi="Times New Roman" w:cs="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4725058"/>
    <w:multiLevelType w:val="hybridMultilevel"/>
    <w:tmpl w:val="845C2782"/>
    <w:lvl w:ilvl="0" w:tplc="5E4871B0">
      <w:start w:val="1"/>
      <w:numFmt w:val="decimal"/>
      <w:lvlText w:val="%1)"/>
      <w:lvlJc w:val="left"/>
      <w:pPr>
        <w:ind w:left="121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6083B8F"/>
    <w:multiLevelType w:val="hybridMultilevel"/>
    <w:tmpl w:val="D37C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15D0F"/>
    <w:multiLevelType w:val="hybridMultilevel"/>
    <w:tmpl w:val="B068371E"/>
    <w:lvl w:ilvl="0" w:tplc="8F3EB4F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036FC"/>
    <w:multiLevelType w:val="hybridMultilevel"/>
    <w:tmpl w:val="ECEA4E54"/>
    <w:lvl w:ilvl="0" w:tplc="6CD2289A">
      <w:start w:val="1"/>
      <w:numFmt w:val="decimal"/>
      <w:lvlText w:val="%1)"/>
      <w:lvlJc w:val="left"/>
      <w:pPr>
        <w:ind w:left="1211"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A545D2B"/>
    <w:multiLevelType w:val="hybridMultilevel"/>
    <w:tmpl w:val="F3CEC2E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E487DE9"/>
    <w:multiLevelType w:val="hybridMultilevel"/>
    <w:tmpl w:val="889ADE72"/>
    <w:lvl w:ilvl="0" w:tplc="0046BC76">
      <w:start w:val="1"/>
      <w:numFmt w:val="decimal"/>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4" w15:restartNumberingAfterBreak="0">
    <w:nsid w:val="3E73069A"/>
    <w:multiLevelType w:val="hybridMultilevel"/>
    <w:tmpl w:val="C0483132"/>
    <w:lvl w:ilvl="0" w:tplc="0409000D">
      <w:start w:val="1"/>
      <w:numFmt w:val="bullet"/>
      <w:lvlText w:val=""/>
      <w:lvlJc w:val="left"/>
      <w:pPr>
        <w:ind w:left="7165"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15:restartNumberingAfterBreak="0">
    <w:nsid w:val="3F277B35"/>
    <w:multiLevelType w:val="hybridMultilevel"/>
    <w:tmpl w:val="373AFCEC"/>
    <w:lvl w:ilvl="0" w:tplc="E6CA604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90A5A"/>
    <w:multiLevelType w:val="hybridMultilevel"/>
    <w:tmpl w:val="5066BC96"/>
    <w:lvl w:ilvl="0" w:tplc="29AE51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1526DDD"/>
    <w:multiLevelType w:val="hybridMultilevel"/>
    <w:tmpl w:val="C4EE780A"/>
    <w:lvl w:ilvl="0" w:tplc="B9BACDD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269538E"/>
    <w:multiLevelType w:val="hybridMultilevel"/>
    <w:tmpl w:val="BD68D19A"/>
    <w:lvl w:ilvl="0" w:tplc="7F1E41CC">
      <w:start w:val="1"/>
      <w:numFmt w:val="decimal"/>
      <w:lvlText w:val="%1)"/>
      <w:lvlJc w:val="left"/>
      <w:pPr>
        <w:ind w:left="1287" w:hanging="360"/>
      </w:pPr>
      <w:rPr>
        <w:rFonts w:ascii="Times New Roman" w:eastAsia="SimSun"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4AA41EA"/>
    <w:multiLevelType w:val="hybridMultilevel"/>
    <w:tmpl w:val="2734836A"/>
    <w:lvl w:ilvl="0" w:tplc="03CAD246">
      <w:start w:val="1"/>
      <w:numFmt w:val="decimal"/>
      <w:lvlText w:val="%1)"/>
      <w:lvlJc w:val="left"/>
      <w:pPr>
        <w:ind w:left="1287" w:hanging="360"/>
      </w:pPr>
      <w:rPr>
        <w:rFonts w:ascii="Times New Roman" w:eastAsiaTheme="minorHAns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5BA0B5C"/>
    <w:multiLevelType w:val="hybridMultilevel"/>
    <w:tmpl w:val="2E2821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6589D"/>
    <w:multiLevelType w:val="hybridMultilevel"/>
    <w:tmpl w:val="6AEEBE32"/>
    <w:lvl w:ilvl="0" w:tplc="C11622F4">
      <w:numFmt w:val="bullet"/>
      <w:lvlText w:val="-"/>
      <w:lvlJc w:val="left"/>
      <w:pPr>
        <w:ind w:left="1287" w:hanging="360"/>
      </w:pPr>
      <w:rPr>
        <w:rFonts w:ascii="Calibri Light" w:eastAsia="Times New Roman" w:hAnsi="Calibri Light" w:cs="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41E0D14"/>
    <w:multiLevelType w:val="hybridMultilevel"/>
    <w:tmpl w:val="E5161C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87A6188"/>
    <w:multiLevelType w:val="hybridMultilevel"/>
    <w:tmpl w:val="B756F4AE"/>
    <w:lvl w:ilvl="0" w:tplc="45FC66F8">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83D25"/>
    <w:multiLevelType w:val="hybridMultilevel"/>
    <w:tmpl w:val="ABD0BECA"/>
    <w:lvl w:ilvl="0" w:tplc="7B7A753C">
      <w:start w:val="2"/>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E54BC"/>
    <w:multiLevelType w:val="hybridMultilevel"/>
    <w:tmpl w:val="CA5CC582"/>
    <w:lvl w:ilvl="0" w:tplc="C11622F4">
      <w:numFmt w:val="bullet"/>
      <w:lvlText w:val="-"/>
      <w:lvlJc w:val="left"/>
      <w:pPr>
        <w:ind w:left="1854" w:hanging="360"/>
      </w:pPr>
      <w:rPr>
        <w:rFonts w:ascii="Calibri Light" w:eastAsia="Times New Roman" w:hAnsi="Calibri Light" w:cs="Calibri Light"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6F4E6069"/>
    <w:multiLevelType w:val="hybridMultilevel"/>
    <w:tmpl w:val="7750935C"/>
    <w:lvl w:ilvl="0" w:tplc="D90E767A">
      <w:start w:val="1"/>
      <w:numFmt w:val="decimal"/>
      <w:lvlText w:val="%1)"/>
      <w:lvlJc w:val="left"/>
      <w:pPr>
        <w:ind w:left="927" w:hanging="360"/>
      </w:pPr>
      <w:rPr>
        <w:rFonts w:hint="default"/>
        <w:b w:val="0"/>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0E26235"/>
    <w:multiLevelType w:val="hybridMultilevel"/>
    <w:tmpl w:val="CF243AB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70EF4D09"/>
    <w:multiLevelType w:val="hybridMultilevel"/>
    <w:tmpl w:val="C43478E2"/>
    <w:lvl w:ilvl="0" w:tplc="07CA555E">
      <w:start w:val="1"/>
      <w:numFmt w:val="decimal"/>
      <w:lvlText w:val="%1."/>
      <w:lvlJc w:val="left"/>
      <w:pPr>
        <w:ind w:left="6031" w:hanging="360"/>
      </w:pPr>
      <w:rPr>
        <w:rFonts w:asciiTheme="majorBidi" w:eastAsiaTheme="minorHAnsi" w:hAnsiTheme="majorBidi" w:cstheme="majorBidi" w:hint="default"/>
        <w:b w:val="0"/>
        <w:i/>
        <w:color w:val="000000"/>
        <w:u w:val="none"/>
      </w:rPr>
    </w:lvl>
    <w:lvl w:ilvl="1" w:tplc="04090003" w:tentative="1">
      <w:start w:val="1"/>
      <w:numFmt w:val="bullet"/>
      <w:lvlText w:val="o"/>
      <w:lvlJc w:val="left"/>
      <w:pPr>
        <w:ind w:left="8257" w:hanging="360"/>
      </w:pPr>
      <w:rPr>
        <w:rFonts w:ascii="Courier New" w:hAnsi="Courier New" w:cs="Courier New" w:hint="default"/>
      </w:rPr>
    </w:lvl>
    <w:lvl w:ilvl="2" w:tplc="04090005" w:tentative="1">
      <w:start w:val="1"/>
      <w:numFmt w:val="bullet"/>
      <w:lvlText w:val=""/>
      <w:lvlJc w:val="left"/>
      <w:pPr>
        <w:ind w:left="8977" w:hanging="360"/>
      </w:pPr>
      <w:rPr>
        <w:rFonts w:ascii="Wingdings" w:hAnsi="Wingdings" w:hint="default"/>
      </w:rPr>
    </w:lvl>
    <w:lvl w:ilvl="3" w:tplc="04090001" w:tentative="1">
      <w:start w:val="1"/>
      <w:numFmt w:val="bullet"/>
      <w:lvlText w:val=""/>
      <w:lvlJc w:val="left"/>
      <w:pPr>
        <w:ind w:left="9697" w:hanging="360"/>
      </w:pPr>
      <w:rPr>
        <w:rFonts w:ascii="Symbol" w:hAnsi="Symbol" w:hint="default"/>
      </w:rPr>
    </w:lvl>
    <w:lvl w:ilvl="4" w:tplc="04090003" w:tentative="1">
      <w:start w:val="1"/>
      <w:numFmt w:val="bullet"/>
      <w:lvlText w:val="o"/>
      <w:lvlJc w:val="left"/>
      <w:pPr>
        <w:ind w:left="10417" w:hanging="360"/>
      </w:pPr>
      <w:rPr>
        <w:rFonts w:ascii="Courier New" w:hAnsi="Courier New" w:cs="Courier New" w:hint="default"/>
      </w:rPr>
    </w:lvl>
    <w:lvl w:ilvl="5" w:tplc="04090005" w:tentative="1">
      <w:start w:val="1"/>
      <w:numFmt w:val="bullet"/>
      <w:lvlText w:val=""/>
      <w:lvlJc w:val="left"/>
      <w:pPr>
        <w:ind w:left="11137" w:hanging="360"/>
      </w:pPr>
      <w:rPr>
        <w:rFonts w:ascii="Wingdings" w:hAnsi="Wingdings" w:hint="default"/>
      </w:rPr>
    </w:lvl>
    <w:lvl w:ilvl="6" w:tplc="04090001" w:tentative="1">
      <w:start w:val="1"/>
      <w:numFmt w:val="bullet"/>
      <w:lvlText w:val=""/>
      <w:lvlJc w:val="left"/>
      <w:pPr>
        <w:ind w:left="11857" w:hanging="360"/>
      </w:pPr>
      <w:rPr>
        <w:rFonts w:ascii="Symbol" w:hAnsi="Symbol" w:hint="default"/>
      </w:rPr>
    </w:lvl>
    <w:lvl w:ilvl="7" w:tplc="04090003" w:tentative="1">
      <w:start w:val="1"/>
      <w:numFmt w:val="bullet"/>
      <w:lvlText w:val="o"/>
      <w:lvlJc w:val="left"/>
      <w:pPr>
        <w:ind w:left="12577" w:hanging="360"/>
      </w:pPr>
      <w:rPr>
        <w:rFonts w:ascii="Courier New" w:hAnsi="Courier New" w:cs="Courier New" w:hint="default"/>
      </w:rPr>
    </w:lvl>
    <w:lvl w:ilvl="8" w:tplc="04090005" w:tentative="1">
      <w:start w:val="1"/>
      <w:numFmt w:val="bullet"/>
      <w:lvlText w:val=""/>
      <w:lvlJc w:val="left"/>
      <w:pPr>
        <w:ind w:left="13297" w:hanging="360"/>
      </w:pPr>
      <w:rPr>
        <w:rFonts w:ascii="Wingdings" w:hAnsi="Wingdings" w:hint="default"/>
      </w:rPr>
    </w:lvl>
  </w:abstractNum>
  <w:abstractNum w:abstractNumId="29" w15:restartNumberingAfterBreak="0">
    <w:nsid w:val="74C9153C"/>
    <w:multiLevelType w:val="hybridMultilevel"/>
    <w:tmpl w:val="BCAED9A0"/>
    <w:lvl w:ilvl="0" w:tplc="0409000B">
      <w:start w:val="1"/>
      <w:numFmt w:val="bullet"/>
      <w:lvlText w:val=""/>
      <w:lvlJc w:val="left"/>
      <w:pPr>
        <w:ind w:left="927" w:hanging="360"/>
      </w:pPr>
      <w:rPr>
        <w:rFonts w:ascii="Wingdings" w:hAnsi="Wingding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6545332"/>
    <w:multiLevelType w:val="hybridMultilevel"/>
    <w:tmpl w:val="E9C27A7C"/>
    <w:lvl w:ilvl="0" w:tplc="8F3EB4F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9097C"/>
    <w:multiLevelType w:val="hybridMultilevel"/>
    <w:tmpl w:val="3A5E8168"/>
    <w:lvl w:ilvl="0" w:tplc="632642F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78E63C0"/>
    <w:multiLevelType w:val="hybridMultilevel"/>
    <w:tmpl w:val="AAC84C90"/>
    <w:lvl w:ilvl="0" w:tplc="0409000D">
      <w:start w:val="1"/>
      <w:numFmt w:val="bullet"/>
      <w:lvlText w:val=""/>
      <w:lvlJc w:val="left"/>
      <w:pPr>
        <w:ind w:left="720" w:hanging="360"/>
      </w:pPr>
      <w:rPr>
        <w:rFonts w:ascii="Wingdings" w:hAnsi="Wingdings" w:hint="default"/>
      </w:rPr>
    </w:lvl>
    <w:lvl w:ilvl="1" w:tplc="CB46F456">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350BA"/>
    <w:multiLevelType w:val="hybridMultilevel"/>
    <w:tmpl w:val="22046216"/>
    <w:lvl w:ilvl="0" w:tplc="56AA4D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74607"/>
    <w:multiLevelType w:val="hybridMultilevel"/>
    <w:tmpl w:val="C43478E2"/>
    <w:lvl w:ilvl="0" w:tplc="07CA555E">
      <w:start w:val="1"/>
      <w:numFmt w:val="decimal"/>
      <w:lvlText w:val="%1."/>
      <w:lvlJc w:val="left"/>
      <w:pPr>
        <w:ind w:left="6031" w:hanging="360"/>
      </w:pPr>
      <w:rPr>
        <w:rFonts w:asciiTheme="majorBidi" w:eastAsiaTheme="minorHAnsi" w:hAnsiTheme="majorBidi" w:cstheme="majorBidi" w:hint="default"/>
        <w:b w:val="0"/>
        <w:i/>
        <w:color w:val="000000"/>
        <w:u w:val="none"/>
      </w:rPr>
    </w:lvl>
    <w:lvl w:ilvl="1" w:tplc="04090003" w:tentative="1">
      <w:start w:val="1"/>
      <w:numFmt w:val="bullet"/>
      <w:lvlText w:val="o"/>
      <w:lvlJc w:val="left"/>
      <w:pPr>
        <w:ind w:left="8257" w:hanging="360"/>
      </w:pPr>
      <w:rPr>
        <w:rFonts w:ascii="Courier New" w:hAnsi="Courier New" w:cs="Courier New" w:hint="default"/>
      </w:rPr>
    </w:lvl>
    <w:lvl w:ilvl="2" w:tplc="04090005" w:tentative="1">
      <w:start w:val="1"/>
      <w:numFmt w:val="bullet"/>
      <w:lvlText w:val=""/>
      <w:lvlJc w:val="left"/>
      <w:pPr>
        <w:ind w:left="8977" w:hanging="360"/>
      </w:pPr>
      <w:rPr>
        <w:rFonts w:ascii="Wingdings" w:hAnsi="Wingdings" w:hint="default"/>
      </w:rPr>
    </w:lvl>
    <w:lvl w:ilvl="3" w:tplc="04090001" w:tentative="1">
      <w:start w:val="1"/>
      <w:numFmt w:val="bullet"/>
      <w:lvlText w:val=""/>
      <w:lvlJc w:val="left"/>
      <w:pPr>
        <w:ind w:left="9697" w:hanging="360"/>
      </w:pPr>
      <w:rPr>
        <w:rFonts w:ascii="Symbol" w:hAnsi="Symbol" w:hint="default"/>
      </w:rPr>
    </w:lvl>
    <w:lvl w:ilvl="4" w:tplc="04090003" w:tentative="1">
      <w:start w:val="1"/>
      <w:numFmt w:val="bullet"/>
      <w:lvlText w:val="o"/>
      <w:lvlJc w:val="left"/>
      <w:pPr>
        <w:ind w:left="10417" w:hanging="360"/>
      </w:pPr>
      <w:rPr>
        <w:rFonts w:ascii="Courier New" w:hAnsi="Courier New" w:cs="Courier New" w:hint="default"/>
      </w:rPr>
    </w:lvl>
    <w:lvl w:ilvl="5" w:tplc="04090005" w:tentative="1">
      <w:start w:val="1"/>
      <w:numFmt w:val="bullet"/>
      <w:lvlText w:val=""/>
      <w:lvlJc w:val="left"/>
      <w:pPr>
        <w:ind w:left="11137" w:hanging="360"/>
      </w:pPr>
      <w:rPr>
        <w:rFonts w:ascii="Wingdings" w:hAnsi="Wingdings" w:hint="default"/>
      </w:rPr>
    </w:lvl>
    <w:lvl w:ilvl="6" w:tplc="04090001" w:tentative="1">
      <w:start w:val="1"/>
      <w:numFmt w:val="bullet"/>
      <w:lvlText w:val=""/>
      <w:lvlJc w:val="left"/>
      <w:pPr>
        <w:ind w:left="11857" w:hanging="360"/>
      </w:pPr>
      <w:rPr>
        <w:rFonts w:ascii="Symbol" w:hAnsi="Symbol" w:hint="default"/>
      </w:rPr>
    </w:lvl>
    <w:lvl w:ilvl="7" w:tplc="04090003" w:tentative="1">
      <w:start w:val="1"/>
      <w:numFmt w:val="bullet"/>
      <w:lvlText w:val="o"/>
      <w:lvlJc w:val="left"/>
      <w:pPr>
        <w:ind w:left="12577" w:hanging="360"/>
      </w:pPr>
      <w:rPr>
        <w:rFonts w:ascii="Courier New" w:hAnsi="Courier New" w:cs="Courier New" w:hint="default"/>
      </w:rPr>
    </w:lvl>
    <w:lvl w:ilvl="8" w:tplc="04090005" w:tentative="1">
      <w:start w:val="1"/>
      <w:numFmt w:val="bullet"/>
      <w:lvlText w:val=""/>
      <w:lvlJc w:val="left"/>
      <w:pPr>
        <w:ind w:left="13297" w:hanging="360"/>
      </w:pPr>
      <w:rPr>
        <w:rFonts w:ascii="Wingdings" w:hAnsi="Wingdings" w:hint="default"/>
      </w:rPr>
    </w:lvl>
  </w:abstractNum>
  <w:abstractNum w:abstractNumId="35" w15:restartNumberingAfterBreak="0">
    <w:nsid w:val="7BF37CF8"/>
    <w:multiLevelType w:val="hybridMultilevel"/>
    <w:tmpl w:val="C2D4E0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855BE"/>
    <w:multiLevelType w:val="hybridMultilevel"/>
    <w:tmpl w:val="5F40B52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1"/>
  </w:num>
  <w:num w:numId="2">
    <w:abstractNumId w:val="28"/>
  </w:num>
  <w:num w:numId="3">
    <w:abstractNumId w:val="22"/>
  </w:num>
  <w:num w:numId="4">
    <w:abstractNumId w:val="15"/>
  </w:num>
  <w:num w:numId="5">
    <w:abstractNumId w:val="14"/>
  </w:num>
  <w:num w:numId="6">
    <w:abstractNumId w:val="5"/>
  </w:num>
  <w:num w:numId="7">
    <w:abstractNumId w:val="0"/>
  </w:num>
  <w:num w:numId="8">
    <w:abstractNumId w:val="26"/>
  </w:num>
  <w:num w:numId="9">
    <w:abstractNumId w:val="23"/>
  </w:num>
  <w:num w:numId="10">
    <w:abstractNumId w:val="7"/>
  </w:num>
  <w:num w:numId="11">
    <w:abstractNumId w:val="35"/>
  </w:num>
  <w:num w:numId="12">
    <w:abstractNumId w:val="11"/>
  </w:num>
  <w:num w:numId="13">
    <w:abstractNumId w:val="8"/>
  </w:num>
  <w:num w:numId="14">
    <w:abstractNumId w:val="29"/>
  </w:num>
  <w:num w:numId="15">
    <w:abstractNumId w:val="17"/>
  </w:num>
  <w:num w:numId="16">
    <w:abstractNumId w:val="1"/>
  </w:num>
  <w:num w:numId="17">
    <w:abstractNumId w:val="34"/>
  </w:num>
  <w:num w:numId="18">
    <w:abstractNumId w:val="32"/>
  </w:num>
  <w:num w:numId="19">
    <w:abstractNumId w:val="6"/>
  </w:num>
  <w:num w:numId="20">
    <w:abstractNumId w:val="9"/>
  </w:num>
  <w:num w:numId="21">
    <w:abstractNumId w:val="13"/>
  </w:num>
  <w:num w:numId="22">
    <w:abstractNumId w:val="2"/>
  </w:num>
  <w:num w:numId="23">
    <w:abstractNumId w:val="19"/>
  </w:num>
  <w:num w:numId="24">
    <w:abstractNumId w:val="18"/>
  </w:num>
  <w:num w:numId="25">
    <w:abstractNumId w:val="27"/>
  </w:num>
  <w:num w:numId="26">
    <w:abstractNumId w:val="3"/>
  </w:num>
  <w:num w:numId="27">
    <w:abstractNumId w:val="21"/>
  </w:num>
  <w:num w:numId="28">
    <w:abstractNumId w:val="10"/>
  </w:num>
  <w:num w:numId="29">
    <w:abstractNumId w:val="25"/>
  </w:num>
  <w:num w:numId="30">
    <w:abstractNumId w:val="30"/>
  </w:num>
  <w:num w:numId="31">
    <w:abstractNumId w:val="12"/>
  </w:num>
  <w:num w:numId="32">
    <w:abstractNumId w:val="4"/>
  </w:num>
  <w:num w:numId="33">
    <w:abstractNumId w:val="24"/>
  </w:num>
  <w:num w:numId="34">
    <w:abstractNumId w:val="36"/>
  </w:num>
  <w:num w:numId="35">
    <w:abstractNumId w:val="20"/>
  </w:num>
  <w:num w:numId="36">
    <w:abstractNumId w:val="33"/>
  </w:num>
  <w:num w:numId="3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D6"/>
    <w:rsid w:val="000008AF"/>
    <w:rsid w:val="000017EF"/>
    <w:rsid w:val="0000318D"/>
    <w:rsid w:val="00004A5F"/>
    <w:rsid w:val="00007180"/>
    <w:rsid w:val="00007ADA"/>
    <w:rsid w:val="00012165"/>
    <w:rsid w:val="00012929"/>
    <w:rsid w:val="00012E4B"/>
    <w:rsid w:val="0001361F"/>
    <w:rsid w:val="000143DC"/>
    <w:rsid w:val="00014F64"/>
    <w:rsid w:val="0001677C"/>
    <w:rsid w:val="00017407"/>
    <w:rsid w:val="00017E8D"/>
    <w:rsid w:val="000200BC"/>
    <w:rsid w:val="0002029F"/>
    <w:rsid w:val="00020437"/>
    <w:rsid w:val="0002161C"/>
    <w:rsid w:val="000219FA"/>
    <w:rsid w:val="00021AAB"/>
    <w:rsid w:val="00021E48"/>
    <w:rsid w:val="00022AB4"/>
    <w:rsid w:val="00023947"/>
    <w:rsid w:val="0002513E"/>
    <w:rsid w:val="00025E26"/>
    <w:rsid w:val="00025EBB"/>
    <w:rsid w:val="000261FF"/>
    <w:rsid w:val="0002703A"/>
    <w:rsid w:val="00030DD6"/>
    <w:rsid w:val="00031012"/>
    <w:rsid w:val="000315CF"/>
    <w:rsid w:val="0003200E"/>
    <w:rsid w:val="00032D28"/>
    <w:rsid w:val="00033141"/>
    <w:rsid w:val="00033A2B"/>
    <w:rsid w:val="00035AB3"/>
    <w:rsid w:val="000364CC"/>
    <w:rsid w:val="00036546"/>
    <w:rsid w:val="000379C8"/>
    <w:rsid w:val="00041688"/>
    <w:rsid w:val="0004191B"/>
    <w:rsid w:val="00042AA1"/>
    <w:rsid w:val="00042FBF"/>
    <w:rsid w:val="000450B9"/>
    <w:rsid w:val="00045F3C"/>
    <w:rsid w:val="0004693E"/>
    <w:rsid w:val="00046EB2"/>
    <w:rsid w:val="00047DC1"/>
    <w:rsid w:val="00047DF9"/>
    <w:rsid w:val="0005109E"/>
    <w:rsid w:val="00051AAA"/>
    <w:rsid w:val="00053222"/>
    <w:rsid w:val="000533A6"/>
    <w:rsid w:val="0005373F"/>
    <w:rsid w:val="0005400B"/>
    <w:rsid w:val="00054915"/>
    <w:rsid w:val="00054A02"/>
    <w:rsid w:val="00060876"/>
    <w:rsid w:val="0006122D"/>
    <w:rsid w:val="00061402"/>
    <w:rsid w:val="0006253A"/>
    <w:rsid w:val="00062858"/>
    <w:rsid w:val="000631CE"/>
    <w:rsid w:val="0006454A"/>
    <w:rsid w:val="00064FF1"/>
    <w:rsid w:val="000650B3"/>
    <w:rsid w:val="00065F8D"/>
    <w:rsid w:val="00066884"/>
    <w:rsid w:val="00066EFC"/>
    <w:rsid w:val="00066FBA"/>
    <w:rsid w:val="0007046B"/>
    <w:rsid w:val="00071386"/>
    <w:rsid w:val="00071522"/>
    <w:rsid w:val="00072761"/>
    <w:rsid w:val="00072B60"/>
    <w:rsid w:val="00072CDD"/>
    <w:rsid w:val="000733BA"/>
    <w:rsid w:val="0007394F"/>
    <w:rsid w:val="000749D1"/>
    <w:rsid w:val="00074B9C"/>
    <w:rsid w:val="0007593C"/>
    <w:rsid w:val="00076526"/>
    <w:rsid w:val="0007792A"/>
    <w:rsid w:val="00077BCD"/>
    <w:rsid w:val="000800FC"/>
    <w:rsid w:val="0008066F"/>
    <w:rsid w:val="00080886"/>
    <w:rsid w:val="000823C1"/>
    <w:rsid w:val="00083686"/>
    <w:rsid w:val="000864E9"/>
    <w:rsid w:val="00086B36"/>
    <w:rsid w:val="00086D72"/>
    <w:rsid w:val="0008758F"/>
    <w:rsid w:val="000876E7"/>
    <w:rsid w:val="000907BA"/>
    <w:rsid w:val="00091CFA"/>
    <w:rsid w:val="00091D96"/>
    <w:rsid w:val="00092BA9"/>
    <w:rsid w:val="00092C2C"/>
    <w:rsid w:val="000940AF"/>
    <w:rsid w:val="00094B30"/>
    <w:rsid w:val="000963D4"/>
    <w:rsid w:val="00097F57"/>
    <w:rsid w:val="000A0CFA"/>
    <w:rsid w:val="000A2D88"/>
    <w:rsid w:val="000A32B2"/>
    <w:rsid w:val="000A47A6"/>
    <w:rsid w:val="000A4EC7"/>
    <w:rsid w:val="000A60D2"/>
    <w:rsid w:val="000A684E"/>
    <w:rsid w:val="000A6859"/>
    <w:rsid w:val="000A6901"/>
    <w:rsid w:val="000A6AD7"/>
    <w:rsid w:val="000A7C37"/>
    <w:rsid w:val="000B30C2"/>
    <w:rsid w:val="000B4992"/>
    <w:rsid w:val="000B52EF"/>
    <w:rsid w:val="000B6AD1"/>
    <w:rsid w:val="000C027C"/>
    <w:rsid w:val="000C056E"/>
    <w:rsid w:val="000C13A2"/>
    <w:rsid w:val="000C1ABA"/>
    <w:rsid w:val="000C26F5"/>
    <w:rsid w:val="000C2B73"/>
    <w:rsid w:val="000C3729"/>
    <w:rsid w:val="000C3E76"/>
    <w:rsid w:val="000C404E"/>
    <w:rsid w:val="000C68B7"/>
    <w:rsid w:val="000C73ED"/>
    <w:rsid w:val="000C7FF1"/>
    <w:rsid w:val="000D00CE"/>
    <w:rsid w:val="000D02F8"/>
    <w:rsid w:val="000D15F2"/>
    <w:rsid w:val="000D297B"/>
    <w:rsid w:val="000D367F"/>
    <w:rsid w:val="000D3BAD"/>
    <w:rsid w:val="000D6DAF"/>
    <w:rsid w:val="000D7CA3"/>
    <w:rsid w:val="000E09A3"/>
    <w:rsid w:val="000E1306"/>
    <w:rsid w:val="000E2511"/>
    <w:rsid w:val="000E2FD8"/>
    <w:rsid w:val="000E3356"/>
    <w:rsid w:val="000E395E"/>
    <w:rsid w:val="000E3D1C"/>
    <w:rsid w:val="000E40F9"/>
    <w:rsid w:val="000E54F4"/>
    <w:rsid w:val="000E5831"/>
    <w:rsid w:val="000F0225"/>
    <w:rsid w:val="000F02DE"/>
    <w:rsid w:val="000F0FBB"/>
    <w:rsid w:val="000F1110"/>
    <w:rsid w:val="000F2752"/>
    <w:rsid w:val="000F27A6"/>
    <w:rsid w:val="000F2B8B"/>
    <w:rsid w:val="000F30DC"/>
    <w:rsid w:val="000F3C24"/>
    <w:rsid w:val="000F47A3"/>
    <w:rsid w:val="000F48A8"/>
    <w:rsid w:val="000F4B2C"/>
    <w:rsid w:val="000F4D43"/>
    <w:rsid w:val="000F51A4"/>
    <w:rsid w:val="000F5D26"/>
    <w:rsid w:val="000F6F62"/>
    <w:rsid w:val="000F708F"/>
    <w:rsid w:val="000F7E64"/>
    <w:rsid w:val="001000F9"/>
    <w:rsid w:val="0010107D"/>
    <w:rsid w:val="001014D9"/>
    <w:rsid w:val="00101997"/>
    <w:rsid w:val="00101CD6"/>
    <w:rsid w:val="00102377"/>
    <w:rsid w:val="00102C2C"/>
    <w:rsid w:val="0010342A"/>
    <w:rsid w:val="001046AE"/>
    <w:rsid w:val="00104700"/>
    <w:rsid w:val="001050A0"/>
    <w:rsid w:val="00105B91"/>
    <w:rsid w:val="001060EC"/>
    <w:rsid w:val="00106397"/>
    <w:rsid w:val="00107B10"/>
    <w:rsid w:val="00110DC9"/>
    <w:rsid w:val="0011134C"/>
    <w:rsid w:val="00111798"/>
    <w:rsid w:val="0011192E"/>
    <w:rsid w:val="001125A7"/>
    <w:rsid w:val="00114A64"/>
    <w:rsid w:val="00114C22"/>
    <w:rsid w:val="00114FBA"/>
    <w:rsid w:val="00116855"/>
    <w:rsid w:val="00117E2C"/>
    <w:rsid w:val="00122034"/>
    <w:rsid w:val="0012441C"/>
    <w:rsid w:val="001246A1"/>
    <w:rsid w:val="00125E2C"/>
    <w:rsid w:val="00125E9B"/>
    <w:rsid w:val="00126100"/>
    <w:rsid w:val="001261C6"/>
    <w:rsid w:val="00126D73"/>
    <w:rsid w:val="00127015"/>
    <w:rsid w:val="001314E7"/>
    <w:rsid w:val="00133FCF"/>
    <w:rsid w:val="00135633"/>
    <w:rsid w:val="00135687"/>
    <w:rsid w:val="00136D7D"/>
    <w:rsid w:val="00137AA3"/>
    <w:rsid w:val="00137B37"/>
    <w:rsid w:val="001413B8"/>
    <w:rsid w:val="00141E3A"/>
    <w:rsid w:val="00142465"/>
    <w:rsid w:val="00142E55"/>
    <w:rsid w:val="00144DF3"/>
    <w:rsid w:val="00144EC2"/>
    <w:rsid w:val="001475DD"/>
    <w:rsid w:val="00150468"/>
    <w:rsid w:val="0015144F"/>
    <w:rsid w:val="001517A5"/>
    <w:rsid w:val="001517FB"/>
    <w:rsid w:val="001520F8"/>
    <w:rsid w:val="0015227A"/>
    <w:rsid w:val="001529BA"/>
    <w:rsid w:val="00152BC3"/>
    <w:rsid w:val="001550FD"/>
    <w:rsid w:val="001557C8"/>
    <w:rsid w:val="00156555"/>
    <w:rsid w:val="00156DAE"/>
    <w:rsid w:val="00156ED0"/>
    <w:rsid w:val="001600BB"/>
    <w:rsid w:val="00160FA6"/>
    <w:rsid w:val="00161987"/>
    <w:rsid w:val="00162AFB"/>
    <w:rsid w:val="00163C37"/>
    <w:rsid w:val="0016481D"/>
    <w:rsid w:val="00164AC3"/>
    <w:rsid w:val="00165D21"/>
    <w:rsid w:val="001663ED"/>
    <w:rsid w:val="00166F4A"/>
    <w:rsid w:val="0016710A"/>
    <w:rsid w:val="001671FF"/>
    <w:rsid w:val="001676C2"/>
    <w:rsid w:val="0017022B"/>
    <w:rsid w:val="00170C81"/>
    <w:rsid w:val="00170F9C"/>
    <w:rsid w:val="001713BF"/>
    <w:rsid w:val="00171993"/>
    <w:rsid w:val="00172888"/>
    <w:rsid w:val="0017433B"/>
    <w:rsid w:val="001751C7"/>
    <w:rsid w:val="00176554"/>
    <w:rsid w:val="001772F7"/>
    <w:rsid w:val="001776BD"/>
    <w:rsid w:val="001811E6"/>
    <w:rsid w:val="0018163C"/>
    <w:rsid w:val="00181A0E"/>
    <w:rsid w:val="00181C58"/>
    <w:rsid w:val="00181D4C"/>
    <w:rsid w:val="00181EE4"/>
    <w:rsid w:val="00182B65"/>
    <w:rsid w:val="00182C6F"/>
    <w:rsid w:val="001830A1"/>
    <w:rsid w:val="001837C6"/>
    <w:rsid w:val="0018386D"/>
    <w:rsid w:val="0018430B"/>
    <w:rsid w:val="0018493C"/>
    <w:rsid w:val="00184C77"/>
    <w:rsid w:val="00184F3F"/>
    <w:rsid w:val="001853C2"/>
    <w:rsid w:val="00186BB0"/>
    <w:rsid w:val="001879AD"/>
    <w:rsid w:val="00190414"/>
    <w:rsid w:val="00190832"/>
    <w:rsid w:val="00192636"/>
    <w:rsid w:val="00192AB5"/>
    <w:rsid w:val="001940C8"/>
    <w:rsid w:val="001958B9"/>
    <w:rsid w:val="00195B8F"/>
    <w:rsid w:val="00195E62"/>
    <w:rsid w:val="001970C0"/>
    <w:rsid w:val="001975F8"/>
    <w:rsid w:val="00197B92"/>
    <w:rsid w:val="001A0B24"/>
    <w:rsid w:val="001A0B8F"/>
    <w:rsid w:val="001A0D59"/>
    <w:rsid w:val="001A17E0"/>
    <w:rsid w:val="001A335C"/>
    <w:rsid w:val="001A4AEA"/>
    <w:rsid w:val="001A4D74"/>
    <w:rsid w:val="001A695B"/>
    <w:rsid w:val="001A77B1"/>
    <w:rsid w:val="001A780C"/>
    <w:rsid w:val="001A792E"/>
    <w:rsid w:val="001A7F5F"/>
    <w:rsid w:val="001B0342"/>
    <w:rsid w:val="001B0969"/>
    <w:rsid w:val="001B13BC"/>
    <w:rsid w:val="001B13CC"/>
    <w:rsid w:val="001B1532"/>
    <w:rsid w:val="001B19DA"/>
    <w:rsid w:val="001B1A67"/>
    <w:rsid w:val="001B23A5"/>
    <w:rsid w:val="001B23EF"/>
    <w:rsid w:val="001B45F3"/>
    <w:rsid w:val="001B5664"/>
    <w:rsid w:val="001B6205"/>
    <w:rsid w:val="001B7505"/>
    <w:rsid w:val="001B7A81"/>
    <w:rsid w:val="001B7E7D"/>
    <w:rsid w:val="001C0644"/>
    <w:rsid w:val="001C1AF4"/>
    <w:rsid w:val="001C1E35"/>
    <w:rsid w:val="001C23B1"/>
    <w:rsid w:val="001C339B"/>
    <w:rsid w:val="001C3616"/>
    <w:rsid w:val="001C3A1A"/>
    <w:rsid w:val="001C3CD0"/>
    <w:rsid w:val="001C4512"/>
    <w:rsid w:val="001C4609"/>
    <w:rsid w:val="001C49C5"/>
    <w:rsid w:val="001C49CB"/>
    <w:rsid w:val="001C52F7"/>
    <w:rsid w:val="001C569C"/>
    <w:rsid w:val="001C5D5A"/>
    <w:rsid w:val="001C5FB8"/>
    <w:rsid w:val="001C67FA"/>
    <w:rsid w:val="001C69F5"/>
    <w:rsid w:val="001C6A71"/>
    <w:rsid w:val="001C6D18"/>
    <w:rsid w:val="001C6DB9"/>
    <w:rsid w:val="001D1D7C"/>
    <w:rsid w:val="001D2586"/>
    <w:rsid w:val="001D35F6"/>
    <w:rsid w:val="001D3A08"/>
    <w:rsid w:val="001D3DB4"/>
    <w:rsid w:val="001D4402"/>
    <w:rsid w:val="001D4A12"/>
    <w:rsid w:val="001D74F8"/>
    <w:rsid w:val="001D782E"/>
    <w:rsid w:val="001E0C75"/>
    <w:rsid w:val="001E0DE4"/>
    <w:rsid w:val="001E1116"/>
    <w:rsid w:val="001E1D07"/>
    <w:rsid w:val="001E305F"/>
    <w:rsid w:val="001E3328"/>
    <w:rsid w:val="001E39CD"/>
    <w:rsid w:val="001E3ACC"/>
    <w:rsid w:val="001E3B15"/>
    <w:rsid w:val="001E3BAB"/>
    <w:rsid w:val="001E4024"/>
    <w:rsid w:val="001E4B00"/>
    <w:rsid w:val="001E5001"/>
    <w:rsid w:val="001E594F"/>
    <w:rsid w:val="001E6185"/>
    <w:rsid w:val="001E68FA"/>
    <w:rsid w:val="001F01D6"/>
    <w:rsid w:val="001F1689"/>
    <w:rsid w:val="001F27A0"/>
    <w:rsid w:val="001F3824"/>
    <w:rsid w:val="001F5C25"/>
    <w:rsid w:val="001F78DA"/>
    <w:rsid w:val="0020029D"/>
    <w:rsid w:val="00200BFE"/>
    <w:rsid w:val="00201B17"/>
    <w:rsid w:val="00201D0E"/>
    <w:rsid w:val="002020E5"/>
    <w:rsid w:val="0020318A"/>
    <w:rsid w:val="00203F78"/>
    <w:rsid w:val="00204B57"/>
    <w:rsid w:val="00204C89"/>
    <w:rsid w:val="00204DE5"/>
    <w:rsid w:val="00204E3D"/>
    <w:rsid w:val="00204FEC"/>
    <w:rsid w:val="002051FF"/>
    <w:rsid w:val="002055C1"/>
    <w:rsid w:val="002056A3"/>
    <w:rsid w:val="002062BF"/>
    <w:rsid w:val="00206681"/>
    <w:rsid w:val="00207064"/>
    <w:rsid w:val="00207AC2"/>
    <w:rsid w:val="00210E98"/>
    <w:rsid w:val="002119A6"/>
    <w:rsid w:val="002123F3"/>
    <w:rsid w:val="00212843"/>
    <w:rsid w:val="00216860"/>
    <w:rsid w:val="00217AB3"/>
    <w:rsid w:val="002202A5"/>
    <w:rsid w:val="002208CA"/>
    <w:rsid w:val="0022401E"/>
    <w:rsid w:val="002252C5"/>
    <w:rsid w:val="002268E3"/>
    <w:rsid w:val="00227FBB"/>
    <w:rsid w:val="002302BB"/>
    <w:rsid w:val="00230F14"/>
    <w:rsid w:val="0023171F"/>
    <w:rsid w:val="00231995"/>
    <w:rsid w:val="0023248E"/>
    <w:rsid w:val="00232902"/>
    <w:rsid w:val="002333B0"/>
    <w:rsid w:val="0023341C"/>
    <w:rsid w:val="00233587"/>
    <w:rsid w:val="002367D2"/>
    <w:rsid w:val="00237101"/>
    <w:rsid w:val="00240F36"/>
    <w:rsid w:val="00241D4D"/>
    <w:rsid w:val="00241E04"/>
    <w:rsid w:val="0024307B"/>
    <w:rsid w:val="0024350D"/>
    <w:rsid w:val="002435AC"/>
    <w:rsid w:val="0024429D"/>
    <w:rsid w:val="00246337"/>
    <w:rsid w:val="0024667A"/>
    <w:rsid w:val="002466DF"/>
    <w:rsid w:val="0024792A"/>
    <w:rsid w:val="002503B0"/>
    <w:rsid w:val="0025057C"/>
    <w:rsid w:val="00250D42"/>
    <w:rsid w:val="00251FD4"/>
    <w:rsid w:val="002526DE"/>
    <w:rsid w:val="0025332C"/>
    <w:rsid w:val="00253B83"/>
    <w:rsid w:val="00253EA8"/>
    <w:rsid w:val="002546A8"/>
    <w:rsid w:val="00254B0C"/>
    <w:rsid w:val="0025737A"/>
    <w:rsid w:val="002604B3"/>
    <w:rsid w:val="002605AA"/>
    <w:rsid w:val="00260851"/>
    <w:rsid w:val="002609DB"/>
    <w:rsid w:val="00260B7D"/>
    <w:rsid w:val="00261156"/>
    <w:rsid w:val="00261DFD"/>
    <w:rsid w:val="00263ADD"/>
    <w:rsid w:val="00263D3C"/>
    <w:rsid w:val="0026433A"/>
    <w:rsid w:val="00264D24"/>
    <w:rsid w:val="00265885"/>
    <w:rsid w:val="00265A77"/>
    <w:rsid w:val="0026668D"/>
    <w:rsid w:val="00266ACD"/>
    <w:rsid w:val="00267D78"/>
    <w:rsid w:val="00270625"/>
    <w:rsid w:val="00270F96"/>
    <w:rsid w:val="002710B2"/>
    <w:rsid w:val="00271CE8"/>
    <w:rsid w:val="0027298B"/>
    <w:rsid w:val="0027367C"/>
    <w:rsid w:val="00273EE3"/>
    <w:rsid w:val="002742FB"/>
    <w:rsid w:val="00274CA1"/>
    <w:rsid w:val="002760C3"/>
    <w:rsid w:val="0027629F"/>
    <w:rsid w:val="00276303"/>
    <w:rsid w:val="00277AD4"/>
    <w:rsid w:val="00277B2D"/>
    <w:rsid w:val="00277D92"/>
    <w:rsid w:val="002801BF"/>
    <w:rsid w:val="00280276"/>
    <w:rsid w:val="002815D4"/>
    <w:rsid w:val="00281D5C"/>
    <w:rsid w:val="00282295"/>
    <w:rsid w:val="00282DA3"/>
    <w:rsid w:val="00283288"/>
    <w:rsid w:val="00283F99"/>
    <w:rsid w:val="002853B1"/>
    <w:rsid w:val="00285B26"/>
    <w:rsid w:val="00286F7C"/>
    <w:rsid w:val="002874D1"/>
    <w:rsid w:val="00287681"/>
    <w:rsid w:val="00290653"/>
    <w:rsid w:val="00290750"/>
    <w:rsid w:val="00290926"/>
    <w:rsid w:val="00290AF7"/>
    <w:rsid w:val="00290C84"/>
    <w:rsid w:val="00290E6E"/>
    <w:rsid w:val="00291291"/>
    <w:rsid w:val="00291BB9"/>
    <w:rsid w:val="00291F49"/>
    <w:rsid w:val="00292011"/>
    <w:rsid w:val="00292C7B"/>
    <w:rsid w:val="00292F48"/>
    <w:rsid w:val="00293363"/>
    <w:rsid w:val="00293874"/>
    <w:rsid w:val="00293EA2"/>
    <w:rsid w:val="002940A0"/>
    <w:rsid w:val="00294402"/>
    <w:rsid w:val="00294FAA"/>
    <w:rsid w:val="002953B7"/>
    <w:rsid w:val="0029592C"/>
    <w:rsid w:val="00296CB1"/>
    <w:rsid w:val="002A04BB"/>
    <w:rsid w:val="002A0859"/>
    <w:rsid w:val="002A1056"/>
    <w:rsid w:val="002A265F"/>
    <w:rsid w:val="002A3CD7"/>
    <w:rsid w:val="002A525D"/>
    <w:rsid w:val="002A55BC"/>
    <w:rsid w:val="002A564C"/>
    <w:rsid w:val="002A56F5"/>
    <w:rsid w:val="002A6029"/>
    <w:rsid w:val="002A6195"/>
    <w:rsid w:val="002A647C"/>
    <w:rsid w:val="002A6B3D"/>
    <w:rsid w:val="002B032E"/>
    <w:rsid w:val="002B0773"/>
    <w:rsid w:val="002B16BC"/>
    <w:rsid w:val="002B1794"/>
    <w:rsid w:val="002B288B"/>
    <w:rsid w:val="002B2BF1"/>
    <w:rsid w:val="002B4F9C"/>
    <w:rsid w:val="002B55B8"/>
    <w:rsid w:val="002B58D6"/>
    <w:rsid w:val="002B5D16"/>
    <w:rsid w:val="002B5DD2"/>
    <w:rsid w:val="002B615D"/>
    <w:rsid w:val="002B7271"/>
    <w:rsid w:val="002C03BB"/>
    <w:rsid w:val="002C069B"/>
    <w:rsid w:val="002C274B"/>
    <w:rsid w:val="002C2AE7"/>
    <w:rsid w:val="002C425E"/>
    <w:rsid w:val="002C567F"/>
    <w:rsid w:val="002C578B"/>
    <w:rsid w:val="002C7220"/>
    <w:rsid w:val="002C7D53"/>
    <w:rsid w:val="002D0DDF"/>
    <w:rsid w:val="002D1BAE"/>
    <w:rsid w:val="002D3CB9"/>
    <w:rsid w:val="002D5ED9"/>
    <w:rsid w:val="002D61A7"/>
    <w:rsid w:val="002D62C8"/>
    <w:rsid w:val="002D6406"/>
    <w:rsid w:val="002D6E7C"/>
    <w:rsid w:val="002D75A2"/>
    <w:rsid w:val="002E011D"/>
    <w:rsid w:val="002E0121"/>
    <w:rsid w:val="002E12EF"/>
    <w:rsid w:val="002E29A7"/>
    <w:rsid w:val="002E2BB4"/>
    <w:rsid w:val="002E30A8"/>
    <w:rsid w:val="002E3486"/>
    <w:rsid w:val="002E3F0B"/>
    <w:rsid w:val="002E3F8C"/>
    <w:rsid w:val="002E513A"/>
    <w:rsid w:val="002E5144"/>
    <w:rsid w:val="002E6F8F"/>
    <w:rsid w:val="002F126C"/>
    <w:rsid w:val="002F22D8"/>
    <w:rsid w:val="002F281B"/>
    <w:rsid w:val="002F3145"/>
    <w:rsid w:val="002F3F26"/>
    <w:rsid w:val="002F4B42"/>
    <w:rsid w:val="002F766B"/>
    <w:rsid w:val="00300282"/>
    <w:rsid w:val="00300C83"/>
    <w:rsid w:val="00300FCD"/>
    <w:rsid w:val="00301EA3"/>
    <w:rsid w:val="003033C9"/>
    <w:rsid w:val="00303719"/>
    <w:rsid w:val="00304326"/>
    <w:rsid w:val="00306313"/>
    <w:rsid w:val="00307AF2"/>
    <w:rsid w:val="00312599"/>
    <w:rsid w:val="003132AF"/>
    <w:rsid w:val="00313FE9"/>
    <w:rsid w:val="003143E7"/>
    <w:rsid w:val="00314BA5"/>
    <w:rsid w:val="00315D1E"/>
    <w:rsid w:val="0031718F"/>
    <w:rsid w:val="00320C09"/>
    <w:rsid w:val="0032112A"/>
    <w:rsid w:val="003211B0"/>
    <w:rsid w:val="003215EA"/>
    <w:rsid w:val="00321A95"/>
    <w:rsid w:val="00322204"/>
    <w:rsid w:val="00323710"/>
    <w:rsid w:val="003240C6"/>
    <w:rsid w:val="00324A38"/>
    <w:rsid w:val="003254D0"/>
    <w:rsid w:val="00326310"/>
    <w:rsid w:val="00327F32"/>
    <w:rsid w:val="00327FC8"/>
    <w:rsid w:val="0033039B"/>
    <w:rsid w:val="00330581"/>
    <w:rsid w:val="0033142A"/>
    <w:rsid w:val="003327DF"/>
    <w:rsid w:val="00334CCD"/>
    <w:rsid w:val="00335204"/>
    <w:rsid w:val="00335D71"/>
    <w:rsid w:val="003368A5"/>
    <w:rsid w:val="00336E0C"/>
    <w:rsid w:val="0033704A"/>
    <w:rsid w:val="00337326"/>
    <w:rsid w:val="00337856"/>
    <w:rsid w:val="00337CD6"/>
    <w:rsid w:val="00340B42"/>
    <w:rsid w:val="00341030"/>
    <w:rsid w:val="00342091"/>
    <w:rsid w:val="0034404F"/>
    <w:rsid w:val="00344A45"/>
    <w:rsid w:val="003455D1"/>
    <w:rsid w:val="00345EDC"/>
    <w:rsid w:val="003479A0"/>
    <w:rsid w:val="00351188"/>
    <w:rsid w:val="00351336"/>
    <w:rsid w:val="00352121"/>
    <w:rsid w:val="00352863"/>
    <w:rsid w:val="00353249"/>
    <w:rsid w:val="003534DE"/>
    <w:rsid w:val="00354099"/>
    <w:rsid w:val="003546A2"/>
    <w:rsid w:val="0035540B"/>
    <w:rsid w:val="00355FD1"/>
    <w:rsid w:val="00357A5B"/>
    <w:rsid w:val="003606AD"/>
    <w:rsid w:val="00363024"/>
    <w:rsid w:val="00363A2E"/>
    <w:rsid w:val="003641A5"/>
    <w:rsid w:val="00364726"/>
    <w:rsid w:val="00364D91"/>
    <w:rsid w:val="00364DF3"/>
    <w:rsid w:val="003658B7"/>
    <w:rsid w:val="00365E11"/>
    <w:rsid w:val="00366DB8"/>
    <w:rsid w:val="00367600"/>
    <w:rsid w:val="003704F1"/>
    <w:rsid w:val="00371992"/>
    <w:rsid w:val="00371BB4"/>
    <w:rsid w:val="00371C11"/>
    <w:rsid w:val="00372901"/>
    <w:rsid w:val="003731C8"/>
    <w:rsid w:val="0037368B"/>
    <w:rsid w:val="003745AB"/>
    <w:rsid w:val="0037520E"/>
    <w:rsid w:val="00375BC9"/>
    <w:rsid w:val="00375FA6"/>
    <w:rsid w:val="00376D1E"/>
    <w:rsid w:val="00377ADD"/>
    <w:rsid w:val="00380271"/>
    <w:rsid w:val="003806A3"/>
    <w:rsid w:val="003811FA"/>
    <w:rsid w:val="00381B92"/>
    <w:rsid w:val="00382608"/>
    <w:rsid w:val="003828E4"/>
    <w:rsid w:val="00383218"/>
    <w:rsid w:val="00383863"/>
    <w:rsid w:val="00383AD0"/>
    <w:rsid w:val="003843DD"/>
    <w:rsid w:val="00385CD0"/>
    <w:rsid w:val="00387937"/>
    <w:rsid w:val="00387C74"/>
    <w:rsid w:val="00390525"/>
    <w:rsid w:val="003905E5"/>
    <w:rsid w:val="00391530"/>
    <w:rsid w:val="003922BE"/>
    <w:rsid w:val="0039307B"/>
    <w:rsid w:val="0039379D"/>
    <w:rsid w:val="003937EB"/>
    <w:rsid w:val="00393B8D"/>
    <w:rsid w:val="0039436B"/>
    <w:rsid w:val="003944E4"/>
    <w:rsid w:val="00396134"/>
    <w:rsid w:val="003963A3"/>
    <w:rsid w:val="00397B55"/>
    <w:rsid w:val="00397DC0"/>
    <w:rsid w:val="003A0B50"/>
    <w:rsid w:val="003A3BD0"/>
    <w:rsid w:val="003A3F45"/>
    <w:rsid w:val="003A4580"/>
    <w:rsid w:val="003A4D7E"/>
    <w:rsid w:val="003A4FCE"/>
    <w:rsid w:val="003A5B82"/>
    <w:rsid w:val="003A5BAA"/>
    <w:rsid w:val="003A61BB"/>
    <w:rsid w:val="003A66A7"/>
    <w:rsid w:val="003A6E7E"/>
    <w:rsid w:val="003A6F39"/>
    <w:rsid w:val="003A7013"/>
    <w:rsid w:val="003B0ADA"/>
    <w:rsid w:val="003B1979"/>
    <w:rsid w:val="003B2044"/>
    <w:rsid w:val="003B3889"/>
    <w:rsid w:val="003B3E0A"/>
    <w:rsid w:val="003B470F"/>
    <w:rsid w:val="003B48A1"/>
    <w:rsid w:val="003B616D"/>
    <w:rsid w:val="003B6814"/>
    <w:rsid w:val="003B7865"/>
    <w:rsid w:val="003C0B46"/>
    <w:rsid w:val="003C1818"/>
    <w:rsid w:val="003C22D6"/>
    <w:rsid w:val="003C2D85"/>
    <w:rsid w:val="003C326B"/>
    <w:rsid w:val="003C32DB"/>
    <w:rsid w:val="003C43BE"/>
    <w:rsid w:val="003C5C43"/>
    <w:rsid w:val="003C69CF"/>
    <w:rsid w:val="003C6A1F"/>
    <w:rsid w:val="003C6D53"/>
    <w:rsid w:val="003C7618"/>
    <w:rsid w:val="003D046A"/>
    <w:rsid w:val="003D047C"/>
    <w:rsid w:val="003D18C2"/>
    <w:rsid w:val="003D1BE9"/>
    <w:rsid w:val="003D2E6B"/>
    <w:rsid w:val="003D3129"/>
    <w:rsid w:val="003D3A46"/>
    <w:rsid w:val="003D3AD1"/>
    <w:rsid w:val="003D4504"/>
    <w:rsid w:val="003D5587"/>
    <w:rsid w:val="003D5F3B"/>
    <w:rsid w:val="003D6A19"/>
    <w:rsid w:val="003D7844"/>
    <w:rsid w:val="003D7C1E"/>
    <w:rsid w:val="003E0AAE"/>
    <w:rsid w:val="003E3480"/>
    <w:rsid w:val="003E3B10"/>
    <w:rsid w:val="003E415F"/>
    <w:rsid w:val="003E45DD"/>
    <w:rsid w:val="003E5CE3"/>
    <w:rsid w:val="003E6956"/>
    <w:rsid w:val="003E7776"/>
    <w:rsid w:val="003E79C5"/>
    <w:rsid w:val="003E7BE5"/>
    <w:rsid w:val="003F035D"/>
    <w:rsid w:val="003F088D"/>
    <w:rsid w:val="003F1FE8"/>
    <w:rsid w:val="003F2112"/>
    <w:rsid w:val="003F220C"/>
    <w:rsid w:val="003F3645"/>
    <w:rsid w:val="003F3D7F"/>
    <w:rsid w:val="003F4001"/>
    <w:rsid w:val="003F4300"/>
    <w:rsid w:val="003F4BB9"/>
    <w:rsid w:val="003F5652"/>
    <w:rsid w:val="003F6B8B"/>
    <w:rsid w:val="003F7526"/>
    <w:rsid w:val="003F795C"/>
    <w:rsid w:val="0040040B"/>
    <w:rsid w:val="004008C9"/>
    <w:rsid w:val="00400999"/>
    <w:rsid w:val="00403C5E"/>
    <w:rsid w:val="00404433"/>
    <w:rsid w:val="00404E09"/>
    <w:rsid w:val="0040578F"/>
    <w:rsid w:val="00405D6C"/>
    <w:rsid w:val="0040644B"/>
    <w:rsid w:val="0040675C"/>
    <w:rsid w:val="00411889"/>
    <w:rsid w:val="00412BEE"/>
    <w:rsid w:val="00412ED1"/>
    <w:rsid w:val="004131DD"/>
    <w:rsid w:val="00413EDC"/>
    <w:rsid w:val="004141B4"/>
    <w:rsid w:val="004143C8"/>
    <w:rsid w:val="00414B22"/>
    <w:rsid w:val="00415E07"/>
    <w:rsid w:val="00416084"/>
    <w:rsid w:val="004161AF"/>
    <w:rsid w:val="0041645C"/>
    <w:rsid w:val="004166A0"/>
    <w:rsid w:val="00416851"/>
    <w:rsid w:val="0041704D"/>
    <w:rsid w:val="00420258"/>
    <w:rsid w:val="00420668"/>
    <w:rsid w:val="00420E7A"/>
    <w:rsid w:val="0042228D"/>
    <w:rsid w:val="00423920"/>
    <w:rsid w:val="00423E33"/>
    <w:rsid w:val="004241CA"/>
    <w:rsid w:val="0042503A"/>
    <w:rsid w:val="0042578F"/>
    <w:rsid w:val="00425A8F"/>
    <w:rsid w:val="00425DA7"/>
    <w:rsid w:val="0042633C"/>
    <w:rsid w:val="0043146A"/>
    <w:rsid w:val="00434655"/>
    <w:rsid w:val="00434B49"/>
    <w:rsid w:val="0043514E"/>
    <w:rsid w:val="004353B3"/>
    <w:rsid w:val="00435566"/>
    <w:rsid w:val="0043556E"/>
    <w:rsid w:val="0043575C"/>
    <w:rsid w:val="00435CBC"/>
    <w:rsid w:val="00436DD5"/>
    <w:rsid w:val="00437A22"/>
    <w:rsid w:val="00437A58"/>
    <w:rsid w:val="004402F6"/>
    <w:rsid w:val="00440580"/>
    <w:rsid w:val="0044071E"/>
    <w:rsid w:val="00440FCF"/>
    <w:rsid w:val="00441338"/>
    <w:rsid w:val="0044161B"/>
    <w:rsid w:val="00442393"/>
    <w:rsid w:val="004434E3"/>
    <w:rsid w:val="0044359E"/>
    <w:rsid w:val="00443754"/>
    <w:rsid w:val="00445BE2"/>
    <w:rsid w:val="004475ED"/>
    <w:rsid w:val="00450102"/>
    <w:rsid w:val="0045269E"/>
    <w:rsid w:val="00453055"/>
    <w:rsid w:val="00455038"/>
    <w:rsid w:val="00455A0B"/>
    <w:rsid w:val="00455FB4"/>
    <w:rsid w:val="00456190"/>
    <w:rsid w:val="0045625E"/>
    <w:rsid w:val="0045748B"/>
    <w:rsid w:val="00457695"/>
    <w:rsid w:val="00460103"/>
    <w:rsid w:val="00460D32"/>
    <w:rsid w:val="00461C54"/>
    <w:rsid w:val="00461D2A"/>
    <w:rsid w:val="00462030"/>
    <w:rsid w:val="004628FD"/>
    <w:rsid w:val="00463950"/>
    <w:rsid w:val="00463DAF"/>
    <w:rsid w:val="00464474"/>
    <w:rsid w:val="004645A3"/>
    <w:rsid w:val="00464897"/>
    <w:rsid w:val="0046534C"/>
    <w:rsid w:val="00465547"/>
    <w:rsid w:val="00465E06"/>
    <w:rsid w:val="00466248"/>
    <w:rsid w:val="00466781"/>
    <w:rsid w:val="00470CF6"/>
    <w:rsid w:val="00471275"/>
    <w:rsid w:val="00471287"/>
    <w:rsid w:val="004714A9"/>
    <w:rsid w:val="004716EF"/>
    <w:rsid w:val="00471900"/>
    <w:rsid w:val="00471F97"/>
    <w:rsid w:val="00471FA9"/>
    <w:rsid w:val="00473482"/>
    <w:rsid w:val="004741D6"/>
    <w:rsid w:val="00474AD5"/>
    <w:rsid w:val="00475DFC"/>
    <w:rsid w:val="00475F3C"/>
    <w:rsid w:val="004773F6"/>
    <w:rsid w:val="004802CD"/>
    <w:rsid w:val="00481287"/>
    <w:rsid w:val="00481580"/>
    <w:rsid w:val="00481647"/>
    <w:rsid w:val="0048219F"/>
    <w:rsid w:val="0048220A"/>
    <w:rsid w:val="004826D3"/>
    <w:rsid w:val="00482B7A"/>
    <w:rsid w:val="00483526"/>
    <w:rsid w:val="00484354"/>
    <w:rsid w:val="00485A73"/>
    <w:rsid w:val="00486B0A"/>
    <w:rsid w:val="004873F3"/>
    <w:rsid w:val="00487CB8"/>
    <w:rsid w:val="004904DF"/>
    <w:rsid w:val="0049096A"/>
    <w:rsid w:val="00490E93"/>
    <w:rsid w:val="0049107A"/>
    <w:rsid w:val="0049107E"/>
    <w:rsid w:val="00491AB3"/>
    <w:rsid w:val="00491B11"/>
    <w:rsid w:val="00491EBE"/>
    <w:rsid w:val="0049256A"/>
    <w:rsid w:val="00492BB9"/>
    <w:rsid w:val="004931D0"/>
    <w:rsid w:val="004937D7"/>
    <w:rsid w:val="00494C3D"/>
    <w:rsid w:val="0049500D"/>
    <w:rsid w:val="0049601C"/>
    <w:rsid w:val="00496447"/>
    <w:rsid w:val="00496B30"/>
    <w:rsid w:val="00496CF4"/>
    <w:rsid w:val="004A2D50"/>
    <w:rsid w:val="004A30E3"/>
    <w:rsid w:val="004A4F46"/>
    <w:rsid w:val="004A561D"/>
    <w:rsid w:val="004A5DEF"/>
    <w:rsid w:val="004A673F"/>
    <w:rsid w:val="004A67A6"/>
    <w:rsid w:val="004A6A21"/>
    <w:rsid w:val="004A7104"/>
    <w:rsid w:val="004A7ABF"/>
    <w:rsid w:val="004B0D24"/>
    <w:rsid w:val="004B131D"/>
    <w:rsid w:val="004B3900"/>
    <w:rsid w:val="004B4E15"/>
    <w:rsid w:val="004B4F01"/>
    <w:rsid w:val="004B5047"/>
    <w:rsid w:val="004B5CAF"/>
    <w:rsid w:val="004B5DFD"/>
    <w:rsid w:val="004B5E19"/>
    <w:rsid w:val="004B5F0B"/>
    <w:rsid w:val="004B6393"/>
    <w:rsid w:val="004B6CD4"/>
    <w:rsid w:val="004B772D"/>
    <w:rsid w:val="004C00DC"/>
    <w:rsid w:val="004C2DCB"/>
    <w:rsid w:val="004C2F48"/>
    <w:rsid w:val="004C33B9"/>
    <w:rsid w:val="004C3E66"/>
    <w:rsid w:val="004C4954"/>
    <w:rsid w:val="004C4B82"/>
    <w:rsid w:val="004C550D"/>
    <w:rsid w:val="004C55DE"/>
    <w:rsid w:val="004C5B72"/>
    <w:rsid w:val="004C62B9"/>
    <w:rsid w:val="004C63DD"/>
    <w:rsid w:val="004C6B2D"/>
    <w:rsid w:val="004C7EFA"/>
    <w:rsid w:val="004D0BF3"/>
    <w:rsid w:val="004D0E95"/>
    <w:rsid w:val="004D18FF"/>
    <w:rsid w:val="004D1ADB"/>
    <w:rsid w:val="004D24EA"/>
    <w:rsid w:val="004D3457"/>
    <w:rsid w:val="004D363F"/>
    <w:rsid w:val="004D3DDD"/>
    <w:rsid w:val="004D4145"/>
    <w:rsid w:val="004D5B00"/>
    <w:rsid w:val="004D5E89"/>
    <w:rsid w:val="004D6A7D"/>
    <w:rsid w:val="004D6E66"/>
    <w:rsid w:val="004D7134"/>
    <w:rsid w:val="004E1A4C"/>
    <w:rsid w:val="004E1AA1"/>
    <w:rsid w:val="004E254F"/>
    <w:rsid w:val="004E2E37"/>
    <w:rsid w:val="004E31D0"/>
    <w:rsid w:val="004E3247"/>
    <w:rsid w:val="004E336E"/>
    <w:rsid w:val="004E39A5"/>
    <w:rsid w:val="004E3BA5"/>
    <w:rsid w:val="004E4249"/>
    <w:rsid w:val="004E4911"/>
    <w:rsid w:val="004E62CC"/>
    <w:rsid w:val="004E665E"/>
    <w:rsid w:val="004E6737"/>
    <w:rsid w:val="004E6F23"/>
    <w:rsid w:val="004E73A2"/>
    <w:rsid w:val="004F0D19"/>
    <w:rsid w:val="004F1056"/>
    <w:rsid w:val="004F1ADC"/>
    <w:rsid w:val="004F1F6E"/>
    <w:rsid w:val="004F20B6"/>
    <w:rsid w:val="004F230D"/>
    <w:rsid w:val="004F2FD3"/>
    <w:rsid w:val="004F33DF"/>
    <w:rsid w:val="004F409F"/>
    <w:rsid w:val="004F562F"/>
    <w:rsid w:val="004F7108"/>
    <w:rsid w:val="004F761C"/>
    <w:rsid w:val="00500169"/>
    <w:rsid w:val="0050019B"/>
    <w:rsid w:val="00500DB1"/>
    <w:rsid w:val="00501C86"/>
    <w:rsid w:val="005027D0"/>
    <w:rsid w:val="0050281C"/>
    <w:rsid w:val="005028E2"/>
    <w:rsid w:val="00503306"/>
    <w:rsid w:val="00503380"/>
    <w:rsid w:val="005047EA"/>
    <w:rsid w:val="00504996"/>
    <w:rsid w:val="00504F3B"/>
    <w:rsid w:val="005053E9"/>
    <w:rsid w:val="00505DBC"/>
    <w:rsid w:val="00506580"/>
    <w:rsid w:val="005072C3"/>
    <w:rsid w:val="00507368"/>
    <w:rsid w:val="00510190"/>
    <w:rsid w:val="005104E7"/>
    <w:rsid w:val="00511681"/>
    <w:rsid w:val="00513D8B"/>
    <w:rsid w:val="005142A0"/>
    <w:rsid w:val="00514F92"/>
    <w:rsid w:val="0051537D"/>
    <w:rsid w:val="005167A8"/>
    <w:rsid w:val="00516817"/>
    <w:rsid w:val="00516973"/>
    <w:rsid w:val="00516BD8"/>
    <w:rsid w:val="00516ED3"/>
    <w:rsid w:val="0052030F"/>
    <w:rsid w:val="005208BB"/>
    <w:rsid w:val="0052140D"/>
    <w:rsid w:val="00521536"/>
    <w:rsid w:val="0052173D"/>
    <w:rsid w:val="0052375B"/>
    <w:rsid w:val="00523CD5"/>
    <w:rsid w:val="005250F0"/>
    <w:rsid w:val="00525FC7"/>
    <w:rsid w:val="0052623A"/>
    <w:rsid w:val="0052676B"/>
    <w:rsid w:val="005269EB"/>
    <w:rsid w:val="005276E4"/>
    <w:rsid w:val="00527747"/>
    <w:rsid w:val="00527E44"/>
    <w:rsid w:val="00527E5A"/>
    <w:rsid w:val="005307C9"/>
    <w:rsid w:val="0053253F"/>
    <w:rsid w:val="00532761"/>
    <w:rsid w:val="00533331"/>
    <w:rsid w:val="0053385A"/>
    <w:rsid w:val="00533E41"/>
    <w:rsid w:val="00534547"/>
    <w:rsid w:val="005349B8"/>
    <w:rsid w:val="00535425"/>
    <w:rsid w:val="0053557C"/>
    <w:rsid w:val="005369D7"/>
    <w:rsid w:val="0053704A"/>
    <w:rsid w:val="005376B1"/>
    <w:rsid w:val="00537F4E"/>
    <w:rsid w:val="0054231D"/>
    <w:rsid w:val="00542631"/>
    <w:rsid w:val="00542762"/>
    <w:rsid w:val="0054329E"/>
    <w:rsid w:val="00543F58"/>
    <w:rsid w:val="005447C7"/>
    <w:rsid w:val="005456B7"/>
    <w:rsid w:val="00545B57"/>
    <w:rsid w:val="005461C5"/>
    <w:rsid w:val="005468E3"/>
    <w:rsid w:val="00547BEE"/>
    <w:rsid w:val="00547EC8"/>
    <w:rsid w:val="00550D1A"/>
    <w:rsid w:val="00550EDB"/>
    <w:rsid w:val="00551229"/>
    <w:rsid w:val="00551B23"/>
    <w:rsid w:val="005522C4"/>
    <w:rsid w:val="005523DC"/>
    <w:rsid w:val="00552E8C"/>
    <w:rsid w:val="005536B0"/>
    <w:rsid w:val="00553FFB"/>
    <w:rsid w:val="00554129"/>
    <w:rsid w:val="00555784"/>
    <w:rsid w:val="005561D9"/>
    <w:rsid w:val="0055698D"/>
    <w:rsid w:val="00556F27"/>
    <w:rsid w:val="0055797C"/>
    <w:rsid w:val="00557FCD"/>
    <w:rsid w:val="005600A3"/>
    <w:rsid w:val="0056047D"/>
    <w:rsid w:val="005604C1"/>
    <w:rsid w:val="005606DF"/>
    <w:rsid w:val="00560C38"/>
    <w:rsid w:val="0056106D"/>
    <w:rsid w:val="005611F3"/>
    <w:rsid w:val="00561838"/>
    <w:rsid w:val="00561C33"/>
    <w:rsid w:val="00563D62"/>
    <w:rsid w:val="0056468B"/>
    <w:rsid w:val="0056479F"/>
    <w:rsid w:val="00564841"/>
    <w:rsid w:val="00565A25"/>
    <w:rsid w:val="00565B1D"/>
    <w:rsid w:val="0056648B"/>
    <w:rsid w:val="00566B4A"/>
    <w:rsid w:val="00566E27"/>
    <w:rsid w:val="00567130"/>
    <w:rsid w:val="0056735D"/>
    <w:rsid w:val="00567C2F"/>
    <w:rsid w:val="005701EA"/>
    <w:rsid w:val="00570434"/>
    <w:rsid w:val="0057064E"/>
    <w:rsid w:val="005707A1"/>
    <w:rsid w:val="00571A74"/>
    <w:rsid w:val="005720C1"/>
    <w:rsid w:val="00572CAB"/>
    <w:rsid w:val="00573052"/>
    <w:rsid w:val="00573C2A"/>
    <w:rsid w:val="00573FF2"/>
    <w:rsid w:val="00574087"/>
    <w:rsid w:val="0057460A"/>
    <w:rsid w:val="00574C52"/>
    <w:rsid w:val="0057531C"/>
    <w:rsid w:val="00575844"/>
    <w:rsid w:val="00575B97"/>
    <w:rsid w:val="00575F24"/>
    <w:rsid w:val="00576150"/>
    <w:rsid w:val="00577AB3"/>
    <w:rsid w:val="00577D24"/>
    <w:rsid w:val="00577E96"/>
    <w:rsid w:val="005826DD"/>
    <w:rsid w:val="005837E2"/>
    <w:rsid w:val="00583BA3"/>
    <w:rsid w:val="0058454B"/>
    <w:rsid w:val="0058470E"/>
    <w:rsid w:val="00585F4C"/>
    <w:rsid w:val="00586AA2"/>
    <w:rsid w:val="0058705D"/>
    <w:rsid w:val="00587658"/>
    <w:rsid w:val="00587B6D"/>
    <w:rsid w:val="00590214"/>
    <w:rsid w:val="00591869"/>
    <w:rsid w:val="005926C7"/>
    <w:rsid w:val="005929DC"/>
    <w:rsid w:val="00593307"/>
    <w:rsid w:val="005936FD"/>
    <w:rsid w:val="00594808"/>
    <w:rsid w:val="00594D47"/>
    <w:rsid w:val="00595619"/>
    <w:rsid w:val="005961E9"/>
    <w:rsid w:val="005A021B"/>
    <w:rsid w:val="005A0471"/>
    <w:rsid w:val="005A0B9C"/>
    <w:rsid w:val="005A0F23"/>
    <w:rsid w:val="005A2143"/>
    <w:rsid w:val="005A228D"/>
    <w:rsid w:val="005A2634"/>
    <w:rsid w:val="005A2B09"/>
    <w:rsid w:val="005A2C2F"/>
    <w:rsid w:val="005A34D4"/>
    <w:rsid w:val="005A5517"/>
    <w:rsid w:val="005A7462"/>
    <w:rsid w:val="005A7D60"/>
    <w:rsid w:val="005B001A"/>
    <w:rsid w:val="005B020F"/>
    <w:rsid w:val="005B2135"/>
    <w:rsid w:val="005B24B6"/>
    <w:rsid w:val="005B2869"/>
    <w:rsid w:val="005B2F54"/>
    <w:rsid w:val="005B30DF"/>
    <w:rsid w:val="005B36A0"/>
    <w:rsid w:val="005B54C1"/>
    <w:rsid w:val="005B5D9C"/>
    <w:rsid w:val="005B5F03"/>
    <w:rsid w:val="005B718C"/>
    <w:rsid w:val="005B7639"/>
    <w:rsid w:val="005C02E9"/>
    <w:rsid w:val="005C038D"/>
    <w:rsid w:val="005C0D11"/>
    <w:rsid w:val="005C1688"/>
    <w:rsid w:val="005C1944"/>
    <w:rsid w:val="005C30DE"/>
    <w:rsid w:val="005C3498"/>
    <w:rsid w:val="005C36F3"/>
    <w:rsid w:val="005C3706"/>
    <w:rsid w:val="005C391C"/>
    <w:rsid w:val="005C396A"/>
    <w:rsid w:val="005C5252"/>
    <w:rsid w:val="005C5745"/>
    <w:rsid w:val="005C5A78"/>
    <w:rsid w:val="005C5C85"/>
    <w:rsid w:val="005C6DD0"/>
    <w:rsid w:val="005D017C"/>
    <w:rsid w:val="005D052A"/>
    <w:rsid w:val="005D11BB"/>
    <w:rsid w:val="005D2486"/>
    <w:rsid w:val="005D360D"/>
    <w:rsid w:val="005D44F0"/>
    <w:rsid w:val="005D4911"/>
    <w:rsid w:val="005D4DE5"/>
    <w:rsid w:val="005D5AA0"/>
    <w:rsid w:val="005D6CCE"/>
    <w:rsid w:val="005D7DD9"/>
    <w:rsid w:val="005D7E71"/>
    <w:rsid w:val="005E096A"/>
    <w:rsid w:val="005E0E44"/>
    <w:rsid w:val="005E0FAF"/>
    <w:rsid w:val="005E1F4D"/>
    <w:rsid w:val="005E34F8"/>
    <w:rsid w:val="005E3E2F"/>
    <w:rsid w:val="005E4116"/>
    <w:rsid w:val="005E677D"/>
    <w:rsid w:val="005E6802"/>
    <w:rsid w:val="005E6E3F"/>
    <w:rsid w:val="005E7E43"/>
    <w:rsid w:val="005F1424"/>
    <w:rsid w:val="005F151F"/>
    <w:rsid w:val="005F2067"/>
    <w:rsid w:val="005F20B2"/>
    <w:rsid w:val="005F28EF"/>
    <w:rsid w:val="005F5588"/>
    <w:rsid w:val="005F5B26"/>
    <w:rsid w:val="005F6485"/>
    <w:rsid w:val="005F6679"/>
    <w:rsid w:val="005F71F9"/>
    <w:rsid w:val="005F7D24"/>
    <w:rsid w:val="006002D4"/>
    <w:rsid w:val="00602091"/>
    <w:rsid w:val="00602CFC"/>
    <w:rsid w:val="006030E1"/>
    <w:rsid w:val="0060345E"/>
    <w:rsid w:val="00603685"/>
    <w:rsid w:val="0060552D"/>
    <w:rsid w:val="00605BC9"/>
    <w:rsid w:val="00605C48"/>
    <w:rsid w:val="00607E9A"/>
    <w:rsid w:val="00610010"/>
    <w:rsid w:val="00610494"/>
    <w:rsid w:val="00612BB5"/>
    <w:rsid w:val="00613CA8"/>
    <w:rsid w:val="00614392"/>
    <w:rsid w:val="00614A11"/>
    <w:rsid w:val="00615C19"/>
    <w:rsid w:val="0061696C"/>
    <w:rsid w:val="00616F6F"/>
    <w:rsid w:val="006202B3"/>
    <w:rsid w:val="0062079D"/>
    <w:rsid w:val="00621F44"/>
    <w:rsid w:val="00622659"/>
    <w:rsid w:val="006228FC"/>
    <w:rsid w:val="006230E0"/>
    <w:rsid w:val="00624D3D"/>
    <w:rsid w:val="00625085"/>
    <w:rsid w:val="00625EDB"/>
    <w:rsid w:val="00627708"/>
    <w:rsid w:val="00627784"/>
    <w:rsid w:val="0063058D"/>
    <w:rsid w:val="00630EA0"/>
    <w:rsid w:val="00631518"/>
    <w:rsid w:val="006335B9"/>
    <w:rsid w:val="00634507"/>
    <w:rsid w:val="00634A11"/>
    <w:rsid w:val="0063630D"/>
    <w:rsid w:val="006363D4"/>
    <w:rsid w:val="00636983"/>
    <w:rsid w:val="006370B7"/>
    <w:rsid w:val="0063734A"/>
    <w:rsid w:val="0064006A"/>
    <w:rsid w:val="00640136"/>
    <w:rsid w:val="006401B5"/>
    <w:rsid w:val="0064030D"/>
    <w:rsid w:val="00641400"/>
    <w:rsid w:val="00641845"/>
    <w:rsid w:val="006428F4"/>
    <w:rsid w:val="00643030"/>
    <w:rsid w:val="00643BD1"/>
    <w:rsid w:val="0064431D"/>
    <w:rsid w:val="00644BB4"/>
    <w:rsid w:val="00646443"/>
    <w:rsid w:val="006464E4"/>
    <w:rsid w:val="00647889"/>
    <w:rsid w:val="006504EF"/>
    <w:rsid w:val="00650980"/>
    <w:rsid w:val="00650E00"/>
    <w:rsid w:val="00651279"/>
    <w:rsid w:val="006539FD"/>
    <w:rsid w:val="006549A9"/>
    <w:rsid w:val="006550EB"/>
    <w:rsid w:val="006559E4"/>
    <w:rsid w:val="00656752"/>
    <w:rsid w:val="006573B1"/>
    <w:rsid w:val="00657F72"/>
    <w:rsid w:val="00660E16"/>
    <w:rsid w:val="00660F30"/>
    <w:rsid w:val="00661F11"/>
    <w:rsid w:val="006624F6"/>
    <w:rsid w:val="006639BF"/>
    <w:rsid w:val="00663C70"/>
    <w:rsid w:val="00663CA1"/>
    <w:rsid w:val="0066526E"/>
    <w:rsid w:val="00666516"/>
    <w:rsid w:val="0066770A"/>
    <w:rsid w:val="00670388"/>
    <w:rsid w:val="006707C5"/>
    <w:rsid w:val="006708AB"/>
    <w:rsid w:val="0067170E"/>
    <w:rsid w:val="00671D52"/>
    <w:rsid w:val="00672834"/>
    <w:rsid w:val="00672C09"/>
    <w:rsid w:val="00673E31"/>
    <w:rsid w:val="00674C24"/>
    <w:rsid w:val="006753AE"/>
    <w:rsid w:val="00676262"/>
    <w:rsid w:val="0067756E"/>
    <w:rsid w:val="0067796E"/>
    <w:rsid w:val="00677EB7"/>
    <w:rsid w:val="00677F0D"/>
    <w:rsid w:val="0068037F"/>
    <w:rsid w:val="00680F5D"/>
    <w:rsid w:val="006817C2"/>
    <w:rsid w:val="006817F4"/>
    <w:rsid w:val="00681C7A"/>
    <w:rsid w:val="00681E79"/>
    <w:rsid w:val="0068483A"/>
    <w:rsid w:val="00684D57"/>
    <w:rsid w:val="0068760A"/>
    <w:rsid w:val="00687F0A"/>
    <w:rsid w:val="00690572"/>
    <w:rsid w:val="006909AD"/>
    <w:rsid w:val="00690A63"/>
    <w:rsid w:val="00694E07"/>
    <w:rsid w:val="00695383"/>
    <w:rsid w:val="0069539D"/>
    <w:rsid w:val="0069578F"/>
    <w:rsid w:val="00695CEA"/>
    <w:rsid w:val="00696422"/>
    <w:rsid w:val="00696741"/>
    <w:rsid w:val="00697D4D"/>
    <w:rsid w:val="006A3694"/>
    <w:rsid w:val="006A3AAF"/>
    <w:rsid w:val="006A4150"/>
    <w:rsid w:val="006A5CB5"/>
    <w:rsid w:val="006A63D2"/>
    <w:rsid w:val="006A6E06"/>
    <w:rsid w:val="006A737D"/>
    <w:rsid w:val="006A7D0E"/>
    <w:rsid w:val="006B0345"/>
    <w:rsid w:val="006B09FE"/>
    <w:rsid w:val="006B0DE3"/>
    <w:rsid w:val="006B1034"/>
    <w:rsid w:val="006B11F5"/>
    <w:rsid w:val="006B3392"/>
    <w:rsid w:val="006B4B1A"/>
    <w:rsid w:val="006B793B"/>
    <w:rsid w:val="006B796C"/>
    <w:rsid w:val="006B7A2A"/>
    <w:rsid w:val="006C0D59"/>
    <w:rsid w:val="006C115C"/>
    <w:rsid w:val="006C1581"/>
    <w:rsid w:val="006C17B0"/>
    <w:rsid w:val="006C1851"/>
    <w:rsid w:val="006C289F"/>
    <w:rsid w:val="006C2A50"/>
    <w:rsid w:val="006C30BE"/>
    <w:rsid w:val="006C32F3"/>
    <w:rsid w:val="006C38F7"/>
    <w:rsid w:val="006C48D2"/>
    <w:rsid w:val="006C5A8A"/>
    <w:rsid w:val="006C63DD"/>
    <w:rsid w:val="006C765E"/>
    <w:rsid w:val="006D0753"/>
    <w:rsid w:val="006D207B"/>
    <w:rsid w:val="006D35DF"/>
    <w:rsid w:val="006D4535"/>
    <w:rsid w:val="006D5B68"/>
    <w:rsid w:val="006D605B"/>
    <w:rsid w:val="006D760F"/>
    <w:rsid w:val="006D7759"/>
    <w:rsid w:val="006E085D"/>
    <w:rsid w:val="006E0865"/>
    <w:rsid w:val="006E0D1F"/>
    <w:rsid w:val="006E14A6"/>
    <w:rsid w:val="006E2795"/>
    <w:rsid w:val="006E390E"/>
    <w:rsid w:val="006E43F7"/>
    <w:rsid w:val="006E4652"/>
    <w:rsid w:val="006E4899"/>
    <w:rsid w:val="006E55D8"/>
    <w:rsid w:val="006E5797"/>
    <w:rsid w:val="006E59B5"/>
    <w:rsid w:val="006E5D07"/>
    <w:rsid w:val="006E6EA3"/>
    <w:rsid w:val="006E6F7F"/>
    <w:rsid w:val="006F0066"/>
    <w:rsid w:val="006F147F"/>
    <w:rsid w:val="006F1B85"/>
    <w:rsid w:val="006F1FB2"/>
    <w:rsid w:val="006F394A"/>
    <w:rsid w:val="006F412F"/>
    <w:rsid w:val="006F4A58"/>
    <w:rsid w:val="006F4AA0"/>
    <w:rsid w:val="006F4CC4"/>
    <w:rsid w:val="006F5B40"/>
    <w:rsid w:val="006F61B7"/>
    <w:rsid w:val="006F7909"/>
    <w:rsid w:val="00700F9F"/>
    <w:rsid w:val="00702519"/>
    <w:rsid w:val="007032BD"/>
    <w:rsid w:val="00703431"/>
    <w:rsid w:val="0070406F"/>
    <w:rsid w:val="00704AEE"/>
    <w:rsid w:val="00705628"/>
    <w:rsid w:val="00705B25"/>
    <w:rsid w:val="007065C8"/>
    <w:rsid w:val="00706894"/>
    <w:rsid w:val="00706C6A"/>
    <w:rsid w:val="0070717C"/>
    <w:rsid w:val="00707242"/>
    <w:rsid w:val="007106C0"/>
    <w:rsid w:val="00710AE0"/>
    <w:rsid w:val="00710C05"/>
    <w:rsid w:val="00712476"/>
    <w:rsid w:val="007126E5"/>
    <w:rsid w:val="007127C2"/>
    <w:rsid w:val="00713F9E"/>
    <w:rsid w:val="00715C0D"/>
    <w:rsid w:val="00715D8A"/>
    <w:rsid w:val="007161AC"/>
    <w:rsid w:val="0071737D"/>
    <w:rsid w:val="007178F4"/>
    <w:rsid w:val="00717D14"/>
    <w:rsid w:val="00720054"/>
    <w:rsid w:val="0072013E"/>
    <w:rsid w:val="00720A5D"/>
    <w:rsid w:val="007217C2"/>
    <w:rsid w:val="007226A3"/>
    <w:rsid w:val="0072330D"/>
    <w:rsid w:val="00723B03"/>
    <w:rsid w:val="00725D23"/>
    <w:rsid w:val="00726E2A"/>
    <w:rsid w:val="007278E5"/>
    <w:rsid w:val="007321E3"/>
    <w:rsid w:val="007334E9"/>
    <w:rsid w:val="00733906"/>
    <w:rsid w:val="00733D97"/>
    <w:rsid w:val="00736AC4"/>
    <w:rsid w:val="0074080E"/>
    <w:rsid w:val="00741EE1"/>
    <w:rsid w:val="007441C1"/>
    <w:rsid w:val="007449FF"/>
    <w:rsid w:val="00744A4E"/>
    <w:rsid w:val="00745FEA"/>
    <w:rsid w:val="00746D39"/>
    <w:rsid w:val="00747DF7"/>
    <w:rsid w:val="00752502"/>
    <w:rsid w:val="0075326F"/>
    <w:rsid w:val="00753CC5"/>
    <w:rsid w:val="007548DB"/>
    <w:rsid w:val="00754C80"/>
    <w:rsid w:val="00754CB6"/>
    <w:rsid w:val="00754D39"/>
    <w:rsid w:val="0075547A"/>
    <w:rsid w:val="007562D1"/>
    <w:rsid w:val="007564F6"/>
    <w:rsid w:val="00756BA3"/>
    <w:rsid w:val="00756C84"/>
    <w:rsid w:val="00761181"/>
    <w:rsid w:val="00761FB0"/>
    <w:rsid w:val="0076333F"/>
    <w:rsid w:val="0076728D"/>
    <w:rsid w:val="00767C21"/>
    <w:rsid w:val="00770786"/>
    <w:rsid w:val="00771124"/>
    <w:rsid w:val="00776874"/>
    <w:rsid w:val="00777080"/>
    <w:rsid w:val="007772C3"/>
    <w:rsid w:val="00780FA9"/>
    <w:rsid w:val="0078117C"/>
    <w:rsid w:val="00781B6D"/>
    <w:rsid w:val="00783E80"/>
    <w:rsid w:val="0078464B"/>
    <w:rsid w:val="007852D1"/>
    <w:rsid w:val="007860B8"/>
    <w:rsid w:val="007865D4"/>
    <w:rsid w:val="00787C1D"/>
    <w:rsid w:val="00787D88"/>
    <w:rsid w:val="007905B4"/>
    <w:rsid w:val="0079098C"/>
    <w:rsid w:val="0079190A"/>
    <w:rsid w:val="007926C9"/>
    <w:rsid w:val="00792B7A"/>
    <w:rsid w:val="00794779"/>
    <w:rsid w:val="00794978"/>
    <w:rsid w:val="00794AC2"/>
    <w:rsid w:val="00795009"/>
    <w:rsid w:val="00795E35"/>
    <w:rsid w:val="007A01A5"/>
    <w:rsid w:val="007A32EA"/>
    <w:rsid w:val="007A3C93"/>
    <w:rsid w:val="007A5CC1"/>
    <w:rsid w:val="007A5E78"/>
    <w:rsid w:val="007A6290"/>
    <w:rsid w:val="007A71B7"/>
    <w:rsid w:val="007A7439"/>
    <w:rsid w:val="007A7CD6"/>
    <w:rsid w:val="007B0581"/>
    <w:rsid w:val="007B1844"/>
    <w:rsid w:val="007B31FD"/>
    <w:rsid w:val="007B35C6"/>
    <w:rsid w:val="007B4004"/>
    <w:rsid w:val="007B4369"/>
    <w:rsid w:val="007B4856"/>
    <w:rsid w:val="007B5112"/>
    <w:rsid w:val="007B64B0"/>
    <w:rsid w:val="007B6949"/>
    <w:rsid w:val="007B6EF4"/>
    <w:rsid w:val="007B73A0"/>
    <w:rsid w:val="007C0E99"/>
    <w:rsid w:val="007C18BE"/>
    <w:rsid w:val="007C2C28"/>
    <w:rsid w:val="007C3695"/>
    <w:rsid w:val="007C3B8F"/>
    <w:rsid w:val="007C40C6"/>
    <w:rsid w:val="007C54B8"/>
    <w:rsid w:val="007C65C4"/>
    <w:rsid w:val="007C6E8C"/>
    <w:rsid w:val="007C6EF9"/>
    <w:rsid w:val="007C734F"/>
    <w:rsid w:val="007C789D"/>
    <w:rsid w:val="007D011E"/>
    <w:rsid w:val="007D06F9"/>
    <w:rsid w:val="007D188E"/>
    <w:rsid w:val="007D2B88"/>
    <w:rsid w:val="007D33EC"/>
    <w:rsid w:val="007D378B"/>
    <w:rsid w:val="007D3F4C"/>
    <w:rsid w:val="007D584E"/>
    <w:rsid w:val="007D5973"/>
    <w:rsid w:val="007D5DD7"/>
    <w:rsid w:val="007D773D"/>
    <w:rsid w:val="007D778B"/>
    <w:rsid w:val="007D793A"/>
    <w:rsid w:val="007D79DD"/>
    <w:rsid w:val="007E04DA"/>
    <w:rsid w:val="007E1056"/>
    <w:rsid w:val="007E10AC"/>
    <w:rsid w:val="007E2A98"/>
    <w:rsid w:val="007E2F9F"/>
    <w:rsid w:val="007E71CB"/>
    <w:rsid w:val="007E7520"/>
    <w:rsid w:val="007E784D"/>
    <w:rsid w:val="007E7C47"/>
    <w:rsid w:val="007F2DE1"/>
    <w:rsid w:val="007F42F6"/>
    <w:rsid w:val="007F4F76"/>
    <w:rsid w:val="007F76FB"/>
    <w:rsid w:val="007F7743"/>
    <w:rsid w:val="007F7769"/>
    <w:rsid w:val="008002A7"/>
    <w:rsid w:val="00800387"/>
    <w:rsid w:val="00801DC9"/>
    <w:rsid w:val="0080251F"/>
    <w:rsid w:val="008028E4"/>
    <w:rsid w:val="00802B91"/>
    <w:rsid w:val="008030F8"/>
    <w:rsid w:val="00803C3E"/>
    <w:rsid w:val="00804134"/>
    <w:rsid w:val="008053B5"/>
    <w:rsid w:val="00806003"/>
    <w:rsid w:val="0080682A"/>
    <w:rsid w:val="008074CB"/>
    <w:rsid w:val="0081037D"/>
    <w:rsid w:val="0081099D"/>
    <w:rsid w:val="008115E8"/>
    <w:rsid w:val="008137BD"/>
    <w:rsid w:val="00813AB0"/>
    <w:rsid w:val="00813CEB"/>
    <w:rsid w:val="00813EAC"/>
    <w:rsid w:val="00814061"/>
    <w:rsid w:val="00814631"/>
    <w:rsid w:val="00815DB5"/>
    <w:rsid w:val="00816C1D"/>
    <w:rsid w:val="0081758D"/>
    <w:rsid w:val="00817F5F"/>
    <w:rsid w:val="0082053C"/>
    <w:rsid w:val="00821644"/>
    <w:rsid w:val="008218F4"/>
    <w:rsid w:val="00823E0C"/>
    <w:rsid w:val="00824F21"/>
    <w:rsid w:val="0082529E"/>
    <w:rsid w:val="00826027"/>
    <w:rsid w:val="008262D8"/>
    <w:rsid w:val="00827830"/>
    <w:rsid w:val="00827CDF"/>
    <w:rsid w:val="00827EB8"/>
    <w:rsid w:val="00831953"/>
    <w:rsid w:val="008327B2"/>
    <w:rsid w:val="00832BC5"/>
    <w:rsid w:val="00833E49"/>
    <w:rsid w:val="00835FE2"/>
    <w:rsid w:val="0083632C"/>
    <w:rsid w:val="00841D01"/>
    <w:rsid w:val="008431EA"/>
    <w:rsid w:val="00843B6D"/>
    <w:rsid w:val="0084528F"/>
    <w:rsid w:val="00845A52"/>
    <w:rsid w:val="0084613A"/>
    <w:rsid w:val="00846612"/>
    <w:rsid w:val="00847FC4"/>
    <w:rsid w:val="00850044"/>
    <w:rsid w:val="008502B5"/>
    <w:rsid w:val="008507BF"/>
    <w:rsid w:val="00850A44"/>
    <w:rsid w:val="00851373"/>
    <w:rsid w:val="008520A1"/>
    <w:rsid w:val="00852FD3"/>
    <w:rsid w:val="008531DC"/>
    <w:rsid w:val="0085375E"/>
    <w:rsid w:val="00853D4C"/>
    <w:rsid w:val="0085425F"/>
    <w:rsid w:val="008542C7"/>
    <w:rsid w:val="0085485A"/>
    <w:rsid w:val="00854D26"/>
    <w:rsid w:val="008551D7"/>
    <w:rsid w:val="008558FC"/>
    <w:rsid w:val="00856753"/>
    <w:rsid w:val="00856D4C"/>
    <w:rsid w:val="008573E5"/>
    <w:rsid w:val="008576F7"/>
    <w:rsid w:val="00857E71"/>
    <w:rsid w:val="00860960"/>
    <w:rsid w:val="00860DCB"/>
    <w:rsid w:val="00860F97"/>
    <w:rsid w:val="008610DE"/>
    <w:rsid w:val="00861353"/>
    <w:rsid w:val="00861808"/>
    <w:rsid w:val="008618C0"/>
    <w:rsid w:val="00861C15"/>
    <w:rsid w:val="00861E39"/>
    <w:rsid w:val="00862547"/>
    <w:rsid w:val="00862782"/>
    <w:rsid w:val="008631DE"/>
    <w:rsid w:val="00864278"/>
    <w:rsid w:val="0086437F"/>
    <w:rsid w:val="008643B1"/>
    <w:rsid w:val="00864BCC"/>
    <w:rsid w:val="00864F0E"/>
    <w:rsid w:val="00865881"/>
    <w:rsid w:val="008666FC"/>
    <w:rsid w:val="00866E9D"/>
    <w:rsid w:val="008712C2"/>
    <w:rsid w:val="00871F1D"/>
    <w:rsid w:val="00872013"/>
    <w:rsid w:val="0087226A"/>
    <w:rsid w:val="00872703"/>
    <w:rsid w:val="0087285A"/>
    <w:rsid w:val="00872D7C"/>
    <w:rsid w:val="008733DA"/>
    <w:rsid w:val="00873F36"/>
    <w:rsid w:val="00874D4A"/>
    <w:rsid w:val="008760AF"/>
    <w:rsid w:val="00877110"/>
    <w:rsid w:val="00877C86"/>
    <w:rsid w:val="00880A92"/>
    <w:rsid w:val="00881A81"/>
    <w:rsid w:val="00882BAD"/>
    <w:rsid w:val="00882E65"/>
    <w:rsid w:val="0088371D"/>
    <w:rsid w:val="008839C7"/>
    <w:rsid w:val="00884D3A"/>
    <w:rsid w:val="008850E7"/>
    <w:rsid w:val="00885826"/>
    <w:rsid w:val="00886027"/>
    <w:rsid w:val="008861A1"/>
    <w:rsid w:val="008873D1"/>
    <w:rsid w:val="00887681"/>
    <w:rsid w:val="00890C48"/>
    <w:rsid w:val="00890D2F"/>
    <w:rsid w:val="008910DD"/>
    <w:rsid w:val="00891793"/>
    <w:rsid w:val="0089337C"/>
    <w:rsid w:val="00893F73"/>
    <w:rsid w:val="00893F9F"/>
    <w:rsid w:val="008943FE"/>
    <w:rsid w:val="00894AC9"/>
    <w:rsid w:val="00894DAB"/>
    <w:rsid w:val="00894EC7"/>
    <w:rsid w:val="00895625"/>
    <w:rsid w:val="00895A6E"/>
    <w:rsid w:val="00895D1D"/>
    <w:rsid w:val="0089645C"/>
    <w:rsid w:val="00896578"/>
    <w:rsid w:val="00896AEC"/>
    <w:rsid w:val="008A06A9"/>
    <w:rsid w:val="008A0B43"/>
    <w:rsid w:val="008A1A07"/>
    <w:rsid w:val="008A3230"/>
    <w:rsid w:val="008A3382"/>
    <w:rsid w:val="008A7F8A"/>
    <w:rsid w:val="008B0C76"/>
    <w:rsid w:val="008B2F9E"/>
    <w:rsid w:val="008B46B3"/>
    <w:rsid w:val="008B5C01"/>
    <w:rsid w:val="008B61C5"/>
    <w:rsid w:val="008B6220"/>
    <w:rsid w:val="008C00DD"/>
    <w:rsid w:val="008C10DB"/>
    <w:rsid w:val="008C128E"/>
    <w:rsid w:val="008C1FAC"/>
    <w:rsid w:val="008C20A1"/>
    <w:rsid w:val="008C3BBC"/>
    <w:rsid w:val="008C40CA"/>
    <w:rsid w:val="008C40E0"/>
    <w:rsid w:val="008C42E8"/>
    <w:rsid w:val="008C43D8"/>
    <w:rsid w:val="008C46D8"/>
    <w:rsid w:val="008C4E7F"/>
    <w:rsid w:val="008C5952"/>
    <w:rsid w:val="008C7B89"/>
    <w:rsid w:val="008D015B"/>
    <w:rsid w:val="008D0CA1"/>
    <w:rsid w:val="008D0F86"/>
    <w:rsid w:val="008D1330"/>
    <w:rsid w:val="008D169E"/>
    <w:rsid w:val="008D2840"/>
    <w:rsid w:val="008D2A88"/>
    <w:rsid w:val="008D3C2F"/>
    <w:rsid w:val="008D3EC6"/>
    <w:rsid w:val="008D5AD0"/>
    <w:rsid w:val="008D5C39"/>
    <w:rsid w:val="008D5D33"/>
    <w:rsid w:val="008D6463"/>
    <w:rsid w:val="008D6982"/>
    <w:rsid w:val="008D6AF5"/>
    <w:rsid w:val="008D792B"/>
    <w:rsid w:val="008E0963"/>
    <w:rsid w:val="008E0E6B"/>
    <w:rsid w:val="008E1C70"/>
    <w:rsid w:val="008E2BAB"/>
    <w:rsid w:val="008E3647"/>
    <w:rsid w:val="008E392A"/>
    <w:rsid w:val="008E4334"/>
    <w:rsid w:val="008E44BF"/>
    <w:rsid w:val="008E68BF"/>
    <w:rsid w:val="008E6F33"/>
    <w:rsid w:val="008E7460"/>
    <w:rsid w:val="008E76EB"/>
    <w:rsid w:val="008F03DC"/>
    <w:rsid w:val="008F1133"/>
    <w:rsid w:val="008F1B3A"/>
    <w:rsid w:val="008F2B5A"/>
    <w:rsid w:val="008F3192"/>
    <w:rsid w:val="008F31CE"/>
    <w:rsid w:val="008F3C5B"/>
    <w:rsid w:val="008F66CE"/>
    <w:rsid w:val="008F6827"/>
    <w:rsid w:val="008F6AAF"/>
    <w:rsid w:val="008F7030"/>
    <w:rsid w:val="008F77ED"/>
    <w:rsid w:val="008F7B18"/>
    <w:rsid w:val="008F7C10"/>
    <w:rsid w:val="009002D2"/>
    <w:rsid w:val="00900513"/>
    <w:rsid w:val="00901633"/>
    <w:rsid w:val="00901E2D"/>
    <w:rsid w:val="0090240E"/>
    <w:rsid w:val="00903981"/>
    <w:rsid w:val="0090458C"/>
    <w:rsid w:val="00904AC6"/>
    <w:rsid w:val="009063DE"/>
    <w:rsid w:val="0090664A"/>
    <w:rsid w:val="00906A44"/>
    <w:rsid w:val="009077FD"/>
    <w:rsid w:val="009078E5"/>
    <w:rsid w:val="00907DD3"/>
    <w:rsid w:val="00907F9E"/>
    <w:rsid w:val="009116ED"/>
    <w:rsid w:val="00913343"/>
    <w:rsid w:val="0091450A"/>
    <w:rsid w:val="00914C62"/>
    <w:rsid w:val="00914DAB"/>
    <w:rsid w:val="00915730"/>
    <w:rsid w:val="0091749E"/>
    <w:rsid w:val="00917626"/>
    <w:rsid w:val="009207D3"/>
    <w:rsid w:val="0092188C"/>
    <w:rsid w:val="0092224F"/>
    <w:rsid w:val="009229E2"/>
    <w:rsid w:val="00923418"/>
    <w:rsid w:val="00923838"/>
    <w:rsid w:val="00923DC2"/>
    <w:rsid w:val="00924025"/>
    <w:rsid w:val="00924045"/>
    <w:rsid w:val="009241B7"/>
    <w:rsid w:val="00924863"/>
    <w:rsid w:val="00925209"/>
    <w:rsid w:val="009256CC"/>
    <w:rsid w:val="0092745F"/>
    <w:rsid w:val="00927E7A"/>
    <w:rsid w:val="0093055A"/>
    <w:rsid w:val="00930CEB"/>
    <w:rsid w:val="0093106B"/>
    <w:rsid w:val="009320C6"/>
    <w:rsid w:val="009321C8"/>
    <w:rsid w:val="00933087"/>
    <w:rsid w:val="00933634"/>
    <w:rsid w:val="0093369E"/>
    <w:rsid w:val="0093370C"/>
    <w:rsid w:val="0093476B"/>
    <w:rsid w:val="00934EB4"/>
    <w:rsid w:val="00935281"/>
    <w:rsid w:val="009354E9"/>
    <w:rsid w:val="00935ED8"/>
    <w:rsid w:val="00936D2A"/>
    <w:rsid w:val="009375FE"/>
    <w:rsid w:val="0094071F"/>
    <w:rsid w:val="0094096B"/>
    <w:rsid w:val="00940F33"/>
    <w:rsid w:val="009426A9"/>
    <w:rsid w:val="00942E90"/>
    <w:rsid w:val="00944577"/>
    <w:rsid w:val="00944CA5"/>
    <w:rsid w:val="00946792"/>
    <w:rsid w:val="009470D7"/>
    <w:rsid w:val="009473D9"/>
    <w:rsid w:val="0094745E"/>
    <w:rsid w:val="00951032"/>
    <w:rsid w:val="009514C9"/>
    <w:rsid w:val="00951F31"/>
    <w:rsid w:val="00952BEE"/>
    <w:rsid w:val="00953CFC"/>
    <w:rsid w:val="00954EEE"/>
    <w:rsid w:val="00955727"/>
    <w:rsid w:val="00955F08"/>
    <w:rsid w:val="0095692B"/>
    <w:rsid w:val="00957A9A"/>
    <w:rsid w:val="009602FC"/>
    <w:rsid w:val="00961C19"/>
    <w:rsid w:val="009621F5"/>
    <w:rsid w:val="00962987"/>
    <w:rsid w:val="0096342F"/>
    <w:rsid w:val="00965031"/>
    <w:rsid w:val="00965ADC"/>
    <w:rsid w:val="009663E5"/>
    <w:rsid w:val="0096661B"/>
    <w:rsid w:val="00966AB8"/>
    <w:rsid w:val="00966C73"/>
    <w:rsid w:val="009674DA"/>
    <w:rsid w:val="009701E5"/>
    <w:rsid w:val="00970E32"/>
    <w:rsid w:val="00971071"/>
    <w:rsid w:val="009720C5"/>
    <w:rsid w:val="00972186"/>
    <w:rsid w:val="00972590"/>
    <w:rsid w:val="00973242"/>
    <w:rsid w:val="0097344C"/>
    <w:rsid w:val="009744E1"/>
    <w:rsid w:val="00975273"/>
    <w:rsid w:val="00975620"/>
    <w:rsid w:val="00975F5B"/>
    <w:rsid w:val="00976004"/>
    <w:rsid w:val="00977EB7"/>
    <w:rsid w:val="00980279"/>
    <w:rsid w:val="00980F00"/>
    <w:rsid w:val="00980F9F"/>
    <w:rsid w:val="00981395"/>
    <w:rsid w:val="009815C9"/>
    <w:rsid w:val="009815D5"/>
    <w:rsid w:val="00982428"/>
    <w:rsid w:val="009838E8"/>
    <w:rsid w:val="009839E4"/>
    <w:rsid w:val="00983EEF"/>
    <w:rsid w:val="009841FE"/>
    <w:rsid w:val="00986C18"/>
    <w:rsid w:val="009870AF"/>
    <w:rsid w:val="009874A1"/>
    <w:rsid w:val="009876DA"/>
    <w:rsid w:val="00987D23"/>
    <w:rsid w:val="00987F04"/>
    <w:rsid w:val="009901DD"/>
    <w:rsid w:val="009902D9"/>
    <w:rsid w:val="00991307"/>
    <w:rsid w:val="0099174C"/>
    <w:rsid w:val="009920C5"/>
    <w:rsid w:val="009927AF"/>
    <w:rsid w:val="009939AA"/>
    <w:rsid w:val="009949B6"/>
    <w:rsid w:val="009953C2"/>
    <w:rsid w:val="00995660"/>
    <w:rsid w:val="00995798"/>
    <w:rsid w:val="00995B05"/>
    <w:rsid w:val="00995BDA"/>
    <w:rsid w:val="00996A54"/>
    <w:rsid w:val="00996B1E"/>
    <w:rsid w:val="00997C71"/>
    <w:rsid w:val="009A0327"/>
    <w:rsid w:val="009A17C7"/>
    <w:rsid w:val="009A1B91"/>
    <w:rsid w:val="009A1C92"/>
    <w:rsid w:val="009A29D6"/>
    <w:rsid w:val="009A2E95"/>
    <w:rsid w:val="009A3463"/>
    <w:rsid w:val="009A34BA"/>
    <w:rsid w:val="009A4350"/>
    <w:rsid w:val="009A4FD7"/>
    <w:rsid w:val="009B0203"/>
    <w:rsid w:val="009B0535"/>
    <w:rsid w:val="009B071C"/>
    <w:rsid w:val="009B1E9A"/>
    <w:rsid w:val="009B257F"/>
    <w:rsid w:val="009B4397"/>
    <w:rsid w:val="009B4948"/>
    <w:rsid w:val="009B4AA8"/>
    <w:rsid w:val="009B5C2A"/>
    <w:rsid w:val="009B5D4E"/>
    <w:rsid w:val="009B5E78"/>
    <w:rsid w:val="009C03B2"/>
    <w:rsid w:val="009C05E4"/>
    <w:rsid w:val="009C267D"/>
    <w:rsid w:val="009C2EE2"/>
    <w:rsid w:val="009C34D8"/>
    <w:rsid w:val="009C36F3"/>
    <w:rsid w:val="009C40AB"/>
    <w:rsid w:val="009C60EB"/>
    <w:rsid w:val="009C66E4"/>
    <w:rsid w:val="009C67D7"/>
    <w:rsid w:val="009C6FB0"/>
    <w:rsid w:val="009C732A"/>
    <w:rsid w:val="009D018C"/>
    <w:rsid w:val="009D04F4"/>
    <w:rsid w:val="009D0DE5"/>
    <w:rsid w:val="009D338E"/>
    <w:rsid w:val="009D5D30"/>
    <w:rsid w:val="009D6841"/>
    <w:rsid w:val="009D7424"/>
    <w:rsid w:val="009D7578"/>
    <w:rsid w:val="009D7DC6"/>
    <w:rsid w:val="009E0386"/>
    <w:rsid w:val="009E0928"/>
    <w:rsid w:val="009E09AF"/>
    <w:rsid w:val="009E30D3"/>
    <w:rsid w:val="009E375B"/>
    <w:rsid w:val="009E46EB"/>
    <w:rsid w:val="009E481F"/>
    <w:rsid w:val="009E63E7"/>
    <w:rsid w:val="009E6F5A"/>
    <w:rsid w:val="009F00A1"/>
    <w:rsid w:val="009F0225"/>
    <w:rsid w:val="009F1336"/>
    <w:rsid w:val="009F185E"/>
    <w:rsid w:val="009F18EB"/>
    <w:rsid w:val="009F2625"/>
    <w:rsid w:val="009F378B"/>
    <w:rsid w:val="009F3FEE"/>
    <w:rsid w:val="009F460D"/>
    <w:rsid w:val="009F61F0"/>
    <w:rsid w:val="009F63F4"/>
    <w:rsid w:val="009F6572"/>
    <w:rsid w:val="009F69CE"/>
    <w:rsid w:val="009F761B"/>
    <w:rsid w:val="009F7823"/>
    <w:rsid w:val="009F7F72"/>
    <w:rsid w:val="00A001A3"/>
    <w:rsid w:val="00A01334"/>
    <w:rsid w:val="00A017B0"/>
    <w:rsid w:val="00A02C78"/>
    <w:rsid w:val="00A0480B"/>
    <w:rsid w:val="00A05743"/>
    <w:rsid w:val="00A06569"/>
    <w:rsid w:val="00A06918"/>
    <w:rsid w:val="00A06E26"/>
    <w:rsid w:val="00A10394"/>
    <w:rsid w:val="00A10BDF"/>
    <w:rsid w:val="00A11E31"/>
    <w:rsid w:val="00A12FA9"/>
    <w:rsid w:val="00A1348F"/>
    <w:rsid w:val="00A13EDF"/>
    <w:rsid w:val="00A14025"/>
    <w:rsid w:val="00A15314"/>
    <w:rsid w:val="00A15746"/>
    <w:rsid w:val="00A15F21"/>
    <w:rsid w:val="00A17845"/>
    <w:rsid w:val="00A17890"/>
    <w:rsid w:val="00A17963"/>
    <w:rsid w:val="00A17A3A"/>
    <w:rsid w:val="00A23241"/>
    <w:rsid w:val="00A23A28"/>
    <w:rsid w:val="00A23BB6"/>
    <w:rsid w:val="00A248C9"/>
    <w:rsid w:val="00A26923"/>
    <w:rsid w:val="00A30C6A"/>
    <w:rsid w:val="00A3224D"/>
    <w:rsid w:val="00A3368D"/>
    <w:rsid w:val="00A33932"/>
    <w:rsid w:val="00A33AE3"/>
    <w:rsid w:val="00A343CE"/>
    <w:rsid w:val="00A34847"/>
    <w:rsid w:val="00A34958"/>
    <w:rsid w:val="00A36874"/>
    <w:rsid w:val="00A36B08"/>
    <w:rsid w:val="00A37A28"/>
    <w:rsid w:val="00A37D2E"/>
    <w:rsid w:val="00A40729"/>
    <w:rsid w:val="00A418C6"/>
    <w:rsid w:val="00A41AB3"/>
    <w:rsid w:val="00A42945"/>
    <w:rsid w:val="00A44DD8"/>
    <w:rsid w:val="00A463BF"/>
    <w:rsid w:val="00A469EE"/>
    <w:rsid w:val="00A474D9"/>
    <w:rsid w:val="00A4751F"/>
    <w:rsid w:val="00A47C45"/>
    <w:rsid w:val="00A47FE2"/>
    <w:rsid w:val="00A50051"/>
    <w:rsid w:val="00A508A9"/>
    <w:rsid w:val="00A50F81"/>
    <w:rsid w:val="00A513A4"/>
    <w:rsid w:val="00A516E1"/>
    <w:rsid w:val="00A5272D"/>
    <w:rsid w:val="00A53242"/>
    <w:rsid w:val="00A53AC6"/>
    <w:rsid w:val="00A544D3"/>
    <w:rsid w:val="00A55FAE"/>
    <w:rsid w:val="00A563B6"/>
    <w:rsid w:val="00A5677F"/>
    <w:rsid w:val="00A601A4"/>
    <w:rsid w:val="00A61DE9"/>
    <w:rsid w:val="00A62854"/>
    <w:rsid w:val="00A62CA1"/>
    <w:rsid w:val="00A63DE2"/>
    <w:rsid w:val="00A64EF7"/>
    <w:rsid w:val="00A65FCE"/>
    <w:rsid w:val="00A66351"/>
    <w:rsid w:val="00A7017A"/>
    <w:rsid w:val="00A70189"/>
    <w:rsid w:val="00A701B0"/>
    <w:rsid w:val="00A7032D"/>
    <w:rsid w:val="00A708C6"/>
    <w:rsid w:val="00A7106C"/>
    <w:rsid w:val="00A7154D"/>
    <w:rsid w:val="00A71EC0"/>
    <w:rsid w:val="00A723A0"/>
    <w:rsid w:val="00A727EF"/>
    <w:rsid w:val="00A72AEE"/>
    <w:rsid w:val="00A72B77"/>
    <w:rsid w:val="00A7453A"/>
    <w:rsid w:val="00A758ED"/>
    <w:rsid w:val="00A761B3"/>
    <w:rsid w:val="00A76586"/>
    <w:rsid w:val="00A76A32"/>
    <w:rsid w:val="00A775CA"/>
    <w:rsid w:val="00A80B5C"/>
    <w:rsid w:val="00A80C76"/>
    <w:rsid w:val="00A81101"/>
    <w:rsid w:val="00A813E9"/>
    <w:rsid w:val="00A82217"/>
    <w:rsid w:val="00A82A80"/>
    <w:rsid w:val="00A83DC0"/>
    <w:rsid w:val="00A83E4A"/>
    <w:rsid w:val="00A84958"/>
    <w:rsid w:val="00A85017"/>
    <w:rsid w:val="00A851F2"/>
    <w:rsid w:val="00A857A4"/>
    <w:rsid w:val="00A86DE3"/>
    <w:rsid w:val="00A87C7E"/>
    <w:rsid w:val="00A910D2"/>
    <w:rsid w:val="00A91CA9"/>
    <w:rsid w:val="00A9284C"/>
    <w:rsid w:val="00A92C1A"/>
    <w:rsid w:val="00A975C9"/>
    <w:rsid w:val="00A978F5"/>
    <w:rsid w:val="00A97AF5"/>
    <w:rsid w:val="00AA008A"/>
    <w:rsid w:val="00AA1516"/>
    <w:rsid w:val="00AA2865"/>
    <w:rsid w:val="00AA3BDF"/>
    <w:rsid w:val="00AA4940"/>
    <w:rsid w:val="00AA4E32"/>
    <w:rsid w:val="00AA5BA4"/>
    <w:rsid w:val="00AA696D"/>
    <w:rsid w:val="00AB069C"/>
    <w:rsid w:val="00AB0F11"/>
    <w:rsid w:val="00AB189E"/>
    <w:rsid w:val="00AB1A28"/>
    <w:rsid w:val="00AB1C5E"/>
    <w:rsid w:val="00AB2B69"/>
    <w:rsid w:val="00AB2B76"/>
    <w:rsid w:val="00AB3374"/>
    <w:rsid w:val="00AB3900"/>
    <w:rsid w:val="00AB3A16"/>
    <w:rsid w:val="00AB3B2C"/>
    <w:rsid w:val="00AB557A"/>
    <w:rsid w:val="00AB55E8"/>
    <w:rsid w:val="00AB565B"/>
    <w:rsid w:val="00AB6531"/>
    <w:rsid w:val="00AB6CFE"/>
    <w:rsid w:val="00AB6DDC"/>
    <w:rsid w:val="00AB7419"/>
    <w:rsid w:val="00AC0811"/>
    <w:rsid w:val="00AC1857"/>
    <w:rsid w:val="00AC1D6C"/>
    <w:rsid w:val="00AC201A"/>
    <w:rsid w:val="00AC27CF"/>
    <w:rsid w:val="00AC2864"/>
    <w:rsid w:val="00AC2AA9"/>
    <w:rsid w:val="00AC2AD9"/>
    <w:rsid w:val="00AC2EA3"/>
    <w:rsid w:val="00AC42E0"/>
    <w:rsid w:val="00AC4486"/>
    <w:rsid w:val="00AC56E2"/>
    <w:rsid w:val="00AC6D05"/>
    <w:rsid w:val="00AC79A4"/>
    <w:rsid w:val="00AD0366"/>
    <w:rsid w:val="00AD0501"/>
    <w:rsid w:val="00AD0D5E"/>
    <w:rsid w:val="00AD0F17"/>
    <w:rsid w:val="00AD195C"/>
    <w:rsid w:val="00AD297E"/>
    <w:rsid w:val="00AD4DA5"/>
    <w:rsid w:val="00AD652A"/>
    <w:rsid w:val="00AD6730"/>
    <w:rsid w:val="00AD7ACC"/>
    <w:rsid w:val="00AD7C6B"/>
    <w:rsid w:val="00AD7DCC"/>
    <w:rsid w:val="00AE13AF"/>
    <w:rsid w:val="00AE1EA9"/>
    <w:rsid w:val="00AE2139"/>
    <w:rsid w:val="00AE2174"/>
    <w:rsid w:val="00AE2859"/>
    <w:rsid w:val="00AE2E35"/>
    <w:rsid w:val="00AE323D"/>
    <w:rsid w:val="00AE5564"/>
    <w:rsid w:val="00AE5D39"/>
    <w:rsid w:val="00AE710E"/>
    <w:rsid w:val="00AE75AD"/>
    <w:rsid w:val="00AE75FB"/>
    <w:rsid w:val="00AF01E4"/>
    <w:rsid w:val="00AF09E4"/>
    <w:rsid w:val="00AF0E60"/>
    <w:rsid w:val="00AF11EC"/>
    <w:rsid w:val="00AF12C9"/>
    <w:rsid w:val="00AF13F6"/>
    <w:rsid w:val="00AF1E02"/>
    <w:rsid w:val="00AF2014"/>
    <w:rsid w:val="00AF301F"/>
    <w:rsid w:val="00AF36D8"/>
    <w:rsid w:val="00AF37ED"/>
    <w:rsid w:val="00AF4D7C"/>
    <w:rsid w:val="00AF6202"/>
    <w:rsid w:val="00B00147"/>
    <w:rsid w:val="00B01664"/>
    <w:rsid w:val="00B02755"/>
    <w:rsid w:val="00B03CC8"/>
    <w:rsid w:val="00B04164"/>
    <w:rsid w:val="00B044FE"/>
    <w:rsid w:val="00B06627"/>
    <w:rsid w:val="00B06C74"/>
    <w:rsid w:val="00B1229E"/>
    <w:rsid w:val="00B1243A"/>
    <w:rsid w:val="00B1349E"/>
    <w:rsid w:val="00B13971"/>
    <w:rsid w:val="00B1428E"/>
    <w:rsid w:val="00B142CB"/>
    <w:rsid w:val="00B1494A"/>
    <w:rsid w:val="00B14C7C"/>
    <w:rsid w:val="00B14CBA"/>
    <w:rsid w:val="00B15D77"/>
    <w:rsid w:val="00B16090"/>
    <w:rsid w:val="00B16374"/>
    <w:rsid w:val="00B16615"/>
    <w:rsid w:val="00B172F8"/>
    <w:rsid w:val="00B17CF1"/>
    <w:rsid w:val="00B20611"/>
    <w:rsid w:val="00B20930"/>
    <w:rsid w:val="00B228C6"/>
    <w:rsid w:val="00B23021"/>
    <w:rsid w:val="00B23742"/>
    <w:rsid w:val="00B23D44"/>
    <w:rsid w:val="00B24F87"/>
    <w:rsid w:val="00B25054"/>
    <w:rsid w:val="00B251A3"/>
    <w:rsid w:val="00B251DD"/>
    <w:rsid w:val="00B25B51"/>
    <w:rsid w:val="00B25D37"/>
    <w:rsid w:val="00B2699A"/>
    <w:rsid w:val="00B26C9B"/>
    <w:rsid w:val="00B26CDE"/>
    <w:rsid w:val="00B2719B"/>
    <w:rsid w:val="00B278E9"/>
    <w:rsid w:val="00B2797A"/>
    <w:rsid w:val="00B30944"/>
    <w:rsid w:val="00B30D71"/>
    <w:rsid w:val="00B32CCD"/>
    <w:rsid w:val="00B346B6"/>
    <w:rsid w:val="00B34DE8"/>
    <w:rsid w:val="00B35049"/>
    <w:rsid w:val="00B35E04"/>
    <w:rsid w:val="00B36002"/>
    <w:rsid w:val="00B36BF9"/>
    <w:rsid w:val="00B37701"/>
    <w:rsid w:val="00B405FC"/>
    <w:rsid w:val="00B40A38"/>
    <w:rsid w:val="00B427CB"/>
    <w:rsid w:val="00B45EAF"/>
    <w:rsid w:val="00B46AD7"/>
    <w:rsid w:val="00B46D3B"/>
    <w:rsid w:val="00B46E6A"/>
    <w:rsid w:val="00B501BF"/>
    <w:rsid w:val="00B5036E"/>
    <w:rsid w:val="00B50D0C"/>
    <w:rsid w:val="00B5181F"/>
    <w:rsid w:val="00B52848"/>
    <w:rsid w:val="00B531A8"/>
    <w:rsid w:val="00B54A57"/>
    <w:rsid w:val="00B54EF1"/>
    <w:rsid w:val="00B55E7D"/>
    <w:rsid w:val="00B56065"/>
    <w:rsid w:val="00B5689A"/>
    <w:rsid w:val="00B574CE"/>
    <w:rsid w:val="00B575A9"/>
    <w:rsid w:val="00B57E90"/>
    <w:rsid w:val="00B615E4"/>
    <w:rsid w:val="00B63784"/>
    <w:rsid w:val="00B637CC"/>
    <w:rsid w:val="00B63860"/>
    <w:rsid w:val="00B63AFE"/>
    <w:rsid w:val="00B64246"/>
    <w:rsid w:val="00B644C5"/>
    <w:rsid w:val="00B662CD"/>
    <w:rsid w:val="00B6682D"/>
    <w:rsid w:val="00B66BEB"/>
    <w:rsid w:val="00B70F2C"/>
    <w:rsid w:val="00B7177E"/>
    <w:rsid w:val="00B72261"/>
    <w:rsid w:val="00B72653"/>
    <w:rsid w:val="00B739F3"/>
    <w:rsid w:val="00B745AF"/>
    <w:rsid w:val="00B751BD"/>
    <w:rsid w:val="00B75677"/>
    <w:rsid w:val="00B75989"/>
    <w:rsid w:val="00B7707B"/>
    <w:rsid w:val="00B8092B"/>
    <w:rsid w:val="00B80ABE"/>
    <w:rsid w:val="00B814CE"/>
    <w:rsid w:val="00B82FD8"/>
    <w:rsid w:val="00B834A5"/>
    <w:rsid w:val="00B839D0"/>
    <w:rsid w:val="00B84258"/>
    <w:rsid w:val="00B850A3"/>
    <w:rsid w:val="00B852BD"/>
    <w:rsid w:val="00B85FE4"/>
    <w:rsid w:val="00B87694"/>
    <w:rsid w:val="00B87E40"/>
    <w:rsid w:val="00B904C2"/>
    <w:rsid w:val="00B9124B"/>
    <w:rsid w:val="00B914FD"/>
    <w:rsid w:val="00B919FA"/>
    <w:rsid w:val="00B9236E"/>
    <w:rsid w:val="00B92D0B"/>
    <w:rsid w:val="00B94E03"/>
    <w:rsid w:val="00B95A0D"/>
    <w:rsid w:val="00B977D8"/>
    <w:rsid w:val="00B97E35"/>
    <w:rsid w:val="00B97F41"/>
    <w:rsid w:val="00BA055B"/>
    <w:rsid w:val="00BA1EA3"/>
    <w:rsid w:val="00BA2F4D"/>
    <w:rsid w:val="00BA3870"/>
    <w:rsid w:val="00BA3F92"/>
    <w:rsid w:val="00BA5560"/>
    <w:rsid w:val="00BA5B61"/>
    <w:rsid w:val="00BA5D4E"/>
    <w:rsid w:val="00BA65E5"/>
    <w:rsid w:val="00BA7324"/>
    <w:rsid w:val="00BB08BA"/>
    <w:rsid w:val="00BB0FD6"/>
    <w:rsid w:val="00BB11D0"/>
    <w:rsid w:val="00BB29FF"/>
    <w:rsid w:val="00BB2D50"/>
    <w:rsid w:val="00BB4D5B"/>
    <w:rsid w:val="00BB4F94"/>
    <w:rsid w:val="00BB5255"/>
    <w:rsid w:val="00BB5CCB"/>
    <w:rsid w:val="00BB62FB"/>
    <w:rsid w:val="00BB6CAB"/>
    <w:rsid w:val="00BB6CB2"/>
    <w:rsid w:val="00BB6DF4"/>
    <w:rsid w:val="00BB77D1"/>
    <w:rsid w:val="00BB7E16"/>
    <w:rsid w:val="00BC0849"/>
    <w:rsid w:val="00BC0ECA"/>
    <w:rsid w:val="00BC5B7B"/>
    <w:rsid w:val="00BC7398"/>
    <w:rsid w:val="00BD0189"/>
    <w:rsid w:val="00BD0D0B"/>
    <w:rsid w:val="00BD12F6"/>
    <w:rsid w:val="00BD1DB5"/>
    <w:rsid w:val="00BD2030"/>
    <w:rsid w:val="00BD3AF5"/>
    <w:rsid w:val="00BD3B22"/>
    <w:rsid w:val="00BD3D0D"/>
    <w:rsid w:val="00BD4118"/>
    <w:rsid w:val="00BD5287"/>
    <w:rsid w:val="00BD53C3"/>
    <w:rsid w:val="00BD5540"/>
    <w:rsid w:val="00BD6374"/>
    <w:rsid w:val="00BD63AE"/>
    <w:rsid w:val="00BD64BC"/>
    <w:rsid w:val="00BD66C6"/>
    <w:rsid w:val="00BD78C4"/>
    <w:rsid w:val="00BD7C19"/>
    <w:rsid w:val="00BE0947"/>
    <w:rsid w:val="00BE0C9D"/>
    <w:rsid w:val="00BE0D49"/>
    <w:rsid w:val="00BE162A"/>
    <w:rsid w:val="00BE17F3"/>
    <w:rsid w:val="00BE456D"/>
    <w:rsid w:val="00BE5952"/>
    <w:rsid w:val="00BE5ECE"/>
    <w:rsid w:val="00BE6D16"/>
    <w:rsid w:val="00BE6E72"/>
    <w:rsid w:val="00BF034D"/>
    <w:rsid w:val="00BF0825"/>
    <w:rsid w:val="00BF128D"/>
    <w:rsid w:val="00BF2694"/>
    <w:rsid w:val="00BF3864"/>
    <w:rsid w:val="00BF3E3F"/>
    <w:rsid w:val="00BF5E36"/>
    <w:rsid w:val="00C00B2C"/>
    <w:rsid w:val="00C01478"/>
    <w:rsid w:val="00C01C63"/>
    <w:rsid w:val="00C025AB"/>
    <w:rsid w:val="00C03E19"/>
    <w:rsid w:val="00C04617"/>
    <w:rsid w:val="00C04999"/>
    <w:rsid w:val="00C04C83"/>
    <w:rsid w:val="00C04D3B"/>
    <w:rsid w:val="00C06C85"/>
    <w:rsid w:val="00C07589"/>
    <w:rsid w:val="00C1008F"/>
    <w:rsid w:val="00C10D3E"/>
    <w:rsid w:val="00C110D5"/>
    <w:rsid w:val="00C1219D"/>
    <w:rsid w:val="00C12564"/>
    <w:rsid w:val="00C12AC3"/>
    <w:rsid w:val="00C13513"/>
    <w:rsid w:val="00C15AAE"/>
    <w:rsid w:val="00C15B09"/>
    <w:rsid w:val="00C1668B"/>
    <w:rsid w:val="00C16BBA"/>
    <w:rsid w:val="00C17AB7"/>
    <w:rsid w:val="00C17CED"/>
    <w:rsid w:val="00C20446"/>
    <w:rsid w:val="00C21D88"/>
    <w:rsid w:val="00C23330"/>
    <w:rsid w:val="00C242C2"/>
    <w:rsid w:val="00C24313"/>
    <w:rsid w:val="00C247BA"/>
    <w:rsid w:val="00C24A68"/>
    <w:rsid w:val="00C24CC9"/>
    <w:rsid w:val="00C24FF9"/>
    <w:rsid w:val="00C25031"/>
    <w:rsid w:val="00C2636F"/>
    <w:rsid w:val="00C269DC"/>
    <w:rsid w:val="00C271FB"/>
    <w:rsid w:val="00C30364"/>
    <w:rsid w:val="00C3084C"/>
    <w:rsid w:val="00C30909"/>
    <w:rsid w:val="00C310B3"/>
    <w:rsid w:val="00C320E4"/>
    <w:rsid w:val="00C32510"/>
    <w:rsid w:val="00C32A66"/>
    <w:rsid w:val="00C339B3"/>
    <w:rsid w:val="00C34760"/>
    <w:rsid w:val="00C35940"/>
    <w:rsid w:val="00C35AB1"/>
    <w:rsid w:val="00C35B33"/>
    <w:rsid w:val="00C35DB9"/>
    <w:rsid w:val="00C35F11"/>
    <w:rsid w:val="00C3614F"/>
    <w:rsid w:val="00C36854"/>
    <w:rsid w:val="00C368B1"/>
    <w:rsid w:val="00C371EB"/>
    <w:rsid w:val="00C423B7"/>
    <w:rsid w:val="00C42496"/>
    <w:rsid w:val="00C42747"/>
    <w:rsid w:val="00C43066"/>
    <w:rsid w:val="00C43C67"/>
    <w:rsid w:val="00C443B3"/>
    <w:rsid w:val="00C44AE2"/>
    <w:rsid w:val="00C44C07"/>
    <w:rsid w:val="00C44FD3"/>
    <w:rsid w:val="00C4587F"/>
    <w:rsid w:val="00C464B6"/>
    <w:rsid w:val="00C47955"/>
    <w:rsid w:val="00C47B44"/>
    <w:rsid w:val="00C47DCE"/>
    <w:rsid w:val="00C5055E"/>
    <w:rsid w:val="00C5060A"/>
    <w:rsid w:val="00C51006"/>
    <w:rsid w:val="00C541C9"/>
    <w:rsid w:val="00C5653C"/>
    <w:rsid w:val="00C57741"/>
    <w:rsid w:val="00C57758"/>
    <w:rsid w:val="00C61E37"/>
    <w:rsid w:val="00C6250C"/>
    <w:rsid w:val="00C62831"/>
    <w:rsid w:val="00C6368B"/>
    <w:rsid w:val="00C64009"/>
    <w:rsid w:val="00C6541D"/>
    <w:rsid w:val="00C656D2"/>
    <w:rsid w:val="00C66274"/>
    <w:rsid w:val="00C67073"/>
    <w:rsid w:val="00C70FAF"/>
    <w:rsid w:val="00C71CE9"/>
    <w:rsid w:val="00C725E2"/>
    <w:rsid w:val="00C73B24"/>
    <w:rsid w:val="00C73D92"/>
    <w:rsid w:val="00C740C6"/>
    <w:rsid w:val="00C742DB"/>
    <w:rsid w:val="00C75516"/>
    <w:rsid w:val="00C75E90"/>
    <w:rsid w:val="00C76005"/>
    <w:rsid w:val="00C76541"/>
    <w:rsid w:val="00C77EEE"/>
    <w:rsid w:val="00C77FEA"/>
    <w:rsid w:val="00C828A8"/>
    <w:rsid w:val="00C840E3"/>
    <w:rsid w:val="00C84665"/>
    <w:rsid w:val="00C847DE"/>
    <w:rsid w:val="00C8529A"/>
    <w:rsid w:val="00C85BFC"/>
    <w:rsid w:val="00C909E9"/>
    <w:rsid w:val="00C90D5F"/>
    <w:rsid w:val="00C915BD"/>
    <w:rsid w:val="00C93F0B"/>
    <w:rsid w:val="00C942C3"/>
    <w:rsid w:val="00C94618"/>
    <w:rsid w:val="00C94F12"/>
    <w:rsid w:val="00C96364"/>
    <w:rsid w:val="00C97A0A"/>
    <w:rsid w:val="00CA03A0"/>
    <w:rsid w:val="00CA10A1"/>
    <w:rsid w:val="00CA212E"/>
    <w:rsid w:val="00CA4167"/>
    <w:rsid w:val="00CA4517"/>
    <w:rsid w:val="00CA460F"/>
    <w:rsid w:val="00CA4664"/>
    <w:rsid w:val="00CA4D40"/>
    <w:rsid w:val="00CA6023"/>
    <w:rsid w:val="00CA68D2"/>
    <w:rsid w:val="00CA6E5F"/>
    <w:rsid w:val="00CA7322"/>
    <w:rsid w:val="00CA75C0"/>
    <w:rsid w:val="00CA7F13"/>
    <w:rsid w:val="00CA7FE7"/>
    <w:rsid w:val="00CB00A6"/>
    <w:rsid w:val="00CB0344"/>
    <w:rsid w:val="00CB1C26"/>
    <w:rsid w:val="00CB3EE4"/>
    <w:rsid w:val="00CB41CF"/>
    <w:rsid w:val="00CB7B9B"/>
    <w:rsid w:val="00CC11FA"/>
    <w:rsid w:val="00CC123C"/>
    <w:rsid w:val="00CC1819"/>
    <w:rsid w:val="00CC3E9C"/>
    <w:rsid w:val="00CC43C0"/>
    <w:rsid w:val="00CC4D54"/>
    <w:rsid w:val="00CC4E26"/>
    <w:rsid w:val="00CC508D"/>
    <w:rsid w:val="00CC7F1C"/>
    <w:rsid w:val="00CC7F35"/>
    <w:rsid w:val="00CD0100"/>
    <w:rsid w:val="00CD0202"/>
    <w:rsid w:val="00CD10F7"/>
    <w:rsid w:val="00CD2492"/>
    <w:rsid w:val="00CD24D3"/>
    <w:rsid w:val="00CD4AA0"/>
    <w:rsid w:val="00CD5EA8"/>
    <w:rsid w:val="00CD5F7C"/>
    <w:rsid w:val="00CD6649"/>
    <w:rsid w:val="00CD6A5C"/>
    <w:rsid w:val="00CD6B07"/>
    <w:rsid w:val="00CD72E6"/>
    <w:rsid w:val="00CE02F1"/>
    <w:rsid w:val="00CE30F9"/>
    <w:rsid w:val="00CE3CB3"/>
    <w:rsid w:val="00CE4343"/>
    <w:rsid w:val="00CE457B"/>
    <w:rsid w:val="00CE4C24"/>
    <w:rsid w:val="00CE5E5D"/>
    <w:rsid w:val="00CE63CF"/>
    <w:rsid w:val="00CE707A"/>
    <w:rsid w:val="00CF03BF"/>
    <w:rsid w:val="00CF0C27"/>
    <w:rsid w:val="00CF2DEA"/>
    <w:rsid w:val="00CF2F8F"/>
    <w:rsid w:val="00CF3BEC"/>
    <w:rsid w:val="00CF5F74"/>
    <w:rsid w:val="00CF68C8"/>
    <w:rsid w:val="00CF7F9C"/>
    <w:rsid w:val="00D0040B"/>
    <w:rsid w:val="00D01DBF"/>
    <w:rsid w:val="00D02E65"/>
    <w:rsid w:val="00D032EF"/>
    <w:rsid w:val="00D03773"/>
    <w:rsid w:val="00D03C8C"/>
    <w:rsid w:val="00D044E3"/>
    <w:rsid w:val="00D0460A"/>
    <w:rsid w:val="00D05CA8"/>
    <w:rsid w:val="00D061A4"/>
    <w:rsid w:val="00D07950"/>
    <w:rsid w:val="00D07984"/>
    <w:rsid w:val="00D07997"/>
    <w:rsid w:val="00D10ECF"/>
    <w:rsid w:val="00D116D7"/>
    <w:rsid w:val="00D133F4"/>
    <w:rsid w:val="00D1440C"/>
    <w:rsid w:val="00D144A0"/>
    <w:rsid w:val="00D1586A"/>
    <w:rsid w:val="00D172BB"/>
    <w:rsid w:val="00D206C7"/>
    <w:rsid w:val="00D22006"/>
    <w:rsid w:val="00D22633"/>
    <w:rsid w:val="00D228BC"/>
    <w:rsid w:val="00D229FE"/>
    <w:rsid w:val="00D22F66"/>
    <w:rsid w:val="00D237D9"/>
    <w:rsid w:val="00D242A6"/>
    <w:rsid w:val="00D254C2"/>
    <w:rsid w:val="00D25CAA"/>
    <w:rsid w:val="00D26282"/>
    <w:rsid w:val="00D26894"/>
    <w:rsid w:val="00D26F6F"/>
    <w:rsid w:val="00D27A75"/>
    <w:rsid w:val="00D27E22"/>
    <w:rsid w:val="00D33887"/>
    <w:rsid w:val="00D33A06"/>
    <w:rsid w:val="00D34F49"/>
    <w:rsid w:val="00D3742F"/>
    <w:rsid w:val="00D378A4"/>
    <w:rsid w:val="00D40142"/>
    <w:rsid w:val="00D41252"/>
    <w:rsid w:val="00D41C37"/>
    <w:rsid w:val="00D42AB7"/>
    <w:rsid w:val="00D43057"/>
    <w:rsid w:val="00D43B9D"/>
    <w:rsid w:val="00D43BB2"/>
    <w:rsid w:val="00D43DC6"/>
    <w:rsid w:val="00D43EF2"/>
    <w:rsid w:val="00D45168"/>
    <w:rsid w:val="00D459C1"/>
    <w:rsid w:val="00D45AAA"/>
    <w:rsid w:val="00D45C4C"/>
    <w:rsid w:val="00D45DA7"/>
    <w:rsid w:val="00D47182"/>
    <w:rsid w:val="00D5248F"/>
    <w:rsid w:val="00D529FB"/>
    <w:rsid w:val="00D52F3D"/>
    <w:rsid w:val="00D53CE2"/>
    <w:rsid w:val="00D54486"/>
    <w:rsid w:val="00D5458D"/>
    <w:rsid w:val="00D54921"/>
    <w:rsid w:val="00D552CC"/>
    <w:rsid w:val="00D55719"/>
    <w:rsid w:val="00D557E6"/>
    <w:rsid w:val="00D56917"/>
    <w:rsid w:val="00D6106B"/>
    <w:rsid w:val="00D612A4"/>
    <w:rsid w:val="00D617AA"/>
    <w:rsid w:val="00D61A4B"/>
    <w:rsid w:val="00D62C3F"/>
    <w:rsid w:val="00D62FDF"/>
    <w:rsid w:val="00D649C9"/>
    <w:rsid w:val="00D6577D"/>
    <w:rsid w:val="00D65C05"/>
    <w:rsid w:val="00D66071"/>
    <w:rsid w:val="00D66B4D"/>
    <w:rsid w:val="00D66CEF"/>
    <w:rsid w:val="00D67D5C"/>
    <w:rsid w:val="00D7005E"/>
    <w:rsid w:val="00D72273"/>
    <w:rsid w:val="00D72455"/>
    <w:rsid w:val="00D72BC9"/>
    <w:rsid w:val="00D730A2"/>
    <w:rsid w:val="00D734B8"/>
    <w:rsid w:val="00D73818"/>
    <w:rsid w:val="00D73AFE"/>
    <w:rsid w:val="00D746FA"/>
    <w:rsid w:val="00D7475B"/>
    <w:rsid w:val="00D74860"/>
    <w:rsid w:val="00D74F8E"/>
    <w:rsid w:val="00D7574F"/>
    <w:rsid w:val="00D80EC4"/>
    <w:rsid w:val="00D81996"/>
    <w:rsid w:val="00D825C9"/>
    <w:rsid w:val="00D8359F"/>
    <w:rsid w:val="00D84251"/>
    <w:rsid w:val="00D84A22"/>
    <w:rsid w:val="00D8532E"/>
    <w:rsid w:val="00D85436"/>
    <w:rsid w:val="00D855FF"/>
    <w:rsid w:val="00D861D7"/>
    <w:rsid w:val="00D87070"/>
    <w:rsid w:val="00D875EA"/>
    <w:rsid w:val="00D879EC"/>
    <w:rsid w:val="00D87A40"/>
    <w:rsid w:val="00D9138C"/>
    <w:rsid w:val="00D91E77"/>
    <w:rsid w:val="00D934F8"/>
    <w:rsid w:val="00D939ED"/>
    <w:rsid w:val="00D94025"/>
    <w:rsid w:val="00D948ED"/>
    <w:rsid w:val="00D9699A"/>
    <w:rsid w:val="00D96FCC"/>
    <w:rsid w:val="00DA03B8"/>
    <w:rsid w:val="00DA128E"/>
    <w:rsid w:val="00DA13DB"/>
    <w:rsid w:val="00DA2F81"/>
    <w:rsid w:val="00DA3827"/>
    <w:rsid w:val="00DA4F5E"/>
    <w:rsid w:val="00DA6602"/>
    <w:rsid w:val="00DA717D"/>
    <w:rsid w:val="00DB0DFD"/>
    <w:rsid w:val="00DB1954"/>
    <w:rsid w:val="00DB34FA"/>
    <w:rsid w:val="00DB50C7"/>
    <w:rsid w:val="00DB511C"/>
    <w:rsid w:val="00DB57C0"/>
    <w:rsid w:val="00DB65D8"/>
    <w:rsid w:val="00DB69AE"/>
    <w:rsid w:val="00DB711A"/>
    <w:rsid w:val="00DB77AE"/>
    <w:rsid w:val="00DB793F"/>
    <w:rsid w:val="00DC0483"/>
    <w:rsid w:val="00DC0C05"/>
    <w:rsid w:val="00DC0C62"/>
    <w:rsid w:val="00DC13C0"/>
    <w:rsid w:val="00DC14AC"/>
    <w:rsid w:val="00DC150D"/>
    <w:rsid w:val="00DC17CB"/>
    <w:rsid w:val="00DC1A5F"/>
    <w:rsid w:val="00DC2ABE"/>
    <w:rsid w:val="00DC3004"/>
    <w:rsid w:val="00DC3DAE"/>
    <w:rsid w:val="00DC59AD"/>
    <w:rsid w:val="00DC5C85"/>
    <w:rsid w:val="00DC668C"/>
    <w:rsid w:val="00DC7113"/>
    <w:rsid w:val="00DD047F"/>
    <w:rsid w:val="00DD15C1"/>
    <w:rsid w:val="00DD1E79"/>
    <w:rsid w:val="00DD31AC"/>
    <w:rsid w:val="00DD3C4E"/>
    <w:rsid w:val="00DD4FB0"/>
    <w:rsid w:val="00DD6BDD"/>
    <w:rsid w:val="00DD6E7E"/>
    <w:rsid w:val="00DE0D63"/>
    <w:rsid w:val="00DE1753"/>
    <w:rsid w:val="00DE274B"/>
    <w:rsid w:val="00DE39FF"/>
    <w:rsid w:val="00DE3B11"/>
    <w:rsid w:val="00DE4135"/>
    <w:rsid w:val="00DE4AFC"/>
    <w:rsid w:val="00DE52C4"/>
    <w:rsid w:val="00DF0231"/>
    <w:rsid w:val="00DF0301"/>
    <w:rsid w:val="00DF07E1"/>
    <w:rsid w:val="00DF0880"/>
    <w:rsid w:val="00DF101D"/>
    <w:rsid w:val="00DF198D"/>
    <w:rsid w:val="00DF2001"/>
    <w:rsid w:val="00DF3F1A"/>
    <w:rsid w:val="00DF446D"/>
    <w:rsid w:val="00DF4A3F"/>
    <w:rsid w:val="00DF56E2"/>
    <w:rsid w:val="00DF5C24"/>
    <w:rsid w:val="00DF5DF6"/>
    <w:rsid w:val="00DF7936"/>
    <w:rsid w:val="00DF7E42"/>
    <w:rsid w:val="00E00715"/>
    <w:rsid w:val="00E01C90"/>
    <w:rsid w:val="00E01E17"/>
    <w:rsid w:val="00E0304A"/>
    <w:rsid w:val="00E03A8F"/>
    <w:rsid w:val="00E03F47"/>
    <w:rsid w:val="00E04955"/>
    <w:rsid w:val="00E04FCF"/>
    <w:rsid w:val="00E06658"/>
    <w:rsid w:val="00E06BF8"/>
    <w:rsid w:val="00E07223"/>
    <w:rsid w:val="00E12FDB"/>
    <w:rsid w:val="00E1318E"/>
    <w:rsid w:val="00E13EE0"/>
    <w:rsid w:val="00E149B2"/>
    <w:rsid w:val="00E14B13"/>
    <w:rsid w:val="00E14CDF"/>
    <w:rsid w:val="00E14D8B"/>
    <w:rsid w:val="00E1587E"/>
    <w:rsid w:val="00E161B2"/>
    <w:rsid w:val="00E16774"/>
    <w:rsid w:val="00E16871"/>
    <w:rsid w:val="00E17046"/>
    <w:rsid w:val="00E17545"/>
    <w:rsid w:val="00E209F9"/>
    <w:rsid w:val="00E21B80"/>
    <w:rsid w:val="00E226F3"/>
    <w:rsid w:val="00E2368D"/>
    <w:rsid w:val="00E24028"/>
    <w:rsid w:val="00E25BEA"/>
    <w:rsid w:val="00E270DE"/>
    <w:rsid w:val="00E3139D"/>
    <w:rsid w:val="00E31B92"/>
    <w:rsid w:val="00E3262D"/>
    <w:rsid w:val="00E32A58"/>
    <w:rsid w:val="00E330DE"/>
    <w:rsid w:val="00E33210"/>
    <w:rsid w:val="00E332DA"/>
    <w:rsid w:val="00E339D7"/>
    <w:rsid w:val="00E352BC"/>
    <w:rsid w:val="00E35A6C"/>
    <w:rsid w:val="00E36040"/>
    <w:rsid w:val="00E3609A"/>
    <w:rsid w:val="00E362D9"/>
    <w:rsid w:val="00E36849"/>
    <w:rsid w:val="00E36F94"/>
    <w:rsid w:val="00E406A1"/>
    <w:rsid w:val="00E40869"/>
    <w:rsid w:val="00E40E7F"/>
    <w:rsid w:val="00E4199C"/>
    <w:rsid w:val="00E42098"/>
    <w:rsid w:val="00E42224"/>
    <w:rsid w:val="00E444D5"/>
    <w:rsid w:val="00E458E9"/>
    <w:rsid w:val="00E45F03"/>
    <w:rsid w:val="00E472D3"/>
    <w:rsid w:val="00E47617"/>
    <w:rsid w:val="00E525D0"/>
    <w:rsid w:val="00E526B0"/>
    <w:rsid w:val="00E52BB4"/>
    <w:rsid w:val="00E53A7A"/>
    <w:rsid w:val="00E54335"/>
    <w:rsid w:val="00E54B06"/>
    <w:rsid w:val="00E54B8C"/>
    <w:rsid w:val="00E54C1B"/>
    <w:rsid w:val="00E54D40"/>
    <w:rsid w:val="00E54DB0"/>
    <w:rsid w:val="00E5519F"/>
    <w:rsid w:val="00E5788C"/>
    <w:rsid w:val="00E57E4C"/>
    <w:rsid w:val="00E60986"/>
    <w:rsid w:val="00E60CDE"/>
    <w:rsid w:val="00E61988"/>
    <w:rsid w:val="00E61CED"/>
    <w:rsid w:val="00E63711"/>
    <w:rsid w:val="00E637F1"/>
    <w:rsid w:val="00E6433E"/>
    <w:rsid w:val="00E64C14"/>
    <w:rsid w:val="00E658C1"/>
    <w:rsid w:val="00E65C3A"/>
    <w:rsid w:val="00E65CE5"/>
    <w:rsid w:val="00E65E10"/>
    <w:rsid w:val="00E66395"/>
    <w:rsid w:val="00E6694C"/>
    <w:rsid w:val="00E676BA"/>
    <w:rsid w:val="00E70C09"/>
    <w:rsid w:val="00E711BD"/>
    <w:rsid w:val="00E72C6C"/>
    <w:rsid w:val="00E72C88"/>
    <w:rsid w:val="00E72CA8"/>
    <w:rsid w:val="00E74F2E"/>
    <w:rsid w:val="00E751F9"/>
    <w:rsid w:val="00E765C7"/>
    <w:rsid w:val="00E76B4B"/>
    <w:rsid w:val="00E80725"/>
    <w:rsid w:val="00E80DB4"/>
    <w:rsid w:val="00E82410"/>
    <w:rsid w:val="00E82A13"/>
    <w:rsid w:val="00E8363A"/>
    <w:rsid w:val="00E84DA0"/>
    <w:rsid w:val="00E85719"/>
    <w:rsid w:val="00E85D4F"/>
    <w:rsid w:val="00E87571"/>
    <w:rsid w:val="00E912BE"/>
    <w:rsid w:val="00E9358D"/>
    <w:rsid w:val="00E93AD9"/>
    <w:rsid w:val="00E94D9E"/>
    <w:rsid w:val="00E94E16"/>
    <w:rsid w:val="00E957AF"/>
    <w:rsid w:val="00E95DA1"/>
    <w:rsid w:val="00E9614F"/>
    <w:rsid w:val="00EA0483"/>
    <w:rsid w:val="00EA0816"/>
    <w:rsid w:val="00EA095F"/>
    <w:rsid w:val="00EA2AD3"/>
    <w:rsid w:val="00EA2EA3"/>
    <w:rsid w:val="00EA4495"/>
    <w:rsid w:val="00EA56F2"/>
    <w:rsid w:val="00EA70BA"/>
    <w:rsid w:val="00EB025E"/>
    <w:rsid w:val="00EB0B01"/>
    <w:rsid w:val="00EB318C"/>
    <w:rsid w:val="00EB32E2"/>
    <w:rsid w:val="00EB439E"/>
    <w:rsid w:val="00EB45AE"/>
    <w:rsid w:val="00EB5064"/>
    <w:rsid w:val="00EB51E6"/>
    <w:rsid w:val="00EB5374"/>
    <w:rsid w:val="00EB5767"/>
    <w:rsid w:val="00EB5FB4"/>
    <w:rsid w:val="00EB63DA"/>
    <w:rsid w:val="00EB64A2"/>
    <w:rsid w:val="00EB6BB2"/>
    <w:rsid w:val="00EB6C7C"/>
    <w:rsid w:val="00EB724F"/>
    <w:rsid w:val="00EC0294"/>
    <w:rsid w:val="00EC05F4"/>
    <w:rsid w:val="00EC14C2"/>
    <w:rsid w:val="00EC1E7A"/>
    <w:rsid w:val="00EC2A35"/>
    <w:rsid w:val="00EC2D0D"/>
    <w:rsid w:val="00EC2F76"/>
    <w:rsid w:val="00EC5123"/>
    <w:rsid w:val="00EC515B"/>
    <w:rsid w:val="00EC5486"/>
    <w:rsid w:val="00EC6943"/>
    <w:rsid w:val="00EC6B3A"/>
    <w:rsid w:val="00EC6BDF"/>
    <w:rsid w:val="00EC78FE"/>
    <w:rsid w:val="00ED1BD0"/>
    <w:rsid w:val="00ED2755"/>
    <w:rsid w:val="00ED413F"/>
    <w:rsid w:val="00ED7A09"/>
    <w:rsid w:val="00EE041E"/>
    <w:rsid w:val="00EE1C92"/>
    <w:rsid w:val="00EE1EC5"/>
    <w:rsid w:val="00EE28A8"/>
    <w:rsid w:val="00EE3508"/>
    <w:rsid w:val="00EE4F3B"/>
    <w:rsid w:val="00EE500C"/>
    <w:rsid w:val="00EE704A"/>
    <w:rsid w:val="00EE7384"/>
    <w:rsid w:val="00EE74E9"/>
    <w:rsid w:val="00EE7AC8"/>
    <w:rsid w:val="00EE7F71"/>
    <w:rsid w:val="00EF05B8"/>
    <w:rsid w:val="00EF0CFC"/>
    <w:rsid w:val="00EF2C3F"/>
    <w:rsid w:val="00EF2C73"/>
    <w:rsid w:val="00EF2CEC"/>
    <w:rsid w:val="00EF4EFA"/>
    <w:rsid w:val="00EF550D"/>
    <w:rsid w:val="00EF716B"/>
    <w:rsid w:val="00F002D4"/>
    <w:rsid w:val="00F00328"/>
    <w:rsid w:val="00F00C66"/>
    <w:rsid w:val="00F014F5"/>
    <w:rsid w:val="00F0242D"/>
    <w:rsid w:val="00F02815"/>
    <w:rsid w:val="00F03A05"/>
    <w:rsid w:val="00F0577B"/>
    <w:rsid w:val="00F113AA"/>
    <w:rsid w:val="00F11778"/>
    <w:rsid w:val="00F11E06"/>
    <w:rsid w:val="00F11E5B"/>
    <w:rsid w:val="00F13B92"/>
    <w:rsid w:val="00F13F31"/>
    <w:rsid w:val="00F15C96"/>
    <w:rsid w:val="00F17358"/>
    <w:rsid w:val="00F17C9B"/>
    <w:rsid w:val="00F20E62"/>
    <w:rsid w:val="00F20EFF"/>
    <w:rsid w:val="00F217CD"/>
    <w:rsid w:val="00F218B2"/>
    <w:rsid w:val="00F21BB5"/>
    <w:rsid w:val="00F2291E"/>
    <w:rsid w:val="00F23130"/>
    <w:rsid w:val="00F23419"/>
    <w:rsid w:val="00F2472D"/>
    <w:rsid w:val="00F24981"/>
    <w:rsid w:val="00F2580F"/>
    <w:rsid w:val="00F25FAC"/>
    <w:rsid w:val="00F2633C"/>
    <w:rsid w:val="00F26FF8"/>
    <w:rsid w:val="00F2720C"/>
    <w:rsid w:val="00F30952"/>
    <w:rsid w:val="00F312F6"/>
    <w:rsid w:val="00F31A84"/>
    <w:rsid w:val="00F31BAB"/>
    <w:rsid w:val="00F333F3"/>
    <w:rsid w:val="00F336EB"/>
    <w:rsid w:val="00F3434C"/>
    <w:rsid w:val="00F346D7"/>
    <w:rsid w:val="00F34742"/>
    <w:rsid w:val="00F354D4"/>
    <w:rsid w:val="00F368E5"/>
    <w:rsid w:val="00F377B3"/>
    <w:rsid w:val="00F379F1"/>
    <w:rsid w:val="00F405F5"/>
    <w:rsid w:val="00F41659"/>
    <w:rsid w:val="00F4274C"/>
    <w:rsid w:val="00F427AD"/>
    <w:rsid w:val="00F429F1"/>
    <w:rsid w:val="00F43F69"/>
    <w:rsid w:val="00F442AD"/>
    <w:rsid w:val="00F448C7"/>
    <w:rsid w:val="00F449A6"/>
    <w:rsid w:val="00F44E28"/>
    <w:rsid w:val="00F44E33"/>
    <w:rsid w:val="00F4518A"/>
    <w:rsid w:val="00F4519B"/>
    <w:rsid w:val="00F45737"/>
    <w:rsid w:val="00F47827"/>
    <w:rsid w:val="00F50274"/>
    <w:rsid w:val="00F5085D"/>
    <w:rsid w:val="00F5127B"/>
    <w:rsid w:val="00F516D5"/>
    <w:rsid w:val="00F5287D"/>
    <w:rsid w:val="00F54081"/>
    <w:rsid w:val="00F54604"/>
    <w:rsid w:val="00F54A08"/>
    <w:rsid w:val="00F55824"/>
    <w:rsid w:val="00F57DCF"/>
    <w:rsid w:val="00F600D7"/>
    <w:rsid w:val="00F6058B"/>
    <w:rsid w:val="00F60C2F"/>
    <w:rsid w:val="00F60FBC"/>
    <w:rsid w:val="00F61A8A"/>
    <w:rsid w:val="00F62243"/>
    <w:rsid w:val="00F622FC"/>
    <w:rsid w:val="00F62E09"/>
    <w:rsid w:val="00F64414"/>
    <w:rsid w:val="00F6490D"/>
    <w:rsid w:val="00F7042A"/>
    <w:rsid w:val="00F70745"/>
    <w:rsid w:val="00F710A1"/>
    <w:rsid w:val="00F7136B"/>
    <w:rsid w:val="00F73E04"/>
    <w:rsid w:val="00F74119"/>
    <w:rsid w:val="00F74179"/>
    <w:rsid w:val="00F746CF"/>
    <w:rsid w:val="00F74799"/>
    <w:rsid w:val="00F76091"/>
    <w:rsid w:val="00F76EE8"/>
    <w:rsid w:val="00F771FF"/>
    <w:rsid w:val="00F77411"/>
    <w:rsid w:val="00F778FF"/>
    <w:rsid w:val="00F80254"/>
    <w:rsid w:val="00F8105B"/>
    <w:rsid w:val="00F810A8"/>
    <w:rsid w:val="00F81674"/>
    <w:rsid w:val="00F82009"/>
    <w:rsid w:val="00F82C81"/>
    <w:rsid w:val="00F83137"/>
    <w:rsid w:val="00F838D3"/>
    <w:rsid w:val="00F8438D"/>
    <w:rsid w:val="00F844F4"/>
    <w:rsid w:val="00F85157"/>
    <w:rsid w:val="00F858FA"/>
    <w:rsid w:val="00F8598E"/>
    <w:rsid w:val="00F865A2"/>
    <w:rsid w:val="00F86736"/>
    <w:rsid w:val="00F867D4"/>
    <w:rsid w:val="00F86B6F"/>
    <w:rsid w:val="00F90117"/>
    <w:rsid w:val="00F90427"/>
    <w:rsid w:val="00F90609"/>
    <w:rsid w:val="00F90718"/>
    <w:rsid w:val="00F90CD1"/>
    <w:rsid w:val="00F914EE"/>
    <w:rsid w:val="00F91791"/>
    <w:rsid w:val="00F9198A"/>
    <w:rsid w:val="00F92EEC"/>
    <w:rsid w:val="00F93229"/>
    <w:rsid w:val="00F93300"/>
    <w:rsid w:val="00F937E8"/>
    <w:rsid w:val="00F94179"/>
    <w:rsid w:val="00F9455B"/>
    <w:rsid w:val="00F94741"/>
    <w:rsid w:val="00F947AB"/>
    <w:rsid w:val="00F95482"/>
    <w:rsid w:val="00F95B3A"/>
    <w:rsid w:val="00F9687C"/>
    <w:rsid w:val="00F96C91"/>
    <w:rsid w:val="00F97613"/>
    <w:rsid w:val="00FA1BEC"/>
    <w:rsid w:val="00FA3C2A"/>
    <w:rsid w:val="00FA436D"/>
    <w:rsid w:val="00FA476D"/>
    <w:rsid w:val="00FA54A6"/>
    <w:rsid w:val="00FA576C"/>
    <w:rsid w:val="00FA645E"/>
    <w:rsid w:val="00FA6639"/>
    <w:rsid w:val="00FA6CC7"/>
    <w:rsid w:val="00FA6EF8"/>
    <w:rsid w:val="00FA6F23"/>
    <w:rsid w:val="00FB036D"/>
    <w:rsid w:val="00FB093A"/>
    <w:rsid w:val="00FB0B06"/>
    <w:rsid w:val="00FB159B"/>
    <w:rsid w:val="00FB1A26"/>
    <w:rsid w:val="00FB1BA9"/>
    <w:rsid w:val="00FB245C"/>
    <w:rsid w:val="00FB3BB0"/>
    <w:rsid w:val="00FB554A"/>
    <w:rsid w:val="00FB5B46"/>
    <w:rsid w:val="00FB60CC"/>
    <w:rsid w:val="00FB6EE0"/>
    <w:rsid w:val="00FB7093"/>
    <w:rsid w:val="00FC04E7"/>
    <w:rsid w:val="00FC18C3"/>
    <w:rsid w:val="00FC1B86"/>
    <w:rsid w:val="00FC1DA7"/>
    <w:rsid w:val="00FC2319"/>
    <w:rsid w:val="00FC244C"/>
    <w:rsid w:val="00FC303C"/>
    <w:rsid w:val="00FC3810"/>
    <w:rsid w:val="00FC44DF"/>
    <w:rsid w:val="00FC5DDE"/>
    <w:rsid w:val="00FD03ED"/>
    <w:rsid w:val="00FD0BE2"/>
    <w:rsid w:val="00FD188E"/>
    <w:rsid w:val="00FD1A49"/>
    <w:rsid w:val="00FD22D0"/>
    <w:rsid w:val="00FD4440"/>
    <w:rsid w:val="00FD4BA3"/>
    <w:rsid w:val="00FD52DE"/>
    <w:rsid w:val="00FD5A32"/>
    <w:rsid w:val="00FD7555"/>
    <w:rsid w:val="00FE10B8"/>
    <w:rsid w:val="00FE1D3A"/>
    <w:rsid w:val="00FE201A"/>
    <w:rsid w:val="00FE2848"/>
    <w:rsid w:val="00FE36AC"/>
    <w:rsid w:val="00FE425A"/>
    <w:rsid w:val="00FE4584"/>
    <w:rsid w:val="00FE46F8"/>
    <w:rsid w:val="00FE63E4"/>
    <w:rsid w:val="00FE706B"/>
    <w:rsid w:val="00FE7F07"/>
    <w:rsid w:val="00FF0088"/>
    <w:rsid w:val="00FF03D3"/>
    <w:rsid w:val="00FF14EA"/>
    <w:rsid w:val="00FF176F"/>
    <w:rsid w:val="00FF2320"/>
    <w:rsid w:val="00FF362D"/>
    <w:rsid w:val="00FF443B"/>
    <w:rsid w:val="00FF4696"/>
    <w:rsid w:val="00FF5205"/>
    <w:rsid w:val="00FF54D5"/>
    <w:rsid w:val="00FF586F"/>
    <w:rsid w:val="00FF5BD7"/>
    <w:rsid w:val="00FF7759"/>
    <w:rsid w:val="00FF789A"/>
    <w:rsid w:val="00FF7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946"/>
  <w15:chartTrackingRefBased/>
  <w15:docId w15:val="{77D14D43-E1D1-46E4-A060-5DB9D9DE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94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94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00FCD"/>
    <w:pPr>
      <w:keepNext/>
      <w:keepLines/>
      <w:spacing w:before="40" w:after="0"/>
      <w:outlineLvl w:val="2"/>
    </w:pPr>
    <w:rPr>
      <w:rFonts w:asciiTheme="majorHAnsi" w:eastAsiaTheme="majorEastAsia" w:hAnsiTheme="majorHAnsi" w:cstheme="majorBidi"/>
      <w:color w:val="1F4D78" w:themeColor="accent1" w:themeShade="7F"/>
      <w:sz w:val="24"/>
      <w:szCs w:val="24"/>
      <w:lang w:val="ro-MD"/>
    </w:rPr>
  </w:style>
  <w:style w:type="paragraph" w:styleId="4">
    <w:name w:val="heading 4"/>
    <w:basedOn w:val="a"/>
    <w:next w:val="a"/>
    <w:link w:val="40"/>
    <w:uiPriority w:val="9"/>
    <w:semiHidden/>
    <w:unhideWhenUsed/>
    <w:qFormat/>
    <w:rsid w:val="008B46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A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94AC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00FCD"/>
    <w:rPr>
      <w:rFonts w:asciiTheme="majorHAnsi" w:eastAsiaTheme="majorEastAsia" w:hAnsiTheme="majorHAnsi" w:cstheme="majorBidi"/>
      <w:color w:val="1F4D78" w:themeColor="accent1" w:themeShade="7F"/>
      <w:sz w:val="24"/>
      <w:szCs w:val="24"/>
      <w:lang w:val="ro-MD"/>
    </w:rPr>
  </w:style>
  <w:style w:type="table" w:styleId="-52">
    <w:name w:val="Grid Table 5 Dark Accent 2"/>
    <w:basedOn w:val="a1"/>
    <w:uiPriority w:val="50"/>
    <w:rsid w:val="008500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22">
    <w:name w:val="List Table 2 Accent 2"/>
    <w:basedOn w:val="a1"/>
    <w:uiPriority w:val="47"/>
    <w:rsid w:val="0085004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4"/>
    <w:uiPriority w:val="99"/>
    <w:unhideWhenUsed/>
    <w:qFormat/>
    <w:rsid w:val="00850044"/>
    <w:pPr>
      <w:spacing w:after="0" w:line="240" w:lineRule="auto"/>
    </w:pPr>
    <w:rPr>
      <w:sz w:val="20"/>
      <w:szCs w:val="20"/>
      <w:lang w:val="ro-MD"/>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3"/>
    <w:uiPriority w:val="99"/>
    <w:qFormat/>
    <w:rsid w:val="00850044"/>
    <w:rPr>
      <w:sz w:val="20"/>
      <w:szCs w:val="20"/>
      <w:lang w:val="ro-MD"/>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FR,Знак1 Char1,R"/>
    <w:basedOn w:val="a0"/>
    <w:link w:val="FNRefeCharChar"/>
    <w:uiPriority w:val="99"/>
    <w:unhideWhenUsed/>
    <w:qFormat/>
    <w:rsid w:val="0085004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300FCD"/>
    <w:pPr>
      <w:spacing w:line="240" w:lineRule="exact"/>
    </w:pPr>
    <w:rPr>
      <w:vertAlign w:val="superscript"/>
    </w:rPr>
  </w:style>
  <w:style w:type="paragraph" w:styleId="a6">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7"/>
    <w:uiPriority w:val="34"/>
    <w:qFormat/>
    <w:rsid w:val="000379C8"/>
    <w:pPr>
      <w:ind w:left="720"/>
      <w:contextualSpacing/>
    </w:pPr>
  </w:style>
  <w:style w:type="character" w:customStyle="1" w:styleId="a7">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6"/>
    <w:uiPriority w:val="34"/>
    <w:qFormat/>
    <w:rsid w:val="008E6F33"/>
  </w:style>
  <w:style w:type="paragraph" w:styleId="a8">
    <w:name w:val="TOC Heading"/>
    <w:basedOn w:val="1"/>
    <w:next w:val="a"/>
    <w:uiPriority w:val="39"/>
    <w:unhideWhenUsed/>
    <w:qFormat/>
    <w:rsid w:val="00794AC2"/>
    <w:pPr>
      <w:outlineLvl w:val="9"/>
    </w:pPr>
  </w:style>
  <w:style w:type="paragraph" w:styleId="11">
    <w:name w:val="toc 1"/>
    <w:basedOn w:val="a"/>
    <w:next w:val="a"/>
    <w:autoRedefine/>
    <w:uiPriority w:val="39"/>
    <w:unhideWhenUsed/>
    <w:rsid w:val="00363024"/>
    <w:pPr>
      <w:tabs>
        <w:tab w:val="left" w:pos="284"/>
        <w:tab w:val="right" w:leader="dot" w:pos="9629"/>
      </w:tabs>
      <w:spacing w:after="0"/>
    </w:pPr>
  </w:style>
  <w:style w:type="paragraph" w:styleId="21">
    <w:name w:val="toc 2"/>
    <w:basedOn w:val="a"/>
    <w:next w:val="a"/>
    <w:autoRedefine/>
    <w:uiPriority w:val="39"/>
    <w:unhideWhenUsed/>
    <w:rsid w:val="00363024"/>
    <w:pPr>
      <w:tabs>
        <w:tab w:val="left" w:pos="426"/>
        <w:tab w:val="right" w:leader="dot" w:pos="9344"/>
      </w:tabs>
      <w:spacing w:after="0" w:line="240" w:lineRule="auto"/>
      <w:jc w:val="both"/>
    </w:pPr>
  </w:style>
  <w:style w:type="character" w:styleId="a9">
    <w:name w:val="Hyperlink"/>
    <w:basedOn w:val="a0"/>
    <w:uiPriority w:val="99"/>
    <w:unhideWhenUsed/>
    <w:rsid w:val="00794AC2"/>
    <w:rPr>
      <w:color w:val="0563C1" w:themeColor="hyperlink"/>
      <w:u w:val="single"/>
    </w:rPr>
  </w:style>
  <w:style w:type="table" w:styleId="aa">
    <w:name w:val="Table Grid"/>
    <w:basedOn w:val="a1"/>
    <w:uiPriority w:val="39"/>
    <w:rsid w:val="00B2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a"/>
    <w:uiPriority w:val="39"/>
    <w:rsid w:val="00FF14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F14EA"/>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FF14EA"/>
  </w:style>
  <w:style w:type="paragraph" w:styleId="ad">
    <w:name w:val="footer"/>
    <w:basedOn w:val="a"/>
    <w:link w:val="ae"/>
    <w:uiPriority w:val="99"/>
    <w:unhideWhenUsed/>
    <w:rsid w:val="00FF14EA"/>
    <w:pPr>
      <w:tabs>
        <w:tab w:val="center" w:pos="4844"/>
        <w:tab w:val="right" w:pos="9689"/>
      </w:tabs>
      <w:spacing w:after="0" w:line="240" w:lineRule="auto"/>
    </w:pPr>
  </w:style>
  <w:style w:type="character" w:customStyle="1" w:styleId="ae">
    <w:name w:val="Нижний колонтитул Знак"/>
    <w:basedOn w:val="a0"/>
    <w:link w:val="ad"/>
    <w:uiPriority w:val="99"/>
    <w:rsid w:val="00FF14EA"/>
  </w:style>
  <w:style w:type="paragraph" w:styleId="31">
    <w:name w:val="toc 3"/>
    <w:basedOn w:val="a"/>
    <w:next w:val="a"/>
    <w:autoRedefine/>
    <w:uiPriority w:val="39"/>
    <w:unhideWhenUsed/>
    <w:rsid w:val="00B63784"/>
    <w:pPr>
      <w:spacing w:after="100"/>
      <w:ind w:left="440"/>
    </w:pPr>
  </w:style>
  <w:style w:type="paragraph" w:customStyle="1" w:styleId="cn">
    <w:name w:val="cn"/>
    <w:basedOn w:val="a"/>
    <w:qFormat/>
    <w:rsid w:val="003D5F3B"/>
    <w:pPr>
      <w:spacing w:after="0" w:line="240" w:lineRule="auto"/>
      <w:jc w:val="center"/>
    </w:pPr>
    <w:rPr>
      <w:rFonts w:ascii="Times New Roman" w:eastAsia="Times New Roman" w:hAnsi="Times New Roman" w:cs="Times New Roman"/>
      <w:sz w:val="24"/>
      <w:szCs w:val="24"/>
      <w:lang w:val="ru-RU" w:eastAsia="ru-RU"/>
    </w:rPr>
  </w:style>
  <w:style w:type="paragraph" w:styleId="af">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11,Char1,A Знак Знак,Текст сноски2"/>
    <w:basedOn w:val="a"/>
    <w:link w:val="af0"/>
    <w:uiPriority w:val="99"/>
    <w:unhideWhenUsed/>
    <w:qFormat/>
    <w:rsid w:val="003D5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Текст сноски11 Знак"/>
    <w:link w:val="af"/>
    <w:uiPriority w:val="99"/>
    <w:rsid w:val="00314BA5"/>
    <w:rPr>
      <w:rFonts w:ascii="Times New Roman" w:eastAsia="Times New Roman" w:hAnsi="Times New Roman" w:cs="Times New Roman"/>
      <w:sz w:val="24"/>
      <w:szCs w:val="24"/>
    </w:rPr>
  </w:style>
  <w:style w:type="character" w:styleId="af1">
    <w:name w:val="Strong"/>
    <w:basedOn w:val="a0"/>
    <w:uiPriority w:val="22"/>
    <w:qFormat/>
    <w:rsid w:val="003D5F3B"/>
    <w:rPr>
      <w:b/>
      <w:bCs/>
    </w:rPr>
  </w:style>
  <w:style w:type="table" w:customStyle="1" w:styleId="PlainTable21">
    <w:name w:val="Plain Table 21"/>
    <w:basedOn w:val="a1"/>
    <w:uiPriority w:val="42"/>
    <w:rsid w:val="003D5F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tblPr/>
      <w:tcPr>
        <w:tcBorders>
          <w:bottom w:val="single" w:sz="4" w:space="0" w:color="7F7F7F" w:themeColor="text1" w:themeTint="80"/>
        </w:tcBorders>
      </w:tcPr>
    </w:tblStylePr>
    <w:tblStylePr w:type="lastRow">
      <w:tblPr/>
      <w:tcPr>
        <w:tcBorders>
          <w:top w:val="single" w:sz="4" w:space="0" w:color="7F7F7F" w:themeColor="text1" w:themeTint="80"/>
        </w:tcBorders>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annotation reference"/>
    <w:basedOn w:val="a0"/>
    <w:uiPriority w:val="99"/>
    <w:semiHidden/>
    <w:unhideWhenUsed/>
    <w:rsid w:val="008E6F33"/>
    <w:rPr>
      <w:sz w:val="16"/>
      <w:szCs w:val="16"/>
    </w:rPr>
  </w:style>
  <w:style w:type="paragraph" w:styleId="af3">
    <w:name w:val="annotation text"/>
    <w:basedOn w:val="a"/>
    <w:link w:val="af4"/>
    <w:uiPriority w:val="99"/>
    <w:semiHidden/>
    <w:unhideWhenUsed/>
    <w:rsid w:val="008E6F33"/>
    <w:pPr>
      <w:spacing w:line="240" w:lineRule="auto"/>
    </w:pPr>
    <w:rPr>
      <w:sz w:val="20"/>
      <w:szCs w:val="20"/>
    </w:rPr>
  </w:style>
  <w:style w:type="character" w:customStyle="1" w:styleId="af4">
    <w:name w:val="Текст примечания Знак"/>
    <w:basedOn w:val="a0"/>
    <w:link w:val="af3"/>
    <w:uiPriority w:val="99"/>
    <w:semiHidden/>
    <w:rsid w:val="008E6F33"/>
    <w:rPr>
      <w:sz w:val="20"/>
      <w:szCs w:val="20"/>
    </w:rPr>
  </w:style>
  <w:style w:type="paragraph" w:styleId="af5">
    <w:name w:val="Balloon Text"/>
    <w:basedOn w:val="a"/>
    <w:link w:val="af6"/>
    <w:uiPriority w:val="99"/>
    <w:semiHidden/>
    <w:unhideWhenUsed/>
    <w:rsid w:val="008E6F3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E6F33"/>
    <w:rPr>
      <w:rFonts w:ascii="Segoe UI" w:hAnsi="Segoe UI" w:cs="Segoe UI"/>
      <w:sz w:val="18"/>
      <w:szCs w:val="18"/>
    </w:rPr>
  </w:style>
  <w:style w:type="paragraph" w:customStyle="1" w:styleId="Default">
    <w:name w:val="Default"/>
    <w:rsid w:val="00314BA5"/>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Emphasis"/>
    <w:basedOn w:val="a0"/>
    <w:uiPriority w:val="20"/>
    <w:qFormat/>
    <w:rsid w:val="00E226F3"/>
    <w:rPr>
      <w:i/>
      <w:iCs/>
    </w:rPr>
  </w:style>
  <w:style w:type="paragraph" w:customStyle="1" w:styleId="tt">
    <w:name w:val="tt"/>
    <w:basedOn w:val="a"/>
    <w:rsid w:val="00E226F3"/>
    <w:pPr>
      <w:spacing w:after="0" w:line="240" w:lineRule="auto"/>
      <w:jc w:val="center"/>
    </w:pPr>
    <w:rPr>
      <w:rFonts w:ascii="Times New Roman" w:eastAsia="Times New Roman" w:hAnsi="Times New Roman" w:cs="Times New Roman"/>
      <w:b/>
      <w:bCs/>
      <w:sz w:val="24"/>
      <w:szCs w:val="24"/>
    </w:rPr>
  </w:style>
  <w:style w:type="paragraph" w:styleId="af8">
    <w:name w:val="annotation subject"/>
    <w:basedOn w:val="af3"/>
    <w:next w:val="af3"/>
    <w:link w:val="af9"/>
    <w:uiPriority w:val="99"/>
    <w:semiHidden/>
    <w:unhideWhenUsed/>
    <w:rsid w:val="00E226F3"/>
    <w:rPr>
      <w:b/>
      <w:bCs/>
    </w:rPr>
  </w:style>
  <w:style w:type="character" w:customStyle="1" w:styleId="af9">
    <w:name w:val="Тема примечания Знак"/>
    <w:basedOn w:val="af4"/>
    <w:link w:val="af8"/>
    <w:uiPriority w:val="99"/>
    <w:semiHidden/>
    <w:rsid w:val="00E226F3"/>
    <w:rPr>
      <w:b/>
      <w:bCs/>
      <w:sz w:val="20"/>
      <w:szCs w:val="20"/>
    </w:rPr>
  </w:style>
  <w:style w:type="paragraph" w:customStyle="1" w:styleId="msonormal0">
    <w:name w:val="msonormal"/>
    <w:basedOn w:val="a"/>
    <w:rsid w:val="00E22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E226F3"/>
    <w:pPr>
      <w:spacing w:before="100" w:beforeAutospacing="1" w:after="100" w:afterAutospacing="1" w:line="240" w:lineRule="auto"/>
    </w:pPr>
    <w:rPr>
      <w:rFonts w:ascii="Calibri Light" w:eastAsia="Times New Roman" w:hAnsi="Calibri Light" w:cs="Calibri Light"/>
      <w:sz w:val="16"/>
      <w:szCs w:val="16"/>
    </w:rPr>
  </w:style>
  <w:style w:type="paragraph" w:customStyle="1" w:styleId="xl64">
    <w:name w:val="xl64"/>
    <w:basedOn w:val="a"/>
    <w:rsid w:val="00E226F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5">
    <w:name w:val="xl65"/>
    <w:basedOn w:val="a"/>
    <w:rsid w:val="00E226F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7">
    <w:name w:val="xl67"/>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0">
    <w:name w:val="xl70"/>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2">
    <w:name w:val="xl72"/>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4">
    <w:name w:val="xl74"/>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5">
    <w:name w:val="xl75"/>
    <w:basedOn w:val="a"/>
    <w:rsid w:val="00E226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6">
    <w:name w:val="xl76"/>
    <w:basedOn w:val="a"/>
    <w:rsid w:val="00E226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7">
    <w:name w:val="xl77"/>
    <w:basedOn w:val="a"/>
    <w:rsid w:val="00E226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8">
    <w:name w:val="xl78"/>
    <w:basedOn w:val="a"/>
    <w:rsid w:val="00E226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E226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a"/>
    <w:rsid w:val="00E226F3"/>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E226F3"/>
    <w:pPr>
      <w:pBdr>
        <w:top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E226F3"/>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a"/>
    <w:rsid w:val="00E22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4">
    <w:name w:val="xl84"/>
    <w:basedOn w:val="a"/>
    <w:rsid w:val="00E226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5">
    <w:name w:val="xl85"/>
    <w:basedOn w:val="a"/>
    <w:rsid w:val="00E226F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E226F3"/>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a"/>
    <w:rsid w:val="00E226F3"/>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
    <w:rsid w:val="00E226F3"/>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afa">
    <w:name w:val="No Spacing"/>
    <w:link w:val="afb"/>
    <w:uiPriority w:val="1"/>
    <w:qFormat/>
    <w:rsid w:val="00A87C7E"/>
    <w:pPr>
      <w:spacing w:after="0" w:line="240" w:lineRule="auto"/>
    </w:pPr>
    <w:rPr>
      <w:rFonts w:eastAsiaTheme="minorEastAsia"/>
    </w:rPr>
  </w:style>
  <w:style w:type="character" w:customStyle="1" w:styleId="afb">
    <w:name w:val="Без интервала Знак"/>
    <w:basedOn w:val="a0"/>
    <w:link w:val="afa"/>
    <w:uiPriority w:val="1"/>
    <w:rsid w:val="00A87C7E"/>
    <w:rPr>
      <w:rFonts w:eastAsiaTheme="minorEastAsia"/>
    </w:rPr>
  </w:style>
  <w:style w:type="character" w:customStyle="1" w:styleId="40">
    <w:name w:val="Заголовок 4 Знак"/>
    <w:basedOn w:val="a0"/>
    <w:link w:val="4"/>
    <w:uiPriority w:val="9"/>
    <w:semiHidden/>
    <w:rsid w:val="008B46B3"/>
    <w:rPr>
      <w:rFonts w:asciiTheme="majorHAnsi" w:eastAsiaTheme="majorEastAsia" w:hAnsiTheme="majorHAnsi" w:cstheme="majorBidi"/>
      <w:i/>
      <w:iCs/>
      <w:color w:val="2E74B5" w:themeColor="accent1" w:themeShade="BF"/>
    </w:rPr>
  </w:style>
  <w:style w:type="numbering" w:customStyle="1" w:styleId="NoList1">
    <w:name w:val="No List1"/>
    <w:next w:val="a2"/>
    <w:uiPriority w:val="99"/>
    <w:semiHidden/>
    <w:unhideWhenUsed/>
    <w:rsid w:val="00D133F4"/>
  </w:style>
  <w:style w:type="table" w:customStyle="1" w:styleId="TableGrid1">
    <w:name w:val="Table Grid1"/>
    <w:basedOn w:val="a1"/>
    <w:uiPriority w:val="39"/>
    <w:rsid w:val="00D133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uiPriority w:val="99"/>
    <w:semiHidden/>
    <w:unhideWhenUsed/>
    <w:rsid w:val="00D133F4"/>
    <w:rPr>
      <w:color w:val="954F72"/>
      <w:u w:val="single"/>
    </w:rPr>
  </w:style>
  <w:style w:type="table" w:customStyle="1" w:styleId="TableGrid111">
    <w:name w:val="Table Grid111"/>
    <w:basedOn w:val="a1"/>
    <w:next w:val="aa"/>
    <w:uiPriority w:val="39"/>
    <w:rsid w:val="009514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a"/>
    <w:uiPriority w:val="39"/>
    <w:rsid w:val="004F10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39"/>
    <w:rsid w:val="003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a"/>
    <w:uiPriority w:val="39"/>
    <w:rsid w:val="00F7042A"/>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4142">
      <w:bodyDiv w:val="1"/>
      <w:marLeft w:val="0"/>
      <w:marRight w:val="0"/>
      <w:marTop w:val="0"/>
      <w:marBottom w:val="0"/>
      <w:divBdr>
        <w:top w:val="none" w:sz="0" w:space="0" w:color="auto"/>
        <w:left w:val="none" w:sz="0" w:space="0" w:color="auto"/>
        <w:bottom w:val="none" w:sz="0" w:space="0" w:color="auto"/>
        <w:right w:val="none" w:sz="0" w:space="0" w:color="auto"/>
      </w:divBdr>
    </w:div>
    <w:div w:id="567571534">
      <w:bodyDiv w:val="1"/>
      <w:marLeft w:val="0"/>
      <w:marRight w:val="0"/>
      <w:marTop w:val="0"/>
      <w:marBottom w:val="0"/>
      <w:divBdr>
        <w:top w:val="none" w:sz="0" w:space="0" w:color="auto"/>
        <w:left w:val="none" w:sz="0" w:space="0" w:color="auto"/>
        <w:bottom w:val="none" w:sz="0" w:space="0" w:color="auto"/>
        <w:right w:val="none" w:sz="0" w:space="0" w:color="auto"/>
      </w:divBdr>
    </w:div>
    <w:div w:id="619338936">
      <w:bodyDiv w:val="1"/>
      <w:marLeft w:val="0"/>
      <w:marRight w:val="0"/>
      <w:marTop w:val="0"/>
      <w:marBottom w:val="0"/>
      <w:divBdr>
        <w:top w:val="none" w:sz="0" w:space="0" w:color="auto"/>
        <w:left w:val="none" w:sz="0" w:space="0" w:color="auto"/>
        <w:bottom w:val="none" w:sz="0" w:space="0" w:color="auto"/>
        <w:right w:val="none" w:sz="0" w:space="0" w:color="auto"/>
      </w:divBdr>
    </w:div>
    <w:div w:id="638730086">
      <w:bodyDiv w:val="1"/>
      <w:marLeft w:val="0"/>
      <w:marRight w:val="0"/>
      <w:marTop w:val="0"/>
      <w:marBottom w:val="0"/>
      <w:divBdr>
        <w:top w:val="none" w:sz="0" w:space="0" w:color="auto"/>
        <w:left w:val="none" w:sz="0" w:space="0" w:color="auto"/>
        <w:bottom w:val="none" w:sz="0" w:space="0" w:color="auto"/>
        <w:right w:val="none" w:sz="0" w:space="0" w:color="auto"/>
      </w:divBdr>
    </w:div>
    <w:div w:id="745499477">
      <w:bodyDiv w:val="1"/>
      <w:marLeft w:val="0"/>
      <w:marRight w:val="0"/>
      <w:marTop w:val="0"/>
      <w:marBottom w:val="0"/>
      <w:divBdr>
        <w:top w:val="none" w:sz="0" w:space="0" w:color="auto"/>
        <w:left w:val="none" w:sz="0" w:space="0" w:color="auto"/>
        <w:bottom w:val="none" w:sz="0" w:space="0" w:color="auto"/>
        <w:right w:val="none" w:sz="0" w:space="0" w:color="auto"/>
      </w:divBdr>
    </w:div>
    <w:div w:id="1007170152">
      <w:bodyDiv w:val="1"/>
      <w:marLeft w:val="0"/>
      <w:marRight w:val="0"/>
      <w:marTop w:val="0"/>
      <w:marBottom w:val="0"/>
      <w:divBdr>
        <w:top w:val="none" w:sz="0" w:space="0" w:color="auto"/>
        <w:left w:val="none" w:sz="0" w:space="0" w:color="auto"/>
        <w:bottom w:val="none" w:sz="0" w:space="0" w:color="auto"/>
        <w:right w:val="none" w:sz="0" w:space="0" w:color="auto"/>
      </w:divBdr>
    </w:div>
    <w:div w:id="1047294106">
      <w:bodyDiv w:val="1"/>
      <w:marLeft w:val="0"/>
      <w:marRight w:val="0"/>
      <w:marTop w:val="0"/>
      <w:marBottom w:val="0"/>
      <w:divBdr>
        <w:top w:val="none" w:sz="0" w:space="0" w:color="auto"/>
        <w:left w:val="none" w:sz="0" w:space="0" w:color="auto"/>
        <w:bottom w:val="none" w:sz="0" w:space="0" w:color="auto"/>
        <w:right w:val="none" w:sz="0" w:space="0" w:color="auto"/>
      </w:divBdr>
    </w:div>
    <w:div w:id="1080715337">
      <w:bodyDiv w:val="1"/>
      <w:marLeft w:val="0"/>
      <w:marRight w:val="0"/>
      <w:marTop w:val="0"/>
      <w:marBottom w:val="0"/>
      <w:divBdr>
        <w:top w:val="none" w:sz="0" w:space="0" w:color="auto"/>
        <w:left w:val="none" w:sz="0" w:space="0" w:color="auto"/>
        <w:bottom w:val="none" w:sz="0" w:space="0" w:color="auto"/>
        <w:right w:val="none" w:sz="0" w:space="0" w:color="auto"/>
      </w:divBdr>
    </w:div>
    <w:div w:id="1226994514">
      <w:bodyDiv w:val="1"/>
      <w:marLeft w:val="0"/>
      <w:marRight w:val="0"/>
      <w:marTop w:val="0"/>
      <w:marBottom w:val="0"/>
      <w:divBdr>
        <w:top w:val="none" w:sz="0" w:space="0" w:color="auto"/>
        <w:left w:val="none" w:sz="0" w:space="0" w:color="auto"/>
        <w:bottom w:val="none" w:sz="0" w:space="0" w:color="auto"/>
        <w:right w:val="none" w:sz="0" w:space="0" w:color="auto"/>
      </w:divBdr>
    </w:div>
    <w:div w:id="1245803030">
      <w:bodyDiv w:val="1"/>
      <w:marLeft w:val="0"/>
      <w:marRight w:val="0"/>
      <w:marTop w:val="0"/>
      <w:marBottom w:val="0"/>
      <w:divBdr>
        <w:top w:val="none" w:sz="0" w:space="0" w:color="auto"/>
        <w:left w:val="none" w:sz="0" w:space="0" w:color="auto"/>
        <w:bottom w:val="none" w:sz="0" w:space="0" w:color="auto"/>
        <w:right w:val="none" w:sz="0" w:space="0" w:color="auto"/>
      </w:divBdr>
    </w:div>
    <w:div w:id="1291089007">
      <w:bodyDiv w:val="1"/>
      <w:marLeft w:val="0"/>
      <w:marRight w:val="0"/>
      <w:marTop w:val="0"/>
      <w:marBottom w:val="0"/>
      <w:divBdr>
        <w:top w:val="none" w:sz="0" w:space="0" w:color="auto"/>
        <w:left w:val="none" w:sz="0" w:space="0" w:color="auto"/>
        <w:bottom w:val="none" w:sz="0" w:space="0" w:color="auto"/>
        <w:right w:val="none" w:sz="0" w:space="0" w:color="auto"/>
      </w:divBdr>
    </w:div>
    <w:div w:id="1318267631">
      <w:bodyDiv w:val="1"/>
      <w:marLeft w:val="0"/>
      <w:marRight w:val="0"/>
      <w:marTop w:val="0"/>
      <w:marBottom w:val="0"/>
      <w:divBdr>
        <w:top w:val="none" w:sz="0" w:space="0" w:color="auto"/>
        <w:left w:val="none" w:sz="0" w:space="0" w:color="auto"/>
        <w:bottom w:val="none" w:sz="0" w:space="0" w:color="auto"/>
        <w:right w:val="none" w:sz="0" w:space="0" w:color="auto"/>
      </w:divBdr>
    </w:div>
    <w:div w:id="1466658265">
      <w:bodyDiv w:val="1"/>
      <w:marLeft w:val="0"/>
      <w:marRight w:val="0"/>
      <w:marTop w:val="0"/>
      <w:marBottom w:val="0"/>
      <w:divBdr>
        <w:top w:val="none" w:sz="0" w:space="0" w:color="auto"/>
        <w:left w:val="none" w:sz="0" w:space="0" w:color="auto"/>
        <w:bottom w:val="none" w:sz="0" w:space="0" w:color="auto"/>
        <w:right w:val="none" w:sz="0" w:space="0" w:color="auto"/>
      </w:divBdr>
    </w:div>
    <w:div w:id="1522163989">
      <w:bodyDiv w:val="1"/>
      <w:marLeft w:val="0"/>
      <w:marRight w:val="0"/>
      <w:marTop w:val="0"/>
      <w:marBottom w:val="0"/>
      <w:divBdr>
        <w:top w:val="none" w:sz="0" w:space="0" w:color="auto"/>
        <w:left w:val="none" w:sz="0" w:space="0" w:color="auto"/>
        <w:bottom w:val="none" w:sz="0" w:space="0" w:color="auto"/>
        <w:right w:val="none" w:sz="0" w:space="0" w:color="auto"/>
      </w:divBdr>
    </w:div>
    <w:div w:id="1571306131">
      <w:bodyDiv w:val="1"/>
      <w:marLeft w:val="0"/>
      <w:marRight w:val="0"/>
      <w:marTop w:val="0"/>
      <w:marBottom w:val="0"/>
      <w:divBdr>
        <w:top w:val="none" w:sz="0" w:space="0" w:color="auto"/>
        <w:left w:val="none" w:sz="0" w:space="0" w:color="auto"/>
        <w:bottom w:val="none" w:sz="0" w:space="0" w:color="auto"/>
        <w:right w:val="none" w:sz="0" w:space="0" w:color="auto"/>
      </w:divBdr>
    </w:div>
    <w:div w:id="1600331264">
      <w:bodyDiv w:val="1"/>
      <w:marLeft w:val="0"/>
      <w:marRight w:val="0"/>
      <w:marTop w:val="0"/>
      <w:marBottom w:val="0"/>
      <w:divBdr>
        <w:top w:val="none" w:sz="0" w:space="0" w:color="auto"/>
        <w:left w:val="none" w:sz="0" w:space="0" w:color="auto"/>
        <w:bottom w:val="none" w:sz="0" w:space="0" w:color="auto"/>
        <w:right w:val="none" w:sz="0" w:space="0" w:color="auto"/>
      </w:divBdr>
    </w:div>
    <w:div w:id="1679194117">
      <w:bodyDiv w:val="1"/>
      <w:marLeft w:val="0"/>
      <w:marRight w:val="0"/>
      <w:marTop w:val="0"/>
      <w:marBottom w:val="0"/>
      <w:divBdr>
        <w:top w:val="none" w:sz="0" w:space="0" w:color="auto"/>
        <w:left w:val="none" w:sz="0" w:space="0" w:color="auto"/>
        <w:bottom w:val="none" w:sz="0" w:space="0" w:color="auto"/>
        <w:right w:val="none" w:sz="0" w:space="0" w:color="auto"/>
      </w:divBdr>
    </w:div>
    <w:div w:id="1684747437">
      <w:bodyDiv w:val="1"/>
      <w:marLeft w:val="0"/>
      <w:marRight w:val="0"/>
      <w:marTop w:val="0"/>
      <w:marBottom w:val="0"/>
      <w:divBdr>
        <w:top w:val="none" w:sz="0" w:space="0" w:color="auto"/>
        <w:left w:val="none" w:sz="0" w:space="0" w:color="auto"/>
        <w:bottom w:val="none" w:sz="0" w:space="0" w:color="auto"/>
        <w:right w:val="none" w:sz="0" w:space="0" w:color="auto"/>
      </w:divBdr>
    </w:div>
    <w:div w:id="17893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lex:DE30201403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EACD-EF82-4DC9-80E9-1971FD72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24793</Words>
  <Characters>141326</Characters>
  <Application>Microsoft Office Word</Application>
  <DocSecurity>0</DocSecurity>
  <Lines>1177</Lines>
  <Paragraphs>331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Diaconu Ana</dc:creator>
  <cp:keywords/>
  <dc:description/>
  <cp:lastModifiedBy>Paiu Eugenia</cp:lastModifiedBy>
  <cp:revision>3</cp:revision>
  <cp:lastPrinted>2024-04-08T08:59:00Z</cp:lastPrinted>
  <dcterms:created xsi:type="dcterms:W3CDTF">2024-04-09T07:22:00Z</dcterms:created>
  <dcterms:modified xsi:type="dcterms:W3CDTF">2024-04-09T07:22:00Z</dcterms:modified>
</cp:coreProperties>
</file>