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C78C4" w14:textId="77777777" w:rsidR="00C61F48" w:rsidRPr="000C3704" w:rsidRDefault="00C61F48" w:rsidP="00C61F48">
      <w:pPr>
        <w:pStyle w:val="cn"/>
        <w:spacing w:line="276" w:lineRule="auto"/>
        <w:rPr>
          <w:rFonts w:asciiTheme="majorBidi" w:hAnsiTheme="majorBidi" w:cstheme="majorBidi"/>
          <w:lang w:val="ro-MD"/>
        </w:rPr>
      </w:pPr>
      <w:r w:rsidRPr="000C3704">
        <w:rPr>
          <w:rFonts w:asciiTheme="majorBidi" w:hAnsiTheme="majorBidi" w:cstheme="majorBidi"/>
          <w:noProof/>
          <w:lang w:val="ru-RU" w:eastAsia="ru-RU"/>
        </w:rPr>
        <w:drawing>
          <wp:inline distT="0" distB="0" distL="0" distR="0" wp14:anchorId="5580E98B" wp14:editId="4D8C6B16">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3141AAFB" w14:textId="77777777" w:rsidR="00C61F48" w:rsidRPr="000C3704" w:rsidRDefault="00C61F48" w:rsidP="00C61F48">
      <w:pPr>
        <w:spacing w:after="0" w:line="276" w:lineRule="auto"/>
        <w:jc w:val="center"/>
        <w:rPr>
          <w:rFonts w:asciiTheme="majorBidi" w:eastAsia="Times New Roman" w:hAnsiTheme="majorBidi" w:cstheme="majorBidi"/>
          <w:bCs/>
          <w:sz w:val="36"/>
          <w:szCs w:val="36"/>
          <w:lang w:val="ro-MD"/>
        </w:rPr>
      </w:pPr>
      <w:r w:rsidRPr="000C3704">
        <w:rPr>
          <w:rFonts w:asciiTheme="majorBidi" w:eastAsia="Times New Roman" w:hAnsiTheme="majorBidi" w:cstheme="majorBidi"/>
          <w:bCs/>
          <w:sz w:val="36"/>
          <w:szCs w:val="36"/>
          <w:lang w:val="ro-MD"/>
        </w:rPr>
        <w:t>CURTEA DE CONTURI A REPUBLICII MOLDOVA</w:t>
      </w:r>
    </w:p>
    <w:p w14:paraId="3F49265E" w14:textId="77777777" w:rsidR="00C61F48" w:rsidRPr="000C3704" w:rsidRDefault="00C61F48" w:rsidP="00C61F48">
      <w:pPr>
        <w:spacing w:after="0" w:line="276" w:lineRule="auto"/>
        <w:jc w:val="center"/>
        <w:rPr>
          <w:rFonts w:asciiTheme="majorBidi" w:eastAsia="Times New Roman" w:hAnsiTheme="majorBidi" w:cstheme="majorBidi"/>
          <w:bCs/>
          <w:sz w:val="24"/>
          <w:szCs w:val="24"/>
          <w:lang w:val="ro-MD"/>
        </w:rPr>
      </w:pPr>
    </w:p>
    <w:p w14:paraId="7451AD0D" w14:textId="1526D8B1" w:rsidR="00C61F48" w:rsidRPr="000C3704" w:rsidRDefault="00C61F48" w:rsidP="00D02FE8">
      <w:pPr>
        <w:spacing w:after="0" w:line="276" w:lineRule="auto"/>
        <w:jc w:val="center"/>
        <w:rPr>
          <w:rFonts w:asciiTheme="majorBidi" w:eastAsia="Times New Roman" w:hAnsiTheme="majorBidi" w:cstheme="majorBidi"/>
          <w:b/>
          <w:bCs/>
          <w:sz w:val="24"/>
          <w:szCs w:val="24"/>
          <w:lang w:val="ro-MD"/>
        </w:rPr>
      </w:pPr>
      <w:bookmarkStart w:id="0" w:name="_Toc450123757"/>
      <w:r w:rsidRPr="000C3704">
        <w:rPr>
          <w:rFonts w:asciiTheme="majorBidi" w:eastAsia="Times New Roman" w:hAnsiTheme="majorBidi" w:cstheme="majorBidi"/>
          <w:b/>
          <w:bCs/>
          <w:sz w:val="24"/>
          <w:szCs w:val="24"/>
          <w:lang w:val="ro-MD"/>
        </w:rPr>
        <w:t>H O T Ă R Â R E A nr.</w:t>
      </w:r>
      <w:bookmarkEnd w:id="0"/>
      <w:r w:rsidRPr="000C3704">
        <w:rPr>
          <w:rFonts w:asciiTheme="majorBidi" w:eastAsia="Times New Roman" w:hAnsiTheme="majorBidi" w:cstheme="majorBidi"/>
          <w:b/>
          <w:bCs/>
          <w:sz w:val="24"/>
          <w:szCs w:val="24"/>
          <w:lang w:val="ro-MD"/>
        </w:rPr>
        <w:softHyphen/>
      </w:r>
      <w:r w:rsidRPr="000C3704">
        <w:rPr>
          <w:rFonts w:asciiTheme="majorBidi" w:eastAsia="Times New Roman" w:hAnsiTheme="majorBidi" w:cstheme="majorBidi"/>
          <w:b/>
          <w:bCs/>
          <w:sz w:val="24"/>
          <w:szCs w:val="24"/>
          <w:lang w:val="ro-MD"/>
        </w:rPr>
        <w:softHyphen/>
      </w:r>
      <w:r w:rsidRPr="000C3704">
        <w:rPr>
          <w:rFonts w:asciiTheme="majorBidi" w:eastAsia="Times New Roman" w:hAnsiTheme="majorBidi" w:cstheme="majorBidi"/>
          <w:b/>
          <w:bCs/>
          <w:sz w:val="24"/>
          <w:szCs w:val="24"/>
          <w:lang w:val="ro-MD"/>
        </w:rPr>
        <w:softHyphen/>
      </w:r>
      <w:r w:rsidRPr="000C3704">
        <w:rPr>
          <w:rFonts w:asciiTheme="majorBidi" w:eastAsia="Times New Roman" w:hAnsiTheme="majorBidi" w:cstheme="majorBidi"/>
          <w:b/>
          <w:bCs/>
          <w:sz w:val="24"/>
          <w:szCs w:val="24"/>
          <w:lang w:val="ro-MD"/>
        </w:rPr>
        <w:softHyphen/>
      </w:r>
      <w:r w:rsidR="00A57420" w:rsidRPr="000C3704">
        <w:rPr>
          <w:rFonts w:asciiTheme="majorBidi" w:eastAsia="Times New Roman" w:hAnsiTheme="majorBidi" w:cstheme="majorBidi"/>
          <w:b/>
          <w:bCs/>
          <w:sz w:val="24"/>
          <w:szCs w:val="24"/>
          <w:lang w:val="ro-MD"/>
        </w:rPr>
        <w:t xml:space="preserve"> </w:t>
      </w:r>
      <w:r w:rsidR="00D02FE8" w:rsidRPr="000C3704">
        <w:rPr>
          <w:rFonts w:asciiTheme="majorBidi" w:eastAsia="Times New Roman" w:hAnsiTheme="majorBidi" w:cstheme="majorBidi"/>
          <w:b/>
          <w:bCs/>
          <w:sz w:val="24"/>
          <w:szCs w:val="24"/>
          <w:lang w:val="ro-MD"/>
        </w:rPr>
        <w:t>8</w:t>
      </w:r>
    </w:p>
    <w:p w14:paraId="7C68C1CE" w14:textId="085D5FB5" w:rsidR="00C61F48" w:rsidRPr="000C3704" w:rsidRDefault="00C61F48" w:rsidP="00A57420">
      <w:pPr>
        <w:spacing w:after="0" w:line="276" w:lineRule="auto"/>
        <w:jc w:val="center"/>
        <w:rPr>
          <w:rFonts w:asciiTheme="majorBidi" w:eastAsia="Times New Roman" w:hAnsiTheme="majorBidi" w:cstheme="majorBidi"/>
          <w:bCs/>
          <w:sz w:val="24"/>
          <w:szCs w:val="24"/>
          <w:lang w:val="ro-MD"/>
        </w:rPr>
      </w:pPr>
      <w:r w:rsidRPr="000C3704">
        <w:rPr>
          <w:rFonts w:asciiTheme="majorBidi" w:eastAsia="Times New Roman" w:hAnsiTheme="majorBidi" w:cstheme="majorBidi"/>
          <w:bCs/>
          <w:sz w:val="24"/>
          <w:szCs w:val="24"/>
          <w:lang w:val="ro-MD"/>
        </w:rPr>
        <w:t xml:space="preserve">din </w:t>
      </w:r>
      <w:r w:rsidR="00A57420" w:rsidRPr="000C3704">
        <w:rPr>
          <w:rFonts w:asciiTheme="majorBidi" w:eastAsia="Times New Roman" w:hAnsiTheme="majorBidi" w:cstheme="majorBidi"/>
          <w:bCs/>
          <w:sz w:val="24"/>
          <w:szCs w:val="24"/>
          <w:lang w:val="ro-MD"/>
        </w:rPr>
        <w:t>13</w:t>
      </w:r>
      <w:r w:rsidRPr="000C3704">
        <w:rPr>
          <w:rFonts w:asciiTheme="majorBidi" w:eastAsia="Times New Roman" w:hAnsiTheme="majorBidi" w:cstheme="majorBidi"/>
          <w:bCs/>
          <w:sz w:val="24"/>
          <w:szCs w:val="24"/>
          <w:lang w:val="ro-MD"/>
        </w:rPr>
        <w:t xml:space="preserve"> </w:t>
      </w:r>
      <w:r w:rsidR="00A57420" w:rsidRPr="000C3704">
        <w:rPr>
          <w:rFonts w:asciiTheme="majorBidi" w:eastAsia="Times New Roman" w:hAnsiTheme="majorBidi" w:cstheme="majorBidi"/>
          <w:bCs/>
          <w:sz w:val="24"/>
          <w:szCs w:val="24"/>
          <w:lang w:val="ro-MD"/>
        </w:rPr>
        <w:t>februarie</w:t>
      </w:r>
      <w:r w:rsidRPr="000C3704">
        <w:rPr>
          <w:rFonts w:asciiTheme="majorBidi" w:eastAsia="Times New Roman" w:hAnsiTheme="majorBidi" w:cstheme="majorBidi"/>
          <w:bCs/>
          <w:sz w:val="24"/>
          <w:szCs w:val="24"/>
          <w:lang w:val="ro-MD"/>
        </w:rPr>
        <w:t xml:space="preserve"> 202</w:t>
      </w:r>
      <w:r w:rsidR="00A57420" w:rsidRPr="000C3704">
        <w:rPr>
          <w:rFonts w:asciiTheme="majorBidi" w:eastAsia="Times New Roman" w:hAnsiTheme="majorBidi" w:cstheme="majorBidi"/>
          <w:bCs/>
          <w:sz w:val="24"/>
          <w:szCs w:val="24"/>
          <w:lang w:val="ro-MD"/>
        </w:rPr>
        <w:t>4</w:t>
      </w:r>
    </w:p>
    <w:p w14:paraId="59E0063A" w14:textId="77777777" w:rsidR="00C61F48" w:rsidRPr="000C3704" w:rsidRDefault="00C61F48" w:rsidP="00C61F48">
      <w:pPr>
        <w:spacing w:after="0" w:line="276" w:lineRule="auto"/>
        <w:jc w:val="center"/>
        <w:rPr>
          <w:rFonts w:asciiTheme="majorBidi" w:eastAsia="Times New Roman" w:hAnsiTheme="majorBidi" w:cstheme="majorBidi"/>
          <w:bCs/>
          <w:sz w:val="24"/>
          <w:szCs w:val="24"/>
          <w:lang w:val="ro-MD"/>
        </w:rPr>
      </w:pPr>
    </w:p>
    <w:p w14:paraId="025BCBCC" w14:textId="45F766DA" w:rsidR="00C61F48" w:rsidRPr="000C3704" w:rsidRDefault="00C61F48" w:rsidP="00A57420">
      <w:pPr>
        <w:spacing w:after="0" w:line="276" w:lineRule="auto"/>
        <w:jc w:val="center"/>
        <w:rPr>
          <w:rFonts w:asciiTheme="majorBidi" w:hAnsiTheme="majorBidi" w:cstheme="majorBidi"/>
          <w:b/>
          <w:sz w:val="24"/>
          <w:szCs w:val="28"/>
          <w:lang w:val="ro-MD"/>
        </w:rPr>
      </w:pPr>
      <w:r w:rsidRPr="000C3704">
        <w:rPr>
          <w:rFonts w:asciiTheme="majorBidi" w:hAnsiTheme="majorBidi" w:cstheme="majorBidi"/>
          <w:b/>
          <w:sz w:val="24"/>
          <w:szCs w:val="28"/>
          <w:lang w:val="ro-MD"/>
        </w:rPr>
        <w:t xml:space="preserve">cu privire la </w:t>
      </w:r>
      <w:r w:rsidR="00525FAF" w:rsidRPr="000C3704">
        <w:rPr>
          <w:rFonts w:asciiTheme="majorBidi" w:hAnsiTheme="majorBidi" w:cstheme="majorBidi"/>
          <w:b/>
          <w:sz w:val="24"/>
          <w:szCs w:val="28"/>
          <w:lang w:val="ro-MD"/>
        </w:rPr>
        <w:t xml:space="preserve">Raportul auditului conformității asupra gestionării patrimoniului public și a resurselor financiare de către </w:t>
      </w:r>
      <w:r w:rsidR="00A57420" w:rsidRPr="000C3704">
        <w:rPr>
          <w:rFonts w:asciiTheme="majorBidi" w:hAnsiTheme="majorBidi" w:cstheme="majorBidi"/>
          <w:b/>
          <w:sz w:val="24"/>
          <w:szCs w:val="28"/>
          <w:lang w:val="ro-MD"/>
        </w:rPr>
        <w:t>Universitatea Tehnică a Moldovei</w:t>
      </w:r>
      <w:r w:rsidR="00525FAF" w:rsidRPr="000C3704">
        <w:rPr>
          <w:rFonts w:asciiTheme="majorBidi" w:hAnsiTheme="majorBidi" w:cstheme="majorBidi"/>
          <w:b/>
          <w:sz w:val="24"/>
          <w:szCs w:val="28"/>
          <w:lang w:val="ro-MD"/>
        </w:rPr>
        <w:t xml:space="preserve"> în anii 2021-2022</w:t>
      </w:r>
    </w:p>
    <w:p w14:paraId="16A5F3BB" w14:textId="77777777" w:rsidR="00C61F48" w:rsidRPr="000C3704" w:rsidRDefault="00C61F48" w:rsidP="00C61F48">
      <w:pPr>
        <w:spacing w:after="0" w:line="276" w:lineRule="auto"/>
        <w:jc w:val="center"/>
        <w:rPr>
          <w:rFonts w:asciiTheme="majorBidi" w:eastAsia="Times New Roman" w:hAnsiTheme="majorBidi" w:cstheme="majorBidi"/>
          <w:sz w:val="24"/>
          <w:szCs w:val="24"/>
          <w:lang w:val="ro-MD"/>
        </w:rPr>
      </w:pPr>
    </w:p>
    <w:p w14:paraId="7783FD43" w14:textId="3EAF656E" w:rsidR="00C61F48" w:rsidRPr="000C3704" w:rsidRDefault="00C61F48" w:rsidP="004B7695">
      <w:pPr>
        <w:spacing w:after="0" w:line="276" w:lineRule="auto"/>
        <w:ind w:firstLine="708"/>
        <w:jc w:val="both"/>
        <w:rPr>
          <w:rFonts w:asciiTheme="majorBidi" w:hAnsiTheme="majorBidi" w:cstheme="majorBidi"/>
          <w:sz w:val="24"/>
          <w:szCs w:val="24"/>
          <w:shd w:val="clear" w:color="auto" w:fill="FFFFFF" w:themeFill="background1"/>
          <w:lang w:val="ro-MD"/>
        </w:rPr>
      </w:pPr>
      <w:r w:rsidRPr="000C3704">
        <w:rPr>
          <w:rFonts w:asciiTheme="majorBidi" w:hAnsiTheme="majorBidi" w:cstheme="majorBidi"/>
          <w:sz w:val="24"/>
          <w:szCs w:val="24"/>
          <w:shd w:val="clear" w:color="auto" w:fill="FFFFFF" w:themeFill="background1"/>
          <w:lang w:val="ro-MD"/>
        </w:rPr>
        <w:t xml:space="preserve">Curtea de Conturi, </w:t>
      </w:r>
      <w:r w:rsidR="00C37F99" w:rsidRPr="000C3704">
        <w:rPr>
          <w:rFonts w:asciiTheme="majorBidi" w:hAnsiTheme="majorBidi" w:cstheme="majorBidi"/>
          <w:sz w:val="24"/>
          <w:szCs w:val="24"/>
          <w:shd w:val="clear" w:color="auto" w:fill="FFFFFF" w:themeFill="background1"/>
          <w:lang w:val="ro-MD"/>
        </w:rPr>
        <w:t>cu participarea</w:t>
      </w:r>
      <w:r w:rsidR="005C0FD4" w:rsidRPr="000C3704">
        <w:rPr>
          <w:rFonts w:asciiTheme="majorBidi" w:hAnsiTheme="majorBidi" w:cstheme="majorBidi"/>
          <w:sz w:val="24"/>
          <w:szCs w:val="24"/>
          <w:shd w:val="clear" w:color="auto" w:fill="FFFFFF" w:themeFill="background1"/>
          <w:lang w:val="ro-MD"/>
        </w:rPr>
        <w:t xml:space="preserve"> dlui </w:t>
      </w:r>
      <w:r w:rsidR="005E4AA3" w:rsidRPr="000C3704">
        <w:rPr>
          <w:rFonts w:asciiTheme="majorBidi" w:hAnsiTheme="majorBidi" w:cstheme="majorBidi"/>
          <w:sz w:val="24"/>
          <w:szCs w:val="24"/>
          <w:shd w:val="clear" w:color="auto" w:fill="FFFFFF" w:themeFill="background1"/>
          <w:lang w:val="ro-MD"/>
        </w:rPr>
        <w:t>Dan Perciun</w:t>
      </w:r>
      <w:r w:rsidR="005C0FD4" w:rsidRPr="000C3704">
        <w:rPr>
          <w:rFonts w:asciiTheme="majorBidi" w:hAnsiTheme="majorBidi" w:cstheme="majorBidi"/>
          <w:sz w:val="24"/>
          <w:szCs w:val="24"/>
          <w:shd w:val="clear" w:color="auto" w:fill="FFFFFF" w:themeFill="background1"/>
          <w:lang w:val="ro-MD"/>
        </w:rPr>
        <w:t xml:space="preserve">, </w:t>
      </w:r>
      <w:r w:rsidR="00054AE5" w:rsidRPr="000C3704">
        <w:rPr>
          <w:rFonts w:asciiTheme="majorBidi" w:hAnsiTheme="majorBidi" w:cstheme="majorBidi"/>
          <w:sz w:val="24"/>
          <w:szCs w:val="24"/>
          <w:shd w:val="clear" w:color="auto" w:fill="FFFFFF" w:themeFill="background1"/>
          <w:lang w:val="ro-MD"/>
        </w:rPr>
        <w:t>M</w:t>
      </w:r>
      <w:r w:rsidR="005C0FD4" w:rsidRPr="000C3704">
        <w:rPr>
          <w:rFonts w:asciiTheme="majorBidi" w:hAnsiTheme="majorBidi" w:cstheme="majorBidi"/>
          <w:sz w:val="24"/>
          <w:szCs w:val="24"/>
          <w:shd w:val="clear" w:color="auto" w:fill="FFFFFF" w:themeFill="background1"/>
          <w:lang w:val="ro-MD"/>
        </w:rPr>
        <w:t>inistru al E</w:t>
      </w:r>
      <w:r w:rsidR="005E4AA3" w:rsidRPr="000C3704">
        <w:rPr>
          <w:rFonts w:asciiTheme="majorBidi" w:hAnsiTheme="majorBidi" w:cstheme="majorBidi"/>
          <w:sz w:val="24"/>
          <w:szCs w:val="24"/>
          <w:shd w:val="clear" w:color="auto" w:fill="FFFFFF" w:themeFill="background1"/>
          <w:lang w:val="ro-MD"/>
        </w:rPr>
        <w:t>ducației și Cercetării</w:t>
      </w:r>
      <w:r w:rsidR="006364E7" w:rsidRPr="000C3704">
        <w:rPr>
          <w:rFonts w:asciiTheme="majorBidi" w:hAnsiTheme="majorBidi" w:cstheme="majorBidi"/>
          <w:sz w:val="24"/>
          <w:szCs w:val="24"/>
          <w:lang w:val="ro-RO"/>
        </w:rPr>
        <w:t>;</w:t>
      </w:r>
      <w:r w:rsidR="00C42B08" w:rsidRPr="000C3704">
        <w:rPr>
          <w:rFonts w:asciiTheme="majorBidi" w:hAnsiTheme="majorBidi" w:cstheme="majorBidi"/>
          <w:sz w:val="24"/>
          <w:szCs w:val="24"/>
          <w:lang w:val="ro-RO"/>
        </w:rPr>
        <w:t xml:space="preserve"> dlui </w:t>
      </w:r>
      <w:r w:rsidR="004B7695" w:rsidRPr="000C3704">
        <w:rPr>
          <w:rFonts w:asciiTheme="majorBidi" w:hAnsiTheme="majorBidi" w:cstheme="majorBidi"/>
          <w:sz w:val="24"/>
          <w:szCs w:val="24"/>
          <w:lang w:val="ro-RO"/>
        </w:rPr>
        <w:t>Valerian Bobu</w:t>
      </w:r>
      <w:r w:rsidR="005E4AA3" w:rsidRPr="000C3704">
        <w:rPr>
          <w:rFonts w:asciiTheme="majorBidi" w:hAnsiTheme="majorBidi" w:cstheme="majorBidi"/>
          <w:sz w:val="24"/>
          <w:szCs w:val="24"/>
          <w:lang w:val="ro-RO"/>
        </w:rPr>
        <w:t xml:space="preserve">, </w:t>
      </w:r>
      <w:r w:rsidR="001F5C9D" w:rsidRPr="000C3704">
        <w:rPr>
          <w:rFonts w:asciiTheme="majorBidi" w:hAnsiTheme="majorBidi" w:cstheme="majorBidi"/>
          <w:sz w:val="24"/>
          <w:szCs w:val="24"/>
          <w:lang w:val="ro-RO"/>
        </w:rPr>
        <w:t>d</w:t>
      </w:r>
      <w:r w:rsidR="005E4AA3" w:rsidRPr="000C3704">
        <w:rPr>
          <w:rFonts w:asciiTheme="majorBidi" w:hAnsiTheme="majorBidi" w:cstheme="majorBidi"/>
          <w:sz w:val="24"/>
          <w:szCs w:val="24"/>
          <w:lang w:val="ro-RO"/>
        </w:rPr>
        <w:t xml:space="preserve">irector </w:t>
      </w:r>
      <w:r w:rsidR="001F5C9D" w:rsidRPr="000C3704">
        <w:rPr>
          <w:rFonts w:asciiTheme="majorBidi" w:hAnsiTheme="majorBidi" w:cstheme="majorBidi"/>
          <w:sz w:val="24"/>
          <w:szCs w:val="24"/>
          <w:lang w:val="ro-RO"/>
        </w:rPr>
        <w:t>g</w:t>
      </w:r>
      <w:r w:rsidR="005E4AA3" w:rsidRPr="000C3704">
        <w:rPr>
          <w:rFonts w:asciiTheme="majorBidi" w:hAnsiTheme="majorBidi" w:cstheme="majorBidi"/>
          <w:sz w:val="24"/>
          <w:szCs w:val="24"/>
          <w:lang w:val="ro-RO"/>
        </w:rPr>
        <w:t>eneral</w:t>
      </w:r>
      <w:r w:rsidR="004B7695" w:rsidRPr="000C3704">
        <w:rPr>
          <w:rFonts w:asciiTheme="majorBidi" w:hAnsiTheme="majorBidi" w:cstheme="majorBidi"/>
          <w:sz w:val="24"/>
          <w:szCs w:val="24"/>
          <w:lang w:val="ro-RO"/>
        </w:rPr>
        <w:t xml:space="preserve"> adjunct</w:t>
      </w:r>
      <w:r w:rsidR="005E4AA3" w:rsidRPr="000C3704">
        <w:rPr>
          <w:rFonts w:asciiTheme="majorBidi" w:hAnsiTheme="majorBidi" w:cstheme="majorBidi"/>
          <w:sz w:val="24"/>
          <w:szCs w:val="24"/>
          <w:lang w:val="ro-RO"/>
        </w:rPr>
        <w:t xml:space="preserve"> al Agenției Proprietății Publice; </w:t>
      </w:r>
      <w:r w:rsidR="004B7695" w:rsidRPr="000C3704">
        <w:rPr>
          <w:rFonts w:asciiTheme="majorBidi" w:hAnsiTheme="majorBidi" w:cstheme="majorBidi"/>
          <w:sz w:val="24"/>
          <w:szCs w:val="24"/>
          <w:lang w:val="ro-RO"/>
        </w:rPr>
        <w:t xml:space="preserve">dnei Tatiana </w:t>
      </w:r>
      <w:proofErr w:type="spellStart"/>
      <w:r w:rsidR="004B7695" w:rsidRPr="000C3704">
        <w:rPr>
          <w:rFonts w:asciiTheme="majorBidi" w:hAnsiTheme="majorBidi" w:cstheme="majorBidi"/>
          <w:sz w:val="24"/>
          <w:szCs w:val="24"/>
          <w:lang w:val="ro-RO"/>
        </w:rPr>
        <w:t>Fondos</w:t>
      </w:r>
      <w:proofErr w:type="spellEnd"/>
      <w:r w:rsidR="004B7695" w:rsidRPr="000C3704">
        <w:rPr>
          <w:rFonts w:asciiTheme="majorBidi" w:hAnsiTheme="majorBidi" w:cstheme="majorBidi"/>
          <w:sz w:val="24"/>
          <w:szCs w:val="24"/>
          <w:lang w:val="ro-RO"/>
        </w:rPr>
        <w:t xml:space="preserve">, șefa Direcției monitorizare și control a Cancelariei de Stat; dnei Ala Vizir, șefă adjunctă a Direcției politici contabile și audit în sectorul corporativ a Ministerului Finanțelor; dnei Vera </w:t>
      </w:r>
      <w:proofErr w:type="spellStart"/>
      <w:r w:rsidR="004B7695" w:rsidRPr="000C3704">
        <w:rPr>
          <w:rFonts w:asciiTheme="majorBidi" w:hAnsiTheme="majorBidi" w:cstheme="majorBidi"/>
          <w:sz w:val="24"/>
          <w:szCs w:val="24"/>
          <w:lang w:val="ro-RO"/>
        </w:rPr>
        <w:t>Romanciu</w:t>
      </w:r>
      <w:proofErr w:type="spellEnd"/>
      <w:r w:rsidR="004B7695" w:rsidRPr="000C3704">
        <w:rPr>
          <w:rFonts w:asciiTheme="majorBidi" w:hAnsiTheme="majorBidi" w:cstheme="majorBidi"/>
          <w:sz w:val="24"/>
          <w:szCs w:val="24"/>
          <w:lang w:val="ro-RO"/>
        </w:rPr>
        <w:t xml:space="preserve">, consultantă principală în cadrul Direcției finanțele în educație, cultură și cercetare a Ministerului Finanțelor; </w:t>
      </w:r>
      <w:r w:rsidR="005E4AA3" w:rsidRPr="000C3704">
        <w:rPr>
          <w:rFonts w:asciiTheme="majorBidi" w:hAnsiTheme="majorBidi" w:cstheme="majorBidi"/>
          <w:sz w:val="24"/>
          <w:szCs w:val="24"/>
          <w:lang w:val="ro-RO"/>
        </w:rPr>
        <w:t>dlui Viorel Bostan, rector</w:t>
      </w:r>
      <w:r w:rsidR="001F5C9D" w:rsidRPr="000C3704">
        <w:rPr>
          <w:rFonts w:asciiTheme="majorBidi" w:hAnsiTheme="majorBidi" w:cstheme="majorBidi"/>
          <w:sz w:val="24"/>
          <w:szCs w:val="24"/>
          <w:lang w:val="ro-RO"/>
        </w:rPr>
        <w:t xml:space="preserve"> al</w:t>
      </w:r>
      <w:r w:rsidR="005E4AA3" w:rsidRPr="000C3704">
        <w:rPr>
          <w:rFonts w:asciiTheme="majorBidi" w:hAnsiTheme="majorBidi" w:cstheme="majorBidi"/>
          <w:sz w:val="24"/>
          <w:szCs w:val="24"/>
          <w:lang w:val="ro-RO"/>
        </w:rPr>
        <w:t xml:space="preserve"> Universității Tehnice a Moldovei; dnei Daniela Pojar, prorector</w:t>
      </w:r>
      <w:r w:rsidR="009A5871" w:rsidRPr="000C3704">
        <w:rPr>
          <w:rFonts w:asciiTheme="majorBidi" w:hAnsiTheme="majorBidi" w:cstheme="majorBidi"/>
          <w:sz w:val="24"/>
          <w:szCs w:val="24"/>
          <w:lang w:val="ro-RO"/>
        </w:rPr>
        <w:t xml:space="preserve"> pentru probleme financiare și relații internaționale al Universității Tehnice a Moldovei</w:t>
      </w:r>
      <w:r w:rsidR="001927BF" w:rsidRPr="000C3704">
        <w:rPr>
          <w:rFonts w:asciiTheme="majorBidi" w:hAnsiTheme="majorBidi" w:cstheme="majorBidi"/>
          <w:sz w:val="24"/>
          <w:szCs w:val="24"/>
          <w:lang w:val="ro-MD"/>
        </w:rPr>
        <w:t>,</w:t>
      </w:r>
      <w:r w:rsidR="00677181" w:rsidRPr="000C3704">
        <w:rPr>
          <w:rFonts w:asciiTheme="majorBidi" w:hAnsiTheme="majorBidi" w:cstheme="majorBidi"/>
          <w:sz w:val="24"/>
          <w:szCs w:val="24"/>
          <w:lang w:val="ro-MD"/>
        </w:rPr>
        <w:t xml:space="preserve"> </w:t>
      </w:r>
      <w:r w:rsidRPr="000C3704">
        <w:rPr>
          <w:rFonts w:asciiTheme="majorBidi" w:hAnsiTheme="majorBidi" w:cstheme="majorBidi"/>
          <w:sz w:val="24"/>
          <w:szCs w:val="24"/>
          <w:lang w:val="ro-MD"/>
        </w:rPr>
        <w:t>precum și a altor persoane cu funcții de răspundere,</w:t>
      </w:r>
      <w:r w:rsidRPr="000C3704">
        <w:rPr>
          <w:rFonts w:asciiTheme="majorBidi" w:hAnsiTheme="majorBidi" w:cstheme="majorBidi"/>
          <w:sz w:val="24"/>
          <w:szCs w:val="24"/>
          <w:shd w:val="clear" w:color="auto" w:fill="FFFFFF" w:themeFill="background1"/>
          <w:lang w:val="ro-MD"/>
        </w:rPr>
        <w:t xml:space="preserve"> în cadrul ședinței video, </w:t>
      </w:r>
      <w:r w:rsidRPr="000C3704">
        <w:rPr>
          <w:rFonts w:asciiTheme="majorBidi" w:hAnsiTheme="majorBidi" w:cstheme="majorBidi"/>
          <w:color w:val="000000"/>
          <w:sz w:val="24"/>
          <w:szCs w:val="24"/>
          <w:lang w:val="ro-MD"/>
        </w:rPr>
        <w:t xml:space="preserve">călăuzindu-se de art.3 alin.(1), art.5 alin.(1) </w:t>
      </w:r>
      <w:proofErr w:type="spellStart"/>
      <w:r w:rsidRPr="000C3704">
        <w:rPr>
          <w:rFonts w:asciiTheme="majorBidi" w:hAnsiTheme="majorBidi" w:cstheme="majorBidi"/>
          <w:color w:val="000000"/>
          <w:sz w:val="24"/>
          <w:szCs w:val="24"/>
          <w:lang w:val="ro-MD"/>
        </w:rPr>
        <w:t>lit.a</w:t>
      </w:r>
      <w:proofErr w:type="spellEnd"/>
      <w:r w:rsidRPr="000C3704">
        <w:rPr>
          <w:rFonts w:asciiTheme="majorBidi" w:hAnsiTheme="majorBidi" w:cstheme="majorBidi"/>
          <w:color w:val="000000"/>
          <w:sz w:val="24"/>
          <w:szCs w:val="24"/>
          <w:lang w:val="ro-MD"/>
        </w:rPr>
        <w:t xml:space="preserve">) </w:t>
      </w:r>
      <w:proofErr w:type="spellStart"/>
      <w:r w:rsidRPr="000C3704">
        <w:rPr>
          <w:rFonts w:asciiTheme="majorBidi" w:hAnsiTheme="majorBidi" w:cstheme="majorBidi"/>
          <w:color w:val="000000"/>
          <w:sz w:val="24"/>
          <w:szCs w:val="24"/>
          <w:lang w:val="ro-MD"/>
        </w:rPr>
        <w:t>şi</w:t>
      </w:r>
      <w:proofErr w:type="spellEnd"/>
      <w:r w:rsidRPr="000C3704">
        <w:rPr>
          <w:rFonts w:asciiTheme="majorBidi" w:hAnsiTheme="majorBidi" w:cstheme="majorBidi"/>
          <w:color w:val="000000"/>
          <w:sz w:val="24"/>
          <w:szCs w:val="24"/>
          <w:lang w:val="ro-MD"/>
        </w:rPr>
        <w:t xml:space="preserve"> art.31 alin.(1) </w:t>
      </w:r>
      <w:proofErr w:type="spellStart"/>
      <w:r w:rsidRPr="000C3704">
        <w:rPr>
          <w:rFonts w:asciiTheme="majorBidi" w:hAnsiTheme="majorBidi" w:cstheme="majorBidi"/>
          <w:color w:val="000000"/>
          <w:sz w:val="24"/>
          <w:szCs w:val="24"/>
          <w:lang w:val="ro-MD"/>
        </w:rPr>
        <w:t>lit.</w:t>
      </w:r>
      <w:r w:rsidR="006364E7" w:rsidRPr="000C3704">
        <w:rPr>
          <w:rFonts w:asciiTheme="majorBidi" w:hAnsiTheme="majorBidi" w:cstheme="majorBidi"/>
          <w:color w:val="000000"/>
          <w:sz w:val="24"/>
          <w:szCs w:val="24"/>
          <w:lang w:val="ro-MD"/>
        </w:rPr>
        <w:t>b</w:t>
      </w:r>
      <w:proofErr w:type="spellEnd"/>
      <w:r w:rsidRPr="000C3704">
        <w:rPr>
          <w:rFonts w:asciiTheme="majorBidi" w:hAnsiTheme="majorBidi" w:cstheme="majorBidi"/>
          <w:color w:val="000000"/>
          <w:sz w:val="24"/>
          <w:szCs w:val="24"/>
          <w:lang w:val="ro-MD"/>
        </w:rPr>
        <w:t xml:space="preserve">) din Legea privind organizarea </w:t>
      </w:r>
      <w:r w:rsidR="003069E6" w:rsidRPr="000C3704">
        <w:rPr>
          <w:rFonts w:asciiTheme="majorBidi" w:hAnsiTheme="majorBidi" w:cstheme="majorBidi"/>
          <w:color w:val="000000"/>
          <w:sz w:val="24"/>
          <w:szCs w:val="24"/>
          <w:lang w:val="ro-MD"/>
        </w:rPr>
        <w:t>și</w:t>
      </w:r>
      <w:r w:rsidRPr="000C3704">
        <w:rPr>
          <w:rFonts w:asciiTheme="majorBidi" w:hAnsiTheme="majorBidi" w:cstheme="majorBidi"/>
          <w:color w:val="000000"/>
          <w:sz w:val="24"/>
          <w:szCs w:val="24"/>
          <w:lang w:val="ro-MD"/>
        </w:rPr>
        <w:t xml:space="preserve"> funcționarea Curții de Conturi a Republicii Moldova</w:t>
      </w:r>
      <w:r w:rsidRPr="000C3704">
        <w:rPr>
          <w:rStyle w:val="ab"/>
          <w:rFonts w:asciiTheme="majorBidi" w:hAnsiTheme="majorBidi" w:cstheme="majorBidi"/>
          <w:color w:val="000000"/>
          <w:sz w:val="24"/>
          <w:szCs w:val="24"/>
          <w:lang w:val="ro-MD"/>
        </w:rPr>
        <w:footnoteReference w:id="1"/>
      </w:r>
      <w:r w:rsidRPr="000C3704">
        <w:rPr>
          <w:rFonts w:asciiTheme="majorBidi" w:hAnsiTheme="majorBidi" w:cstheme="majorBidi"/>
          <w:color w:val="000000"/>
          <w:sz w:val="24"/>
          <w:szCs w:val="24"/>
          <w:lang w:val="ro-MD"/>
        </w:rPr>
        <w:t xml:space="preserve">, </w:t>
      </w:r>
      <w:r w:rsidRPr="000C3704">
        <w:rPr>
          <w:rFonts w:asciiTheme="majorBidi" w:hAnsiTheme="majorBidi" w:cstheme="majorBidi"/>
          <w:sz w:val="24"/>
          <w:szCs w:val="24"/>
          <w:shd w:val="clear" w:color="auto" w:fill="FFFFFF" w:themeFill="background1"/>
          <w:lang w:val="ro-MD"/>
        </w:rPr>
        <w:t>a examinat</w:t>
      </w:r>
      <w:r w:rsidR="00C02A36" w:rsidRPr="000C3704">
        <w:rPr>
          <w:rFonts w:asciiTheme="majorBidi" w:hAnsiTheme="majorBidi" w:cstheme="majorBidi"/>
          <w:lang w:val="ro-RO"/>
        </w:rPr>
        <w:t xml:space="preserve"> </w:t>
      </w:r>
      <w:r w:rsidR="00C02A36" w:rsidRPr="000C3704">
        <w:rPr>
          <w:rFonts w:asciiTheme="majorBidi" w:hAnsiTheme="majorBidi" w:cstheme="majorBidi"/>
          <w:sz w:val="24"/>
          <w:szCs w:val="24"/>
          <w:lang w:val="ro-RO"/>
        </w:rPr>
        <w:t>Raportul</w:t>
      </w:r>
      <w:r w:rsidR="001C76A3" w:rsidRPr="000C3704">
        <w:rPr>
          <w:rFonts w:asciiTheme="majorBidi" w:hAnsiTheme="majorBidi" w:cstheme="majorBidi"/>
        </w:rPr>
        <w:t xml:space="preserve"> </w:t>
      </w:r>
      <w:r w:rsidR="001C76A3" w:rsidRPr="000C3704">
        <w:rPr>
          <w:rFonts w:asciiTheme="majorBidi" w:hAnsiTheme="majorBidi" w:cstheme="majorBidi"/>
          <w:sz w:val="24"/>
          <w:szCs w:val="24"/>
          <w:lang w:val="ro-RO"/>
        </w:rPr>
        <w:t xml:space="preserve">auditului conformității asupra gestionării patrimoniului public și a resurselor financiare de către </w:t>
      </w:r>
      <w:r w:rsidR="005E4AA3" w:rsidRPr="000C3704">
        <w:rPr>
          <w:rFonts w:asciiTheme="majorBidi" w:hAnsiTheme="majorBidi" w:cstheme="majorBidi"/>
          <w:sz w:val="24"/>
          <w:szCs w:val="24"/>
          <w:lang w:val="ro-RO"/>
        </w:rPr>
        <w:t>Universitatea Tehnică a Moldovei</w:t>
      </w:r>
      <w:r w:rsidR="001C76A3" w:rsidRPr="000C3704">
        <w:rPr>
          <w:rFonts w:asciiTheme="majorBidi" w:hAnsiTheme="majorBidi" w:cstheme="majorBidi"/>
          <w:sz w:val="24"/>
          <w:szCs w:val="24"/>
          <w:lang w:val="ro-RO"/>
        </w:rPr>
        <w:t xml:space="preserve"> în anii 2021-2022</w:t>
      </w:r>
      <w:r w:rsidR="00C02A36" w:rsidRPr="000C3704">
        <w:rPr>
          <w:rFonts w:asciiTheme="majorBidi" w:hAnsiTheme="majorBidi" w:cstheme="majorBidi"/>
          <w:sz w:val="24"/>
          <w:szCs w:val="24"/>
          <w:lang w:val="ro-RO"/>
        </w:rPr>
        <w:t>.</w:t>
      </w:r>
    </w:p>
    <w:p w14:paraId="1D97EA41" w14:textId="75C0B305" w:rsidR="009F2C27" w:rsidRPr="000C3704" w:rsidRDefault="00C61F48" w:rsidP="00F34191">
      <w:pPr>
        <w:spacing w:after="0" w:line="276" w:lineRule="auto"/>
        <w:ind w:firstLine="567"/>
        <w:jc w:val="both"/>
        <w:rPr>
          <w:rFonts w:asciiTheme="majorBidi" w:eastAsia="Times New Roman" w:hAnsiTheme="majorBidi" w:cstheme="majorBidi"/>
          <w:sz w:val="24"/>
          <w:szCs w:val="24"/>
          <w:lang w:val="ro-MD"/>
        </w:rPr>
      </w:pPr>
      <w:r w:rsidRPr="000C3704">
        <w:rPr>
          <w:rFonts w:asciiTheme="majorBidi" w:eastAsia="Times New Roman" w:hAnsiTheme="majorBidi" w:cstheme="majorBidi"/>
          <w:sz w:val="24"/>
          <w:szCs w:val="24"/>
          <w:lang w:val="ro-MD"/>
        </w:rPr>
        <w:t xml:space="preserve">Misiunea de audit public extern a fost realizată </w:t>
      </w:r>
      <w:r w:rsidR="009D0682" w:rsidRPr="000C3704">
        <w:rPr>
          <w:rFonts w:asciiTheme="majorBidi" w:eastAsia="Times New Roman" w:hAnsiTheme="majorBidi" w:cstheme="majorBidi"/>
          <w:sz w:val="24"/>
          <w:szCs w:val="24"/>
          <w:lang w:val="ro-MD"/>
        </w:rPr>
        <w:t xml:space="preserve">în </w:t>
      </w:r>
      <w:r w:rsidRPr="000C3704">
        <w:rPr>
          <w:rFonts w:asciiTheme="majorBidi" w:eastAsia="Times New Roman" w:hAnsiTheme="majorBidi" w:cstheme="majorBidi"/>
          <w:sz w:val="24"/>
          <w:szCs w:val="24"/>
          <w:lang w:val="ro-MD"/>
        </w:rPr>
        <w:t>conform</w:t>
      </w:r>
      <w:r w:rsidR="009D0682" w:rsidRPr="000C3704">
        <w:rPr>
          <w:rFonts w:asciiTheme="majorBidi" w:eastAsia="Times New Roman" w:hAnsiTheme="majorBidi" w:cstheme="majorBidi"/>
          <w:sz w:val="24"/>
          <w:szCs w:val="24"/>
          <w:lang w:val="ro-MD"/>
        </w:rPr>
        <w:t>itate cu</w:t>
      </w:r>
      <w:r w:rsidRPr="000C3704">
        <w:rPr>
          <w:rFonts w:asciiTheme="majorBidi" w:eastAsia="Times New Roman" w:hAnsiTheme="majorBidi" w:cstheme="majorBidi"/>
          <w:sz w:val="24"/>
          <w:szCs w:val="24"/>
          <w:lang w:val="ro-MD"/>
        </w:rPr>
        <w:t xml:space="preserve"> </w:t>
      </w:r>
      <w:r w:rsidRPr="000C3704">
        <w:rPr>
          <w:rFonts w:asciiTheme="majorBidi" w:hAnsiTheme="majorBidi" w:cstheme="majorBidi"/>
          <w:sz w:val="24"/>
          <w:szCs w:val="24"/>
          <w:lang w:val="ro-MD"/>
        </w:rPr>
        <w:t>Program</w:t>
      </w:r>
      <w:r w:rsidR="0097019F" w:rsidRPr="000C3704">
        <w:rPr>
          <w:rFonts w:asciiTheme="majorBidi" w:hAnsiTheme="majorBidi" w:cstheme="majorBidi"/>
          <w:sz w:val="24"/>
          <w:szCs w:val="24"/>
          <w:lang w:val="ro-MD"/>
        </w:rPr>
        <w:t>ele</w:t>
      </w:r>
      <w:r w:rsidRPr="000C3704">
        <w:rPr>
          <w:rFonts w:asciiTheme="majorBidi" w:hAnsiTheme="majorBidi" w:cstheme="majorBidi"/>
          <w:sz w:val="24"/>
          <w:szCs w:val="24"/>
          <w:lang w:val="ro-MD"/>
        </w:rPr>
        <w:t xml:space="preserve"> activității de audit a Curții de Conturi pe an</w:t>
      </w:r>
      <w:r w:rsidR="005E4AA3" w:rsidRPr="000C3704">
        <w:rPr>
          <w:rFonts w:asciiTheme="majorBidi" w:hAnsiTheme="majorBidi" w:cstheme="majorBidi"/>
          <w:sz w:val="24"/>
          <w:szCs w:val="24"/>
          <w:lang w:val="ro-MD"/>
        </w:rPr>
        <w:t>ii</w:t>
      </w:r>
      <w:r w:rsidR="00C37F99" w:rsidRPr="000C3704">
        <w:rPr>
          <w:rFonts w:asciiTheme="majorBidi" w:hAnsiTheme="majorBidi" w:cstheme="majorBidi"/>
          <w:sz w:val="24"/>
          <w:szCs w:val="24"/>
          <w:lang w:val="ro-MD"/>
        </w:rPr>
        <w:t xml:space="preserve"> 2023</w:t>
      </w:r>
      <w:r w:rsidR="005E4AA3" w:rsidRPr="000C3704">
        <w:rPr>
          <w:rStyle w:val="FootnoteReference1"/>
          <w:rFonts w:asciiTheme="majorBidi" w:hAnsiTheme="majorBidi" w:cstheme="majorBidi"/>
          <w:sz w:val="24"/>
          <w:szCs w:val="24"/>
        </w:rPr>
        <w:footnoteReference w:id="2"/>
      </w:r>
      <w:r w:rsidR="005E4AA3" w:rsidRPr="000C3704">
        <w:rPr>
          <w:rFonts w:asciiTheme="majorBidi" w:hAnsiTheme="majorBidi" w:cstheme="majorBidi"/>
          <w:sz w:val="24"/>
          <w:szCs w:val="24"/>
          <w:lang w:val="ro-MD"/>
        </w:rPr>
        <w:t xml:space="preserve"> și 2024</w:t>
      </w:r>
      <w:r w:rsidR="005E4AA3" w:rsidRPr="000C3704">
        <w:rPr>
          <w:rStyle w:val="ab"/>
          <w:rFonts w:asciiTheme="majorBidi" w:hAnsiTheme="majorBidi" w:cstheme="majorBidi"/>
          <w:sz w:val="24"/>
          <w:szCs w:val="24"/>
          <w:lang w:val="ro-MD"/>
        </w:rPr>
        <w:footnoteReference w:id="3"/>
      </w:r>
      <w:r w:rsidRPr="000C3704">
        <w:rPr>
          <w:rFonts w:asciiTheme="majorBidi" w:hAnsiTheme="majorBidi" w:cstheme="majorBidi"/>
          <w:sz w:val="24"/>
          <w:szCs w:val="24"/>
          <w:lang w:val="ro-MD"/>
        </w:rPr>
        <w:t xml:space="preserve">, </w:t>
      </w:r>
      <w:r w:rsidR="009D0682" w:rsidRPr="000C3704">
        <w:rPr>
          <w:rFonts w:asciiTheme="majorBidi" w:hAnsiTheme="majorBidi" w:cstheme="majorBidi"/>
          <w:sz w:val="24"/>
          <w:szCs w:val="24"/>
          <w:lang w:val="ro-MD"/>
        </w:rPr>
        <w:t xml:space="preserve">având drept </w:t>
      </w:r>
      <w:r w:rsidR="009F2C27" w:rsidRPr="000C3704">
        <w:rPr>
          <w:rFonts w:asciiTheme="majorBidi" w:eastAsia="Times New Roman" w:hAnsiTheme="majorBidi" w:cstheme="majorBidi"/>
          <w:sz w:val="24"/>
          <w:szCs w:val="24"/>
          <w:lang w:val="ro-MD"/>
        </w:rPr>
        <w:t>scop evalu</w:t>
      </w:r>
      <w:r w:rsidR="009D0682" w:rsidRPr="000C3704">
        <w:rPr>
          <w:rFonts w:asciiTheme="majorBidi" w:eastAsia="Times New Roman" w:hAnsiTheme="majorBidi" w:cstheme="majorBidi"/>
          <w:sz w:val="24"/>
          <w:szCs w:val="24"/>
          <w:lang w:val="ro-MD"/>
        </w:rPr>
        <w:t>a</w:t>
      </w:r>
      <w:r w:rsidR="009F2C27" w:rsidRPr="000C3704">
        <w:rPr>
          <w:rFonts w:asciiTheme="majorBidi" w:eastAsia="Times New Roman" w:hAnsiTheme="majorBidi" w:cstheme="majorBidi"/>
          <w:sz w:val="24"/>
          <w:szCs w:val="24"/>
          <w:lang w:val="ro-MD"/>
        </w:rPr>
        <w:t>r</w:t>
      </w:r>
      <w:r w:rsidR="009D0682" w:rsidRPr="000C3704">
        <w:rPr>
          <w:rFonts w:asciiTheme="majorBidi" w:eastAsia="Times New Roman" w:hAnsiTheme="majorBidi" w:cstheme="majorBidi"/>
          <w:sz w:val="24"/>
          <w:szCs w:val="24"/>
          <w:lang w:val="ro-MD"/>
        </w:rPr>
        <w:t>ea</w:t>
      </w:r>
      <w:r w:rsidR="009F2C27" w:rsidRPr="000C3704">
        <w:rPr>
          <w:rFonts w:asciiTheme="majorBidi" w:eastAsia="Times New Roman" w:hAnsiTheme="majorBidi" w:cstheme="majorBidi"/>
          <w:sz w:val="24"/>
          <w:szCs w:val="24"/>
          <w:lang w:val="ro-MD"/>
        </w:rPr>
        <w:t xml:space="preserve"> conformității gestionării patrimoniului public și a resurselor financiare de către </w:t>
      </w:r>
      <w:r w:rsidR="00F34191" w:rsidRPr="000C3704">
        <w:rPr>
          <w:rFonts w:asciiTheme="majorBidi" w:hAnsiTheme="majorBidi" w:cstheme="majorBidi"/>
          <w:sz w:val="24"/>
          <w:szCs w:val="24"/>
          <w:lang w:val="ro-RO"/>
        </w:rPr>
        <w:t>Universitatea Tehnică a Moldovei</w:t>
      </w:r>
      <w:r w:rsidR="009F2C27" w:rsidRPr="000C3704">
        <w:rPr>
          <w:rFonts w:asciiTheme="majorBidi" w:eastAsia="Times New Roman" w:hAnsiTheme="majorBidi" w:cstheme="majorBidi"/>
          <w:sz w:val="24"/>
          <w:szCs w:val="24"/>
          <w:lang w:val="ro-MD"/>
        </w:rPr>
        <w:t xml:space="preserve"> în anii 2021-2022</w:t>
      </w:r>
      <w:r w:rsidR="009D0682" w:rsidRPr="000C3704">
        <w:rPr>
          <w:rFonts w:asciiTheme="majorBidi" w:eastAsia="Times New Roman" w:hAnsiTheme="majorBidi" w:cstheme="majorBidi"/>
          <w:sz w:val="24"/>
          <w:szCs w:val="24"/>
          <w:lang w:val="ro-MD"/>
        </w:rPr>
        <w:t>, în raport cu criteriile regulamentare de ordin legal</w:t>
      </w:r>
      <w:r w:rsidR="009F2C27" w:rsidRPr="000C3704">
        <w:rPr>
          <w:rFonts w:asciiTheme="majorBidi" w:eastAsia="Times New Roman" w:hAnsiTheme="majorBidi" w:cstheme="majorBidi"/>
          <w:sz w:val="24"/>
          <w:szCs w:val="24"/>
          <w:lang w:val="ro-MD"/>
        </w:rPr>
        <w:t>.</w:t>
      </w:r>
    </w:p>
    <w:p w14:paraId="68027D47" w14:textId="201F8C09" w:rsidR="00C61F48" w:rsidRPr="000C3704" w:rsidRDefault="0097019F" w:rsidP="00D25949">
      <w:pPr>
        <w:spacing w:after="0" w:line="276" w:lineRule="auto"/>
        <w:jc w:val="both"/>
        <w:rPr>
          <w:rFonts w:asciiTheme="majorBidi" w:eastAsia="Times New Roman" w:hAnsiTheme="majorBidi" w:cstheme="majorBidi"/>
          <w:sz w:val="24"/>
          <w:szCs w:val="24"/>
          <w:lang w:val="ro-MD"/>
        </w:rPr>
      </w:pPr>
      <w:r w:rsidRPr="000C3704">
        <w:rPr>
          <w:rFonts w:asciiTheme="majorBidi" w:hAnsiTheme="majorBidi" w:cstheme="majorBidi"/>
          <w:sz w:val="24"/>
          <w:szCs w:val="24"/>
          <w:lang w:val="ro-MD"/>
        </w:rPr>
        <w:t xml:space="preserve">         </w:t>
      </w:r>
      <w:r w:rsidR="00C61F48" w:rsidRPr="000C3704">
        <w:rPr>
          <w:rFonts w:asciiTheme="majorBidi" w:hAnsiTheme="majorBidi" w:cstheme="majorBidi"/>
          <w:sz w:val="24"/>
          <w:szCs w:val="24"/>
          <w:lang w:val="ro-MD"/>
        </w:rPr>
        <w:t xml:space="preserve">Auditul </w:t>
      </w:r>
      <w:r w:rsidR="00FB0A53" w:rsidRPr="000C3704">
        <w:rPr>
          <w:rFonts w:asciiTheme="majorBidi" w:hAnsiTheme="majorBidi" w:cstheme="majorBidi"/>
          <w:sz w:val="24"/>
          <w:szCs w:val="24"/>
          <w:lang w:val="ro-MD"/>
        </w:rPr>
        <w:t xml:space="preserve">public extern </w:t>
      </w:r>
      <w:r w:rsidR="00C61F48" w:rsidRPr="000C3704">
        <w:rPr>
          <w:rFonts w:asciiTheme="majorBidi" w:hAnsiTheme="majorBidi" w:cstheme="majorBidi"/>
          <w:sz w:val="24"/>
          <w:szCs w:val="24"/>
          <w:lang w:val="ro-MD"/>
        </w:rPr>
        <w:t>a fost planificat și s-a desfășurat în conformitate cu Standardele Internaționale ale Instituțiilor Supreme de Audit aplicate de Curtea de Conturi</w:t>
      </w:r>
      <w:r w:rsidR="009D0682" w:rsidRPr="000C3704">
        <w:rPr>
          <w:rFonts w:asciiTheme="majorBidi" w:hAnsiTheme="majorBidi" w:cstheme="majorBidi"/>
          <w:sz w:val="24"/>
          <w:szCs w:val="24"/>
          <w:lang w:val="ro-MD"/>
        </w:rPr>
        <w:t>, în special,</w:t>
      </w:r>
      <w:r w:rsidR="00C61F48" w:rsidRPr="000C3704">
        <w:rPr>
          <w:rFonts w:asciiTheme="majorBidi" w:hAnsiTheme="majorBidi" w:cstheme="majorBidi"/>
          <w:sz w:val="24"/>
          <w:szCs w:val="24"/>
          <w:lang w:val="ro-MD"/>
        </w:rPr>
        <w:t xml:space="preserve"> ISSAI 100, ISSAI 400 și ISSAI 4000</w:t>
      </w:r>
      <w:r w:rsidR="00C61F48" w:rsidRPr="000C3704">
        <w:rPr>
          <w:rFonts w:asciiTheme="majorBidi" w:eastAsia="Times New Roman" w:hAnsiTheme="majorBidi" w:cstheme="majorBidi"/>
          <w:sz w:val="24"/>
          <w:szCs w:val="24"/>
          <w:vertAlign w:val="superscript"/>
          <w:lang w:val="ro-MD"/>
        </w:rPr>
        <w:footnoteReference w:id="4"/>
      </w:r>
      <w:r w:rsidR="00C61F48" w:rsidRPr="000C3704">
        <w:rPr>
          <w:rFonts w:asciiTheme="majorBidi" w:eastAsia="Times New Roman" w:hAnsiTheme="majorBidi" w:cstheme="majorBidi"/>
          <w:sz w:val="24"/>
          <w:szCs w:val="24"/>
          <w:lang w:val="ro-MD"/>
        </w:rPr>
        <w:t>.</w:t>
      </w:r>
    </w:p>
    <w:p w14:paraId="428CF970" w14:textId="77777777" w:rsidR="00C61F48" w:rsidRPr="000C3704" w:rsidRDefault="00C61F48" w:rsidP="00B11DE4">
      <w:pPr>
        <w:spacing w:after="0" w:line="276" w:lineRule="auto"/>
        <w:ind w:firstLine="709"/>
        <w:jc w:val="both"/>
        <w:rPr>
          <w:rFonts w:asciiTheme="majorBidi" w:eastAsia="Times New Roman" w:hAnsiTheme="majorBidi" w:cstheme="majorBidi"/>
          <w:sz w:val="24"/>
          <w:szCs w:val="24"/>
          <w:lang w:val="ro-MD"/>
        </w:rPr>
      </w:pPr>
      <w:r w:rsidRPr="000C3704">
        <w:rPr>
          <w:rFonts w:asciiTheme="majorBidi" w:eastAsia="Times New Roman" w:hAnsiTheme="majorBidi" w:cstheme="majorBidi"/>
          <w:sz w:val="24"/>
          <w:szCs w:val="24"/>
          <w:lang w:val="ro-MD"/>
        </w:rPr>
        <w:t xml:space="preserve"> Examinând Raportul de audit, Curtea de Conturi</w:t>
      </w:r>
    </w:p>
    <w:p w14:paraId="354A2610" w14:textId="77777777" w:rsidR="00C61F48" w:rsidRPr="000C3704" w:rsidRDefault="00C61F48" w:rsidP="00C61F48">
      <w:pPr>
        <w:spacing w:after="0" w:line="276" w:lineRule="auto"/>
        <w:ind w:firstLine="708"/>
        <w:jc w:val="both"/>
        <w:rPr>
          <w:rFonts w:asciiTheme="majorBidi" w:eastAsia="Times New Roman" w:hAnsiTheme="majorBidi" w:cstheme="majorBidi"/>
          <w:sz w:val="24"/>
          <w:szCs w:val="24"/>
          <w:lang w:val="ro-MD"/>
        </w:rPr>
      </w:pPr>
    </w:p>
    <w:p w14:paraId="78A30E9F" w14:textId="77777777" w:rsidR="00C61F48" w:rsidRPr="000C3704" w:rsidRDefault="00C61F48" w:rsidP="00C61F48">
      <w:pPr>
        <w:spacing w:after="0" w:line="276" w:lineRule="auto"/>
        <w:jc w:val="center"/>
        <w:rPr>
          <w:rFonts w:asciiTheme="majorBidi" w:eastAsia="Times New Roman" w:hAnsiTheme="majorBidi" w:cstheme="majorBidi"/>
          <w:b/>
          <w:bCs/>
          <w:sz w:val="24"/>
          <w:szCs w:val="24"/>
          <w:lang w:val="ro-MD"/>
        </w:rPr>
      </w:pPr>
      <w:r w:rsidRPr="000C3704">
        <w:rPr>
          <w:rFonts w:asciiTheme="majorBidi" w:eastAsia="Times New Roman" w:hAnsiTheme="majorBidi" w:cstheme="majorBidi"/>
          <w:b/>
          <w:bCs/>
          <w:sz w:val="24"/>
          <w:szCs w:val="24"/>
          <w:lang w:val="ro-MD"/>
        </w:rPr>
        <w:t>A CONSTATAT:</w:t>
      </w:r>
    </w:p>
    <w:p w14:paraId="773F3449" w14:textId="4BE3FD71" w:rsidR="008C08B0" w:rsidRPr="000C3704" w:rsidRDefault="008C08B0" w:rsidP="006177D9">
      <w:pPr>
        <w:pStyle w:val="af3"/>
        <w:spacing w:after="0" w:line="276" w:lineRule="auto"/>
        <w:ind w:left="0" w:firstLine="709"/>
        <w:jc w:val="both"/>
        <w:rPr>
          <w:rFonts w:ascii="Times New Roman" w:hAnsi="Times New Roman" w:cs="Times New Roman"/>
          <w:color w:val="000000"/>
          <w:sz w:val="24"/>
          <w:szCs w:val="24"/>
          <w:lang w:val="ro-MD"/>
        </w:rPr>
      </w:pPr>
      <w:r w:rsidRPr="000C3704">
        <w:rPr>
          <w:rFonts w:ascii="Times New Roman" w:hAnsi="Times New Roman" w:cs="Times New Roman"/>
          <w:sz w:val="24"/>
          <w:szCs w:val="24"/>
          <w:lang w:val="ro-MD"/>
        </w:rPr>
        <w:t>Învățământul superior este un factor-cheie pentru dezvoltarea culturală, economică și socială a societății</w:t>
      </w:r>
      <w:r w:rsidR="0097019F" w:rsidRPr="000C3704">
        <w:rPr>
          <w:rFonts w:ascii="Times New Roman" w:hAnsi="Times New Roman" w:cs="Times New Roman"/>
          <w:sz w:val="24"/>
          <w:szCs w:val="24"/>
          <w:lang w:val="ro-MD"/>
        </w:rPr>
        <w:t>,</w:t>
      </w:r>
      <w:r w:rsidRPr="000C3704">
        <w:rPr>
          <w:rFonts w:ascii="Times New Roman" w:hAnsi="Times New Roman" w:cs="Times New Roman"/>
          <w:sz w:val="24"/>
          <w:szCs w:val="24"/>
          <w:lang w:val="ro-MD"/>
        </w:rPr>
        <w:t xml:space="preserve"> bazat</w:t>
      </w:r>
      <w:r w:rsidR="0097019F" w:rsidRPr="000C3704">
        <w:rPr>
          <w:rFonts w:ascii="Times New Roman" w:hAnsi="Times New Roman" w:cs="Times New Roman"/>
          <w:sz w:val="24"/>
          <w:szCs w:val="24"/>
          <w:lang w:val="ro-MD"/>
        </w:rPr>
        <w:t>ă</w:t>
      </w:r>
      <w:r w:rsidRPr="000C3704">
        <w:rPr>
          <w:rFonts w:ascii="Times New Roman" w:hAnsi="Times New Roman" w:cs="Times New Roman"/>
          <w:sz w:val="24"/>
          <w:szCs w:val="24"/>
          <w:lang w:val="ro-MD"/>
        </w:rPr>
        <w:t xml:space="preserve"> tot mai mult pe cunoaștere</w:t>
      </w:r>
      <w:r w:rsidR="0097019F" w:rsidRPr="000C3704">
        <w:rPr>
          <w:rFonts w:ascii="Times New Roman" w:hAnsi="Times New Roman" w:cs="Times New Roman"/>
          <w:sz w:val="24"/>
          <w:szCs w:val="24"/>
          <w:lang w:val="ro-MD"/>
        </w:rPr>
        <w:t>,</w:t>
      </w:r>
      <w:r w:rsidRPr="000C3704">
        <w:rPr>
          <w:rFonts w:ascii="Times New Roman" w:hAnsi="Times New Roman" w:cs="Times New Roman"/>
          <w:sz w:val="24"/>
          <w:szCs w:val="24"/>
          <w:lang w:val="ro-MD"/>
        </w:rPr>
        <w:t xml:space="preserve"> și un promotor al drepturilor omului, dezvoltării durabile, democrației, păcii și justiției. Astfel, </w:t>
      </w:r>
      <w:r w:rsidRPr="000C3704">
        <w:rPr>
          <w:rFonts w:ascii="Times New Roman" w:hAnsi="Times New Roman" w:cs="Times New Roman"/>
          <w:color w:val="000000"/>
          <w:sz w:val="24"/>
          <w:szCs w:val="24"/>
          <w:lang w:val="ro-MD"/>
        </w:rPr>
        <w:t xml:space="preserve">prestarea calitativă a serviciilor de educație este unul din obiectivele strategice ale </w:t>
      </w:r>
      <w:r w:rsidR="0097019F" w:rsidRPr="000C3704">
        <w:rPr>
          <w:rFonts w:ascii="Times New Roman" w:hAnsi="Times New Roman" w:cs="Times New Roman"/>
          <w:color w:val="000000"/>
          <w:sz w:val="24"/>
          <w:szCs w:val="24"/>
          <w:lang w:val="ro-MD"/>
        </w:rPr>
        <w:t>G</w:t>
      </w:r>
      <w:r w:rsidRPr="000C3704">
        <w:rPr>
          <w:rFonts w:ascii="Times New Roman" w:hAnsi="Times New Roman" w:cs="Times New Roman"/>
          <w:color w:val="000000"/>
          <w:sz w:val="24"/>
          <w:szCs w:val="24"/>
          <w:lang w:val="ro-MD"/>
        </w:rPr>
        <w:t xml:space="preserve">uvernului. Acest obiectiv nu poate fi </w:t>
      </w:r>
      <w:r w:rsidR="0097019F" w:rsidRPr="000C3704">
        <w:rPr>
          <w:rFonts w:ascii="Times New Roman" w:hAnsi="Times New Roman" w:cs="Times New Roman"/>
          <w:color w:val="000000"/>
          <w:sz w:val="24"/>
          <w:szCs w:val="24"/>
          <w:lang w:val="ro-MD"/>
        </w:rPr>
        <w:t>atins</w:t>
      </w:r>
      <w:r w:rsidRPr="000C3704">
        <w:rPr>
          <w:rFonts w:ascii="Times New Roman" w:hAnsi="Times New Roman" w:cs="Times New Roman"/>
          <w:color w:val="000000"/>
          <w:sz w:val="24"/>
          <w:szCs w:val="24"/>
          <w:lang w:val="ro-MD"/>
        </w:rPr>
        <w:t xml:space="preserve"> fără o gestiune eficientă a patrimoniului public transmis în administrarea instituțiilor de învățământ superior și a resurselor financiare alocate în acest scop.</w:t>
      </w:r>
    </w:p>
    <w:p w14:paraId="1581B205" w14:textId="6BD00025" w:rsidR="00A33F94" w:rsidRPr="000C3704" w:rsidRDefault="00A33F94" w:rsidP="00DA1AAF">
      <w:pPr>
        <w:pStyle w:val="af3"/>
        <w:spacing w:after="0" w:line="276" w:lineRule="auto"/>
        <w:ind w:left="0" w:firstLine="709"/>
        <w:jc w:val="both"/>
        <w:rPr>
          <w:rFonts w:ascii="Times New Roman" w:eastAsia="Times New Roman" w:hAnsi="Times New Roman" w:cs="Times New Roman"/>
          <w:sz w:val="24"/>
          <w:szCs w:val="24"/>
          <w:lang w:val="ro-MD"/>
        </w:rPr>
      </w:pPr>
      <w:r w:rsidRPr="000C3704">
        <w:rPr>
          <w:rFonts w:ascii="Times New Roman" w:hAnsi="Times New Roman" w:cs="Times New Roman"/>
          <w:color w:val="000000"/>
          <w:sz w:val="24"/>
          <w:szCs w:val="24"/>
          <w:lang w:val="ro-MD"/>
        </w:rPr>
        <w:t>Universitatea Tehnică a Moldovei (în continuare</w:t>
      </w:r>
      <w:r w:rsidR="0091175B" w:rsidRPr="000C3704">
        <w:rPr>
          <w:rFonts w:ascii="Times New Roman" w:hAnsi="Times New Roman" w:cs="Times New Roman"/>
          <w:color w:val="000000"/>
          <w:sz w:val="24"/>
          <w:szCs w:val="24"/>
          <w:lang w:val="ro-MD"/>
        </w:rPr>
        <w:t xml:space="preserve"> </w:t>
      </w:r>
      <w:r w:rsidR="0097019F" w:rsidRPr="000C3704">
        <w:rPr>
          <w:rFonts w:ascii="Times New Roman" w:hAnsi="Times New Roman" w:cs="Times New Roman"/>
          <w:color w:val="000000"/>
          <w:sz w:val="24"/>
          <w:szCs w:val="24"/>
          <w:lang w:val="ro-MD"/>
        </w:rPr>
        <w:t xml:space="preserve">- </w:t>
      </w:r>
      <w:r w:rsidRPr="000C3704">
        <w:rPr>
          <w:rFonts w:ascii="Times New Roman" w:hAnsi="Times New Roman" w:cs="Times New Roman"/>
          <w:color w:val="000000"/>
          <w:sz w:val="24"/>
          <w:szCs w:val="24"/>
          <w:lang w:val="ro-MD"/>
        </w:rPr>
        <w:t>UTM) este o instituție</w:t>
      </w:r>
      <w:r w:rsidR="00927256" w:rsidRPr="000C3704">
        <w:rPr>
          <w:rFonts w:ascii="Times New Roman" w:hAnsi="Times New Roman" w:cs="Times New Roman"/>
          <w:color w:val="000000"/>
          <w:sz w:val="24"/>
          <w:szCs w:val="24"/>
          <w:lang w:val="ro-MD"/>
        </w:rPr>
        <w:t xml:space="preserve"> </w:t>
      </w:r>
      <w:r w:rsidRPr="000C3704">
        <w:rPr>
          <w:rFonts w:ascii="Times New Roman" w:hAnsi="Times New Roman" w:cs="Times New Roman"/>
          <w:color w:val="000000"/>
          <w:sz w:val="24"/>
          <w:szCs w:val="24"/>
          <w:lang w:val="ro-MD"/>
        </w:rPr>
        <w:t xml:space="preserve">de învățământ </w:t>
      </w:r>
      <w:r w:rsidR="00927256" w:rsidRPr="000C3704">
        <w:rPr>
          <w:rFonts w:ascii="Times New Roman" w:hAnsi="Times New Roman" w:cs="Times New Roman"/>
          <w:color w:val="000000"/>
          <w:sz w:val="24"/>
          <w:szCs w:val="24"/>
          <w:lang w:val="ro-MD"/>
        </w:rPr>
        <w:t xml:space="preserve">superior </w:t>
      </w:r>
      <w:r w:rsidRPr="000C3704">
        <w:rPr>
          <w:rFonts w:ascii="Times New Roman" w:hAnsi="Times New Roman" w:cs="Times New Roman"/>
          <w:color w:val="000000"/>
          <w:sz w:val="24"/>
          <w:szCs w:val="24"/>
          <w:lang w:val="ro-MD"/>
        </w:rPr>
        <w:t xml:space="preserve">din Republica Moldova, o unitate cu autonomie financiară </w:t>
      </w:r>
      <w:r w:rsidRPr="000C3704">
        <w:rPr>
          <w:rFonts w:ascii="Times New Roman" w:hAnsi="Times New Roman" w:cs="Times New Roman"/>
          <w:sz w:val="24"/>
          <w:szCs w:val="24"/>
          <w:lang w:val="ro-MD"/>
        </w:rPr>
        <w:t>nonprofit, care activează în condiții de autogestiune financiară, cu respectarea principiil</w:t>
      </w:r>
      <w:r w:rsidR="00927256" w:rsidRPr="000C3704">
        <w:rPr>
          <w:rFonts w:ascii="Times New Roman" w:hAnsi="Times New Roman" w:cs="Times New Roman"/>
          <w:sz w:val="24"/>
          <w:szCs w:val="24"/>
          <w:lang w:val="ro-MD"/>
        </w:rPr>
        <w:t>or</w:t>
      </w:r>
      <w:r w:rsidRPr="000C3704">
        <w:rPr>
          <w:rFonts w:ascii="Times New Roman" w:hAnsi="Times New Roman" w:cs="Times New Roman"/>
          <w:sz w:val="24"/>
          <w:szCs w:val="24"/>
          <w:lang w:val="ro-MD"/>
        </w:rPr>
        <w:t xml:space="preserve"> responsabilității publice pentru </w:t>
      </w:r>
      <w:r w:rsidRPr="000C3704">
        <w:rPr>
          <w:rFonts w:ascii="Times New Roman" w:hAnsi="Times New Roman" w:cs="Times New Roman"/>
          <w:sz w:val="24"/>
          <w:szCs w:val="24"/>
          <w:lang w:val="ro-MD"/>
        </w:rPr>
        <w:lastRenderedPageBreak/>
        <w:t>calitatea activități</w:t>
      </w:r>
      <w:r w:rsidR="00740FE9" w:rsidRPr="000C3704">
        <w:rPr>
          <w:rFonts w:ascii="Times New Roman" w:hAnsi="Times New Roman" w:cs="Times New Roman"/>
          <w:sz w:val="24"/>
          <w:szCs w:val="24"/>
          <w:lang w:val="ro-MD"/>
        </w:rPr>
        <w:t>lor</w:t>
      </w:r>
      <w:r w:rsidRPr="000C3704">
        <w:rPr>
          <w:rFonts w:ascii="Times New Roman" w:hAnsi="Times New Roman" w:cs="Times New Roman"/>
          <w:sz w:val="24"/>
          <w:szCs w:val="24"/>
          <w:lang w:val="ro-MD"/>
        </w:rPr>
        <w:t xml:space="preserve"> de formare profesională, de cercetare științifică și de prestare a serviciilor</w:t>
      </w:r>
      <w:r w:rsidR="00A370A3" w:rsidRPr="000C3704">
        <w:rPr>
          <w:rFonts w:ascii="Times New Roman" w:hAnsi="Times New Roman" w:cs="Times New Roman"/>
          <w:sz w:val="24"/>
          <w:szCs w:val="24"/>
          <w:lang w:val="ro-MD"/>
        </w:rPr>
        <w:t>,</w:t>
      </w:r>
      <w:r w:rsidRPr="000C3704">
        <w:rPr>
          <w:rFonts w:ascii="Times New Roman" w:hAnsi="Times New Roman" w:cs="Times New Roman"/>
          <w:sz w:val="24"/>
          <w:szCs w:val="24"/>
          <w:lang w:val="ro-MD"/>
        </w:rPr>
        <w:t xml:space="preserve"> pe care le desfășoară</w:t>
      </w:r>
      <w:r w:rsidR="00740FE9" w:rsidRPr="000C3704">
        <w:rPr>
          <w:rFonts w:ascii="Times New Roman" w:hAnsi="Times New Roman" w:cs="Times New Roman"/>
          <w:sz w:val="24"/>
          <w:szCs w:val="24"/>
          <w:lang w:val="ro-MD"/>
        </w:rPr>
        <w:t>,</w:t>
      </w:r>
      <w:r w:rsidRPr="000C3704">
        <w:rPr>
          <w:rFonts w:ascii="Times New Roman" w:hAnsi="Times New Roman" w:cs="Times New Roman"/>
          <w:sz w:val="24"/>
          <w:szCs w:val="24"/>
          <w:lang w:val="ro-MD"/>
        </w:rPr>
        <w:t xml:space="preserve"> gestion</w:t>
      </w:r>
      <w:r w:rsidR="00A370A3" w:rsidRPr="000C3704">
        <w:rPr>
          <w:rFonts w:ascii="Times New Roman" w:hAnsi="Times New Roman" w:cs="Times New Roman"/>
          <w:sz w:val="24"/>
          <w:szCs w:val="24"/>
          <w:lang w:val="ro-MD"/>
        </w:rPr>
        <w:t>ând</w:t>
      </w:r>
      <w:r w:rsidRPr="000C3704">
        <w:rPr>
          <w:rFonts w:ascii="Times New Roman" w:hAnsi="Times New Roman" w:cs="Times New Roman"/>
          <w:sz w:val="24"/>
          <w:szCs w:val="24"/>
          <w:lang w:val="ro-MD"/>
        </w:rPr>
        <w:t xml:space="preserve"> eficient mijloacel</w:t>
      </w:r>
      <w:r w:rsidR="00A370A3" w:rsidRPr="000C3704">
        <w:rPr>
          <w:rFonts w:ascii="Times New Roman" w:hAnsi="Times New Roman" w:cs="Times New Roman"/>
          <w:sz w:val="24"/>
          <w:szCs w:val="24"/>
          <w:lang w:val="ro-MD"/>
        </w:rPr>
        <w:t>e</w:t>
      </w:r>
      <w:r w:rsidRPr="000C3704">
        <w:rPr>
          <w:rFonts w:ascii="Times New Roman" w:hAnsi="Times New Roman" w:cs="Times New Roman"/>
          <w:sz w:val="24"/>
          <w:szCs w:val="24"/>
          <w:lang w:val="ro-MD"/>
        </w:rPr>
        <w:t xml:space="preserve"> bănești și patrimoniul statului.</w:t>
      </w:r>
    </w:p>
    <w:p w14:paraId="32D98030" w14:textId="0C306F3D" w:rsidR="008D011D" w:rsidRPr="000C3704" w:rsidRDefault="008D011D" w:rsidP="00AF7749">
      <w:pPr>
        <w:pStyle w:val="af3"/>
        <w:spacing w:after="0" w:line="276" w:lineRule="auto"/>
        <w:ind w:left="0" w:firstLine="709"/>
        <w:jc w:val="both"/>
        <w:rPr>
          <w:rFonts w:ascii="Times New Roman" w:eastAsia="Times New Roman" w:hAnsi="Times New Roman" w:cs="Times New Roman"/>
          <w:sz w:val="24"/>
          <w:szCs w:val="24"/>
          <w:lang w:val="ro-MD"/>
        </w:rPr>
      </w:pPr>
      <w:r w:rsidRPr="000C3704">
        <w:rPr>
          <w:rFonts w:ascii="Times New Roman" w:hAnsi="Times New Roman" w:cs="Times New Roman"/>
          <w:color w:val="000000" w:themeColor="text1"/>
          <w:sz w:val="24"/>
          <w:szCs w:val="24"/>
          <w:lang w:val="ro-MD"/>
        </w:rPr>
        <w:t xml:space="preserve">Patrimoniul gestionat de </w:t>
      </w:r>
      <w:r w:rsidRPr="000C3704">
        <w:rPr>
          <w:rFonts w:ascii="Times New Roman" w:eastAsia="Times New Roman" w:hAnsi="Times New Roman" w:cs="Times New Roman"/>
          <w:sz w:val="24"/>
          <w:szCs w:val="24"/>
          <w:lang w:val="ro-MD"/>
        </w:rPr>
        <w:t>UTM</w:t>
      </w:r>
      <w:r w:rsidRPr="000C3704">
        <w:rPr>
          <w:rFonts w:ascii="Times New Roman" w:hAnsi="Times New Roman" w:cs="Times New Roman"/>
          <w:color w:val="000000" w:themeColor="text1"/>
          <w:sz w:val="24"/>
          <w:szCs w:val="24"/>
          <w:lang w:val="ro-MD"/>
        </w:rPr>
        <w:t xml:space="preserve"> aparține în totalitate statului</w:t>
      </w:r>
      <w:r w:rsidR="00740FE9" w:rsidRPr="000C3704">
        <w:rPr>
          <w:rFonts w:ascii="Times New Roman" w:hAnsi="Times New Roman" w:cs="Times New Roman"/>
          <w:color w:val="000000" w:themeColor="text1"/>
          <w:sz w:val="24"/>
          <w:szCs w:val="24"/>
          <w:lang w:val="ro-MD"/>
        </w:rPr>
        <w:t>. V</w:t>
      </w:r>
      <w:r w:rsidRPr="000C3704">
        <w:rPr>
          <w:rFonts w:ascii="Times New Roman" w:hAnsi="Times New Roman" w:cs="Times New Roman"/>
          <w:color w:val="000000" w:themeColor="text1"/>
          <w:sz w:val="24"/>
          <w:szCs w:val="24"/>
          <w:lang w:val="ro-MD"/>
        </w:rPr>
        <w:t xml:space="preserve">aloarea </w:t>
      </w:r>
      <w:r w:rsidR="00740FE9" w:rsidRPr="000C3704">
        <w:rPr>
          <w:rFonts w:ascii="Times New Roman" w:hAnsi="Times New Roman" w:cs="Times New Roman"/>
          <w:color w:val="000000" w:themeColor="text1"/>
          <w:sz w:val="24"/>
          <w:szCs w:val="24"/>
          <w:lang w:val="ro-MD"/>
        </w:rPr>
        <w:t>acest</w:t>
      </w:r>
      <w:r w:rsidRPr="000C3704">
        <w:rPr>
          <w:rFonts w:ascii="Times New Roman" w:hAnsi="Times New Roman" w:cs="Times New Roman"/>
          <w:color w:val="000000" w:themeColor="text1"/>
          <w:sz w:val="24"/>
          <w:szCs w:val="24"/>
          <w:lang w:val="ro-MD"/>
        </w:rPr>
        <w:t xml:space="preserve">uia la finele anului 2022 </w:t>
      </w:r>
      <w:r w:rsidR="00846A08" w:rsidRPr="000C3704">
        <w:rPr>
          <w:rFonts w:ascii="Times New Roman" w:eastAsia="Times New Roman" w:hAnsi="Times New Roman" w:cs="Times New Roman"/>
          <w:sz w:val="24"/>
          <w:szCs w:val="24"/>
          <w:lang w:val="ro-MD"/>
        </w:rPr>
        <w:t>a constituit 1,</w:t>
      </w:r>
      <w:r w:rsidRPr="000C3704">
        <w:rPr>
          <w:rFonts w:ascii="Times New Roman" w:eastAsia="Times New Roman" w:hAnsi="Times New Roman" w:cs="Times New Roman"/>
          <w:sz w:val="24"/>
          <w:szCs w:val="24"/>
          <w:lang w:val="ro-MD"/>
        </w:rPr>
        <w:t xml:space="preserve">33 </w:t>
      </w:r>
      <w:proofErr w:type="spellStart"/>
      <w:r w:rsidRPr="000C3704">
        <w:rPr>
          <w:rFonts w:ascii="Times New Roman" w:eastAsia="Times New Roman" w:hAnsi="Times New Roman" w:cs="Times New Roman"/>
          <w:sz w:val="24"/>
          <w:szCs w:val="24"/>
          <w:lang w:val="ro-MD"/>
        </w:rPr>
        <w:t>ml</w:t>
      </w:r>
      <w:r w:rsidR="00AD7C7F" w:rsidRPr="000C3704">
        <w:rPr>
          <w:rFonts w:ascii="Times New Roman" w:eastAsia="Times New Roman" w:hAnsi="Times New Roman" w:cs="Times New Roman"/>
          <w:sz w:val="24"/>
          <w:szCs w:val="24"/>
          <w:lang w:val="ro-MD"/>
        </w:rPr>
        <w:t>r</w:t>
      </w:r>
      <w:r w:rsidR="00846A08" w:rsidRPr="000C3704">
        <w:rPr>
          <w:rFonts w:ascii="Times New Roman" w:eastAsia="Times New Roman" w:hAnsi="Times New Roman" w:cs="Times New Roman"/>
          <w:sz w:val="24"/>
          <w:szCs w:val="24"/>
          <w:lang w:val="ro-MD"/>
        </w:rPr>
        <w:t>d</w:t>
      </w:r>
      <w:proofErr w:type="spellEnd"/>
      <w:r w:rsidRPr="000C3704">
        <w:rPr>
          <w:rFonts w:ascii="Times New Roman" w:eastAsia="Times New Roman" w:hAnsi="Times New Roman" w:cs="Times New Roman"/>
          <w:sz w:val="24"/>
          <w:szCs w:val="24"/>
          <w:lang w:val="ro-MD"/>
        </w:rPr>
        <w:t xml:space="preserve">. lei, </w:t>
      </w:r>
      <w:r w:rsidR="00846A08" w:rsidRPr="000C3704">
        <w:rPr>
          <w:rFonts w:ascii="Times New Roman" w:eastAsia="Times New Roman" w:hAnsi="Times New Roman" w:cs="Times New Roman"/>
          <w:sz w:val="24"/>
          <w:szCs w:val="24"/>
          <w:lang w:val="ro-MD"/>
        </w:rPr>
        <w:t xml:space="preserve">majorându-se </w:t>
      </w:r>
      <w:r w:rsidR="00AF7749" w:rsidRPr="000C3704">
        <w:rPr>
          <w:rFonts w:ascii="Times New Roman" w:eastAsia="Times New Roman" w:hAnsi="Times New Roman" w:cs="Times New Roman"/>
          <w:sz w:val="24"/>
          <w:szCs w:val="24"/>
          <w:lang w:val="ro-MD"/>
        </w:rPr>
        <w:t>față de</w:t>
      </w:r>
      <w:r w:rsidR="00740FE9" w:rsidRPr="000C3704">
        <w:rPr>
          <w:rFonts w:ascii="Times New Roman" w:eastAsia="Times New Roman" w:hAnsi="Times New Roman" w:cs="Times New Roman"/>
          <w:sz w:val="24"/>
          <w:szCs w:val="24"/>
          <w:lang w:val="ro-MD"/>
        </w:rPr>
        <w:t xml:space="preserve"> </w:t>
      </w:r>
      <w:r w:rsidR="00AF7749" w:rsidRPr="000C3704">
        <w:rPr>
          <w:rFonts w:ascii="Times New Roman" w:eastAsia="Times New Roman" w:hAnsi="Times New Roman" w:cs="Times New Roman"/>
          <w:sz w:val="24"/>
          <w:szCs w:val="24"/>
          <w:lang w:val="ro-MD"/>
        </w:rPr>
        <w:t xml:space="preserve">anul precedent </w:t>
      </w:r>
      <w:r w:rsidRPr="000C3704">
        <w:rPr>
          <w:rFonts w:ascii="Times New Roman" w:eastAsia="Times New Roman" w:hAnsi="Times New Roman" w:cs="Times New Roman"/>
          <w:sz w:val="24"/>
          <w:szCs w:val="24"/>
          <w:lang w:val="ro-MD"/>
        </w:rPr>
        <w:t>cu 478,</w:t>
      </w:r>
      <w:r w:rsidR="00846A08" w:rsidRPr="000C3704">
        <w:rPr>
          <w:rFonts w:ascii="Times New Roman" w:eastAsia="Times New Roman" w:hAnsi="Times New Roman" w:cs="Times New Roman"/>
          <w:sz w:val="24"/>
          <w:szCs w:val="24"/>
          <w:lang w:val="ro-MD"/>
        </w:rPr>
        <w:t>2</w:t>
      </w:r>
      <w:r w:rsidRPr="000C3704">
        <w:rPr>
          <w:rFonts w:ascii="Times New Roman" w:eastAsia="Times New Roman" w:hAnsi="Times New Roman" w:cs="Times New Roman"/>
          <w:sz w:val="24"/>
          <w:szCs w:val="24"/>
          <w:lang w:val="ro-MD"/>
        </w:rPr>
        <w:t xml:space="preserve"> mil. </w:t>
      </w:r>
      <w:r w:rsidR="00AF7749" w:rsidRPr="000C3704">
        <w:rPr>
          <w:rFonts w:ascii="Times New Roman" w:eastAsia="Times New Roman" w:hAnsi="Times New Roman" w:cs="Times New Roman"/>
          <w:sz w:val="24"/>
          <w:szCs w:val="24"/>
          <w:lang w:val="ro-MD"/>
        </w:rPr>
        <w:t>lei</w:t>
      </w:r>
      <w:r w:rsidR="00846A08" w:rsidRPr="000C3704">
        <w:rPr>
          <w:rFonts w:ascii="Times New Roman" w:eastAsia="Times New Roman" w:hAnsi="Times New Roman" w:cs="Times New Roman"/>
          <w:sz w:val="24"/>
          <w:szCs w:val="24"/>
          <w:lang w:val="ro-MD"/>
        </w:rPr>
        <w:t>, datorită</w:t>
      </w:r>
      <w:r w:rsidRPr="000C3704">
        <w:rPr>
          <w:rFonts w:ascii="Times New Roman" w:eastAsia="Times New Roman" w:hAnsi="Times New Roman" w:cs="Times New Roman"/>
          <w:sz w:val="24"/>
          <w:szCs w:val="24"/>
          <w:lang w:val="ro-MD"/>
        </w:rPr>
        <w:t xml:space="preserve"> faptului că</w:t>
      </w:r>
      <w:r w:rsidR="00740FE9" w:rsidRPr="000C3704">
        <w:rPr>
          <w:rFonts w:ascii="Times New Roman" w:eastAsia="Times New Roman" w:hAnsi="Times New Roman" w:cs="Times New Roman"/>
          <w:sz w:val="24"/>
          <w:szCs w:val="24"/>
          <w:lang w:val="ro-MD"/>
        </w:rPr>
        <w:t>,</w:t>
      </w:r>
      <w:r w:rsidRPr="000C3704">
        <w:rPr>
          <w:rFonts w:ascii="Times New Roman" w:eastAsia="Times New Roman" w:hAnsi="Times New Roman" w:cs="Times New Roman"/>
          <w:sz w:val="24"/>
          <w:szCs w:val="24"/>
          <w:lang w:val="ro-MD"/>
        </w:rPr>
        <w:t xml:space="preserve"> în urma reorganizării instituțiilor din dome</w:t>
      </w:r>
      <w:r w:rsidR="00240F3C">
        <w:rPr>
          <w:rFonts w:ascii="Times New Roman" w:eastAsia="Times New Roman" w:hAnsi="Times New Roman" w:cs="Times New Roman"/>
          <w:sz w:val="24"/>
          <w:szCs w:val="24"/>
          <w:lang w:val="ro-MD"/>
        </w:rPr>
        <w:t>niul educației, cercetării și i</w:t>
      </w:r>
      <w:r w:rsidRPr="000C3704">
        <w:rPr>
          <w:rFonts w:ascii="Times New Roman" w:eastAsia="Times New Roman" w:hAnsi="Times New Roman" w:cs="Times New Roman"/>
          <w:sz w:val="24"/>
          <w:szCs w:val="24"/>
          <w:lang w:val="ro-MD"/>
        </w:rPr>
        <w:t>novări</w:t>
      </w:r>
      <w:r w:rsidR="00740FE9" w:rsidRPr="000C3704">
        <w:rPr>
          <w:rFonts w:ascii="Times New Roman" w:eastAsia="Times New Roman" w:hAnsi="Times New Roman" w:cs="Times New Roman"/>
          <w:sz w:val="24"/>
          <w:szCs w:val="24"/>
          <w:lang w:val="ro-MD"/>
        </w:rPr>
        <w:t>i,</w:t>
      </w:r>
      <w:r w:rsidRPr="000C3704">
        <w:rPr>
          <w:rFonts w:ascii="Times New Roman" w:eastAsia="Times New Roman" w:hAnsi="Times New Roman" w:cs="Times New Roman"/>
          <w:sz w:val="24"/>
          <w:szCs w:val="24"/>
          <w:lang w:val="ro-MD"/>
        </w:rPr>
        <w:t xml:space="preserve"> UTM a absorbit o instituție de învățământ ș</w:t>
      </w:r>
      <w:r w:rsidR="00846A08" w:rsidRPr="000C3704">
        <w:rPr>
          <w:rFonts w:ascii="Times New Roman" w:eastAsia="Times New Roman" w:hAnsi="Times New Roman" w:cs="Times New Roman"/>
          <w:sz w:val="24"/>
          <w:szCs w:val="24"/>
          <w:lang w:val="ro-MD"/>
        </w:rPr>
        <w:t>i trei institute de cercetare</w:t>
      </w:r>
      <w:r w:rsidRPr="000C3704">
        <w:rPr>
          <w:rFonts w:ascii="Times New Roman" w:eastAsia="Times New Roman" w:hAnsi="Times New Roman" w:cs="Times New Roman"/>
          <w:sz w:val="24"/>
          <w:szCs w:val="24"/>
          <w:lang w:val="ro-MD"/>
        </w:rPr>
        <w:t>.</w:t>
      </w:r>
    </w:p>
    <w:p w14:paraId="13933095" w14:textId="2CA009E3" w:rsidR="008C08B0" w:rsidRPr="000C3704" w:rsidRDefault="008D011D" w:rsidP="008D011D">
      <w:pPr>
        <w:pStyle w:val="af3"/>
        <w:spacing w:after="0" w:line="276" w:lineRule="auto"/>
        <w:ind w:left="0" w:firstLine="709"/>
        <w:jc w:val="both"/>
        <w:rPr>
          <w:rFonts w:ascii="Times New Roman" w:eastAsia="Times New Roman" w:hAnsi="Times New Roman" w:cs="Times New Roman"/>
          <w:sz w:val="24"/>
          <w:szCs w:val="24"/>
          <w:lang w:val="ro-MD"/>
        </w:rPr>
      </w:pPr>
      <w:r w:rsidRPr="000C3704">
        <w:rPr>
          <w:rFonts w:ascii="Times New Roman" w:eastAsia="Times New Roman" w:hAnsi="Times New Roman" w:cs="Times New Roman"/>
          <w:sz w:val="24"/>
          <w:szCs w:val="24"/>
          <w:lang w:val="ro-MD"/>
        </w:rPr>
        <w:t>Veniturile și cheltuielile înregistrate de UTM la finele anului 2022 au constituit 407,</w:t>
      </w:r>
      <w:r w:rsidR="00AF7749" w:rsidRPr="000C3704">
        <w:rPr>
          <w:rFonts w:ascii="Times New Roman" w:eastAsia="Times New Roman" w:hAnsi="Times New Roman" w:cs="Times New Roman"/>
          <w:sz w:val="24"/>
          <w:szCs w:val="24"/>
          <w:lang w:val="ro-MD"/>
        </w:rPr>
        <w:t>2</w:t>
      </w:r>
      <w:r w:rsidRPr="000C3704">
        <w:rPr>
          <w:rFonts w:ascii="Times New Roman" w:eastAsia="Times New Roman" w:hAnsi="Times New Roman" w:cs="Times New Roman"/>
          <w:sz w:val="24"/>
          <w:szCs w:val="24"/>
          <w:lang w:val="ro-MD"/>
        </w:rPr>
        <w:t xml:space="preserve"> mil. lei și</w:t>
      </w:r>
      <w:r w:rsidR="009B5040" w:rsidRPr="000C3704">
        <w:rPr>
          <w:rFonts w:ascii="Times New Roman" w:eastAsia="Times New Roman" w:hAnsi="Times New Roman" w:cs="Times New Roman"/>
          <w:sz w:val="24"/>
          <w:szCs w:val="24"/>
          <w:lang w:val="ro-MD"/>
        </w:rPr>
        <w:t>,</w:t>
      </w:r>
      <w:r w:rsidRPr="000C3704">
        <w:rPr>
          <w:rFonts w:ascii="Times New Roman" w:eastAsia="Times New Roman" w:hAnsi="Times New Roman" w:cs="Times New Roman"/>
          <w:sz w:val="24"/>
          <w:szCs w:val="24"/>
          <w:lang w:val="ro-MD"/>
        </w:rPr>
        <w:t xml:space="preserve"> respectiv</w:t>
      </w:r>
      <w:r w:rsidR="009B5040" w:rsidRPr="000C3704">
        <w:rPr>
          <w:rFonts w:ascii="Times New Roman" w:eastAsia="Times New Roman" w:hAnsi="Times New Roman" w:cs="Times New Roman"/>
          <w:sz w:val="24"/>
          <w:szCs w:val="24"/>
          <w:lang w:val="ro-MD"/>
        </w:rPr>
        <w:t>,</w:t>
      </w:r>
      <w:r w:rsidRPr="000C3704">
        <w:rPr>
          <w:rFonts w:ascii="Times New Roman" w:eastAsia="Times New Roman" w:hAnsi="Times New Roman" w:cs="Times New Roman"/>
          <w:sz w:val="24"/>
          <w:szCs w:val="24"/>
          <w:lang w:val="ro-MD"/>
        </w:rPr>
        <w:t xml:space="preserve"> 415,4 mil. lei. Ponderea cea mai mare</w:t>
      </w:r>
      <w:r w:rsidR="007722B9" w:rsidRPr="000C3704">
        <w:rPr>
          <w:rFonts w:ascii="Times New Roman" w:eastAsia="Times New Roman" w:hAnsi="Times New Roman" w:cs="Times New Roman"/>
          <w:sz w:val="24"/>
          <w:szCs w:val="24"/>
          <w:lang w:val="ro-MD"/>
        </w:rPr>
        <w:t xml:space="preserve"> </w:t>
      </w:r>
      <w:r w:rsidRPr="000C3704">
        <w:rPr>
          <w:rFonts w:ascii="Times New Roman" w:eastAsia="Times New Roman" w:hAnsi="Times New Roman" w:cs="Times New Roman"/>
          <w:sz w:val="24"/>
          <w:szCs w:val="24"/>
          <w:lang w:val="ro-MD"/>
        </w:rPr>
        <w:t xml:space="preserve">în componența veniturilor UTM </w:t>
      </w:r>
      <w:r w:rsidR="00AD7C7F" w:rsidRPr="000C3704">
        <w:rPr>
          <w:rFonts w:ascii="Times New Roman" w:eastAsia="Times New Roman" w:hAnsi="Times New Roman" w:cs="Times New Roman"/>
          <w:sz w:val="24"/>
          <w:szCs w:val="24"/>
          <w:lang w:val="ro-MD"/>
        </w:rPr>
        <w:t xml:space="preserve"> o dețin </w:t>
      </w:r>
      <w:r w:rsidRPr="000C3704">
        <w:rPr>
          <w:rFonts w:ascii="Times New Roman" w:eastAsia="Times New Roman" w:hAnsi="Times New Roman" w:cs="Times New Roman"/>
          <w:sz w:val="24"/>
          <w:szCs w:val="24"/>
          <w:lang w:val="ro-MD"/>
        </w:rPr>
        <w:t xml:space="preserve"> alocațiil</w:t>
      </w:r>
      <w:r w:rsidR="00AD7C7F" w:rsidRPr="000C3704">
        <w:rPr>
          <w:rFonts w:ascii="Times New Roman" w:eastAsia="Times New Roman" w:hAnsi="Times New Roman" w:cs="Times New Roman"/>
          <w:sz w:val="24"/>
          <w:szCs w:val="24"/>
          <w:lang w:val="ro-MD"/>
        </w:rPr>
        <w:t>e</w:t>
      </w:r>
      <w:r w:rsidRPr="000C3704">
        <w:rPr>
          <w:rFonts w:ascii="Times New Roman" w:eastAsia="Times New Roman" w:hAnsi="Times New Roman" w:cs="Times New Roman"/>
          <w:sz w:val="24"/>
          <w:szCs w:val="24"/>
          <w:lang w:val="ro-MD"/>
        </w:rPr>
        <w:t xml:space="preserve"> bugetare pentru prestarea serviciilor educaționale și întreținerea căminelor</w:t>
      </w:r>
      <w:r w:rsidR="00AD7C7F" w:rsidRPr="000C3704">
        <w:rPr>
          <w:rFonts w:ascii="Times New Roman" w:eastAsia="Times New Roman" w:hAnsi="Times New Roman" w:cs="Times New Roman"/>
          <w:sz w:val="24"/>
          <w:szCs w:val="24"/>
          <w:lang w:val="ro-MD"/>
        </w:rPr>
        <w:t xml:space="preserve"> (53,2%)</w:t>
      </w:r>
      <w:r w:rsidR="009B5040" w:rsidRPr="000C3704">
        <w:rPr>
          <w:rFonts w:ascii="Times New Roman" w:eastAsia="Times New Roman" w:hAnsi="Times New Roman" w:cs="Times New Roman"/>
          <w:sz w:val="24"/>
          <w:szCs w:val="24"/>
          <w:lang w:val="ro-MD"/>
        </w:rPr>
        <w:t>,</w:t>
      </w:r>
      <w:r w:rsidRPr="000C3704">
        <w:rPr>
          <w:rFonts w:ascii="Times New Roman" w:eastAsia="Times New Roman" w:hAnsi="Times New Roman" w:cs="Times New Roman"/>
          <w:sz w:val="24"/>
          <w:szCs w:val="24"/>
          <w:lang w:val="ro-MD"/>
        </w:rPr>
        <w:t xml:space="preserve"> </w:t>
      </w:r>
      <w:r w:rsidR="009C6766" w:rsidRPr="000C3704">
        <w:rPr>
          <w:rFonts w:ascii="Times New Roman" w:eastAsia="Times New Roman" w:hAnsi="Times New Roman" w:cs="Times New Roman"/>
          <w:sz w:val="24"/>
          <w:szCs w:val="24"/>
          <w:lang w:val="ro-MD"/>
        </w:rPr>
        <w:t xml:space="preserve">iar  </w:t>
      </w:r>
      <w:r w:rsidRPr="000C3704">
        <w:rPr>
          <w:rFonts w:ascii="Times New Roman" w:eastAsia="Times New Roman" w:hAnsi="Times New Roman" w:cs="Times New Roman"/>
          <w:sz w:val="24"/>
          <w:szCs w:val="24"/>
          <w:lang w:val="ro-MD"/>
        </w:rPr>
        <w:t xml:space="preserve">în componența cheltuielilor UTM </w:t>
      </w:r>
      <w:r w:rsidR="009C6766" w:rsidRPr="000C3704">
        <w:rPr>
          <w:rFonts w:ascii="Times New Roman" w:eastAsia="Times New Roman" w:hAnsi="Times New Roman" w:cs="Times New Roman"/>
          <w:sz w:val="24"/>
          <w:szCs w:val="24"/>
          <w:lang w:val="ro-MD"/>
        </w:rPr>
        <w:t xml:space="preserve">- </w:t>
      </w:r>
      <w:r w:rsidRPr="000C3704">
        <w:rPr>
          <w:rFonts w:ascii="Times New Roman" w:eastAsia="Times New Roman" w:hAnsi="Times New Roman" w:cs="Times New Roman"/>
          <w:sz w:val="24"/>
          <w:szCs w:val="24"/>
          <w:lang w:val="ro-MD"/>
        </w:rPr>
        <w:t>cheltuielil</w:t>
      </w:r>
      <w:r w:rsidR="00AD7C7F" w:rsidRPr="000C3704">
        <w:rPr>
          <w:rFonts w:ascii="Times New Roman" w:eastAsia="Times New Roman" w:hAnsi="Times New Roman" w:cs="Times New Roman"/>
          <w:sz w:val="24"/>
          <w:szCs w:val="24"/>
          <w:lang w:val="ro-MD"/>
        </w:rPr>
        <w:t>e</w:t>
      </w:r>
      <w:r w:rsidRPr="000C3704">
        <w:rPr>
          <w:rFonts w:ascii="Times New Roman" w:eastAsia="Times New Roman" w:hAnsi="Times New Roman" w:cs="Times New Roman"/>
          <w:sz w:val="24"/>
          <w:szCs w:val="24"/>
          <w:lang w:val="ro-MD"/>
        </w:rPr>
        <w:t xml:space="preserve"> privind retribuirea muncii</w:t>
      </w:r>
      <w:r w:rsidR="00AD7C7F" w:rsidRPr="000C3704">
        <w:rPr>
          <w:rFonts w:ascii="Times New Roman" w:eastAsia="Times New Roman" w:hAnsi="Times New Roman" w:cs="Times New Roman"/>
          <w:sz w:val="24"/>
          <w:szCs w:val="24"/>
          <w:lang w:val="ro-MD"/>
        </w:rPr>
        <w:t xml:space="preserve"> (</w:t>
      </w:r>
      <w:r w:rsidR="009C6766" w:rsidRPr="000C3704">
        <w:rPr>
          <w:rFonts w:ascii="Times New Roman" w:eastAsia="Times New Roman" w:hAnsi="Times New Roman" w:cs="Times New Roman"/>
          <w:sz w:val="24"/>
          <w:szCs w:val="24"/>
          <w:lang w:val="ro-MD"/>
        </w:rPr>
        <w:t>52,6%</w:t>
      </w:r>
      <w:r w:rsidR="00AD7C7F" w:rsidRPr="000C3704">
        <w:rPr>
          <w:rFonts w:ascii="Times New Roman" w:eastAsia="Times New Roman" w:hAnsi="Times New Roman" w:cs="Times New Roman"/>
          <w:sz w:val="24"/>
          <w:szCs w:val="24"/>
          <w:lang w:val="ro-MD"/>
        </w:rPr>
        <w:t>)</w:t>
      </w:r>
      <w:r w:rsidRPr="000C3704">
        <w:rPr>
          <w:rFonts w:ascii="Times New Roman" w:eastAsia="Times New Roman" w:hAnsi="Times New Roman" w:cs="Times New Roman"/>
          <w:sz w:val="24"/>
          <w:szCs w:val="24"/>
          <w:lang w:val="ro-MD"/>
        </w:rPr>
        <w:t>.</w:t>
      </w:r>
    </w:p>
    <w:p w14:paraId="5733B1BB" w14:textId="08E8D3A4" w:rsidR="00AE0F31" w:rsidRPr="000C3704" w:rsidRDefault="00AE0F31" w:rsidP="002F0335">
      <w:pPr>
        <w:pStyle w:val="af3"/>
        <w:spacing w:after="0" w:line="276" w:lineRule="auto"/>
        <w:ind w:left="0" w:firstLine="709"/>
        <w:jc w:val="both"/>
        <w:rPr>
          <w:rFonts w:ascii="Times New Roman" w:eastAsia="Times New Roman" w:hAnsi="Times New Roman" w:cs="Times New Roman"/>
          <w:sz w:val="24"/>
          <w:szCs w:val="24"/>
          <w:lang w:val="ro-MD"/>
        </w:rPr>
      </w:pPr>
      <w:r w:rsidRPr="000C3704">
        <w:rPr>
          <w:rFonts w:asciiTheme="majorBidi" w:hAnsiTheme="majorBidi" w:cstheme="majorBidi"/>
          <w:sz w:val="24"/>
          <w:szCs w:val="24"/>
          <w:lang w:val="ro-MD"/>
        </w:rPr>
        <w:t>Evalu</w:t>
      </w:r>
      <w:r w:rsidR="00A370A3" w:rsidRPr="000C3704">
        <w:rPr>
          <w:rFonts w:asciiTheme="majorBidi" w:hAnsiTheme="majorBidi" w:cstheme="majorBidi"/>
          <w:sz w:val="24"/>
          <w:szCs w:val="24"/>
          <w:lang w:val="ro-MD"/>
        </w:rPr>
        <w:t>area</w:t>
      </w:r>
      <w:r w:rsidRPr="000C3704">
        <w:rPr>
          <w:rFonts w:asciiTheme="majorBidi" w:hAnsiTheme="majorBidi" w:cstheme="majorBidi"/>
          <w:sz w:val="24"/>
          <w:szCs w:val="24"/>
          <w:lang w:val="ro-MD"/>
        </w:rPr>
        <w:t xml:space="preserve"> conformit</w:t>
      </w:r>
      <w:r w:rsidR="00A370A3" w:rsidRPr="000C3704">
        <w:rPr>
          <w:rFonts w:asciiTheme="majorBidi" w:hAnsiTheme="majorBidi" w:cstheme="majorBidi"/>
          <w:sz w:val="24"/>
          <w:szCs w:val="24"/>
          <w:lang w:val="ro-MD"/>
        </w:rPr>
        <w:t xml:space="preserve">ății </w:t>
      </w:r>
      <w:r w:rsidRPr="000C3704">
        <w:rPr>
          <w:rFonts w:asciiTheme="majorBidi" w:hAnsiTheme="majorBidi" w:cstheme="majorBidi"/>
          <w:sz w:val="24"/>
          <w:szCs w:val="24"/>
          <w:lang w:val="ro-MD"/>
        </w:rPr>
        <w:t>gestionării patrimoniului public și a resurselor financiare de către UTM</w:t>
      </w:r>
      <w:r w:rsidR="00A370A3" w:rsidRPr="000C3704">
        <w:rPr>
          <w:rFonts w:asciiTheme="majorBidi" w:hAnsiTheme="majorBidi" w:cstheme="majorBidi"/>
          <w:iCs/>
          <w:sz w:val="24"/>
          <w:szCs w:val="24"/>
          <w:lang w:val="ro-MD"/>
        </w:rPr>
        <w:t xml:space="preserve"> </w:t>
      </w:r>
      <w:r w:rsidR="009B5040" w:rsidRPr="000C3704">
        <w:rPr>
          <w:rFonts w:asciiTheme="majorBidi" w:hAnsiTheme="majorBidi" w:cstheme="majorBidi"/>
          <w:iCs/>
          <w:sz w:val="24"/>
          <w:szCs w:val="24"/>
          <w:lang w:val="ro-MD"/>
        </w:rPr>
        <w:t>relevă</w:t>
      </w:r>
      <w:r w:rsidR="00097BA2" w:rsidRPr="000C3704">
        <w:rPr>
          <w:rFonts w:asciiTheme="majorBidi" w:hAnsiTheme="majorBidi" w:cstheme="majorBidi"/>
          <w:iCs/>
          <w:sz w:val="24"/>
          <w:szCs w:val="24"/>
          <w:lang w:val="ro-MD"/>
        </w:rPr>
        <w:t xml:space="preserve"> că autoritățile publice centrale și instituția </w:t>
      </w:r>
      <w:r w:rsidR="003C3367" w:rsidRPr="000C3704">
        <w:rPr>
          <w:rFonts w:asciiTheme="majorBidi" w:hAnsiTheme="majorBidi" w:cstheme="majorBidi"/>
          <w:iCs/>
          <w:sz w:val="24"/>
          <w:szCs w:val="24"/>
          <w:lang w:val="ro-MD"/>
        </w:rPr>
        <w:t xml:space="preserve">de învățământ nu au manifestat </w:t>
      </w:r>
      <w:r w:rsidR="00097BA2" w:rsidRPr="000C3704">
        <w:rPr>
          <w:rFonts w:asciiTheme="majorBidi" w:hAnsiTheme="majorBidi" w:cstheme="majorBidi"/>
          <w:iCs/>
          <w:sz w:val="24"/>
          <w:szCs w:val="24"/>
          <w:lang w:val="ro-MD"/>
        </w:rPr>
        <w:t xml:space="preserve">responsabilitatea corespunzătoare în procesul gestionării conforme a patrimoniului public și a resurselor financiare, situație condiționată inclusiv de comunicarea intersectorială fragmentată, de </w:t>
      </w:r>
      <w:r w:rsidR="002F0335" w:rsidRPr="000C3704">
        <w:rPr>
          <w:rFonts w:asciiTheme="majorBidi" w:hAnsiTheme="majorBidi" w:cstheme="majorBidi"/>
          <w:iCs/>
          <w:sz w:val="24"/>
          <w:szCs w:val="24"/>
          <w:lang w:val="ro-MD"/>
        </w:rPr>
        <w:t>vidul</w:t>
      </w:r>
      <w:r w:rsidR="00097BA2" w:rsidRPr="000C3704">
        <w:rPr>
          <w:rFonts w:asciiTheme="majorBidi" w:hAnsiTheme="majorBidi" w:cstheme="majorBidi"/>
          <w:iCs/>
          <w:sz w:val="24"/>
          <w:szCs w:val="24"/>
          <w:lang w:val="ro-MD"/>
        </w:rPr>
        <w:t xml:space="preserve"> normativ </w:t>
      </w:r>
      <w:r w:rsidR="002F0335" w:rsidRPr="000C3704">
        <w:rPr>
          <w:rFonts w:asciiTheme="majorBidi" w:hAnsiTheme="majorBidi" w:cstheme="majorBidi"/>
          <w:iCs/>
          <w:sz w:val="24"/>
          <w:szCs w:val="24"/>
          <w:lang w:val="ro-MD"/>
        </w:rPr>
        <w:t>de reglementare</w:t>
      </w:r>
      <w:r w:rsidR="009B5040" w:rsidRPr="000C3704">
        <w:rPr>
          <w:rFonts w:asciiTheme="majorBidi" w:hAnsiTheme="majorBidi" w:cstheme="majorBidi"/>
          <w:iCs/>
          <w:sz w:val="24"/>
          <w:szCs w:val="24"/>
          <w:lang w:val="ro-MD"/>
        </w:rPr>
        <w:t>, precum</w:t>
      </w:r>
      <w:r w:rsidR="00097BA2" w:rsidRPr="000C3704">
        <w:rPr>
          <w:rFonts w:asciiTheme="majorBidi" w:hAnsiTheme="majorBidi" w:cstheme="majorBidi"/>
          <w:iCs/>
          <w:sz w:val="24"/>
          <w:szCs w:val="24"/>
          <w:lang w:val="ro-MD"/>
        </w:rPr>
        <w:t xml:space="preserve"> și de insuficiența controalelor interne. Astfel, în cadrul acest</w:t>
      </w:r>
      <w:r w:rsidR="00A370A3" w:rsidRPr="000C3704">
        <w:rPr>
          <w:rFonts w:asciiTheme="majorBidi" w:hAnsiTheme="majorBidi" w:cstheme="majorBidi"/>
          <w:iCs/>
          <w:sz w:val="24"/>
          <w:szCs w:val="24"/>
          <w:lang w:val="ro-MD"/>
        </w:rPr>
        <w:t>ui</w:t>
      </w:r>
      <w:r w:rsidR="00097BA2" w:rsidRPr="000C3704">
        <w:rPr>
          <w:rFonts w:asciiTheme="majorBidi" w:hAnsiTheme="majorBidi" w:cstheme="majorBidi"/>
          <w:iCs/>
          <w:sz w:val="24"/>
          <w:szCs w:val="24"/>
          <w:lang w:val="ro-MD"/>
        </w:rPr>
        <w:t xml:space="preserve"> proces au fost constatate deficiențe, vulnerabilități și neconformități, </w:t>
      </w:r>
      <w:r w:rsidR="00060118" w:rsidRPr="000C3704">
        <w:rPr>
          <w:rFonts w:asciiTheme="majorBidi" w:hAnsiTheme="majorBidi" w:cstheme="majorBidi"/>
          <w:iCs/>
          <w:sz w:val="24"/>
          <w:szCs w:val="24"/>
          <w:lang w:val="ro-MD"/>
        </w:rPr>
        <w:t>exprimate prin următoarele</w:t>
      </w:r>
      <w:r w:rsidR="00097BA2" w:rsidRPr="000C3704">
        <w:rPr>
          <w:rFonts w:asciiTheme="majorBidi" w:hAnsiTheme="majorBidi" w:cstheme="majorBidi"/>
          <w:iCs/>
          <w:sz w:val="24"/>
          <w:szCs w:val="24"/>
          <w:lang w:val="ro-MD"/>
        </w:rPr>
        <w:t>:</w:t>
      </w:r>
    </w:p>
    <w:p w14:paraId="43A40B3C" w14:textId="670BDE51" w:rsidR="00B01E59" w:rsidRPr="000C3704" w:rsidRDefault="00B01E59" w:rsidP="00005216">
      <w:pPr>
        <w:numPr>
          <w:ilvl w:val="0"/>
          <w:numId w:val="1"/>
        </w:numPr>
        <w:tabs>
          <w:tab w:val="left" w:pos="993"/>
        </w:tabs>
        <w:spacing w:after="0" w:line="259" w:lineRule="auto"/>
        <w:ind w:left="0" w:firstLine="709"/>
        <w:contextualSpacing/>
        <w:jc w:val="both"/>
        <w:rPr>
          <w:rFonts w:ascii="Times New Roman" w:hAnsi="Times New Roman" w:cs="Times New Roman"/>
          <w:sz w:val="24"/>
          <w:szCs w:val="24"/>
          <w:lang w:val="ro-MD"/>
        </w:rPr>
      </w:pPr>
      <w:r w:rsidRPr="000C3704">
        <w:rPr>
          <w:rFonts w:ascii="Times New Roman" w:hAnsi="Times New Roman" w:cs="Times New Roman"/>
          <w:sz w:val="24"/>
          <w:szCs w:val="24"/>
          <w:lang w:val="ro-MD"/>
        </w:rPr>
        <w:t xml:space="preserve">lipsa planului anual privind </w:t>
      </w:r>
      <w:r w:rsidRPr="000C3704">
        <w:rPr>
          <w:rFonts w:ascii="Times New Roman" w:hAnsi="Times New Roman" w:cs="Times New Roman"/>
          <w:spacing w:val="-2"/>
          <w:sz w:val="24"/>
          <w:szCs w:val="24"/>
          <w:shd w:val="clear" w:color="auto" w:fill="FFFFFF"/>
          <w:lang w:val="ro-MD"/>
        </w:rPr>
        <w:t>pregătirea cadrelor de specialitate pe bază de contract</w:t>
      </w:r>
      <w:r w:rsidR="00060118" w:rsidRPr="000C3704">
        <w:rPr>
          <w:rFonts w:ascii="Times New Roman" w:hAnsi="Times New Roman" w:cs="Times New Roman"/>
          <w:spacing w:val="-2"/>
          <w:sz w:val="24"/>
          <w:szCs w:val="24"/>
          <w:shd w:val="clear" w:color="auto" w:fill="FFFFFF"/>
          <w:lang w:val="ro-MD"/>
        </w:rPr>
        <w:t xml:space="preserve"> </w:t>
      </w:r>
      <w:r w:rsidR="002E5A49" w:rsidRPr="000C3704">
        <w:rPr>
          <w:rFonts w:ascii="Times New Roman" w:hAnsi="Times New Roman" w:cs="Times New Roman"/>
          <w:sz w:val="24"/>
          <w:szCs w:val="24"/>
          <w:lang w:val="ro-MD"/>
        </w:rPr>
        <w:t xml:space="preserve"> </w:t>
      </w:r>
      <w:r w:rsidR="00FE23F4" w:rsidRPr="000C3704">
        <w:rPr>
          <w:rFonts w:ascii="Times New Roman" w:hAnsi="Times New Roman" w:cs="Times New Roman"/>
          <w:sz w:val="24"/>
          <w:szCs w:val="24"/>
          <w:lang w:val="ro-MD"/>
        </w:rPr>
        <w:t xml:space="preserve"> </w:t>
      </w:r>
      <w:r w:rsidRPr="000C3704">
        <w:rPr>
          <w:rFonts w:ascii="Times New Roman" w:hAnsi="Times New Roman" w:cs="Times New Roman"/>
          <w:sz w:val="24"/>
          <w:szCs w:val="24"/>
          <w:lang w:val="ro-MD"/>
        </w:rPr>
        <w:t>influențează asupra planificări</w:t>
      </w:r>
      <w:r w:rsidR="00FE23F4" w:rsidRPr="000C3704">
        <w:rPr>
          <w:rFonts w:ascii="Times New Roman" w:hAnsi="Times New Roman" w:cs="Times New Roman"/>
          <w:sz w:val="24"/>
          <w:szCs w:val="24"/>
          <w:lang w:val="ro-MD"/>
        </w:rPr>
        <w:t>i</w:t>
      </w:r>
      <w:r w:rsidRPr="000C3704">
        <w:rPr>
          <w:rFonts w:ascii="Times New Roman" w:hAnsi="Times New Roman" w:cs="Times New Roman"/>
          <w:sz w:val="24"/>
          <w:szCs w:val="24"/>
          <w:lang w:val="ro-MD"/>
        </w:rPr>
        <w:t xml:space="preserve"> adecvate a veniturilor UTM, gener</w:t>
      </w:r>
      <w:r w:rsidR="00FE23F4" w:rsidRPr="000C3704">
        <w:rPr>
          <w:rFonts w:ascii="Times New Roman" w:hAnsi="Times New Roman" w:cs="Times New Roman"/>
          <w:sz w:val="24"/>
          <w:szCs w:val="24"/>
          <w:lang w:val="ro-MD"/>
        </w:rPr>
        <w:t>ând</w:t>
      </w:r>
      <w:r w:rsidRPr="000C3704">
        <w:rPr>
          <w:rFonts w:ascii="Times New Roman" w:hAnsi="Times New Roman" w:cs="Times New Roman"/>
          <w:sz w:val="24"/>
          <w:szCs w:val="24"/>
          <w:lang w:val="ro-MD"/>
        </w:rPr>
        <w:t xml:space="preserve"> subestimarea acestora și</w:t>
      </w:r>
      <w:r w:rsidR="00005216" w:rsidRPr="000C3704">
        <w:rPr>
          <w:rFonts w:ascii="Times New Roman" w:hAnsi="Times New Roman" w:cs="Times New Roman"/>
          <w:sz w:val="24"/>
          <w:szCs w:val="24"/>
          <w:lang w:val="ro-MD"/>
        </w:rPr>
        <w:t xml:space="preserve"> aprobarea bugetului </w:t>
      </w:r>
      <w:r w:rsidR="004775AE" w:rsidRPr="000C3704">
        <w:rPr>
          <w:rFonts w:ascii="Times New Roman" w:hAnsi="Times New Roman" w:cs="Times New Roman"/>
          <w:sz w:val="24"/>
          <w:szCs w:val="24"/>
          <w:lang w:val="ro-MD"/>
        </w:rPr>
        <w:t>pentru anii 2021 și 2022</w:t>
      </w:r>
      <w:r w:rsidR="00614045" w:rsidRPr="000C3704">
        <w:rPr>
          <w:rFonts w:ascii="Times New Roman" w:hAnsi="Times New Roman" w:cs="Times New Roman"/>
          <w:sz w:val="24"/>
          <w:szCs w:val="24"/>
          <w:lang w:val="ro-MD"/>
        </w:rPr>
        <w:t xml:space="preserve"> </w:t>
      </w:r>
      <w:r w:rsidR="00005216" w:rsidRPr="000C3704">
        <w:rPr>
          <w:rFonts w:ascii="Times New Roman" w:hAnsi="Times New Roman" w:cs="Times New Roman"/>
          <w:sz w:val="24"/>
          <w:szCs w:val="24"/>
          <w:lang w:val="ro-MD"/>
        </w:rPr>
        <w:t>cu deficit</w:t>
      </w:r>
      <w:r w:rsidR="00614045" w:rsidRPr="000C3704">
        <w:rPr>
          <w:rFonts w:ascii="Times New Roman" w:hAnsi="Times New Roman" w:cs="Times New Roman"/>
          <w:sz w:val="24"/>
          <w:szCs w:val="24"/>
          <w:lang w:val="ro-MD"/>
        </w:rPr>
        <w:t xml:space="preserve"> în sumă de 12,8 mil. lei și</w:t>
      </w:r>
      <w:r w:rsidR="00A370A3" w:rsidRPr="000C3704">
        <w:rPr>
          <w:rFonts w:ascii="Times New Roman" w:hAnsi="Times New Roman" w:cs="Times New Roman"/>
          <w:sz w:val="24"/>
          <w:szCs w:val="24"/>
          <w:lang w:val="ro-MD"/>
        </w:rPr>
        <w:t>,</w:t>
      </w:r>
      <w:r w:rsidR="00614045" w:rsidRPr="000C3704">
        <w:rPr>
          <w:rFonts w:ascii="Times New Roman" w:hAnsi="Times New Roman" w:cs="Times New Roman"/>
          <w:sz w:val="24"/>
          <w:szCs w:val="24"/>
          <w:lang w:val="ro-MD"/>
        </w:rPr>
        <w:t xml:space="preserve"> respectiv</w:t>
      </w:r>
      <w:r w:rsidR="00A370A3" w:rsidRPr="000C3704">
        <w:rPr>
          <w:rFonts w:ascii="Times New Roman" w:hAnsi="Times New Roman" w:cs="Times New Roman"/>
          <w:sz w:val="24"/>
          <w:szCs w:val="24"/>
          <w:lang w:val="ro-MD"/>
        </w:rPr>
        <w:t>,</w:t>
      </w:r>
      <w:r w:rsidR="00614045" w:rsidRPr="000C3704">
        <w:rPr>
          <w:rFonts w:ascii="Times New Roman" w:hAnsi="Times New Roman" w:cs="Times New Roman"/>
          <w:sz w:val="24"/>
          <w:szCs w:val="24"/>
          <w:lang w:val="ro-MD"/>
        </w:rPr>
        <w:t xml:space="preserve"> </w:t>
      </w:r>
      <w:r w:rsidR="00902D84" w:rsidRPr="000C3704">
        <w:rPr>
          <w:rFonts w:ascii="Times New Roman" w:hAnsi="Times New Roman" w:cs="Times New Roman"/>
          <w:sz w:val="24"/>
          <w:szCs w:val="24"/>
          <w:lang w:val="ro-MD"/>
        </w:rPr>
        <w:t xml:space="preserve">de </w:t>
      </w:r>
      <w:r w:rsidR="00614045" w:rsidRPr="000C3704">
        <w:rPr>
          <w:rFonts w:ascii="Times New Roman" w:hAnsi="Times New Roman" w:cs="Times New Roman"/>
          <w:sz w:val="24"/>
          <w:szCs w:val="24"/>
          <w:lang w:val="ro-MD"/>
        </w:rPr>
        <w:t>22,6 mil. lei</w:t>
      </w:r>
      <w:r w:rsidRPr="000C3704">
        <w:rPr>
          <w:rFonts w:ascii="Times New Roman" w:hAnsi="Times New Roman" w:cs="Times New Roman"/>
          <w:sz w:val="24"/>
          <w:szCs w:val="24"/>
          <w:lang w:val="ro-MD"/>
        </w:rPr>
        <w:t>;</w:t>
      </w:r>
    </w:p>
    <w:p w14:paraId="074FE52D" w14:textId="7DE07D5A" w:rsidR="00B01E59" w:rsidRPr="000C3704" w:rsidRDefault="00B01E59" w:rsidP="00D42948">
      <w:pPr>
        <w:numPr>
          <w:ilvl w:val="0"/>
          <w:numId w:val="1"/>
        </w:numPr>
        <w:tabs>
          <w:tab w:val="left" w:pos="993"/>
        </w:tabs>
        <w:spacing w:after="0" w:line="259" w:lineRule="auto"/>
        <w:ind w:left="0" w:firstLine="709"/>
        <w:contextualSpacing/>
        <w:jc w:val="both"/>
        <w:rPr>
          <w:rFonts w:asciiTheme="majorBidi" w:hAnsiTheme="majorBidi" w:cstheme="majorBidi"/>
          <w:sz w:val="24"/>
          <w:szCs w:val="24"/>
          <w:lang w:val="ro-MD"/>
        </w:rPr>
      </w:pPr>
      <w:r w:rsidRPr="000C3704">
        <w:rPr>
          <w:rFonts w:ascii="Times New Roman" w:hAnsi="Times New Roman" w:cs="Times New Roman"/>
          <w:sz w:val="24"/>
          <w:szCs w:val="24"/>
          <w:lang w:val="ro-MD"/>
        </w:rPr>
        <w:t>nerespectarea prevederilor cadrului normativ la stabilirea taxelor de studii</w:t>
      </w:r>
      <w:r w:rsidR="00060118" w:rsidRPr="000C3704">
        <w:rPr>
          <w:rFonts w:ascii="Times New Roman" w:hAnsi="Times New Roman" w:cs="Times New Roman"/>
          <w:sz w:val="24"/>
          <w:szCs w:val="24"/>
          <w:lang w:val="ro-MD"/>
        </w:rPr>
        <w:t xml:space="preserve"> </w:t>
      </w:r>
      <w:r w:rsidRPr="000C3704">
        <w:rPr>
          <w:rFonts w:ascii="Times New Roman" w:hAnsi="Times New Roman" w:cs="Times New Roman"/>
          <w:sz w:val="24"/>
          <w:szCs w:val="24"/>
          <w:lang w:val="ro-MD"/>
        </w:rPr>
        <w:t xml:space="preserve">a </w:t>
      </w:r>
      <w:r w:rsidR="00FE23F4" w:rsidRPr="000C3704">
        <w:rPr>
          <w:rFonts w:ascii="Times New Roman" w:hAnsi="Times New Roman" w:cs="Times New Roman"/>
          <w:sz w:val="24"/>
          <w:szCs w:val="24"/>
          <w:lang w:val="ro-MD"/>
        </w:rPr>
        <w:t>determinat</w:t>
      </w:r>
      <w:r w:rsidRPr="000C3704">
        <w:rPr>
          <w:rFonts w:ascii="Times New Roman" w:hAnsi="Times New Roman" w:cs="Times New Roman"/>
          <w:sz w:val="24"/>
          <w:szCs w:val="24"/>
          <w:lang w:val="ro-MD"/>
        </w:rPr>
        <w:t xml:space="preserve"> acoperirea parțială a cheltuielilor privind instruirea studenților în bază de taxe din contul alocațiilor bugetare</w:t>
      </w:r>
      <w:r w:rsidR="00D42948" w:rsidRPr="000C3704">
        <w:rPr>
          <w:rFonts w:ascii="Times New Roman" w:hAnsi="Times New Roman" w:cs="Times New Roman"/>
          <w:sz w:val="24"/>
          <w:szCs w:val="24"/>
          <w:lang w:val="ro-MD"/>
        </w:rPr>
        <w:t xml:space="preserve">, </w:t>
      </w:r>
      <w:r w:rsidR="00D42948" w:rsidRPr="000C3704">
        <w:rPr>
          <w:rFonts w:asciiTheme="majorBidi" w:hAnsiTheme="majorBidi" w:cstheme="majorBidi"/>
          <w:sz w:val="24"/>
          <w:szCs w:val="24"/>
          <w:shd w:val="clear" w:color="auto" w:fill="FFFFFF"/>
          <w:lang w:val="ro-MD"/>
        </w:rPr>
        <w:t>astfel, pentru anul de studii 2022/2023 taxele de studii pentru ciclul I vari</w:t>
      </w:r>
      <w:r w:rsidR="00A370A3" w:rsidRPr="000C3704">
        <w:rPr>
          <w:rFonts w:asciiTheme="majorBidi" w:hAnsiTheme="majorBidi" w:cstheme="majorBidi"/>
          <w:sz w:val="24"/>
          <w:szCs w:val="24"/>
          <w:shd w:val="clear" w:color="auto" w:fill="FFFFFF"/>
          <w:lang w:val="ro-MD"/>
        </w:rPr>
        <w:t xml:space="preserve">ind </w:t>
      </w:r>
      <w:r w:rsidR="00D42948" w:rsidRPr="000C3704">
        <w:rPr>
          <w:rFonts w:asciiTheme="majorBidi" w:hAnsiTheme="majorBidi" w:cstheme="majorBidi"/>
          <w:sz w:val="24"/>
          <w:szCs w:val="24"/>
          <w:shd w:val="clear" w:color="auto" w:fill="FFFFFF"/>
          <w:lang w:val="ro-MD"/>
        </w:rPr>
        <w:t>de la 11,0 mii lei până la 16,0 mii și constitui</w:t>
      </w:r>
      <w:r w:rsidR="00D64604" w:rsidRPr="000C3704">
        <w:rPr>
          <w:rFonts w:asciiTheme="majorBidi" w:hAnsiTheme="majorBidi" w:cstheme="majorBidi"/>
          <w:sz w:val="24"/>
          <w:szCs w:val="24"/>
          <w:shd w:val="clear" w:color="auto" w:fill="FFFFFF"/>
          <w:lang w:val="ro-MD"/>
        </w:rPr>
        <w:t>nd</w:t>
      </w:r>
      <w:r w:rsidR="00D42948" w:rsidRPr="000C3704">
        <w:rPr>
          <w:rFonts w:asciiTheme="majorBidi" w:hAnsiTheme="majorBidi" w:cstheme="majorBidi"/>
          <w:sz w:val="24"/>
          <w:szCs w:val="24"/>
          <w:shd w:val="clear" w:color="auto" w:fill="FFFFFF"/>
          <w:lang w:val="ro-MD"/>
        </w:rPr>
        <w:t xml:space="preserve"> 14,0 mii lei pentru ciclul II, iar costul standard per student finanțat din buget </w:t>
      </w:r>
      <w:r w:rsidR="00D64604" w:rsidRPr="000C3704">
        <w:rPr>
          <w:rFonts w:asciiTheme="majorBidi" w:hAnsiTheme="majorBidi" w:cstheme="majorBidi"/>
          <w:sz w:val="24"/>
          <w:szCs w:val="24"/>
          <w:shd w:val="clear" w:color="auto" w:fill="FFFFFF"/>
          <w:lang w:val="ro-MD"/>
        </w:rPr>
        <w:t xml:space="preserve">– respectiv, </w:t>
      </w:r>
      <w:r w:rsidR="00D42948" w:rsidRPr="000C3704">
        <w:rPr>
          <w:rFonts w:asciiTheme="majorBidi" w:hAnsiTheme="majorBidi" w:cstheme="majorBidi"/>
          <w:sz w:val="24"/>
          <w:szCs w:val="24"/>
          <w:shd w:val="clear" w:color="auto" w:fill="FFFFFF"/>
          <w:lang w:val="ro-MD"/>
        </w:rPr>
        <w:t>de la 13,1 mii lei până la 52,2 mii lei pentru ciclul I, și de la 16,3 mii lei până la 65,3 mii lei pentru ciclul II.</w:t>
      </w:r>
      <w:r w:rsidRPr="000C3704">
        <w:rPr>
          <w:rFonts w:asciiTheme="majorBidi" w:hAnsiTheme="majorBidi" w:cstheme="majorBidi"/>
          <w:sz w:val="24"/>
          <w:szCs w:val="24"/>
          <w:lang w:val="ro-MD"/>
        </w:rPr>
        <w:t>;</w:t>
      </w:r>
    </w:p>
    <w:p w14:paraId="1F17A3CD" w14:textId="3F16EFB9" w:rsidR="00B01E59" w:rsidRPr="000C3704" w:rsidRDefault="00B01E59" w:rsidP="00005216">
      <w:pPr>
        <w:numPr>
          <w:ilvl w:val="0"/>
          <w:numId w:val="1"/>
        </w:numPr>
        <w:tabs>
          <w:tab w:val="left" w:pos="993"/>
        </w:tabs>
        <w:spacing w:after="0" w:line="259" w:lineRule="auto"/>
        <w:ind w:left="0" w:firstLine="709"/>
        <w:contextualSpacing/>
        <w:jc w:val="both"/>
        <w:rPr>
          <w:rFonts w:ascii="Times New Roman" w:hAnsi="Times New Roman" w:cs="Times New Roman"/>
          <w:sz w:val="24"/>
          <w:szCs w:val="24"/>
          <w:lang w:val="ro-MD"/>
        </w:rPr>
      </w:pPr>
      <w:r w:rsidRPr="000C3704">
        <w:rPr>
          <w:rFonts w:ascii="Times New Roman" w:hAnsi="Times New Roman" w:cs="Times New Roman"/>
          <w:sz w:val="24"/>
          <w:szCs w:val="24"/>
          <w:lang w:val="ro-MD"/>
        </w:rPr>
        <w:t>lipsa evidenței cheltuielilor reale pe programe de studii, precum și a veniturilor calculate</w:t>
      </w:r>
      <w:r w:rsidR="00060118" w:rsidRPr="000C3704">
        <w:rPr>
          <w:rFonts w:ascii="Times New Roman" w:hAnsi="Times New Roman" w:cs="Times New Roman"/>
          <w:sz w:val="24"/>
          <w:szCs w:val="24"/>
          <w:lang w:val="ro-MD"/>
        </w:rPr>
        <w:t xml:space="preserve"> </w:t>
      </w:r>
      <w:r w:rsidR="00FE23F4" w:rsidRPr="000C3704">
        <w:rPr>
          <w:rFonts w:ascii="Times New Roman" w:hAnsi="Times New Roman" w:cs="Times New Roman"/>
          <w:sz w:val="24"/>
          <w:szCs w:val="24"/>
          <w:lang w:val="ro-MD"/>
        </w:rPr>
        <w:t>face</w:t>
      </w:r>
      <w:r w:rsidRPr="000C3704">
        <w:rPr>
          <w:rFonts w:ascii="Times New Roman" w:hAnsi="Times New Roman" w:cs="Times New Roman"/>
          <w:sz w:val="24"/>
          <w:szCs w:val="24"/>
          <w:lang w:val="ro-MD"/>
        </w:rPr>
        <w:t xml:space="preserve"> imposibil</w:t>
      </w:r>
      <w:r w:rsidR="00FE23F4" w:rsidRPr="000C3704">
        <w:rPr>
          <w:rFonts w:ascii="Times New Roman" w:hAnsi="Times New Roman" w:cs="Times New Roman"/>
          <w:sz w:val="24"/>
          <w:szCs w:val="24"/>
          <w:lang w:val="ro-MD"/>
        </w:rPr>
        <w:t>ă</w:t>
      </w:r>
      <w:r w:rsidRPr="000C3704">
        <w:rPr>
          <w:rFonts w:ascii="Times New Roman" w:hAnsi="Times New Roman" w:cs="Times New Roman"/>
          <w:sz w:val="24"/>
          <w:szCs w:val="24"/>
          <w:lang w:val="ro-MD"/>
        </w:rPr>
        <w:t xml:space="preserve"> determin</w:t>
      </w:r>
      <w:r w:rsidR="00FE23F4" w:rsidRPr="000C3704">
        <w:rPr>
          <w:rFonts w:ascii="Times New Roman" w:hAnsi="Times New Roman" w:cs="Times New Roman"/>
          <w:sz w:val="24"/>
          <w:szCs w:val="24"/>
          <w:lang w:val="ro-MD"/>
        </w:rPr>
        <w:t>area</w:t>
      </w:r>
      <w:r w:rsidRPr="000C3704">
        <w:rPr>
          <w:rFonts w:ascii="Times New Roman" w:hAnsi="Times New Roman" w:cs="Times New Roman"/>
          <w:sz w:val="24"/>
          <w:szCs w:val="24"/>
          <w:lang w:val="ro-MD"/>
        </w:rPr>
        <w:t xml:space="preserve"> costului de instruire a unui student, influenț</w:t>
      </w:r>
      <w:r w:rsidR="00FE23F4" w:rsidRPr="000C3704">
        <w:rPr>
          <w:rFonts w:ascii="Times New Roman" w:hAnsi="Times New Roman" w:cs="Times New Roman"/>
          <w:sz w:val="24"/>
          <w:szCs w:val="24"/>
          <w:lang w:val="ro-MD"/>
        </w:rPr>
        <w:t xml:space="preserve">ând </w:t>
      </w:r>
      <w:r w:rsidRPr="000C3704">
        <w:rPr>
          <w:rFonts w:ascii="Times New Roman" w:hAnsi="Times New Roman" w:cs="Times New Roman"/>
          <w:sz w:val="24"/>
          <w:szCs w:val="24"/>
          <w:lang w:val="ro-MD"/>
        </w:rPr>
        <w:t xml:space="preserve"> asupra cuantumului taxei de studii și veniturilor colectate;</w:t>
      </w:r>
    </w:p>
    <w:p w14:paraId="68F3A8A4" w14:textId="601320EE" w:rsidR="00B01E59" w:rsidRPr="000C3704" w:rsidRDefault="00B01E59" w:rsidP="00005216">
      <w:pPr>
        <w:numPr>
          <w:ilvl w:val="0"/>
          <w:numId w:val="1"/>
        </w:numPr>
        <w:tabs>
          <w:tab w:val="left" w:pos="993"/>
        </w:tabs>
        <w:spacing w:after="0" w:line="259" w:lineRule="auto"/>
        <w:ind w:left="0" w:firstLine="709"/>
        <w:contextualSpacing/>
        <w:jc w:val="both"/>
        <w:rPr>
          <w:rFonts w:ascii="Times New Roman" w:hAnsi="Times New Roman" w:cs="Times New Roman"/>
          <w:sz w:val="24"/>
          <w:szCs w:val="24"/>
          <w:lang w:val="ro-MD"/>
        </w:rPr>
      </w:pPr>
      <w:r w:rsidRPr="000C3704">
        <w:rPr>
          <w:rFonts w:ascii="Times New Roman" w:hAnsi="Times New Roman" w:cs="Times New Roman"/>
          <w:bCs/>
          <w:sz w:val="24"/>
          <w:szCs w:val="24"/>
          <w:lang w:val="ro-MD"/>
        </w:rPr>
        <w:t>n</w:t>
      </w:r>
      <w:r w:rsidR="002E5A49" w:rsidRPr="000C3704">
        <w:rPr>
          <w:rFonts w:ascii="Times New Roman" w:hAnsi="Times New Roman" w:cs="Times New Roman"/>
          <w:bCs/>
          <w:sz w:val="24"/>
          <w:szCs w:val="24"/>
          <w:lang w:val="ro-MD"/>
        </w:rPr>
        <w:t>e</w:t>
      </w:r>
      <w:r w:rsidRPr="000C3704">
        <w:rPr>
          <w:rFonts w:ascii="Times New Roman" w:hAnsi="Times New Roman" w:cs="Times New Roman"/>
          <w:bCs/>
          <w:sz w:val="24"/>
          <w:szCs w:val="24"/>
          <w:lang w:val="ro-MD"/>
        </w:rPr>
        <w:t>respecta</w:t>
      </w:r>
      <w:r w:rsidR="002E5A49" w:rsidRPr="000C3704">
        <w:rPr>
          <w:rFonts w:ascii="Times New Roman" w:hAnsi="Times New Roman" w:cs="Times New Roman"/>
          <w:bCs/>
          <w:sz w:val="24"/>
          <w:szCs w:val="24"/>
          <w:lang w:val="ro-MD"/>
        </w:rPr>
        <w:t>rea</w:t>
      </w:r>
      <w:r w:rsidRPr="000C3704">
        <w:rPr>
          <w:rFonts w:ascii="Times New Roman" w:hAnsi="Times New Roman" w:cs="Times New Roman"/>
          <w:bCs/>
          <w:sz w:val="24"/>
          <w:szCs w:val="24"/>
          <w:lang w:val="ro-MD"/>
        </w:rPr>
        <w:t xml:space="preserve"> </w:t>
      </w:r>
      <w:r w:rsidR="002E5A49" w:rsidRPr="000C3704">
        <w:rPr>
          <w:rFonts w:ascii="Times New Roman" w:hAnsi="Times New Roman" w:cs="Times New Roman"/>
          <w:bCs/>
          <w:sz w:val="24"/>
          <w:szCs w:val="24"/>
          <w:lang w:val="ro-MD"/>
        </w:rPr>
        <w:t xml:space="preserve">de către fondator  a </w:t>
      </w:r>
      <w:r w:rsidRPr="000C3704">
        <w:rPr>
          <w:rFonts w:ascii="Times New Roman" w:hAnsi="Times New Roman" w:cs="Times New Roman"/>
          <w:bCs/>
          <w:sz w:val="24"/>
          <w:szCs w:val="24"/>
          <w:lang w:val="ro-MD"/>
        </w:rPr>
        <w:t>prevederil</w:t>
      </w:r>
      <w:r w:rsidR="002E5A49" w:rsidRPr="000C3704">
        <w:rPr>
          <w:rFonts w:ascii="Times New Roman" w:hAnsi="Times New Roman" w:cs="Times New Roman"/>
          <w:bCs/>
          <w:sz w:val="24"/>
          <w:szCs w:val="24"/>
          <w:lang w:val="ro-MD"/>
        </w:rPr>
        <w:t>or</w:t>
      </w:r>
      <w:r w:rsidRPr="000C3704">
        <w:rPr>
          <w:rFonts w:ascii="Times New Roman" w:hAnsi="Times New Roman" w:cs="Times New Roman"/>
          <w:bCs/>
          <w:sz w:val="24"/>
          <w:szCs w:val="24"/>
          <w:lang w:val="ro-MD"/>
        </w:rPr>
        <w:t xml:space="preserve"> cadrului normativ la stabilirea alocațiilor bugetare destinate</w:t>
      </w:r>
      <w:r w:rsidRPr="000C3704">
        <w:rPr>
          <w:rFonts w:ascii="Times New Roman" w:hAnsi="Times New Roman" w:cs="Times New Roman"/>
          <w:b/>
          <w:sz w:val="24"/>
          <w:szCs w:val="24"/>
          <w:lang w:val="ro-MD"/>
        </w:rPr>
        <w:t xml:space="preserve"> </w:t>
      </w:r>
      <w:r w:rsidRPr="000C3704">
        <w:rPr>
          <w:rFonts w:ascii="Times New Roman" w:hAnsi="Times New Roman" w:cs="Times New Roman"/>
          <w:bCs/>
          <w:sz w:val="24"/>
          <w:szCs w:val="24"/>
          <w:lang w:val="ro-MD"/>
        </w:rPr>
        <w:t xml:space="preserve">pentru întreținerea căminelor a </w:t>
      </w:r>
      <w:r w:rsidR="00D40F5D" w:rsidRPr="000C3704">
        <w:rPr>
          <w:rFonts w:ascii="Times New Roman" w:hAnsi="Times New Roman" w:cs="Times New Roman"/>
          <w:bCs/>
          <w:sz w:val="24"/>
          <w:szCs w:val="24"/>
          <w:lang w:val="ro-MD"/>
        </w:rPr>
        <w:t>condiționat</w:t>
      </w:r>
      <w:r w:rsidRPr="000C3704">
        <w:rPr>
          <w:rFonts w:ascii="Times New Roman" w:hAnsi="Times New Roman" w:cs="Times New Roman"/>
          <w:bCs/>
          <w:sz w:val="24"/>
          <w:szCs w:val="24"/>
          <w:lang w:val="ro-MD"/>
        </w:rPr>
        <w:t xml:space="preserve"> finanțarea suplimentară</w:t>
      </w:r>
      <w:r w:rsidR="00005216" w:rsidRPr="000C3704">
        <w:rPr>
          <w:rFonts w:ascii="Times New Roman" w:hAnsi="Times New Roman" w:cs="Times New Roman"/>
          <w:sz w:val="24"/>
          <w:szCs w:val="24"/>
          <w:lang w:val="ro-MD"/>
        </w:rPr>
        <w:t xml:space="preserve"> cu cca 3,27 mil. lei</w:t>
      </w:r>
      <w:r w:rsidRPr="000C3704">
        <w:rPr>
          <w:rFonts w:ascii="Times New Roman" w:hAnsi="Times New Roman" w:cs="Times New Roman"/>
          <w:sz w:val="24"/>
          <w:szCs w:val="24"/>
          <w:lang w:val="ro-MD"/>
        </w:rPr>
        <w:t>;</w:t>
      </w:r>
    </w:p>
    <w:p w14:paraId="66998C1E" w14:textId="2CEB5BF8" w:rsidR="00B01E59" w:rsidRPr="000C3704" w:rsidRDefault="00B01E59" w:rsidP="00005216">
      <w:pPr>
        <w:numPr>
          <w:ilvl w:val="0"/>
          <w:numId w:val="1"/>
        </w:numPr>
        <w:tabs>
          <w:tab w:val="left" w:pos="993"/>
        </w:tabs>
        <w:spacing w:after="0" w:line="259" w:lineRule="auto"/>
        <w:ind w:left="0" w:firstLine="709"/>
        <w:contextualSpacing/>
        <w:jc w:val="both"/>
        <w:rPr>
          <w:rFonts w:ascii="Times New Roman" w:hAnsi="Times New Roman" w:cs="Times New Roman"/>
          <w:sz w:val="24"/>
          <w:szCs w:val="24"/>
          <w:lang w:val="ro-MD"/>
        </w:rPr>
      </w:pPr>
      <w:r w:rsidRPr="000C3704">
        <w:rPr>
          <w:rFonts w:ascii="Times New Roman" w:hAnsi="Times New Roman" w:cs="Times New Roman"/>
          <w:bCs/>
          <w:sz w:val="24"/>
          <w:szCs w:val="24"/>
          <w:lang w:val="ro-MD"/>
        </w:rPr>
        <w:t>nerespectarea prevederilor cadrului normativ privind reglementarea modului de transmitere în locațiune a activelor neutilizate, precum și neaplicarea principiilor legalității, eficienței și transparenței a</w:t>
      </w:r>
      <w:r w:rsidR="00D40F5D" w:rsidRPr="000C3704">
        <w:rPr>
          <w:rFonts w:ascii="Times New Roman" w:hAnsi="Times New Roman" w:cs="Times New Roman"/>
          <w:bCs/>
          <w:sz w:val="24"/>
          <w:szCs w:val="24"/>
          <w:lang w:val="ro-MD"/>
        </w:rPr>
        <w:t>u</w:t>
      </w:r>
      <w:r w:rsidRPr="000C3704">
        <w:rPr>
          <w:rFonts w:ascii="Times New Roman" w:hAnsi="Times New Roman" w:cs="Times New Roman"/>
          <w:bCs/>
          <w:sz w:val="24"/>
          <w:szCs w:val="24"/>
          <w:lang w:val="ro-MD"/>
        </w:rPr>
        <w:t xml:space="preserve"> </w:t>
      </w:r>
      <w:r w:rsidR="00D40F5D" w:rsidRPr="000C3704">
        <w:rPr>
          <w:rFonts w:ascii="Times New Roman" w:hAnsi="Times New Roman" w:cs="Times New Roman"/>
          <w:bCs/>
          <w:sz w:val="24"/>
          <w:szCs w:val="24"/>
          <w:lang w:val="ro-MD"/>
        </w:rPr>
        <w:t>dus</w:t>
      </w:r>
      <w:r w:rsidRPr="000C3704">
        <w:rPr>
          <w:rFonts w:ascii="Times New Roman" w:hAnsi="Times New Roman" w:cs="Times New Roman"/>
          <w:bCs/>
          <w:sz w:val="24"/>
          <w:szCs w:val="24"/>
          <w:lang w:val="ro-MD"/>
        </w:rPr>
        <w:t xml:space="preserve"> la utilizarea nerațională a patrimoniului gestionat de UTM</w:t>
      </w:r>
      <w:r w:rsidR="00D40F5D" w:rsidRPr="000C3704">
        <w:rPr>
          <w:rFonts w:ascii="Times New Roman" w:hAnsi="Times New Roman" w:cs="Times New Roman"/>
          <w:bCs/>
          <w:sz w:val="24"/>
          <w:szCs w:val="24"/>
          <w:lang w:val="ro-MD"/>
        </w:rPr>
        <w:t>, fiind</w:t>
      </w:r>
      <w:r w:rsidRPr="000C3704">
        <w:rPr>
          <w:rFonts w:ascii="Times New Roman" w:hAnsi="Times New Roman" w:cs="Times New Roman"/>
          <w:bCs/>
          <w:sz w:val="24"/>
          <w:szCs w:val="24"/>
          <w:lang w:val="ro-MD"/>
        </w:rPr>
        <w:t xml:space="preserve"> generat</w:t>
      </w:r>
      <w:r w:rsidR="00D40F5D" w:rsidRPr="000C3704">
        <w:rPr>
          <w:rFonts w:ascii="Times New Roman" w:hAnsi="Times New Roman" w:cs="Times New Roman"/>
          <w:bCs/>
          <w:sz w:val="24"/>
          <w:szCs w:val="24"/>
          <w:lang w:val="ro-MD"/>
        </w:rPr>
        <w:t>e</w:t>
      </w:r>
      <w:r w:rsidRPr="000C3704">
        <w:rPr>
          <w:rFonts w:ascii="Times New Roman" w:hAnsi="Times New Roman" w:cs="Times New Roman"/>
          <w:bCs/>
          <w:sz w:val="24"/>
          <w:szCs w:val="24"/>
          <w:lang w:val="ro-MD"/>
        </w:rPr>
        <w:t xml:space="preserve"> cheltuieli suplimentare p</w:t>
      </w:r>
      <w:r w:rsidR="00060118" w:rsidRPr="000C3704">
        <w:rPr>
          <w:rFonts w:ascii="Times New Roman" w:hAnsi="Times New Roman" w:cs="Times New Roman"/>
          <w:bCs/>
          <w:sz w:val="24"/>
          <w:szCs w:val="24"/>
          <w:lang w:val="ro-MD"/>
        </w:rPr>
        <w:t>entru</w:t>
      </w:r>
      <w:r w:rsidRPr="000C3704">
        <w:rPr>
          <w:rFonts w:ascii="Times New Roman" w:hAnsi="Times New Roman" w:cs="Times New Roman"/>
          <w:bCs/>
          <w:sz w:val="24"/>
          <w:szCs w:val="24"/>
          <w:lang w:val="ro-MD"/>
        </w:rPr>
        <w:t xml:space="preserve"> întreținerea acestuia, precum și la ratarea veniturilor în s</w:t>
      </w:r>
      <w:r w:rsidR="00005216" w:rsidRPr="000C3704">
        <w:rPr>
          <w:rFonts w:ascii="Times New Roman" w:hAnsi="Times New Roman" w:cs="Times New Roman"/>
          <w:bCs/>
          <w:sz w:val="24"/>
          <w:szCs w:val="24"/>
          <w:lang w:val="ro-MD"/>
        </w:rPr>
        <w:t>umă de cel puțin 119,63 mii lei</w:t>
      </w:r>
      <w:r w:rsidRPr="000C3704">
        <w:rPr>
          <w:rFonts w:ascii="Times New Roman" w:hAnsi="Times New Roman" w:cs="Times New Roman"/>
          <w:sz w:val="24"/>
          <w:szCs w:val="24"/>
          <w:lang w:val="ro-MD"/>
        </w:rPr>
        <w:t>;</w:t>
      </w:r>
    </w:p>
    <w:p w14:paraId="2BA1545C" w14:textId="638CD3A6" w:rsidR="00B01E59" w:rsidRPr="000C3704" w:rsidRDefault="00060118" w:rsidP="00005216">
      <w:pPr>
        <w:numPr>
          <w:ilvl w:val="0"/>
          <w:numId w:val="1"/>
        </w:numPr>
        <w:tabs>
          <w:tab w:val="left" w:pos="993"/>
        </w:tabs>
        <w:spacing w:after="0" w:line="259" w:lineRule="auto"/>
        <w:ind w:left="0" w:firstLine="709"/>
        <w:contextualSpacing/>
        <w:jc w:val="both"/>
        <w:rPr>
          <w:rFonts w:ascii="Times New Roman" w:hAnsi="Times New Roman" w:cs="Times New Roman"/>
          <w:sz w:val="24"/>
          <w:szCs w:val="24"/>
          <w:lang w:val="ro-MD"/>
        </w:rPr>
      </w:pPr>
      <w:r w:rsidRPr="000C3704">
        <w:rPr>
          <w:rFonts w:ascii="Times New Roman" w:hAnsi="Times New Roman" w:cs="Times New Roman"/>
          <w:sz w:val="24"/>
          <w:szCs w:val="24"/>
          <w:lang w:val="ro-MD"/>
        </w:rPr>
        <w:t xml:space="preserve">cheltuielile </w:t>
      </w:r>
      <w:r w:rsidR="00B01E59" w:rsidRPr="000C3704">
        <w:rPr>
          <w:rFonts w:ascii="Times New Roman" w:hAnsi="Times New Roman" w:cs="Times New Roman"/>
          <w:sz w:val="24"/>
          <w:szCs w:val="24"/>
          <w:lang w:val="ro-MD"/>
        </w:rPr>
        <w:t>raporta</w:t>
      </w:r>
      <w:r w:rsidRPr="000C3704">
        <w:rPr>
          <w:rFonts w:ascii="Times New Roman" w:hAnsi="Times New Roman" w:cs="Times New Roman"/>
          <w:sz w:val="24"/>
          <w:szCs w:val="24"/>
          <w:lang w:val="ro-MD"/>
        </w:rPr>
        <w:t>te de</w:t>
      </w:r>
      <w:r w:rsidR="00B01E59" w:rsidRPr="000C3704">
        <w:rPr>
          <w:rFonts w:ascii="Times New Roman" w:hAnsi="Times New Roman" w:cs="Times New Roman"/>
          <w:sz w:val="24"/>
          <w:szCs w:val="24"/>
          <w:lang w:val="ro-MD"/>
        </w:rPr>
        <w:t xml:space="preserve"> către fondator</w:t>
      </w:r>
      <w:r w:rsidRPr="000C3704">
        <w:rPr>
          <w:rFonts w:ascii="Times New Roman" w:hAnsi="Times New Roman" w:cs="Times New Roman"/>
          <w:sz w:val="24"/>
          <w:szCs w:val="24"/>
          <w:lang w:val="ro-MD"/>
        </w:rPr>
        <w:t xml:space="preserve"> </w:t>
      </w:r>
      <w:r w:rsidR="00B01E59" w:rsidRPr="000C3704">
        <w:rPr>
          <w:rFonts w:ascii="Times New Roman" w:hAnsi="Times New Roman" w:cs="Times New Roman"/>
          <w:sz w:val="24"/>
          <w:szCs w:val="24"/>
          <w:lang w:val="ro-MD"/>
        </w:rPr>
        <w:t>privind utilizarea alocațiilor bugetare din finanțarea-standard și finanțarea compensatorie</w:t>
      </w:r>
      <w:r w:rsidRPr="000C3704">
        <w:rPr>
          <w:rFonts w:ascii="Times New Roman" w:hAnsi="Times New Roman" w:cs="Times New Roman"/>
          <w:sz w:val="24"/>
          <w:szCs w:val="24"/>
          <w:lang w:val="ro-MD"/>
        </w:rPr>
        <w:t>,</w:t>
      </w:r>
      <w:r w:rsidR="00B01E59" w:rsidRPr="000C3704">
        <w:rPr>
          <w:rFonts w:ascii="Times New Roman" w:hAnsi="Times New Roman" w:cs="Times New Roman"/>
          <w:sz w:val="24"/>
          <w:szCs w:val="24"/>
          <w:lang w:val="ro-MD"/>
        </w:rPr>
        <w:t xml:space="preserve"> reflectate în </w:t>
      </w:r>
      <w:r w:rsidRPr="000C3704">
        <w:rPr>
          <w:rFonts w:ascii="Times New Roman" w:hAnsi="Times New Roman" w:cs="Times New Roman"/>
          <w:sz w:val="24"/>
          <w:szCs w:val="24"/>
          <w:lang w:val="ro-MD"/>
        </w:rPr>
        <w:t>A</w:t>
      </w:r>
      <w:r w:rsidR="00B01E59" w:rsidRPr="000C3704">
        <w:rPr>
          <w:rFonts w:ascii="Times New Roman" w:hAnsi="Times New Roman" w:cs="Times New Roman"/>
          <w:sz w:val="24"/>
          <w:szCs w:val="24"/>
          <w:lang w:val="ro-MD"/>
        </w:rPr>
        <w:t xml:space="preserve">nexa </w:t>
      </w:r>
      <w:r w:rsidRPr="000C3704">
        <w:rPr>
          <w:rFonts w:ascii="Times New Roman" w:hAnsi="Times New Roman" w:cs="Times New Roman"/>
          <w:sz w:val="24"/>
          <w:szCs w:val="24"/>
          <w:lang w:val="ro-MD"/>
        </w:rPr>
        <w:t>nr.</w:t>
      </w:r>
      <w:r w:rsidR="00B01E59" w:rsidRPr="000C3704">
        <w:rPr>
          <w:rFonts w:ascii="Times New Roman" w:hAnsi="Times New Roman" w:cs="Times New Roman"/>
          <w:sz w:val="24"/>
          <w:szCs w:val="24"/>
          <w:lang w:val="ro-MD"/>
        </w:rPr>
        <w:t>5 „Darea de seamă privind cheltuielile efective” la contractul de prestare a serviciilor educaționale</w:t>
      </w:r>
      <w:r w:rsidRPr="000C3704">
        <w:rPr>
          <w:rFonts w:ascii="Times New Roman" w:hAnsi="Times New Roman" w:cs="Times New Roman"/>
          <w:sz w:val="24"/>
          <w:szCs w:val="24"/>
          <w:lang w:val="ro-MD"/>
        </w:rPr>
        <w:t>,</w:t>
      </w:r>
      <w:r w:rsidR="00B01E59" w:rsidRPr="000C3704">
        <w:rPr>
          <w:rFonts w:ascii="Times New Roman" w:hAnsi="Times New Roman" w:cs="Times New Roman"/>
          <w:sz w:val="24"/>
          <w:szCs w:val="24"/>
          <w:lang w:val="ro-MD"/>
        </w:rPr>
        <w:t xml:space="preserve"> nu corespund cu cheltuielile efective aferente comenzii de stat înregistrate în evidența contabilă, iar</w:t>
      </w:r>
      <w:r w:rsidR="00B01E59" w:rsidRPr="000C3704">
        <w:rPr>
          <w:rFonts w:ascii="Times New Roman" w:hAnsi="Times New Roman" w:cs="Times New Roman"/>
          <w:b/>
          <w:bCs/>
          <w:sz w:val="24"/>
          <w:szCs w:val="24"/>
          <w:lang w:val="ro-MD"/>
        </w:rPr>
        <w:t xml:space="preserve"> </w:t>
      </w:r>
      <w:r w:rsidR="00B01E59" w:rsidRPr="000C3704">
        <w:rPr>
          <w:rFonts w:ascii="Times New Roman" w:hAnsi="Times New Roman" w:cs="Times New Roman"/>
          <w:sz w:val="24"/>
          <w:szCs w:val="24"/>
          <w:lang w:val="ro-MD"/>
        </w:rPr>
        <w:t>lipsa metodologiei de restituire la bugetul de stat a cheltuielilor pentru instruire a condiționat utilizarea ineficientă a alocațiilor bugetare în sumă de cel puțin 16,42 mil. lei;</w:t>
      </w:r>
    </w:p>
    <w:p w14:paraId="672E11C1" w14:textId="6A0CB302" w:rsidR="00B01E59" w:rsidRPr="000C3704" w:rsidRDefault="00B01E59" w:rsidP="00005216">
      <w:pPr>
        <w:numPr>
          <w:ilvl w:val="0"/>
          <w:numId w:val="1"/>
        </w:numPr>
        <w:tabs>
          <w:tab w:val="left" w:pos="993"/>
        </w:tabs>
        <w:spacing w:after="0" w:line="259" w:lineRule="auto"/>
        <w:ind w:left="0" w:firstLine="709"/>
        <w:contextualSpacing/>
        <w:jc w:val="both"/>
        <w:rPr>
          <w:rFonts w:ascii="Times New Roman" w:hAnsi="Times New Roman" w:cs="Times New Roman"/>
          <w:sz w:val="24"/>
          <w:szCs w:val="24"/>
          <w:lang w:val="ro-MD"/>
        </w:rPr>
      </w:pPr>
      <w:r w:rsidRPr="000C3704">
        <w:rPr>
          <w:rFonts w:ascii="Times New Roman" w:hAnsi="Times New Roman" w:cs="Times New Roman"/>
          <w:sz w:val="24"/>
          <w:szCs w:val="24"/>
          <w:lang w:val="ro-MD"/>
        </w:rPr>
        <w:t>aplicarea neconformă a prevederilor cadrului normativ în vigoare și lipsa unui control riguros din partea C</w:t>
      </w:r>
      <w:r w:rsidR="00DA1AAF" w:rsidRPr="000C3704">
        <w:rPr>
          <w:rFonts w:ascii="Times New Roman" w:hAnsi="Times New Roman" w:cs="Times New Roman"/>
          <w:sz w:val="24"/>
          <w:szCs w:val="24"/>
          <w:lang w:val="ro-MD"/>
        </w:rPr>
        <w:t xml:space="preserve">onsiliului </w:t>
      </w:r>
      <w:r w:rsidRPr="000C3704">
        <w:rPr>
          <w:rFonts w:ascii="Times New Roman" w:hAnsi="Times New Roman" w:cs="Times New Roman"/>
          <w:sz w:val="24"/>
          <w:szCs w:val="24"/>
          <w:lang w:val="ro-MD"/>
        </w:rPr>
        <w:t>S</w:t>
      </w:r>
      <w:r w:rsidR="00DA1AAF" w:rsidRPr="000C3704">
        <w:rPr>
          <w:rFonts w:ascii="Times New Roman" w:hAnsi="Times New Roman" w:cs="Times New Roman"/>
          <w:sz w:val="24"/>
          <w:szCs w:val="24"/>
          <w:lang w:val="ro-MD"/>
        </w:rPr>
        <w:t xml:space="preserve">trategic de </w:t>
      </w:r>
      <w:r w:rsidRPr="000C3704">
        <w:rPr>
          <w:rFonts w:ascii="Times New Roman" w:hAnsi="Times New Roman" w:cs="Times New Roman"/>
          <w:sz w:val="24"/>
          <w:szCs w:val="24"/>
          <w:lang w:val="ro-MD"/>
        </w:rPr>
        <w:t>D</w:t>
      </w:r>
      <w:r w:rsidR="00DA1AAF" w:rsidRPr="000C3704">
        <w:rPr>
          <w:rFonts w:ascii="Times New Roman" w:hAnsi="Times New Roman" w:cs="Times New Roman"/>
          <w:sz w:val="24"/>
          <w:szCs w:val="24"/>
          <w:lang w:val="ro-MD"/>
        </w:rPr>
        <w:t xml:space="preserve">ezvoltare </w:t>
      </w:r>
      <w:r w:rsidRPr="000C3704">
        <w:rPr>
          <w:rFonts w:ascii="Times New Roman" w:hAnsi="Times New Roman" w:cs="Times New Roman"/>
          <w:sz w:val="24"/>
          <w:szCs w:val="24"/>
          <w:lang w:val="ro-MD"/>
        </w:rPr>
        <w:t>I</w:t>
      </w:r>
      <w:r w:rsidR="00DA1AAF" w:rsidRPr="000C3704">
        <w:rPr>
          <w:rFonts w:ascii="Times New Roman" w:hAnsi="Times New Roman" w:cs="Times New Roman"/>
          <w:sz w:val="24"/>
          <w:szCs w:val="24"/>
          <w:lang w:val="ro-MD"/>
        </w:rPr>
        <w:t>nstituțională</w:t>
      </w:r>
      <w:r w:rsidRPr="000C3704">
        <w:rPr>
          <w:rFonts w:ascii="Times New Roman" w:hAnsi="Times New Roman" w:cs="Times New Roman"/>
          <w:sz w:val="24"/>
          <w:szCs w:val="24"/>
          <w:lang w:val="ro-MD"/>
        </w:rPr>
        <w:t xml:space="preserve"> a</w:t>
      </w:r>
      <w:r w:rsidR="00060118" w:rsidRPr="000C3704">
        <w:rPr>
          <w:rFonts w:ascii="Times New Roman" w:hAnsi="Times New Roman" w:cs="Times New Roman"/>
          <w:sz w:val="24"/>
          <w:szCs w:val="24"/>
          <w:lang w:val="ro-MD"/>
        </w:rPr>
        <w:t>u</w:t>
      </w:r>
      <w:r w:rsidRPr="000C3704">
        <w:rPr>
          <w:rFonts w:ascii="Times New Roman" w:hAnsi="Times New Roman" w:cs="Times New Roman"/>
          <w:sz w:val="24"/>
          <w:szCs w:val="24"/>
          <w:lang w:val="ro-MD"/>
        </w:rPr>
        <w:t xml:space="preserve"> </w:t>
      </w:r>
      <w:r w:rsidR="00D40F5D" w:rsidRPr="000C3704">
        <w:rPr>
          <w:rFonts w:ascii="Times New Roman" w:hAnsi="Times New Roman" w:cs="Times New Roman"/>
          <w:sz w:val="24"/>
          <w:szCs w:val="24"/>
          <w:lang w:val="ro-MD"/>
        </w:rPr>
        <w:t>determi</w:t>
      </w:r>
      <w:r w:rsidRPr="000C3704">
        <w:rPr>
          <w:rFonts w:ascii="Times New Roman" w:hAnsi="Times New Roman" w:cs="Times New Roman"/>
          <w:sz w:val="24"/>
          <w:szCs w:val="24"/>
          <w:lang w:val="ro-MD"/>
        </w:rPr>
        <w:t>nat majorarea neregulamentară a cheltuielilor de salarizare cu 13,25 mil. lei;</w:t>
      </w:r>
    </w:p>
    <w:p w14:paraId="6D6C0C20" w14:textId="4B3EB678" w:rsidR="00B01E59" w:rsidRPr="000C3704" w:rsidRDefault="00B01E59" w:rsidP="00005216">
      <w:pPr>
        <w:numPr>
          <w:ilvl w:val="0"/>
          <w:numId w:val="1"/>
        </w:numPr>
        <w:tabs>
          <w:tab w:val="left" w:pos="993"/>
        </w:tabs>
        <w:spacing w:after="0" w:line="259" w:lineRule="auto"/>
        <w:ind w:left="0" w:firstLine="709"/>
        <w:contextualSpacing/>
        <w:jc w:val="both"/>
        <w:rPr>
          <w:rFonts w:ascii="Times New Roman" w:hAnsi="Times New Roman" w:cs="Times New Roman"/>
          <w:bCs/>
          <w:sz w:val="24"/>
          <w:szCs w:val="24"/>
          <w:lang w:val="ro-MD"/>
        </w:rPr>
      </w:pPr>
      <w:r w:rsidRPr="000C3704">
        <w:rPr>
          <w:rFonts w:ascii="Times New Roman" w:hAnsi="Times New Roman" w:cs="Times New Roman"/>
          <w:bCs/>
          <w:sz w:val="24"/>
          <w:szCs w:val="24"/>
          <w:lang w:val="ro-MD"/>
        </w:rPr>
        <w:t>neconstituirea provizionului pentru concediile nefolosite atrage după sine cheltuieli suplimentare</w:t>
      </w:r>
      <w:r w:rsidR="00D40F5D" w:rsidRPr="000C3704">
        <w:rPr>
          <w:rFonts w:ascii="Times New Roman" w:hAnsi="Times New Roman" w:cs="Times New Roman"/>
          <w:bCs/>
          <w:sz w:val="24"/>
          <w:szCs w:val="24"/>
          <w:lang w:val="ro-MD"/>
        </w:rPr>
        <w:t>,</w:t>
      </w:r>
      <w:r w:rsidRPr="000C3704">
        <w:rPr>
          <w:rFonts w:ascii="Times New Roman" w:hAnsi="Times New Roman" w:cs="Times New Roman"/>
          <w:bCs/>
          <w:sz w:val="24"/>
          <w:szCs w:val="24"/>
          <w:lang w:val="ro-MD"/>
        </w:rPr>
        <w:t xml:space="preserve"> estimate în sumă </w:t>
      </w:r>
      <w:r w:rsidR="00D40F5D" w:rsidRPr="000C3704">
        <w:rPr>
          <w:rFonts w:ascii="Times New Roman" w:hAnsi="Times New Roman" w:cs="Times New Roman"/>
          <w:bCs/>
          <w:sz w:val="24"/>
          <w:szCs w:val="24"/>
          <w:lang w:val="ro-MD"/>
        </w:rPr>
        <w:t xml:space="preserve">de </w:t>
      </w:r>
      <w:r w:rsidRPr="000C3704">
        <w:rPr>
          <w:rFonts w:ascii="Times New Roman" w:hAnsi="Times New Roman" w:cs="Times New Roman"/>
          <w:bCs/>
          <w:sz w:val="24"/>
          <w:szCs w:val="24"/>
          <w:lang w:val="ro-MD"/>
        </w:rPr>
        <w:t>2,66 mil. lei pentru 5.300 zile de concediu anual nefolosite, ceea ce poate afecta stabilitatea financiară a instituției</w:t>
      </w:r>
      <w:r w:rsidRPr="000C3704">
        <w:rPr>
          <w:rFonts w:ascii="Times New Roman" w:hAnsi="Times New Roman" w:cs="Times New Roman"/>
          <w:sz w:val="24"/>
          <w:szCs w:val="24"/>
          <w:lang w:val="ro-MD"/>
        </w:rPr>
        <w:t>;</w:t>
      </w:r>
    </w:p>
    <w:p w14:paraId="651A20DB" w14:textId="6971441F" w:rsidR="00B01E59" w:rsidRPr="000C3704" w:rsidRDefault="00B01E59" w:rsidP="00005216">
      <w:pPr>
        <w:numPr>
          <w:ilvl w:val="0"/>
          <w:numId w:val="1"/>
        </w:numPr>
        <w:tabs>
          <w:tab w:val="left" w:pos="993"/>
        </w:tabs>
        <w:spacing w:after="0" w:line="259" w:lineRule="auto"/>
        <w:ind w:left="0" w:firstLine="709"/>
        <w:contextualSpacing/>
        <w:jc w:val="both"/>
        <w:rPr>
          <w:rFonts w:ascii="Times New Roman" w:hAnsi="Times New Roman" w:cs="Times New Roman"/>
          <w:bCs/>
          <w:sz w:val="24"/>
          <w:szCs w:val="24"/>
          <w:lang w:val="ro-MD"/>
        </w:rPr>
      </w:pPr>
      <w:r w:rsidRPr="000C3704">
        <w:rPr>
          <w:rFonts w:ascii="Times New Roman" w:hAnsi="Times New Roman" w:cs="Times New Roman"/>
          <w:sz w:val="24"/>
          <w:szCs w:val="24"/>
          <w:lang w:val="ro-MD"/>
        </w:rPr>
        <w:t>conducerea instituției nu a luat măsuri p</w:t>
      </w:r>
      <w:r w:rsidR="001061A6" w:rsidRPr="000C3704">
        <w:rPr>
          <w:rFonts w:ascii="Times New Roman" w:hAnsi="Times New Roman" w:cs="Times New Roman"/>
          <w:sz w:val="24"/>
          <w:szCs w:val="24"/>
          <w:lang w:val="ro-MD"/>
        </w:rPr>
        <w:t>rivind</w:t>
      </w:r>
      <w:r w:rsidRPr="000C3704">
        <w:rPr>
          <w:rFonts w:ascii="Times New Roman" w:hAnsi="Times New Roman" w:cs="Times New Roman"/>
          <w:sz w:val="24"/>
          <w:szCs w:val="24"/>
          <w:lang w:val="ro-MD"/>
        </w:rPr>
        <w:t xml:space="preserve"> revizuirea statelor de personal și suplinirea funcțiilor vacante timp de mai mulți ani, neorganizând concursuri pentru angajarea personalului, an de an acestea fiind cumulate de către angajații instituției; </w:t>
      </w:r>
    </w:p>
    <w:p w14:paraId="366B6DDE" w14:textId="7727B6E6" w:rsidR="00B01E59" w:rsidRPr="000C3704" w:rsidRDefault="00B01E59" w:rsidP="00E0512F">
      <w:pPr>
        <w:numPr>
          <w:ilvl w:val="0"/>
          <w:numId w:val="1"/>
        </w:numPr>
        <w:tabs>
          <w:tab w:val="left" w:pos="993"/>
        </w:tabs>
        <w:spacing w:after="0" w:line="259" w:lineRule="auto"/>
        <w:ind w:left="0" w:firstLine="709"/>
        <w:contextualSpacing/>
        <w:jc w:val="both"/>
        <w:rPr>
          <w:rFonts w:ascii="Times New Roman" w:hAnsi="Times New Roman" w:cs="Times New Roman"/>
          <w:bCs/>
          <w:sz w:val="24"/>
          <w:szCs w:val="24"/>
          <w:lang w:val="ro-MD"/>
        </w:rPr>
      </w:pPr>
      <w:r w:rsidRPr="000C3704">
        <w:rPr>
          <w:rFonts w:asciiTheme="majorBidi" w:hAnsiTheme="majorBidi" w:cstheme="majorBidi"/>
          <w:sz w:val="24"/>
          <w:szCs w:val="24"/>
          <w:lang w:val="ro-MD"/>
        </w:rPr>
        <w:t xml:space="preserve">UTM nu a asigurat conform evaluarea necesităților, determinarea bugetului și întocmirea planului de achiziții, și nici corelarea între bugetul aprobat/precizat și planul de achiziții, precum și executarea, gestionarea și monitorizarea contractelor de achiziții publice în termenele și condițiile prevăzute de acestea, </w:t>
      </w:r>
      <w:r w:rsidR="003559FE" w:rsidRPr="000C3704">
        <w:rPr>
          <w:rFonts w:asciiTheme="majorBidi" w:hAnsiTheme="majorBidi" w:cstheme="majorBidi"/>
          <w:sz w:val="24"/>
          <w:szCs w:val="24"/>
          <w:lang w:val="ro-MD"/>
        </w:rPr>
        <w:t xml:space="preserve">astfel </w:t>
      </w:r>
      <w:r w:rsidR="001061A6" w:rsidRPr="000C3704">
        <w:rPr>
          <w:rFonts w:asciiTheme="majorBidi" w:hAnsiTheme="majorBidi" w:cstheme="majorBidi"/>
          <w:sz w:val="24"/>
          <w:szCs w:val="24"/>
          <w:lang w:val="ro-MD"/>
        </w:rPr>
        <w:t xml:space="preserve">fiind </w:t>
      </w:r>
      <w:r w:rsidRPr="000C3704">
        <w:rPr>
          <w:rFonts w:asciiTheme="majorBidi" w:hAnsiTheme="majorBidi" w:cstheme="majorBidi"/>
          <w:sz w:val="24"/>
          <w:szCs w:val="24"/>
          <w:lang w:val="ro-MD"/>
        </w:rPr>
        <w:t>afecta</w:t>
      </w:r>
      <w:r w:rsidR="001061A6" w:rsidRPr="000C3704">
        <w:rPr>
          <w:rFonts w:asciiTheme="majorBidi" w:hAnsiTheme="majorBidi" w:cstheme="majorBidi"/>
          <w:sz w:val="24"/>
          <w:szCs w:val="24"/>
          <w:lang w:val="ro-MD"/>
        </w:rPr>
        <w:t>te</w:t>
      </w:r>
      <w:r w:rsidRPr="000C3704">
        <w:rPr>
          <w:rFonts w:asciiTheme="majorBidi" w:hAnsiTheme="majorBidi" w:cstheme="majorBidi"/>
          <w:sz w:val="24"/>
          <w:szCs w:val="24"/>
          <w:lang w:val="ro-MD"/>
        </w:rPr>
        <w:t xml:space="preserve"> legalitatea, transpa</w:t>
      </w:r>
      <w:r w:rsidR="00005216" w:rsidRPr="000C3704">
        <w:rPr>
          <w:rFonts w:asciiTheme="majorBidi" w:hAnsiTheme="majorBidi" w:cstheme="majorBidi"/>
          <w:sz w:val="24"/>
          <w:szCs w:val="24"/>
          <w:lang w:val="ro-MD"/>
        </w:rPr>
        <w:t>renț</w:t>
      </w:r>
      <w:r w:rsidR="001061A6" w:rsidRPr="000C3704">
        <w:rPr>
          <w:rFonts w:asciiTheme="majorBidi" w:hAnsiTheme="majorBidi" w:cstheme="majorBidi"/>
          <w:sz w:val="24"/>
          <w:szCs w:val="24"/>
          <w:lang w:val="ro-MD"/>
        </w:rPr>
        <w:t>a</w:t>
      </w:r>
      <w:r w:rsidR="00005216" w:rsidRPr="000C3704">
        <w:rPr>
          <w:rFonts w:asciiTheme="majorBidi" w:hAnsiTheme="majorBidi" w:cstheme="majorBidi"/>
          <w:sz w:val="24"/>
          <w:szCs w:val="24"/>
          <w:lang w:val="ro-MD"/>
        </w:rPr>
        <w:t xml:space="preserve"> și eficiența achizițiilor</w:t>
      </w:r>
      <w:r w:rsidRPr="000C3704">
        <w:rPr>
          <w:rFonts w:ascii="Times New Roman" w:hAnsi="Times New Roman" w:cs="Times New Roman"/>
          <w:sz w:val="24"/>
          <w:szCs w:val="24"/>
          <w:lang w:val="ro-MD"/>
        </w:rPr>
        <w:t>;</w:t>
      </w:r>
    </w:p>
    <w:p w14:paraId="52629E3C" w14:textId="5517E8F7" w:rsidR="00B01E59" w:rsidRPr="000C3704" w:rsidRDefault="00B01E59" w:rsidP="00667934">
      <w:pPr>
        <w:numPr>
          <w:ilvl w:val="0"/>
          <w:numId w:val="1"/>
        </w:numPr>
        <w:tabs>
          <w:tab w:val="left" w:pos="993"/>
        </w:tabs>
        <w:spacing w:after="0" w:line="259" w:lineRule="auto"/>
        <w:ind w:left="0" w:firstLine="709"/>
        <w:contextualSpacing/>
        <w:jc w:val="both"/>
        <w:rPr>
          <w:rFonts w:ascii="Times New Roman" w:hAnsi="Times New Roman" w:cs="Times New Roman"/>
          <w:bCs/>
          <w:sz w:val="24"/>
          <w:szCs w:val="24"/>
          <w:lang w:val="ro-MD"/>
        </w:rPr>
      </w:pPr>
      <w:r w:rsidRPr="000C3704">
        <w:rPr>
          <w:rFonts w:ascii="Times New Roman" w:hAnsi="Times New Roman" w:cs="Times New Roman"/>
          <w:sz w:val="24"/>
          <w:szCs w:val="24"/>
          <w:lang w:val="ro-MD"/>
        </w:rPr>
        <w:t xml:space="preserve">nerespectarea prevederilor cadrului normativ la efectuarea inventarierii a </w:t>
      </w:r>
      <w:r w:rsidR="003559FE" w:rsidRPr="000C3704">
        <w:rPr>
          <w:rFonts w:ascii="Times New Roman" w:hAnsi="Times New Roman" w:cs="Times New Roman"/>
          <w:sz w:val="24"/>
          <w:szCs w:val="24"/>
          <w:lang w:val="ro-MD"/>
        </w:rPr>
        <w:t xml:space="preserve">condiționat </w:t>
      </w:r>
      <w:r w:rsidRPr="000C3704">
        <w:rPr>
          <w:rFonts w:ascii="Times New Roman" w:hAnsi="Times New Roman" w:cs="Times New Roman"/>
          <w:sz w:val="24"/>
          <w:szCs w:val="24"/>
          <w:lang w:val="ro-MD"/>
        </w:rPr>
        <w:t xml:space="preserve"> denaturarea datelor refl</w:t>
      </w:r>
      <w:r w:rsidR="00005216" w:rsidRPr="000C3704">
        <w:rPr>
          <w:rFonts w:ascii="Times New Roman" w:hAnsi="Times New Roman" w:cs="Times New Roman"/>
          <w:sz w:val="24"/>
          <w:szCs w:val="24"/>
          <w:lang w:val="ro-MD"/>
        </w:rPr>
        <w:t>ectate în situațiile financiare</w:t>
      </w:r>
      <w:r w:rsidR="006C52A8" w:rsidRPr="000C3704">
        <w:rPr>
          <w:rFonts w:ascii="Times New Roman" w:hAnsi="Times New Roman" w:cs="Times New Roman"/>
          <w:sz w:val="24"/>
          <w:szCs w:val="24"/>
          <w:lang w:val="ro-MD"/>
        </w:rPr>
        <w:t xml:space="preserve"> cu</w:t>
      </w:r>
      <w:r w:rsidR="001F2469" w:rsidRPr="000C3704">
        <w:rPr>
          <w:rFonts w:ascii="Times New Roman" w:hAnsi="Times New Roman" w:cs="Times New Roman"/>
          <w:sz w:val="24"/>
          <w:szCs w:val="24"/>
          <w:lang w:val="ro-MD"/>
        </w:rPr>
        <w:t xml:space="preserve"> 35,9 mil. lei</w:t>
      </w:r>
      <w:r w:rsidRPr="000C3704">
        <w:rPr>
          <w:rFonts w:ascii="Times New Roman" w:hAnsi="Times New Roman" w:cs="Times New Roman"/>
          <w:sz w:val="24"/>
          <w:szCs w:val="24"/>
          <w:lang w:val="ro-MD"/>
        </w:rPr>
        <w:t>;</w:t>
      </w:r>
    </w:p>
    <w:p w14:paraId="2C5D53AB" w14:textId="4CAF1F3C" w:rsidR="00B01E59" w:rsidRPr="000C3704" w:rsidRDefault="00B01E59" w:rsidP="00005216">
      <w:pPr>
        <w:numPr>
          <w:ilvl w:val="0"/>
          <w:numId w:val="1"/>
        </w:numPr>
        <w:tabs>
          <w:tab w:val="left" w:pos="993"/>
        </w:tabs>
        <w:spacing w:after="0" w:line="259" w:lineRule="auto"/>
        <w:ind w:left="0" w:firstLine="709"/>
        <w:contextualSpacing/>
        <w:jc w:val="both"/>
        <w:rPr>
          <w:rFonts w:ascii="Times New Roman" w:hAnsi="Times New Roman" w:cs="Times New Roman"/>
          <w:bCs/>
          <w:sz w:val="24"/>
          <w:szCs w:val="24"/>
          <w:lang w:val="ro-MD"/>
        </w:rPr>
      </w:pPr>
      <w:r w:rsidRPr="000C3704">
        <w:rPr>
          <w:rFonts w:ascii="Times New Roman" w:hAnsi="Times New Roman" w:cs="Times New Roman"/>
          <w:color w:val="000000"/>
          <w:sz w:val="24"/>
          <w:szCs w:val="24"/>
          <w:shd w:val="clear" w:color="auto" w:fill="FFFFFF"/>
          <w:lang w:val="ro-MD"/>
        </w:rPr>
        <w:t xml:space="preserve">procesul de </w:t>
      </w:r>
      <w:r w:rsidRPr="000C3704">
        <w:rPr>
          <w:rFonts w:ascii="Times New Roman" w:hAnsi="Times New Roman" w:cs="Times New Roman"/>
          <w:sz w:val="24"/>
          <w:szCs w:val="24"/>
          <w:lang w:val="ro-MD"/>
        </w:rPr>
        <w:t>delimitare a proprietății publice</w:t>
      </w:r>
      <w:r w:rsidRPr="000C3704">
        <w:rPr>
          <w:rFonts w:ascii="Times New Roman" w:hAnsi="Times New Roman" w:cs="Times New Roman"/>
          <w:color w:val="000000"/>
          <w:sz w:val="24"/>
          <w:szCs w:val="24"/>
          <w:shd w:val="clear" w:color="auto" w:fill="FFFFFF"/>
          <w:lang w:val="ro-MD"/>
        </w:rPr>
        <w:t xml:space="preserve"> nu este finalizat conform,</w:t>
      </w:r>
      <w:r w:rsidRPr="000C3704">
        <w:rPr>
          <w:rFonts w:ascii="Times New Roman" w:hAnsi="Times New Roman" w:cs="Times New Roman"/>
          <w:sz w:val="24"/>
          <w:szCs w:val="24"/>
          <w:lang w:val="ro-MD"/>
        </w:rPr>
        <w:t xml:space="preserve"> iar datoriile aferente patrimoniului primit în gestiune economică și, respectiv, aferente patrimoniului primit de la stat cu drept de proprietate nu sunt reflectate regulamentar</w:t>
      </w:r>
      <w:r w:rsidRPr="000C3704">
        <w:rPr>
          <w:rFonts w:ascii="Times New Roman" w:hAnsi="Times New Roman" w:cs="Times New Roman"/>
          <w:color w:val="000000"/>
          <w:sz w:val="24"/>
          <w:szCs w:val="24"/>
          <w:shd w:val="clear" w:color="auto" w:fill="FFFFFF"/>
          <w:lang w:val="ro-MD"/>
        </w:rPr>
        <w:t>, ceea ce generează posibile riscuri la apărarea dreptului de proprietate publică asupra acestuia</w:t>
      </w:r>
      <w:r w:rsidRPr="000C3704">
        <w:rPr>
          <w:rFonts w:ascii="Times New Roman" w:hAnsi="Times New Roman" w:cs="Times New Roman"/>
          <w:sz w:val="24"/>
          <w:szCs w:val="24"/>
          <w:lang w:val="ro-MD"/>
        </w:rPr>
        <w:t>;</w:t>
      </w:r>
    </w:p>
    <w:p w14:paraId="135F81DE" w14:textId="62F024EA" w:rsidR="00B01E59" w:rsidRPr="000C3704" w:rsidRDefault="00B01E59" w:rsidP="00005216">
      <w:pPr>
        <w:numPr>
          <w:ilvl w:val="0"/>
          <w:numId w:val="1"/>
        </w:numPr>
        <w:tabs>
          <w:tab w:val="left" w:pos="993"/>
        </w:tabs>
        <w:spacing w:after="0" w:line="259" w:lineRule="auto"/>
        <w:ind w:left="0" w:firstLine="709"/>
        <w:contextualSpacing/>
        <w:jc w:val="both"/>
        <w:rPr>
          <w:rFonts w:ascii="Times New Roman" w:hAnsi="Times New Roman" w:cs="Times New Roman"/>
          <w:bCs/>
          <w:sz w:val="24"/>
          <w:szCs w:val="24"/>
          <w:lang w:val="ro-MD"/>
        </w:rPr>
      </w:pPr>
      <w:r w:rsidRPr="000C3704">
        <w:rPr>
          <w:rFonts w:ascii="Times New Roman" w:hAnsi="Times New Roman" w:cs="Times New Roman"/>
          <w:sz w:val="24"/>
          <w:szCs w:val="24"/>
          <w:lang w:val="ro-MD"/>
        </w:rPr>
        <w:t xml:space="preserve">nerespectarea cadrului normativ la organizarea contabilității a afectat </w:t>
      </w:r>
      <w:r w:rsidRPr="000C3704">
        <w:rPr>
          <w:rFonts w:ascii="Times New Roman" w:hAnsi="Times New Roman" w:cs="Times New Roman"/>
          <w:sz w:val="24"/>
          <w:szCs w:val="24"/>
          <w:shd w:val="clear" w:color="auto" w:fill="FFFFFF"/>
          <w:lang w:val="ro-MD"/>
        </w:rPr>
        <w:t xml:space="preserve">caracteristicile calitative fundamentale și amplificatoare ale informațiilor prezentate în situațiile financiare, </w:t>
      </w:r>
      <w:r w:rsidRPr="000C3704">
        <w:rPr>
          <w:rFonts w:ascii="Times New Roman" w:hAnsi="Times New Roman" w:cs="Times New Roman"/>
          <w:bCs/>
          <w:sz w:val="24"/>
          <w:szCs w:val="24"/>
          <w:shd w:val="clear" w:color="auto" w:fill="FFFFFF"/>
          <w:lang w:val="ro-MD"/>
        </w:rPr>
        <w:t xml:space="preserve"> </w:t>
      </w:r>
      <w:r w:rsidR="003559FE" w:rsidRPr="000C3704">
        <w:rPr>
          <w:rFonts w:ascii="Times New Roman" w:hAnsi="Times New Roman" w:cs="Times New Roman"/>
          <w:bCs/>
          <w:sz w:val="24"/>
          <w:szCs w:val="24"/>
          <w:shd w:val="clear" w:color="auto" w:fill="FFFFFF"/>
          <w:lang w:val="ro-MD"/>
        </w:rPr>
        <w:t xml:space="preserve">fiind </w:t>
      </w:r>
      <w:r w:rsidRPr="000C3704">
        <w:rPr>
          <w:rFonts w:ascii="Times New Roman" w:hAnsi="Times New Roman" w:cs="Times New Roman"/>
          <w:bCs/>
          <w:sz w:val="24"/>
          <w:szCs w:val="24"/>
          <w:shd w:val="clear" w:color="auto" w:fill="FFFFFF"/>
          <w:lang w:val="ro-MD"/>
        </w:rPr>
        <w:t>denatura</w:t>
      </w:r>
      <w:r w:rsidR="003559FE" w:rsidRPr="000C3704">
        <w:rPr>
          <w:rFonts w:ascii="Times New Roman" w:hAnsi="Times New Roman" w:cs="Times New Roman"/>
          <w:bCs/>
          <w:sz w:val="24"/>
          <w:szCs w:val="24"/>
          <w:shd w:val="clear" w:color="auto" w:fill="FFFFFF"/>
          <w:lang w:val="ro-MD"/>
        </w:rPr>
        <w:t>t</w:t>
      </w:r>
      <w:r w:rsidRPr="000C3704">
        <w:rPr>
          <w:rFonts w:ascii="Times New Roman" w:hAnsi="Times New Roman" w:cs="Times New Roman"/>
          <w:bCs/>
          <w:sz w:val="24"/>
          <w:szCs w:val="24"/>
          <w:shd w:val="clear" w:color="auto" w:fill="FFFFFF"/>
          <w:lang w:val="ro-MD"/>
        </w:rPr>
        <w:t xml:space="preserve"> rezultatul financiar </w:t>
      </w:r>
      <w:r w:rsidR="003559FE" w:rsidRPr="000C3704">
        <w:rPr>
          <w:rFonts w:ascii="Times New Roman" w:hAnsi="Times New Roman" w:cs="Times New Roman"/>
          <w:bCs/>
          <w:sz w:val="24"/>
          <w:szCs w:val="24"/>
          <w:shd w:val="clear" w:color="auto" w:fill="FFFFFF"/>
          <w:lang w:val="ro-MD"/>
        </w:rPr>
        <w:t>cu</w:t>
      </w:r>
      <w:r w:rsidRPr="000C3704">
        <w:rPr>
          <w:rFonts w:ascii="Times New Roman" w:hAnsi="Times New Roman" w:cs="Times New Roman"/>
          <w:bCs/>
          <w:sz w:val="24"/>
          <w:szCs w:val="24"/>
          <w:shd w:val="clear" w:color="auto" w:fill="FFFFFF"/>
          <w:lang w:val="ro-MD"/>
        </w:rPr>
        <w:t xml:space="preserve"> sum</w:t>
      </w:r>
      <w:r w:rsidR="003559FE" w:rsidRPr="000C3704">
        <w:rPr>
          <w:rFonts w:ascii="Times New Roman" w:hAnsi="Times New Roman" w:cs="Times New Roman"/>
          <w:bCs/>
          <w:sz w:val="24"/>
          <w:szCs w:val="24"/>
          <w:shd w:val="clear" w:color="auto" w:fill="FFFFFF"/>
          <w:lang w:val="ro-MD"/>
        </w:rPr>
        <w:t>a</w:t>
      </w:r>
      <w:r w:rsidRPr="000C3704">
        <w:rPr>
          <w:rFonts w:ascii="Times New Roman" w:hAnsi="Times New Roman" w:cs="Times New Roman"/>
          <w:bCs/>
          <w:sz w:val="24"/>
          <w:szCs w:val="24"/>
          <w:shd w:val="clear" w:color="auto" w:fill="FFFFFF"/>
          <w:lang w:val="ro-MD"/>
        </w:rPr>
        <w:t xml:space="preserve"> de 25,1 mil.lei</w:t>
      </w:r>
      <w:r w:rsidRPr="000C3704">
        <w:rPr>
          <w:rFonts w:ascii="Times New Roman" w:hAnsi="Times New Roman" w:cs="Times New Roman"/>
          <w:bCs/>
          <w:sz w:val="24"/>
          <w:szCs w:val="24"/>
          <w:lang w:val="ro-MD"/>
        </w:rPr>
        <w:t>;</w:t>
      </w:r>
    </w:p>
    <w:p w14:paraId="025487CB" w14:textId="31C50D29" w:rsidR="00005216" w:rsidRPr="000C3704" w:rsidRDefault="00B01E59" w:rsidP="00DD679B">
      <w:pPr>
        <w:numPr>
          <w:ilvl w:val="0"/>
          <w:numId w:val="1"/>
        </w:numPr>
        <w:tabs>
          <w:tab w:val="left" w:pos="993"/>
        </w:tabs>
        <w:spacing w:after="0" w:line="276" w:lineRule="auto"/>
        <w:ind w:left="0" w:firstLine="709"/>
        <w:contextualSpacing/>
        <w:jc w:val="both"/>
        <w:rPr>
          <w:rFonts w:ascii="Times New Roman" w:eastAsia="Times New Roman" w:hAnsi="Times New Roman" w:cs="Times New Roman"/>
          <w:sz w:val="24"/>
          <w:szCs w:val="24"/>
          <w:lang w:val="ro-MD"/>
        </w:rPr>
      </w:pPr>
      <w:r w:rsidRPr="000C3704">
        <w:rPr>
          <w:rFonts w:ascii="Times New Roman" w:hAnsi="Times New Roman" w:cs="Times New Roman"/>
          <w:bCs/>
          <w:sz w:val="24"/>
          <w:szCs w:val="24"/>
          <w:lang w:val="ro-MD"/>
        </w:rPr>
        <w:t>procedurile de control intern managerial instituite în cadrul procesului de finanțare a proiectelor de cercetare și inovare nu asigură în măsură deplină raportarea conformă a rezultatelor științifice și utilizarea eficientă a mijloacelor financiare alocate, majorând</w:t>
      </w:r>
      <w:r w:rsidR="003559FE" w:rsidRPr="000C3704">
        <w:rPr>
          <w:rFonts w:ascii="Times New Roman" w:hAnsi="Times New Roman" w:cs="Times New Roman"/>
          <w:bCs/>
          <w:sz w:val="24"/>
          <w:szCs w:val="24"/>
          <w:lang w:val="ro-MD"/>
        </w:rPr>
        <w:t>u-se</w:t>
      </w:r>
      <w:r w:rsidRPr="000C3704">
        <w:rPr>
          <w:rFonts w:ascii="Times New Roman" w:hAnsi="Times New Roman" w:cs="Times New Roman"/>
          <w:bCs/>
          <w:sz w:val="24"/>
          <w:szCs w:val="24"/>
          <w:lang w:val="ro-MD"/>
        </w:rPr>
        <w:t xml:space="preserve"> cheltuielil</w:t>
      </w:r>
      <w:r w:rsidR="003559FE" w:rsidRPr="000C3704">
        <w:rPr>
          <w:rFonts w:ascii="Times New Roman" w:hAnsi="Times New Roman" w:cs="Times New Roman"/>
          <w:bCs/>
          <w:sz w:val="24"/>
          <w:szCs w:val="24"/>
          <w:lang w:val="ro-MD"/>
        </w:rPr>
        <w:t>e</w:t>
      </w:r>
      <w:r w:rsidRPr="000C3704">
        <w:rPr>
          <w:rFonts w:ascii="Times New Roman" w:hAnsi="Times New Roman" w:cs="Times New Roman"/>
          <w:bCs/>
          <w:sz w:val="24"/>
          <w:szCs w:val="24"/>
          <w:lang w:val="ro-MD"/>
        </w:rPr>
        <w:t xml:space="preserve"> și</w:t>
      </w:r>
      <w:r w:rsidR="003559FE" w:rsidRPr="000C3704">
        <w:rPr>
          <w:rFonts w:ascii="Times New Roman" w:hAnsi="Times New Roman" w:cs="Times New Roman"/>
          <w:bCs/>
          <w:sz w:val="24"/>
          <w:szCs w:val="24"/>
          <w:lang w:val="ro-MD"/>
        </w:rPr>
        <w:t>,</w:t>
      </w:r>
      <w:r w:rsidRPr="000C3704">
        <w:rPr>
          <w:rFonts w:ascii="Times New Roman" w:hAnsi="Times New Roman" w:cs="Times New Roman"/>
          <w:bCs/>
          <w:sz w:val="24"/>
          <w:szCs w:val="24"/>
          <w:lang w:val="ro-MD"/>
        </w:rPr>
        <w:t xml:space="preserve"> respectiv</w:t>
      </w:r>
      <w:r w:rsidR="003559FE" w:rsidRPr="000C3704">
        <w:rPr>
          <w:rFonts w:ascii="Times New Roman" w:hAnsi="Times New Roman" w:cs="Times New Roman"/>
          <w:bCs/>
          <w:sz w:val="24"/>
          <w:szCs w:val="24"/>
          <w:lang w:val="ro-MD"/>
        </w:rPr>
        <w:t>,</w:t>
      </w:r>
      <w:r w:rsidRPr="000C3704">
        <w:rPr>
          <w:rFonts w:ascii="Times New Roman" w:hAnsi="Times New Roman" w:cs="Times New Roman"/>
          <w:bCs/>
          <w:sz w:val="24"/>
          <w:szCs w:val="24"/>
          <w:lang w:val="ro-MD"/>
        </w:rPr>
        <w:t xml:space="preserve"> diminuând</w:t>
      </w:r>
      <w:r w:rsidR="003559FE" w:rsidRPr="000C3704">
        <w:rPr>
          <w:rFonts w:ascii="Times New Roman" w:hAnsi="Times New Roman" w:cs="Times New Roman"/>
          <w:bCs/>
          <w:sz w:val="24"/>
          <w:szCs w:val="24"/>
          <w:lang w:val="ro-MD"/>
        </w:rPr>
        <w:t>u-se</w:t>
      </w:r>
      <w:r w:rsidRPr="000C3704">
        <w:rPr>
          <w:rFonts w:ascii="Times New Roman" w:hAnsi="Times New Roman" w:cs="Times New Roman"/>
          <w:bCs/>
          <w:sz w:val="24"/>
          <w:szCs w:val="24"/>
          <w:lang w:val="ro-MD"/>
        </w:rPr>
        <w:t xml:space="preserve"> valoarea imobilizărilor necorporale cu cel puțin</w:t>
      </w:r>
      <w:r w:rsidR="00005216" w:rsidRPr="000C3704">
        <w:rPr>
          <w:rFonts w:ascii="Times New Roman" w:hAnsi="Times New Roman" w:cs="Times New Roman"/>
          <w:bCs/>
          <w:sz w:val="24"/>
          <w:szCs w:val="24"/>
          <w:lang w:val="ro-MD"/>
        </w:rPr>
        <w:t xml:space="preserve"> 139,96 mil. lei</w:t>
      </w:r>
      <w:r w:rsidRPr="000C3704">
        <w:rPr>
          <w:rFonts w:ascii="Times New Roman" w:hAnsi="Times New Roman" w:cs="Times New Roman"/>
          <w:sz w:val="24"/>
          <w:szCs w:val="24"/>
          <w:lang w:val="ro-MD"/>
        </w:rPr>
        <w:t>;</w:t>
      </w:r>
    </w:p>
    <w:p w14:paraId="489F63AC" w14:textId="0811C735" w:rsidR="00B01E59" w:rsidRPr="000C3704" w:rsidRDefault="00B01E59" w:rsidP="00DD679B">
      <w:pPr>
        <w:numPr>
          <w:ilvl w:val="0"/>
          <w:numId w:val="1"/>
        </w:numPr>
        <w:tabs>
          <w:tab w:val="left" w:pos="993"/>
        </w:tabs>
        <w:spacing w:after="0" w:line="276" w:lineRule="auto"/>
        <w:ind w:left="0" w:firstLine="709"/>
        <w:contextualSpacing/>
        <w:jc w:val="both"/>
        <w:rPr>
          <w:rFonts w:ascii="Times New Roman" w:eastAsia="Times New Roman" w:hAnsi="Times New Roman" w:cs="Times New Roman"/>
          <w:sz w:val="24"/>
          <w:szCs w:val="24"/>
          <w:lang w:val="ro-MD"/>
        </w:rPr>
      </w:pPr>
      <w:r w:rsidRPr="000C3704">
        <w:rPr>
          <w:rFonts w:ascii="Times New Roman" w:hAnsi="Times New Roman" w:cs="Times New Roman"/>
          <w:sz w:val="24"/>
          <w:szCs w:val="24"/>
          <w:lang w:val="ro-MD"/>
        </w:rPr>
        <w:t>în urma procesului de reorganizare a instituțiilor din domeniul educației, cercetării și inovării</w:t>
      </w:r>
      <w:r w:rsidR="003559FE" w:rsidRPr="000C3704">
        <w:rPr>
          <w:rFonts w:ascii="Times New Roman" w:hAnsi="Times New Roman" w:cs="Times New Roman"/>
          <w:sz w:val="24"/>
          <w:szCs w:val="24"/>
          <w:lang w:val="ro-MD"/>
        </w:rPr>
        <w:t>,</w:t>
      </w:r>
      <w:r w:rsidRPr="000C3704">
        <w:rPr>
          <w:rFonts w:ascii="Times New Roman" w:hAnsi="Times New Roman" w:cs="Times New Roman"/>
          <w:sz w:val="24"/>
          <w:szCs w:val="24"/>
          <w:lang w:val="ro-MD"/>
        </w:rPr>
        <w:t xml:space="preserve"> autoritățile publice centrale și UTM nu a</w:t>
      </w:r>
      <w:r w:rsidR="003559FE" w:rsidRPr="000C3704">
        <w:rPr>
          <w:rFonts w:ascii="Times New Roman" w:hAnsi="Times New Roman" w:cs="Times New Roman"/>
          <w:sz w:val="24"/>
          <w:szCs w:val="24"/>
          <w:lang w:val="ro-MD"/>
        </w:rPr>
        <w:t>u</w:t>
      </w:r>
      <w:r w:rsidRPr="000C3704">
        <w:rPr>
          <w:rFonts w:ascii="Times New Roman" w:hAnsi="Times New Roman" w:cs="Times New Roman"/>
          <w:sz w:val="24"/>
          <w:szCs w:val="24"/>
          <w:lang w:val="ro-MD"/>
        </w:rPr>
        <w:t xml:space="preserve"> asigurat integrarea tuturor angajaților instituțiilor absorbite, nu a</w:t>
      </w:r>
      <w:r w:rsidR="003559FE" w:rsidRPr="000C3704">
        <w:rPr>
          <w:rFonts w:ascii="Times New Roman" w:hAnsi="Times New Roman" w:cs="Times New Roman"/>
          <w:sz w:val="24"/>
          <w:szCs w:val="24"/>
          <w:lang w:val="ro-MD"/>
        </w:rPr>
        <w:t>u</w:t>
      </w:r>
      <w:r w:rsidRPr="000C3704">
        <w:rPr>
          <w:rFonts w:ascii="Times New Roman" w:hAnsi="Times New Roman" w:cs="Times New Roman"/>
          <w:sz w:val="24"/>
          <w:szCs w:val="24"/>
          <w:lang w:val="ro-MD"/>
        </w:rPr>
        <w:t xml:space="preserve"> înregistrat corect în evidența contabilă drepturile și obligațiile aferente instituțiilor absorbite, nu a</w:t>
      </w:r>
      <w:r w:rsidR="003559FE" w:rsidRPr="000C3704">
        <w:rPr>
          <w:rFonts w:ascii="Times New Roman" w:hAnsi="Times New Roman" w:cs="Times New Roman"/>
          <w:sz w:val="24"/>
          <w:szCs w:val="24"/>
          <w:lang w:val="ro-MD"/>
        </w:rPr>
        <w:t>u</w:t>
      </w:r>
      <w:r w:rsidRPr="000C3704">
        <w:rPr>
          <w:rFonts w:ascii="Times New Roman" w:hAnsi="Times New Roman" w:cs="Times New Roman"/>
          <w:sz w:val="24"/>
          <w:szCs w:val="24"/>
          <w:lang w:val="ro-MD"/>
        </w:rPr>
        <w:t xml:space="preserve"> evaluat patrimoniul transmis în gestiune economică de la instituțiile bugetare, fapt ce atestă că procesul de reorganizare s-a efectuat cu abateri de la cadrul normativ în vigoare.</w:t>
      </w:r>
    </w:p>
    <w:p w14:paraId="77D8BB79" w14:textId="5E3267C8" w:rsidR="00A3550D" w:rsidRPr="000C3704" w:rsidRDefault="00864793" w:rsidP="00864793">
      <w:pPr>
        <w:pStyle w:val="a4"/>
        <w:spacing w:line="276" w:lineRule="auto"/>
        <w:ind w:right="-2" w:firstLine="709"/>
        <w:rPr>
          <w:rFonts w:asciiTheme="majorBidi" w:hAnsiTheme="majorBidi" w:cstheme="majorBidi"/>
          <w:lang w:val="ro-MD"/>
        </w:rPr>
      </w:pPr>
      <w:r w:rsidRPr="000C3704">
        <w:rPr>
          <w:lang w:val="ro-MD"/>
        </w:rPr>
        <w:t>Deficiențele și neconformitățile menționate</w:t>
      </w:r>
      <w:r w:rsidR="00A3550D" w:rsidRPr="000C3704">
        <w:rPr>
          <w:lang w:val="ro-MD"/>
        </w:rPr>
        <w:t xml:space="preserve"> au fost condiționate de lipsa activităților de control eficiente aferente procesului de gestionare a resurselor financiare și a patrimoniului public</w:t>
      </w:r>
      <w:r w:rsidRPr="000C3704">
        <w:rPr>
          <w:lang w:val="ro-MD"/>
        </w:rPr>
        <w:t>,</w:t>
      </w:r>
      <w:r w:rsidR="00A3550D" w:rsidRPr="000C3704">
        <w:rPr>
          <w:lang w:val="ro-MD"/>
        </w:rPr>
        <w:t xml:space="preserve"> de responsabilitatea insuficientă a factorilor de decizie la exercitarea atribuțiilor funcționale</w:t>
      </w:r>
      <w:r w:rsidR="007722B9" w:rsidRPr="000C3704">
        <w:rPr>
          <w:lang w:val="ro-MD"/>
        </w:rPr>
        <w:t xml:space="preserve">, </w:t>
      </w:r>
      <w:r w:rsidRPr="000C3704">
        <w:rPr>
          <w:lang w:val="ro-MD"/>
        </w:rPr>
        <w:t xml:space="preserve"> precum și de neconformarea responsabililor din cadrul entității la prevederile cadrului normativ</w:t>
      </w:r>
      <w:r w:rsidR="00A3550D" w:rsidRPr="000C3704">
        <w:rPr>
          <w:lang w:val="ro-MD"/>
        </w:rPr>
        <w:t>.</w:t>
      </w:r>
    </w:p>
    <w:p w14:paraId="2CC1FEE0" w14:textId="78568A90" w:rsidR="00C61F48" w:rsidRPr="000C3704" w:rsidRDefault="00C61F48" w:rsidP="00864793">
      <w:pPr>
        <w:pStyle w:val="a4"/>
        <w:spacing w:line="276" w:lineRule="auto"/>
        <w:ind w:right="-2" w:firstLine="709"/>
        <w:rPr>
          <w:rFonts w:asciiTheme="majorBidi" w:hAnsiTheme="majorBidi" w:cstheme="majorBidi"/>
          <w:lang w:val="ro-MD"/>
        </w:rPr>
      </w:pPr>
      <w:r w:rsidRPr="000C3704">
        <w:rPr>
          <w:rFonts w:asciiTheme="majorBidi" w:hAnsiTheme="majorBidi" w:cstheme="majorBidi"/>
          <w:lang w:val="ro-MD"/>
        </w:rPr>
        <w:t xml:space="preserve"> Reieșind din cele expuse, în temeiul art.14 alin.(2), art.15 lit. d) și art.37 alin.(2) din Legea nr.260 din 07.12.2017, Curtea de Conturi</w:t>
      </w:r>
    </w:p>
    <w:p w14:paraId="295BB257" w14:textId="77777777" w:rsidR="00C61F48" w:rsidRPr="000C3704" w:rsidRDefault="00C61F48" w:rsidP="00C61F48">
      <w:pPr>
        <w:pStyle w:val="cp"/>
        <w:spacing w:line="276" w:lineRule="auto"/>
        <w:rPr>
          <w:rFonts w:asciiTheme="majorBidi" w:hAnsiTheme="majorBidi" w:cstheme="majorBidi"/>
          <w:lang w:val="ro-MD"/>
        </w:rPr>
      </w:pPr>
    </w:p>
    <w:p w14:paraId="3DD57AB6" w14:textId="77777777" w:rsidR="00C61F48" w:rsidRPr="000C3704" w:rsidRDefault="00C61F48" w:rsidP="00C61F48">
      <w:pPr>
        <w:pStyle w:val="cp"/>
        <w:spacing w:line="276" w:lineRule="auto"/>
        <w:rPr>
          <w:rFonts w:asciiTheme="majorBidi" w:hAnsiTheme="majorBidi" w:cstheme="majorBidi"/>
          <w:lang w:val="ro-MD"/>
        </w:rPr>
      </w:pPr>
      <w:r w:rsidRPr="000C3704">
        <w:rPr>
          <w:rFonts w:asciiTheme="majorBidi" w:hAnsiTheme="majorBidi" w:cstheme="majorBidi"/>
          <w:lang w:val="ro-MD"/>
        </w:rPr>
        <w:t>HOTĂRĂŞTE:</w:t>
      </w:r>
    </w:p>
    <w:p w14:paraId="41D1806B" w14:textId="376A2AF0" w:rsidR="00C61F48" w:rsidRPr="000C3704" w:rsidRDefault="00C61F48" w:rsidP="00F34191">
      <w:pPr>
        <w:pStyle w:val="a4"/>
        <w:spacing w:line="276" w:lineRule="auto"/>
        <w:ind w:firstLine="0"/>
        <w:rPr>
          <w:rFonts w:asciiTheme="majorBidi" w:hAnsiTheme="majorBidi" w:cstheme="majorBidi"/>
          <w:lang w:val="ro-MD"/>
        </w:rPr>
      </w:pPr>
      <w:r w:rsidRPr="000C3704">
        <w:rPr>
          <w:rFonts w:asciiTheme="majorBidi" w:hAnsiTheme="majorBidi" w:cstheme="majorBidi"/>
          <w:b/>
          <w:lang w:val="ro-MD"/>
        </w:rPr>
        <w:t>1</w:t>
      </w:r>
      <w:r w:rsidRPr="000C3704">
        <w:rPr>
          <w:rFonts w:asciiTheme="majorBidi" w:hAnsiTheme="majorBidi" w:cstheme="majorBidi"/>
          <w:lang w:val="ro-MD"/>
        </w:rPr>
        <w:t xml:space="preserve">. Se aprobă </w:t>
      </w:r>
      <w:r w:rsidRPr="000C3704">
        <w:rPr>
          <w:rFonts w:asciiTheme="majorBidi" w:hAnsiTheme="majorBidi" w:cstheme="majorBidi"/>
          <w:shd w:val="clear" w:color="auto" w:fill="FFFFFF" w:themeFill="background1"/>
          <w:lang w:val="ro-MD"/>
        </w:rPr>
        <w:t>Raportul</w:t>
      </w:r>
      <w:r w:rsidR="005F5A64" w:rsidRPr="000C3704">
        <w:rPr>
          <w:rFonts w:asciiTheme="majorBidi" w:hAnsiTheme="majorBidi" w:cstheme="majorBidi"/>
        </w:rPr>
        <w:t xml:space="preserve"> </w:t>
      </w:r>
      <w:r w:rsidR="005F5A64" w:rsidRPr="000C3704">
        <w:rPr>
          <w:rFonts w:asciiTheme="majorBidi" w:hAnsiTheme="majorBidi" w:cstheme="majorBidi"/>
          <w:shd w:val="clear" w:color="auto" w:fill="FFFFFF" w:themeFill="background1"/>
          <w:lang w:val="ro-MD"/>
        </w:rPr>
        <w:t xml:space="preserve">auditului conformității asupra gestionării patrimoniului public și a resurselor financiare de către </w:t>
      </w:r>
      <w:r w:rsidR="00F34191" w:rsidRPr="000C3704">
        <w:rPr>
          <w:rFonts w:asciiTheme="majorBidi" w:hAnsiTheme="majorBidi" w:cstheme="majorBidi"/>
          <w:lang w:val="ro-RO"/>
        </w:rPr>
        <w:t>Universitatea Tehnică a Moldovei</w:t>
      </w:r>
      <w:r w:rsidR="005F5A64" w:rsidRPr="000C3704">
        <w:rPr>
          <w:rFonts w:asciiTheme="majorBidi" w:hAnsiTheme="majorBidi" w:cstheme="majorBidi"/>
          <w:shd w:val="clear" w:color="auto" w:fill="FFFFFF" w:themeFill="background1"/>
          <w:lang w:val="ro-MD"/>
        </w:rPr>
        <w:t xml:space="preserve"> în anii 2021-2022</w:t>
      </w:r>
      <w:r w:rsidRPr="000C3704">
        <w:rPr>
          <w:rFonts w:asciiTheme="majorBidi" w:hAnsiTheme="majorBidi" w:cstheme="majorBidi"/>
          <w:lang w:val="ro-MD"/>
        </w:rPr>
        <w:t>, anexat la prezenta Hotărâre.</w:t>
      </w:r>
    </w:p>
    <w:p w14:paraId="1D385CB8" w14:textId="77777777" w:rsidR="00C61F48" w:rsidRPr="000C3704" w:rsidRDefault="00C61F48" w:rsidP="00C61F48">
      <w:pPr>
        <w:pStyle w:val="a4"/>
        <w:spacing w:line="276" w:lineRule="auto"/>
        <w:ind w:firstLine="0"/>
        <w:rPr>
          <w:rFonts w:asciiTheme="majorBidi" w:hAnsiTheme="majorBidi" w:cstheme="majorBidi"/>
          <w:lang w:val="ro-MD"/>
        </w:rPr>
      </w:pPr>
      <w:r w:rsidRPr="000C3704">
        <w:rPr>
          <w:rFonts w:asciiTheme="majorBidi" w:hAnsiTheme="majorBidi" w:cstheme="majorBidi"/>
          <w:b/>
          <w:lang w:val="ro-MD"/>
        </w:rPr>
        <w:t>2.</w:t>
      </w:r>
      <w:r w:rsidRPr="000C3704">
        <w:rPr>
          <w:rFonts w:asciiTheme="majorBidi" w:hAnsiTheme="majorBidi" w:cstheme="majorBidi"/>
          <w:lang w:val="ro-MD"/>
        </w:rPr>
        <w:t xml:space="preserve"> Prezenta Hotărâre și Raportul de audit se remit:</w:t>
      </w:r>
    </w:p>
    <w:p w14:paraId="1649BC23" w14:textId="77777777" w:rsidR="00C61F48" w:rsidRPr="000C3704" w:rsidRDefault="00C61F48" w:rsidP="00FB0A53">
      <w:pPr>
        <w:pStyle w:val="a4"/>
        <w:spacing w:line="276" w:lineRule="auto"/>
        <w:ind w:firstLine="0"/>
        <w:rPr>
          <w:rFonts w:asciiTheme="majorBidi" w:hAnsiTheme="majorBidi" w:cstheme="majorBidi"/>
          <w:lang w:val="ro-MD"/>
        </w:rPr>
      </w:pPr>
      <w:r w:rsidRPr="000C3704">
        <w:rPr>
          <w:rFonts w:asciiTheme="majorBidi" w:hAnsiTheme="majorBidi" w:cstheme="majorBidi"/>
          <w:lang w:val="ro-MD"/>
        </w:rPr>
        <w:t xml:space="preserve">2.1. </w:t>
      </w:r>
      <w:r w:rsidR="00FB0A53" w:rsidRPr="000C3704">
        <w:rPr>
          <w:rFonts w:asciiTheme="majorBidi" w:hAnsiTheme="majorBidi" w:cstheme="majorBidi"/>
          <w:b/>
          <w:lang w:val="ro-MD"/>
        </w:rPr>
        <w:t>Parlamentului Republicii Moldova</w:t>
      </w:r>
      <w:r w:rsidR="00FB0A53" w:rsidRPr="000C3704">
        <w:rPr>
          <w:rFonts w:asciiTheme="majorBidi" w:hAnsiTheme="majorBidi" w:cstheme="majorBidi"/>
          <w:lang w:val="ro-MD"/>
        </w:rPr>
        <w:t>, pentru informare și examinare, după caz, în cadrul Comisiei parlamentare de control al finanțelor publice</w:t>
      </w:r>
      <w:r w:rsidRPr="000C3704">
        <w:rPr>
          <w:rFonts w:asciiTheme="majorBidi" w:hAnsiTheme="majorBidi" w:cstheme="majorBidi"/>
          <w:lang w:val="ro-MD"/>
        </w:rPr>
        <w:t>;</w:t>
      </w:r>
    </w:p>
    <w:p w14:paraId="25C35485" w14:textId="77777777" w:rsidR="00C61F48" w:rsidRPr="000C3704" w:rsidRDefault="00C61F48" w:rsidP="00C61F48">
      <w:pPr>
        <w:pStyle w:val="a4"/>
        <w:spacing w:line="276" w:lineRule="auto"/>
        <w:ind w:firstLine="0"/>
        <w:rPr>
          <w:rFonts w:asciiTheme="majorBidi" w:hAnsiTheme="majorBidi" w:cstheme="majorBidi"/>
          <w:lang w:val="ro-MD"/>
        </w:rPr>
      </w:pPr>
      <w:r w:rsidRPr="000C3704">
        <w:rPr>
          <w:rFonts w:asciiTheme="majorBidi" w:hAnsiTheme="majorBidi" w:cstheme="majorBidi"/>
          <w:lang w:val="ro-MD"/>
        </w:rPr>
        <w:t>2.2.</w:t>
      </w:r>
      <w:r w:rsidRPr="000C3704">
        <w:rPr>
          <w:rFonts w:asciiTheme="majorBidi" w:hAnsiTheme="majorBidi" w:cstheme="majorBidi"/>
          <w:b/>
          <w:lang w:val="ro-MD"/>
        </w:rPr>
        <w:t xml:space="preserve"> Președintelui Republicii Moldova</w:t>
      </w:r>
      <w:r w:rsidRPr="000C3704">
        <w:rPr>
          <w:rFonts w:asciiTheme="majorBidi" w:hAnsiTheme="majorBidi" w:cstheme="majorBidi"/>
          <w:lang w:val="ro-MD"/>
        </w:rPr>
        <w:t>, pentru informare;</w:t>
      </w:r>
    </w:p>
    <w:p w14:paraId="518E48EF" w14:textId="77777777" w:rsidR="00C61F48" w:rsidRPr="000C3704" w:rsidRDefault="00C61F48" w:rsidP="00FB0A53">
      <w:pPr>
        <w:pStyle w:val="a4"/>
        <w:spacing w:line="276" w:lineRule="auto"/>
        <w:ind w:firstLine="0"/>
        <w:rPr>
          <w:rFonts w:asciiTheme="majorBidi" w:hAnsiTheme="majorBidi" w:cstheme="majorBidi"/>
          <w:lang w:val="ro-MD"/>
        </w:rPr>
      </w:pPr>
      <w:r w:rsidRPr="000C3704">
        <w:rPr>
          <w:rFonts w:asciiTheme="majorBidi" w:hAnsiTheme="majorBidi" w:cstheme="majorBidi"/>
          <w:lang w:val="ro-MD"/>
        </w:rPr>
        <w:t>2.3.</w:t>
      </w:r>
      <w:r w:rsidR="00AA38D0" w:rsidRPr="000C3704">
        <w:rPr>
          <w:rFonts w:asciiTheme="majorBidi" w:hAnsiTheme="majorBidi" w:cstheme="majorBidi"/>
          <w:b/>
          <w:lang w:val="ro-MD"/>
        </w:rPr>
        <w:t xml:space="preserve"> </w:t>
      </w:r>
      <w:r w:rsidR="00FB0A53" w:rsidRPr="000C3704">
        <w:rPr>
          <w:rFonts w:asciiTheme="majorBidi" w:hAnsiTheme="majorBidi" w:cstheme="majorBidi"/>
          <w:b/>
          <w:lang w:val="ro-MD"/>
        </w:rPr>
        <w:t>Guvernului Republicii Moldova</w:t>
      </w:r>
      <w:r w:rsidR="00FB0A53" w:rsidRPr="000C3704">
        <w:rPr>
          <w:rFonts w:asciiTheme="majorBidi" w:hAnsiTheme="majorBidi" w:cstheme="majorBidi"/>
          <w:lang w:val="ro-MD"/>
        </w:rPr>
        <w:t>, pentru informare și luare de atitudine în vederea monitorizării asigurării implementării recomandărilor de audit</w:t>
      </w:r>
      <w:r w:rsidRPr="000C3704">
        <w:rPr>
          <w:rFonts w:asciiTheme="majorBidi" w:hAnsiTheme="majorBidi" w:cstheme="majorBidi"/>
          <w:lang w:val="ro-MD"/>
        </w:rPr>
        <w:t>;</w:t>
      </w:r>
    </w:p>
    <w:p w14:paraId="5A90D1C3" w14:textId="53633C82" w:rsidR="00B558F8" w:rsidRPr="000C3704" w:rsidRDefault="00B66F3A" w:rsidP="00F34191">
      <w:pPr>
        <w:pStyle w:val="a4"/>
        <w:spacing w:line="276" w:lineRule="auto"/>
        <w:ind w:firstLine="0"/>
        <w:rPr>
          <w:rFonts w:asciiTheme="majorBidi" w:hAnsiTheme="majorBidi" w:cstheme="majorBidi"/>
          <w:lang w:val="ro-MD"/>
        </w:rPr>
      </w:pPr>
      <w:r w:rsidRPr="000C3704">
        <w:rPr>
          <w:rFonts w:asciiTheme="majorBidi" w:hAnsiTheme="majorBidi" w:cstheme="majorBidi"/>
          <w:lang w:val="ro-MD"/>
        </w:rPr>
        <w:t>2.4.</w:t>
      </w:r>
      <w:r w:rsidRPr="000C3704">
        <w:rPr>
          <w:rFonts w:asciiTheme="majorBidi" w:hAnsiTheme="majorBidi" w:cstheme="majorBidi"/>
          <w:b/>
          <w:lang w:val="ro-MD"/>
        </w:rPr>
        <w:t xml:space="preserve"> Ministerului E</w:t>
      </w:r>
      <w:r w:rsidR="00F34191" w:rsidRPr="000C3704">
        <w:rPr>
          <w:rFonts w:asciiTheme="majorBidi" w:hAnsiTheme="majorBidi" w:cstheme="majorBidi"/>
          <w:b/>
          <w:lang w:val="ro-MD"/>
        </w:rPr>
        <w:t>ducației și Cercetării</w:t>
      </w:r>
      <w:r w:rsidRPr="000C3704">
        <w:rPr>
          <w:rFonts w:asciiTheme="majorBidi" w:hAnsiTheme="majorBidi" w:cstheme="majorBidi"/>
          <w:lang w:val="ro-MD"/>
        </w:rPr>
        <w:t xml:space="preserve">, </w:t>
      </w:r>
      <w:r w:rsidR="00B558F8" w:rsidRPr="000C3704">
        <w:rPr>
          <w:rFonts w:asciiTheme="majorBidi" w:hAnsiTheme="majorBidi" w:cstheme="majorBidi"/>
          <w:lang w:val="ro-MD"/>
        </w:rPr>
        <w:t>pentru informare și implementarea recomandărilor din Raportul de audit;</w:t>
      </w:r>
    </w:p>
    <w:p w14:paraId="4441487C" w14:textId="71B7E294" w:rsidR="005D1A9A" w:rsidRPr="000C3704" w:rsidRDefault="00B66F3A">
      <w:pPr>
        <w:pStyle w:val="a4"/>
        <w:spacing w:line="276" w:lineRule="auto"/>
        <w:ind w:firstLine="0"/>
        <w:rPr>
          <w:rFonts w:asciiTheme="majorBidi" w:hAnsiTheme="majorBidi" w:cstheme="majorBidi"/>
          <w:lang w:val="ro-RO"/>
        </w:rPr>
      </w:pPr>
      <w:r w:rsidRPr="000C3704">
        <w:rPr>
          <w:rFonts w:asciiTheme="majorBidi" w:hAnsiTheme="majorBidi" w:cstheme="majorBidi"/>
          <w:lang w:val="ro-MD"/>
        </w:rPr>
        <w:t>2.5.</w:t>
      </w:r>
      <w:r w:rsidRPr="000C3704">
        <w:rPr>
          <w:rFonts w:asciiTheme="majorBidi" w:hAnsiTheme="majorBidi" w:cstheme="majorBidi"/>
          <w:b/>
          <w:lang w:val="ro-MD"/>
        </w:rPr>
        <w:t xml:space="preserve"> </w:t>
      </w:r>
      <w:r w:rsidR="005D1A9A" w:rsidRPr="000C3704">
        <w:rPr>
          <w:rFonts w:asciiTheme="majorBidi" w:hAnsiTheme="majorBidi" w:cstheme="majorBidi"/>
          <w:b/>
          <w:lang w:val="ro-MD"/>
        </w:rPr>
        <w:t>Ministerului Finanțelor</w:t>
      </w:r>
      <w:r w:rsidR="005D1A9A" w:rsidRPr="000C3704">
        <w:rPr>
          <w:rFonts w:asciiTheme="majorBidi" w:hAnsiTheme="majorBidi" w:cstheme="majorBidi"/>
          <w:lang w:val="ro-MD"/>
        </w:rPr>
        <w:t xml:space="preserve">, </w:t>
      </w:r>
      <w:r w:rsidR="005D1A9A" w:rsidRPr="000C3704">
        <w:rPr>
          <w:rFonts w:asciiTheme="majorBidi" w:hAnsiTheme="majorBidi" w:cstheme="majorBidi"/>
          <w:bCs/>
          <w:lang w:val="ro-MD"/>
        </w:rPr>
        <w:t xml:space="preserve">pentru informare și </w:t>
      </w:r>
      <w:r w:rsidR="000363F7" w:rsidRPr="000C3704">
        <w:rPr>
          <w:rFonts w:asciiTheme="majorBidi" w:hAnsiTheme="majorBidi" w:cstheme="majorBidi"/>
          <w:lang w:val="ro-MD"/>
        </w:rPr>
        <w:t>implementarea recomandărilor din Raportul de audit</w:t>
      </w:r>
      <w:r w:rsidR="002E5DCB" w:rsidRPr="000C3704">
        <w:rPr>
          <w:rFonts w:asciiTheme="majorBidi" w:hAnsiTheme="majorBidi" w:cstheme="majorBidi"/>
          <w:lang w:val="ro-RO"/>
        </w:rPr>
        <w:t>;</w:t>
      </w:r>
      <w:r w:rsidR="005D1A9A" w:rsidRPr="000C3704">
        <w:rPr>
          <w:rFonts w:asciiTheme="majorBidi" w:hAnsiTheme="majorBidi" w:cstheme="majorBidi"/>
          <w:lang w:val="ro-RO"/>
        </w:rPr>
        <w:t xml:space="preserve"> </w:t>
      </w:r>
    </w:p>
    <w:p w14:paraId="79DFF5F8" w14:textId="5DCACC92" w:rsidR="006B2AFE" w:rsidRPr="000C3704" w:rsidRDefault="006B2AFE" w:rsidP="00F34191">
      <w:pPr>
        <w:pStyle w:val="a4"/>
        <w:spacing w:line="276" w:lineRule="auto"/>
        <w:ind w:firstLine="0"/>
        <w:rPr>
          <w:rFonts w:asciiTheme="majorBidi" w:hAnsiTheme="majorBidi" w:cstheme="majorBidi"/>
          <w:bCs/>
          <w:lang w:val="ro-MD"/>
        </w:rPr>
      </w:pPr>
      <w:r w:rsidRPr="000C3704">
        <w:rPr>
          <w:rFonts w:asciiTheme="majorBidi" w:hAnsiTheme="majorBidi" w:cstheme="majorBidi"/>
          <w:lang w:val="ro-RO"/>
        </w:rPr>
        <w:t>2.6.</w:t>
      </w:r>
      <w:r w:rsidR="00F34191" w:rsidRPr="000C3704">
        <w:rPr>
          <w:rFonts w:asciiTheme="majorBidi" w:hAnsiTheme="majorBidi" w:cstheme="majorBidi"/>
          <w:b/>
          <w:lang w:val="ro-MD"/>
        </w:rPr>
        <w:t xml:space="preserve"> Agenției Proprietății Publice</w:t>
      </w:r>
      <w:r w:rsidR="00F34191" w:rsidRPr="000C3704">
        <w:rPr>
          <w:rFonts w:asciiTheme="majorBidi" w:hAnsiTheme="majorBidi" w:cstheme="majorBidi"/>
          <w:lang w:val="ro-MD"/>
        </w:rPr>
        <w:t>, pentru informare și implementarea recomandărilor din Raportul de audit</w:t>
      </w:r>
      <w:r w:rsidRPr="000C3704">
        <w:rPr>
          <w:rFonts w:asciiTheme="majorBidi" w:hAnsiTheme="majorBidi" w:cstheme="majorBidi"/>
          <w:lang w:val="ro-RO"/>
        </w:rPr>
        <w:t>;</w:t>
      </w:r>
    </w:p>
    <w:p w14:paraId="00CC16FC" w14:textId="2F574922" w:rsidR="00B66F3A" w:rsidRPr="000C3704" w:rsidRDefault="006B2AFE" w:rsidP="00F34191">
      <w:pPr>
        <w:pStyle w:val="a4"/>
        <w:spacing w:line="276" w:lineRule="auto"/>
        <w:ind w:firstLine="0"/>
        <w:rPr>
          <w:rFonts w:asciiTheme="majorBidi" w:hAnsiTheme="majorBidi" w:cstheme="majorBidi"/>
          <w:lang w:val="ro-MD"/>
        </w:rPr>
      </w:pPr>
      <w:r w:rsidRPr="000C3704">
        <w:rPr>
          <w:rFonts w:asciiTheme="majorBidi" w:hAnsiTheme="majorBidi" w:cstheme="majorBidi"/>
          <w:lang w:val="ro-MD"/>
        </w:rPr>
        <w:t>2.7</w:t>
      </w:r>
      <w:r w:rsidR="005D1A9A" w:rsidRPr="000C3704">
        <w:rPr>
          <w:rFonts w:asciiTheme="majorBidi" w:hAnsiTheme="majorBidi" w:cstheme="majorBidi"/>
          <w:lang w:val="ro-MD"/>
        </w:rPr>
        <w:t>.</w:t>
      </w:r>
      <w:r w:rsidR="00F34191" w:rsidRPr="000C3704">
        <w:rPr>
          <w:rFonts w:asciiTheme="majorBidi" w:hAnsiTheme="majorBidi" w:cstheme="majorBidi"/>
          <w:b/>
          <w:lang w:val="ro-MD"/>
        </w:rPr>
        <w:t xml:space="preserve"> Universității Tehnice a Moldovei</w:t>
      </w:r>
      <w:r w:rsidR="00F34191" w:rsidRPr="000C3704">
        <w:rPr>
          <w:rFonts w:asciiTheme="majorBidi" w:hAnsiTheme="majorBidi" w:cstheme="majorBidi"/>
          <w:lang w:val="ro-MD"/>
        </w:rPr>
        <w:t>, pentru informare și implementarea recomandărilor din Raportul de audit.</w:t>
      </w:r>
    </w:p>
    <w:p w14:paraId="15BE163C" w14:textId="365EE81F" w:rsidR="00F04D2B" w:rsidRPr="000C3704" w:rsidRDefault="008739CC" w:rsidP="00DA6087">
      <w:pPr>
        <w:spacing w:after="0" w:line="276" w:lineRule="auto"/>
        <w:jc w:val="both"/>
        <w:rPr>
          <w:rFonts w:asciiTheme="majorBidi" w:hAnsiTheme="majorBidi" w:cstheme="majorBidi"/>
          <w:bCs/>
          <w:sz w:val="24"/>
          <w:szCs w:val="24"/>
          <w:lang w:val="ro-MD"/>
        </w:rPr>
      </w:pPr>
      <w:r w:rsidRPr="000C3704">
        <w:rPr>
          <w:rFonts w:asciiTheme="majorBidi" w:hAnsiTheme="majorBidi" w:cstheme="majorBidi"/>
          <w:b/>
          <w:sz w:val="24"/>
          <w:szCs w:val="24"/>
          <w:lang w:val="ro-MD"/>
        </w:rPr>
        <w:t>3.</w:t>
      </w:r>
      <w:r w:rsidR="002E273F" w:rsidRPr="000C3704">
        <w:rPr>
          <w:rFonts w:asciiTheme="majorBidi" w:hAnsiTheme="majorBidi" w:cstheme="majorBidi"/>
          <w:bCs/>
          <w:sz w:val="24"/>
          <w:szCs w:val="24"/>
          <w:lang w:val="ro-MD"/>
        </w:rPr>
        <w:t xml:space="preserve"> </w:t>
      </w:r>
      <w:r w:rsidR="00F04D2B" w:rsidRPr="000C3704">
        <w:rPr>
          <w:rFonts w:asciiTheme="majorBidi" w:hAnsiTheme="majorBidi" w:cstheme="majorBidi"/>
          <w:bCs/>
          <w:sz w:val="24"/>
          <w:szCs w:val="24"/>
          <w:lang w:val="ro-MD"/>
        </w:rPr>
        <w:t xml:space="preserve">Se exclude din regim de monitorizare Hotărârea Curții de Conturi </w:t>
      </w:r>
      <w:r w:rsidR="00DF795B" w:rsidRPr="000C3704">
        <w:rPr>
          <w:rFonts w:asciiTheme="majorBidi" w:hAnsiTheme="majorBidi" w:cstheme="majorBidi"/>
          <w:bCs/>
          <w:sz w:val="24"/>
          <w:szCs w:val="24"/>
          <w:lang w:val="ro-MD"/>
        </w:rPr>
        <w:t>nr.66</w:t>
      </w:r>
      <w:r w:rsidR="00F04D2B" w:rsidRPr="000C3704">
        <w:rPr>
          <w:rFonts w:asciiTheme="majorBidi" w:hAnsiTheme="majorBidi" w:cstheme="majorBidi"/>
          <w:bCs/>
          <w:sz w:val="24"/>
          <w:szCs w:val="24"/>
          <w:lang w:val="ro-MD"/>
        </w:rPr>
        <w:t xml:space="preserve"> din </w:t>
      </w:r>
      <w:r w:rsidR="00DF795B" w:rsidRPr="000C3704">
        <w:rPr>
          <w:rFonts w:asciiTheme="majorBidi" w:hAnsiTheme="majorBidi" w:cstheme="majorBidi"/>
          <w:bCs/>
          <w:sz w:val="24"/>
          <w:szCs w:val="24"/>
          <w:lang w:val="ro-MD"/>
        </w:rPr>
        <w:t>16</w:t>
      </w:r>
      <w:r w:rsidR="00F04D2B" w:rsidRPr="000C3704">
        <w:rPr>
          <w:rFonts w:asciiTheme="majorBidi" w:hAnsiTheme="majorBidi" w:cstheme="majorBidi"/>
          <w:bCs/>
          <w:sz w:val="24"/>
          <w:szCs w:val="24"/>
          <w:lang w:val="ro-MD"/>
        </w:rPr>
        <w:t xml:space="preserve"> </w:t>
      </w:r>
      <w:r w:rsidR="00DF795B" w:rsidRPr="000C3704">
        <w:rPr>
          <w:rFonts w:asciiTheme="majorBidi" w:hAnsiTheme="majorBidi" w:cstheme="majorBidi"/>
          <w:bCs/>
          <w:sz w:val="24"/>
          <w:szCs w:val="24"/>
          <w:lang w:val="ro-MD"/>
        </w:rPr>
        <w:t>decembrie</w:t>
      </w:r>
      <w:r w:rsidR="00F04D2B" w:rsidRPr="000C3704">
        <w:rPr>
          <w:rFonts w:asciiTheme="majorBidi" w:hAnsiTheme="majorBidi" w:cstheme="majorBidi"/>
          <w:bCs/>
          <w:sz w:val="24"/>
          <w:szCs w:val="24"/>
          <w:lang w:val="ro-MD"/>
        </w:rPr>
        <w:t xml:space="preserve"> 20</w:t>
      </w:r>
      <w:r w:rsidR="00DF795B" w:rsidRPr="000C3704">
        <w:rPr>
          <w:rFonts w:asciiTheme="majorBidi" w:hAnsiTheme="majorBidi" w:cstheme="majorBidi"/>
          <w:bCs/>
          <w:sz w:val="24"/>
          <w:szCs w:val="24"/>
          <w:lang w:val="ro-MD"/>
        </w:rPr>
        <w:t>20</w:t>
      </w:r>
      <w:r w:rsidR="00F04D2B" w:rsidRPr="000C3704">
        <w:rPr>
          <w:rFonts w:asciiTheme="majorBidi" w:hAnsiTheme="majorBidi" w:cstheme="majorBidi"/>
          <w:bCs/>
          <w:sz w:val="24"/>
          <w:szCs w:val="24"/>
          <w:lang w:val="ro-MD"/>
        </w:rPr>
        <w:t xml:space="preserve"> „Cu privire la Raportul </w:t>
      </w:r>
      <w:r w:rsidR="00DA6087" w:rsidRPr="000C3704">
        <w:rPr>
          <w:rFonts w:asciiTheme="majorBidi" w:hAnsiTheme="majorBidi" w:cstheme="majorBidi"/>
          <w:bCs/>
          <w:sz w:val="24"/>
          <w:szCs w:val="24"/>
          <w:lang w:val="ro-MD"/>
        </w:rPr>
        <w:t>auditului asupra situați</w:t>
      </w:r>
      <w:r w:rsidR="00C622D0" w:rsidRPr="000C3704">
        <w:rPr>
          <w:rFonts w:asciiTheme="majorBidi" w:hAnsiTheme="majorBidi" w:cstheme="majorBidi"/>
          <w:bCs/>
          <w:sz w:val="24"/>
          <w:szCs w:val="24"/>
          <w:lang w:val="ro-MD"/>
        </w:rPr>
        <w:t>i</w:t>
      </w:r>
      <w:r w:rsidR="00DA6087" w:rsidRPr="000C3704">
        <w:rPr>
          <w:rFonts w:asciiTheme="majorBidi" w:hAnsiTheme="majorBidi" w:cstheme="majorBidi"/>
          <w:bCs/>
          <w:sz w:val="24"/>
          <w:szCs w:val="24"/>
          <w:lang w:val="ro-MD"/>
        </w:rPr>
        <w:t>lor financiare ale Universității Agrare de Stat din Moldova încheiate la 31 decembrie 2019</w:t>
      </w:r>
      <w:r w:rsidR="00F04D2B" w:rsidRPr="000C3704">
        <w:rPr>
          <w:rFonts w:asciiTheme="majorBidi" w:hAnsiTheme="majorBidi" w:cstheme="majorBidi"/>
          <w:bCs/>
          <w:sz w:val="24"/>
          <w:szCs w:val="24"/>
          <w:lang w:val="ro-MD"/>
        </w:rPr>
        <w:t>”.</w:t>
      </w:r>
    </w:p>
    <w:p w14:paraId="2108258A" w14:textId="7251050D" w:rsidR="00652355" w:rsidRPr="000C3704" w:rsidRDefault="00F04D2B" w:rsidP="00652355">
      <w:pPr>
        <w:spacing w:after="0" w:line="276" w:lineRule="auto"/>
        <w:jc w:val="both"/>
        <w:rPr>
          <w:rFonts w:asciiTheme="majorBidi" w:hAnsiTheme="majorBidi" w:cstheme="majorBidi"/>
          <w:sz w:val="24"/>
          <w:szCs w:val="24"/>
          <w:lang w:val="ro-MD"/>
        </w:rPr>
      </w:pPr>
      <w:r w:rsidRPr="000C3704">
        <w:rPr>
          <w:rFonts w:asciiTheme="majorBidi" w:hAnsiTheme="majorBidi" w:cstheme="majorBidi"/>
          <w:b/>
          <w:sz w:val="24"/>
          <w:szCs w:val="24"/>
          <w:lang w:val="ro-MD"/>
        </w:rPr>
        <w:t>4.</w:t>
      </w:r>
      <w:r w:rsidRPr="000C3704">
        <w:rPr>
          <w:rFonts w:asciiTheme="majorBidi" w:hAnsiTheme="majorBidi" w:cstheme="majorBidi"/>
          <w:bCs/>
          <w:sz w:val="24"/>
          <w:szCs w:val="24"/>
          <w:lang w:val="ro-MD"/>
        </w:rPr>
        <w:t xml:space="preserve"> </w:t>
      </w:r>
      <w:r w:rsidR="002E273F" w:rsidRPr="000C3704">
        <w:rPr>
          <w:rFonts w:asciiTheme="majorBidi" w:hAnsiTheme="majorBidi" w:cstheme="majorBidi"/>
          <w:b/>
          <w:sz w:val="24"/>
          <w:szCs w:val="24"/>
          <w:lang w:val="ro-MD"/>
        </w:rPr>
        <w:t>Se ia act că</w:t>
      </w:r>
      <w:r w:rsidR="002E273F" w:rsidRPr="000C3704">
        <w:rPr>
          <w:rFonts w:asciiTheme="majorBidi" w:hAnsiTheme="majorBidi" w:cstheme="majorBidi"/>
          <w:bCs/>
          <w:sz w:val="24"/>
          <w:szCs w:val="24"/>
          <w:lang w:val="ro-MD"/>
        </w:rPr>
        <w:t xml:space="preserve">, </w:t>
      </w:r>
      <w:r w:rsidR="002E273F" w:rsidRPr="000C3704">
        <w:rPr>
          <w:rFonts w:asciiTheme="majorBidi" w:hAnsiTheme="majorBidi" w:cstheme="majorBidi"/>
          <w:sz w:val="24"/>
          <w:szCs w:val="24"/>
          <w:lang w:val="ro-MD"/>
        </w:rPr>
        <w:t xml:space="preserve">pe parcursul misiunii de audit, </w:t>
      </w:r>
      <w:r w:rsidR="00652355" w:rsidRPr="000C3704">
        <w:rPr>
          <w:rFonts w:asciiTheme="majorBidi" w:hAnsiTheme="majorBidi" w:cstheme="majorBidi"/>
          <w:sz w:val="24"/>
          <w:szCs w:val="24"/>
          <w:lang w:val="ro-MD"/>
        </w:rPr>
        <w:t>Universitatea Tehnică a Moldovei:</w:t>
      </w:r>
    </w:p>
    <w:p w14:paraId="5D4FFD8B" w14:textId="77777777" w:rsidR="0016038E" w:rsidRPr="000C3704" w:rsidRDefault="0016038E" w:rsidP="0016038E">
      <w:pPr>
        <w:pStyle w:val="af3"/>
        <w:numPr>
          <w:ilvl w:val="0"/>
          <w:numId w:val="1"/>
        </w:numPr>
        <w:spacing w:after="0" w:line="276" w:lineRule="auto"/>
        <w:ind w:left="0" w:right="-92" w:firstLine="360"/>
        <w:jc w:val="both"/>
        <w:rPr>
          <w:rFonts w:ascii="Times New Roman" w:hAnsi="Times New Roman" w:cs="Times New Roman"/>
          <w:bCs/>
          <w:sz w:val="24"/>
          <w:szCs w:val="24"/>
          <w:lang w:val="ro-MD"/>
        </w:rPr>
      </w:pPr>
      <w:r w:rsidRPr="000C3704">
        <w:rPr>
          <w:rFonts w:ascii="Times New Roman" w:hAnsi="Times New Roman" w:cs="Times New Roman"/>
          <w:sz w:val="24"/>
          <w:szCs w:val="24"/>
          <w:shd w:val="clear" w:color="auto" w:fill="FFFFFF"/>
          <w:lang w:val="ro-MD"/>
        </w:rPr>
        <w:t>a înregistrat patrimoniul, drepturile și obligațiile instituțiilor de cercetare absorbite în valoare de 43,99 mil.lei;</w:t>
      </w:r>
    </w:p>
    <w:p w14:paraId="60BE99CE" w14:textId="2835DAF6" w:rsidR="0016038E" w:rsidRPr="000C3704" w:rsidRDefault="0016038E" w:rsidP="005B043F">
      <w:pPr>
        <w:pStyle w:val="af3"/>
        <w:numPr>
          <w:ilvl w:val="0"/>
          <w:numId w:val="1"/>
        </w:numPr>
        <w:spacing w:after="0" w:line="276" w:lineRule="auto"/>
        <w:ind w:left="0" w:right="-92" w:firstLine="360"/>
        <w:jc w:val="both"/>
        <w:rPr>
          <w:rFonts w:ascii="Times New Roman" w:hAnsi="Times New Roman" w:cs="Times New Roman"/>
          <w:bCs/>
          <w:sz w:val="24"/>
          <w:szCs w:val="24"/>
          <w:lang w:val="ro-MD"/>
        </w:rPr>
      </w:pPr>
      <w:r w:rsidRPr="000C3704">
        <w:rPr>
          <w:rFonts w:ascii="Times New Roman" w:hAnsi="Times New Roman" w:cs="Times New Roman"/>
          <w:sz w:val="24"/>
          <w:szCs w:val="24"/>
          <w:shd w:val="clear" w:color="auto" w:fill="FFFFFF"/>
          <w:lang w:val="ro-MD"/>
        </w:rPr>
        <w:t xml:space="preserve">a înregistrat în evidență 2 terenuri cu suprafața de 4,996 ha </w:t>
      </w:r>
      <w:r w:rsidR="00C622D0" w:rsidRPr="000C3704">
        <w:rPr>
          <w:rFonts w:ascii="Times New Roman" w:hAnsi="Times New Roman" w:cs="Times New Roman"/>
          <w:sz w:val="24"/>
          <w:szCs w:val="24"/>
          <w:shd w:val="clear" w:color="auto" w:fill="FFFFFF"/>
          <w:lang w:val="ro-MD"/>
        </w:rPr>
        <w:t>și</w:t>
      </w:r>
      <w:r w:rsidRPr="000C3704">
        <w:rPr>
          <w:rFonts w:ascii="Times New Roman" w:hAnsi="Times New Roman" w:cs="Times New Roman"/>
          <w:sz w:val="24"/>
          <w:szCs w:val="24"/>
          <w:shd w:val="clear" w:color="auto" w:fill="FFFFFF"/>
          <w:lang w:val="ro-MD"/>
        </w:rPr>
        <w:t xml:space="preserve"> valoarea de 4</w:t>
      </w:r>
      <w:r w:rsidR="005B043F" w:rsidRPr="000C3704">
        <w:rPr>
          <w:rFonts w:ascii="Times New Roman" w:hAnsi="Times New Roman" w:cs="Times New Roman"/>
          <w:sz w:val="24"/>
          <w:szCs w:val="24"/>
          <w:shd w:val="clear" w:color="auto" w:fill="FFFFFF"/>
          <w:lang w:val="ro-MD"/>
        </w:rPr>
        <w:t>,1</w:t>
      </w:r>
      <w:r w:rsidRPr="000C3704">
        <w:rPr>
          <w:rFonts w:ascii="Times New Roman" w:hAnsi="Times New Roman" w:cs="Times New Roman"/>
          <w:sz w:val="24"/>
          <w:szCs w:val="24"/>
          <w:shd w:val="clear" w:color="auto" w:fill="FFFFFF"/>
          <w:lang w:val="ro-MD"/>
        </w:rPr>
        <w:t xml:space="preserve"> mil. lei</w:t>
      </w:r>
      <w:r w:rsidRPr="000C3704">
        <w:rPr>
          <w:rFonts w:ascii="Times New Roman" w:hAnsi="Times New Roman" w:cs="Times New Roman"/>
          <w:sz w:val="24"/>
          <w:szCs w:val="24"/>
          <w:shd w:val="clear" w:color="auto" w:fill="FFFFFF"/>
          <w:vertAlign w:val="superscript"/>
          <w:lang w:val="ro-MD"/>
        </w:rPr>
        <w:footnoteReference w:id="5"/>
      </w:r>
      <w:r w:rsidRPr="000C3704">
        <w:rPr>
          <w:rFonts w:ascii="Times New Roman" w:hAnsi="Times New Roman" w:cs="Times New Roman"/>
          <w:sz w:val="24"/>
          <w:szCs w:val="24"/>
          <w:shd w:val="clear" w:color="auto" w:fill="FFFFFF"/>
          <w:lang w:val="ro-MD"/>
        </w:rPr>
        <w:t>;</w:t>
      </w:r>
    </w:p>
    <w:p w14:paraId="494166BE" w14:textId="596B4610" w:rsidR="00652355" w:rsidRPr="000C3704" w:rsidRDefault="0016038E" w:rsidP="000C3704">
      <w:pPr>
        <w:pStyle w:val="af3"/>
        <w:numPr>
          <w:ilvl w:val="0"/>
          <w:numId w:val="1"/>
        </w:numPr>
        <w:spacing w:after="0" w:line="276" w:lineRule="auto"/>
        <w:ind w:left="0" w:right="-92" w:firstLine="360"/>
        <w:jc w:val="both"/>
        <w:rPr>
          <w:rFonts w:ascii="Times New Roman" w:hAnsi="Times New Roman" w:cs="Times New Roman"/>
          <w:bCs/>
          <w:sz w:val="24"/>
          <w:szCs w:val="24"/>
          <w:lang w:val="ro-MD"/>
        </w:rPr>
      </w:pPr>
      <w:r w:rsidRPr="000C3704">
        <w:rPr>
          <w:rFonts w:ascii="Times New Roman" w:hAnsi="Times New Roman" w:cs="Times New Roman"/>
          <w:bCs/>
          <w:sz w:val="24"/>
          <w:szCs w:val="24"/>
          <w:lang w:val="ro-MD"/>
        </w:rPr>
        <w:t>a efectuat corecții ale rezultatelor anilor precedenți în valoare de 52,71 mil.lei, cu referire la valoarea de bilanț a clădirilor</w:t>
      </w:r>
      <w:r w:rsidR="000C3704" w:rsidRPr="000C3704">
        <w:rPr>
          <w:rFonts w:ascii="Times New Roman" w:hAnsi="Times New Roman" w:cs="Times New Roman"/>
          <w:bCs/>
          <w:sz w:val="24"/>
          <w:szCs w:val="24"/>
          <w:lang w:val="ro-MD"/>
        </w:rPr>
        <w:t xml:space="preserve"> și</w:t>
      </w:r>
      <w:r w:rsidRPr="000C3704">
        <w:rPr>
          <w:rFonts w:ascii="Times New Roman" w:hAnsi="Times New Roman" w:cs="Times New Roman"/>
          <w:bCs/>
          <w:sz w:val="24"/>
          <w:szCs w:val="24"/>
          <w:lang w:val="ro-MD"/>
        </w:rPr>
        <w:t xml:space="preserve"> </w:t>
      </w:r>
      <w:r w:rsidR="00780D3B" w:rsidRPr="000C3704">
        <w:rPr>
          <w:rFonts w:ascii="Times New Roman" w:hAnsi="Times New Roman" w:cs="Times New Roman"/>
          <w:bCs/>
          <w:sz w:val="24"/>
          <w:szCs w:val="24"/>
          <w:lang w:val="ro-MD"/>
        </w:rPr>
        <w:t xml:space="preserve">la </w:t>
      </w:r>
      <w:r w:rsidRPr="000C3704">
        <w:rPr>
          <w:rFonts w:ascii="Times New Roman" w:hAnsi="Times New Roman" w:cs="Times New Roman"/>
          <w:bCs/>
          <w:sz w:val="24"/>
          <w:szCs w:val="24"/>
          <w:lang w:val="ro-MD"/>
        </w:rPr>
        <w:t>profitul nerepartizat al anilor precedenți;</w:t>
      </w:r>
    </w:p>
    <w:p w14:paraId="436E3563" w14:textId="38496C15" w:rsidR="0081463F" w:rsidRPr="000C3704" w:rsidRDefault="00652355" w:rsidP="00652355">
      <w:pPr>
        <w:pStyle w:val="af3"/>
        <w:numPr>
          <w:ilvl w:val="0"/>
          <w:numId w:val="1"/>
        </w:numPr>
        <w:spacing w:after="0" w:line="276" w:lineRule="auto"/>
        <w:ind w:left="0" w:right="-92" w:firstLine="360"/>
        <w:jc w:val="both"/>
        <w:rPr>
          <w:rFonts w:ascii="Times New Roman" w:hAnsi="Times New Roman" w:cs="Times New Roman"/>
          <w:bCs/>
          <w:sz w:val="24"/>
          <w:szCs w:val="24"/>
          <w:lang w:val="ro-MD"/>
        </w:rPr>
      </w:pPr>
      <w:r w:rsidRPr="000C3704">
        <w:rPr>
          <w:rFonts w:ascii="Times New Roman" w:hAnsi="Times New Roman" w:cs="Times New Roman"/>
          <w:bCs/>
          <w:sz w:val="24"/>
          <w:szCs w:val="24"/>
          <w:lang w:val="ro-MD"/>
        </w:rPr>
        <w:t xml:space="preserve"> </w:t>
      </w:r>
      <w:r w:rsidR="0081463F" w:rsidRPr="000C3704">
        <w:rPr>
          <w:rFonts w:ascii="Times New Roman" w:hAnsi="Times New Roman" w:cs="Times New Roman"/>
          <w:bCs/>
          <w:sz w:val="24"/>
          <w:szCs w:val="24"/>
          <w:lang w:val="ro-MD"/>
        </w:rPr>
        <w:t xml:space="preserve">a instituit Comisia de negociere. </w:t>
      </w:r>
    </w:p>
    <w:p w14:paraId="2008A490" w14:textId="6DCB4AC5" w:rsidR="00E00483" w:rsidRPr="000C3704" w:rsidRDefault="00F04D2B" w:rsidP="002E273F">
      <w:pPr>
        <w:spacing w:after="0" w:line="276" w:lineRule="auto"/>
        <w:jc w:val="both"/>
        <w:rPr>
          <w:rFonts w:asciiTheme="majorBidi" w:hAnsiTheme="majorBidi" w:cstheme="majorBidi"/>
          <w:sz w:val="24"/>
          <w:szCs w:val="24"/>
          <w:lang w:val="ro-MD"/>
        </w:rPr>
      </w:pPr>
      <w:r w:rsidRPr="000C3704">
        <w:rPr>
          <w:rFonts w:asciiTheme="majorBidi" w:hAnsiTheme="majorBidi" w:cstheme="majorBidi"/>
          <w:b/>
          <w:sz w:val="24"/>
          <w:szCs w:val="24"/>
          <w:lang w:val="ro-MD"/>
        </w:rPr>
        <w:t>5</w:t>
      </w:r>
      <w:r w:rsidR="00EF3E64" w:rsidRPr="000C3704">
        <w:rPr>
          <w:rFonts w:asciiTheme="majorBidi" w:hAnsiTheme="majorBidi" w:cstheme="majorBidi"/>
          <w:b/>
          <w:sz w:val="24"/>
          <w:szCs w:val="24"/>
          <w:lang w:val="ro-MD"/>
        </w:rPr>
        <w:t>.</w:t>
      </w:r>
      <w:r w:rsidR="002E273F" w:rsidRPr="000C3704">
        <w:rPr>
          <w:rFonts w:asciiTheme="majorBidi" w:hAnsiTheme="majorBidi" w:cstheme="majorBidi"/>
          <w:bCs/>
          <w:sz w:val="24"/>
          <w:szCs w:val="24"/>
          <w:lang w:val="ro-MD"/>
        </w:rPr>
        <w:t xml:space="preserve"> Prezenta Hotărâre intră în vigoare din data publicării </w:t>
      </w:r>
      <w:r w:rsidR="002E273F" w:rsidRPr="000C3704">
        <w:rPr>
          <w:rFonts w:asciiTheme="majorBidi" w:hAnsiTheme="majorBidi" w:cstheme="majorBidi"/>
          <w:sz w:val="24"/>
          <w:szCs w:val="24"/>
          <w:lang w:val="ro-MD"/>
        </w:rPr>
        <w:t>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 3), în termen de 30 de zile din data comunicării răspunsului cu privire la cererea prealabilă sau din data expirării termenului prevăzut pentru soluționarea acesteia</w:t>
      </w:r>
      <w:r w:rsidR="00AB0454" w:rsidRPr="000C3704">
        <w:rPr>
          <w:rFonts w:asciiTheme="majorBidi" w:hAnsiTheme="majorBidi" w:cstheme="majorBidi"/>
          <w:sz w:val="24"/>
          <w:szCs w:val="24"/>
          <w:lang w:val="ro-MD"/>
        </w:rPr>
        <w:t>.</w:t>
      </w:r>
    </w:p>
    <w:p w14:paraId="069DEDAA" w14:textId="2B005843" w:rsidR="00C61F48" w:rsidRPr="000C3704" w:rsidRDefault="00F04D2B" w:rsidP="00A322DC">
      <w:pPr>
        <w:spacing w:after="0" w:line="276" w:lineRule="auto"/>
        <w:jc w:val="both"/>
        <w:rPr>
          <w:rFonts w:asciiTheme="majorBidi" w:hAnsiTheme="majorBidi" w:cstheme="majorBidi"/>
          <w:sz w:val="24"/>
          <w:szCs w:val="24"/>
          <w:lang w:val="ro-MD"/>
        </w:rPr>
      </w:pPr>
      <w:r w:rsidRPr="000C3704">
        <w:rPr>
          <w:rFonts w:asciiTheme="majorBidi" w:hAnsiTheme="majorBidi" w:cstheme="majorBidi"/>
          <w:b/>
          <w:bCs/>
          <w:sz w:val="24"/>
          <w:szCs w:val="24"/>
          <w:lang w:val="ro-MD"/>
        </w:rPr>
        <w:t>6</w:t>
      </w:r>
      <w:r w:rsidR="00C61F48" w:rsidRPr="000C3704">
        <w:rPr>
          <w:rFonts w:asciiTheme="majorBidi" w:hAnsiTheme="majorBidi" w:cstheme="majorBidi"/>
          <w:b/>
          <w:bCs/>
          <w:sz w:val="24"/>
          <w:szCs w:val="24"/>
          <w:lang w:val="ro-MD"/>
        </w:rPr>
        <w:t>.</w:t>
      </w:r>
      <w:r w:rsidR="002E273F" w:rsidRPr="000C3704">
        <w:rPr>
          <w:rFonts w:asciiTheme="majorBidi" w:hAnsiTheme="majorBidi" w:cstheme="majorBidi"/>
          <w:sz w:val="24"/>
          <w:szCs w:val="24"/>
          <w:lang w:val="ro-MD"/>
        </w:rPr>
        <w:t xml:space="preserve"> Curtea de Conturi va fi informată trimestrial, în termen de 12 luni din data intrării în vigoare a prezentei Hotărâri, despre acțiunile întreprinse pentru executarea subpunctelor 2.4. – 2.7. din prezenta Hotărâre</w:t>
      </w:r>
      <w:r w:rsidR="00C61F48" w:rsidRPr="000C3704">
        <w:rPr>
          <w:rFonts w:asciiTheme="majorBidi" w:hAnsiTheme="majorBidi" w:cstheme="majorBidi"/>
          <w:sz w:val="24"/>
          <w:szCs w:val="24"/>
          <w:lang w:val="ro-MD"/>
        </w:rPr>
        <w:t>.</w:t>
      </w:r>
    </w:p>
    <w:p w14:paraId="3D59E766" w14:textId="1D1515C1" w:rsidR="00C61F48" w:rsidRPr="000C3704" w:rsidRDefault="00F04D2B" w:rsidP="00D5579A">
      <w:pPr>
        <w:spacing w:after="0" w:line="276" w:lineRule="auto"/>
        <w:jc w:val="both"/>
        <w:rPr>
          <w:rFonts w:asciiTheme="majorBidi" w:hAnsiTheme="majorBidi" w:cstheme="majorBidi"/>
          <w:sz w:val="24"/>
          <w:szCs w:val="24"/>
          <w:lang w:val="ro-MD"/>
        </w:rPr>
      </w:pPr>
      <w:r w:rsidRPr="000C3704">
        <w:rPr>
          <w:rFonts w:asciiTheme="majorBidi" w:hAnsiTheme="majorBidi" w:cstheme="majorBidi"/>
          <w:b/>
          <w:bCs/>
          <w:sz w:val="24"/>
          <w:szCs w:val="24"/>
          <w:lang w:val="ro-MD"/>
        </w:rPr>
        <w:t>7</w:t>
      </w:r>
      <w:r w:rsidR="00C61F48" w:rsidRPr="000C3704">
        <w:rPr>
          <w:rFonts w:asciiTheme="majorBidi" w:hAnsiTheme="majorBidi" w:cstheme="majorBidi"/>
          <w:b/>
          <w:bCs/>
          <w:sz w:val="24"/>
          <w:szCs w:val="24"/>
          <w:lang w:val="ro-MD"/>
        </w:rPr>
        <w:t>.</w:t>
      </w:r>
      <w:r w:rsidR="002E273F" w:rsidRPr="000C3704">
        <w:rPr>
          <w:rFonts w:asciiTheme="majorBidi" w:hAnsiTheme="majorBidi" w:cstheme="majorBidi"/>
          <w:sz w:val="24"/>
          <w:szCs w:val="24"/>
          <w:lang w:val="ro-MD"/>
        </w:rPr>
        <w:t xml:space="preserve"> Hotărârea și</w:t>
      </w:r>
      <w:r w:rsidR="002E273F" w:rsidRPr="000C3704">
        <w:rPr>
          <w:rFonts w:asciiTheme="majorBidi" w:hAnsiTheme="majorBidi" w:cstheme="majorBidi"/>
        </w:rPr>
        <w:t xml:space="preserve"> </w:t>
      </w:r>
      <w:r w:rsidR="002E273F" w:rsidRPr="000C3704">
        <w:rPr>
          <w:rFonts w:asciiTheme="majorBidi" w:hAnsiTheme="majorBidi" w:cstheme="majorBidi"/>
          <w:sz w:val="24"/>
          <w:szCs w:val="24"/>
          <w:lang w:val="ro-MD"/>
        </w:rPr>
        <w:t xml:space="preserve">Raportul auditului conformității asupra gestionării patrimoniului public și a </w:t>
      </w:r>
      <w:proofErr w:type="spellStart"/>
      <w:r w:rsidR="00B7784D">
        <w:rPr>
          <w:rFonts w:asciiTheme="majorBidi" w:hAnsiTheme="majorBidi" w:cstheme="majorBidi"/>
          <w:sz w:val="24"/>
          <w:szCs w:val="24"/>
          <w:lang w:val="ro-MD"/>
        </w:rPr>
        <w:t>F</w:t>
      </w:r>
      <w:bookmarkStart w:id="1" w:name="_GoBack"/>
      <w:bookmarkEnd w:id="1"/>
      <w:r w:rsidR="002E273F" w:rsidRPr="000C3704">
        <w:rPr>
          <w:rFonts w:asciiTheme="majorBidi" w:hAnsiTheme="majorBidi" w:cstheme="majorBidi"/>
          <w:sz w:val="24"/>
          <w:szCs w:val="24"/>
          <w:lang w:val="ro-MD"/>
        </w:rPr>
        <w:t>resurselor</w:t>
      </w:r>
      <w:proofErr w:type="spellEnd"/>
      <w:r w:rsidR="002E273F" w:rsidRPr="000C3704">
        <w:rPr>
          <w:rFonts w:asciiTheme="majorBidi" w:hAnsiTheme="majorBidi" w:cstheme="majorBidi"/>
          <w:sz w:val="24"/>
          <w:szCs w:val="24"/>
          <w:lang w:val="ro-MD"/>
        </w:rPr>
        <w:t xml:space="preserve"> financiare de către </w:t>
      </w:r>
      <w:r w:rsidR="00D5579A" w:rsidRPr="000C3704">
        <w:rPr>
          <w:rFonts w:asciiTheme="majorBidi" w:hAnsiTheme="majorBidi" w:cstheme="majorBidi"/>
          <w:sz w:val="24"/>
          <w:szCs w:val="24"/>
          <w:lang w:val="ro-MD"/>
        </w:rPr>
        <w:t>Universitatea Tehnică a Moldovei</w:t>
      </w:r>
      <w:r w:rsidR="002E273F" w:rsidRPr="000C3704">
        <w:rPr>
          <w:rFonts w:asciiTheme="majorBidi" w:hAnsiTheme="majorBidi" w:cstheme="majorBidi"/>
          <w:sz w:val="24"/>
          <w:szCs w:val="24"/>
          <w:lang w:val="ro-MD"/>
        </w:rPr>
        <w:t xml:space="preserve"> în anii 2021-2022 se plasează pe site-ul oficial al Curții de Conturi (</w:t>
      </w:r>
      <w:hyperlink r:id="rId9" w:history="1">
        <w:r w:rsidR="002E273F" w:rsidRPr="000C3704">
          <w:rPr>
            <w:rStyle w:val="a3"/>
            <w:rFonts w:asciiTheme="majorBidi" w:hAnsiTheme="majorBidi" w:cstheme="majorBidi"/>
            <w:sz w:val="24"/>
            <w:szCs w:val="24"/>
            <w:lang w:val="ro-MD"/>
          </w:rPr>
          <w:t>https://www.ccrm.md/ro/decisions</w:t>
        </w:r>
      </w:hyperlink>
      <w:r w:rsidR="002E273F" w:rsidRPr="000C3704">
        <w:rPr>
          <w:rFonts w:asciiTheme="majorBidi" w:hAnsiTheme="majorBidi" w:cstheme="majorBidi"/>
          <w:sz w:val="24"/>
          <w:szCs w:val="24"/>
          <w:lang w:val="ro-MD"/>
        </w:rPr>
        <w:t>)</w:t>
      </w:r>
      <w:r w:rsidR="00C61F48" w:rsidRPr="000C3704">
        <w:rPr>
          <w:rFonts w:asciiTheme="majorBidi" w:hAnsiTheme="majorBidi" w:cstheme="majorBidi"/>
          <w:sz w:val="24"/>
          <w:szCs w:val="24"/>
          <w:lang w:val="ro-MD"/>
        </w:rPr>
        <w:t xml:space="preserve">. </w:t>
      </w:r>
    </w:p>
    <w:p w14:paraId="16D14010" w14:textId="77777777" w:rsidR="002E273F" w:rsidRPr="000C3704" w:rsidRDefault="002E273F" w:rsidP="002E273F">
      <w:pPr>
        <w:spacing w:after="0" w:line="276" w:lineRule="auto"/>
        <w:jc w:val="both"/>
        <w:rPr>
          <w:rFonts w:asciiTheme="majorBidi" w:hAnsiTheme="majorBidi" w:cstheme="majorBidi"/>
          <w:sz w:val="24"/>
          <w:szCs w:val="24"/>
          <w:lang w:val="ro-MD"/>
        </w:rPr>
      </w:pPr>
    </w:p>
    <w:p w14:paraId="429D5125" w14:textId="77777777" w:rsidR="00C61F48" w:rsidRPr="000C3704" w:rsidRDefault="00C61F48" w:rsidP="00C61F48">
      <w:pPr>
        <w:spacing w:after="0" w:line="276" w:lineRule="auto"/>
        <w:jc w:val="right"/>
        <w:rPr>
          <w:rFonts w:asciiTheme="majorBidi" w:eastAsia="Times New Roman" w:hAnsiTheme="majorBidi" w:cstheme="majorBidi"/>
          <w:b/>
          <w:sz w:val="24"/>
          <w:szCs w:val="24"/>
          <w:lang w:val="ro-MD"/>
        </w:rPr>
      </w:pPr>
    </w:p>
    <w:p w14:paraId="283ECBEA" w14:textId="3D46362F" w:rsidR="00C61F48" w:rsidRPr="000C3704" w:rsidRDefault="00C61F48" w:rsidP="00C61F48">
      <w:pPr>
        <w:spacing w:after="0" w:line="276" w:lineRule="auto"/>
        <w:jc w:val="right"/>
        <w:rPr>
          <w:rFonts w:asciiTheme="majorBidi" w:eastAsia="Times New Roman" w:hAnsiTheme="majorBidi" w:cstheme="majorBidi"/>
          <w:b/>
          <w:sz w:val="24"/>
          <w:szCs w:val="24"/>
          <w:lang w:val="ro-MD"/>
        </w:rPr>
      </w:pPr>
      <w:r w:rsidRPr="000C3704">
        <w:rPr>
          <w:rFonts w:asciiTheme="majorBidi" w:eastAsia="Times New Roman" w:hAnsiTheme="majorBidi" w:cstheme="majorBidi"/>
          <w:b/>
          <w:sz w:val="24"/>
          <w:szCs w:val="24"/>
          <w:lang w:val="ro-MD"/>
        </w:rPr>
        <w:t>Marian LUPU,</w:t>
      </w:r>
    </w:p>
    <w:p w14:paraId="4999708E" w14:textId="5AF4CEFD" w:rsidR="00D348AC" w:rsidRPr="000C3704" w:rsidRDefault="00D348AC" w:rsidP="00C61F48">
      <w:pPr>
        <w:spacing w:after="0" w:line="276" w:lineRule="auto"/>
        <w:jc w:val="right"/>
        <w:rPr>
          <w:rFonts w:asciiTheme="majorBidi" w:eastAsia="Times New Roman" w:hAnsiTheme="majorBidi" w:cstheme="majorBidi"/>
          <w:b/>
          <w:sz w:val="24"/>
          <w:szCs w:val="24"/>
          <w:lang w:val="ro-MD"/>
        </w:rPr>
      </w:pPr>
      <w:r w:rsidRPr="000C3704">
        <w:rPr>
          <w:rFonts w:asciiTheme="majorBidi" w:eastAsia="Times New Roman" w:hAnsiTheme="majorBidi" w:cstheme="majorBidi"/>
          <w:b/>
          <w:sz w:val="24"/>
          <w:szCs w:val="24"/>
          <w:lang w:val="ro-MD"/>
        </w:rPr>
        <w:t>Președinte</w:t>
      </w:r>
    </w:p>
    <w:p w14:paraId="7CB5ABF4" w14:textId="6092ACFE"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76038820" w14:textId="008A3D7F"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5265ED01" w14:textId="2B421E3A"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228E545D" w14:textId="49473D97"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4D12A079" w14:textId="5EA31AE5"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324BB456" w14:textId="1D52055C"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6EA46426" w14:textId="33A2FBD1"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0EA35E11" w14:textId="2C5C5D30"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sectPr w:rsidR="00E909B0" w:rsidRPr="000C3704" w:rsidSect="00D82DAC">
      <w:pgSz w:w="11906" w:h="16838" w:code="9"/>
      <w:pgMar w:top="851" w:right="851" w:bottom="851" w:left="1701" w:header="72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F0E51" w14:textId="77777777" w:rsidR="00F15A38" w:rsidRDefault="00F15A38" w:rsidP="00C61F48">
      <w:pPr>
        <w:spacing w:after="0" w:line="240" w:lineRule="auto"/>
      </w:pPr>
      <w:r>
        <w:separator/>
      </w:r>
    </w:p>
  </w:endnote>
  <w:endnote w:type="continuationSeparator" w:id="0">
    <w:p w14:paraId="5FA5C710" w14:textId="77777777" w:rsidR="00F15A38" w:rsidRDefault="00F15A38" w:rsidP="00C6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5C6F0" w14:textId="77777777" w:rsidR="00F15A38" w:rsidRDefault="00F15A38" w:rsidP="00C61F48">
      <w:pPr>
        <w:spacing w:after="0" w:line="240" w:lineRule="auto"/>
      </w:pPr>
      <w:r>
        <w:separator/>
      </w:r>
    </w:p>
  </w:footnote>
  <w:footnote w:type="continuationSeparator" w:id="0">
    <w:p w14:paraId="2B5D6BB1" w14:textId="77777777" w:rsidR="00F15A38" w:rsidRDefault="00F15A38" w:rsidP="00C61F48">
      <w:pPr>
        <w:spacing w:after="0" w:line="240" w:lineRule="auto"/>
      </w:pPr>
      <w:r>
        <w:continuationSeparator/>
      </w:r>
    </w:p>
  </w:footnote>
  <w:footnote w:id="1">
    <w:p w14:paraId="1E139D02" w14:textId="77777777" w:rsidR="00C61F48" w:rsidRPr="005E4AA3" w:rsidRDefault="00C61F48" w:rsidP="005E4AA3">
      <w:pPr>
        <w:pStyle w:val="a6"/>
        <w:jc w:val="both"/>
        <w:rPr>
          <w:rFonts w:asciiTheme="majorBidi" w:hAnsiTheme="majorBidi" w:cstheme="majorBidi"/>
          <w:sz w:val="16"/>
          <w:szCs w:val="16"/>
          <w:lang w:val="ro-RO"/>
        </w:rPr>
      </w:pPr>
      <w:r w:rsidRPr="005E4AA3">
        <w:rPr>
          <w:rStyle w:val="ab"/>
          <w:rFonts w:asciiTheme="majorBidi" w:hAnsiTheme="majorBidi" w:cstheme="majorBidi"/>
          <w:sz w:val="16"/>
          <w:szCs w:val="16"/>
          <w:lang w:val="ro-RO"/>
        </w:rPr>
        <w:footnoteRef/>
      </w:r>
      <w:r w:rsidRPr="005E4AA3">
        <w:rPr>
          <w:rFonts w:asciiTheme="majorBidi" w:hAnsiTheme="majorBidi" w:cstheme="majorBidi"/>
          <w:sz w:val="16"/>
          <w:szCs w:val="16"/>
          <w:lang w:val="ro-RO"/>
        </w:rPr>
        <w:t xml:space="preserve"> Legea privind organizarea și funcționarea Curții de Conturi a Republicii Moldova nr.260 din 07.12.2017 (în continuare – Legea nr.260 din 07.12.2017).</w:t>
      </w:r>
    </w:p>
  </w:footnote>
  <w:footnote w:id="2">
    <w:p w14:paraId="2AD5BAE7" w14:textId="77777777" w:rsidR="005E4AA3" w:rsidRPr="005E4AA3" w:rsidRDefault="005E4AA3" w:rsidP="005E4AA3">
      <w:pPr>
        <w:pStyle w:val="a6"/>
        <w:jc w:val="both"/>
        <w:rPr>
          <w:rFonts w:asciiTheme="majorBidi" w:eastAsia="Times New Roman" w:hAnsiTheme="majorBidi" w:cstheme="majorBidi"/>
          <w:sz w:val="16"/>
          <w:szCs w:val="16"/>
          <w:lang w:val="ro-RO"/>
        </w:rPr>
      </w:pPr>
      <w:r w:rsidRPr="005E4AA3">
        <w:rPr>
          <w:rStyle w:val="FootnoteReference1"/>
          <w:rFonts w:asciiTheme="majorBidi" w:hAnsiTheme="majorBidi" w:cstheme="majorBidi"/>
          <w:sz w:val="16"/>
          <w:szCs w:val="16"/>
          <w:lang w:val="ro-RO"/>
        </w:rPr>
        <w:footnoteRef/>
      </w:r>
      <w:r w:rsidRPr="005E4AA3">
        <w:rPr>
          <w:rFonts w:asciiTheme="majorBidi" w:hAnsiTheme="majorBidi" w:cstheme="majorBidi"/>
          <w:sz w:val="16"/>
          <w:szCs w:val="16"/>
          <w:lang w:val="ro-MD"/>
        </w:rPr>
        <w:t xml:space="preserve"> </w:t>
      </w:r>
      <w:r w:rsidRPr="005E4AA3">
        <w:rPr>
          <w:rFonts w:asciiTheme="majorBidi" w:eastAsia="Times New Roman" w:hAnsiTheme="majorBidi" w:cstheme="majorBidi"/>
          <w:sz w:val="16"/>
          <w:szCs w:val="16"/>
          <w:lang w:val="ro-RO"/>
        </w:rPr>
        <w:t>Programul activității de audit a Curții de Conturi pe anul 2023, aprobat prin Hotărârea Curții de Conturi nr.65 din 22.12.2022.</w:t>
      </w:r>
    </w:p>
  </w:footnote>
  <w:footnote w:id="3">
    <w:p w14:paraId="352297F7" w14:textId="6F96A3CD" w:rsidR="005E4AA3" w:rsidRPr="005E4AA3" w:rsidRDefault="005E4AA3" w:rsidP="00F34191">
      <w:pPr>
        <w:pStyle w:val="a6"/>
        <w:rPr>
          <w:rFonts w:asciiTheme="majorBidi" w:hAnsiTheme="majorBidi" w:cstheme="majorBidi"/>
          <w:sz w:val="16"/>
          <w:szCs w:val="16"/>
          <w:lang w:val="ro-RO"/>
        </w:rPr>
      </w:pPr>
      <w:r w:rsidRPr="005E4AA3">
        <w:rPr>
          <w:rStyle w:val="ab"/>
          <w:rFonts w:asciiTheme="majorBidi" w:hAnsiTheme="majorBidi" w:cstheme="majorBidi"/>
          <w:sz w:val="16"/>
          <w:szCs w:val="16"/>
        </w:rPr>
        <w:footnoteRef/>
      </w:r>
      <w:r w:rsidRPr="005E4AA3">
        <w:rPr>
          <w:rFonts w:asciiTheme="majorBidi" w:hAnsiTheme="majorBidi" w:cstheme="majorBidi"/>
          <w:sz w:val="16"/>
          <w:szCs w:val="16"/>
        </w:rPr>
        <w:t xml:space="preserve"> </w:t>
      </w:r>
      <w:r w:rsidRPr="005E4AA3">
        <w:rPr>
          <w:rFonts w:asciiTheme="majorBidi" w:eastAsia="Times New Roman" w:hAnsiTheme="majorBidi" w:cstheme="majorBidi"/>
          <w:sz w:val="16"/>
          <w:szCs w:val="16"/>
          <w:lang w:val="ro-RO"/>
        </w:rPr>
        <w:t>Programul activității de audit a Curții de Conturi pe anul 202</w:t>
      </w:r>
      <w:r w:rsidR="00F34191">
        <w:rPr>
          <w:rFonts w:asciiTheme="majorBidi" w:eastAsia="Times New Roman" w:hAnsiTheme="majorBidi" w:cstheme="majorBidi"/>
          <w:sz w:val="16"/>
          <w:szCs w:val="16"/>
          <w:lang w:val="ro-RO"/>
        </w:rPr>
        <w:t>4</w:t>
      </w:r>
      <w:r w:rsidRPr="005E4AA3">
        <w:rPr>
          <w:rFonts w:asciiTheme="majorBidi" w:eastAsia="Times New Roman" w:hAnsiTheme="majorBidi" w:cstheme="majorBidi"/>
          <w:sz w:val="16"/>
          <w:szCs w:val="16"/>
          <w:lang w:val="ro-RO"/>
        </w:rPr>
        <w:t xml:space="preserve">, aprobat prin Hotărârea Curții de Conturi </w:t>
      </w:r>
      <w:r w:rsidR="00F34191">
        <w:rPr>
          <w:rFonts w:asciiTheme="majorBidi" w:eastAsia="Times New Roman" w:hAnsiTheme="majorBidi" w:cstheme="majorBidi"/>
          <w:sz w:val="16"/>
          <w:szCs w:val="16"/>
          <w:lang w:val="ro-RO"/>
        </w:rPr>
        <w:t>nr.5</w:t>
      </w:r>
      <w:r w:rsidRPr="005E4AA3">
        <w:rPr>
          <w:rFonts w:asciiTheme="majorBidi" w:eastAsia="Times New Roman" w:hAnsiTheme="majorBidi" w:cstheme="majorBidi"/>
          <w:sz w:val="16"/>
          <w:szCs w:val="16"/>
          <w:lang w:val="ro-RO"/>
        </w:rPr>
        <w:t xml:space="preserve">5 din </w:t>
      </w:r>
      <w:r w:rsidR="00F34191">
        <w:rPr>
          <w:rFonts w:asciiTheme="majorBidi" w:eastAsia="Times New Roman" w:hAnsiTheme="majorBidi" w:cstheme="majorBidi"/>
          <w:sz w:val="16"/>
          <w:szCs w:val="16"/>
          <w:lang w:val="ro-RO"/>
        </w:rPr>
        <w:t>15</w:t>
      </w:r>
      <w:r w:rsidRPr="005E4AA3">
        <w:rPr>
          <w:rFonts w:asciiTheme="majorBidi" w:eastAsia="Times New Roman" w:hAnsiTheme="majorBidi" w:cstheme="majorBidi"/>
          <w:sz w:val="16"/>
          <w:szCs w:val="16"/>
          <w:lang w:val="ro-RO"/>
        </w:rPr>
        <w:t>.12.202</w:t>
      </w:r>
      <w:r w:rsidR="00F34191">
        <w:rPr>
          <w:rFonts w:asciiTheme="majorBidi" w:eastAsia="Times New Roman" w:hAnsiTheme="majorBidi" w:cstheme="majorBidi"/>
          <w:sz w:val="16"/>
          <w:szCs w:val="16"/>
          <w:lang w:val="ro-RO"/>
        </w:rPr>
        <w:t>3</w:t>
      </w:r>
      <w:r w:rsidRPr="005E4AA3">
        <w:rPr>
          <w:rFonts w:asciiTheme="majorBidi" w:eastAsia="Times New Roman" w:hAnsiTheme="majorBidi" w:cstheme="majorBidi"/>
          <w:sz w:val="16"/>
          <w:szCs w:val="16"/>
          <w:lang w:val="ro-RO"/>
        </w:rPr>
        <w:t>.</w:t>
      </w:r>
    </w:p>
  </w:footnote>
  <w:footnote w:id="4">
    <w:p w14:paraId="19563378" w14:textId="10702123" w:rsidR="00C61F48" w:rsidRPr="005E4AA3" w:rsidRDefault="00200244" w:rsidP="005E4AA3">
      <w:pPr>
        <w:spacing w:after="0" w:line="240" w:lineRule="auto"/>
        <w:jc w:val="both"/>
        <w:rPr>
          <w:rFonts w:asciiTheme="majorBidi" w:eastAsia="Times New Roman" w:hAnsiTheme="majorBidi" w:cstheme="majorBidi"/>
          <w:sz w:val="16"/>
          <w:szCs w:val="16"/>
          <w:lang w:val="ro-MD"/>
        </w:rPr>
      </w:pPr>
      <w:r w:rsidRPr="005E4AA3">
        <w:rPr>
          <w:rFonts w:asciiTheme="majorBidi" w:hAnsiTheme="majorBidi" w:cstheme="majorBidi"/>
          <w:sz w:val="16"/>
          <w:szCs w:val="16"/>
          <w:vertAlign w:val="superscript"/>
          <w:lang w:val="ro-MD"/>
        </w:rPr>
        <w:t>3</w:t>
      </w:r>
      <w:r w:rsidR="00C61F48" w:rsidRPr="005E4AA3">
        <w:rPr>
          <w:rFonts w:asciiTheme="majorBidi" w:hAnsiTheme="majorBidi" w:cstheme="majorBidi"/>
          <w:sz w:val="16"/>
          <w:szCs w:val="16"/>
          <w:vertAlign w:val="superscript"/>
          <w:lang w:val="ro-MD"/>
        </w:rPr>
        <w:t xml:space="preserve"> </w:t>
      </w:r>
      <w:r w:rsidR="0097019F">
        <w:rPr>
          <w:rFonts w:asciiTheme="majorBidi" w:hAnsiTheme="majorBidi" w:cstheme="majorBidi"/>
          <w:sz w:val="16"/>
          <w:szCs w:val="16"/>
          <w:vertAlign w:val="superscript"/>
          <w:lang w:val="ro-MD"/>
        </w:rPr>
        <w:t xml:space="preserve"> </w:t>
      </w:r>
      <w:r w:rsidR="00C61F48" w:rsidRPr="005E4AA3">
        <w:rPr>
          <w:rFonts w:asciiTheme="majorBidi" w:hAnsiTheme="majorBidi" w:cstheme="majorBidi"/>
          <w:sz w:val="16"/>
          <w:szCs w:val="16"/>
          <w:lang w:val="ro-MD"/>
        </w:rPr>
        <w:t>Hotărârea Curții de Conturi nr.2 din</w:t>
      </w:r>
      <w:r w:rsidR="00C61F48" w:rsidRPr="005E4AA3">
        <w:rPr>
          <w:rFonts w:asciiTheme="majorBidi" w:eastAsia="Times New Roman" w:hAnsiTheme="majorBidi" w:cstheme="majorBidi"/>
          <w:sz w:val="16"/>
          <w:szCs w:val="16"/>
          <w:lang w:val="ro-MD"/>
        </w:rPr>
        <w:t xml:space="preserve"> 24.01.2020 „Cu privire la Cadrul Declarațiilor Profesionale ale INTOSAI”. </w:t>
      </w:r>
    </w:p>
  </w:footnote>
  <w:footnote w:id="5">
    <w:p w14:paraId="4F7183CA" w14:textId="73918F7C" w:rsidR="0016038E" w:rsidRDefault="0016038E" w:rsidP="0016038E">
      <w:pPr>
        <w:pStyle w:val="a6"/>
        <w:jc w:val="both"/>
        <w:rPr>
          <w:rFonts w:asciiTheme="majorBidi" w:hAnsiTheme="majorBidi" w:cstheme="majorBidi"/>
          <w:sz w:val="16"/>
          <w:szCs w:val="16"/>
          <w:lang w:val="ro-MD"/>
        </w:rPr>
      </w:pPr>
      <w:r w:rsidRPr="000A1256">
        <w:rPr>
          <w:rStyle w:val="ab"/>
          <w:rFonts w:asciiTheme="majorBidi" w:hAnsiTheme="majorBidi" w:cstheme="majorBidi"/>
          <w:sz w:val="16"/>
          <w:szCs w:val="16"/>
        </w:rPr>
        <w:footnoteRef/>
      </w:r>
      <w:r w:rsidRPr="000A1256">
        <w:rPr>
          <w:rFonts w:asciiTheme="majorBidi" w:hAnsiTheme="majorBidi" w:cstheme="majorBidi"/>
          <w:sz w:val="16"/>
          <w:szCs w:val="16"/>
        </w:rPr>
        <w:t xml:space="preserve"> </w:t>
      </w:r>
      <w:r w:rsidRPr="000A1256">
        <w:rPr>
          <w:rFonts w:asciiTheme="majorBidi" w:hAnsiTheme="majorBidi" w:cstheme="majorBidi"/>
          <w:sz w:val="16"/>
          <w:szCs w:val="16"/>
          <w:lang w:val="ro-MD"/>
        </w:rPr>
        <w:t>Terenul de pe str. Studenților 2/2 cu nr. cadastral 0100413212</w:t>
      </w:r>
      <w:r w:rsidR="00C622D0">
        <w:rPr>
          <w:rFonts w:asciiTheme="majorBidi" w:hAnsiTheme="majorBidi" w:cstheme="majorBidi"/>
          <w:sz w:val="16"/>
          <w:szCs w:val="16"/>
          <w:lang w:val="ro-MD"/>
        </w:rPr>
        <w:t>,</w:t>
      </w:r>
      <w:r w:rsidRPr="000A1256">
        <w:rPr>
          <w:rFonts w:asciiTheme="majorBidi" w:hAnsiTheme="majorBidi" w:cstheme="majorBidi"/>
          <w:sz w:val="16"/>
          <w:szCs w:val="16"/>
          <w:lang w:val="ro-MD"/>
        </w:rPr>
        <w:t xml:space="preserve"> cu suprafața de 4,97 ha </w:t>
      </w:r>
      <w:r w:rsidR="00C622D0">
        <w:rPr>
          <w:rFonts w:asciiTheme="majorBidi" w:hAnsiTheme="majorBidi" w:cstheme="majorBidi"/>
          <w:sz w:val="16"/>
          <w:szCs w:val="16"/>
          <w:lang w:val="ro-MD"/>
        </w:rPr>
        <w:t>și</w:t>
      </w:r>
      <w:r w:rsidRPr="000A1256">
        <w:rPr>
          <w:rFonts w:asciiTheme="majorBidi" w:hAnsiTheme="majorBidi" w:cstheme="majorBidi"/>
          <w:sz w:val="16"/>
          <w:szCs w:val="16"/>
          <w:lang w:val="ro-MD"/>
        </w:rPr>
        <w:t xml:space="preserve"> valoarea de 4.025,21 mil. lei</w:t>
      </w:r>
      <w:r w:rsidR="00C622D0">
        <w:rPr>
          <w:rFonts w:asciiTheme="majorBidi" w:hAnsiTheme="majorBidi" w:cstheme="majorBidi"/>
          <w:sz w:val="16"/>
          <w:szCs w:val="16"/>
          <w:lang w:val="ro-MD"/>
        </w:rPr>
        <w:t>,</w:t>
      </w:r>
      <w:r w:rsidRPr="000A1256">
        <w:rPr>
          <w:rFonts w:asciiTheme="majorBidi" w:hAnsiTheme="majorBidi" w:cstheme="majorBidi"/>
          <w:sz w:val="16"/>
          <w:szCs w:val="16"/>
          <w:lang w:val="ro-MD"/>
        </w:rPr>
        <w:t xml:space="preserve"> și terenul din s. Stoianovca, r</w:t>
      </w:r>
      <w:r>
        <w:rPr>
          <w:rFonts w:asciiTheme="majorBidi" w:hAnsiTheme="majorBidi" w:cstheme="majorBidi"/>
          <w:sz w:val="16"/>
          <w:szCs w:val="16"/>
          <w:lang w:val="ro-MD"/>
        </w:rPr>
        <w:t>-nul</w:t>
      </w:r>
      <w:r w:rsidRPr="000A1256">
        <w:rPr>
          <w:rFonts w:asciiTheme="majorBidi" w:hAnsiTheme="majorBidi" w:cstheme="majorBidi"/>
          <w:sz w:val="16"/>
          <w:szCs w:val="16"/>
          <w:lang w:val="ro-MD"/>
        </w:rPr>
        <w:t xml:space="preserve"> Cantemir</w:t>
      </w:r>
      <w:r w:rsidR="00780D3B">
        <w:rPr>
          <w:rFonts w:asciiTheme="majorBidi" w:hAnsiTheme="majorBidi" w:cstheme="majorBidi"/>
          <w:sz w:val="16"/>
          <w:szCs w:val="16"/>
          <w:lang w:val="ro-MD"/>
        </w:rPr>
        <w:t>,</w:t>
      </w:r>
      <w:r w:rsidRPr="000A1256">
        <w:rPr>
          <w:rFonts w:asciiTheme="majorBidi" w:hAnsiTheme="majorBidi" w:cstheme="majorBidi"/>
          <w:sz w:val="16"/>
          <w:szCs w:val="16"/>
          <w:lang w:val="ro-MD"/>
        </w:rPr>
        <w:t xml:space="preserve"> cu nr. cadastral 2154102539</w:t>
      </w:r>
      <w:r w:rsidR="00C622D0">
        <w:rPr>
          <w:rFonts w:asciiTheme="majorBidi" w:hAnsiTheme="majorBidi" w:cstheme="majorBidi"/>
          <w:sz w:val="16"/>
          <w:szCs w:val="16"/>
          <w:lang w:val="ro-MD"/>
        </w:rPr>
        <w:t>,</w:t>
      </w:r>
      <w:r w:rsidRPr="000A1256">
        <w:rPr>
          <w:rFonts w:asciiTheme="majorBidi" w:hAnsiTheme="majorBidi" w:cstheme="majorBidi"/>
          <w:sz w:val="16"/>
          <w:szCs w:val="16"/>
          <w:lang w:val="ro-MD"/>
        </w:rPr>
        <w:t xml:space="preserve"> cu suprafața de 0,026 ha </w:t>
      </w:r>
      <w:r w:rsidR="00C622D0">
        <w:rPr>
          <w:rFonts w:asciiTheme="majorBidi" w:hAnsiTheme="majorBidi" w:cstheme="majorBidi"/>
          <w:sz w:val="16"/>
          <w:szCs w:val="16"/>
          <w:lang w:val="ro-MD"/>
        </w:rPr>
        <w:t>și</w:t>
      </w:r>
      <w:r w:rsidRPr="000A1256">
        <w:rPr>
          <w:rFonts w:asciiTheme="majorBidi" w:hAnsiTheme="majorBidi" w:cstheme="majorBidi"/>
          <w:sz w:val="16"/>
          <w:szCs w:val="16"/>
          <w:lang w:val="ro-MD"/>
        </w:rPr>
        <w:t xml:space="preserve"> valoarea de 62,07 mii lei.</w:t>
      </w:r>
    </w:p>
    <w:p w14:paraId="077F3173" w14:textId="77777777" w:rsidR="000E6CF3" w:rsidRPr="000A1256" w:rsidRDefault="000E6CF3" w:rsidP="0016038E">
      <w:pPr>
        <w:pStyle w:val="a6"/>
        <w:jc w:val="both"/>
        <w:rPr>
          <w:rFonts w:asciiTheme="majorBidi" w:hAnsiTheme="majorBidi" w:cstheme="majorBidi"/>
          <w:sz w:val="16"/>
          <w:szCs w:val="16"/>
          <w:lang w:val="ro-M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3069A"/>
    <w:multiLevelType w:val="hybridMultilevel"/>
    <w:tmpl w:val="226CCBCE"/>
    <w:lvl w:ilvl="0" w:tplc="0409000D">
      <w:start w:val="1"/>
      <w:numFmt w:val="bullet"/>
      <w:lvlText w:val=""/>
      <w:lvlJc w:val="left"/>
      <w:pPr>
        <w:ind w:left="418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15"/>
    <w:rsid w:val="00001716"/>
    <w:rsid w:val="00005216"/>
    <w:rsid w:val="00034AE3"/>
    <w:rsid w:val="000363F7"/>
    <w:rsid w:val="0005280D"/>
    <w:rsid w:val="00054AE5"/>
    <w:rsid w:val="00060118"/>
    <w:rsid w:val="00070DFD"/>
    <w:rsid w:val="000728B5"/>
    <w:rsid w:val="00092E9B"/>
    <w:rsid w:val="00097BA2"/>
    <w:rsid w:val="000B4610"/>
    <w:rsid w:val="000C0436"/>
    <w:rsid w:val="000C0FEB"/>
    <w:rsid w:val="000C3704"/>
    <w:rsid w:val="000D0E89"/>
    <w:rsid w:val="000E6CF3"/>
    <w:rsid w:val="000E7479"/>
    <w:rsid w:val="000F03DA"/>
    <w:rsid w:val="000F0BCE"/>
    <w:rsid w:val="000F7A43"/>
    <w:rsid w:val="000F7B70"/>
    <w:rsid w:val="00102C71"/>
    <w:rsid w:val="001061A6"/>
    <w:rsid w:val="0011650E"/>
    <w:rsid w:val="001218D7"/>
    <w:rsid w:val="001253FE"/>
    <w:rsid w:val="00131A5A"/>
    <w:rsid w:val="00145D2B"/>
    <w:rsid w:val="001548E5"/>
    <w:rsid w:val="0016038E"/>
    <w:rsid w:val="0016387F"/>
    <w:rsid w:val="00163DCD"/>
    <w:rsid w:val="0016656B"/>
    <w:rsid w:val="001802A0"/>
    <w:rsid w:val="001846C5"/>
    <w:rsid w:val="00185D99"/>
    <w:rsid w:val="0019073E"/>
    <w:rsid w:val="001927BF"/>
    <w:rsid w:val="0019711A"/>
    <w:rsid w:val="001C2C84"/>
    <w:rsid w:val="001C76A3"/>
    <w:rsid w:val="001F2469"/>
    <w:rsid w:val="001F5C9D"/>
    <w:rsid w:val="00200244"/>
    <w:rsid w:val="00202BED"/>
    <w:rsid w:val="00206549"/>
    <w:rsid w:val="00232D9E"/>
    <w:rsid w:val="002362E7"/>
    <w:rsid w:val="00240480"/>
    <w:rsid w:val="00240F3C"/>
    <w:rsid w:val="002417A1"/>
    <w:rsid w:val="002424CE"/>
    <w:rsid w:val="00245636"/>
    <w:rsid w:val="00251D64"/>
    <w:rsid w:val="0025397F"/>
    <w:rsid w:val="00263F67"/>
    <w:rsid w:val="00272BFE"/>
    <w:rsid w:val="002757D9"/>
    <w:rsid w:val="00292F3F"/>
    <w:rsid w:val="002975C4"/>
    <w:rsid w:val="002B359A"/>
    <w:rsid w:val="002B7566"/>
    <w:rsid w:val="002E273F"/>
    <w:rsid w:val="002E5A49"/>
    <w:rsid w:val="002E5DCB"/>
    <w:rsid w:val="002F0335"/>
    <w:rsid w:val="002F42C9"/>
    <w:rsid w:val="003069E6"/>
    <w:rsid w:val="00312D4C"/>
    <w:rsid w:val="0031360A"/>
    <w:rsid w:val="003303EA"/>
    <w:rsid w:val="00330472"/>
    <w:rsid w:val="003370C7"/>
    <w:rsid w:val="003555D2"/>
    <w:rsid w:val="003559FE"/>
    <w:rsid w:val="00355EF1"/>
    <w:rsid w:val="00356897"/>
    <w:rsid w:val="003952D4"/>
    <w:rsid w:val="003957B9"/>
    <w:rsid w:val="003A2AB1"/>
    <w:rsid w:val="003C3367"/>
    <w:rsid w:val="00424158"/>
    <w:rsid w:val="00431368"/>
    <w:rsid w:val="00454D99"/>
    <w:rsid w:val="00457E5E"/>
    <w:rsid w:val="004750F5"/>
    <w:rsid w:val="004775AE"/>
    <w:rsid w:val="0048160B"/>
    <w:rsid w:val="00487BA3"/>
    <w:rsid w:val="00491D3F"/>
    <w:rsid w:val="0049480A"/>
    <w:rsid w:val="004A407D"/>
    <w:rsid w:val="004A73FA"/>
    <w:rsid w:val="004B0D98"/>
    <w:rsid w:val="004B7695"/>
    <w:rsid w:val="004C1D42"/>
    <w:rsid w:val="004D592D"/>
    <w:rsid w:val="004D5C4F"/>
    <w:rsid w:val="004F66F0"/>
    <w:rsid w:val="00500DB6"/>
    <w:rsid w:val="005237D9"/>
    <w:rsid w:val="00525FAF"/>
    <w:rsid w:val="005278A6"/>
    <w:rsid w:val="0053018C"/>
    <w:rsid w:val="00560D3F"/>
    <w:rsid w:val="00561828"/>
    <w:rsid w:val="0056269E"/>
    <w:rsid w:val="0057166E"/>
    <w:rsid w:val="00572730"/>
    <w:rsid w:val="00586CEF"/>
    <w:rsid w:val="00593CF9"/>
    <w:rsid w:val="00594B50"/>
    <w:rsid w:val="005A61E7"/>
    <w:rsid w:val="005B043F"/>
    <w:rsid w:val="005B4676"/>
    <w:rsid w:val="005C0FD4"/>
    <w:rsid w:val="005D1644"/>
    <w:rsid w:val="005D1933"/>
    <w:rsid w:val="005D1A9A"/>
    <w:rsid w:val="005D53AE"/>
    <w:rsid w:val="005D7DCB"/>
    <w:rsid w:val="005E4AA3"/>
    <w:rsid w:val="005F5A64"/>
    <w:rsid w:val="00606893"/>
    <w:rsid w:val="00614045"/>
    <w:rsid w:val="006177D9"/>
    <w:rsid w:val="006364E7"/>
    <w:rsid w:val="0064170F"/>
    <w:rsid w:val="006447B9"/>
    <w:rsid w:val="0064552F"/>
    <w:rsid w:val="00650EEF"/>
    <w:rsid w:val="00652355"/>
    <w:rsid w:val="00667934"/>
    <w:rsid w:val="00677181"/>
    <w:rsid w:val="00684C46"/>
    <w:rsid w:val="00686C4B"/>
    <w:rsid w:val="00694DC4"/>
    <w:rsid w:val="006A0A63"/>
    <w:rsid w:val="006B2AFE"/>
    <w:rsid w:val="006C52A8"/>
    <w:rsid w:val="006E129F"/>
    <w:rsid w:val="006F1D4E"/>
    <w:rsid w:val="006F4571"/>
    <w:rsid w:val="006F53D3"/>
    <w:rsid w:val="006F74DB"/>
    <w:rsid w:val="007024DC"/>
    <w:rsid w:val="00705B5E"/>
    <w:rsid w:val="00713C98"/>
    <w:rsid w:val="00714C6F"/>
    <w:rsid w:val="00716D93"/>
    <w:rsid w:val="00717C41"/>
    <w:rsid w:val="0072031E"/>
    <w:rsid w:val="00723A91"/>
    <w:rsid w:val="00734F6C"/>
    <w:rsid w:val="00740FE9"/>
    <w:rsid w:val="0074619E"/>
    <w:rsid w:val="0075211F"/>
    <w:rsid w:val="007722B9"/>
    <w:rsid w:val="00780D3B"/>
    <w:rsid w:val="00796B49"/>
    <w:rsid w:val="007C0200"/>
    <w:rsid w:val="007C1665"/>
    <w:rsid w:val="007C3329"/>
    <w:rsid w:val="007C4BE6"/>
    <w:rsid w:val="007D56E0"/>
    <w:rsid w:val="007E2A59"/>
    <w:rsid w:val="00800055"/>
    <w:rsid w:val="0081463F"/>
    <w:rsid w:val="0082058B"/>
    <w:rsid w:val="00846A08"/>
    <w:rsid w:val="00852428"/>
    <w:rsid w:val="00857AA9"/>
    <w:rsid w:val="00860274"/>
    <w:rsid w:val="00864793"/>
    <w:rsid w:val="00873347"/>
    <w:rsid w:val="008739CC"/>
    <w:rsid w:val="008776C4"/>
    <w:rsid w:val="00894B5D"/>
    <w:rsid w:val="008B7357"/>
    <w:rsid w:val="008C08B0"/>
    <w:rsid w:val="008C14B9"/>
    <w:rsid w:val="008C39B4"/>
    <w:rsid w:val="008D011D"/>
    <w:rsid w:val="008D0F4D"/>
    <w:rsid w:val="008D5E0A"/>
    <w:rsid w:val="008E00EA"/>
    <w:rsid w:val="008F05FA"/>
    <w:rsid w:val="008F54F0"/>
    <w:rsid w:val="00902D84"/>
    <w:rsid w:val="0091175B"/>
    <w:rsid w:val="009153B0"/>
    <w:rsid w:val="00927256"/>
    <w:rsid w:val="00963101"/>
    <w:rsid w:val="00970056"/>
    <w:rsid w:val="0097019F"/>
    <w:rsid w:val="0098063B"/>
    <w:rsid w:val="00982C0D"/>
    <w:rsid w:val="009A5871"/>
    <w:rsid w:val="009B3F71"/>
    <w:rsid w:val="009B5040"/>
    <w:rsid w:val="009C620D"/>
    <w:rsid w:val="009C6766"/>
    <w:rsid w:val="009D0682"/>
    <w:rsid w:val="009D0D88"/>
    <w:rsid w:val="009F2C27"/>
    <w:rsid w:val="009F4C98"/>
    <w:rsid w:val="009F5475"/>
    <w:rsid w:val="00A12080"/>
    <w:rsid w:val="00A26478"/>
    <w:rsid w:val="00A322DC"/>
    <w:rsid w:val="00A33F94"/>
    <w:rsid w:val="00A3550D"/>
    <w:rsid w:val="00A370A3"/>
    <w:rsid w:val="00A44460"/>
    <w:rsid w:val="00A44CDE"/>
    <w:rsid w:val="00A57420"/>
    <w:rsid w:val="00A64A44"/>
    <w:rsid w:val="00AA38D0"/>
    <w:rsid w:val="00AA7C7D"/>
    <w:rsid w:val="00AB0454"/>
    <w:rsid w:val="00AB087B"/>
    <w:rsid w:val="00AB0BE4"/>
    <w:rsid w:val="00AB1069"/>
    <w:rsid w:val="00AB40A2"/>
    <w:rsid w:val="00AB4BC5"/>
    <w:rsid w:val="00AB5A66"/>
    <w:rsid w:val="00AC1159"/>
    <w:rsid w:val="00AC4599"/>
    <w:rsid w:val="00AD583B"/>
    <w:rsid w:val="00AD7C7F"/>
    <w:rsid w:val="00AE0F31"/>
    <w:rsid w:val="00AF243B"/>
    <w:rsid w:val="00AF7749"/>
    <w:rsid w:val="00B01E59"/>
    <w:rsid w:val="00B05F84"/>
    <w:rsid w:val="00B11725"/>
    <w:rsid w:val="00B11DE4"/>
    <w:rsid w:val="00B3668E"/>
    <w:rsid w:val="00B442B1"/>
    <w:rsid w:val="00B46B6D"/>
    <w:rsid w:val="00B558F8"/>
    <w:rsid w:val="00B66F3A"/>
    <w:rsid w:val="00B74715"/>
    <w:rsid w:val="00B7784D"/>
    <w:rsid w:val="00B9442A"/>
    <w:rsid w:val="00B97342"/>
    <w:rsid w:val="00BA4E90"/>
    <w:rsid w:val="00BD5C46"/>
    <w:rsid w:val="00BE2091"/>
    <w:rsid w:val="00BE24E8"/>
    <w:rsid w:val="00BE68D5"/>
    <w:rsid w:val="00BE71C1"/>
    <w:rsid w:val="00BF11B8"/>
    <w:rsid w:val="00C02A36"/>
    <w:rsid w:val="00C042AA"/>
    <w:rsid w:val="00C06CCE"/>
    <w:rsid w:val="00C15D7A"/>
    <w:rsid w:val="00C242F6"/>
    <w:rsid w:val="00C27817"/>
    <w:rsid w:val="00C32C4F"/>
    <w:rsid w:val="00C37F99"/>
    <w:rsid w:val="00C42B08"/>
    <w:rsid w:val="00C47B52"/>
    <w:rsid w:val="00C61F48"/>
    <w:rsid w:val="00C622D0"/>
    <w:rsid w:val="00C6407C"/>
    <w:rsid w:val="00C82D08"/>
    <w:rsid w:val="00C9044F"/>
    <w:rsid w:val="00C96777"/>
    <w:rsid w:val="00CA27C4"/>
    <w:rsid w:val="00CC0CDB"/>
    <w:rsid w:val="00CE46C2"/>
    <w:rsid w:val="00CF2C89"/>
    <w:rsid w:val="00CF2C8D"/>
    <w:rsid w:val="00CF3BE1"/>
    <w:rsid w:val="00CF3CE8"/>
    <w:rsid w:val="00CF40A8"/>
    <w:rsid w:val="00CF6899"/>
    <w:rsid w:val="00CF6909"/>
    <w:rsid w:val="00D02FE8"/>
    <w:rsid w:val="00D047C7"/>
    <w:rsid w:val="00D05CA6"/>
    <w:rsid w:val="00D25563"/>
    <w:rsid w:val="00D25949"/>
    <w:rsid w:val="00D348AC"/>
    <w:rsid w:val="00D40F5D"/>
    <w:rsid w:val="00D420C1"/>
    <w:rsid w:val="00D42948"/>
    <w:rsid w:val="00D44593"/>
    <w:rsid w:val="00D51A7A"/>
    <w:rsid w:val="00D5579A"/>
    <w:rsid w:val="00D64604"/>
    <w:rsid w:val="00D7760F"/>
    <w:rsid w:val="00D82DAC"/>
    <w:rsid w:val="00D87C4E"/>
    <w:rsid w:val="00DA1AAF"/>
    <w:rsid w:val="00DA2E13"/>
    <w:rsid w:val="00DA5162"/>
    <w:rsid w:val="00DA6087"/>
    <w:rsid w:val="00DA779C"/>
    <w:rsid w:val="00DD13C0"/>
    <w:rsid w:val="00DD35C4"/>
    <w:rsid w:val="00DD6E52"/>
    <w:rsid w:val="00DE3238"/>
    <w:rsid w:val="00DF4429"/>
    <w:rsid w:val="00DF59F5"/>
    <w:rsid w:val="00DF795B"/>
    <w:rsid w:val="00E00483"/>
    <w:rsid w:val="00E004F4"/>
    <w:rsid w:val="00E0512F"/>
    <w:rsid w:val="00E13AF4"/>
    <w:rsid w:val="00E17515"/>
    <w:rsid w:val="00E25B82"/>
    <w:rsid w:val="00E56296"/>
    <w:rsid w:val="00E618D6"/>
    <w:rsid w:val="00E72537"/>
    <w:rsid w:val="00E77545"/>
    <w:rsid w:val="00E836DC"/>
    <w:rsid w:val="00E909B0"/>
    <w:rsid w:val="00E949B9"/>
    <w:rsid w:val="00E953F7"/>
    <w:rsid w:val="00EA34A2"/>
    <w:rsid w:val="00EB7F5A"/>
    <w:rsid w:val="00EC0546"/>
    <w:rsid w:val="00EE6383"/>
    <w:rsid w:val="00EF3E64"/>
    <w:rsid w:val="00EF44CD"/>
    <w:rsid w:val="00EF5D41"/>
    <w:rsid w:val="00EF7D7B"/>
    <w:rsid w:val="00F04D2B"/>
    <w:rsid w:val="00F15A38"/>
    <w:rsid w:val="00F34191"/>
    <w:rsid w:val="00F35123"/>
    <w:rsid w:val="00F369AD"/>
    <w:rsid w:val="00F42BEC"/>
    <w:rsid w:val="00F4603B"/>
    <w:rsid w:val="00F60D10"/>
    <w:rsid w:val="00F61535"/>
    <w:rsid w:val="00F830F5"/>
    <w:rsid w:val="00F87CE2"/>
    <w:rsid w:val="00F974AA"/>
    <w:rsid w:val="00FA1514"/>
    <w:rsid w:val="00FA3F7B"/>
    <w:rsid w:val="00FA52C1"/>
    <w:rsid w:val="00FA5885"/>
    <w:rsid w:val="00FA63E6"/>
    <w:rsid w:val="00FB0A53"/>
    <w:rsid w:val="00FB67F6"/>
    <w:rsid w:val="00FB7019"/>
    <w:rsid w:val="00FD7D5B"/>
    <w:rsid w:val="00FE11CF"/>
    <w:rsid w:val="00FE23F4"/>
    <w:rsid w:val="00FE2812"/>
    <w:rsid w:val="00FF6E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04A1"/>
  <w15:chartTrackingRefBased/>
  <w15:docId w15:val="{177DDFD9-E2FA-424A-AEED-95730AC7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F48"/>
    <w:pPr>
      <w:spacing w:line="256" w:lineRule="auto"/>
    </w:pPr>
  </w:style>
  <w:style w:type="paragraph" w:styleId="2">
    <w:name w:val="heading 2"/>
    <w:basedOn w:val="a"/>
    <w:next w:val="a"/>
    <w:link w:val="20"/>
    <w:uiPriority w:val="9"/>
    <w:unhideWhenUsed/>
    <w:qFormat/>
    <w:rsid w:val="006177D9"/>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F48"/>
    <w:rPr>
      <w:color w:val="0563C1" w:themeColor="hyperlink"/>
      <w:u w:val="single"/>
    </w:rPr>
  </w:style>
  <w:style w:type="paragraph" w:styleId="a4">
    <w:name w:val="Normal (Web)"/>
    <w:basedOn w:val="a"/>
    <w:uiPriority w:val="99"/>
    <w:unhideWhenUsed/>
    <w:rsid w:val="00C61F48"/>
    <w:pPr>
      <w:spacing w:after="0" w:line="240" w:lineRule="auto"/>
      <w:ind w:firstLine="567"/>
      <w:jc w:val="both"/>
    </w:pPr>
    <w:rPr>
      <w:rFonts w:ascii="Times New Roman" w:eastAsia="Times New Roman" w:hAnsi="Times New Roman" w:cs="Times New Roman"/>
      <w:sz w:val="24"/>
      <w:szCs w:val="24"/>
    </w:rPr>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6"/>
    <w:uiPriority w:val="99"/>
    <w:qFormat/>
    <w:locked/>
    <w:rsid w:val="00C61F48"/>
    <w:rPr>
      <w:sz w:val="20"/>
      <w:szCs w:val="20"/>
    </w:rPr>
  </w:style>
  <w:style w:type="paragraph" w:styleId="a6">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iPriority w:val="99"/>
    <w:unhideWhenUsed/>
    <w:qFormat/>
    <w:rsid w:val="00C61F48"/>
    <w:pPr>
      <w:spacing w:after="0" w:line="240" w:lineRule="auto"/>
    </w:pPr>
    <w:rPr>
      <w:sz w:val="20"/>
      <w:szCs w:val="20"/>
    </w:rPr>
  </w:style>
  <w:style w:type="character" w:customStyle="1" w:styleId="FootnoteTextChar1">
    <w:name w:val="Footnote Text Char1"/>
    <w:basedOn w:val="a0"/>
    <w:uiPriority w:val="99"/>
    <w:semiHidden/>
    <w:rsid w:val="00C61F48"/>
    <w:rPr>
      <w:sz w:val="20"/>
      <w:szCs w:val="20"/>
    </w:rPr>
  </w:style>
  <w:style w:type="paragraph" w:customStyle="1" w:styleId="cn">
    <w:name w:val="cn"/>
    <w:basedOn w:val="a"/>
    <w:qFormat/>
    <w:rsid w:val="00C61F48"/>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C61F48"/>
    <w:pPr>
      <w:spacing w:line="240" w:lineRule="exact"/>
    </w:pPr>
    <w:rPr>
      <w:vertAlign w:val="superscript"/>
    </w:rPr>
  </w:style>
  <w:style w:type="paragraph" w:customStyle="1" w:styleId="cp">
    <w:name w:val="cp"/>
    <w:basedOn w:val="a"/>
    <w:uiPriority w:val="99"/>
    <w:rsid w:val="00C61F48"/>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C61F48"/>
    <w:rPr>
      <w:vertAlign w:val="superscript"/>
    </w:rPr>
  </w:style>
  <w:style w:type="paragraph" w:styleId="a7">
    <w:name w:val="header"/>
    <w:basedOn w:val="a"/>
    <w:link w:val="a8"/>
    <w:uiPriority w:val="99"/>
    <w:unhideWhenUsed/>
    <w:rsid w:val="00C61F48"/>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C61F48"/>
  </w:style>
  <w:style w:type="paragraph" w:styleId="a9">
    <w:name w:val="footer"/>
    <w:basedOn w:val="a"/>
    <w:link w:val="aa"/>
    <w:uiPriority w:val="99"/>
    <w:unhideWhenUsed/>
    <w:rsid w:val="00C61F48"/>
    <w:pPr>
      <w:tabs>
        <w:tab w:val="center" w:pos="4844"/>
        <w:tab w:val="right" w:pos="9689"/>
      </w:tabs>
      <w:spacing w:after="0" w:line="240" w:lineRule="auto"/>
    </w:pPr>
  </w:style>
  <w:style w:type="character" w:customStyle="1" w:styleId="aa">
    <w:name w:val="Нижний колонтитул Знак"/>
    <w:basedOn w:val="a0"/>
    <w:link w:val="a9"/>
    <w:uiPriority w:val="99"/>
    <w:rsid w:val="00C61F48"/>
  </w:style>
  <w:style w:type="character" w:styleId="ab">
    <w:name w:val="footnote reference"/>
    <w:aliases w:val="Footnote Text Char2,fr,F,FR,Знак1 Char1"/>
    <w:basedOn w:val="a0"/>
    <w:uiPriority w:val="99"/>
    <w:unhideWhenUsed/>
    <w:qFormat/>
    <w:rsid w:val="00C61F48"/>
    <w:rPr>
      <w:vertAlign w:val="superscript"/>
    </w:rPr>
  </w:style>
  <w:style w:type="paragraph" w:styleId="ac">
    <w:name w:val="Balloon Text"/>
    <w:basedOn w:val="a"/>
    <w:link w:val="ad"/>
    <w:uiPriority w:val="99"/>
    <w:semiHidden/>
    <w:unhideWhenUsed/>
    <w:rsid w:val="00C37F9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37F99"/>
    <w:rPr>
      <w:rFonts w:ascii="Segoe UI" w:hAnsi="Segoe UI" w:cs="Segoe UI"/>
      <w:sz w:val="18"/>
      <w:szCs w:val="18"/>
    </w:rPr>
  </w:style>
  <w:style w:type="character" w:styleId="ae">
    <w:name w:val="annotation reference"/>
    <w:basedOn w:val="a0"/>
    <w:uiPriority w:val="99"/>
    <w:semiHidden/>
    <w:unhideWhenUsed/>
    <w:rsid w:val="006364E7"/>
    <w:rPr>
      <w:sz w:val="16"/>
      <w:szCs w:val="16"/>
    </w:rPr>
  </w:style>
  <w:style w:type="paragraph" w:styleId="af">
    <w:name w:val="annotation text"/>
    <w:basedOn w:val="a"/>
    <w:link w:val="af0"/>
    <w:uiPriority w:val="99"/>
    <w:semiHidden/>
    <w:unhideWhenUsed/>
    <w:rsid w:val="006364E7"/>
    <w:pPr>
      <w:spacing w:line="240" w:lineRule="auto"/>
    </w:pPr>
    <w:rPr>
      <w:sz w:val="20"/>
      <w:szCs w:val="20"/>
    </w:rPr>
  </w:style>
  <w:style w:type="character" w:customStyle="1" w:styleId="af0">
    <w:name w:val="Текст примечания Знак"/>
    <w:basedOn w:val="a0"/>
    <w:link w:val="af"/>
    <w:uiPriority w:val="99"/>
    <w:semiHidden/>
    <w:rsid w:val="006364E7"/>
    <w:rPr>
      <w:sz w:val="20"/>
      <w:szCs w:val="20"/>
    </w:rPr>
  </w:style>
  <w:style w:type="paragraph" w:styleId="af1">
    <w:name w:val="annotation subject"/>
    <w:basedOn w:val="af"/>
    <w:next w:val="af"/>
    <w:link w:val="af2"/>
    <w:uiPriority w:val="99"/>
    <w:semiHidden/>
    <w:unhideWhenUsed/>
    <w:rsid w:val="006364E7"/>
    <w:rPr>
      <w:b/>
      <w:bCs/>
    </w:rPr>
  </w:style>
  <w:style w:type="character" w:customStyle="1" w:styleId="af2">
    <w:name w:val="Тема примечания Знак"/>
    <w:basedOn w:val="af0"/>
    <w:link w:val="af1"/>
    <w:uiPriority w:val="99"/>
    <w:semiHidden/>
    <w:rsid w:val="006364E7"/>
    <w:rPr>
      <w:b/>
      <w:bCs/>
      <w:sz w:val="20"/>
      <w:szCs w:val="20"/>
    </w:rPr>
  </w:style>
  <w:style w:type="character" w:customStyle="1" w:styleId="20">
    <w:name w:val="Заголовок 2 Знак"/>
    <w:basedOn w:val="a0"/>
    <w:link w:val="2"/>
    <w:uiPriority w:val="9"/>
    <w:rsid w:val="006177D9"/>
    <w:rPr>
      <w:rFonts w:asciiTheme="majorHAnsi" w:eastAsiaTheme="majorEastAsia" w:hAnsiTheme="majorHAnsi" w:cstheme="majorBidi"/>
      <w:color w:val="2E74B5" w:themeColor="accent1" w:themeShade="BF"/>
      <w:sz w:val="26"/>
      <w:szCs w:val="26"/>
    </w:rPr>
  </w:style>
  <w:style w:type="paragraph" w:styleId="af3">
    <w:name w:val="List Paragraph"/>
    <w:aliases w:val="List Paragraph 1,Абзац списка1,strikethrough,standaard met opsomming,Scriptoria bullet points,Bullets,References,Liste 1,List Paragraph nowy,Numbered List Paragraph,List Paragraph (numbered (a)),Medium Grid 1 - Accent 21,Dot pt,Stil3,3"/>
    <w:basedOn w:val="a"/>
    <w:link w:val="af4"/>
    <w:uiPriority w:val="34"/>
    <w:qFormat/>
    <w:rsid w:val="006177D9"/>
    <w:pPr>
      <w:spacing w:line="259" w:lineRule="auto"/>
      <w:ind w:left="720"/>
      <w:contextualSpacing/>
    </w:pPr>
  </w:style>
  <w:style w:type="character" w:customStyle="1" w:styleId="af4">
    <w:name w:val="Абзац списка Знак"/>
    <w:aliases w:val="List Paragraph 1 Знак,Абзац списка1 Знак,strikethrough Знак,standaard met opsomming Знак,Scriptoria bullet points Знак,Bullets Знак,References Знак,Liste 1 Знак,List Paragraph nowy Знак,Numbered List Paragraph Знак,Dot pt Знак,3 Знак"/>
    <w:link w:val="af3"/>
    <w:uiPriority w:val="34"/>
    <w:qFormat/>
    <w:rsid w:val="0061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8FD12-3D93-4798-B0E4-332BC082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1912</Words>
  <Characters>10905</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Paiu Eugenia</cp:lastModifiedBy>
  <cp:revision>7</cp:revision>
  <cp:lastPrinted>2024-02-28T06:45:00Z</cp:lastPrinted>
  <dcterms:created xsi:type="dcterms:W3CDTF">2024-02-15T12:32:00Z</dcterms:created>
  <dcterms:modified xsi:type="dcterms:W3CDTF">2024-02-28T06:50:00Z</dcterms:modified>
</cp:coreProperties>
</file>