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B9" w:rsidRPr="00AB3F50" w:rsidRDefault="009408B9" w:rsidP="00053022">
      <w:pPr>
        <w:pStyle w:val="cn"/>
        <w:spacing w:line="276" w:lineRule="auto"/>
        <w:ind w:left="-567"/>
        <w:rPr>
          <w:lang w:val="ro-MD"/>
        </w:rPr>
      </w:pPr>
      <w:r w:rsidRPr="00AB3F50">
        <w:rPr>
          <w:noProof/>
          <w:sz w:val="26"/>
          <w:szCs w:val="26"/>
          <w:lang w:val="ru-RU" w:eastAsia="ru-RU"/>
        </w:rPr>
        <w:drawing>
          <wp:inline distT="0" distB="0" distL="0" distR="0" wp14:anchorId="519C4D19" wp14:editId="74469BA9">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00B03B6F">
        <w:rPr>
          <w:lang w:val="ro-MD"/>
        </w:rPr>
        <w:t xml:space="preserve">          </w:t>
      </w:r>
    </w:p>
    <w:p w:rsidR="003F2560" w:rsidRPr="00AB3F50" w:rsidRDefault="003F2560" w:rsidP="00053022">
      <w:pPr>
        <w:spacing w:after="0" w:line="276" w:lineRule="auto"/>
        <w:jc w:val="center"/>
        <w:rPr>
          <w:rFonts w:ascii="Times New Roman" w:eastAsia="Times New Roman" w:hAnsi="Times New Roman" w:cs="Times New Roman"/>
          <w:b/>
          <w:bCs/>
          <w:sz w:val="16"/>
          <w:szCs w:val="16"/>
          <w:lang w:val="ro-MD"/>
        </w:rPr>
      </w:pPr>
    </w:p>
    <w:p w:rsidR="003F2560" w:rsidRPr="00D70B1B" w:rsidRDefault="003F2560" w:rsidP="00053022">
      <w:pPr>
        <w:spacing w:after="0" w:line="276" w:lineRule="auto"/>
        <w:ind w:left="-567"/>
        <w:jc w:val="center"/>
        <w:rPr>
          <w:rFonts w:asciiTheme="majorHAnsi" w:eastAsia="Times New Roman" w:hAnsiTheme="majorHAnsi" w:cstheme="majorHAnsi"/>
          <w:bCs/>
          <w:sz w:val="24"/>
          <w:szCs w:val="24"/>
          <w:lang w:val="ro-MD"/>
        </w:rPr>
      </w:pPr>
      <w:r w:rsidRPr="00D70B1B">
        <w:rPr>
          <w:rFonts w:asciiTheme="majorHAnsi" w:eastAsia="Times New Roman" w:hAnsiTheme="majorHAnsi" w:cstheme="majorHAnsi"/>
          <w:bCs/>
          <w:sz w:val="24"/>
          <w:szCs w:val="24"/>
          <w:lang w:val="ro-MD"/>
        </w:rPr>
        <w:t>CURTEA DE CONTURI A REPUBLICII MOLDOVA</w:t>
      </w:r>
    </w:p>
    <w:p w:rsidR="003F2560" w:rsidRPr="00D70B1B" w:rsidRDefault="003F2560" w:rsidP="00053022">
      <w:pPr>
        <w:spacing w:after="0" w:line="276" w:lineRule="auto"/>
        <w:ind w:left="-567"/>
        <w:jc w:val="center"/>
        <w:rPr>
          <w:rFonts w:asciiTheme="majorHAnsi" w:eastAsia="Times New Roman" w:hAnsiTheme="majorHAnsi" w:cstheme="majorHAnsi"/>
          <w:bCs/>
          <w:sz w:val="24"/>
          <w:szCs w:val="24"/>
          <w:lang w:val="ro-MD"/>
        </w:rPr>
      </w:pPr>
    </w:p>
    <w:p w:rsidR="003F2560" w:rsidRPr="00D70B1B" w:rsidRDefault="003F2560" w:rsidP="00053022">
      <w:pPr>
        <w:spacing w:after="0" w:line="276" w:lineRule="auto"/>
        <w:ind w:left="-567"/>
        <w:jc w:val="center"/>
        <w:rPr>
          <w:rFonts w:asciiTheme="majorHAnsi" w:eastAsia="Times New Roman" w:hAnsiTheme="majorHAnsi" w:cstheme="majorHAnsi"/>
          <w:b/>
          <w:bCs/>
          <w:sz w:val="24"/>
          <w:szCs w:val="24"/>
          <w:lang w:val="ro-MD"/>
        </w:rPr>
      </w:pPr>
      <w:bookmarkStart w:id="0" w:name="_Toc450123757"/>
      <w:r w:rsidRPr="00D70B1B">
        <w:rPr>
          <w:rFonts w:asciiTheme="majorHAnsi" w:eastAsia="Times New Roman" w:hAnsiTheme="majorHAnsi" w:cstheme="majorHAnsi"/>
          <w:b/>
          <w:bCs/>
          <w:sz w:val="24"/>
          <w:szCs w:val="24"/>
          <w:lang w:val="ro-MD"/>
        </w:rPr>
        <w:t>H O T Ă R Â R E A nr.</w:t>
      </w:r>
      <w:bookmarkEnd w:id="0"/>
      <w:r w:rsidR="00472DEF" w:rsidRPr="00D70B1B">
        <w:rPr>
          <w:rFonts w:asciiTheme="majorHAnsi" w:eastAsia="Times New Roman" w:hAnsiTheme="majorHAnsi" w:cstheme="majorHAnsi"/>
          <w:b/>
          <w:bCs/>
          <w:sz w:val="24"/>
          <w:szCs w:val="24"/>
          <w:lang w:val="ro-MD"/>
        </w:rPr>
        <w:t xml:space="preserve"> </w:t>
      </w:r>
      <w:r w:rsidR="00E5738C">
        <w:rPr>
          <w:rFonts w:asciiTheme="majorHAnsi" w:eastAsia="Times New Roman" w:hAnsiTheme="majorHAnsi" w:cstheme="majorHAnsi"/>
          <w:b/>
          <w:bCs/>
          <w:sz w:val="24"/>
          <w:szCs w:val="24"/>
          <w:lang w:val="ro-MD"/>
        </w:rPr>
        <w:t>20</w:t>
      </w:r>
    </w:p>
    <w:p w:rsidR="003F2560" w:rsidRPr="00D70B1B" w:rsidRDefault="003F2560" w:rsidP="00053022">
      <w:pPr>
        <w:spacing w:after="0" w:line="276" w:lineRule="auto"/>
        <w:ind w:left="-567"/>
        <w:jc w:val="center"/>
        <w:rPr>
          <w:rFonts w:asciiTheme="majorHAnsi" w:eastAsia="Times New Roman" w:hAnsiTheme="majorHAnsi" w:cstheme="majorHAnsi"/>
          <w:b/>
          <w:bCs/>
          <w:sz w:val="24"/>
          <w:szCs w:val="24"/>
          <w:lang w:val="ro-MD"/>
        </w:rPr>
      </w:pPr>
      <w:r w:rsidRPr="00D70B1B">
        <w:rPr>
          <w:rFonts w:asciiTheme="majorHAnsi" w:eastAsia="Times New Roman" w:hAnsiTheme="majorHAnsi" w:cstheme="majorHAnsi"/>
          <w:b/>
          <w:bCs/>
          <w:sz w:val="24"/>
          <w:szCs w:val="24"/>
          <w:lang w:val="ro-MD"/>
        </w:rPr>
        <w:t xml:space="preserve">din </w:t>
      </w:r>
      <w:r w:rsidR="00472DEF" w:rsidRPr="00D70B1B">
        <w:rPr>
          <w:rFonts w:asciiTheme="majorHAnsi" w:eastAsia="Times New Roman" w:hAnsiTheme="majorHAnsi" w:cstheme="majorHAnsi"/>
          <w:b/>
          <w:bCs/>
          <w:sz w:val="24"/>
          <w:szCs w:val="24"/>
          <w:lang w:val="ro-MD"/>
        </w:rPr>
        <w:t>26</w:t>
      </w:r>
      <w:r w:rsidR="007E6AE5" w:rsidRPr="00D70B1B">
        <w:rPr>
          <w:rFonts w:asciiTheme="majorHAnsi" w:eastAsia="Times New Roman" w:hAnsiTheme="majorHAnsi" w:cstheme="majorHAnsi"/>
          <w:b/>
          <w:bCs/>
          <w:sz w:val="24"/>
          <w:szCs w:val="24"/>
          <w:lang w:val="ro-MD"/>
        </w:rPr>
        <w:t xml:space="preserve"> mai</w:t>
      </w:r>
      <w:r w:rsidR="00A60FC2" w:rsidRPr="00D70B1B">
        <w:rPr>
          <w:rFonts w:asciiTheme="majorHAnsi" w:eastAsia="Times New Roman" w:hAnsiTheme="majorHAnsi" w:cstheme="majorHAnsi"/>
          <w:b/>
          <w:bCs/>
          <w:sz w:val="24"/>
          <w:szCs w:val="24"/>
          <w:lang w:val="ro-MD"/>
        </w:rPr>
        <w:t xml:space="preserve"> 202</w:t>
      </w:r>
      <w:r w:rsidR="00472DEF" w:rsidRPr="00D70B1B">
        <w:rPr>
          <w:rFonts w:asciiTheme="majorHAnsi" w:eastAsia="Times New Roman" w:hAnsiTheme="majorHAnsi" w:cstheme="majorHAnsi"/>
          <w:b/>
          <w:bCs/>
          <w:sz w:val="24"/>
          <w:szCs w:val="24"/>
          <w:lang w:val="ro-MD"/>
        </w:rPr>
        <w:t>3</w:t>
      </w:r>
    </w:p>
    <w:p w:rsidR="00C1129F" w:rsidRPr="003F1EFF" w:rsidRDefault="003F2560" w:rsidP="00053022">
      <w:pPr>
        <w:spacing w:after="0" w:line="276" w:lineRule="auto"/>
        <w:ind w:left="-567"/>
        <w:jc w:val="center"/>
        <w:rPr>
          <w:rFonts w:asciiTheme="majorHAnsi" w:eastAsia="Times New Roman" w:hAnsiTheme="majorHAnsi" w:cstheme="majorHAnsi"/>
          <w:b/>
          <w:bCs/>
          <w:sz w:val="24"/>
          <w:szCs w:val="24"/>
          <w:lang w:val="ro-MD" w:eastAsia="ru-RU"/>
        </w:rPr>
      </w:pPr>
      <w:r w:rsidRPr="003F1EFF">
        <w:rPr>
          <w:rFonts w:asciiTheme="majorHAnsi" w:eastAsia="Times New Roman" w:hAnsiTheme="majorHAnsi" w:cstheme="majorHAnsi"/>
          <w:b/>
          <w:bCs/>
          <w:sz w:val="24"/>
          <w:szCs w:val="24"/>
          <w:lang w:val="ro-MD" w:eastAsia="ru-RU"/>
        </w:rPr>
        <w:t xml:space="preserve">cu privire la Raportul auditului </w:t>
      </w:r>
      <w:r w:rsidR="00F764B1" w:rsidRPr="003F1EFF">
        <w:rPr>
          <w:rFonts w:asciiTheme="majorHAnsi" w:eastAsia="Times New Roman" w:hAnsiTheme="majorHAnsi" w:cstheme="majorHAnsi"/>
          <w:b/>
          <w:bCs/>
          <w:sz w:val="24"/>
          <w:szCs w:val="24"/>
          <w:lang w:val="ro-MD" w:eastAsia="ru-RU"/>
        </w:rPr>
        <w:t xml:space="preserve">conformității </w:t>
      </w:r>
      <w:r w:rsidR="00C1129F" w:rsidRPr="003F1EFF">
        <w:rPr>
          <w:rFonts w:asciiTheme="majorHAnsi" w:eastAsia="Times New Roman" w:hAnsiTheme="majorHAnsi" w:cstheme="majorHAnsi"/>
          <w:b/>
          <w:bCs/>
          <w:sz w:val="24"/>
          <w:szCs w:val="24"/>
          <w:lang w:val="ro-MD" w:eastAsia="ru-RU"/>
        </w:rPr>
        <w:t xml:space="preserve">asupra </w:t>
      </w:r>
      <w:r w:rsidR="00F764B1" w:rsidRPr="003F1EFF">
        <w:rPr>
          <w:rFonts w:asciiTheme="majorHAnsi" w:eastAsia="Times New Roman" w:hAnsiTheme="majorHAnsi" w:cstheme="majorHAnsi"/>
          <w:b/>
          <w:bCs/>
          <w:sz w:val="24"/>
          <w:szCs w:val="24"/>
          <w:lang w:val="ro-MD" w:eastAsia="ru-RU"/>
        </w:rPr>
        <w:t xml:space="preserve">managementului datoriei de stat, </w:t>
      </w:r>
    </w:p>
    <w:p w:rsidR="003F2560" w:rsidRPr="003F1EFF" w:rsidRDefault="00F764B1" w:rsidP="00053022">
      <w:pPr>
        <w:spacing w:after="0" w:line="276" w:lineRule="auto"/>
        <w:ind w:left="-567"/>
        <w:jc w:val="center"/>
        <w:rPr>
          <w:rFonts w:asciiTheme="majorHAnsi" w:eastAsia="Times New Roman" w:hAnsiTheme="majorHAnsi" w:cstheme="majorHAnsi"/>
          <w:b/>
          <w:bCs/>
          <w:sz w:val="24"/>
          <w:szCs w:val="24"/>
          <w:lang w:val="ro-MD" w:eastAsia="ru-RU"/>
        </w:rPr>
      </w:pPr>
      <w:r w:rsidRPr="003F1EFF">
        <w:rPr>
          <w:rFonts w:asciiTheme="majorHAnsi" w:eastAsia="Times New Roman" w:hAnsiTheme="majorHAnsi" w:cstheme="majorHAnsi"/>
          <w:b/>
          <w:bCs/>
          <w:sz w:val="24"/>
          <w:szCs w:val="24"/>
          <w:lang w:val="ro-MD" w:eastAsia="ru-RU"/>
        </w:rPr>
        <w:t>garanțiilor de stat și recreditării de stat în anul</w:t>
      </w:r>
      <w:r w:rsidR="003F2560" w:rsidRPr="003F1EFF">
        <w:rPr>
          <w:rFonts w:asciiTheme="majorHAnsi" w:eastAsia="Times New Roman" w:hAnsiTheme="majorHAnsi" w:cstheme="majorHAnsi"/>
          <w:b/>
          <w:bCs/>
          <w:sz w:val="24"/>
          <w:szCs w:val="24"/>
          <w:lang w:val="ro-MD" w:eastAsia="ru-RU"/>
        </w:rPr>
        <w:t xml:space="preserve"> 20</w:t>
      </w:r>
      <w:r w:rsidR="0067630A" w:rsidRPr="003F1EFF">
        <w:rPr>
          <w:rFonts w:asciiTheme="majorHAnsi" w:eastAsia="Times New Roman" w:hAnsiTheme="majorHAnsi" w:cstheme="majorHAnsi"/>
          <w:b/>
          <w:bCs/>
          <w:sz w:val="24"/>
          <w:szCs w:val="24"/>
          <w:lang w:val="ro-MD" w:eastAsia="ru-RU"/>
        </w:rPr>
        <w:t>22</w:t>
      </w:r>
    </w:p>
    <w:p w:rsidR="003F2560" w:rsidRPr="00D70B1B" w:rsidRDefault="003F2560" w:rsidP="00053022">
      <w:pPr>
        <w:spacing w:after="0" w:line="276" w:lineRule="auto"/>
        <w:ind w:left="-567"/>
        <w:jc w:val="center"/>
        <w:rPr>
          <w:rFonts w:asciiTheme="majorHAnsi" w:eastAsia="Times New Roman" w:hAnsiTheme="majorHAnsi" w:cstheme="majorHAnsi"/>
          <w:sz w:val="24"/>
          <w:szCs w:val="24"/>
          <w:lang w:val="ro-MD"/>
        </w:rPr>
      </w:pPr>
    </w:p>
    <w:p w:rsidR="0001475E" w:rsidRPr="003F1EFF" w:rsidRDefault="003F2560" w:rsidP="00053022">
      <w:pPr>
        <w:spacing w:after="0" w:line="276" w:lineRule="auto"/>
        <w:ind w:firstLine="720"/>
        <w:jc w:val="both"/>
        <w:rPr>
          <w:rFonts w:asciiTheme="majorHAnsi" w:eastAsia="Times New Roman" w:hAnsiTheme="majorHAnsi" w:cstheme="majorHAnsi"/>
          <w:bCs/>
          <w:sz w:val="24"/>
          <w:szCs w:val="24"/>
          <w:lang w:val="ro-RO" w:eastAsia="ru-RU"/>
        </w:rPr>
      </w:pPr>
      <w:r w:rsidRPr="003F1EFF">
        <w:rPr>
          <w:rFonts w:asciiTheme="majorHAnsi" w:hAnsiTheme="majorHAnsi" w:cstheme="majorHAnsi"/>
          <w:sz w:val="24"/>
          <w:szCs w:val="24"/>
          <w:lang w:val="ro-RO"/>
        </w:rPr>
        <w:t xml:space="preserve">Curtea de Conturi, </w:t>
      </w:r>
      <w:r w:rsidR="0001475E" w:rsidRPr="003F1EFF">
        <w:rPr>
          <w:rFonts w:asciiTheme="majorHAnsi" w:eastAsia="Times New Roman" w:hAnsiTheme="majorHAnsi" w:cstheme="majorHAnsi"/>
          <w:sz w:val="24"/>
          <w:szCs w:val="24"/>
          <w:lang w:val="ro-RO"/>
        </w:rPr>
        <w:t>în prezența</w:t>
      </w:r>
      <w:r w:rsidR="008F6477" w:rsidRPr="003F1EFF">
        <w:rPr>
          <w:rFonts w:asciiTheme="majorHAnsi" w:eastAsia="Times New Roman" w:hAnsiTheme="majorHAnsi" w:cstheme="majorHAnsi"/>
          <w:sz w:val="24"/>
          <w:szCs w:val="24"/>
          <w:lang w:val="ro-RO"/>
        </w:rPr>
        <w:t xml:space="preserve"> S</w:t>
      </w:r>
      <w:r w:rsidR="00284CB5" w:rsidRPr="003F1EFF">
        <w:rPr>
          <w:rFonts w:asciiTheme="majorHAnsi" w:eastAsia="Times New Roman" w:hAnsiTheme="majorHAnsi" w:cstheme="majorHAnsi"/>
          <w:sz w:val="24"/>
          <w:szCs w:val="24"/>
          <w:lang w:val="ro-RO"/>
        </w:rPr>
        <w:t>ecretar</w:t>
      </w:r>
      <w:r w:rsidR="007F2AEA">
        <w:rPr>
          <w:rFonts w:asciiTheme="majorHAnsi" w:eastAsia="Times New Roman" w:hAnsiTheme="majorHAnsi" w:cstheme="majorHAnsi"/>
          <w:sz w:val="24"/>
          <w:szCs w:val="24"/>
          <w:lang w:val="ro-RO"/>
        </w:rPr>
        <w:t>ei</w:t>
      </w:r>
      <w:r w:rsidR="003F1EFF" w:rsidRPr="003F1EFF">
        <w:rPr>
          <w:rFonts w:asciiTheme="majorHAnsi" w:eastAsia="Times New Roman" w:hAnsiTheme="majorHAnsi" w:cstheme="majorHAnsi"/>
          <w:sz w:val="24"/>
          <w:szCs w:val="24"/>
          <w:lang w:val="ro-RO"/>
        </w:rPr>
        <w:t xml:space="preserve"> </w:t>
      </w:r>
      <w:r w:rsidR="00BD2F88" w:rsidRPr="003F1EFF">
        <w:rPr>
          <w:rFonts w:asciiTheme="majorHAnsi" w:eastAsia="Times New Roman" w:hAnsiTheme="majorHAnsi" w:cstheme="majorHAnsi"/>
          <w:sz w:val="24"/>
          <w:szCs w:val="24"/>
          <w:lang w:val="ro-RO"/>
        </w:rPr>
        <w:t>general</w:t>
      </w:r>
      <w:r w:rsidR="007F2AEA">
        <w:rPr>
          <w:rFonts w:asciiTheme="majorHAnsi" w:eastAsia="Times New Roman" w:hAnsiTheme="majorHAnsi" w:cstheme="majorHAnsi"/>
          <w:sz w:val="24"/>
          <w:szCs w:val="24"/>
          <w:lang w:val="ro-RO"/>
        </w:rPr>
        <w:t>e</w:t>
      </w:r>
      <w:r w:rsidR="00BD2F88" w:rsidRPr="003F1EFF">
        <w:rPr>
          <w:rFonts w:asciiTheme="majorHAnsi" w:eastAsia="Times New Roman" w:hAnsiTheme="majorHAnsi" w:cstheme="majorHAnsi"/>
          <w:sz w:val="24"/>
          <w:szCs w:val="24"/>
          <w:lang w:val="ro-RO"/>
        </w:rPr>
        <w:t xml:space="preserve"> </w:t>
      </w:r>
      <w:r w:rsidR="00284CB5" w:rsidRPr="003F1EFF">
        <w:rPr>
          <w:rFonts w:asciiTheme="majorHAnsi" w:eastAsia="Times New Roman" w:hAnsiTheme="majorHAnsi" w:cstheme="majorHAnsi"/>
          <w:sz w:val="24"/>
          <w:szCs w:val="24"/>
          <w:lang w:val="ro-RO"/>
        </w:rPr>
        <w:t>de stat a Ministerului</w:t>
      </w:r>
      <w:r w:rsidR="00427693" w:rsidRPr="003F1EFF">
        <w:rPr>
          <w:rFonts w:asciiTheme="majorHAnsi" w:eastAsia="Times New Roman" w:hAnsiTheme="majorHAnsi" w:cstheme="majorHAnsi"/>
          <w:sz w:val="24"/>
          <w:szCs w:val="24"/>
          <w:lang w:val="ro-RO"/>
        </w:rPr>
        <w:t xml:space="preserve"> </w:t>
      </w:r>
      <w:r w:rsidR="008F6477" w:rsidRPr="003F1EFF">
        <w:rPr>
          <w:rFonts w:asciiTheme="majorHAnsi" w:eastAsia="Times New Roman" w:hAnsiTheme="majorHAnsi" w:cstheme="majorHAnsi"/>
          <w:sz w:val="24"/>
          <w:szCs w:val="24"/>
          <w:lang w:val="ro-RO"/>
        </w:rPr>
        <w:t>Finanțelor</w:t>
      </w:r>
      <w:r w:rsidR="007F2AEA">
        <w:rPr>
          <w:rFonts w:asciiTheme="majorHAnsi" w:eastAsia="Times New Roman" w:hAnsiTheme="majorHAnsi" w:cstheme="majorHAnsi"/>
          <w:sz w:val="24"/>
          <w:szCs w:val="24"/>
          <w:lang w:val="ro-RO"/>
        </w:rPr>
        <w:t xml:space="preserve">, </w:t>
      </w:r>
      <w:r w:rsidR="007F2AEA" w:rsidRPr="003F1EFF">
        <w:rPr>
          <w:rFonts w:asciiTheme="majorHAnsi" w:eastAsia="Times New Roman" w:hAnsiTheme="majorHAnsi" w:cstheme="majorHAnsi"/>
          <w:sz w:val="24"/>
          <w:szCs w:val="24"/>
          <w:lang w:val="ro-RO"/>
        </w:rPr>
        <w:t>dn</w:t>
      </w:r>
      <w:r w:rsidR="007F2AEA">
        <w:rPr>
          <w:rFonts w:asciiTheme="majorHAnsi" w:eastAsia="Times New Roman" w:hAnsiTheme="majorHAnsi" w:cstheme="majorHAnsi"/>
          <w:sz w:val="24"/>
          <w:szCs w:val="24"/>
          <w:lang w:val="ro-RO"/>
        </w:rPr>
        <w:t>a</w:t>
      </w:r>
      <w:r w:rsidR="007F2AEA" w:rsidRPr="003F1EFF">
        <w:rPr>
          <w:rFonts w:asciiTheme="majorHAnsi" w:eastAsia="Times New Roman" w:hAnsiTheme="majorHAnsi" w:cstheme="majorHAnsi"/>
          <w:sz w:val="24"/>
          <w:szCs w:val="24"/>
          <w:lang w:val="ro-RO"/>
        </w:rPr>
        <w:t xml:space="preserve"> Dina Roșca</w:t>
      </w:r>
      <w:r w:rsidR="002E78C9" w:rsidRPr="003F1EFF">
        <w:rPr>
          <w:rFonts w:asciiTheme="majorHAnsi" w:eastAsia="Times New Roman" w:hAnsiTheme="majorHAnsi" w:cstheme="majorHAnsi"/>
          <w:sz w:val="24"/>
          <w:szCs w:val="24"/>
          <w:lang w:val="ro-RO"/>
        </w:rPr>
        <w:t>;</w:t>
      </w:r>
      <w:r w:rsidR="008F6477" w:rsidRPr="003F1EFF">
        <w:rPr>
          <w:rFonts w:asciiTheme="majorHAnsi" w:eastAsia="Times New Roman" w:hAnsiTheme="majorHAnsi" w:cstheme="majorHAnsi"/>
          <w:sz w:val="24"/>
          <w:szCs w:val="24"/>
          <w:lang w:val="ro-RO"/>
        </w:rPr>
        <w:t xml:space="preserve"> </w:t>
      </w:r>
      <w:r w:rsidR="00F32DDA">
        <w:rPr>
          <w:rFonts w:asciiTheme="majorHAnsi" w:hAnsiTheme="majorHAnsi"/>
          <w:sz w:val="24"/>
          <w:szCs w:val="24"/>
          <w:lang w:val="ro-MD"/>
        </w:rPr>
        <w:t>Secretarei</w:t>
      </w:r>
      <w:r w:rsidR="00F32DDA" w:rsidRPr="00A62E0B">
        <w:rPr>
          <w:rFonts w:asciiTheme="majorHAnsi" w:hAnsiTheme="majorHAnsi"/>
          <w:sz w:val="24"/>
          <w:szCs w:val="24"/>
          <w:lang w:val="ro-MD"/>
        </w:rPr>
        <w:t xml:space="preserve"> </w:t>
      </w:r>
      <w:r w:rsidR="00F32DDA">
        <w:rPr>
          <w:rFonts w:asciiTheme="majorHAnsi" w:hAnsiTheme="majorHAnsi"/>
          <w:sz w:val="24"/>
          <w:szCs w:val="24"/>
          <w:lang w:val="ro-MD"/>
        </w:rPr>
        <w:t xml:space="preserve">de stat </w:t>
      </w:r>
      <w:r w:rsidR="00F32DDA" w:rsidRPr="00A62E0B">
        <w:rPr>
          <w:rFonts w:asciiTheme="majorHAnsi" w:hAnsiTheme="majorHAnsi"/>
          <w:sz w:val="24"/>
          <w:szCs w:val="24"/>
          <w:lang w:val="ro-MD"/>
        </w:rPr>
        <w:t>a Ministerului Finanțelor</w:t>
      </w:r>
      <w:r w:rsidR="00F32DDA">
        <w:rPr>
          <w:rFonts w:asciiTheme="majorHAnsi" w:hAnsiTheme="majorHAnsi"/>
          <w:sz w:val="24"/>
          <w:szCs w:val="24"/>
          <w:lang w:val="ro-MD"/>
        </w:rPr>
        <w:t>, dna Olga Golban; Secretarului</w:t>
      </w:r>
      <w:r w:rsidR="00F32DDA" w:rsidRPr="00A62E0B">
        <w:rPr>
          <w:rFonts w:asciiTheme="majorHAnsi" w:hAnsiTheme="majorHAnsi"/>
          <w:sz w:val="24"/>
          <w:szCs w:val="24"/>
          <w:lang w:val="ro-MD"/>
        </w:rPr>
        <w:t xml:space="preserve"> </w:t>
      </w:r>
      <w:r w:rsidR="00F32DDA">
        <w:rPr>
          <w:rFonts w:asciiTheme="majorHAnsi" w:hAnsiTheme="majorHAnsi"/>
          <w:sz w:val="24"/>
          <w:szCs w:val="24"/>
          <w:lang w:val="ro-MD"/>
        </w:rPr>
        <w:t xml:space="preserve">de stat </w:t>
      </w:r>
      <w:r w:rsidR="00F32DDA" w:rsidRPr="00A62E0B">
        <w:rPr>
          <w:rFonts w:asciiTheme="majorHAnsi" w:hAnsiTheme="majorHAnsi"/>
          <w:sz w:val="24"/>
          <w:szCs w:val="24"/>
          <w:lang w:val="ro-MD"/>
        </w:rPr>
        <w:t>a</w:t>
      </w:r>
      <w:r w:rsidR="00F32DDA">
        <w:rPr>
          <w:rFonts w:asciiTheme="majorHAnsi" w:hAnsiTheme="majorHAnsi"/>
          <w:sz w:val="24"/>
          <w:szCs w:val="24"/>
          <w:lang w:val="ro-MD"/>
        </w:rPr>
        <w:t>l</w:t>
      </w:r>
      <w:r w:rsidR="00F32DDA" w:rsidRPr="00A62E0B">
        <w:rPr>
          <w:rFonts w:asciiTheme="majorHAnsi" w:hAnsiTheme="majorHAnsi"/>
          <w:sz w:val="24"/>
          <w:szCs w:val="24"/>
          <w:lang w:val="ro-MD"/>
        </w:rPr>
        <w:t xml:space="preserve"> Ministerului Finanțelor</w:t>
      </w:r>
      <w:r w:rsidR="00F32DDA">
        <w:rPr>
          <w:rFonts w:asciiTheme="majorHAnsi" w:hAnsiTheme="majorHAnsi"/>
          <w:sz w:val="24"/>
          <w:szCs w:val="24"/>
          <w:lang w:val="ro-MD"/>
        </w:rPr>
        <w:t>, dl Ion Gumene; Secretarului</w:t>
      </w:r>
      <w:r w:rsidR="00F32DDA" w:rsidRPr="00A62E0B">
        <w:rPr>
          <w:rFonts w:asciiTheme="majorHAnsi" w:hAnsiTheme="majorHAnsi"/>
          <w:sz w:val="24"/>
          <w:szCs w:val="24"/>
          <w:lang w:val="ro-MD"/>
        </w:rPr>
        <w:t xml:space="preserve"> </w:t>
      </w:r>
      <w:r w:rsidR="00F32DDA">
        <w:rPr>
          <w:rFonts w:asciiTheme="majorHAnsi" w:hAnsiTheme="majorHAnsi"/>
          <w:sz w:val="24"/>
          <w:szCs w:val="24"/>
          <w:lang w:val="ro-MD"/>
        </w:rPr>
        <w:t xml:space="preserve">de stat </w:t>
      </w:r>
      <w:r w:rsidR="00F32DDA" w:rsidRPr="00A62E0B">
        <w:rPr>
          <w:rFonts w:asciiTheme="majorHAnsi" w:hAnsiTheme="majorHAnsi"/>
          <w:sz w:val="24"/>
          <w:szCs w:val="24"/>
          <w:lang w:val="ro-MD"/>
        </w:rPr>
        <w:t>a</w:t>
      </w:r>
      <w:r w:rsidR="00F32DDA">
        <w:rPr>
          <w:rFonts w:asciiTheme="majorHAnsi" w:hAnsiTheme="majorHAnsi"/>
          <w:sz w:val="24"/>
          <w:szCs w:val="24"/>
          <w:lang w:val="ro-MD"/>
        </w:rPr>
        <w:t>l</w:t>
      </w:r>
      <w:r w:rsidR="00F32DDA" w:rsidRPr="00A62E0B">
        <w:rPr>
          <w:rFonts w:asciiTheme="majorHAnsi" w:hAnsiTheme="majorHAnsi"/>
          <w:sz w:val="24"/>
          <w:szCs w:val="24"/>
          <w:lang w:val="ro-MD"/>
        </w:rPr>
        <w:t xml:space="preserve"> Ministerului Finanțelor</w:t>
      </w:r>
      <w:r w:rsidR="00F32DDA">
        <w:rPr>
          <w:rFonts w:asciiTheme="majorHAnsi" w:hAnsiTheme="majorHAnsi"/>
          <w:sz w:val="24"/>
          <w:szCs w:val="24"/>
          <w:lang w:val="ro-MD"/>
        </w:rPr>
        <w:t xml:space="preserve">, dl Vladimir Arachelov;  </w:t>
      </w:r>
      <w:r w:rsidR="00663B5F" w:rsidRPr="003F1EFF">
        <w:rPr>
          <w:rFonts w:asciiTheme="majorHAnsi" w:hAnsiTheme="majorHAnsi" w:cstheme="majorHAnsi"/>
          <w:sz w:val="24"/>
          <w:szCs w:val="24"/>
          <w:lang w:val="ro-RO"/>
        </w:rPr>
        <w:t>ș</w:t>
      </w:r>
      <w:r w:rsidR="008F6477" w:rsidRPr="003F1EFF">
        <w:rPr>
          <w:rFonts w:asciiTheme="majorHAnsi" w:hAnsiTheme="majorHAnsi" w:cstheme="majorHAnsi"/>
          <w:sz w:val="24"/>
          <w:szCs w:val="24"/>
          <w:lang w:val="ro-RO"/>
        </w:rPr>
        <w:t>ef</w:t>
      </w:r>
      <w:r w:rsidR="007F2AEA">
        <w:rPr>
          <w:rFonts w:asciiTheme="majorHAnsi" w:hAnsiTheme="majorHAnsi" w:cstheme="majorHAnsi"/>
          <w:sz w:val="24"/>
          <w:szCs w:val="24"/>
          <w:lang w:val="ro-RO"/>
        </w:rPr>
        <w:t>ei</w:t>
      </w:r>
      <w:r w:rsidR="00663B5F" w:rsidRPr="003F1EFF">
        <w:rPr>
          <w:rFonts w:asciiTheme="majorHAnsi" w:hAnsiTheme="majorHAnsi" w:cstheme="majorHAnsi"/>
          <w:sz w:val="24"/>
          <w:szCs w:val="24"/>
          <w:lang w:val="ro-RO"/>
        </w:rPr>
        <w:t xml:space="preserve"> Direcției datorii publice a Ministerului Finanțelor</w:t>
      </w:r>
      <w:r w:rsidR="007F2AEA">
        <w:rPr>
          <w:rFonts w:asciiTheme="majorHAnsi" w:hAnsiTheme="majorHAnsi" w:cstheme="majorHAnsi"/>
          <w:sz w:val="24"/>
          <w:szCs w:val="24"/>
          <w:lang w:val="ro-RO"/>
        </w:rPr>
        <w:t xml:space="preserve">, </w:t>
      </w:r>
      <w:r w:rsidR="007F2AEA" w:rsidRPr="003F1EFF">
        <w:rPr>
          <w:rFonts w:asciiTheme="majorHAnsi" w:hAnsiTheme="majorHAnsi" w:cstheme="majorHAnsi"/>
          <w:sz w:val="24"/>
          <w:szCs w:val="24"/>
          <w:lang w:val="ro-RO"/>
        </w:rPr>
        <w:t>dn</w:t>
      </w:r>
      <w:r w:rsidR="007F2AEA">
        <w:rPr>
          <w:rFonts w:asciiTheme="majorHAnsi" w:hAnsiTheme="majorHAnsi" w:cstheme="majorHAnsi"/>
          <w:sz w:val="24"/>
          <w:szCs w:val="24"/>
          <w:lang w:val="ro-RO"/>
        </w:rPr>
        <w:t>a</w:t>
      </w:r>
      <w:r w:rsidR="007F2AEA" w:rsidRPr="003F1EFF">
        <w:rPr>
          <w:rFonts w:asciiTheme="majorHAnsi" w:hAnsiTheme="majorHAnsi" w:cstheme="majorHAnsi"/>
          <w:sz w:val="24"/>
          <w:szCs w:val="24"/>
          <w:lang w:val="ro-RO"/>
        </w:rPr>
        <w:t xml:space="preserve"> Elena Matveeva</w:t>
      </w:r>
      <w:r w:rsidR="008F6477" w:rsidRPr="003F1EFF">
        <w:rPr>
          <w:rFonts w:asciiTheme="majorHAnsi" w:hAnsiTheme="majorHAnsi" w:cstheme="majorHAnsi"/>
          <w:sz w:val="24"/>
          <w:szCs w:val="24"/>
          <w:lang w:val="ro-RO"/>
        </w:rPr>
        <w:t>;</w:t>
      </w:r>
      <w:r w:rsidR="00E5738C">
        <w:rPr>
          <w:rFonts w:asciiTheme="majorHAnsi" w:eastAsia="Times New Roman" w:hAnsiTheme="majorHAnsi" w:cstheme="majorHAnsi"/>
          <w:sz w:val="24"/>
          <w:szCs w:val="24"/>
          <w:lang w:val="ro-RO"/>
        </w:rPr>
        <w:t xml:space="preserve"> </w:t>
      </w:r>
      <w:r w:rsidR="0001475E" w:rsidRPr="003F1EFF">
        <w:rPr>
          <w:rFonts w:asciiTheme="majorHAnsi" w:hAnsiTheme="majorHAnsi" w:cstheme="majorHAnsi"/>
          <w:sz w:val="24"/>
          <w:szCs w:val="24"/>
          <w:lang w:val="ro-RO"/>
        </w:rPr>
        <w:t>Directo</w:t>
      </w:r>
      <w:r w:rsidR="002E78C9" w:rsidRPr="003F1EFF">
        <w:rPr>
          <w:rFonts w:asciiTheme="majorHAnsi" w:hAnsiTheme="majorHAnsi" w:cstheme="majorHAnsi"/>
          <w:sz w:val="24"/>
          <w:szCs w:val="24"/>
          <w:lang w:val="ro-RO"/>
        </w:rPr>
        <w:t>a</w:t>
      </w:r>
      <w:r w:rsidR="0001475E" w:rsidRPr="003F1EFF">
        <w:rPr>
          <w:rFonts w:asciiTheme="majorHAnsi" w:hAnsiTheme="majorHAnsi" w:cstheme="majorHAnsi"/>
          <w:sz w:val="24"/>
          <w:szCs w:val="24"/>
          <w:lang w:val="ro-RO"/>
        </w:rPr>
        <w:t>r</w:t>
      </w:r>
      <w:r w:rsidR="008F6477" w:rsidRPr="003F1EFF">
        <w:rPr>
          <w:rFonts w:asciiTheme="majorHAnsi" w:hAnsiTheme="majorHAnsi" w:cstheme="majorHAnsi"/>
          <w:sz w:val="24"/>
          <w:szCs w:val="24"/>
          <w:lang w:val="ro-RO"/>
        </w:rPr>
        <w:t>e</w:t>
      </w:r>
      <w:r w:rsidR="007F2AEA">
        <w:rPr>
          <w:rFonts w:asciiTheme="majorHAnsi" w:hAnsiTheme="majorHAnsi" w:cstheme="majorHAnsi"/>
          <w:sz w:val="24"/>
          <w:szCs w:val="24"/>
          <w:lang w:val="ro-RO"/>
        </w:rPr>
        <w:t>i</w:t>
      </w:r>
      <w:r w:rsidR="0001475E" w:rsidRPr="003F1EFF">
        <w:rPr>
          <w:rFonts w:asciiTheme="majorHAnsi" w:hAnsiTheme="majorHAnsi" w:cstheme="majorHAnsi"/>
          <w:sz w:val="24"/>
          <w:szCs w:val="24"/>
          <w:lang w:val="ro-RO"/>
        </w:rPr>
        <w:t xml:space="preserve"> Instituției Publice „Oficiu</w:t>
      </w:r>
      <w:r w:rsidR="00C1129F" w:rsidRPr="003F1EFF">
        <w:rPr>
          <w:rFonts w:asciiTheme="majorHAnsi" w:hAnsiTheme="majorHAnsi" w:cstheme="majorHAnsi"/>
          <w:sz w:val="24"/>
          <w:szCs w:val="24"/>
          <w:lang w:val="ro-RO"/>
        </w:rPr>
        <w:t>l</w:t>
      </w:r>
      <w:r w:rsidR="0001475E" w:rsidRPr="003F1EFF">
        <w:rPr>
          <w:rFonts w:asciiTheme="majorHAnsi" w:hAnsiTheme="majorHAnsi" w:cstheme="majorHAnsi"/>
          <w:sz w:val="24"/>
          <w:szCs w:val="24"/>
          <w:lang w:val="ro-RO"/>
        </w:rPr>
        <w:t xml:space="preserve"> de Gestionare a Programelor de Asistență Externă”</w:t>
      </w:r>
      <w:r w:rsidRPr="003F1EFF">
        <w:rPr>
          <w:rFonts w:asciiTheme="majorHAnsi" w:hAnsiTheme="majorHAnsi" w:cstheme="majorHAnsi"/>
          <w:sz w:val="24"/>
          <w:szCs w:val="24"/>
          <w:lang w:val="ro-RO"/>
        </w:rPr>
        <w:t>,</w:t>
      </w:r>
      <w:r w:rsidR="002E78C9" w:rsidRPr="003F1EFF">
        <w:rPr>
          <w:rFonts w:asciiTheme="majorHAnsi" w:hAnsiTheme="majorHAnsi" w:cstheme="majorHAnsi"/>
          <w:sz w:val="24"/>
          <w:szCs w:val="24"/>
          <w:lang w:val="ro-RO"/>
        </w:rPr>
        <w:t xml:space="preserve"> </w:t>
      </w:r>
      <w:r w:rsidR="007F2AEA" w:rsidRPr="003F1EFF">
        <w:rPr>
          <w:rFonts w:asciiTheme="majorHAnsi" w:hAnsiTheme="majorHAnsi" w:cstheme="majorHAnsi"/>
          <w:sz w:val="24"/>
          <w:szCs w:val="24"/>
          <w:lang w:val="ro-RO"/>
        </w:rPr>
        <w:t>dn</w:t>
      </w:r>
      <w:r w:rsidR="007F2AEA">
        <w:rPr>
          <w:rFonts w:asciiTheme="majorHAnsi" w:hAnsiTheme="majorHAnsi" w:cstheme="majorHAnsi"/>
          <w:sz w:val="24"/>
          <w:szCs w:val="24"/>
          <w:lang w:val="ro-RO"/>
        </w:rPr>
        <w:t>a</w:t>
      </w:r>
      <w:r w:rsidR="007F2AEA" w:rsidRPr="003F1EFF">
        <w:rPr>
          <w:rFonts w:asciiTheme="majorHAnsi" w:hAnsiTheme="majorHAnsi" w:cstheme="majorHAnsi"/>
          <w:sz w:val="24"/>
          <w:szCs w:val="24"/>
          <w:lang w:val="ro-RO"/>
        </w:rPr>
        <w:t xml:space="preserve"> Raisa Cantemir</w:t>
      </w:r>
      <w:r w:rsidR="007F2AEA">
        <w:rPr>
          <w:rFonts w:asciiTheme="majorHAnsi" w:hAnsiTheme="majorHAnsi" w:cstheme="majorHAnsi"/>
          <w:sz w:val="24"/>
          <w:szCs w:val="24"/>
          <w:lang w:val="ro-RO"/>
        </w:rPr>
        <w:t xml:space="preserve">; </w:t>
      </w:r>
      <w:r w:rsidR="00F32DDA">
        <w:rPr>
          <w:rFonts w:asciiTheme="majorHAnsi" w:eastAsia="Times New Roman" w:hAnsiTheme="majorHAnsi" w:cstheme="majorHAnsi"/>
          <w:sz w:val="24"/>
          <w:szCs w:val="24"/>
          <w:lang w:val="ro-RO"/>
        </w:rPr>
        <w:t>șef</w:t>
      </w:r>
      <w:r w:rsidR="007F2AEA">
        <w:rPr>
          <w:rFonts w:asciiTheme="majorHAnsi" w:eastAsia="Times New Roman" w:hAnsiTheme="majorHAnsi" w:cstheme="majorHAnsi"/>
          <w:sz w:val="24"/>
          <w:szCs w:val="24"/>
          <w:lang w:val="ro-RO"/>
        </w:rPr>
        <w:t>ei</w:t>
      </w:r>
      <w:r w:rsidR="00F32DDA">
        <w:rPr>
          <w:rFonts w:asciiTheme="majorHAnsi" w:eastAsia="Times New Roman" w:hAnsiTheme="majorHAnsi" w:cstheme="majorHAnsi"/>
          <w:sz w:val="24"/>
          <w:szCs w:val="24"/>
          <w:lang w:val="ro-RO"/>
        </w:rPr>
        <w:t xml:space="preserve"> Secției raportare a Ministerului Finanțelor, </w:t>
      </w:r>
      <w:r w:rsidR="007F2AEA">
        <w:rPr>
          <w:rFonts w:asciiTheme="majorHAnsi" w:eastAsia="Times New Roman" w:hAnsiTheme="majorHAnsi" w:cstheme="majorHAnsi"/>
          <w:sz w:val="24"/>
          <w:szCs w:val="24"/>
          <w:lang w:val="ro-RO"/>
        </w:rPr>
        <w:t xml:space="preserve">dna Nadejda Slova, </w:t>
      </w:r>
      <w:r w:rsidR="00E46D13" w:rsidRPr="003F1EFF">
        <w:rPr>
          <w:rFonts w:asciiTheme="majorHAnsi" w:hAnsiTheme="majorHAnsi" w:cstheme="majorHAnsi"/>
          <w:sz w:val="24"/>
          <w:szCs w:val="24"/>
          <w:lang w:val="ro-RO"/>
        </w:rPr>
        <w:t xml:space="preserve">precum și a altor persoane cu funcții de răspundere, </w:t>
      </w:r>
      <w:r w:rsidRPr="003F1EFF">
        <w:rPr>
          <w:rFonts w:asciiTheme="majorHAnsi" w:hAnsiTheme="majorHAnsi" w:cstheme="majorHAnsi"/>
          <w:sz w:val="24"/>
          <w:szCs w:val="24"/>
          <w:lang w:val="ro-RO"/>
        </w:rPr>
        <w:t xml:space="preserve">în cadrul ședinței </w:t>
      </w:r>
      <w:r w:rsidR="00B03B6F" w:rsidRPr="003F1EFF">
        <w:rPr>
          <w:rFonts w:asciiTheme="majorHAnsi" w:hAnsiTheme="majorHAnsi" w:cstheme="majorHAnsi"/>
          <w:sz w:val="24"/>
          <w:szCs w:val="24"/>
          <w:lang w:val="ro-RO"/>
        </w:rPr>
        <w:t xml:space="preserve">în format </w:t>
      </w:r>
      <w:r w:rsidRPr="003F1EFF">
        <w:rPr>
          <w:rFonts w:asciiTheme="majorHAnsi" w:hAnsiTheme="majorHAnsi" w:cstheme="majorHAnsi"/>
          <w:sz w:val="24"/>
          <w:szCs w:val="24"/>
          <w:lang w:val="ro-RO"/>
        </w:rPr>
        <w:t xml:space="preserve">video, </w:t>
      </w:r>
      <w:r w:rsidRPr="003F1EFF">
        <w:rPr>
          <w:rFonts w:asciiTheme="majorHAnsi" w:hAnsiTheme="majorHAnsi" w:cstheme="majorHAnsi"/>
          <w:bCs/>
          <w:sz w:val="24"/>
          <w:szCs w:val="24"/>
          <w:lang w:val="ro-RO"/>
        </w:rPr>
        <w:t>călăuzindu-se de</w:t>
      </w:r>
      <w:r w:rsidRPr="003F1EFF">
        <w:rPr>
          <w:rFonts w:asciiTheme="majorHAnsi" w:hAnsiTheme="majorHAnsi" w:cstheme="majorHAnsi"/>
          <w:sz w:val="24"/>
          <w:szCs w:val="24"/>
          <w:lang w:val="ro-RO"/>
        </w:rPr>
        <w:t xml:space="preserve"> art. 3 alin. (1) și art. 5 alin. (1) lit. a) din Legea privind organizarea și funcționarea Curții de Conturi a Republicii Moldova</w:t>
      </w:r>
      <w:r w:rsidRPr="003F1EFF">
        <w:rPr>
          <w:rStyle w:val="FootnoteReference1"/>
          <w:rFonts w:asciiTheme="majorHAnsi" w:hAnsiTheme="majorHAnsi" w:cstheme="majorHAnsi"/>
          <w:sz w:val="24"/>
          <w:szCs w:val="24"/>
          <w:lang w:val="ro-RO"/>
        </w:rPr>
        <w:footnoteReference w:id="1"/>
      </w:r>
      <w:r w:rsidRPr="003F1EFF">
        <w:rPr>
          <w:rFonts w:asciiTheme="majorHAnsi" w:hAnsiTheme="majorHAnsi" w:cstheme="majorHAnsi"/>
          <w:sz w:val="24"/>
          <w:szCs w:val="24"/>
          <w:lang w:val="ro-RO"/>
        </w:rPr>
        <w:t xml:space="preserve">, a examinat </w:t>
      </w:r>
      <w:r w:rsidRPr="003F1EFF">
        <w:rPr>
          <w:rFonts w:asciiTheme="majorHAnsi" w:eastAsia="Times New Roman" w:hAnsiTheme="majorHAnsi" w:cstheme="majorHAnsi"/>
          <w:bCs/>
          <w:sz w:val="24"/>
          <w:szCs w:val="24"/>
          <w:lang w:val="ro-RO" w:eastAsia="ru-RU"/>
        </w:rPr>
        <w:t xml:space="preserve">Raportul auditului </w:t>
      </w:r>
      <w:r w:rsidR="0001475E" w:rsidRPr="003F1EFF">
        <w:rPr>
          <w:rFonts w:asciiTheme="majorHAnsi" w:eastAsia="Times New Roman" w:hAnsiTheme="majorHAnsi" w:cstheme="majorHAnsi"/>
          <w:bCs/>
          <w:sz w:val="24"/>
          <w:szCs w:val="24"/>
          <w:lang w:val="ro-RO" w:eastAsia="ru-RU"/>
        </w:rPr>
        <w:t xml:space="preserve">conformității </w:t>
      </w:r>
      <w:r w:rsidR="00C1129F" w:rsidRPr="003F1EFF">
        <w:rPr>
          <w:rFonts w:asciiTheme="majorHAnsi" w:eastAsia="Times New Roman" w:hAnsiTheme="majorHAnsi" w:cstheme="majorHAnsi"/>
          <w:bCs/>
          <w:sz w:val="24"/>
          <w:szCs w:val="24"/>
          <w:lang w:val="ro-RO" w:eastAsia="ru-RU"/>
        </w:rPr>
        <w:t xml:space="preserve">asupra </w:t>
      </w:r>
      <w:r w:rsidR="0001475E" w:rsidRPr="003F1EFF">
        <w:rPr>
          <w:rFonts w:asciiTheme="majorHAnsi" w:eastAsia="Times New Roman" w:hAnsiTheme="majorHAnsi" w:cstheme="majorHAnsi"/>
          <w:bCs/>
          <w:sz w:val="24"/>
          <w:szCs w:val="24"/>
          <w:lang w:val="ro-RO" w:eastAsia="ru-RU"/>
        </w:rPr>
        <w:t xml:space="preserve">managementului datoriei de stat, garanțiilor de stat și recreditării de </w:t>
      </w:r>
      <w:r w:rsidR="007E6AE5" w:rsidRPr="003F1EFF">
        <w:rPr>
          <w:rFonts w:asciiTheme="majorHAnsi" w:eastAsia="Times New Roman" w:hAnsiTheme="majorHAnsi" w:cstheme="majorHAnsi"/>
          <w:bCs/>
          <w:sz w:val="24"/>
          <w:szCs w:val="24"/>
          <w:lang w:val="ro-RO" w:eastAsia="ru-RU"/>
        </w:rPr>
        <w:t>stat în anul 202</w:t>
      </w:r>
      <w:r w:rsidR="00346EDE" w:rsidRPr="003F1EFF">
        <w:rPr>
          <w:rFonts w:asciiTheme="majorHAnsi" w:eastAsia="Times New Roman" w:hAnsiTheme="majorHAnsi" w:cstheme="majorHAnsi"/>
          <w:bCs/>
          <w:sz w:val="24"/>
          <w:szCs w:val="24"/>
          <w:lang w:val="ro-RO" w:eastAsia="ru-RU"/>
        </w:rPr>
        <w:t>2</w:t>
      </w:r>
      <w:r w:rsidR="0001475E" w:rsidRPr="003F1EFF">
        <w:rPr>
          <w:rFonts w:asciiTheme="majorHAnsi" w:eastAsia="Times New Roman" w:hAnsiTheme="majorHAnsi" w:cstheme="majorHAnsi"/>
          <w:bCs/>
          <w:sz w:val="24"/>
          <w:szCs w:val="24"/>
          <w:lang w:val="ro-RO" w:eastAsia="ru-RU"/>
        </w:rPr>
        <w:t>.</w:t>
      </w:r>
    </w:p>
    <w:p w:rsidR="003F2560" w:rsidRPr="003F1EFF" w:rsidRDefault="003F2560" w:rsidP="00053022">
      <w:pPr>
        <w:spacing w:after="0" w:line="276" w:lineRule="auto"/>
        <w:ind w:firstLine="720"/>
        <w:jc w:val="both"/>
        <w:rPr>
          <w:rFonts w:asciiTheme="majorHAnsi" w:hAnsiTheme="majorHAnsi" w:cstheme="majorHAnsi"/>
          <w:sz w:val="24"/>
          <w:szCs w:val="24"/>
          <w:lang w:val="ro-MD"/>
        </w:rPr>
      </w:pPr>
      <w:r w:rsidRPr="003F1EFF">
        <w:rPr>
          <w:rFonts w:asciiTheme="majorHAnsi" w:eastAsia="Times New Roman" w:hAnsiTheme="majorHAnsi" w:cstheme="majorHAnsi"/>
          <w:sz w:val="24"/>
          <w:szCs w:val="24"/>
          <w:lang w:val="ro-MD" w:eastAsia="ro-MD"/>
        </w:rPr>
        <w:t xml:space="preserve">Misiunea de audit public extern a fost realizată conform </w:t>
      </w:r>
      <w:r w:rsidRPr="003F1EFF">
        <w:rPr>
          <w:rFonts w:asciiTheme="majorHAnsi" w:hAnsiTheme="majorHAnsi" w:cstheme="majorHAnsi"/>
          <w:sz w:val="24"/>
          <w:szCs w:val="24"/>
          <w:lang w:val="ro-MD"/>
        </w:rPr>
        <w:t>Programului activității de audit a</w:t>
      </w:r>
      <w:r w:rsidR="002E78C9" w:rsidRPr="003F1EFF">
        <w:rPr>
          <w:rFonts w:asciiTheme="majorHAnsi" w:hAnsiTheme="majorHAnsi" w:cstheme="majorHAnsi"/>
          <w:sz w:val="24"/>
          <w:szCs w:val="24"/>
          <w:lang w:val="ro-MD"/>
        </w:rPr>
        <w:t>l</w:t>
      </w:r>
      <w:r w:rsidRPr="003F1EFF">
        <w:rPr>
          <w:rFonts w:asciiTheme="majorHAnsi" w:hAnsiTheme="majorHAnsi" w:cstheme="majorHAnsi"/>
          <w:sz w:val="24"/>
          <w:szCs w:val="24"/>
          <w:lang w:val="ro-MD"/>
        </w:rPr>
        <w:t xml:space="preserve"> Curții de Conturi pe anul 202</w:t>
      </w:r>
      <w:r w:rsidR="00B83892" w:rsidRPr="003F1EFF">
        <w:rPr>
          <w:rFonts w:asciiTheme="majorHAnsi" w:hAnsiTheme="majorHAnsi" w:cstheme="majorHAnsi"/>
          <w:sz w:val="24"/>
          <w:szCs w:val="24"/>
          <w:lang w:val="ro-MD"/>
        </w:rPr>
        <w:t>3</w:t>
      </w:r>
      <w:r w:rsidRPr="003F1EFF">
        <w:rPr>
          <w:rStyle w:val="FootnoteReference1"/>
          <w:rFonts w:asciiTheme="majorHAnsi" w:hAnsiTheme="majorHAnsi" w:cstheme="majorHAnsi"/>
          <w:sz w:val="24"/>
          <w:szCs w:val="24"/>
        </w:rPr>
        <w:footnoteReference w:id="2"/>
      </w:r>
      <w:r w:rsidRPr="003F1EFF">
        <w:rPr>
          <w:rFonts w:asciiTheme="majorHAnsi" w:hAnsiTheme="majorHAnsi" w:cstheme="majorHAnsi"/>
          <w:sz w:val="24"/>
          <w:szCs w:val="24"/>
          <w:lang w:val="ro-MD"/>
        </w:rPr>
        <w:t xml:space="preserve">, </w:t>
      </w:r>
      <w:r w:rsidR="00A329BA" w:rsidRPr="003F1EFF">
        <w:rPr>
          <w:rFonts w:asciiTheme="majorHAnsi" w:eastAsia="Times New Roman" w:hAnsiTheme="majorHAnsi" w:cstheme="majorHAnsi"/>
          <w:sz w:val="24"/>
          <w:szCs w:val="24"/>
          <w:lang w:val="ro-MD"/>
        </w:rPr>
        <w:t xml:space="preserve">având drept scop </w:t>
      </w:r>
      <w:r w:rsidR="00374C4F" w:rsidRPr="003F1EFF">
        <w:rPr>
          <w:rFonts w:asciiTheme="majorHAnsi" w:eastAsia="Times New Roman" w:hAnsiTheme="majorHAnsi" w:cstheme="majorHAnsi"/>
          <w:sz w:val="24"/>
          <w:szCs w:val="24"/>
          <w:lang w:val="ro-MD"/>
        </w:rPr>
        <w:t>evaluarea</w:t>
      </w:r>
      <w:r w:rsidR="00A329BA" w:rsidRPr="003F1EFF">
        <w:rPr>
          <w:rFonts w:asciiTheme="majorHAnsi" w:eastAsia="Times New Roman" w:hAnsiTheme="majorHAnsi" w:cstheme="majorHAnsi"/>
          <w:sz w:val="24"/>
          <w:szCs w:val="24"/>
          <w:lang w:val="ro-MD"/>
        </w:rPr>
        <w:t xml:space="preserve"> conformității managementului datoriei de stat, garanțiilor de stat și recreditării de stat în anul 202</w:t>
      </w:r>
      <w:r w:rsidR="00B83892" w:rsidRPr="003F1EFF">
        <w:rPr>
          <w:rFonts w:asciiTheme="majorHAnsi" w:eastAsia="Times New Roman" w:hAnsiTheme="majorHAnsi" w:cstheme="majorHAnsi"/>
          <w:sz w:val="24"/>
          <w:szCs w:val="24"/>
          <w:lang w:val="ro-MD"/>
        </w:rPr>
        <w:t>2</w:t>
      </w:r>
      <w:r w:rsidR="00A329BA" w:rsidRPr="003F1EFF">
        <w:rPr>
          <w:rFonts w:asciiTheme="majorHAnsi" w:eastAsia="Times New Roman" w:hAnsiTheme="majorHAnsi" w:cstheme="majorHAnsi"/>
          <w:sz w:val="24"/>
          <w:szCs w:val="24"/>
          <w:lang w:val="ro-MD"/>
        </w:rPr>
        <w:t xml:space="preserve">, în raport cu prevederile cadrului </w:t>
      </w:r>
      <w:r w:rsidR="001550C8" w:rsidRPr="003F1EFF">
        <w:rPr>
          <w:rFonts w:asciiTheme="majorHAnsi" w:eastAsia="Times New Roman" w:hAnsiTheme="majorHAnsi" w:cstheme="majorHAnsi"/>
          <w:sz w:val="24"/>
          <w:szCs w:val="24"/>
          <w:lang w:val="ro-MD"/>
        </w:rPr>
        <w:t>normativ aplicabil</w:t>
      </w:r>
      <w:r w:rsidR="0065596A">
        <w:rPr>
          <w:rFonts w:asciiTheme="majorHAnsi" w:eastAsia="Times New Roman" w:hAnsiTheme="majorHAnsi" w:cstheme="majorHAnsi"/>
          <w:sz w:val="24"/>
          <w:szCs w:val="24"/>
          <w:lang w:val="ro-MD"/>
        </w:rPr>
        <w:t>.</w:t>
      </w:r>
    </w:p>
    <w:p w:rsidR="003F2560" w:rsidRPr="003F1EFF" w:rsidRDefault="003F2560" w:rsidP="00053022">
      <w:pPr>
        <w:spacing w:after="0" w:line="276" w:lineRule="auto"/>
        <w:ind w:firstLine="720"/>
        <w:jc w:val="both"/>
        <w:rPr>
          <w:rFonts w:asciiTheme="majorHAnsi" w:eastAsia="Times New Roman" w:hAnsiTheme="majorHAnsi" w:cstheme="majorHAnsi"/>
          <w:sz w:val="24"/>
          <w:szCs w:val="24"/>
          <w:lang w:val="ro-MD"/>
        </w:rPr>
      </w:pPr>
      <w:r w:rsidRPr="003F1EFF">
        <w:rPr>
          <w:rFonts w:asciiTheme="majorHAnsi" w:eastAsia="Times New Roman" w:hAnsiTheme="majorHAnsi" w:cstheme="majorHAnsi"/>
          <w:sz w:val="24"/>
          <w:szCs w:val="24"/>
          <w:lang w:val="ro-MD"/>
        </w:rPr>
        <w:t>Auditul public extern s-a desfășurat în conformitate cu Standardele Internaționale ale Instituțiilor Supreme de Audit</w:t>
      </w:r>
      <w:r w:rsidR="00FD0A9E" w:rsidRPr="003F1EFF">
        <w:rPr>
          <w:rFonts w:asciiTheme="majorHAnsi" w:eastAsia="Times New Roman" w:hAnsiTheme="majorHAnsi" w:cstheme="majorHAnsi"/>
          <w:sz w:val="24"/>
          <w:szCs w:val="24"/>
          <w:lang w:val="ro-MD"/>
        </w:rPr>
        <w:t>,</w:t>
      </w:r>
      <w:r w:rsidRPr="003F1EFF">
        <w:rPr>
          <w:rFonts w:asciiTheme="majorHAnsi" w:eastAsia="Times New Roman" w:hAnsiTheme="majorHAnsi" w:cstheme="majorHAnsi"/>
          <w:sz w:val="24"/>
          <w:szCs w:val="24"/>
          <w:lang w:val="ro-MD"/>
        </w:rPr>
        <w:t xml:space="preserve"> aplicate de Curtea de Conturi</w:t>
      </w:r>
      <w:r w:rsidR="00FD0A9E" w:rsidRPr="003F1EFF">
        <w:rPr>
          <w:rFonts w:asciiTheme="majorHAnsi" w:eastAsia="Times New Roman" w:hAnsiTheme="majorHAnsi" w:cstheme="majorHAnsi"/>
          <w:sz w:val="24"/>
          <w:szCs w:val="24"/>
          <w:lang w:val="ro-MD"/>
        </w:rPr>
        <w:t xml:space="preserve">, în special </w:t>
      </w:r>
      <w:r w:rsidR="007F2AEA">
        <w:rPr>
          <w:rFonts w:asciiTheme="majorHAnsi" w:eastAsia="Times New Roman" w:hAnsiTheme="majorHAnsi" w:cstheme="majorHAnsi"/>
          <w:sz w:val="24"/>
          <w:szCs w:val="24"/>
          <w:lang w:val="ro-MD"/>
        </w:rPr>
        <w:t xml:space="preserve">cu </w:t>
      </w:r>
      <w:r w:rsidR="00A712C9" w:rsidRPr="003F1EFF">
        <w:rPr>
          <w:rFonts w:asciiTheme="majorHAnsi" w:eastAsia="Times New Roman" w:hAnsiTheme="majorHAnsi" w:cstheme="majorHAnsi"/>
          <w:sz w:val="24"/>
          <w:szCs w:val="24"/>
          <w:lang w:val="ro-MD"/>
        </w:rPr>
        <w:t>ISS</w:t>
      </w:r>
      <w:r w:rsidR="00FD0A9E" w:rsidRPr="003F1EFF">
        <w:rPr>
          <w:rFonts w:asciiTheme="majorHAnsi" w:eastAsia="Times New Roman" w:hAnsiTheme="majorHAnsi" w:cstheme="majorHAnsi"/>
          <w:sz w:val="24"/>
          <w:szCs w:val="24"/>
          <w:lang w:val="ro-MD"/>
        </w:rPr>
        <w:t>AI 100, ISSAI 400 și ISSAI 4000</w:t>
      </w:r>
      <w:r w:rsidR="00A712C9" w:rsidRPr="003F1EFF">
        <w:rPr>
          <w:rStyle w:val="af3"/>
          <w:rFonts w:asciiTheme="majorHAnsi" w:eastAsia="Times New Roman" w:hAnsiTheme="majorHAnsi" w:cstheme="majorHAnsi"/>
          <w:sz w:val="24"/>
          <w:szCs w:val="24"/>
          <w:lang w:val="ro-MD"/>
        </w:rPr>
        <w:footnoteReference w:id="3"/>
      </w:r>
      <w:r w:rsidRPr="003F1EFF">
        <w:rPr>
          <w:rFonts w:asciiTheme="majorHAnsi" w:eastAsia="Times New Roman" w:hAnsiTheme="majorHAnsi" w:cstheme="majorHAnsi"/>
          <w:sz w:val="24"/>
          <w:szCs w:val="24"/>
          <w:lang w:val="ro-MD"/>
        </w:rPr>
        <w:t xml:space="preserve">. </w:t>
      </w:r>
    </w:p>
    <w:p w:rsidR="003F2560" w:rsidRDefault="003F2560" w:rsidP="00053022">
      <w:pPr>
        <w:spacing w:after="120" w:line="276" w:lineRule="auto"/>
        <w:ind w:firstLine="720"/>
        <w:jc w:val="both"/>
        <w:rPr>
          <w:rFonts w:asciiTheme="majorHAnsi" w:eastAsia="Times New Roman" w:hAnsiTheme="majorHAnsi" w:cstheme="majorHAnsi"/>
          <w:sz w:val="24"/>
          <w:szCs w:val="24"/>
          <w:lang w:val="ro-MD"/>
        </w:rPr>
      </w:pPr>
      <w:r w:rsidRPr="003F1EFF">
        <w:rPr>
          <w:rFonts w:asciiTheme="majorHAnsi" w:eastAsia="Times New Roman" w:hAnsiTheme="majorHAnsi" w:cstheme="majorHAnsi"/>
          <w:sz w:val="24"/>
          <w:szCs w:val="24"/>
          <w:lang w:val="ro-MD"/>
        </w:rPr>
        <w:t xml:space="preserve">Examinând Raportul de audit, Curtea de Conturi </w:t>
      </w:r>
    </w:p>
    <w:p w:rsidR="007F2AEA" w:rsidRPr="003F1EFF" w:rsidRDefault="007F2AEA" w:rsidP="00053022">
      <w:pPr>
        <w:spacing w:after="120" w:line="276" w:lineRule="auto"/>
        <w:ind w:firstLine="720"/>
        <w:jc w:val="both"/>
        <w:rPr>
          <w:rFonts w:asciiTheme="majorHAnsi" w:eastAsia="Times New Roman" w:hAnsiTheme="majorHAnsi" w:cstheme="majorHAnsi"/>
          <w:sz w:val="24"/>
          <w:szCs w:val="24"/>
          <w:lang w:val="ro-MD"/>
        </w:rPr>
      </w:pPr>
    </w:p>
    <w:p w:rsidR="003F2560" w:rsidRPr="003F1EFF" w:rsidRDefault="003F2560" w:rsidP="00053022">
      <w:pPr>
        <w:tabs>
          <w:tab w:val="left" w:pos="5310"/>
        </w:tabs>
        <w:spacing w:after="120" w:line="276" w:lineRule="auto"/>
        <w:jc w:val="center"/>
        <w:rPr>
          <w:rFonts w:asciiTheme="majorHAnsi" w:eastAsia="Times New Roman" w:hAnsiTheme="majorHAnsi" w:cstheme="majorHAnsi"/>
          <w:b/>
          <w:bCs/>
          <w:sz w:val="24"/>
          <w:szCs w:val="24"/>
          <w:lang w:val="ro-MD"/>
        </w:rPr>
      </w:pPr>
      <w:r w:rsidRPr="003F1EFF">
        <w:rPr>
          <w:rFonts w:asciiTheme="majorHAnsi" w:eastAsia="Times New Roman" w:hAnsiTheme="majorHAnsi" w:cstheme="majorHAnsi"/>
          <w:b/>
          <w:bCs/>
          <w:sz w:val="24"/>
          <w:szCs w:val="24"/>
          <w:lang w:val="ro-MD"/>
        </w:rPr>
        <w:t>A CONSTATAT:</w:t>
      </w:r>
    </w:p>
    <w:p w:rsidR="008B1DB9" w:rsidRPr="003F1EFF" w:rsidRDefault="004072E2" w:rsidP="001C0F82">
      <w:pPr>
        <w:pStyle w:val="a4"/>
        <w:spacing w:after="240" w:line="276" w:lineRule="auto"/>
        <w:ind w:firstLine="720"/>
        <w:rPr>
          <w:rFonts w:asciiTheme="majorHAnsi" w:hAnsiTheme="majorHAnsi" w:cstheme="majorHAnsi"/>
          <w:lang w:val="ro-MD"/>
        </w:rPr>
      </w:pPr>
      <w:r w:rsidRPr="003F1EFF">
        <w:rPr>
          <w:rFonts w:asciiTheme="majorHAnsi" w:hAnsiTheme="majorHAnsi" w:cstheme="majorHAnsi"/>
          <w:lang w:val="ro-MD"/>
        </w:rPr>
        <w:t>Min</w:t>
      </w:r>
      <w:r w:rsidR="00B03B6F" w:rsidRPr="003F1EFF">
        <w:rPr>
          <w:rFonts w:asciiTheme="majorHAnsi" w:hAnsiTheme="majorHAnsi" w:cstheme="majorHAnsi"/>
          <w:lang w:val="ro-MD"/>
        </w:rPr>
        <w:t xml:space="preserve">isterul </w:t>
      </w:r>
      <w:r w:rsidR="001550C8" w:rsidRPr="003F1EFF">
        <w:rPr>
          <w:rFonts w:asciiTheme="majorHAnsi" w:hAnsiTheme="majorHAnsi" w:cstheme="majorHAnsi"/>
          <w:lang w:val="ro-MD"/>
        </w:rPr>
        <w:t>Finanțelor, în anul 2022</w:t>
      </w:r>
      <w:r w:rsidRPr="003F1EFF">
        <w:rPr>
          <w:rFonts w:asciiTheme="majorHAnsi" w:hAnsiTheme="majorHAnsi" w:cstheme="majorHAnsi"/>
          <w:lang w:val="ro-MD"/>
        </w:rPr>
        <w:t xml:space="preserve">, a asigurat gestionarea datoriei de stat, garanțiilor de stat și recreditării de stat în conformitate cu cadrul legal </w:t>
      </w:r>
      <w:r w:rsidR="003D6BF0" w:rsidRPr="003F1EFF">
        <w:rPr>
          <w:rFonts w:asciiTheme="majorHAnsi" w:hAnsiTheme="majorHAnsi" w:cstheme="majorHAnsi"/>
          <w:lang w:val="ro-MD"/>
        </w:rPr>
        <w:t>aplicabil</w:t>
      </w:r>
      <w:r w:rsidRPr="003F1EFF">
        <w:rPr>
          <w:rFonts w:asciiTheme="majorHAnsi" w:hAnsiTheme="majorHAnsi" w:cstheme="majorHAnsi"/>
          <w:lang w:val="ro-MD"/>
        </w:rPr>
        <w:t xml:space="preserve">, fiind respectate </w:t>
      </w:r>
      <w:r w:rsidR="00663B5F" w:rsidRPr="003F1EFF">
        <w:rPr>
          <w:rFonts w:asciiTheme="majorHAnsi" w:hAnsiTheme="majorHAnsi" w:cstheme="majorHAnsi"/>
          <w:lang w:val="ro-MD"/>
        </w:rPr>
        <w:t>plafoanele</w:t>
      </w:r>
      <w:r w:rsidRPr="003F1EFF">
        <w:rPr>
          <w:rFonts w:asciiTheme="majorHAnsi" w:hAnsiTheme="majorHAnsi" w:cstheme="majorHAnsi"/>
          <w:lang w:val="ro-MD"/>
        </w:rPr>
        <w:t xml:space="preserve"> aprobate prin Legea buget</w:t>
      </w:r>
      <w:r w:rsidR="00260A47" w:rsidRPr="003F1EFF">
        <w:rPr>
          <w:rFonts w:asciiTheme="majorHAnsi" w:hAnsiTheme="majorHAnsi" w:cstheme="majorHAnsi"/>
          <w:lang w:val="ro-MD"/>
        </w:rPr>
        <w:t>ului de stat</w:t>
      </w:r>
      <w:r w:rsidR="00DC62B4" w:rsidRPr="003F1EFF">
        <w:rPr>
          <w:rFonts w:asciiTheme="majorHAnsi" w:hAnsiTheme="majorHAnsi" w:cstheme="majorHAnsi"/>
          <w:lang w:val="ro-MD"/>
        </w:rPr>
        <w:t xml:space="preserve">. </w:t>
      </w:r>
      <w:r w:rsidR="00D51CE4" w:rsidRPr="003F1EFF">
        <w:rPr>
          <w:rFonts w:asciiTheme="majorHAnsi" w:hAnsiTheme="majorHAnsi" w:cstheme="majorHAnsi"/>
          <w:lang w:val="ro-MD"/>
        </w:rPr>
        <w:t>Totodată, misiunea de audit a identificat unele problematici, care se exprimă prin</w:t>
      </w:r>
      <w:r w:rsidR="008A096E" w:rsidRPr="003F1EFF">
        <w:rPr>
          <w:rFonts w:asciiTheme="majorHAnsi" w:hAnsiTheme="majorHAnsi" w:cstheme="majorHAnsi"/>
          <w:lang w:val="ro-MD"/>
        </w:rPr>
        <w:t>:</w:t>
      </w:r>
      <w:r w:rsidR="005D3DCC" w:rsidRPr="003F1EFF">
        <w:rPr>
          <w:rFonts w:asciiTheme="majorHAnsi" w:hAnsiTheme="majorHAnsi" w:cstheme="majorHAnsi"/>
          <w:lang w:val="ro-MD"/>
        </w:rPr>
        <w:t xml:space="preserve"> </w:t>
      </w:r>
      <w:r w:rsidR="005E45FF" w:rsidRPr="003F1EFF">
        <w:rPr>
          <w:rFonts w:asciiTheme="majorHAnsi" w:hAnsiTheme="majorHAnsi" w:cstheme="majorHAnsi"/>
          <w:lang w:val="ro-MD"/>
        </w:rPr>
        <w:t>majorarea cheltuielilor pentru serviciul datoriei de stat</w:t>
      </w:r>
      <w:r w:rsidR="007F2AEA">
        <w:rPr>
          <w:rFonts w:asciiTheme="majorHAnsi" w:hAnsiTheme="majorHAnsi" w:cstheme="majorHAnsi"/>
          <w:lang w:val="ro-MD"/>
        </w:rPr>
        <w:t>,</w:t>
      </w:r>
      <w:r w:rsidR="005E45FF" w:rsidRPr="003F1EFF">
        <w:rPr>
          <w:rFonts w:asciiTheme="majorHAnsi" w:hAnsiTheme="majorHAnsi" w:cstheme="majorHAnsi"/>
          <w:lang w:val="ro-MD"/>
        </w:rPr>
        <w:t xml:space="preserve"> </w:t>
      </w:r>
      <w:r w:rsidR="003F1EFF" w:rsidRPr="003F1EFF">
        <w:rPr>
          <w:rFonts w:asciiTheme="majorHAnsi" w:hAnsiTheme="majorHAnsi" w:cstheme="majorHAnsi"/>
          <w:lang w:val="ro-MD"/>
        </w:rPr>
        <w:t xml:space="preserve">ca </w:t>
      </w:r>
      <w:r w:rsidR="005E45FF" w:rsidRPr="003F1EFF">
        <w:rPr>
          <w:rFonts w:asciiTheme="majorHAnsi" w:hAnsiTheme="majorHAnsi" w:cstheme="majorHAnsi"/>
          <w:lang w:val="ro-MD"/>
        </w:rPr>
        <w:t xml:space="preserve">urmare a creșterii ratelor dobânzilor </w:t>
      </w:r>
      <w:r w:rsidR="009D6522" w:rsidRPr="003F1EFF">
        <w:rPr>
          <w:rFonts w:asciiTheme="majorHAnsi" w:hAnsiTheme="majorHAnsi" w:cstheme="majorHAnsi"/>
          <w:lang w:val="ro-MD"/>
        </w:rPr>
        <w:t xml:space="preserve">și </w:t>
      </w:r>
      <w:r w:rsidR="00931C1C" w:rsidRPr="003F1EFF">
        <w:rPr>
          <w:rFonts w:asciiTheme="majorHAnsi" w:hAnsiTheme="majorHAnsi" w:cstheme="majorHAnsi"/>
          <w:lang w:val="ro-MD"/>
        </w:rPr>
        <w:t>creșter</w:t>
      </w:r>
      <w:r w:rsidR="009D6522" w:rsidRPr="003F1EFF">
        <w:rPr>
          <w:rFonts w:asciiTheme="majorHAnsi" w:hAnsiTheme="majorHAnsi" w:cstheme="majorHAnsi"/>
          <w:lang w:val="ro-MD"/>
        </w:rPr>
        <w:t>ii</w:t>
      </w:r>
      <w:r w:rsidR="00931C1C" w:rsidRPr="003F1EFF">
        <w:rPr>
          <w:rFonts w:asciiTheme="majorHAnsi" w:hAnsiTheme="majorHAnsi" w:cstheme="majorHAnsi"/>
          <w:lang w:val="ro-MD"/>
        </w:rPr>
        <w:t xml:space="preserve"> semnificativ</w:t>
      </w:r>
      <w:r w:rsidR="009D6522" w:rsidRPr="003F1EFF">
        <w:rPr>
          <w:rFonts w:asciiTheme="majorHAnsi" w:hAnsiTheme="majorHAnsi" w:cstheme="majorHAnsi"/>
          <w:lang w:val="ro-MD"/>
        </w:rPr>
        <w:t>e</w:t>
      </w:r>
      <w:r w:rsidR="00931C1C" w:rsidRPr="003F1EFF">
        <w:rPr>
          <w:rFonts w:asciiTheme="majorHAnsi" w:hAnsiTheme="majorHAnsi" w:cstheme="majorHAnsi"/>
          <w:lang w:val="ro-MD"/>
        </w:rPr>
        <w:t xml:space="preserve"> a datoriei de stat</w:t>
      </w:r>
      <w:r w:rsidR="009D6522" w:rsidRPr="003F1EFF">
        <w:rPr>
          <w:rFonts w:asciiTheme="majorHAnsi" w:hAnsiTheme="majorHAnsi" w:cstheme="majorHAnsi"/>
          <w:lang w:val="ro-MD"/>
        </w:rPr>
        <w:t>;</w:t>
      </w:r>
      <w:r w:rsidR="005E45FF" w:rsidRPr="003F1EFF">
        <w:rPr>
          <w:rFonts w:asciiTheme="majorHAnsi" w:hAnsiTheme="majorHAnsi" w:cstheme="majorHAnsi"/>
          <w:lang w:val="ro-MD"/>
        </w:rPr>
        <w:t xml:space="preserve"> </w:t>
      </w:r>
      <w:r w:rsidR="00080617" w:rsidRPr="003F1EFF">
        <w:rPr>
          <w:rFonts w:asciiTheme="majorHAnsi" w:hAnsiTheme="majorHAnsi" w:cstheme="majorHAnsi"/>
          <w:lang w:val="ro-MD"/>
        </w:rPr>
        <w:t xml:space="preserve">tergiversarea procesului de implementare a platformei de tranzacționare în mod direct a </w:t>
      </w:r>
      <w:r w:rsidR="00D36122">
        <w:rPr>
          <w:rFonts w:asciiTheme="majorHAnsi" w:hAnsiTheme="majorHAnsi" w:cstheme="majorHAnsi"/>
          <w:lang w:val="ro-MD"/>
        </w:rPr>
        <w:t>valorilor mobiliare de stat</w:t>
      </w:r>
      <w:r w:rsidR="00080617" w:rsidRPr="003F1EFF">
        <w:rPr>
          <w:rFonts w:asciiTheme="majorHAnsi" w:hAnsiTheme="majorHAnsi" w:cstheme="majorHAnsi"/>
          <w:lang w:val="ro-MD"/>
        </w:rPr>
        <w:t xml:space="preserve"> de către persoanele fizice; restituirea lentă a obligațiunilor față de bugetul de stat de către </w:t>
      </w:r>
      <w:r w:rsidR="00080617" w:rsidRPr="003F1EFF">
        <w:rPr>
          <w:rFonts w:asciiTheme="majorHAnsi" w:hAnsiTheme="majorHAnsi" w:cstheme="majorHAnsi"/>
          <w:lang w:val="ro-MD"/>
        </w:rPr>
        <w:lastRenderedPageBreak/>
        <w:t xml:space="preserve">băncile aflate în proces de lichidare; </w:t>
      </w:r>
      <w:r w:rsidR="008A096E" w:rsidRPr="003F1EFF">
        <w:rPr>
          <w:rFonts w:asciiTheme="majorHAnsi" w:hAnsiTheme="majorHAnsi" w:cstheme="majorHAnsi"/>
          <w:lang w:val="ro-MD"/>
        </w:rPr>
        <w:t>creșterea soldurilor datoriei debitorilor garantați</w:t>
      </w:r>
      <w:r w:rsidR="00AC2B1E" w:rsidRPr="003F1EFF">
        <w:rPr>
          <w:rFonts w:asciiTheme="majorHAnsi" w:hAnsiTheme="majorHAnsi" w:cstheme="majorHAnsi"/>
          <w:lang w:val="ro-MD"/>
        </w:rPr>
        <w:t xml:space="preserve"> și</w:t>
      </w:r>
      <w:r w:rsidR="008A096E" w:rsidRPr="003F1EFF">
        <w:rPr>
          <w:rFonts w:asciiTheme="majorHAnsi" w:hAnsiTheme="majorHAnsi" w:cstheme="majorHAnsi"/>
          <w:lang w:val="ro-MD"/>
        </w:rPr>
        <w:t xml:space="preserve"> </w:t>
      </w:r>
      <w:r w:rsidR="00AC2B1E" w:rsidRPr="003F1EFF">
        <w:rPr>
          <w:rFonts w:asciiTheme="majorHAnsi" w:hAnsiTheme="majorHAnsi" w:cstheme="majorHAnsi"/>
          <w:lang w:val="ro-MD"/>
        </w:rPr>
        <w:t xml:space="preserve">beneficiarilor recreditați </w:t>
      </w:r>
      <w:r w:rsidR="008A096E" w:rsidRPr="003F1EFF">
        <w:rPr>
          <w:rFonts w:asciiTheme="majorHAnsi" w:hAnsiTheme="majorHAnsi" w:cstheme="majorHAnsi"/>
          <w:lang w:val="ro-MD"/>
        </w:rPr>
        <w:t>pentru împrumuturile interne și externe</w:t>
      </w:r>
      <w:r w:rsidR="00716AB4" w:rsidRPr="003F1EFF">
        <w:rPr>
          <w:rFonts w:asciiTheme="majorHAnsi" w:hAnsiTheme="majorHAnsi" w:cstheme="majorHAnsi"/>
          <w:lang w:val="ro-MD"/>
        </w:rPr>
        <w:t>,</w:t>
      </w:r>
      <w:r w:rsidR="00461BF6">
        <w:rPr>
          <w:rFonts w:asciiTheme="majorHAnsi" w:hAnsiTheme="majorHAnsi" w:cstheme="majorHAnsi"/>
          <w:lang w:val="ro-MD"/>
        </w:rPr>
        <w:t xml:space="preserve"> care include și</w:t>
      </w:r>
      <w:r w:rsidR="00AC2B1E" w:rsidRPr="003F1EFF">
        <w:rPr>
          <w:rFonts w:asciiTheme="majorHAnsi" w:hAnsiTheme="majorHAnsi" w:cstheme="majorHAnsi"/>
          <w:lang w:val="ro-MD"/>
        </w:rPr>
        <w:t xml:space="preserve"> </w:t>
      </w:r>
      <w:r w:rsidR="008A096E" w:rsidRPr="003F1EFF">
        <w:rPr>
          <w:rFonts w:asciiTheme="majorHAnsi" w:hAnsiTheme="majorHAnsi" w:cstheme="majorHAnsi"/>
          <w:lang w:val="ro-MD"/>
        </w:rPr>
        <w:t>datori</w:t>
      </w:r>
      <w:r w:rsidR="00461BF6">
        <w:rPr>
          <w:rFonts w:asciiTheme="majorHAnsi" w:hAnsiTheme="majorHAnsi" w:cstheme="majorHAnsi"/>
          <w:lang w:val="ro-MD"/>
        </w:rPr>
        <w:t>a</w:t>
      </w:r>
      <w:r w:rsidR="008A096E" w:rsidRPr="003F1EFF">
        <w:rPr>
          <w:rFonts w:asciiTheme="majorHAnsi" w:hAnsiTheme="majorHAnsi" w:cstheme="majorHAnsi"/>
          <w:lang w:val="ro-MD"/>
        </w:rPr>
        <w:t xml:space="preserve"> cu termenul de achitare expirat care</w:t>
      </w:r>
      <w:r w:rsidR="003F1EFF" w:rsidRPr="003F1EFF">
        <w:rPr>
          <w:rFonts w:asciiTheme="majorHAnsi" w:hAnsiTheme="majorHAnsi" w:cstheme="majorHAnsi"/>
          <w:lang w:val="ro-MD"/>
        </w:rPr>
        <w:t>,</w:t>
      </w:r>
      <w:r w:rsidR="008A096E" w:rsidRPr="003F1EFF">
        <w:rPr>
          <w:rFonts w:asciiTheme="majorHAnsi" w:hAnsiTheme="majorHAnsi" w:cstheme="majorHAnsi"/>
          <w:lang w:val="ro-MD"/>
        </w:rPr>
        <w:t xml:space="preserve"> în mare parte</w:t>
      </w:r>
      <w:r w:rsidR="003F1EFF" w:rsidRPr="003F1EFF">
        <w:rPr>
          <w:rFonts w:asciiTheme="majorHAnsi" w:hAnsiTheme="majorHAnsi" w:cstheme="majorHAnsi"/>
          <w:lang w:val="ro-MD"/>
        </w:rPr>
        <w:t>,</w:t>
      </w:r>
      <w:r w:rsidR="008A096E" w:rsidRPr="003F1EFF">
        <w:rPr>
          <w:rFonts w:asciiTheme="majorHAnsi" w:hAnsiTheme="majorHAnsi" w:cstheme="majorHAnsi"/>
          <w:lang w:val="ro-MD"/>
        </w:rPr>
        <w:t xml:space="preserve"> este nerecuperabilă</w:t>
      </w:r>
      <w:r w:rsidR="00716AB4" w:rsidRPr="002462B9">
        <w:rPr>
          <w:rFonts w:asciiTheme="majorHAnsi" w:hAnsiTheme="majorHAnsi" w:cstheme="majorHAnsi"/>
          <w:lang w:val="ro-MD"/>
        </w:rPr>
        <w:t>;</w:t>
      </w:r>
      <w:r w:rsidR="001D6653" w:rsidRPr="002462B9">
        <w:rPr>
          <w:rFonts w:asciiTheme="majorHAnsi" w:hAnsiTheme="majorHAnsi" w:cstheme="majorHAnsi"/>
          <w:lang w:val="ro-MD"/>
        </w:rPr>
        <w:t xml:space="preserve"> </w:t>
      </w:r>
      <w:r w:rsidR="003F1EFF" w:rsidRPr="002462B9">
        <w:rPr>
          <w:rFonts w:asciiTheme="majorHAnsi" w:hAnsiTheme="majorHAnsi" w:cstheme="majorHAnsi"/>
          <w:lang w:val="ro-MD"/>
        </w:rPr>
        <w:t xml:space="preserve">imposibilitatea </w:t>
      </w:r>
      <w:r w:rsidR="00870308" w:rsidRPr="002462B9">
        <w:rPr>
          <w:rFonts w:asciiTheme="majorHAnsi" w:hAnsiTheme="majorHAnsi" w:cstheme="majorHAnsi"/>
          <w:lang w:val="ro-MD"/>
        </w:rPr>
        <w:t>ramburs</w:t>
      </w:r>
      <w:r w:rsidR="003F1EFF" w:rsidRPr="002462B9">
        <w:rPr>
          <w:rFonts w:asciiTheme="majorHAnsi" w:hAnsiTheme="majorHAnsi" w:cstheme="majorHAnsi"/>
          <w:lang w:val="ro-MD"/>
        </w:rPr>
        <w:t>ării</w:t>
      </w:r>
      <w:r w:rsidR="0098580B" w:rsidRPr="002462B9">
        <w:rPr>
          <w:rFonts w:asciiTheme="majorHAnsi" w:hAnsiTheme="majorHAnsi" w:cstheme="majorHAnsi"/>
          <w:lang w:val="ro-MD"/>
        </w:rPr>
        <w:t xml:space="preserve"> </w:t>
      </w:r>
      <w:r w:rsidR="000B72D2" w:rsidRPr="002462B9">
        <w:rPr>
          <w:rFonts w:asciiTheme="majorHAnsi" w:hAnsiTheme="majorHAnsi" w:cstheme="majorHAnsi"/>
          <w:lang w:val="ro-MD"/>
        </w:rPr>
        <w:t>unei datorii externe</w:t>
      </w:r>
      <w:r w:rsidR="0098580B" w:rsidRPr="002462B9">
        <w:rPr>
          <w:rFonts w:asciiTheme="majorHAnsi" w:hAnsiTheme="majorHAnsi" w:cstheme="majorHAnsi"/>
          <w:lang w:val="ro-MD"/>
        </w:rPr>
        <w:t xml:space="preserve"> în termen, </w:t>
      </w:r>
      <w:r w:rsidR="003F1EFF" w:rsidRPr="002462B9">
        <w:rPr>
          <w:rFonts w:asciiTheme="majorHAnsi" w:hAnsiTheme="majorHAnsi" w:cstheme="majorHAnsi"/>
          <w:lang w:val="ro-MD"/>
        </w:rPr>
        <w:t xml:space="preserve">ca </w:t>
      </w:r>
      <w:r w:rsidR="0098580B" w:rsidRPr="002462B9">
        <w:rPr>
          <w:rFonts w:asciiTheme="majorHAnsi" w:hAnsiTheme="majorHAnsi" w:cstheme="majorHAnsi"/>
          <w:lang w:val="ro-MD"/>
        </w:rPr>
        <w:t xml:space="preserve">urmare </w:t>
      </w:r>
      <w:r w:rsidR="003F1EFF" w:rsidRPr="002462B9">
        <w:rPr>
          <w:rFonts w:asciiTheme="majorHAnsi" w:hAnsiTheme="majorHAnsi" w:cstheme="majorHAnsi"/>
          <w:lang w:val="ro-MD"/>
        </w:rPr>
        <w:t xml:space="preserve">a </w:t>
      </w:r>
      <w:r w:rsidR="0098580B" w:rsidRPr="002462B9">
        <w:rPr>
          <w:rFonts w:asciiTheme="majorHAnsi" w:hAnsiTheme="majorHAnsi" w:cstheme="majorHAnsi"/>
          <w:lang w:val="ro-MD"/>
        </w:rPr>
        <w:t>unor factori obiectivi care nu au depins de Republica Moldova.</w:t>
      </w:r>
      <w:r w:rsidR="0098580B" w:rsidRPr="003F1EFF">
        <w:rPr>
          <w:rFonts w:asciiTheme="majorHAnsi" w:hAnsiTheme="majorHAnsi" w:cstheme="majorHAnsi"/>
          <w:lang w:val="ro-MD"/>
        </w:rPr>
        <w:t xml:space="preserve"> </w:t>
      </w:r>
    </w:p>
    <w:p w:rsidR="003F2560" w:rsidRPr="003F1EFF" w:rsidRDefault="003F2560" w:rsidP="00053022">
      <w:pPr>
        <w:pStyle w:val="a4"/>
        <w:spacing w:after="120" w:line="276" w:lineRule="auto"/>
        <w:ind w:firstLine="720"/>
        <w:rPr>
          <w:rFonts w:asciiTheme="majorHAnsi" w:hAnsiTheme="majorHAnsi" w:cstheme="majorHAnsi"/>
          <w:lang w:val="ro-MD"/>
        </w:rPr>
      </w:pPr>
      <w:r w:rsidRPr="003F1EFF">
        <w:rPr>
          <w:rFonts w:asciiTheme="majorHAnsi" w:hAnsiTheme="majorHAnsi" w:cstheme="majorHAnsi"/>
          <w:lang w:val="ro-MD"/>
        </w:rPr>
        <w:t>Reieșind din cele expuse, în temeiul art.14 alin.(2), art.15 lit. d) și art.37 alin.(2) din Legea   nr.260 din 07.12.2017, Curtea de Conturi</w:t>
      </w:r>
    </w:p>
    <w:p w:rsidR="008B1DB9" w:rsidRPr="003F1EFF" w:rsidRDefault="008B1DB9" w:rsidP="00053022">
      <w:pPr>
        <w:pStyle w:val="a4"/>
        <w:spacing w:after="120" w:line="276" w:lineRule="auto"/>
        <w:ind w:firstLine="720"/>
        <w:rPr>
          <w:rFonts w:asciiTheme="majorHAnsi" w:hAnsiTheme="majorHAnsi" w:cstheme="majorHAnsi"/>
          <w:lang w:val="ro-RO"/>
        </w:rPr>
      </w:pPr>
    </w:p>
    <w:p w:rsidR="003F2560" w:rsidRPr="003F1EFF" w:rsidRDefault="003F2560" w:rsidP="00053022">
      <w:pPr>
        <w:pStyle w:val="cp"/>
        <w:spacing w:after="120" w:line="276" w:lineRule="auto"/>
        <w:rPr>
          <w:rFonts w:asciiTheme="majorHAnsi" w:hAnsiTheme="majorHAnsi" w:cstheme="majorHAnsi"/>
          <w:lang w:val="ro-RO"/>
        </w:rPr>
      </w:pPr>
      <w:r w:rsidRPr="003F1EFF">
        <w:rPr>
          <w:rFonts w:asciiTheme="majorHAnsi" w:hAnsiTheme="majorHAnsi" w:cstheme="majorHAnsi"/>
          <w:lang w:val="ro-MD"/>
        </w:rPr>
        <w:t>HOTĂRĂŞTE:</w:t>
      </w:r>
      <w:r w:rsidRPr="003F1EFF">
        <w:rPr>
          <w:rFonts w:asciiTheme="majorHAnsi" w:hAnsiTheme="majorHAnsi" w:cstheme="majorHAnsi"/>
          <w:lang w:val="ro-MD"/>
        </w:rPr>
        <w:tab/>
      </w:r>
    </w:p>
    <w:p w:rsidR="00CC3867" w:rsidRPr="00D70B1B" w:rsidRDefault="00CC3867" w:rsidP="00053022">
      <w:pPr>
        <w:pStyle w:val="a4"/>
        <w:spacing w:after="120" w:line="276" w:lineRule="auto"/>
        <w:rPr>
          <w:rFonts w:asciiTheme="majorHAnsi" w:hAnsiTheme="majorHAnsi" w:cstheme="majorHAnsi"/>
          <w:lang w:val="ro-MD"/>
        </w:rPr>
      </w:pPr>
      <w:r w:rsidRPr="00D70B1B">
        <w:rPr>
          <w:rFonts w:asciiTheme="majorHAnsi" w:hAnsiTheme="majorHAnsi" w:cstheme="majorHAnsi"/>
          <w:b/>
          <w:bCs/>
          <w:lang w:val="ro-MD"/>
        </w:rPr>
        <w:t>1.</w:t>
      </w:r>
      <w:r w:rsidRPr="00D70B1B">
        <w:rPr>
          <w:rFonts w:asciiTheme="majorHAnsi" w:hAnsiTheme="majorHAnsi" w:cstheme="majorHAnsi"/>
          <w:lang w:val="ro-MD"/>
        </w:rPr>
        <w:t xml:space="preserve"> </w:t>
      </w:r>
      <w:r w:rsidRPr="00D70B1B">
        <w:rPr>
          <w:rFonts w:asciiTheme="majorHAnsi" w:eastAsiaTheme="minorHAnsi" w:hAnsiTheme="majorHAnsi" w:cstheme="majorHAnsi"/>
          <w:bCs/>
          <w:lang w:val="ro-MD"/>
        </w:rPr>
        <w:t>Se</w:t>
      </w:r>
      <w:r w:rsidRPr="00D70B1B">
        <w:rPr>
          <w:rFonts w:asciiTheme="majorHAnsi" w:hAnsiTheme="majorHAnsi" w:cstheme="majorHAnsi"/>
          <w:lang w:val="ro-MD"/>
        </w:rPr>
        <w:t xml:space="preserve"> aprobă Raportul </w:t>
      </w:r>
      <w:r w:rsidR="005F5E1B" w:rsidRPr="00D70B1B">
        <w:rPr>
          <w:rFonts w:asciiTheme="majorHAnsi" w:hAnsiTheme="majorHAnsi" w:cstheme="majorHAnsi"/>
          <w:lang w:val="ro-MD"/>
        </w:rPr>
        <w:t xml:space="preserve">auditului conformității </w:t>
      </w:r>
      <w:r w:rsidR="000E733E" w:rsidRPr="00D70B1B">
        <w:rPr>
          <w:rFonts w:asciiTheme="majorHAnsi" w:hAnsiTheme="majorHAnsi" w:cstheme="majorHAnsi"/>
          <w:lang w:val="ro-MD"/>
        </w:rPr>
        <w:t xml:space="preserve">asupra </w:t>
      </w:r>
      <w:r w:rsidR="005F5E1B" w:rsidRPr="00D70B1B">
        <w:rPr>
          <w:rFonts w:asciiTheme="majorHAnsi" w:hAnsiTheme="majorHAnsi" w:cstheme="majorHAnsi"/>
          <w:lang w:val="ro-MD"/>
        </w:rPr>
        <w:t>managementului datoriei de stat, garanțiilor de stat și r</w:t>
      </w:r>
      <w:r w:rsidR="00287995" w:rsidRPr="00D70B1B">
        <w:rPr>
          <w:rFonts w:asciiTheme="majorHAnsi" w:hAnsiTheme="majorHAnsi" w:cstheme="majorHAnsi"/>
          <w:lang w:val="ro-MD"/>
        </w:rPr>
        <w:t>ecreditării de stat în anul 202</w:t>
      </w:r>
      <w:r w:rsidR="00F10F62" w:rsidRPr="00D70B1B">
        <w:rPr>
          <w:rFonts w:asciiTheme="majorHAnsi" w:hAnsiTheme="majorHAnsi" w:cstheme="majorHAnsi"/>
          <w:lang w:val="ro-MD"/>
        </w:rPr>
        <w:t>2</w:t>
      </w:r>
      <w:r w:rsidRPr="00D70B1B">
        <w:rPr>
          <w:rFonts w:asciiTheme="majorHAnsi" w:hAnsiTheme="majorHAnsi" w:cstheme="majorHAnsi"/>
          <w:lang w:val="ro-MD"/>
        </w:rPr>
        <w:t>, anexat la prezenta Hotărâre.</w:t>
      </w:r>
    </w:p>
    <w:p w:rsidR="00CC3867" w:rsidRPr="00D70B1B" w:rsidRDefault="00CC3867" w:rsidP="00053022">
      <w:pPr>
        <w:pStyle w:val="a4"/>
        <w:spacing w:after="120" w:line="276" w:lineRule="auto"/>
        <w:rPr>
          <w:rFonts w:asciiTheme="majorHAnsi" w:hAnsiTheme="majorHAnsi" w:cstheme="majorHAnsi"/>
          <w:lang w:val="ro-MD"/>
        </w:rPr>
      </w:pPr>
      <w:r w:rsidRPr="00D70B1B">
        <w:rPr>
          <w:rFonts w:asciiTheme="majorHAnsi" w:hAnsiTheme="majorHAnsi" w:cstheme="majorHAnsi"/>
          <w:b/>
          <w:bCs/>
          <w:lang w:val="ro-MD"/>
        </w:rPr>
        <w:t>2.</w:t>
      </w:r>
      <w:r w:rsidRPr="00D70B1B">
        <w:rPr>
          <w:rFonts w:asciiTheme="majorHAnsi" w:hAnsiTheme="majorHAnsi" w:cstheme="majorHAnsi"/>
          <w:lang w:val="ro-MD"/>
        </w:rPr>
        <w:t xml:space="preserve"> </w:t>
      </w:r>
      <w:r w:rsidRPr="00D70B1B">
        <w:rPr>
          <w:rFonts w:asciiTheme="majorHAnsi" w:eastAsiaTheme="minorHAnsi" w:hAnsiTheme="majorHAnsi" w:cstheme="majorHAnsi"/>
          <w:bCs/>
          <w:lang w:val="ro-MD"/>
        </w:rPr>
        <w:t>Prezenta</w:t>
      </w:r>
      <w:r w:rsidRPr="00D70B1B">
        <w:rPr>
          <w:rFonts w:asciiTheme="majorHAnsi" w:hAnsiTheme="majorHAnsi" w:cstheme="majorHAnsi"/>
          <w:lang w:val="ro-MD"/>
        </w:rPr>
        <w:t xml:space="preserve"> Hotărâre și Raportul de audit se remit:</w:t>
      </w:r>
    </w:p>
    <w:p w:rsidR="00B03B6F" w:rsidRPr="003F1EFF" w:rsidRDefault="00B03B6F" w:rsidP="00053022">
      <w:pPr>
        <w:spacing w:after="0" w:line="276" w:lineRule="auto"/>
        <w:ind w:firstLine="540"/>
        <w:jc w:val="both"/>
        <w:rPr>
          <w:rFonts w:asciiTheme="majorHAnsi" w:eastAsiaTheme="minorEastAsia" w:hAnsiTheme="majorHAnsi" w:cstheme="majorHAnsi"/>
          <w:sz w:val="24"/>
          <w:szCs w:val="24"/>
          <w:lang w:val="ro-RO" w:eastAsia="ru-RU"/>
        </w:rPr>
      </w:pPr>
      <w:r w:rsidRPr="003F1EFF">
        <w:rPr>
          <w:rFonts w:asciiTheme="majorHAnsi" w:hAnsiTheme="majorHAnsi" w:cstheme="majorHAnsi"/>
          <w:b/>
          <w:sz w:val="24"/>
          <w:szCs w:val="24"/>
          <w:lang w:val="ro-MD"/>
        </w:rPr>
        <w:t>2.1. Parlamentului Republicii Moldova</w:t>
      </w:r>
      <w:r w:rsidRPr="003F1EFF">
        <w:rPr>
          <w:rFonts w:asciiTheme="majorHAnsi" w:hAnsiTheme="majorHAnsi" w:cstheme="majorHAnsi"/>
          <w:sz w:val="24"/>
          <w:szCs w:val="24"/>
          <w:lang w:val="ro-MD"/>
        </w:rPr>
        <w:t>,</w:t>
      </w:r>
      <w:r w:rsidRPr="00D70B1B">
        <w:rPr>
          <w:rFonts w:asciiTheme="majorHAnsi" w:eastAsia="Times New Roman" w:hAnsiTheme="majorHAnsi" w:cstheme="majorHAnsi"/>
          <w:sz w:val="24"/>
          <w:szCs w:val="24"/>
          <w:lang w:val="ro-MD" w:eastAsia="ru-RU"/>
        </w:rPr>
        <w:t xml:space="preserve"> </w:t>
      </w:r>
      <w:r w:rsidRPr="003F1EFF">
        <w:rPr>
          <w:rFonts w:asciiTheme="majorHAnsi" w:hAnsiTheme="majorHAnsi" w:cstheme="majorHAnsi"/>
          <w:sz w:val="24"/>
          <w:szCs w:val="24"/>
          <w:lang w:val="ro-MD"/>
        </w:rPr>
        <w:t>pentru informare și examinare, după caz, în cadrul Comisiei parlamentare de control al finanțelor publice</w:t>
      </w:r>
      <w:r w:rsidRPr="00D70B1B">
        <w:rPr>
          <w:rFonts w:asciiTheme="majorHAnsi" w:hAnsiTheme="majorHAnsi" w:cstheme="majorHAnsi"/>
          <w:bCs/>
          <w:sz w:val="24"/>
          <w:szCs w:val="24"/>
          <w:lang w:val="ro-MD"/>
        </w:rPr>
        <w:t>;</w:t>
      </w:r>
    </w:p>
    <w:p w:rsidR="00B03B6F" w:rsidRPr="003F1EFF" w:rsidRDefault="00B03B6F" w:rsidP="00053022">
      <w:pPr>
        <w:spacing w:line="276" w:lineRule="auto"/>
        <w:ind w:left="360" w:firstLine="180"/>
        <w:contextualSpacing/>
        <w:jc w:val="both"/>
        <w:rPr>
          <w:rFonts w:asciiTheme="majorHAnsi" w:eastAsiaTheme="minorEastAsia" w:hAnsiTheme="majorHAnsi" w:cstheme="majorHAnsi"/>
          <w:sz w:val="24"/>
          <w:szCs w:val="24"/>
          <w:lang w:val="ro-MD"/>
        </w:rPr>
      </w:pPr>
      <w:r w:rsidRPr="003F1EFF">
        <w:rPr>
          <w:rFonts w:asciiTheme="majorHAnsi" w:eastAsiaTheme="minorEastAsia" w:hAnsiTheme="majorHAnsi" w:cstheme="majorHAnsi"/>
          <w:b/>
          <w:sz w:val="24"/>
          <w:szCs w:val="24"/>
          <w:lang w:val="ro-MD"/>
        </w:rPr>
        <w:t>2.2. Președintelui Republicii Moldova</w:t>
      </w:r>
      <w:r w:rsidRPr="003F1EFF">
        <w:rPr>
          <w:rFonts w:asciiTheme="majorHAnsi" w:eastAsiaTheme="minorEastAsia" w:hAnsiTheme="majorHAnsi" w:cstheme="majorHAnsi"/>
          <w:sz w:val="24"/>
          <w:szCs w:val="24"/>
          <w:lang w:val="ro-MD"/>
        </w:rPr>
        <w:t>, pentru informare;</w:t>
      </w:r>
    </w:p>
    <w:p w:rsidR="00B03B6F" w:rsidRPr="00593C4D" w:rsidRDefault="00CC3867" w:rsidP="00053022">
      <w:pPr>
        <w:spacing w:after="0" w:line="276" w:lineRule="auto"/>
        <w:ind w:firstLine="540"/>
        <w:jc w:val="both"/>
        <w:rPr>
          <w:rFonts w:asciiTheme="majorHAnsi" w:hAnsiTheme="majorHAnsi" w:cstheme="majorHAnsi"/>
          <w:sz w:val="24"/>
          <w:szCs w:val="24"/>
          <w:lang w:val="ro-MD"/>
        </w:rPr>
      </w:pPr>
      <w:r w:rsidRPr="00593C4D">
        <w:rPr>
          <w:rFonts w:asciiTheme="majorHAnsi" w:hAnsiTheme="majorHAnsi" w:cstheme="majorHAnsi"/>
          <w:b/>
          <w:sz w:val="24"/>
          <w:szCs w:val="24"/>
          <w:lang w:val="ro-MD"/>
        </w:rPr>
        <w:t>2</w:t>
      </w:r>
      <w:r w:rsidR="00B03B6F" w:rsidRPr="00593C4D">
        <w:rPr>
          <w:rFonts w:asciiTheme="majorHAnsi" w:hAnsiTheme="majorHAnsi" w:cstheme="majorHAnsi"/>
          <w:b/>
          <w:sz w:val="24"/>
          <w:szCs w:val="24"/>
          <w:lang w:val="ro-MD"/>
        </w:rPr>
        <w:t>.3</w:t>
      </w:r>
      <w:r w:rsidRPr="00593C4D">
        <w:rPr>
          <w:rFonts w:asciiTheme="majorHAnsi" w:hAnsiTheme="majorHAnsi" w:cstheme="majorHAnsi"/>
          <w:b/>
          <w:sz w:val="24"/>
          <w:szCs w:val="24"/>
          <w:lang w:val="ro-MD"/>
        </w:rPr>
        <w:t>.</w:t>
      </w:r>
      <w:r w:rsidRPr="00593C4D">
        <w:rPr>
          <w:rFonts w:asciiTheme="majorHAnsi" w:hAnsiTheme="majorHAnsi" w:cstheme="majorHAnsi"/>
          <w:sz w:val="24"/>
          <w:szCs w:val="24"/>
          <w:lang w:val="ro-MD"/>
        </w:rPr>
        <w:t xml:space="preserve"> </w:t>
      </w:r>
      <w:r w:rsidR="00A712C9" w:rsidRPr="00593C4D">
        <w:rPr>
          <w:rFonts w:asciiTheme="majorHAnsi" w:hAnsiTheme="majorHAnsi" w:cstheme="majorHAnsi"/>
          <w:b/>
          <w:sz w:val="24"/>
          <w:szCs w:val="24"/>
          <w:lang w:val="ro-MD"/>
        </w:rPr>
        <w:t>Guvernului Republicii Moldova</w:t>
      </w:r>
      <w:r w:rsidR="00A712C9" w:rsidRPr="00593C4D">
        <w:rPr>
          <w:rFonts w:asciiTheme="majorHAnsi" w:hAnsiTheme="majorHAnsi" w:cstheme="majorHAnsi"/>
          <w:sz w:val="24"/>
          <w:szCs w:val="24"/>
          <w:lang w:val="ro-MD"/>
        </w:rPr>
        <w:t>, pentru informare</w:t>
      </w:r>
      <w:r w:rsidR="000339C6" w:rsidRPr="00593C4D">
        <w:rPr>
          <w:rFonts w:asciiTheme="majorHAnsi" w:hAnsiTheme="majorHAnsi" w:cstheme="majorHAnsi"/>
          <w:sz w:val="24"/>
          <w:szCs w:val="24"/>
          <w:lang w:val="ro-MD"/>
        </w:rPr>
        <w:t xml:space="preserve"> și luare de atitudine în vederea:</w:t>
      </w:r>
    </w:p>
    <w:p w:rsidR="000339C6" w:rsidRPr="00593C4D" w:rsidRDefault="000339C6" w:rsidP="00053022">
      <w:pPr>
        <w:spacing w:after="0" w:line="276" w:lineRule="auto"/>
        <w:ind w:firstLine="540"/>
        <w:jc w:val="both"/>
        <w:rPr>
          <w:rFonts w:asciiTheme="majorHAnsi" w:hAnsiTheme="majorHAnsi" w:cstheme="majorHAnsi"/>
          <w:sz w:val="24"/>
          <w:szCs w:val="24"/>
          <w:lang w:val="ro-MD"/>
        </w:rPr>
      </w:pPr>
      <w:r w:rsidRPr="00593C4D">
        <w:rPr>
          <w:rFonts w:asciiTheme="majorHAnsi" w:hAnsiTheme="majorHAnsi" w:cstheme="majorHAnsi"/>
          <w:b/>
          <w:sz w:val="24"/>
          <w:szCs w:val="24"/>
          <w:lang w:val="ro-MD"/>
        </w:rPr>
        <w:t xml:space="preserve">2.3.1. </w:t>
      </w:r>
      <w:r w:rsidRPr="00593C4D">
        <w:rPr>
          <w:rFonts w:asciiTheme="majorHAnsi" w:hAnsiTheme="majorHAnsi" w:cstheme="majorHAnsi"/>
          <w:sz w:val="24"/>
          <w:szCs w:val="24"/>
          <w:lang w:val="ro-MD"/>
        </w:rPr>
        <w:t>monitorizării situației aferente datoriei de stat externe</w:t>
      </w:r>
      <w:r w:rsidR="00FB5B60" w:rsidRPr="00593C4D">
        <w:rPr>
          <w:rFonts w:asciiTheme="majorHAnsi" w:hAnsiTheme="majorHAnsi" w:cstheme="majorHAnsi"/>
          <w:sz w:val="24"/>
          <w:szCs w:val="24"/>
          <w:lang w:val="ro-MD"/>
        </w:rPr>
        <w:t>,</w:t>
      </w:r>
      <w:r w:rsidRPr="00593C4D">
        <w:rPr>
          <w:rFonts w:asciiTheme="majorHAnsi" w:hAnsiTheme="majorHAnsi" w:cstheme="majorHAnsi"/>
          <w:sz w:val="24"/>
          <w:szCs w:val="24"/>
          <w:lang w:val="ro-MD"/>
        </w:rPr>
        <w:t xml:space="preserve"> care la moment se află în imposibilitate de achitare din motive ce nu depind de Republica Moldova;</w:t>
      </w:r>
    </w:p>
    <w:p w:rsidR="00E32BEF" w:rsidRDefault="000339C6" w:rsidP="00593C4D">
      <w:pPr>
        <w:spacing w:after="0" w:line="276" w:lineRule="auto"/>
        <w:ind w:firstLine="539"/>
        <w:jc w:val="both"/>
        <w:rPr>
          <w:rFonts w:asciiTheme="majorHAnsi" w:hAnsiTheme="majorHAnsi" w:cstheme="majorHAnsi"/>
          <w:sz w:val="24"/>
          <w:szCs w:val="24"/>
          <w:lang w:val="ro-MD"/>
        </w:rPr>
      </w:pPr>
      <w:r w:rsidRPr="00593C4D">
        <w:rPr>
          <w:rFonts w:asciiTheme="majorHAnsi" w:hAnsiTheme="majorHAnsi" w:cstheme="majorHAnsi"/>
          <w:b/>
          <w:sz w:val="24"/>
          <w:szCs w:val="24"/>
          <w:lang w:val="ro-MD"/>
        </w:rPr>
        <w:t xml:space="preserve">2.3.2. </w:t>
      </w:r>
      <w:r w:rsidRPr="00593C4D">
        <w:rPr>
          <w:rFonts w:asciiTheme="majorHAnsi" w:hAnsiTheme="majorHAnsi" w:cstheme="majorHAnsi"/>
          <w:sz w:val="24"/>
          <w:szCs w:val="24"/>
          <w:lang w:val="ro-MD"/>
        </w:rPr>
        <w:t xml:space="preserve">fortificării capacităților instituționale ale autorităților publice centrale </w:t>
      </w:r>
      <w:r w:rsidR="00E32BEF" w:rsidRPr="00593C4D">
        <w:rPr>
          <w:rFonts w:asciiTheme="majorHAnsi" w:hAnsiTheme="majorHAnsi" w:cstheme="majorHAnsi"/>
          <w:sz w:val="24"/>
          <w:szCs w:val="24"/>
          <w:lang w:val="ro-MD"/>
        </w:rPr>
        <w:t>aferente proceselor de elaborare, gestionare și raportare a proiectelor investiționale, în vederea sporirii nivelului de absorbție și valorificare a resurselor externe, cu respectarea termenelor de debursare și atingerea rezultatelor în implementarea proiectelor</w:t>
      </w:r>
      <w:r w:rsidR="00FB5B60" w:rsidRPr="00593C4D">
        <w:rPr>
          <w:rFonts w:asciiTheme="majorHAnsi" w:hAnsiTheme="majorHAnsi" w:cstheme="majorHAnsi"/>
          <w:sz w:val="24"/>
          <w:szCs w:val="24"/>
          <w:lang w:val="ro-MD"/>
        </w:rPr>
        <w:t>;</w:t>
      </w:r>
    </w:p>
    <w:p w:rsidR="00AA6E21" w:rsidRPr="003F1EFF" w:rsidRDefault="00AA6E21" w:rsidP="00CC08FC">
      <w:pPr>
        <w:tabs>
          <w:tab w:val="left" w:pos="709"/>
        </w:tabs>
        <w:spacing w:line="276" w:lineRule="auto"/>
        <w:ind w:firstLine="540"/>
        <w:jc w:val="both"/>
        <w:rPr>
          <w:rFonts w:asciiTheme="majorHAnsi" w:eastAsiaTheme="minorEastAsia" w:hAnsiTheme="majorHAnsi" w:cstheme="majorHAnsi"/>
          <w:sz w:val="24"/>
          <w:szCs w:val="24"/>
          <w:lang w:val="ro-RO" w:eastAsia="ru-RU"/>
        </w:rPr>
      </w:pPr>
      <w:r w:rsidRPr="003F1EFF">
        <w:rPr>
          <w:rFonts w:asciiTheme="majorHAnsi" w:hAnsiTheme="majorHAnsi" w:cstheme="majorHAnsi"/>
          <w:b/>
          <w:sz w:val="24"/>
          <w:szCs w:val="24"/>
          <w:lang w:val="ro-MD"/>
        </w:rPr>
        <w:t>2.4.</w:t>
      </w:r>
      <w:r w:rsidR="004B0CD9" w:rsidRPr="003F1EFF">
        <w:rPr>
          <w:rFonts w:asciiTheme="majorHAnsi" w:hAnsiTheme="majorHAnsi" w:cstheme="majorHAnsi"/>
          <w:b/>
          <w:sz w:val="24"/>
          <w:szCs w:val="24"/>
          <w:lang w:val="ro-MD"/>
        </w:rPr>
        <w:t xml:space="preserve"> </w:t>
      </w:r>
      <w:r w:rsidR="00A712C9" w:rsidRPr="00D70B1B">
        <w:rPr>
          <w:rFonts w:asciiTheme="majorHAnsi" w:hAnsiTheme="majorHAnsi" w:cstheme="majorHAnsi"/>
          <w:b/>
          <w:bCs/>
          <w:sz w:val="24"/>
          <w:szCs w:val="24"/>
          <w:lang w:val="ro-MD"/>
        </w:rPr>
        <w:t>Ministerului Finanțelor</w:t>
      </w:r>
      <w:r w:rsidR="000E733E" w:rsidRPr="00D70B1B">
        <w:rPr>
          <w:rFonts w:asciiTheme="majorHAnsi" w:hAnsiTheme="majorHAnsi" w:cstheme="majorHAnsi"/>
          <w:sz w:val="24"/>
          <w:szCs w:val="24"/>
          <w:lang w:val="ro-MD"/>
        </w:rPr>
        <w:t>,</w:t>
      </w:r>
      <w:r w:rsidR="00A712C9" w:rsidRPr="00D70B1B">
        <w:rPr>
          <w:rFonts w:asciiTheme="majorHAnsi" w:hAnsiTheme="majorHAnsi" w:cstheme="majorHAnsi"/>
          <w:b/>
          <w:sz w:val="24"/>
          <w:szCs w:val="24"/>
          <w:lang w:val="ro-MD"/>
        </w:rPr>
        <w:t xml:space="preserve"> </w:t>
      </w:r>
      <w:r w:rsidR="00A712C9" w:rsidRPr="003F1EFF">
        <w:rPr>
          <w:rFonts w:asciiTheme="majorHAnsi" w:hAnsiTheme="majorHAnsi" w:cstheme="majorHAnsi"/>
          <w:sz w:val="24"/>
          <w:szCs w:val="24"/>
          <w:lang w:val="ro-RO"/>
        </w:rPr>
        <w:t>pentru luare de atitudine și asigurarea implementării recomandărilo</w:t>
      </w:r>
      <w:r w:rsidR="001D3874" w:rsidRPr="003F1EFF">
        <w:rPr>
          <w:rFonts w:asciiTheme="majorHAnsi" w:hAnsiTheme="majorHAnsi" w:cstheme="majorHAnsi"/>
          <w:sz w:val="24"/>
          <w:szCs w:val="24"/>
          <w:lang w:val="ro-RO"/>
        </w:rPr>
        <w:t>r cuprinse în Raportul de audit.</w:t>
      </w:r>
    </w:p>
    <w:p w:rsidR="00CC3867" w:rsidRPr="00D70B1B" w:rsidRDefault="00CC3867" w:rsidP="00053022">
      <w:pPr>
        <w:pStyle w:val="a4"/>
        <w:spacing w:after="160" w:line="276" w:lineRule="auto"/>
        <w:rPr>
          <w:rFonts w:asciiTheme="majorHAnsi" w:hAnsiTheme="majorHAnsi" w:cstheme="majorHAnsi"/>
          <w:lang w:val="ro-MD"/>
        </w:rPr>
      </w:pPr>
      <w:r w:rsidRPr="00D70B1B">
        <w:rPr>
          <w:rFonts w:asciiTheme="majorHAnsi" w:eastAsiaTheme="minorHAnsi" w:hAnsiTheme="majorHAnsi" w:cstheme="majorHAnsi"/>
          <w:b/>
          <w:bCs/>
          <w:lang w:val="ro-MD"/>
        </w:rPr>
        <w:t>3</w:t>
      </w:r>
      <w:r w:rsidR="00427693" w:rsidRPr="00D70B1B">
        <w:rPr>
          <w:rFonts w:asciiTheme="majorHAnsi" w:eastAsiaTheme="minorHAnsi" w:hAnsiTheme="majorHAnsi" w:cstheme="majorHAnsi"/>
          <w:bCs/>
          <w:lang w:val="ro-MD"/>
        </w:rPr>
        <w:t xml:space="preserve">. </w:t>
      </w:r>
      <w:r w:rsidR="00DC44DF" w:rsidRPr="00D70B1B">
        <w:rPr>
          <w:rFonts w:asciiTheme="majorHAnsi" w:hAnsiTheme="majorHAnsi" w:cstheme="majorHAnsi"/>
          <w:lang w:val="ro-MD"/>
        </w:rPr>
        <w:t>Prin prezenta Hotărâre, se exclude din regim de monitorizare Hotărârea Curții de Conturi nr.</w:t>
      </w:r>
      <w:r w:rsidR="00F10F62" w:rsidRPr="00D70B1B">
        <w:rPr>
          <w:rFonts w:asciiTheme="majorHAnsi" w:hAnsiTheme="majorHAnsi" w:cstheme="majorHAnsi"/>
          <w:lang w:val="ro-MD"/>
        </w:rPr>
        <w:t>25</w:t>
      </w:r>
      <w:r w:rsidR="00DC44DF" w:rsidRPr="00D70B1B">
        <w:rPr>
          <w:rFonts w:asciiTheme="majorHAnsi" w:hAnsiTheme="majorHAnsi" w:cstheme="majorHAnsi"/>
          <w:lang w:val="ro-MD"/>
        </w:rPr>
        <w:t xml:space="preserve"> din </w:t>
      </w:r>
      <w:r w:rsidR="00F10F62" w:rsidRPr="00D70B1B">
        <w:rPr>
          <w:rFonts w:asciiTheme="majorHAnsi" w:hAnsiTheme="majorHAnsi" w:cstheme="majorHAnsi"/>
          <w:lang w:val="ro-MD"/>
        </w:rPr>
        <w:t>30</w:t>
      </w:r>
      <w:r w:rsidR="00DC44DF" w:rsidRPr="00D70B1B">
        <w:rPr>
          <w:rFonts w:asciiTheme="majorHAnsi" w:hAnsiTheme="majorHAnsi" w:cstheme="majorHAnsi"/>
          <w:lang w:val="ro-MD"/>
        </w:rPr>
        <w:t xml:space="preserve"> </w:t>
      </w:r>
      <w:r w:rsidR="00F10F62" w:rsidRPr="00D70B1B">
        <w:rPr>
          <w:rFonts w:asciiTheme="majorHAnsi" w:hAnsiTheme="majorHAnsi" w:cstheme="majorHAnsi"/>
          <w:lang w:val="ro-MD"/>
        </w:rPr>
        <w:t>mai</w:t>
      </w:r>
      <w:r w:rsidR="00DC44DF" w:rsidRPr="00D70B1B">
        <w:rPr>
          <w:rFonts w:asciiTheme="majorHAnsi" w:hAnsiTheme="majorHAnsi" w:cstheme="majorHAnsi"/>
          <w:lang w:val="ro-MD"/>
        </w:rPr>
        <w:t xml:space="preserve"> 202</w:t>
      </w:r>
      <w:r w:rsidR="00F10F62" w:rsidRPr="00D70B1B">
        <w:rPr>
          <w:rFonts w:asciiTheme="majorHAnsi" w:hAnsiTheme="majorHAnsi" w:cstheme="majorHAnsi"/>
          <w:lang w:val="ro-MD"/>
        </w:rPr>
        <w:t>2</w:t>
      </w:r>
      <w:r w:rsidR="00DC44DF" w:rsidRPr="00D70B1B">
        <w:rPr>
          <w:rFonts w:asciiTheme="majorHAnsi" w:hAnsiTheme="majorHAnsi" w:cstheme="majorHAnsi"/>
          <w:lang w:val="ro-MD"/>
        </w:rPr>
        <w:t xml:space="preserve"> „Cu privire la Raportul auditului conformității asupra managementului datoriei de stat, garanțiilor de stat și recreditării de stat în anul 202</w:t>
      </w:r>
      <w:r w:rsidR="00F10F62" w:rsidRPr="00D70B1B">
        <w:rPr>
          <w:rFonts w:asciiTheme="majorHAnsi" w:hAnsiTheme="majorHAnsi" w:cstheme="majorHAnsi"/>
          <w:lang w:val="ro-MD"/>
        </w:rPr>
        <w:t>1</w:t>
      </w:r>
      <w:r w:rsidR="00FD7A35" w:rsidRPr="00D70B1B">
        <w:rPr>
          <w:rFonts w:asciiTheme="majorHAnsi" w:hAnsiTheme="majorHAnsi" w:cstheme="majorHAnsi"/>
          <w:lang w:val="ro-MD"/>
        </w:rPr>
        <w:t>”</w:t>
      </w:r>
      <w:r w:rsidR="00DC44DF" w:rsidRPr="00D70B1B">
        <w:rPr>
          <w:rFonts w:asciiTheme="majorHAnsi" w:hAnsiTheme="majorHAnsi" w:cstheme="majorHAnsi"/>
          <w:lang w:val="ro-MD"/>
        </w:rPr>
        <w:t>, ca u</w:t>
      </w:r>
      <w:r w:rsidR="00FD7A35" w:rsidRPr="00D70B1B">
        <w:rPr>
          <w:rFonts w:asciiTheme="majorHAnsi" w:hAnsiTheme="majorHAnsi" w:cstheme="majorHAnsi"/>
          <w:lang w:val="ro-MD"/>
        </w:rPr>
        <w:t xml:space="preserve">rmare a realizării la nivel de </w:t>
      </w:r>
      <w:r w:rsidR="00570820">
        <w:rPr>
          <w:rFonts w:asciiTheme="majorHAnsi" w:hAnsiTheme="majorHAnsi" w:cstheme="majorHAnsi"/>
          <w:lang w:val="ro-MD"/>
        </w:rPr>
        <w:t>66,7</w:t>
      </w:r>
      <w:r w:rsidR="00DC44DF" w:rsidRPr="00D70B1B">
        <w:rPr>
          <w:rFonts w:asciiTheme="majorHAnsi" w:hAnsiTheme="majorHAnsi" w:cstheme="majorHAnsi"/>
          <w:lang w:val="ro-MD"/>
        </w:rPr>
        <w:t>% a recomandărilor înaintate în cadrul misiunii de audit precedente și a reiterării celor implementate parțial.</w:t>
      </w:r>
    </w:p>
    <w:p w:rsidR="00CC3867" w:rsidRPr="003F1EFF" w:rsidRDefault="0076040B" w:rsidP="00053022">
      <w:pPr>
        <w:pStyle w:val="a4"/>
        <w:spacing w:after="120" w:line="276" w:lineRule="auto"/>
        <w:rPr>
          <w:rFonts w:asciiTheme="majorHAnsi" w:hAnsiTheme="majorHAnsi" w:cstheme="majorHAnsi"/>
          <w:lang w:val="ro-MD"/>
        </w:rPr>
      </w:pPr>
      <w:r w:rsidRPr="00D70B1B">
        <w:rPr>
          <w:rFonts w:asciiTheme="majorHAnsi" w:hAnsiTheme="majorHAnsi" w:cstheme="majorHAnsi"/>
          <w:b/>
          <w:bCs/>
          <w:lang w:val="ro-MD"/>
        </w:rPr>
        <w:t>4</w:t>
      </w:r>
      <w:r w:rsidR="00CC3867" w:rsidRPr="00D70B1B">
        <w:rPr>
          <w:rFonts w:asciiTheme="majorHAnsi" w:eastAsiaTheme="minorHAnsi" w:hAnsiTheme="majorHAnsi" w:cstheme="majorHAnsi"/>
          <w:bCs/>
          <w:lang w:val="ro-MD"/>
        </w:rPr>
        <w:t xml:space="preserve">. </w:t>
      </w:r>
      <w:r w:rsidR="00427693" w:rsidRPr="00D70B1B">
        <w:rPr>
          <w:rFonts w:asciiTheme="majorHAnsi" w:eastAsiaTheme="minorHAnsi" w:hAnsiTheme="majorHAnsi" w:cstheme="majorHAnsi"/>
          <w:bCs/>
          <w:lang w:val="ro-MD"/>
        </w:rPr>
        <w:t>P</w:t>
      </w:r>
      <w:r w:rsidR="00CC3867" w:rsidRPr="00D70B1B">
        <w:rPr>
          <w:rFonts w:asciiTheme="majorHAnsi" w:eastAsiaTheme="minorHAnsi" w:hAnsiTheme="majorHAnsi" w:cstheme="majorHAnsi"/>
          <w:bCs/>
          <w:lang w:val="ro-MD"/>
        </w:rPr>
        <w:t>rezenta</w:t>
      </w:r>
      <w:r w:rsidR="00CC3867" w:rsidRPr="003F1EF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CC3867" w:rsidRPr="003F1EFF" w:rsidRDefault="0076040B" w:rsidP="00053022">
      <w:pPr>
        <w:pStyle w:val="a4"/>
        <w:spacing w:after="120" w:line="276" w:lineRule="auto"/>
        <w:rPr>
          <w:rFonts w:asciiTheme="majorHAnsi" w:hAnsiTheme="majorHAnsi" w:cstheme="majorHAnsi"/>
          <w:lang w:val="ro-MD"/>
        </w:rPr>
      </w:pPr>
      <w:r w:rsidRPr="003F1EFF">
        <w:rPr>
          <w:rFonts w:asciiTheme="majorHAnsi" w:hAnsiTheme="majorHAnsi" w:cstheme="majorHAnsi"/>
          <w:b/>
          <w:lang w:val="ro-MD"/>
        </w:rPr>
        <w:t>5</w:t>
      </w:r>
      <w:r w:rsidR="00CC3867" w:rsidRPr="003F1EFF">
        <w:rPr>
          <w:rFonts w:asciiTheme="majorHAnsi" w:hAnsiTheme="majorHAnsi" w:cstheme="majorHAnsi"/>
          <w:b/>
          <w:lang w:val="ro-MD"/>
        </w:rPr>
        <w:t>.</w:t>
      </w:r>
      <w:r w:rsidR="00CC3867" w:rsidRPr="003F1EFF">
        <w:rPr>
          <w:rFonts w:asciiTheme="majorHAnsi" w:hAnsiTheme="majorHAnsi" w:cstheme="majorHAnsi"/>
          <w:lang w:val="ro-MD"/>
        </w:rPr>
        <w:t xml:space="preserve"> </w:t>
      </w:r>
      <w:r w:rsidR="00CC3867" w:rsidRPr="00D70B1B">
        <w:rPr>
          <w:rFonts w:asciiTheme="majorHAnsi" w:hAnsiTheme="majorHAnsi" w:cstheme="majorHAnsi"/>
          <w:noProof/>
          <w:lang w:val="ro-MD"/>
        </w:rPr>
        <w:t xml:space="preserve">Curtea de Conturi va fi informată, în termen de 6 luni din data </w:t>
      </w:r>
      <w:r w:rsidR="00CC3867" w:rsidRPr="00D70B1B">
        <w:rPr>
          <w:rFonts w:asciiTheme="majorHAnsi" w:hAnsiTheme="majorHAnsi" w:cstheme="majorHAnsi"/>
          <w:noProof/>
          <w:lang w:val="ro-MD" w:eastAsia="ru-RU"/>
        </w:rPr>
        <w:t xml:space="preserve">publicării </w:t>
      </w:r>
      <w:r w:rsidR="00CC3867" w:rsidRPr="00D70B1B">
        <w:rPr>
          <w:rFonts w:asciiTheme="majorHAnsi" w:hAnsiTheme="majorHAnsi" w:cstheme="majorHAnsi"/>
          <w:noProof/>
          <w:lang w:val="ro-MD"/>
        </w:rPr>
        <w:t>Hotărârii</w:t>
      </w:r>
      <w:r w:rsidR="00CC3867" w:rsidRPr="00D70B1B">
        <w:rPr>
          <w:rFonts w:asciiTheme="majorHAnsi" w:hAnsiTheme="majorHAnsi" w:cstheme="majorHAnsi"/>
          <w:lang w:val="ro-MD"/>
        </w:rPr>
        <w:t xml:space="preserve"> în Monitorul Oficial al Republicii Moldova,</w:t>
      </w:r>
      <w:r w:rsidR="00CC3867" w:rsidRPr="00D70B1B">
        <w:rPr>
          <w:rFonts w:asciiTheme="majorHAnsi" w:hAnsiTheme="majorHAnsi" w:cstheme="majorHAnsi"/>
          <w:noProof/>
          <w:lang w:val="ro-MD"/>
        </w:rPr>
        <w:t xml:space="preserve"> despre acțiunile întreprinse pentru executarea subpunct</w:t>
      </w:r>
      <w:r w:rsidR="00082420" w:rsidRPr="00D70B1B">
        <w:rPr>
          <w:rFonts w:asciiTheme="majorHAnsi" w:hAnsiTheme="majorHAnsi" w:cstheme="majorHAnsi"/>
          <w:noProof/>
          <w:lang w:val="ro-MD"/>
        </w:rPr>
        <w:t>ului</w:t>
      </w:r>
      <w:r w:rsidR="00F571E6" w:rsidRPr="00D70B1B">
        <w:rPr>
          <w:rFonts w:asciiTheme="majorHAnsi" w:hAnsiTheme="majorHAnsi" w:cstheme="majorHAnsi"/>
          <w:noProof/>
          <w:lang w:val="ro-MD"/>
        </w:rPr>
        <w:t xml:space="preserve"> 2.</w:t>
      </w:r>
      <w:r w:rsidR="00A712C9" w:rsidRPr="00D70B1B">
        <w:rPr>
          <w:rFonts w:asciiTheme="majorHAnsi" w:hAnsiTheme="majorHAnsi" w:cstheme="majorHAnsi"/>
          <w:noProof/>
          <w:lang w:val="ro-MD"/>
        </w:rPr>
        <w:t>4</w:t>
      </w:r>
      <w:r w:rsidR="00F571E6" w:rsidRPr="00D70B1B">
        <w:rPr>
          <w:rFonts w:asciiTheme="majorHAnsi" w:hAnsiTheme="majorHAnsi" w:cstheme="majorHAnsi"/>
          <w:noProof/>
          <w:lang w:val="ro-MD"/>
        </w:rPr>
        <w:t xml:space="preserve">. </w:t>
      </w:r>
      <w:r w:rsidR="00CC3867" w:rsidRPr="00D70B1B">
        <w:rPr>
          <w:rFonts w:asciiTheme="majorHAnsi" w:hAnsiTheme="majorHAnsi" w:cstheme="majorHAnsi"/>
          <w:noProof/>
          <w:lang w:val="ro-MD"/>
        </w:rPr>
        <w:t>din prezenta Hotărâre.</w:t>
      </w:r>
    </w:p>
    <w:p w:rsidR="001E31A6" w:rsidRDefault="005E257C" w:rsidP="00AC2B1E">
      <w:pPr>
        <w:spacing w:after="120" w:line="276" w:lineRule="auto"/>
        <w:ind w:firstLine="567"/>
        <w:jc w:val="both"/>
        <w:rPr>
          <w:rFonts w:asciiTheme="majorHAnsi" w:eastAsia="Times New Roman" w:hAnsiTheme="majorHAnsi" w:cstheme="majorHAnsi"/>
          <w:sz w:val="24"/>
          <w:szCs w:val="24"/>
          <w:lang w:val="ro-MD"/>
        </w:rPr>
      </w:pPr>
      <w:r w:rsidRPr="00D70B1B">
        <w:rPr>
          <w:rFonts w:asciiTheme="majorHAnsi" w:hAnsiTheme="majorHAnsi" w:cstheme="majorHAnsi"/>
          <w:b/>
          <w:sz w:val="24"/>
          <w:szCs w:val="24"/>
          <w:lang w:val="ro-MD"/>
        </w:rPr>
        <w:t>6</w:t>
      </w:r>
      <w:r w:rsidR="00CC3867" w:rsidRPr="00D70B1B">
        <w:rPr>
          <w:rFonts w:asciiTheme="majorHAnsi" w:hAnsiTheme="majorHAnsi" w:cstheme="majorHAnsi"/>
          <w:b/>
          <w:sz w:val="24"/>
          <w:szCs w:val="24"/>
          <w:lang w:val="ro-MD"/>
        </w:rPr>
        <w:t>.</w:t>
      </w:r>
      <w:r w:rsidR="00CC3867" w:rsidRPr="00D70B1B">
        <w:rPr>
          <w:rFonts w:asciiTheme="majorHAnsi" w:hAnsiTheme="majorHAnsi" w:cstheme="majorHAnsi"/>
          <w:sz w:val="24"/>
          <w:szCs w:val="24"/>
          <w:lang w:val="ro-MD"/>
        </w:rPr>
        <w:t xml:space="preserve">  Hotărârea și Raportul auditului </w:t>
      </w:r>
      <w:r w:rsidR="00F571E6" w:rsidRPr="00D70B1B">
        <w:rPr>
          <w:rFonts w:asciiTheme="majorHAnsi" w:hAnsiTheme="majorHAnsi" w:cstheme="majorHAnsi"/>
          <w:sz w:val="24"/>
          <w:szCs w:val="24"/>
          <w:lang w:val="ro-MD"/>
        </w:rPr>
        <w:t xml:space="preserve">conformității </w:t>
      </w:r>
      <w:r w:rsidR="000E733E" w:rsidRPr="00D70B1B">
        <w:rPr>
          <w:rFonts w:asciiTheme="majorHAnsi" w:hAnsiTheme="majorHAnsi" w:cstheme="majorHAnsi"/>
          <w:sz w:val="24"/>
          <w:szCs w:val="24"/>
          <w:lang w:val="ro-MD"/>
        </w:rPr>
        <w:t xml:space="preserve">asupra </w:t>
      </w:r>
      <w:r w:rsidR="00F571E6" w:rsidRPr="00D70B1B">
        <w:rPr>
          <w:rFonts w:asciiTheme="majorHAnsi" w:hAnsiTheme="majorHAnsi" w:cstheme="majorHAnsi"/>
          <w:sz w:val="24"/>
          <w:szCs w:val="24"/>
          <w:lang w:val="ro-MD"/>
        </w:rPr>
        <w:t>managementului datoriei de stat, garanțiilor de stat și recreditării de stat în anul 202</w:t>
      </w:r>
      <w:r w:rsidR="00F10F62" w:rsidRPr="00D70B1B">
        <w:rPr>
          <w:rFonts w:asciiTheme="majorHAnsi" w:hAnsiTheme="majorHAnsi" w:cstheme="majorHAnsi"/>
          <w:sz w:val="24"/>
          <w:szCs w:val="24"/>
          <w:lang w:val="ro-MD"/>
        </w:rPr>
        <w:t>2</w:t>
      </w:r>
      <w:r w:rsidR="00E1186A" w:rsidRPr="00D70B1B">
        <w:rPr>
          <w:rFonts w:asciiTheme="majorHAnsi" w:hAnsiTheme="majorHAnsi" w:cstheme="majorHAnsi"/>
          <w:sz w:val="24"/>
          <w:szCs w:val="24"/>
          <w:lang w:val="ro-MD"/>
        </w:rPr>
        <w:t xml:space="preserve"> </w:t>
      </w:r>
      <w:r w:rsidR="00CC3867" w:rsidRPr="00D70B1B">
        <w:rPr>
          <w:rFonts w:asciiTheme="majorHAnsi" w:hAnsiTheme="majorHAnsi" w:cstheme="majorHAnsi"/>
          <w:sz w:val="24"/>
          <w:szCs w:val="24"/>
          <w:lang w:val="ro-MD"/>
        </w:rPr>
        <w:t>se plasează pe site-ul oficial al Curții de Conturi (</w:t>
      </w:r>
      <w:hyperlink r:id="rId9" w:history="1">
        <w:r w:rsidR="00E46827" w:rsidRPr="00D70B1B">
          <w:rPr>
            <w:rStyle w:val="a3"/>
            <w:rFonts w:asciiTheme="majorHAnsi" w:hAnsiTheme="majorHAnsi" w:cstheme="majorHAnsi"/>
            <w:sz w:val="24"/>
            <w:szCs w:val="24"/>
          </w:rPr>
          <w:t>https://www.ccrm.md/ro/decisions</w:t>
        </w:r>
      </w:hyperlink>
      <w:r w:rsidR="00CC3867" w:rsidRPr="00D70B1B">
        <w:rPr>
          <w:rFonts w:asciiTheme="majorHAnsi" w:hAnsiTheme="majorHAnsi" w:cstheme="majorHAnsi"/>
          <w:sz w:val="24"/>
          <w:szCs w:val="24"/>
          <w:lang w:val="ro-MD"/>
        </w:rPr>
        <w:t>).</w:t>
      </w:r>
      <w:r w:rsidR="003F2560" w:rsidRPr="003F1EFF">
        <w:rPr>
          <w:rFonts w:asciiTheme="majorHAnsi" w:eastAsia="Times New Roman" w:hAnsiTheme="majorHAnsi" w:cstheme="majorHAnsi"/>
          <w:sz w:val="24"/>
          <w:szCs w:val="24"/>
          <w:lang w:val="ro-MD"/>
        </w:rPr>
        <w:t xml:space="preserve">          </w:t>
      </w:r>
    </w:p>
    <w:p w:rsidR="001E31A6" w:rsidRDefault="001E31A6" w:rsidP="00AC2B1E">
      <w:pPr>
        <w:spacing w:after="120" w:line="276" w:lineRule="auto"/>
        <w:ind w:firstLine="567"/>
        <w:jc w:val="both"/>
        <w:rPr>
          <w:rFonts w:asciiTheme="majorHAnsi" w:eastAsia="Times New Roman" w:hAnsiTheme="majorHAnsi" w:cstheme="majorHAnsi"/>
          <w:sz w:val="24"/>
          <w:szCs w:val="24"/>
          <w:lang w:val="ro-MD"/>
        </w:rPr>
      </w:pPr>
    </w:p>
    <w:p w:rsidR="00323800" w:rsidRPr="00D70B1B" w:rsidRDefault="003F2560" w:rsidP="00AC2B1E">
      <w:pPr>
        <w:spacing w:after="120" w:line="276" w:lineRule="auto"/>
        <w:ind w:firstLine="567"/>
        <w:jc w:val="both"/>
        <w:rPr>
          <w:rFonts w:asciiTheme="majorHAnsi" w:eastAsia="Times New Roman" w:hAnsiTheme="majorHAnsi" w:cstheme="majorHAnsi"/>
          <w:b/>
          <w:sz w:val="24"/>
          <w:szCs w:val="24"/>
          <w:lang w:val="ro-MD"/>
        </w:rPr>
      </w:pPr>
      <w:r w:rsidRPr="003F1EFF">
        <w:rPr>
          <w:rFonts w:asciiTheme="majorHAnsi" w:eastAsia="Times New Roman" w:hAnsiTheme="majorHAnsi" w:cstheme="majorHAnsi"/>
          <w:sz w:val="24"/>
          <w:szCs w:val="24"/>
          <w:lang w:val="ro-MD"/>
        </w:rPr>
        <w:t xml:space="preserve">                                                                                      </w:t>
      </w:r>
      <w:r w:rsidR="00AC2B1E" w:rsidRPr="003F1EFF">
        <w:rPr>
          <w:rFonts w:asciiTheme="majorHAnsi" w:eastAsia="Times New Roman" w:hAnsiTheme="majorHAnsi" w:cstheme="majorHAnsi"/>
          <w:sz w:val="24"/>
          <w:szCs w:val="24"/>
          <w:lang w:val="ro-MD"/>
        </w:rPr>
        <w:t xml:space="preserve">                       </w:t>
      </w:r>
    </w:p>
    <w:p w:rsidR="004F4379" w:rsidRPr="00D70B1B" w:rsidRDefault="003F2560" w:rsidP="00053022">
      <w:pPr>
        <w:spacing w:after="0" w:line="276" w:lineRule="auto"/>
        <w:ind w:left="7200"/>
        <w:rPr>
          <w:rFonts w:asciiTheme="majorHAnsi" w:eastAsia="Times New Roman" w:hAnsiTheme="majorHAnsi" w:cstheme="majorHAnsi"/>
          <w:b/>
          <w:sz w:val="24"/>
          <w:szCs w:val="24"/>
          <w:lang w:val="ro-MD"/>
        </w:rPr>
      </w:pPr>
      <w:r w:rsidRPr="00D70B1B">
        <w:rPr>
          <w:rFonts w:asciiTheme="majorHAnsi" w:eastAsia="Times New Roman" w:hAnsiTheme="majorHAnsi" w:cstheme="majorHAnsi"/>
          <w:b/>
          <w:sz w:val="24"/>
          <w:szCs w:val="24"/>
          <w:lang w:val="ro-MD"/>
        </w:rPr>
        <w:t>Marian LUPU,</w:t>
      </w:r>
    </w:p>
    <w:p w:rsidR="001033EA" w:rsidRDefault="00F328A4" w:rsidP="00053022">
      <w:pPr>
        <w:spacing w:after="0" w:line="276" w:lineRule="auto"/>
        <w:ind w:left="7200"/>
        <w:rPr>
          <w:rFonts w:asciiTheme="majorHAnsi" w:eastAsia="Times New Roman" w:hAnsiTheme="majorHAnsi" w:cstheme="majorHAnsi"/>
          <w:b/>
          <w:sz w:val="24"/>
          <w:szCs w:val="24"/>
          <w:lang w:val="ro-MD"/>
        </w:rPr>
      </w:pPr>
      <w:r w:rsidRPr="00D70B1B">
        <w:rPr>
          <w:rFonts w:asciiTheme="majorHAnsi" w:eastAsia="Times New Roman" w:hAnsiTheme="majorHAnsi" w:cstheme="majorHAnsi"/>
          <w:b/>
          <w:sz w:val="24"/>
          <w:szCs w:val="24"/>
          <w:lang w:val="ro-MD"/>
        </w:rPr>
        <w:t>Președinte</w:t>
      </w: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p>
    <w:p w:rsidR="00CC08FC" w:rsidRDefault="00CC08FC" w:rsidP="00053022">
      <w:pPr>
        <w:spacing w:after="0" w:line="276" w:lineRule="auto"/>
        <w:ind w:left="7200"/>
        <w:rPr>
          <w:rFonts w:asciiTheme="majorHAnsi" w:eastAsia="Times New Roman" w:hAnsiTheme="majorHAnsi" w:cstheme="majorHAnsi"/>
          <w:b/>
          <w:sz w:val="24"/>
          <w:szCs w:val="24"/>
          <w:lang w:val="ro-MD"/>
        </w:rPr>
      </w:pPr>
      <w:bookmarkStart w:id="1" w:name="_GoBack"/>
      <w:bookmarkEnd w:id="1"/>
    </w:p>
    <w:sectPr w:rsidR="00CC08FC" w:rsidSect="00C43202">
      <w:headerReference w:type="default" r:id="rId10"/>
      <w:footerReference w:type="default" r:id="rId11"/>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46" w:rsidRDefault="00B70D46" w:rsidP="003F2560">
      <w:pPr>
        <w:spacing w:after="0" w:line="240" w:lineRule="auto"/>
      </w:pPr>
      <w:r>
        <w:separator/>
      </w:r>
    </w:p>
  </w:endnote>
  <w:endnote w:type="continuationSeparator" w:id="0">
    <w:p w:rsidR="00B70D46" w:rsidRDefault="00B70D46"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B70D46">
          <w:rPr>
            <w:noProof/>
          </w:rPr>
          <w:t>1</w:t>
        </w:r>
        <w:r>
          <w:rPr>
            <w:noProof/>
          </w:rPr>
          <w:fldChar w:fldCharType="end"/>
        </w:r>
      </w:p>
    </w:sdtContent>
  </w:sdt>
  <w:p w:rsidR="00CB4882" w:rsidRDefault="00B70D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46" w:rsidRDefault="00B70D46" w:rsidP="003F2560">
      <w:pPr>
        <w:spacing w:after="0" w:line="240" w:lineRule="auto"/>
      </w:pPr>
      <w:r>
        <w:separator/>
      </w:r>
    </w:p>
  </w:footnote>
  <w:footnote w:type="continuationSeparator" w:id="0">
    <w:p w:rsidR="00B70D46" w:rsidRDefault="00B70D46" w:rsidP="003F2560">
      <w:pPr>
        <w:spacing w:after="0" w:line="240" w:lineRule="auto"/>
      </w:pPr>
      <w:r>
        <w:continuationSeparator/>
      </w:r>
    </w:p>
  </w:footnote>
  <w:footnote w:id="1">
    <w:p w:rsidR="003F2560" w:rsidRPr="003F1EFF" w:rsidRDefault="003F2560" w:rsidP="00982281">
      <w:pPr>
        <w:pStyle w:val="a7"/>
        <w:jc w:val="both"/>
        <w:rPr>
          <w:rFonts w:asciiTheme="majorHAnsi" w:eastAsia="Times New Roman" w:hAnsiTheme="majorHAnsi" w:cs="Times New Roman"/>
          <w:sz w:val="16"/>
          <w:szCs w:val="16"/>
          <w:lang w:val="ro-RO"/>
        </w:rPr>
      </w:pPr>
      <w:r w:rsidRPr="003F1EFF">
        <w:rPr>
          <w:rFonts w:asciiTheme="majorHAnsi" w:eastAsia="Times New Roman" w:hAnsiTheme="majorHAnsi" w:cs="Times New Roman"/>
          <w:sz w:val="16"/>
          <w:szCs w:val="16"/>
          <w:vertAlign w:val="superscript"/>
          <w:lang w:val="ro-RO"/>
        </w:rPr>
        <w:footnoteRef/>
      </w:r>
      <w:r w:rsidRPr="003F1EFF">
        <w:rPr>
          <w:rFonts w:asciiTheme="majorHAnsi" w:eastAsia="Times New Roman" w:hAnsiTheme="majorHAnsi" w:cs="Times New Roman"/>
          <w:sz w:val="16"/>
          <w:szCs w:val="16"/>
          <w:lang w:val="ro-RO"/>
        </w:rPr>
        <w:t xml:space="preserve"> Legea privind organizarea și funcționarea Curții de Conturi a Republicii Moldova nr. 260 din 07.12.2017 (în continuare </w:t>
      </w:r>
      <w:r w:rsidR="00982281" w:rsidRPr="003F1EFF">
        <w:rPr>
          <w:rFonts w:asciiTheme="majorHAnsi" w:eastAsia="Times New Roman" w:hAnsiTheme="majorHAnsi" w:cs="Times New Roman"/>
          <w:sz w:val="16"/>
          <w:szCs w:val="16"/>
          <w:lang w:val="ro-RO"/>
        </w:rPr>
        <w:t>–</w:t>
      </w:r>
      <w:r w:rsidRPr="003F1EFF">
        <w:rPr>
          <w:rFonts w:asciiTheme="majorHAnsi" w:eastAsia="Times New Roman" w:hAnsiTheme="majorHAnsi" w:cs="Times New Roman"/>
          <w:sz w:val="16"/>
          <w:szCs w:val="16"/>
          <w:lang w:val="ro-RO"/>
        </w:rPr>
        <w:t xml:space="preserve"> Legea nr.260 din 07.12.2017).</w:t>
      </w:r>
    </w:p>
  </w:footnote>
  <w:footnote w:id="2">
    <w:p w:rsidR="003F2560" w:rsidRPr="00D70B1B" w:rsidRDefault="003F2560" w:rsidP="00982281">
      <w:pPr>
        <w:pStyle w:val="a7"/>
        <w:jc w:val="both"/>
        <w:rPr>
          <w:rFonts w:asciiTheme="majorHAnsi" w:hAnsiTheme="majorHAnsi"/>
          <w:sz w:val="16"/>
          <w:szCs w:val="16"/>
          <w:lang w:val="ro-RO"/>
        </w:rPr>
      </w:pPr>
      <w:r w:rsidRPr="003F1EFF">
        <w:rPr>
          <w:rStyle w:val="FootnoteReference1"/>
          <w:rFonts w:asciiTheme="majorHAnsi" w:hAnsiTheme="majorHAnsi"/>
          <w:sz w:val="16"/>
          <w:szCs w:val="16"/>
          <w:lang w:val="ro-RO"/>
        </w:rPr>
        <w:footnoteRef/>
      </w:r>
      <w:r w:rsidRPr="003F1EFF">
        <w:rPr>
          <w:rFonts w:asciiTheme="majorHAnsi" w:hAnsiTheme="majorHAnsi"/>
          <w:sz w:val="16"/>
          <w:szCs w:val="16"/>
          <w:lang w:val="ro-RO"/>
        </w:rPr>
        <w:t xml:space="preserve"> Hotărârea Curții de Conturi nr.</w:t>
      </w:r>
      <w:r w:rsidR="00B83892" w:rsidRPr="003F1EFF">
        <w:rPr>
          <w:rFonts w:asciiTheme="majorHAnsi" w:hAnsiTheme="majorHAnsi"/>
          <w:sz w:val="16"/>
          <w:szCs w:val="16"/>
          <w:lang w:val="ro-RO"/>
        </w:rPr>
        <w:t>6</w:t>
      </w:r>
      <w:r w:rsidR="00C056F3" w:rsidRPr="003F1EFF">
        <w:rPr>
          <w:rFonts w:asciiTheme="majorHAnsi" w:hAnsiTheme="majorHAnsi"/>
          <w:sz w:val="16"/>
          <w:szCs w:val="16"/>
          <w:lang w:val="ro-RO"/>
        </w:rPr>
        <w:t>5</w:t>
      </w:r>
      <w:r w:rsidRPr="003F1EFF">
        <w:rPr>
          <w:rFonts w:asciiTheme="majorHAnsi" w:hAnsiTheme="majorHAnsi"/>
          <w:sz w:val="16"/>
          <w:szCs w:val="16"/>
          <w:lang w:val="ro-RO"/>
        </w:rPr>
        <w:t xml:space="preserve"> din </w:t>
      </w:r>
      <w:r w:rsidR="00C056F3" w:rsidRPr="003F1EFF">
        <w:rPr>
          <w:rFonts w:asciiTheme="majorHAnsi" w:hAnsiTheme="majorHAnsi"/>
          <w:sz w:val="16"/>
          <w:szCs w:val="16"/>
          <w:lang w:val="ro-RO"/>
        </w:rPr>
        <w:t>2</w:t>
      </w:r>
      <w:r w:rsidR="00B83892" w:rsidRPr="003F1EFF">
        <w:rPr>
          <w:rFonts w:asciiTheme="majorHAnsi" w:hAnsiTheme="majorHAnsi"/>
          <w:sz w:val="16"/>
          <w:szCs w:val="16"/>
          <w:lang w:val="ro-RO"/>
        </w:rPr>
        <w:t>2</w:t>
      </w:r>
      <w:r w:rsidR="00C056F3" w:rsidRPr="003F1EFF">
        <w:rPr>
          <w:rFonts w:asciiTheme="majorHAnsi" w:hAnsiTheme="majorHAnsi"/>
          <w:sz w:val="16"/>
          <w:szCs w:val="16"/>
          <w:lang w:val="ro-RO"/>
        </w:rPr>
        <w:t>.12.202</w:t>
      </w:r>
      <w:r w:rsidR="00B83892" w:rsidRPr="003F1EFF">
        <w:rPr>
          <w:rFonts w:asciiTheme="majorHAnsi" w:hAnsiTheme="majorHAnsi"/>
          <w:sz w:val="16"/>
          <w:szCs w:val="16"/>
          <w:lang w:val="ro-RO"/>
        </w:rPr>
        <w:t>2</w:t>
      </w:r>
      <w:r w:rsidRPr="003F1EFF">
        <w:rPr>
          <w:rFonts w:asciiTheme="majorHAnsi" w:hAnsiTheme="majorHAnsi"/>
          <w:sz w:val="16"/>
          <w:szCs w:val="16"/>
          <w:lang w:val="ro-RO"/>
        </w:rPr>
        <w:t xml:space="preserve"> </w:t>
      </w:r>
      <w:r w:rsidRPr="003F1EFF">
        <w:rPr>
          <w:rFonts w:asciiTheme="majorHAnsi" w:hAnsiTheme="majorHAnsi"/>
          <w:bCs/>
          <w:sz w:val="16"/>
          <w:szCs w:val="16"/>
          <w:lang w:val="ro-RO"/>
        </w:rPr>
        <w:t xml:space="preserve">„Privind aprobarea </w:t>
      </w:r>
      <w:r w:rsidRPr="003F1EFF">
        <w:rPr>
          <w:rFonts w:asciiTheme="majorHAnsi" w:hAnsiTheme="majorHAnsi"/>
          <w:sz w:val="16"/>
          <w:szCs w:val="16"/>
          <w:lang w:val="ro-RO"/>
        </w:rPr>
        <w:t>Programului activității de audit a</w:t>
      </w:r>
      <w:r w:rsidR="006704A8" w:rsidRPr="003F1EFF">
        <w:rPr>
          <w:rFonts w:asciiTheme="majorHAnsi" w:hAnsiTheme="majorHAnsi"/>
          <w:sz w:val="16"/>
          <w:szCs w:val="16"/>
          <w:lang w:val="ro-RO"/>
        </w:rPr>
        <w:t>l</w:t>
      </w:r>
      <w:r w:rsidR="00C056F3" w:rsidRPr="003F1EFF">
        <w:rPr>
          <w:rFonts w:asciiTheme="majorHAnsi" w:hAnsiTheme="majorHAnsi"/>
          <w:sz w:val="16"/>
          <w:szCs w:val="16"/>
          <w:lang w:val="ro-RO"/>
        </w:rPr>
        <w:t xml:space="preserve"> Curții de Conturi pe anul 202</w:t>
      </w:r>
      <w:r w:rsidR="00B83892" w:rsidRPr="003F1EFF">
        <w:rPr>
          <w:rFonts w:asciiTheme="majorHAnsi" w:hAnsiTheme="majorHAnsi"/>
          <w:sz w:val="16"/>
          <w:szCs w:val="16"/>
          <w:lang w:val="ro-RO"/>
        </w:rPr>
        <w:t>3</w:t>
      </w:r>
      <w:r w:rsidRPr="003F1EFF">
        <w:rPr>
          <w:rFonts w:asciiTheme="majorHAnsi" w:hAnsiTheme="majorHAnsi"/>
          <w:sz w:val="16"/>
          <w:szCs w:val="16"/>
          <w:lang w:val="ro-RO"/>
        </w:rPr>
        <w:t>”.</w:t>
      </w:r>
    </w:p>
  </w:footnote>
  <w:footnote w:id="3">
    <w:p w:rsidR="00A712C9" w:rsidRPr="00D70B1B" w:rsidRDefault="00A712C9" w:rsidP="00E35557">
      <w:pPr>
        <w:pStyle w:val="a7"/>
        <w:jc w:val="both"/>
        <w:rPr>
          <w:rFonts w:asciiTheme="majorHAnsi" w:hAnsiTheme="majorHAnsi" w:cstheme="majorHAnsi"/>
          <w:sz w:val="16"/>
          <w:szCs w:val="16"/>
          <w:lang w:val="ro-RO"/>
        </w:rPr>
      </w:pPr>
      <w:r w:rsidRPr="00D70B1B">
        <w:rPr>
          <w:rStyle w:val="af3"/>
          <w:rFonts w:asciiTheme="majorHAnsi" w:hAnsiTheme="majorHAnsi" w:cstheme="majorHAnsi"/>
          <w:sz w:val="16"/>
          <w:szCs w:val="16"/>
          <w:lang w:val="ro-RO"/>
        </w:rPr>
        <w:footnoteRef/>
      </w:r>
      <w:r w:rsidRPr="00D70B1B">
        <w:rPr>
          <w:rFonts w:asciiTheme="majorHAnsi" w:hAnsiTheme="majorHAnsi" w:cstheme="majorHAnsi"/>
          <w:sz w:val="16"/>
          <w:szCs w:val="16"/>
          <w:lang w:val="ro-RO"/>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50" w:rsidRPr="00D64955" w:rsidRDefault="00795EFF" w:rsidP="00795EFF">
    <w:pPr>
      <w:pStyle w:val="a8"/>
      <w:tabs>
        <w:tab w:val="clear" w:pos="9689"/>
        <w:tab w:val="left" w:pos="5040"/>
        <w:tab w:val="left" w:pos="5760"/>
      </w:tabs>
      <w:jc w:val="right"/>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2D5B"/>
    <w:multiLevelType w:val="hybridMultilevel"/>
    <w:tmpl w:val="9BD4B16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3390C"/>
    <w:multiLevelType w:val="multilevel"/>
    <w:tmpl w:val="6D4C74C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E1535F"/>
    <w:multiLevelType w:val="multilevel"/>
    <w:tmpl w:val="7DC8F4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F8710F"/>
    <w:multiLevelType w:val="multilevel"/>
    <w:tmpl w:val="B05680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00424"/>
    <w:rsid w:val="000110AF"/>
    <w:rsid w:val="0001475E"/>
    <w:rsid w:val="000339C6"/>
    <w:rsid w:val="000349D3"/>
    <w:rsid w:val="00045085"/>
    <w:rsid w:val="00050406"/>
    <w:rsid w:val="00053022"/>
    <w:rsid w:val="0006164E"/>
    <w:rsid w:val="00075439"/>
    <w:rsid w:val="00077136"/>
    <w:rsid w:val="00080617"/>
    <w:rsid w:val="00082420"/>
    <w:rsid w:val="0009500F"/>
    <w:rsid w:val="000971E6"/>
    <w:rsid w:val="000A51F5"/>
    <w:rsid w:val="000A75D1"/>
    <w:rsid w:val="000B06CE"/>
    <w:rsid w:val="000B0975"/>
    <w:rsid w:val="000B3AFE"/>
    <w:rsid w:val="000B72D2"/>
    <w:rsid w:val="000C41F5"/>
    <w:rsid w:val="000C5998"/>
    <w:rsid w:val="000D37DD"/>
    <w:rsid w:val="000E0B94"/>
    <w:rsid w:val="000E7259"/>
    <w:rsid w:val="000E733E"/>
    <w:rsid w:val="000E769F"/>
    <w:rsid w:val="000F2548"/>
    <w:rsid w:val="001001D4"/>
    <w:rsid w:val="001002E7"/>
    <w:rsid w:val="001033EA"/>
    <w:rsid w:val="0011103E"/>
    <w:rsid w:val="001125B2"/>
    <w:rsid w:val="001129D4"/>
    <w:rsid w:val="00115054"/>
    <w:rsid w:val="001214FF"/>
    <w:rsid w:val="001236E6"/>
    <w:rsid w:val="00126438"/>
    <w:rsid w:val="001365C1"/>
    <w:rsid w:val="00141DAE"/>
    <w:rsid w:val="001507C3"/>
    <w:rsid w:val="0015166A"/>
    <w:rsid w:val="001550C8"/>
    <w:rsid w:val="00160A63"/>
    <w:rsid w:val="00171672"/>
    <w:rsid w:val="00174F2A"/>
    <w:rsid w:val="001812BB"/>
    <w:rsid w:val="0019794E"/>
    <w:rsid w:val="001C0BDC"/>
    <w:rsid w:val="001C0F82"/>
    <w:rsid w:val="001C5971"/>
    <w:rsid w:val="001C7F61"/>
    <w:rsid w:val="001D21B9"/>
    <w:rsid w:val="001D3874"/>
    <w:rsid w:val="001D6653"/>
    <w:rsid w:val="001E2227"/>
    <w:rsid w:val="001E2E36"/>
    <w:rsid w:val="001E31A6"/>
    <w:rsid w:val="001E3EF9"/>
    <w:rsid w:val="001E5D5B"/>
    <w:rsid w:val="001F1790"/>
    <w:rsid w:val="001F2EE3"/>
    <w:rsid w:val="00210642"/>
    <w:rsid w:val="00220666"/>
    <w:rsid w:val="002247DD"/>
    <w:rsid w:val="002462B9"/>
    <w:rsid w:val="002535CD"/>
    <w:rsid w:val="00255F95"/>
    <w:rsid w:val="00260A47"/>
    <w:rsid w:val="00273F10"/>
    <w:rsid w:val="002754A0"/>
    <w:rsid w:val="002762DF"/>
    <w:rsid w:val="00277349"/>
    <w:rsid w:val="00283B82"/>
    <w:rsid w:val="00284CB5"/>
    <w:rsid w:val="00285B5B"/>
    <w:rsid w:val="00287309"/>
    <w:rsid w:val="00287995"/>
    <w:rsid w:val="00290F52"/>
    <w:rsid w:val="002A3C9E"/>
    <w:rsid w:val="002B543E"/>
    <w:rsid w:val="002C0A10"/>
    <w:rsid w:val="002C7E30"/>
    <w:rsid w:val="002E770D"/>
    <w:rsid w:val="002E78C9"/>
    <w:rsid w:val="0030166A"/>
    <w:rsid w:val="00302736"/>
    <w:rsid w:val="0030446A"/>
    <w:rsid w:val="00322FE4"/>
    <w:rsid w:val="00323800"/>
    <w:rsid w:val="00345131"/>
    <w:rsid w:val="00346EDE"/>
    <w:rsid w:val="00347F72"/>
    <w:rsid w:val="0035471F"/>
    <w:rsid w:val="00355230"/>
    <w:rsid w:val="00357F2C"/>
    <w:rsid w:val="003656A9"/>
    <w:rsid w:val="00374C4F"/>
    <w:rsid w:val="003943F7"/>
    <w:rsid w:val="00396EAC"/>
    <w:rsid w:val="003A289C"/>
    <w:rsid w:val="003B2D77"/>
    <w:rsid w:val="003B6B9F"/>
    <w:rsid w:val="003B7DC2"/>
    <w:rsid w:val="003C591E"/>
    <w:rsid w:val="003C7EAD"/>
    <w:rsid w:val="003D0AAD"/>
    <w:rsid w:val="003D6BF0"/>
    <w:rsid w:val="003D7699"/>
    <w:rsid w:val="003F1EFF"/>
    <w:rsid w:val="003F2560"/>
    <w:rsid w:val="0040119A"/>
    <w:rsid w:val="004072E2"/>
    <w:rsid w:val="00426047"/>
    <w:rsid w:val="00427693"/>
    <w:rsid w:val="0043547E"/>
    <w:rsid w:val="00437145"/>
    <w:rsid w:val="00461BF6"/>
    <w:rsid w:val="0046654E"/>
    <w:rsid w:val="00470ED7"/>
    <w:rsid w:val="004716BD"/>
    <w:rsid w:val="00472DEF"/>
    <w:rsid w:val="00483FCF"/>
    <w:rsid w:val="00485090"/>
    <w:rsid w:val="004903F9"/>
    <w:rsid w:val="0049739A"/>
    <w:rsid w:val="004A7BFF"/>
    <w:rsid w:val="004B0CD9"/>
    <w:rsid w:val="004B1DC0"/>
    <w:rsid w:val="004D5096"/>
    <w:rsid w:val="004D5FEA"/>
    <w:rsid w:val="004E47E6"/>
    <w:rsid w:val="004E4C41"/>
    <w:rsid w:val="004E57E4"/>
    <w:rsid w:val="004E63AF"/>
    <w:rsid w:val="004E686B"/>
    <w:rsid w:val="004F146E"/>
    <w:rsid w:val="004F4379"/>
    <w:rsid w:val="0050436D"/>
    <w:rsid w:val="005112DF"/>
    <w:rsid w:val="00513C97"/>
    <w:rsid w:val="00513DAF"/>
    <w:rsid w:val="0051785F"/>
    <w:rsid w:val="00520460"/>
    <w:rsid w:val="00520E57"/>
    <w:rsid w:val="0052263C"/>
    <w:rsid w:val="00532C80"/>
    <w:rsid w:val="00541097"/>
    <w:rsid w:val="00543F3C"/>
    <w:rsid w:val="00552800"/>
    <w:rsid w:val="00553E33"/>
    <w:rsid w:val="00556A42"/>
    <w:rsid w:val="005633A9"/>
    <w:rsid w:val="00563BE6"/>
    <w:rsid w:val="005647C7"/>
    <w:rsid w:val="00566676"/>
    <w:rsid w:val="00570820"/>
    <w:rsid w:val="005724C0"/>
    <w:rsid w:val="005922AE"/>
    <w:rsid w:val="00592518"/>
    <w:rsid w:val="00593C4D"/>
    <w:rsid w:val="00595C34"/>
    <w:rsid w:val="005969A6"/>
    <w:rsid w:val="005A3491"/>
    <w:rsid w:val="005B1965"/>
    <w:rsid w:val="005B7953"/>
    <w:rsid w:val="005C4167"/>
    <w:rsid w:val="005D29EE"/>
    <w:rsid w:val="005D2B58"/>
    <w:rsid w:val="005D3DCC"/>
    <w:rsid w:val="005E257C"/>
    <w:rsid w:val="005E2DB6"/>
    <w:rsid w:val="005E45FF"/>
    <w:rsid w:val="005F0326"/>
    <w:rsid w:val="005F1AEC"/>
    <w:rsid w:val="005F5E1B"/>
    <w:rsid w:val="00625E68"/>
    <w:rsid w:val="00635078"/>
    <w:rsid w:val="00643123"/>
    <w:rsid w:val="0064742A"/>
    <w:rsid w:val="0065596A"/>
    <w:rsid w:val="00663B5F"/>
    <w:rsid w:val="006704A8"/>
    <w:rsid w:val="0067238D"/>
    <w:rsid w:val="0067630A"/>
    <w:rsid w:val="00685A80"/>
    <w:rsid w:val="006A282C"/>
    <w:rsid w:val="006B749D"/>
    <w:rsid w:val="006C37C0"/>
    <w:rsid w:val="006C547D"/>
    <w:rsid w:val="006C7CE3"/>
    <w:rsid w:val="006E6C1A"/>
    <w:rsid w:val="00715411"/>
    <w:rsid w:val="00716262"/>
    <w:rsid w:val="007164A6"/>
    <w:rsid w:val="00716AB4"/>
    <w:rsid w:val="00727AB4"/>
    <w:rsid w:val="0076040B"/>
    <w:rsid w:val="00772195"/>
    <w:rsid w:val="00777062"/>
    <w:rsid w:val="00781DB5"/>
    <w:rsid w:val="00786F55"/>
    <w:rsid w:val="007871AF"/>
    <w:rsid w:val="00795EFF"/>
    <w:rsid w:val="007A49D6"/>
    <w:rsid w:val="007B5471"/>
    <w:rsid w:val="007B7D3B"/>
    <w:rsid w:val="007C31A0"/>
    <w:rsid w:val="007E6AE5"/>
    <w:rsid w:val="007F026A"/>
    <w:rsid w:val="007F2AEA"/>
    <w:rsid w:val="007F3F3E"/>
    <w:rsid w:val="00803564"/>
    <w:rsid w:val="00803EEF"/>
    <w:rsid w:val="00817180"/>
    <w:rsid w:val="0081765B"/>
    <w:rsid w:val="008206DA"/>
    <w:rsid w:val="00820B4C"/>
    <w:rsid w:val="00822774"/>
    <w:rsid w:val="008324B8"/>
    <w:rsid w:val="00836E12"/>
    <w:rsid w:val="0084696F"/>
    <w:rsid w:val="00870308"/>
    <w:rsid w:val="008707C1"/>
    <w:rsid w:val="00875039"/>
    <w:rsid w:val="00876091"/>
    <w:rsid w:val="008914ED"/>
    <w:rsid w:val="0089259B"/>
    <w:rsid w:val="00895096"/>
    <w:rsid w:val="0089689D"/>
    <w:rsid w:val="00896A15"/>
    <w:rsid w:val="008A096E"/>
    <w:rsid w:val="008A4586"/>
    <w:rsid w:val="008B1DB9"/>
    <w:rsid w:val="008B3B7C"/>
    <w:rsid w:val="008C1E08"/>
    <w:rsid w:val="008C221B"/>
    <w:rsid w:val="008C6150"/>
    <w:rsid w:val="008D185F"/>
    <w:rsid w:val="008D7379"/>
    <w:rsid w:val="008E6961"/>
    <w:rsid w:val="008F0CA0"/>
    <w:rsid w:val="008F1D8C"/>
    <w:rsid w:val="008F49CC"/>
    <w:rsid w:val="008F6477"/>
    <w:rsid w:val="009106C8"/>
    <w:rsid w:val="00911A62"/>
    <w:rsid w:val="009141D2"/>
    <w:rsid w:val="00915E36"/>
    <w:rsid w:val="00923278"/>
    <w:rsid w:val="00925451"/>
    <w:rsid w:val="00931C1C"/>
    <w:rsid w:val="009408B9"/>
    <w:rsid w:val="00943BC6"/>
    <w:rsid w:val="00956D7A"/>
    <w:rsid w:val="009605A6"/>
    <w:rsid w:val="00970035"/>
    <w:rsid w:val="00982281"/>
    <w:rsid w:val="009830FF"/>
    <w:rsid w:val="0098580B"/>
    <w:rsid w:val="00985C76"/>
    <w:rsid w:val="009872F0"/>
    <w:rsid w:val="0099377B"/>
    <w:rsid w:val="00994F9F"/>
    <w:rsid w:val="00995BAB"/>
    <w:rsid w:val="009A528E"/>
    <w:rsid w:val="009A6B22"/>
    <w:rsid w:val="009D3000"/>
    <w:rsid w:val="009D6522"/>
    <w:rsid w:val="009E3928"/>
    <w:rsid w:val="009E39EA"/>
    <w:rsid w:val="009F70D2"/>
    <w:rsid w:val="00A03DE4"/>
    <w:rsid w:val="00A077B3"/>
    <w:rsid w:val="00A24FED"/>
    <w:rsid w:val="00A329BA"/>
    <w:rsid w:val="00A51C6B"/>
    <w:rsid w:val="00A60AC1"/>
    <w:rsid w:val="00A60FC2"/>
    <w:rsid w:val="00A712C9"/>
    <w:rsid w:val="00A72F46"/>
    <w:rsid w:val="00A90AD4"/>
    <w:rsid w:val="00AA1A4F"/>
    <w:rsid w:val="00AA50B5"/>
    <w:rsid w:val="00AA6B08"/>
    <w:rsid w:val="00AA6E21"/>
    <w:rsid w:val="00AB32C2"/>
    <w:rsid w:val="00AB362E"/>
    <w:rsid w:val="00AB52E8"/>
    <w:rsid w:val="00AB6097"/>
    <w:rsid w:val="00AC2B1E"/>
    <w:rsid w:val="00AC7FB0"/>
    <w:rsid w:val="00AE477D"/>
    <w:rsid w:val="00AF1792"/>
    <w:rsid w:val="00AF5125"/>
    <w:rsid w:val="00B039DD"/>
    <w:rsid w:val="00B03B6F"/>
    <w:rsid w:val="00B10A6D"/>
    <w:rsid w:val="00B17BB5"/>
    <w:rsid w:val="00B31E6D"/>
    <w:rsid w:val="00B335D6"/>
    <w:rsid w:val="00B41DAB"/>
    <w:rsid w:val="00B61544"/>
    <w:rsid w:val="00B64098"/>
    <w:rsid w:val="00B645E8"/>
    <w:rsid w:val="00B70D46"/>
    <w:rsid w:val="00B7168C"/>
    <w:rsid w:val="00B83892"/>
    <w:rsid w:val="00B96DA1"/>
    <w:rsid w:val="00B9775A"/>
    <w:rsid w:val="00B977CB"/>
    <w:rsid w:val="00BA108A"/>
    <w:rsid w:val="00BB555B"/>
    <w:rsid w:val="00BD04BE"/>
    <w:rsid w:val="00BD2F88"/>
    <w:rsid w:val="00BD475D"/>
    <w:rsid w:val="00BD4D62"/>
    <w:rsid w:val="00BE2B69"/>
    <w:rsid w:val="00BE4E23"/>
    <w:rsid w:val="00BF7EF3"/>
    <w:rsid w:val="00C056F3"/>
    <w:rsid w:val="00C1129F"/>
    <w:rsid w:val="00C153B3"/>
    <w:rsid w:val="00C43202"/>
    <w:rsid w:val="00C531CD"/>
    <w:rsid w:val="00C54343"/>
    <w:rsid w:val="00C720CE"/>
    <w:rsid w:val="00C80ACA"/>
    <w:rsid w:val="00C81D2C"/>
    <w:rsid w:val="00C8399C"/>
    <w:rsid w:val="00C931F0"/>
    <w:rsid w:val="00C97530"/>
    <w:rsid w:val="00CB0C2D"/>
    <w:rsid w:val="00CB52AA"/>
    <w:rsid w:val="00CC08FC"/>
    <w:rsid w:val="00CC3051"/>
    <w:rsid w:val="00CC3867"/>
    <w:rsid w:val="00CC7033"/>
    <w:rsid w:val="00CC7437"/>
    <w:rsid w:val="00CE7087"/>
    <w:rsid w:val="00CF021B"/>
    <w:rsid w:val="00CF3C12"/>
    <w:rsid w:val="00CF494A"/>
    <w:rsid w:val="00CF56A7"/>
    <w:rsid w:val="00D00EF0"/>
    <w:rsid w:val="00D01402"/>
    <w:rsid w:val="00D07549"/>
    <w:rsid w:val="00D17FA0"/>
    <w:rsid w:val="00D3467D"/>
    <w:rsid w:val="00D36122"/>
    <w:rsid w:val="00D41994"/>
    <w:rsid w:val="00D465C0"/>
    <w:rsid w:val="00D46733"/>
    <w:rsid w:val="00D474B0"/>
    <w:rsid w:val="00D5173C"/>
    <w:rsid w:val="00D51CE4"/>
    <w:rsid w:val="00D51E13"/>
    <w:rsid w:val="00D56735"/>
    <w:rsid w:val="00D6136A"/>
    <w:rsid w:val="00D64955"/>
    <w:rsid w:val="00D70B1B"/>
    <w:rsid w:val="00D7600E"/>
    <w:rsid w:val="00D778C7"/>
    <w:rsid w:val="00D82A5C"/>
    <w:rsid w:val="00D84034"/>
    <w:rsid w:val="00D94799"/>
    <w:rsid w:val="00DC44DF"/>
    <w:rsid w:val="00DC62B4"/>
    <w:rsid w:val="00DD1D97"/>
    <w:rsid w:val="00DD5873"/>
    <w:rsid w:val="00DD6D97"/>
    <w:rsid w:val="00DE0EB0"/>
    <w:rsid w:val="00DE440A"/>
    <w:rsid w:val="00DE59B2"/>
    <w:rsid w:val="00DF5A08"/>
    <w:rsid w:val="00E02183"/>
    <w:rsid w:val="00E04171"/>
    <w:rsid w:val="00E10F69"/>
    <w:rsid w:val="00E1186A"/>
    <w:rsid w:val="00E14B61"/>
    <w:rsid w:val="00E17957"/>
    <w:rsid w:val="00E32BEF"/>
    <w:rsid w:val="00E34377"/>
    <w:rsid w:val="00E34A07"/>
    <w:rsid w:val="00E35557"/>
    <w:rsid w:val="00E40457"/>
    <w:rsid w:val="00E43C57"/>
    <w:rsid w:val="00E46827"/>
    <w:rsid w:val="00E46D13"/>
    <w:rsid w:val="00E5738C"/>
    <w:rsid w:val="00E67A99"/>
    <w:rsid w:val="00E72B60"/>
    <w:rsid w:val="00E84AE6"/>
    <w:rsid w:val="00E87648"/>
    <w:rsid w:val="00E97A83"/>
    <w:rsid w:val="00EA2705"/>
    <w:rsid w:val="00EC09EF"/>
    <w:rsid w:val="00EF2DB7"/>
    <w:rsid w:val="00EF47F3"/>
    <w:rsid w:val="00F024A7"/>
    <w:rsid w:val="00F10F62"/>
    <w:rsid w:val="00F13E6F"/>
    <w:rsid w:val="00F14322"/>
    <w:rsid w:val="00F201B3"/>
    <w:rsid w:val="00F318B4"/>
    <w:rsid w:val="00F32450"/>
    <w:rsid w:val="00F328A4"/>
    <w:rsid w:val="00F32DDA"/>
    <w:rsid w:val="00F36710"/>
    <w:rsid w:val="00F50B28"/>
    <w:rsid w:val="00F528C1"/>
    <w:rsid w:val="00F571E6"/>
    <w:rsid w:val="00F625C8"/>
    <w:rsid w:val="00F65226"/>
    <w:rsid w:val="00F6598B"/>
    <w:rsid w:val="00F764B1"/>
    <w:rsid w:val="00F87C28"/>
    <w:rsid w:val="00F9475F"/>
    <w:rsid w:val="00F95942"/>
    <w:rsid w:val="00F961EA"/>
    <w:rsid w:val="00FA17F6"/>
    <w:rsid w:val="00FB515C"/>
    <w:rsid w:val="00FB5B60"/>
    <w:rsid w:val="00FC6971"/>
    <w:rsid w:val="00FC6ABA"/>
    <w:rsid w:val="00FD0A9E"/>
    <w:rsid w:val="00FD7A35"/>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semiHidden/>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semiHidden/>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basedOn w:val="a0"/>
    <w:uiPriority w:val="99"/>
    <w:semiHidden/>
    <w:unhideWhenUsed/>
    <w:rsid w:val="00126438"/>
    <w:rPr>
      <w:vertAlign w:val="superscript"/>
    </w:rPr>
  </w:style>
  <w:style w:type="paragraph" w:styleId="af4">
    <w:name w:val="List Paragraph"/>
    <w:basedOn w:val="a"/>
    <w:uiPriority w:val="34"/>
    <w:qFormat/>
    <w:rsid w:val="001E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DA92-68AE-43DD-9718-17A4A6F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2023-05-22T16:47:00Z</cp:lastPrinted>
  <dcterms:created xsi:type="dcterms:W3CDTF">2023-05-29T12:02:00Z</dcterms:created>
  <dcterms:modified xsi:type="dcterms:W3CDTF">2023-05-30T11:19:00Z</dcterms:modified>
</cp:coreProperties>
</file>