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DE070" w14:textId="77777777" w:rsidR="00A3646C" w:rsidRPr="00E51F45" w:rsidRDefault="00A3646C" w:rsidP="00A3646C">
      <w:pPr>
        <w:pStyle w:val="cn"/>
        <w:spacing w:line="276" w:lineRule="auto"/>
        <w:rPr>
          <w:lang w:val="ro-MD"/>
        </w:rPr>
      </w:pPr>
      <w:r w:rsidRPr="004E2815">
        <w:rPr>
          <w:noProof/>
          <w:lang w:val="ru-RU" w:eastAsia="ru-RU"/>
        </w:rPr>
        <w:drawing>
          <wp:inline distT="0" distB="0" distL="0" distR="0" wp14:anchorId="792B9A94" wp14:editId="18D60D77">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5EE81854" w14:textId="77777777" w:rsidR="00A3646C" w:rsidRPr="00E51F45" w:rsidRDefault="00A3646C" w:rsidP="00A3646C">
      <w:pPr>
        <w:spacing w:after="0" w:line="276" w:lineRule="auto"/>
        <w:jc w:val="center"/>
        <w:rPr>
          <w:rFonts w:ascii="Times New Roman" w:eastAsia="Times New Roman" w:hAnsi="Times New Roman" w:cs="Times New Roman"/>
          <w:b/>
          <w:bCs/>
          <w:sz w:val="24"/>
          <w:szCs w:val="24"/>
          <w:lang w:val="ro-MD"/>
        </w:rPr>
      </w:pPr>
    </w:p>
    <w:p w14:paraId="08FA413C" w14:textId="77777777" w:rsidR="00A3646C" w:rsidRPr="00D46463" w:rsidRDefault="00A3646C" w:rsidP="00A3646C">
      <w:pPr>
        <w:spacing w:after="0" w:line="276" w:lineRule="auto"/>
        <w:jc w:val="center"/>
        <w:rPr>
          <w:rFonts w:ascii="Calibri Light" w:eastAsia="Times New Roman" w:hAnsi="Calibri Light" w:cs="Calibri Light"/>
          <w:bCs/>
          <w:sz w:val="32"/>
          <w:szCs w:val="32"/>
          <w:lang w:val="ro-MD"/>
        </w:rPr>
      </w:pPr>
      <w:r w:rsidRPr="00D46463">
        <w:rPr>
          <w:rFonts w:ascii="Calibri Light" w:eastAsia="Times New Roman" w:hAnsi="Calibri Light" w:cs="Calibri Light"/>
          <w:bCs/>
          <w:sz w:val="32"/>
          <w:szCs w:val="32"/>
          <w:lang w:val="ro-MD"/>
        </w:rPr>
        <w:t>CURTEA DE CONTURI A REPUBLICII MOLDOVA</w:t>
      </w:r>
    </w:p>
    <w:p w14:paraId="03A551CC" w14:textId="77777777" w:rsidR="00A3646C" w:rsidRPr="00E51F45" w:rsidRDefault="00A3646C" w:rsidP="00A3646C">
      <w:pPr>
        <w:spacing w:after="0" w:line="276" w:lineRule="auto"/>
        <w:jc w:val="center"/>
        <w:rPr>
          <w:rFonts w:ascii="Calibri Light" w:eastAsia="Times New Roman" w:hAnsi="Calibri Light" w:cs="Calibri Light"/>
          <w:bCs/>
          <w:sz w:val="24"/>
          <w:szCs w:val="24"/>
          <w:lang w:val="ro-MD"/>
        </w:rPr>
      </w:pPr>
    </w:p>
    <w:p w14:paraId="783FBF05" w14:textId="4702EA57" w:rsidR="00A3646C" w:rsidRPr="00E51F45" w:rsidRDefault="00A3646C" w:rsidP="00D8467A">
      <w:pPr>
        <w:spacing w:after="0" w:line="276" w:lineRule="auto"/>
        <w:jc w:val="center"/>
        <w:rPr>
          <w:rFonts w:ascii="Calibri Light" w:eastAsia="Times New Roman" w:hAnsi="Calibri Light" w:cs="Calibri Light"/>
          <w:b/>
          <w:bCs/>
          <w:sz w:val="24"/>
          <w:szCs w:val="24"/>
          <w:lang w:val="ro-MD"/>
        </w:rPr>
      </w:pPr>
      <w:bookmarkStart w:id="0" w:name="_Toc450123757"/>
      <w:r w:rsidRPr="00E51F45">
        <w:rPr>
          <w:rFonts w:ascii="Calibri Light" w:eastAsia="Times New Roman" w:hAnsi="Calibri Light" w:cs="Calibri Light"/>
          <w:b/>
          <w:bCs/>
          <w:sz w:val="24"/>
          <w:szCs w:val="24"/>
          <w:lang w:val="ro-MD"/>
        </w:rPr>
        <w:t>H O T Ă R Â R E A nr.</w:t>
      </w:r>
      <w:bookmarkEnd w:id="0"/>
      <w:r w:rsidR="008107B5">
        <w:rPr>
          <w:rFonts w:ascii="Calibri Light" w:eastAsia="Times New Roman" w:hAnsi="Calibri Light" w:cs="Calibri Light"/>
          <w:b/>
          <w:bCs/>
          <w:sz w:val="24"/>
          <w:szCs w:val="24"/>
          <w:lang w:val="ro-MD"/>
        </w:rPr>
        <w:t xml:space="preserve"> </w:t>
      </w:r>
      <w:r w:rsidR="00CC2AAA">
        <w:rPr>
          <w:rFonts w:ascii="Calibri Light" w:eastAsia="Times New Roman" w:hAnsi="Calibri Light" w:cs="Calibri Light"/>
          <w:b/>
          <w:bCs/>
          <w:sz w:val="24"/>
          <w:szCs w:val="24"/>
          <w:lang w:val="ro-MD"/>
        </w:rPr>
        <w:t>41</w:t>
      </w:r>
    </w:p>
    <w:p w14:paraId="409020B2" w14:textId="3246E167" w:rsidR="00A3646C" w:rsidRPr="00E51F45" w:rsidRDefault="00A3646C" w:rsidP="00D8467A">
      <w:pPr>
        <w:spacing w:after="0" w:line="276" w:lineRule="auto"/>
        <w:jc w:val="center"/>
        <w:rPr>
          <w:rFonts w:ascii="Calibri Light" w:eastAsia="Times New Roman" w:hAnsi="Calibri Light" w:cs="Calibri Light"/>
          <w:bCs/>
          <w:sz w:val="24"/>
          <w:szCs w:val="24"/>
          <w:lang w:val="ro-MD"/>
        </w:rPr>
      </w:pPr>
      <w:r w:rsidRPr="00E51F45">
        <w:rPr>
          <w:rFonts w:ascii="Calibri Light" w:eastAsia="Times New Roman" w:hAnsi="Calibri Light" w:cs="Calibri Light"/>
          <w:bCs/>
          <w:sz w:val="24"/>
          <w:szCs w:val="24"/>
          <w:lang w:val="ro-MD"/>
        </w:rPr>
        <w:t xml:space="preserve">din </w:t>
      </w:r>
      <w:r w:rsidR="00D8467A">
        <w:rPr>
          <w:rFonts w:ascii="Calibri Light" w:eastAsia="Times New Roman" w:hAnsi="Calibri Light" w:cs="Calibri Light"/>
          <w:bCs/>
          <w:sz w:val="24"/>
          <w:szCs w:val="24"/>
          <w:lang w:val="ro-MD"/>
        </w:rPr>
        <w:t>28</w:t>
      </w:r>
      <w:r w:rsidR="00BD0FAF">
        <w:rPr>
          <w:rFonts w:ascii="Calibri Light" w:eastAsia="Times New Roman" w:hAnsi="Calibri Light" w:cs="Calibri Light"/>
          <w:bCs/>
          <w:sz w:val="24"/>
          <w:szCs w:val="24"/>
          <w:lang w:val="ro-MD"/>
        </w:rPr>
        <w:t xml:space="preserve"> </w:t>
      </w:r>
      <w:r w:rsidR="00E74FA6">
        <w:rPr>
          <w:rFonts w:ascii="Calibri Light" w:eastAsia="Times New Roman" w:hAnsi="Calibri Light" w:cs="Calibri Light"/>
          <w:bCs/>
          <w:sz w:val="24"/>
          <w:szCs w:val="24"/>
          <w:lang w:val="ro-MD"/>
        </w:rPr>
        <w:t>iulie 2023</w:t>
      </w:r>
    </w:p>
    <w:p w14:paraId="74432C7F" w14:textId="77777777" w:rsidR="00A3646C" w:rsidRPr="00E51F45" w:rsidRDefault="00A3646C" w:rsidP="00A3646C">
      <w:pPr>
        <w:spacing w:after="0" w:line="276" w:lineRule="auto"/>
        <w:jc w:val="center"/>
        <w:rPr>
          <w:rFonts w:ascii="Calibri Light" w:eastAsia="Times New Roman" w:hAnsi="Calibri Light" w:cs="Calibri Light"/>
          <w:bCs/>
          <w:sz w:val="24"/>
          <w:szCs w:val="24"/>
          <w:lang w:val="ro-MD"/>
        </w:rPr>
      </w:pPr>
    </w:p>
    <w:p w14:paraId="500EEA30" w14:textId="77777777" w:rsidR="00A3646C" w:rsidRPr="00E51F45" w:rsidRDefault="00A3646C" w:rsidP="00A3646C">
      <w:pPr>
        <w:spacing w:after="0" w:line="276" w:lineRule="auto"/>
        <w:jc w:val="center"/>
        <w:rPr>
          <w:rFonts w:asciiTheme="majorHAnsi" w:eastAsia="Times New Roman" w:hAnsiTheme="majorHAnsi" w:cs="Times New Roman"/>
          <w:b/>
          <w:bCs/>
          <w:sz w:val="24"/>
          <w:szCs w:val="24"/>
          <w:lang w:val="ro-MD" w:eastAsia="ru-RU"/>
        </w:rPr>
      </w:pPr>
      <w:r w:rsidRPr="00E51F45">
        <w:rPr>
          <w:rFonts w:asciiTheme="majorHAnsi" w:eastAsia="Times New Roman" w:hAnsiTheme="majorHAnsi" w:cs="Times New Roman"/>
          <w:b/>
          <w:bCs/>
          <w:sz w:val="24"/>
          <w:szCs w:val="24"/>
          <w:lang w:val="ro-MD" w:eastAsia="ru-RU"/>
        </w:rPr>
        <w:t>cu privire la Raportul auditului asupra rapoartelor financiare consolidate</w:t>
      </w:r>
    </w:p>
    <w:p w14:paraId="673B1C8F" w14:textId="7A23B283" w:rsidR="00A3646C" w:rsidRPr="00E51F45" w:rsidRDefault="00A3646C" w:rsidP="00D8467A">
      <w:pPr>
        <w:spacing w:after="0" w:line="276" w:lineRule="auto"/>
        <w:jc w:val="center"/>
        <w:rPr>
          <w:rFonts w:asciiTheme="majorHAnsi" w:eastAsia="Times New Roman" w:hAnsiTheme="majorHAnsi" w:cs="Times New Roman"/>
          <w:b/>
          <w:bCs/>
          <w:sz w:val="24"/>
          <w:szCs w:val="24"/>
          <w:lang w:val="ro-MD" w:eastAsia="ru-RU"/>
        </w:rPr>
      </w:pPr>
      <w:r w:rsidRPr="00E51F45">
        <w:rPr>
          <w:rFonts w:asciiTheme="majorHAnsi" w:eastAsia="Times New Roman" w:hAnsiTheme="majorHAnsi" w:cs="Times New Roman"/>
          <w:b/>
          <w:bCs/>
          <w:sz w:val="24"/>
          <w:szCs w:val="24"/>
          <w:lang w:val="ro-MD" w:eastAsia="ru-RU"/>
        </w:rPr>
        <w:t xml:space="preserve">ale Ministerului </w:t>
      </w:r>
      <w:r w:rsidR="00D8467A">
        <w:rPr>
          <w:rFonts w:asciiTheme="majorHAnsi" w:eastAsia="Times New Roman" w:hAnsiTheme="majorHAnsi" w:cs="Times New Roman"/>
          <w:b/>
          <w:bCs/>
          <w:sz w:val="24"/>
          <w:szCs w:val="24"/>
          <w:lang w:val="ro-MD" w:eastAsia="ru-RU"/>
        </w:rPr>
        <w:t>Educației și Cercetării</w:t>
      </w:r>
      <w:r w:rsidR="00E74FA6">
        <w:rPr>
          <w:rFonts w:asciiTheme="majorHAnsi" w:eastAsia="Times New Roman" w:hAnsiTheme="majorHAnsi" w:cs="Times New Roman"/>
          <w:b/>
          <w:bCs/>
          <w:sz w:val="24"/>
          <w:szCs w:val="24"/>
          <w:lang w:val="ro-MD" w:eastAsia="ru-RU"/>
        </w:rPr>
        <w:t xml:space="preserve"> încheiate la 31 decembrie 2022</w:t>
      </w:r>
    </w:p>
    <w:p w14:paraId="61C39415" w14:textId="77777777" w:rsidR="00A3646C" w:rsidRPr="008D5744" w:rsidRDefault="00A3646C" w:rsidP="00A3646C">
      <w:pPr>
        <w:spacing w:after="0" w:line="276" w:lineRule="auto"/>
        <w:jc w:val="center"/>
        <w:rPr>
          <w:rFonts w:asciiTheme="majorHAnsi" w:eastAsia="Times New Roman" w:hAnsiTheme="majorHAnsi" w:cs="Times New Roman"/>
          <w:b/>
          <w:bCs/>
          <w:sz w:val="24"/>
          <w:szCs w:val="24"/>
          <w:lang w:val="ro-MD" w:eastAsia="ru-RU"/>
        </w:rPr>
      </w:pPr>
    </w:p>
    <w:p w14:paraId="2714C651" w14:textId="3A463E2A" w:rsidR="00A3646C" w:rsidRPr="00E51F45" w:rsidRDefault="00A3646C" w:rsidP="009246FE">
      <w:pPr>
        <w:spacing w:after="0" w:line="276" w:lineRule="auto"/>
        <w:ind w:firstLine="567"/>
        <w:jc w:val="both"/>
        <w:rPr>
          <w:rFonts w:asciiTheme="majorHAnsi" w:eastAsia="Times New Roman" w:hAnsiTheme="majorHAnsi" w:cstheme="majorHAnsi"/>
          <w:bCs/>
          <w:sz w:val="24"/>
          <w:szCs w:val="24"/>
          <w:lang w:val="ro-MD" w:eastAsia="ru-RU"/>
        </w:rPr>
      </w:pPr>
      <w:r w:rsidRPr="00E51F45">
        <w:rPr>
          <w:rFonts w:asciiTheme="majorHAnsi" w:hAnsiTheme="majorHAnsi" w:cstheme="majorHAnsi"/>
          <w:sz w:val="24"/>
          <w:szCs w:val="24"/>
          <w:lang w:val="ro-MD"/>
        </w:rPr>
        <w:t xml:space="preserve">Curtea de Conturi, cu participarea </w:t>
      </w:r>
      <w:r w:rsidR="00B931A7" w:rsidRPr="000C5C21">
        <w:rPr>
          <w:rFonts w:asciiTheme="majorHAnsi" w:hAnsiTheme="majorHAnsi" w:cstheme="majorHAnsi"/>
          <w:sz w:val="24"/>
          <w:szCs w:val="24"/>
          <w:lang w:val="ro-MD"/>
        </w:rPr>
        <w:t>d</w:t>
      </w:r>
      <w:r w:rsidR="00140984">
        <w:rPr>
          <w:rFonts w:asciiTheme="majorHAnsi" w:hAnsiTheme="majorHAnsi" w:cstheme="majorHAnsi"/>
          <w:sz w:val="24"/>
          <w:szCs w:val="24"/>
          <w:lang w:val="ro-MD"/>
        </w:rPr>
        <w:t>nei</w:t>
      </w:r>
      <w:r w:rsidR="00B931A7" w:rsidRPr="000C5C21">
        <w:rPr>
          <w:rFonts w:asciiTheme="majorHAnsi" w:hAnsiTheme="majorHAnsi" w:cstheme="majorHAnsi"/>
          <w:sz w:val="24"/>
          <w:szCs w:val="24"/>
          <w:lang w:val="ro-MD"/>
        </w:rPr>
        <w:t xml:space="preserve"> </w:t>
      </w:r>
      <w:r w:rsidR="00140984">
        <w:rPr>
          <w:rFonts w:asciiTheme="majorHAnsi" w:hAnsiTheme="majorHAnsi" w:cstheme="majorHAnsi"/>
          <w:sz w:val="24"/>
          <w:szCs w:val="24"/>
          <w:lang w:val="ro-MD"/>
        </w:rPr>
        <w:t xml:space="preserve">Nadejda </w:t>
      </w:r>
      <w:proofErr w:type="spellStart"/>
      <w:r w:rsidR="00140984">
        <w:rPr>
          <w:rFonts w:asciiTheme="majorHAnsi" w:hAnsiTheme="majorHAnsi" w:cstheme="majorHAnsi"/>
          <w:sz w:val="24"/>
          <w:szCs w:val="24"/>
          <w:lang w:val="ro-MD"/>
        </w:rPr>
        <w:t>Velișco</w:t>
      </w:r>
      <w:proofErr w:type="spellEnd"/>
      <w:r w:rsidR="00140984">
        <w:rPr>
          <w:rFonts w:asciiTheme="majorHAnsi" w:hAnsiTheme="majorHAnsi" w:cstheme="majorHAnsi"/>
          <w:sz w:val="24"/>
          <w:szCs w:val="24"/>
          <w:lang w:val="ro-MD"/>
        </w:rPr>
        <w:t xml:space="preserve">, </w:t>
      </w:r>
      <w:r w:rsidR="003E1169">
        <w:rPr>
          <w:rFonts w:asciiTheme="majorHAnsi" w:hAnsiTheme="majorHAnsi" w:cstheme="majorHAnsi"/>
          <w:sz w:val="24"/>
          <w:szCs w:val="24"/>
          <w:lang w:val="ro-MD"/>
        </w:rPr>
        <w:t>S</w:t>
      </w:r>
      <w:r w:rsidR="00140984">
        <w:rPr>
          <w:rFonts w:asciiTheme="majorHAnsi" w:hAnsiTheme="majorHAnsi" w:cstheme="majorHAnsi"/>
          <w:sz w:val="24"/>
          <w:szCs w:val="24"/>
          <w:lang w:val="ro-MD"/>
        </w:rPr>
        <w:t xml:space="preserve">ecretară </w:t>
      </w:r>
      <w:r w:rsidR="003E1169">
        <w:rPr>
          <w:rFonts w:asciiTheme="majorHAnsi" w:hAnsiTheme="majorHAnsi" w:cstheme="majorHAnsi"/>
          <w:sz w:val="24"/>
          <w:szCs w:val="24"/>
          <w:lang w:val="ro-MD"/>
        </w:rPr>
        <w:t>G</w:t>
      </w:r>
      <w:r w:rsidR="00140984">
        <w:rPr>
          <w:rFonts w:asciiTheme="majorHAnsi" w:hAnsiTheme="majorHAnsi" w:cstheme="majorHAnsi"/>
          <w:sz w:val="24"/>
          <w:szCs w:val="24"/>
          <w:lang w:val="ro-MD"/>
        </w:rPr>
        <w:t>enerală</w:t>
      </w:r>
      <w:r w:rsidR="00C0104E" w:rsidRPr="009D568D">
        <w:rPr>
          <w:rFonts w:asciiTheme="majorHAnsi" w:hAnsiTheme="majorHAnsi" w:cstheme="majorHAnsi"/>
          <w:sz w:val="24"/>
          <w:szCs w:val="24"/>
          <w:lang w:val="ro-MD"/>
        </w:rPr>
        <w:t xml:space="preserve"> </w:t>
      </w:r>
      <w:r w:rsidR="00140984">
        <w:rPr>
          <w:rFonts w:asciiTheme="majorHAnsi" w:hAnsiTheme="majorHAnsi" w:cstheme="majorHAnsi"/>
          <w:sz w:val="24"/>
          <w:szCs w:val="24"/>
          <w:lang w:val="ro-MD"/>
        </w:rPr>
        <w:t>a Ministerului</w:t>
      </w:r>
      <w:r w:rsidR="00140984" w:rsidRPr="009D568D">
        <w:rPr>
          <w:rFonts w:asciiTheme="majorHAnsi" w:hAnsiTheme="majorHAnsi" w:cstheme="majorHAnsi"/>
          <w:sz w:val="24"/>
          <w:szCs w:val="24"/>
          <w:lang w:val="ro-MD"/>
        </w:rPr>
        <w:t xml:space="preserve"> </w:t>
      </w:r>
      <w:r w:rsidR="00D8467A">
        <w:rPr>
          <w:rFonts w:asciiTheme="majorHAnsi" w:eastAsia="Times New Roman" w:hAnsiTheme="majorHAnsi" w:cstheme="majorHAnsi"/>
          <w:bCs/>
          <w:sz w:val="24"/>
          <w:szCs w:val="24"/>
          <w:lang w:val="ro-MD" w:eastAsia="ru-RU"/>
        </w:rPr>
        <w:t>Educației și Cercetării</w:t>
      </w:r>
      <w:r w:rsidRPr="009D568D">
        <w:rPr>
          <w:rFonts w:asciiTheme="majorHAnsi" w:hAnsiTheme="majorHAnsi" w:cstheme="majorHAnsi"/>
          <w:sz w:val="24"/>
          <w:szCs w:val="24"/>
          <w:lang w:val="ro-MD"/>
        </w:rPr>
        <w:t xml:space="preserve">; </w:t>
      </w:r>
      <w:r w:rsidR="00677B34">
        <w:rPr>
          <w:rFonts w:asciiTheme="majorHAnsi" w:hAnsiTheme="majorHAnsi" w:cstheme="majorHAnsi"/>
          <w:sz w:val="24"/>
          <w:szCs w:val="24"/>
          <w:lang w:val="ro-MD"/>
        </w:rPr>
        <w:t>dnei</w:t>
      </w:r>
      <w:r w:rsidR="00677B34">
        <w:rPr>
          <w:rFonts w:asciiTheme="majorHAnsi" w:hAnsiTheme="majorHAnsi" w:cstheme="majorHAnsi"/>
          <w:sz w:val="24"/>
          <w:szCs w:val="24"/>
          <w:lang w:val="ro-MD"/>
        </w:rPr>
        <w:tab/>
      </w:r>
      <w:r w:rsidR="00677B34">
        <w:rPr>
          <w:rFonts w:asciiTheme="majorHAnsi" w:hAnsiTheme="majorHAnsi" w:cstheme="majorHAnsi"/>
          <w:sz w:val="24"/>
          <w:szCs w:val="24"/>
          <w:lang w:val="ro-RO"/>
        </w:rPr>
        <w:t xml:space="preserve">Adriana Cazacu-Țigaie, </w:t>
      </w:r>
      <w:r w:rsidR="003E1169">
        <w:rPr>
          <w:rFonts w:asciiTheme="majorHAnsi" w:hAnsiTheme="majorHAnsi" w:cstheme="majorHAnsi"/>
          <w:sz w:val="24"/>
          <w:szCs w:val="24"/>
          <w:lang w:val="ro-RO"/>
        </w:rPr>
        <w:t>S</w:t>
      </w:r>
      <w:r w:rsidR="00677B34">
        <w:rPr>
          <w:rFonts w:asciiTheme="majorHAnsi" w:hAnsiTheme="majorHAnsi" w:cstheme="majorHAnsi"/>
          <w:sz w:val="24"/>
          <w:szCs w:val="24"/>
          <w:lang w:val="ro-RO"/>
        </w:rPr>
        <w:t xml:space="preserve">ecretară de stat a </w:t>
      </w:r>
      <w:r w:rsidR="00677B34">
        <w:rPr>
          <w:rFonts w:asciiTheme="majorHAnsi" w:hAnsiTheme="majorHAnsi" w:cstheme="majorHAnsi"/>
          <w:sz w:val="24"/>
          <w:szCs w:val="24"/>
          <w:lang w:val="ro-MD"/>
        </w:rPr>
        <w:t>Ministerului</w:t>
      </w:r>
      <w:r w:rsidR="00677B34" w:rsidRPr="009D568D">
        <w:rPr>
          <w:rFonts w:asciiTheme="majorHAnsi" w:hAnsiTheme="majorHAnsi" w:cstheme="majorHAnsi"/>
          <w:sz w:val="24"/>
          <w:szCs w:val="24"/>
          <w:lang w:val="ro-MD"/>
        </w:rPr>
        <w:t xml:space="preserve"> </w:t>
      </w:r>
      <w:r w:rsidR="00677B34">
        <w:rPr>
          <w:rFonts w:asciiTheme="majorHAnsi" w:eastAsia="Times New Roman" w:hAnsiTheme="majorHAnsi" w:cstheme="majorHAnsi"/>
          <w:bCs/>
          <w:sz w:val="24"/>
          <w:szCs w:val="24"/>
          <w:lang w:val="ro-MD" w:eastAsia="ru-RU"/>
        </w:rPr>
        <w:t xml:space="preserve">Educației și Cercetării; dlui Sergiu </w:t>
      </w:r>
      <w:proofErr w:type="spellStart"/>
      <w:r w:rsidR="00677B34">
        <w:rPr>
          <w:rFonts w:asciiTheme="majorHAnsi" w:eastAsia="Times New Roman" w:hAnsiTheme="majorHAnsi" w:cstheme="majorHAnsi"/>
          <w:bCs/>
          <w:sz w:val="24"/>
          <w:szCs w:val="24"/>
          <w:lang w:val="ro-MD" w:eastAsia="ru-RU"/>
        </w:rPr>
        <w:t>Gurin</w:t>
      </w:r>
      <w:proofErr w:type="spellEnd"/>
      <w:r w:rsidR="00677B34">
        <w:rPr>
          <w:rFonts w:asciiTheme="majorHAnsi" w:eastAsia="Times New Roman" w:hAnsiTheme="majorHAnsi" w:cstheme="majorHAnsi"/>
          <w:bCs/>
          <w:sz w:val="24"/>
          <w:szCs w:val="24"/>
          <w:lang w:val="ro-MD" w:eastAsia="ru-RU"/>
        </w:rPr>
        <w:t xml:space="preserve">, </w:t>
      </w:r>
      <w:r w:rsidR="003E1169">
        <w:rPr>
          <w:rFonts w:asciiTheme="majorHAnsi" w:eastAsia="Times New Roman" w:hAnsiTheme="majorHAnsi" w:cstheme="majorHAnsi"/>
          <w:bCs/>
          <w:sz w:val="24"/>
          <w:szCs w:val="24"/>
          <w:lang w:val="ro-MD" w:eastAsia="ru-RU"/>
        </w:rPr>
        <w:t>S</w:t>
      </w:r>
      <w:r w:rsidR="00677B34">
        <w:rPr>
          <w:rFonts w:asciiTheme="majorHAnsi" w:eastAsia="Times New Roman" w:hAnsiTheme="majorHAnsi" w:cstheme="majorHAnsi"/>
          <w:bCs/>
          <w:sz w:val="24"/>
          <w:szCs w:val="24"/>
          <w:lang w:val="ro-MD" w:eastAsia="ru-RU"/>
        </w:rPr>
        <w:t>ecretar de stat a</w:t>
      </w:r>
      <w:r w:rsidR="003E1169">
        <w:rPr>
          <w:rFonts w:asciiTheme="majorHAnsi" w:eastAsia="Times New Roman" w:hAnsiTheme="majorHAnsi" w:cstheme="majorHAnsi"/>
          <w:bCs/>
          <w:sz w:val="24"/>
          <w:szCs w:val="24"/>
          <w:lang w:val="ro-MD" w:eastAsia="ru-RU"/>
        </w:rPr>
        <w:t>l</w:t>
      </w:r>
      <w:r w:rsidR="00677B34">
        <w:rPr>
          <w:rFonts w:asciiTheme="majorHAnsi" w:eastAsia="Times New Roman" w:hAnsiTheme="majorHAnsi" w:cstheme="majorHAnsi"/>
          <w:bCs/>
          <w:sz w:val="24"/>
          <w:szCs w:val="24"/>
          <w:lang w:val="ro-MD" w:eastAsia="ru-RU"/>
        </w:rPr>
        <w:t xml:space="preserve"> </w:t>
      </w:r>
      <w:r w:rsidR="00677B34">
        <w:rPr>
          <w:rFonts w:asciiTheme="majorHAnsi" w:hAnsiTheme="majorHAnsi" w:cstheme="majorHAnsi"/>
          <w:sz w:val="24"/>
          <w:szCs w:val="24"/>
          <w:lang w:val="ro-MD"/>
        </w:rPr>
        <w:t>Ministerului</w:t>
      </w:r>
      <w:r w:rsidR="00677B34" w:rsidRPr="009D568D">
        <w:rPr>
          <w:rFonts w:asciiTheme="majorHAnsi" w:hAnsiTheme="majorHAnsi" w:cstheme="majorHAnsi"/>
          <w:sz w:val="24"/>
          <w:szCs w:val="24"/>
          <w:lang w:val="ro-MD"/>
        </w:rPr>
        <w:t xml:space="preserve"> </w:t>
      </w:r>
      <w:r w:rsidR="00677B34">
        <w:rPr>
          <w:rFonts w:asciiTheme="majorHAnsi" w:eastAsia="Times New Roman" w:hAnsiTheme="majorHAnsi" w:cstheme="majorHAnsi"/>
          <w:bCs/>
          <w:sz w:val="24"/>
          <w:szCs w:val="24"/>
          <w:lang w:val="ro-MD" w:eastAsia="ru-RU"/>
        </w:rPr>
        <w:t>Educației și Cercetării; dlui Petru Griciuc, director adjunct al Serviciului Fiscal de Stat; dlui Valerian Bobu, director general adjunct al Agenției Proprietății Publice;</w:t>
      </w:r>
      <w:r w:rsidR="00677B34" w:rsidRPr="009D568D">
        <w:rPr>
          <w:rFonts w:asciiTheme="majorHAnsi" w:eastAsia="Times New Roman" w:hAnsiTheme="majorHAnsi" w:cstheme="majorHAnsi"/>
          <w:bCs/>
          <w:sz w:val="24"/>
          <w:szCs w:val="24"/>
          <w:lang w:val="ro-MD" w:eastAsia="ru-RU"/>
        </w:rPr>
        <w:t xml:space="preserve"> </w:t>
      </w:r>
      <w:r w:rsidR="00D8467A">
        <w:rPr>
          <w:rFonts w:asciiTheme="majorHAnsi" w:eastAsia="Times New Roman" w:hAnsiTheme="majorHAnsi" w:cstheme="majorHAnsi"/>
          <w:bCs/>
          <w:sz w:val="24"/>
          <w:szCs w:val="24"/>
          <w:lang w:val="ro-MD" w:eastAsia="ru-RU"/>
        </w:rPr>
        <w:t>dnei</w:t>
      </w:r>
      <w:r w:rsidR="008107B5" w:rsidRPr="008107B5">
        <w:rPr>
          <w:rFonts w:asciiTheme="majorHAnsi" w:eastAsia="Times New Roman" w:hAnsiTheme="majorHAnsi" w:cstheme="majorHAnsi"/>
          <w:bCs/>
          <w:sz w:val="24"/>
          <w:szCs w:val="24"/>
          <w:lang w:val="ro-MD" w:eastAsia="ru-RU"/>
        </w:rPr>
        <w:t xml:space="preserve"> </w:t>
      </w:r>
      <w:r w:rsidR="008107B5" w:rsidRPr="008107B5">
        <w:rPr>
          <w:rFonts w:asciiTheme="majorHAnsi" w:eastAsia="Times New Roman" w:hAnsiTheme="majorHAnsi" w:cstheme="majorHAnsi"/>
          <w:sz w:val="24"/>
          <w:szCs w:val="24"/>
        </w:rPr>
        <w:t xml:space="preserve">Olga </w:t>
      </w:r>
      <w:r w:rsidR="00677B34">
        <w:rPr>
          <w:rFonts w:asciiTheme="majorHAnsi" w:eastAsia="Times New Roman" w:hAnsiTheme="majorHAnsi" w:cstheme="majorHAnsi"/>
          <w:sz w:val="24"/>
          <w:szCs w:val="24"/>
        </w:rPr>
        <w:t>Rusnac</w:t>
      </w:r>
      <w:r w:rsidR="008107B5">
        <w:rPr>
          <w:rFonts w:asciiTheme="majorHAnsi" w:eastAsia="Times New Roman" w:hAnsiTheme="majorHAnsi" w:cstheme="majorHAnsi"/>
          <w:sz w:val="24"/>
          <w:szCs w:val="24"/>
        </w:rPr>
        <w:t xml:space="preserve">, </w:t>
      </w:r>
      <w:r w:rsidR="00677B34">
        <w:rPr>
          <w:rFonts w:asciiTheme="majorHAnsi" w:eastAsia="Times New Roman" w:hAnsiTheme="majorHAnsi" w:cstheme="majorHAnsi"/>
          <w:sz w:val="24"/>
          <w:szCs w:val="24"/>
          <w:lang w:val="ro-MD"/>
        </w:rPr>
        <w:t>șefa</w:t>
      </w:r>
      <w:r w:rsidR="008107B5" w:rsidRPr="008107B5">
        <w:rPr>
          <w:rFonts w:asciiTheme="majorHAnsi" w:hAnsiTheme="majorHAnsi" w:cstheme="majorHAnsi"/>
          <w:sz w:val="24"/>
          <w:szCs w:val="24"/>
          <w:lang w:val="ro-MD"/>
        </w:rPr>
        <w:t xml:space="preserve"> </w:t>
      </w:r>
      <w:r w:rsidR="008107B5" w:rsidRPr="008107B5">
        <w:rPr>
          <w:rFonts w:asciiTheme="majorHAnsi" w:eastAsia="Times New Roman" w:hAnsiTheme="majorHAnsi" w:cstheme="majorHAnsi"/>
          <w:sz w:val="24"/>
          <w:szCs w:val="24"/>
          <w:lang w:val="ro-MD"/>
        </w:rPr>
        <w:t>Direcți</w:t>
      </w:r>
      <w:r w:rsidR="00677B34">
        <w:rPr>
          <w:rFonts w:asciiTheme="majorHAnsi" w:eastAsia="Times New Roman" w:hAnsiTheme="majorHAnsi" w:cstheme="majorHAnsi"/>
          <w:sz w:val="24"/>
          <w:szCs w:val="24"/>
          <w:lang w:val="ro-MD"/>
        </w:rPr>
        <w:t>ei</w:t>
      </w:r>
      <w:r w:rsidR="008107B5" w:rsidRPr="008107B5">
        <w:rPr>
          <w:rFonts w:asciiTheme="majorHAnsi" w:eastAsia="Times New Roman" w:hAnsiTheme="majorHAnsi" w:cstheme="majorHAnsi"/>
          <w:sz w:val="24"/>
          <w:szCs w:val="24"/>
          <w:lang w:val="ro-MD"/>
        </w:rPr>
        <w:t xml:space="preserve"> finanțele în educație, cultură și cercetare</w:t>
      </w:r>
      <w:r w:rsidR="00D37C71">
        <w:rPr>
          <w:rFonts w:asciiTheme="majorHAnsi" w:eastAsia="Times New Roman" w:hAnsiTheme="majorHAnsi" w:cstheme="majorHAnsi"/>
          <w:sz w:val="24"/>
          <w:szCs w:val="24"/>
          <w:lang w:val="ro-MD"/>
        </w:rPr>
        <w:t xml:space="preserve"> a</w:t>
      </w:r>
      <w:r w:rsidR="008107B5" w:rsidRPr="008107B5">
        <w:rPr>
          <w:rFonts w:asciiTheme="majorHAnsi" w:eastAsia="Times New Roman" w:hAnsiTheme="majorHAnsi" w:cstheme="majorHAnsi"/>
          <w:sz w:val="24"/>
          <w:szCs w:val="24"/>
          <w:lang w:val="ro-MD"/>
        </w:rPr>
        <w:t xml:space="preserve"> Ministerul</w:t>
      </w:r>
      <w:r w:rsidR="00D37C71">
        <w:rPr>
          <w:rFonts w:asciiTheme="majorHAnsi" w:eastAsia="Times New Roman" w:hAnsiTheme="majorHAnsi" w:cstheme="majorHAnsi"/>
          <w:sz w:val="24"/>
          <w:szCs w:val="24"/>
          <w:lang w:val="ro-MD"/>
        </w:rPr>
        <w:t xml:space="preserve">ui </w:t>
      </w:r>
      <w:r w:rsidR="008107B5" w:rsidRPr="008107B5">
        <w:rPr>
          <w:rFonts w:asciiTheme="majorHAnsi" w:eastAsia="Times New Roman" w:hAnsiTheme="majorHAnsi" w:cstheme="majorHAnsi"/>
          <w:sz w:val="24"/>
          <w:szCs w:val="24"/>
          <w:lang w:val="ro-MD"/>
        </w:rPr>
        <w:t xml:space="preserve"> Finanțelor; </w:t>
      </w:r>
      <w:r w:rsidR="00677B34">
        <w:rPr>
          <w:rFonts w:asciiTheme="majorHAnsi" w:eastAsia="Times New Roman" w:hAnsiTheme="majorHAnsi" w:cstheme="majorHAnsi"/>
          <w:color w:val="000000"/>
          <w:sz w:val="24"/>
          <w:szCs w:val="24"/>
          <w:lang w:val="ro-MD" w:bidi="th-TH"/>
        </w:rPr>
        <w:t xml:space="preserve">dnei Mariana </w:t>
      </w:r>
      <w:proofErr w:type="spellStart"/>
      <w:r w:rsidR="00677B34">
        <w:rPr>
          <w:rFonts w:asciiTheme="majorHAnsi" w:eastAsia="Times New Roman" w:hAnsiTheme="majorHAnsi" w:cstheme="majorHAnsi"/>
          <w:color w:val="000000"/>
          <w:sz w:val="24"/>
          <w:szCs w:val="24"/>
          <w:lang w:val="ro-MD" w:bidi="th-TH"/>
        </w:rPr>
        <w:t>Doroșenco</w:t>
      </w:r>
      <w:proofErr w:type="spellEnd"/>
      <w:r w:rsidR="00677B34">
        <w:rPr>
          <w:rFonts w:asciiTheme="majorHAnsi" w:eastAsia="Times New Roman" w:hAnsiTheme="majorHAnsi" w:cstheme="majorHAnsi"/>
          <w:color w:val="000000"/>
          <w:sz w:val="24"/>
          <w:szCs w:val="24"/>
          <w:lang w:val="ro-MD" w:bidi="th-TH"/>
        </w:rPr>
        <w:t>, consultantă principală în Direcți</w:t>
      </w:r>
      <w:r w:rsidR="003E1169">
        <w:rPr>
          <w:rFonts w:asciiTheme="majorHAnsi" w:eastAsia="Times New Roman" w:hAnsiTheme="majorHAnsi" w:cstheme="majorHAnsi"/>
          <w:color w:val="000000"/>
          <w:sz w:val="24"/>
          <w:szCs w:val="24"/>
          <w:lang w:val="ro-MD" w:bidi="th-TH"/>
        </w:rPr>
        <w:t xml:space="preserve">a </w:t>
      </w:r>
      <w:r w:rsidR="00677B34">
        <w:rPr>
          <w:rFonts w:asciiTheme="majorHAnsi" w:eastAsia="Times New Roman" w:hAnsiTheme="majorHAnsi" w:cstheme="majorHAnsi"/>
          <w:color w:val="000000"/>
          <w:sz w:val="24"/>
          <w:szCs w:val="24"/>
          <w:lang w:val="ro-MD" w:bidi="th-TH"/>
        </w:rPr>
        <w:t xml:space="preserve"> monitorizare și control a Cancelariei de Stat</w:t>
      </w:r>
      <w:r w:rsidR="00390B95">
        <w:rPr>
          <w:rFonts w:asciiTheme="majorHAnsi" w:eastAsia="Times New Roman" w:hAnsiTheme="majorHAnsi" w:cstheme="majorHAnsi"/>
          <w:color w:val="000000"/>
          <w:sz w:val="24"/>
          <w:szCs w:val="24"/>
          <w:lang w:val="ro-MD" w:bidi="th-TH"/>
        </w:rPr>
        <w:t>,</w:t>
      </w:r>
      <w:r w:rsidRPr="009D568D">
        <w:rPr>
          <w:rFonts w:asciiTheme="majorHAnsi" w:eastAsia="Times New Roman" w:hAnsiTheme="majorHAnsi" w:cstheme="majorHAnsi"/>
          <w:bCs/>
          <w:sz w:val="24"/>
          <w:szCs w:val="24"/>
          <w:lang w:val="ro-MD" w:eastAsia="ru-RU"/>
        </w:rPr>
        <w:t xml:space="preserve"> </w:t>
      </w:r>
      <w:r w:rsidRPr="009D568D">
        <w:rPr>
          <w:rFonts w:asciiTheme="majorHAnsi" w:hAnsiTheme="majorHAnsi" w:cstheme="majorHAnsi"/>
          <w:iCs/>
          <w:sz w:val="24"/>
          <w:szCs w:val="24"/>
          <w:lang w:val="ro-MD"/>
        </w:rPr>
        <w:t>precum</w:t>
      </w:r>
      <w:r w:rsidRPr="009D568D">
        <w:rPr>
          <w:rFonts w:asciiTheme="majorHAnsi" w:eastAsia="Times New Roman" w:hAnsiTheme="majorHAnsi" w:cstheme="majorHAnsi"/>
          <w:sz w:val="24"/>
          <w:szCs w:val="24"/>
          <w:lang w:val="ro-MD"/>
        </w:rPr>
        <w:t xml:space="preserve"> și a altor persoane cu funcții de răspundere de la </w:t>
      </w:r>
      <w:r w:rsidR="00437BCE" w:rsidRPr="009D568D">
        <w:rPr>
          <w:rFonts w:asciiTheme="majorHAnsi" w:eastAsia="Times New Roman" w:hAnsiTheme="majorHAnsi" w:cstheme="majorHAnsi"/>
          <w:sz w:val="24"/>
          <w:szCs w:val="24"/>
          <w:lang w:val="ro-MD"/>
        </w:rPr>
        <w:t>Ministerul Finanțelor, Agenția Proprietății Publice</w:t>
      </w:r>
      <w:r w:rsidR="00677B34">
        <w:rPr>
          <w:rFonts w:asciiTheme="majorHAnsi" w:eastAsia="Times New Roman" w:hAnsiTheme="majorHAnsi" w:cstheme="majorHAnsi"/>
          <w:sz w:val="24"/>
          <w:szCs w:val="24"/>
          <w:lang w:val="ro-MD"/>
        </w:rPr>
        <w:t>, Cancelari</w:t>
      </w:r>
      <w:r w:rsidR="004666C4">
        <w:rPr>
          <w:rFonts w:asciiTheme="majorHAnsi" w:eastAsia="Times New Roman" w:hAnsiTheme="majorHAnsi" w:cstheme="majorHAnsi"/>
          <w:sz w:val="24"/>
          <w:szCs w:val="24"/>
          <w:lang w:val="ro-MD"/>
        </w:rPr>
        <w:t>a</w:t>
      </w:r>
      <w:r w:rsidR="00677B34">
        <w:rPr>
          <w:rFonts w:asciiTheme="majorHAnsi" w:eastAsia="Times New Roman" w:hAnsiTheme="majorHAnsi" w:cstheme="majorHAnsi"/>
          <w:sz w:val="24"/>
          <w:szCs w:val="24"/>
          <w:lang w:val="ro-MD"/>
        </w:rPr>
        <w:t xml:space="preserve"> de Stat</w:t>
      </w:r>
      <w:r w:rsidR="00437BCE" w:rsidRPr="009D568D">
        <w:rPr>
          <w:rFonts w:asciiTheme="majorHAnsi" w:eastAsia="Times New Roman" w:hAnsiTheme="majorHAnsi" w:cstheme="majorHAnsi"/>
          <w:sz w:val="24"/>
          <w:szCs w:val="24"/>
          <w:lang w:val="ro-MD"/>
        </w:rPr>
        <w:t xml:space="preserve"> </w:t>
      </w:r>
      <w:r w:rsidR="00BE5A66" w:rsidRPr="009D568D">
        <w:rPr>
          <w:rFonts w:asciiTheme="majorHAnsi" w:eastAsia="Times New Roman" w:hAnsiTheme="majorHAnsi" w:cstheme="majorHAnsi"/>
          <w:sz w:val="24"/>
          <w:szCs w:val="24"/>
          <w:lang w:val="ro-MD"/>
        </w:rPr>
        <w:t xml:space="preserve">și </w:t>
      </w:r>
      <w:r w:rsidRPr="009D568D">
        <w:rPr>
          <w:rFonts w:asciiTheme="majorHAnsi" w:eastAsia="Times New Roman" w:hAnsiTheme="majorHAnsi" w:cstheme="majorHAnsi"/>
          <w:sz w:val="24"/>
          <w:szCs w:val="24"/>
          <w:lang w:val="ro-MD"/>
        </w:rPr>
        <w:t xml:space="preserve">Ministerul </w:t>
      </w:r>
      <w:r w:rsidR="00D8467A">
        <w:rPr>
          <w:rFonts w:asciiTheme="majorHAnsi" w:eastAsia="Times New Roman" w:hAnsiTheme="majorHAnsi" w:cstheme="majorHAnsi"/>
          <w:sz w:val="24"/>
          <w:szCs w:val="24"/>
          <w:lang w:val="ro-MD"/>
        </w:rPr>
        <w:t>Educației și Cercetării</w:t>
      </w:r>
      <w:r w:rsidRPr="009D568D">
        <w:rPr>
          <w:rFonts w:asciiTheme="majorHAnsi" w:hAnsiTheme="majorHAnsi" w:cstheme="majorHAnsi"/>
          <w:sz w:val="24"/>
          <w:szCs w:val="24"/>
          <w:lang w:val="ro-MD"/>
        </w:rPr>
        <w:t>,</w:t>
      </w:r>
      <w:r w:rsidRPr="00E51F45">
        <w:rPr>
          <w:rFonts w:asciiTheme="majorHAnsi" w:hAnsiTheme="majorHAnsi" w:cstheme="majorHAnsi"/>
          <w:sz w:val="24"/>
          <w:szCs w:val="24"/>
          <w:lang w:val="ro-MD"/>
        </w:rPr>
        <w:t xml:space="preserve"> </w:t>
      </w:r>
      <w:r w:rsidR="0014498A">
        <w:rPr>
          <w:rFonts w:asciiTheme="majorHAnsi" w:hAnsiTheme="majorHAnsi" w:cstheme="majorHAnsi"/>
          <w:sz w:val="24"/>
          <w:szCs w:val="24"/>
          <w:lang w:val="ro-MD"/>
        </w:rPr>
        <w:t xml:space="preserve"> </w:t>
      </w:r>
      <w:r w:rsidRPr="00E51F45">
        <w:rPr>
          <w:rFonts w:asciiTheme="majorHAnsi" w:hAnsiTheme="majorHAnsi" w:cstheme="majorHAnsi"/>
          <w:noProof/>
          <w:sz w:val="24"/>
          <w:szCs w:val="24"/>
          <w:lang w:val="ro-MD"/>
        </w:rPr>
        <w:t>în cadrul ședinței video,</w:t>
      </w:r>
      <w:r w:rsidRPr="00E51F45">
        <w:rPr>
          <w:rFonts w:asciiTheme="majorHAnsi" w:hAnsiTheme="majorHAnsi" w:cstheme="majorHAnsi"/>
          <w:sz w:val="24"/>
          <w:szCs w:val="24"/>
          <w:lang w:val="ro-MD"/>
        </w:rPr>
        <w:t xml:space="preserve"> </w:t>
      </w:r>
      <w:r w:rsidRPr="00E51F45">
        <w:rPr>
          <w:rFonts w:asciiTheme="majorHAnsi" w:hAnsiTheme="majorHAnsi" w:cstheme="majorHAnsi"/>
          <w:noProof/>
          <w:sz w:val="24"/>
          <w:szCs w:val="24"/>
          <w:lang w:val="ro-MD"/>
        </w:rPr>
        <w:t>călăuzindu-se de art.3 alin.(1) și art.5 alin.(1) lit.a) din Legea privind organizarea și funcționarea Curții de Conturi a Republicii Moldova</w:t>
      </w:r>
      <w:r w:rsidRPr="00E51F45">
        <w:rPr>
          <w:rStyle w:val="ac"/>
          <w:rFonts w:asciiTheme="majorHAnsi" w:hAnsiTheme="majorHAnsi" w:cstheme="majorHAnsi"/>
          <w:noProof/>
          <w:sz w:val="24"/>
          <w:szCs w:val="24"/>
          <w:lang w:val="ro-MD"/>
        </w:rPr>
        <w:footnoteReference w:id="1"/>
      </w:r>
      <w:r w:rsidRPr="00E51F45">
        <w:rPr>
          <w:rFonts w:asciiTheme="majorHAnsi" w:hAnsiTheme="majorHAnsi" w:cstheme="majorHAnsi"/>
          <w:noProof/>
          <w:sz w:val="24"/>
          <w:szCs w:val="24"/>
          <w:lang w:val="ro-MD"/>
        </w:rPr>
        <w:t xml:space="preserve">, a examinat </w:t>
      </w:r>
      <w:r w:rsidRPr="00E51F45">
        <w:rPr>
          <w:rFonts w:asciiTheme="majorHAnsi" w:hAnsiTheme="majorHAnsi" w:cstheme="majorHAnsi"/>
          <w:sz w:val="24"/>
          <w:szCs w:val="24"/>
          <w:lang w:val="ro-MD"/>
        </w:rPr>
        <w:t xml:space="preserve">Raportul auditului </w:t>
      </w:r>
      <w:r w:rsidRPr="000C5C21">
        <w:rPr>
          <w:rFonts w:asciiTheme="majorHAnsi" w:eastAsia="Times New Roman" w:hAnsiTheme="majorHAnsi" w:cstheme="majorHAnsi"/>
          <w:bCs/>
          <w:sz w:val="24"/>
          <w:szCs w:val="24"/>
          <w:lang w:val="ro-MD" w:eastAsia="ru-RU"/>
        </w:rPr>
        <w:t>asupra rapoart</w:t>
      </w:r>
      <w:r w:rsidRPr="00E51F45">
        <w:rPr>
          <w:rFonts w:asciiTheme="majorHAnsi" w:eastAsia="Times New Roman" w:hAnsiTheme="majorHAnsi" w:cstheme="majorHAnsi"/>
          <w:bCs/>
          <w:sz w:val="24"/>
          <w:szCs w:val="24"/>
          <w:lang w:val="ro-MD" w:eastAsia="ru-RU"/>
        </w:rPr>
        <w:t xml:space="preserve">elor financiare consolidate ale Ministerului </w:t>
      </w:r>
      <w:r w:rsidR="00D8467A">
        <w:rPr>
          <w:rFonts w:asciiTheme="majorHAnsi" w:hAnsiTheme="majorHAnsi" w:cs="Times New Roman"/>
          <w:sz w:val="24"/>
          <w:szCs w:val="24"/>
          <w:lang w:val="ro-MD"/>
        </w:rPr>
        <w:t>Educației și Cercetării</w:t>
      </w:r>
      <w:r w:rsidR="00990E69" w:rsidRPr="00E51F45">
        <w:rPr>
          <w:rFonts w:asciiTheme="majorHAnsi" w:hAnsiTheme="majorHAnsi" w:cs="Times New Roman"/>
          <w:sz w:val="24"/>
          <w:szCs w:val="24"/>
          <w:lang w:val="ro-MD"/>
        </w:rPr>
        <w:t xml:space="preserve"> </w:t>
      </w:r>
      <w:r w:rsidR="00E74FA6">
        <w:rPr>
          <w:rFonts w:asciiTheme="majorHAnsi" w:eastAsia="Times New Roman" w:hAnsiTheme="majorHAnsi" w:cstheme="majorHAnsi"/>
          <w:bCs/>
          <w:sz w:val="24"/>
          <w:szCs w:val="24"/>
          <w:lang w:val="ro-MD" w:eastAsia="ru-RU"/>
        </w:rPr>
        <w:t>încheiate la 31 decembrie 2022</w:t>
      </w:r>
      <w:r w:rsidRPr="00E51F45">
        <w:rPr>
          <w:rFonts w:asciiTheme="majorHAnsi" w:eastAsia="Times New Roman" w:hAnsiTheme="majorHAnsi" w:cstheme="majorHAnsi"/>
          <w:bCs/>
          <w:sz w:val="24"/>
          <w:szCs w:val="24"/>
          <w:lang w:val="ro-MD" w:eastAsia="ru-RU"/>
        </w:rPr>
        <w:t>.</w:t>
      </w:r>
    </w:p>
    <w:p w14:paraId="6308DF59" w14:textId="05DF5981" w:rsidR="00A3646C" w:rsidRPr="00E51F45" w:rsidRDefault="00A3646C" w:rsidP="00D8467A">
      <w:pPr>
        <w:spacing w:after="0" w:line="276" w:lineRule="auto"/>
        <w:ind w:firstLine="567"/>
        <w:jc w:val="both"/>
        <w:rPr>
          <w:rFonts w:asciiTheme="majorHAnsi" w:hAnsiTheme="majorHAnsi" w:cs="Times New Roman"/>
          <w:sz w:val="24"/>
          <w:szCs w:val="24"/>
          <w:lang w:val="ro-MD"/>
        </w:rPr>
      </w:pPr>
      <w:r w:rsidRPr="00E51F45">
        <w:rPr>
          <w:rFonts w:asciiTheme="majorHAnsi" w:eastAsia="Times New Roman" w:hAnsiTheme="majorHAnsi" w:cs="Times New Roman"/>
          <w:sz w:val="24"/>
          <w:szCs w:val="24"/>
          <w:lang w:val="ro-MD" w:eastAsia="ro-MD"/>
        </w:rPr>
        <w:t xml:space="preserve">Misiunea de audit public extern a fost realizată conform </w:t>
      </w:r>
      <w:r w:rsidR="009535E3" w:rsidRPr="006B420A">
        <w:rPr>
          <w:rFonts w:asciiTheme="majorHAnsi" w:hAnsiTheme="majorHAnsi" w:cs="Times New Roman"/>
          <w:sz w:val="24"/>
          <w:szCs w:val="24"/>
          <w:lang w:val="ro-MD"/>
        </w:rPr>
        <w:t>Program</w:t>
      </w:r>
      <w:r w:rsidR="0014498A">
        <w:rPr>
          <w:rFonts w:asciiTheme="majorHAnsi" w:hAnsiTheme="majorHAnsi" w:cs="Times New Roman"/>
          <w:sz w:val="24"/>
          <w:szCs w:val="24"/>
          <w:lang w:val="ro-MD"/>
        </w:rPr>
        <w:t>elor</w:t>
      </w:r>
      <w:r w:rsidR="009535E3" w:rsidRPr="006B420A">
        <w:rPr>
          <w:rFonts w:asciiTheme="majorHAnsi" w:hAnsiTheme="majorHAnsi" w:cs="Times New Roman"/>
          <w:sz w:val="24"/>
          <w:szCs w:val="24"/>
          <w:lang w:val="ro-MD"/>
        </w:rPr>
        <w:t xml:space="preserve"> activității de audit a Curții de </w:t>
      </w:r>
      <w:r w:rsidR="009535E3" w:rsidRPr="0069311E">
        <w:rPr>
          <w:rFonts w:asciiTheme="majorHAnsi" w:hAnsiTheme="majorHAnsi" w:cs="Times New Roman"/>
          <w:sz w:val="24"/>
          <w:szCs w:val="24"/>
          <w:lang w:val="ro-MD"/>
        </w:rPr>
        <w:t xml:space="preserve">Conturi </w:t>
      </w:r>
      <w:r w:rsidR="009535E3" w:rsidRPr="00D80B18">
        <w:rPr>
          <w:rFonts w:asciiTheme="majorHAnsi" w:hAnsiTheme="majorHAnsi" w:cs="Times New Roman"/>
          <w:sz w:val="24"/>
          <w:szCs w:val="24"/>
          <w:lang w:val="ro-MD"/>
        </w:rPr>
        <w:t>pe a</w:t>
      </w:r>
      <w:r w:rsidR="002B5789">
        <w:rPr>
          <w:rFonts w:asciiTheme="majorHAnsi" w:hAnsiTheme="majorHAnsi" w:cs="Times New Roman"/>
          <w:sz w:val="24"/>
          <w:szCs w:val="24"/>
          <w:lang w:val="ro-MD"/>
        </w:rPr>
        <w:t>n</w:t>
      </w:r>
      <w:r w:rsidR="0014498A" w:rsidRPr="00D80B18">
        <w:rPr>
          <w:rFonts w:asciiTheme="majorHAnsi" w:hAnsiTheme="majorHAnsi" w:cs="Times New Roman"/>
          <w:sz w:val="24"/>
          <w:szCs w:val="24"/>
          <w:lang w:val="ro-MD"/>
        </w:rPr>
        <w:t>ii</w:t>
      </w:r>
      <w:r w:rsidR="00CC7AA0" w:rsidRPr="00D80B18">
        <w:rPr>
          <w:rFonts w:asciiTheme="majorHAnsi" w:hAnsiTheme="majorHAnsi" w:cs="Times New Roman"/>
          <w:sz w:val="24"/>
          <w:szCs w:val="24"/>
          <w:lang w:val="ro-MD"/>
        </w:rPr>
        <w:t xml:space="preserve"> 2022</w:t>
      </w:r>
      <w:r w:rsidR="008C109B" w:rsidRPr="00D80B18">
        <w:rPr>
          <w:rFonts w:asciiTheme="majorHAnsi" w:hAnsiTheme="majorHAnsi" w:cs="Times New Roman"/>
          <w:sz w:val="24"/>
          <w:szCs w:val="24"/>
          <w:lang w:val="ro-MD"/>
        </w:rPr>
        <w:t xml:space="preserve"> și 2023</w:t>
      </w:r>
      <w:r w:rsidR="0014498A" w:rsidRPr="0069311E">
        <w:rPr>
          <w:rStyle w:val="FootnoteReference1"/>
          <w:rFonts w:asciiTheme="majorHAnsi" w:hAnsiTheme="majorHAnsi" w:cstheme="majorHAnsi"/>
          <w:sz w:val="24"/>
          <w:szCs w:val="24"/>
        </w:rPr>
        <w:footnoteReference w:id="2"/>
      </w:r>
      <w:r w:rsidRPr="00D80B18">
        <w:rPr>
          <w:rFonts w:asciiTheme="majorHAnsi" w:hAnsiTheme="majorHAnsi" w:cs="Times New Roman"/>
          <w:sz w:val="24"/>
          <w:szCs w:val="24"/>
          <w:lang w:val="ro-MD"/>
        </w:rPr>
        <w:t>,</w:t>
      </w:r>
      <w:r w:rsidRPr="0069311E">
        <w:rPr>
          <w:rFonts w:asciiTheme="majorHAnsi" w:hAnsiTheme="majorHAnsi" w:cs="Times New Roman"/>
          <w:sz w:val="24"/>
          <w:szCs w:val="24"/>
          <w:lang w:val="ro-MD"/>
        </w:rPr>
        <w:t xml:space="preserve"> </w:t>
      </w:r>
      <w:r w:rsidRPr="0069311E">
        <w:rPr>
          <w:rFonts w:asciiTheme="majorHAnsi" w:eastAsia="Times New Roman" w:hAnsiTheme="majorHAnsi" w:cs="Times New Roman"/>
          <w:sz w:val="24"/>
          <w:szCs w:val="24"/>
          <w:lang w:val="ro-MD"/>
        </w:rPr>
        <w:t>având</w:t>
      </w:r>
      <w:r w:rsidRPr="00E51F45">
        <w:rPr>
          <w:rFonts w:asciiTheme="majorHAnsi" w:eastAsia="Times New Roman" w:hAnsiTheme="majorHAnsi" w:cs="Times New Roman"/>
          <w:sz w:val="24"/>
          <w:szCs w:val="24"/>
          <w:lang w:val="ro-MD"/>
        </w:rPr>
        <w:t xml:space="preserve"> drept scop </w:t>
      </w:r>
      <w:r w:rsidRPr="000C5C21">
        <w:rPr>
          <w:rFonts w:asciiTheme="majorHAnsi" w:hAnsiTheme="majorHAnsi" w:cs="Times New Roman"/>
          <w:sz w:val="24"/>
          <w:szCs w:val="24"/>
          <w:lang w:val="ro-MD"/>
        </w:rPr>
        <w:t xml:space="preserve">oferirea unei </w:t>
      </w:r>
      <w:r w:rsidRPr="00E51F45">
        <w:rPr>
          <w:rFonts w:asciiTheme="majorHAnsi" w:hAnsiTheme="majorHAnsi" w:cs="Times New Roman"/>
          <w:sz w:val="24"/>
          <w:szCs w:val="24"/>
          <w:lang w:val="ro-MD"/>
        </w:rPr>
        <w:t xml:space="preserve">asigurări rezonabile cu privire la faptul că rapoartele financiare consolidate ale Ministerului </w:t>
      </w:r>
      <w:r w:rsidR="00D8467A">
        <w:rPr>
          <w:rFonts w:asciiTheme="majorHAnsi" w:hAnsiTheme="majorHAnsi" w:cs="Times New Roman"/>
          <w:sz w:val="24"/>
          <w:szCs w:val="24"/>
          <w:lang w:val="ro-MD"/>
        </w:rPr>
        <w:t xml:space="preserve">Educației și Cercetării </w:t>
      </w:r>
      <w:r w:rsidR="00E74FA6">
        <w:rPr>
          <w:rFonts w:asciiTheme="majorHAnsi" w:hAnsiTheme="majorHAnsi" w:cs="Times New Roman"/>
          <w:sz w:val="24"/>
          <w:szCs w:val="24"/>
          <w:lang w:val="ro-MD"/>
        </w:rPr>
        <w:t>încheiate la 31 decembrie 2022</w:t>
      </w:r>
      <w:r w:rsidRPr="00E51F45">
        <w:rPr>
          <w:rFonts w:asciiTheme="majorHAnsi" w:hAnsiTheme="majorHAnsi" w:cs="Times New Roman"/>
          <w:sz w:val="24"/>
          <w:szCs w:val="24"/>
          <w:lang w:val="ro-MD"/>
        </w:rPr>
        <w:t xml:space="preserve"> nu conțin, în ansamblul lor, denaturări semnificative, cauzate de fraude sau erori, precum și emiterea unei opinii.</w:t>
      </w:r>
    </w:p>
    <w:p w14:paraId="666D55F0" w14:textId="39B05595" w:rsidR="00A3646C" w:rsidRPr="00E51F45" w:rsidRDefault="0006580C" w:rsidP="00A3646C">
      <w:pPr>
        <w:spacing w:after="0" w:line="276" w:lineRule="auto"/>
        <w:ind w:firstLine="567"/>
        <w:jc w:val="both"/>
        <w:rPr>
          <w:rFonts w:asciiTheme="majorHAnsi" w:eastAsia="Times New Roman" w:hAnsiTheme="majorHAnsi" w:cs="Times New Roman"/>
          <w:sz w:val="24"/>
          <w:szCs w:val="24"/>
          <w:lang w:val="ro-MD"/>
        </w:rPr>
      </w:pPr>
      <w:r w:rsidRPr="00E51F45">
        <w:rPr>
          <w:rFonts w:asciiTheme="majorHAnsi" w:hAnsiTheme="majorHAnsi" w:cstheme="majorHAnsi"/>
          <w:sz w:val="24"/>
          <w:szCs w:val="24"/>
          <w:lang w:val="ro-MD"/>
        </w:rPr>
        <w:t xml:space="preserve">Auditul public extern a </w:t>
      </w:r>
      <w:r w:rsidR="003A408D" w:rsidRPr="00E51F45">
        <w:rPr>
          <w:rFonts w:asciiTheme="majorHAnsi" w:hAnsiTheme="majorHAnsi" w:cstheme="majorHAnsi"/>
          <w:sz w:val="24"/>
          <w:szCs w:val="24"/>
          <w:lang w:val="ro-MD"/>
        </w:rPr>
        <w:t xml:space="preserve">fost </w:t>
      </w:r>
      <w:r w:rsidRPr="00E51F45">
        <w:rPr>
          <w:rFonts w:asciiTheme="majorHAnsi" w:hAnsiTheme="majorHAnsi" w:cstheme="majorHAnsi"/>
          <w:sz w:val="24"/>
          <w:szCs w:val="24"/>
          <w:lang w:val="ro-MD"/>
        </w:rPr>
        <w:t xml:space="preserve">efectuat în conformitate cu Cadrul Declarațiilor Profesionale ale INTOSAI, pus în aplicare de Curtea de </w:t>
      </w:r>
      <w:r w:rsidRPr="00E51F45">
        <w:rPr>
          <w:rFonts w:asciiTheme="majorHAnsi" w:eastAsia="Times New Roman" w:hAnsiTheme="majorHAnsi" w:cstheme="majorHAnsi"/>
          <w:sz w:val="24"/>
          <w:szCs w:val="24"/>
          <w:lang w:val="ro-MD"/>
        </w:rPr>
        <w:t>Conturi</w:t>
      </w:r>
      <w:r w:rsidR="00A3646C" w:rsidRPr="00E51F45">
        <w:rPr>
          <w:rStyle w:val="FootnoteReference1"/>
          <w:rFonts w:asciiTheme="majorHAnsi" w:eastAsia="Times New Roman" w:hAnsiTheme="majorHAnsi" w:cs="Times New Roman"/>
          <w:sz w:val="24"/>
          <w:szCs w:val="24"/>
        </w:rPr>
        <w:footnoteReference w:id="3"/>
      </w:r>
      <w:r w:rsidR="00A3646C" w:rsidRPr="00E51F45">
        <w:rPr>
          <w:rFonts w:asciiTheme="majorHAnsi" w:eastAsia="Times New Roman" w:hAnsiTheme="majorHAnsi" w:cs="Times New Roman"/>
          <w:sz w:val="24"/>
          <w:szCs w:val="24"/>
          <w:lang w:val="ro-MD"/>
        </w:rPr>
        <w:t xml:space="preserve">. </w:t>
      </w:r>
    </w:p>
    <w:p w14:paraId="0B86B4A7" w14:textId="77777777" w:rsidR="00A3646C" w:rsidRPr="00E51F45" w:rsidRDefault="00A3646C" w:rsidP="00A3646C">
      <w:pPr>
        <w:spacing w:after="0" w:line="276" w:lineRule="auto"/>
        <w:ind w:firstLine="567"/>
        <w:jc w:val="both"/>
        <w:rPr>
          <w:rFonts w:asciiTheme="majorHAnsi" w:eastAsia="Times New Roman" w:hAnsiTheme="majorHAnsi" w:cs="Times New Roman"/>
          <w:sz w:val="24"/>
          <w:szCs w:val="24"/>
          <w:lang w:val="ro-MD"/>
        </w:rPr>
      </w:pPr>
      <w:r w:rsidRPr="00E51F45">
        <w:rPr>
          <w:rFonts w:asciiTheme="majorHAnsi" w:eastAsia="Times New Roman" w:hAnsiTheme="majorHAnsi" w:cs="Times New Roman"/>
          <w:sz w:val="24"/>
          <w:szCs w:val="24"/>
          <w:lang w:val="ro-MD"/>
        </w:rPr>
        <w:t xml:space="preserve">Examinând Raportul de audit, Curtea de Conturi </w:t>
      </w:r>
    </w:p>
    <w:p w14:paraId="49CD23B0" w14:textId="77777777" w:rsidR="00A3646C" w:rsidRPr="00E51F45" w:rsidRDefault="00A3646C" w:rsidP="00D76DF7">
      <w:pPr>
        <w:spacing w:before="120" w:after="120" w:line="276" w:lineRule="auto"/>
        <w:jc w:val="center"/>
        <w:rPr>
          <w:rFonts w:asciiTheme="majorHAnsi" w:eastAsia="Times New Roman" w:hAnsiTheme="majorHAnsi" w:cs="Times New Roman"/>
          <w:b/>
          <w:bCs/>
          <w:sz w:val="24"/>
          <w:szCs w:val="24"/>
          <w:lang w:val="ro-MD"/>
        </w:rPr>
      </w:pPr>
      <w:r w:rsidRPr="00E51F45">
        <w:rPr>
          <w:rFonts w:asciiTheme="majorHAnsi" w:eastAsia="Times New Roman" w:hAnsiTheme="majorHAnsi" w:cs="Times New Roman"/>
          <w:b/>
          <w:bCs/>
          <w:sz w:val="24"/>
          <w:szCs w:val="24"/>
          <w:lang w:val="ro-MD"/>
        </w:rPr>
        <w:t>A CONSTATAT:</w:t>
      </w:r>
    </w:p>
    <w:p w14:paraId="5DDEF98B" w14:textId="657BE8D3" w:rsidR="00A3646C" w:rsidRPr="00E51F45" w:rsidRDefault="00A3646C" w:rsidP="00D8467A">
      <w:pPr>
        <w:pStyle w:val="a4"/>
        <w:spacing w:line="276" w:lineRule="auto"/>
        <w:rPr>
          <w:rFonts w:asciiTheme="majorHAnsi" w:hAnsiTheme="majorHAnsi"/>
          <w:lang w:val="ro-MD"/>
        </w:rPr>
      </w:pPr>
      <w:r w:rsidRPr="00E51F45">
        <w:rPr>
          <w:rFonts w:asciiTheme="majorHAnsi" w:hAnsiTheme="majorHAnsi"/>
          <w:lang w:val="ro-MD"/>
        </w:rPr>
        <w:t xml:space="preserve">Rapoartele financiare consolidate ale Ministerului </w:t>
      </w:r>
      <w:r w:rsidR="00D8467A">
        <w:rPr>
          <w:rFonts w:asciiTheme="majorHAnsi" w:hAnsiTheme="majorHAnsi"/>
          <w:lang w:val="ro-MD"/>
        </w:rPr>
        <w:t xml:space="preserve">Educației și Cercetării </w:t>
      </w:r>
      <w:r w:rsidRPr="00E51F45">
        <w:rPr>
          <w:rFonts w:asciiTheme="majorHAnsi" w:hAnsiTheme="majorHAnsi"/>
          <w:lang w:val="ro-MD"/>
        </w:rPr>
        <w:t>încheiate la 31 decembrie 202</w:t>
      </w:r>
      <w:r w:rsidR="00E74FA6">
        <w:rPr>
          <w:rFonts w:asciiTheme="majorHAnsi" w:hAnsiTheme="majorHAnsi"/>
          <w:lang w:val="ro-MD"/>
        </w:rPr>
        <w:t>2</w:t>
      </w:r>
      <w:r w:rsidRPr="00E51F45">
        <w:rPr>
          <w:rFonts w:asciiTheme="majorHAnsi" w:hAnsiTheme="majorHAnsi"/>
          <w:lang w:val="ro-MD"/>
        </w:rPr>
        <w:t xml:space="preserve">, </w:t>
      </w:r>
      <w:r w:rsidR="006C05FD" w:rsidRPr="00E51F45">
        <w:rPr>
          <w:rFonts w:asciiTheme="majorHAnsi" w:hAnsiTheme="majorHAnsi" w:cstheme="majorHAnsi"/>
          <w:lang w:val="ro-MD"/>
        </w:rPr>
        <w:t xml:space="preserve">ținându-se cont de semnificația aspectelor descrise în secțiunea </w:t>
      </w:r>
      <w:r w:rsidR="006C05FD" w:rsidRPr="00E51F45">
        <w:rPr>
          <w:rFonts w:asciiTheme="majorHAnsi" w:hAnsiTheme="majorHAnsi" w:cstheme="majorHAnsi"/>
          <w:i/>
          <w:iCs/>
          <w:lang w:val="ro-MD"/>
        </w:rPr>
        <w:t>Baza pentru opinia contrară</w:t>
      </w:r>
      <w:r w:rsidR="006C05FD" w:rsidRPr="00E51F45">
        <w:rPr>
          <w:rFonts w:asciiTheme="majorHAnsi" w:hAnsiTheme="majorHAnsi" w:cstheme="majorHAnsi"/>
          <w:lang w:val="ro-MD"/>
        </w:rPr>
        <w:t xml:space="preserve"> din Raportul de audit</w:t>
      </w:r>
      <w:r w:rsidR="006C05FD" w:rsidRPr="00BD0FAF">
        <w:rPr>
          <w:rFonts w:asciiTheme="majorHAnsi" w:hAnsiTheme="majorHAnsi" w:cstheme="majorHAnsi"/>
          <w:lang w:val="ro-MD"/>
        </w:rPr>
        <w:t xml:space="preserve">, </w:t>
      </w:r>
      <w:r w:rsidR="006C05FD" w:rsidRPr="00BD0FAF">
        <w:rPr>
          <w:rFonts w:asciiTheme="majorHAnsi" w:hAnsiTheme="majorHAnsi" w:cstheme="majorHAnsi"/>
          <w:i/>
          <w:iCs/>
          <w:lang w:val="ro-MD"/>
        </w:rPr>
        <w:t>nu prezintă o imagine corectă și</w:t>
      </w:r>
      <w:r w:rsidR="006C05FD" w:rsidRPr="00BD0FAF">
        <w:rPr>
          <w:rFonts w:asciiTheme="majorHAnsi" w:hAnsiTheme="majorHAnsi" w:cstheme="majorHAnsi"/>
          <w:lang w:val="ro-MD"/>
        </w:rPr>
        <w:t xml:space="preserve"> </w:t>
      </w:r>
      <w:r w:rsidR="006C05FD" w:rsidRPr="00BD0FAF">
        <w:rPr>
          <w:rFonts w:asciiTheme="majorHAnsi" w:hAnsiTheme="majorHAnsi" w:cstheme="majorHAnsi"/>
          <w:i/>
          <w:iCs/>
          <w:lang w:val="ro-MD"/>
        </w:rPr>
        <w:t>fidelă</w:t>
      </w:r>
      <w:r w:rsidR="006C05FD" w:rsidRPr="00BD0FAF">
        <w:rPr>
          <w:rFonts w:asciiTheme="majorHAnsi" w:hAnsiTheme="majorHAnsi" w:cstheme="majorHAnsi"/>
          <w:lang w:val="ro-MD"/>
        </w:rPr>
        <w:t xml:space="preserve"> în conformitate</w:t>
      </w:r>
      <w:r w:rsidR="006C05FD" w:rsidRPr="00E51F45">
        <w:rPr>
          <w:rFonts w:asciiTheme="majorHAnsi" w:hAnsiTheme="majorHAnsi" w:cstheme="majorHAnsi"/>
          <w:lang w:val="ro-MD"/>
        </w:rPr>
        <w:t xml:space="preserve"> cu cadrul de raportare financiară</w:t>
      </w:r>
      <w:r w:rsidR="00390B95" w:rsidRPr="00390B95">
        <w:rPr>
          <w:rFonts w:asciiTheme="majorHAnsi" w:hAnsiTheme="majorHAnsi" w:cstheme="majorHAnsi"/>
          <w:lang w:val="ro-MD"/>
        </w:rPr>
        <w:t xml:space="preserve"> </w:t>
      </w:r>
      <w:r w:rsidR="00390B95" w:rsidRPr="00E51F45">
        <w:rPr>
          <w:rFonts w:asciiTheme="majorHAnsi" w:hAnsiTheme="majorHAnsi" w:cstheme="majorHAnsi"/>
          <w:lang w:val="ro-MD"/>
        </w:rPr>
        <w:t>aplicabil</w:t>
      </w:r>
      <w:r w:rsidR="00390B95" w:rsidRPr="00E51F45">
        <w:rPr>
          <w:rStyle w:val="FootnoteReference1"/>
          <w:rFonts w:asciiTheme="majorHAnsi" w:hAnsiTheme="majorHAnsi"/>
        </w:rPr>
        <w:t xml:space="preserve"> </w:t>
      </w:r>
      <w:r w:rsidRPr="00E51F45">
        <w:rPr>
          <w:rStyle w:val="FootnoteReference1"/>
          <w:rFonts w:asciiTheme="majorHAnsi" w:hAnsiTheme="majorHAnsi"/>
        </w:rPr>
        <w:footnoteReference w:id="4"/>
      </w:r>
      <w:r w:rsidRPr="00E51F45">
        <w:rPr>
          <w:rFonts w:asciiTheme="majorHAnsi" w:hAnsiTheme="majorHAnsi"/>
          <w:lang w:val="ro-MD"/>
        </w:rPr>
        <w:t>.</w:t>
      </w:r>
    </w:p>
    <w:p w14:paraId="4E1824D5" w14:textId="12685CF0" w:rsidR="00A3646C" w:rsidRPr="00E51F45" w:rsidRDefault="00A3646C" w:rsidP="00D8467A">
      <w:pPr>
        <w:pStyle w:val="a4"/>
        <w:spacing w:line="276" w:lineRule="auto"/>
        <w:rPr>
          <w:rFonts w:asciiTheme="majorHAnsi" w:hAnsiTheme="majorHAnsi"/>
          <w:lang w:val="ro-MD" w:eastAsia="ro-MD"/>
        </w:rPr>
      </w:pPr>
      <w:r w:rsidRPr="00E51F45">
        <w:rPr>
          <w:rFonts w:asciiTheme="majorHAnsi" w:hAnsiTheme="majorHAnsi"/>
          <w:lang w:val="ro-MD" w:eastAsia="ro-MD"/>
        </w:rPr>
        <w:lastRenderedPageBreak/>
        <w:t xml:space="preserve">Observațiile de audit au servit drept bază pentru exprimarea opiniei </w:t>
      </w:r>
      <w:r w:rsidR="00362E61" w:rsidRPr="00E51F45">
        <w:rPr>
          <w:rFonts w:asciiTheme="majorHAnsi" w:hAnsiTheme="majorHAnsi"/>
          <w:lang w:val="ro-MD" w:eastAsia="ro-MD"/>
        </w:rPr>
        <w:t>contrare</w:t>
      </w:r>
      <w:r w:rsidRPr="00E51F45">
        <w:rPr>
          <w:rFonts w:asciiTheme="majorHAnsi" w:hAnsiTheme="majorHAnsi"/>
          <w:lang w:val="ro-MD" w:eastAsia="ro-MD"/>
        </w:rPr>
        <w:t xml:space="preserve"> asupra rapoartelor financiare consolidate ale Ministerului </w:t>
      </w:r>
      <w:r w:rsidR="00D8467A">
        <w:rPr>
          <w:rFonts w:asciiTheme="majorHAnsi" w:hAnsiTheme="majorHAnsi"/>
          <w:lang w:val="ro-MD"/>
        </w:rPr>
        <w:t>Educației și Cercetării</w:t>
      </w:r>
      <w:r w:rsidR="00990E69" w:rsidRPr="00E51F45">
        <w:rPr>
          <w:rFonts w:asciiTheme="majorHAnsi" w:hAnsiTheme="majorHAnsi"/>
          <w:lang w:val="ro-MD"/>
        </w:rPr>
        <w:t xml:space="preserve"> </w:t>
      </w:r>
      <w:r w:rsidR="00E74FA6">
        <w:rPr>
          <w:rFonts w:asciiTheme="majorHAnsi" w:hAnsiTheme="majorHAnsi"/>
          <w:lang w:val="ro-MD" w:eastAsia="ro-MD"/>
        </w:rPr>
        <w:t>încheiate la 31 decembrie 2022</w:t>
      </w:r>
      <w:r w:rsidRPr="00E51F45">
        <w:rPr>
          <w:rFonts w:asciiTheme="majorHAnsi" w:hAnsiTheme="majorHAnsi"/>
          <w:lang w:val="ro-MD" w:eastAsia="ro-MD"/>
        </w:rPr>
        <w:t xml:space="preserve">. </w:t>
      </w:r>
    </w:p>
    <w:p w14:paraId="0F49E955" w14:textId="77777777" w:rsidR="00A3646C" w:rsidRPr="00E51F45" w:rsidRDefault="00A3646C" w:rsidP="00A3646C">
      <w:pPr>
        <w:pStyle w:val="a4"/>
        <w:spacing w:line="276" w:lineRule="auto"/>
        <w:rPr>
          <w:rFonts w:asciiTheme="majorHAnsi" w:hAnsiTheme="majorHAnsi"/>
          <w:lang w:val="ro-MD"/>
        </w:rPr>
      </w:pPr>
      <w:r w:rsidRPr="00E51F45">
        <w:rPr>
          <w:rFonts w:asciiTheme="majorHAnsi" w:hAnsiTheme="majorHAnsi"/>
          <w:lang w:val="ro-MD"/>
        </w:rPr>
        <w:t xml:space="preserve">Reieșind din cele expuse, în temeiul art.14 alin.(2), art.15 lit. d) și art.37 alin.(2) din Legea nr.260 din 07.12.2017, Curtea de Conturi </w:t>
      </w:r>
    </w:p>
    <w:p w14:paraId="69763052" w14:textId="52DC5D97" w:rsidR="00BE5A66" w:rsidRPr="00E51F45" w:rsidRDefault="00BE5A66" w:rsidP="00BD0FAF">
      <w:pPr>
        <w:pStyle w:val="cp"/>
        <w:spacing w:line="276" w:lineRule="auto"/>
        <w:jc w:val="left"/>
        <w:rPr>
          <w:rFonts w:asciiTheme="majorHAnsi" w:hAnsiTheme="majorHAnsi"/>
          <w:lang w:val="ro-MD"/>
        </w:rPr>
      </w:pPr>
    </w:p>
    <w:p w14:paraId="4291954A" w14:textId="77777777" w:rsidR="00A3646C" w:rsidRPr="00973537" w:rsidRDefault="00A3646C" w:rsidP="00A3646C">
      <w:pPr>
        <w:pStyle w:val="cp"/>
        <w:spacing w:line="276" w:lineRule="auto"/>
        <w:rPr>
          <w:rFonts w:asciiTheme="majorHAnsi" w:hAnsiTheme="majorHAnsi" w:cstheme="majorHAnsi"/>
          <w:lang w:val="ro-MD"/>
        </w:rPr>
      </w:pPr>
      <w:r w:rsidRPr="00973537">
        <w:rPr>
          <w:rFonts w:asciiTheme="majorHAnsi" w:hAnsiTheme="majorHAnsi" w:cstheme="majorHAnsi"/>
          <w:lang w:val="ro-MD"/>
        </w:rPr>
        <w:t>HOTĂRĂŞTE:</w:t>
      </w:r>
    </w:p>
    <w:p w14:paraId="66190DC0" w14:textId="6F073A5D" w:rsidR="00A3646C" w:rsidRPr="00B153F2" w:rsidRDefault="00A3646C" w:rsidP="00735465">
      <w:pPr>
        <w:pStyle w:val="a4"/>
        <w:spacing w:line="276" w:lineRule="auto"/>
        <w:rPr>
          <w:rFonts w:asciiTheme="majorHAnsi" w:hAnsiTheme="majorHAnsi" w:cstheme="majorHAnsi"/>
          <w:lang w:val="ro-MD"/>
        </w:rPr>
      </w:pPr>
      <w:r w:rsidRPr="00B153F2">
        <w:rPr>
          <w:rFonts w:asciiTheme="majorHAnsi" w:hAnsiTheme="majorHAnsi" w:cstheme="majorHAnsi"/>
          <w:b/>
          <w:bCs/>
          <w:lang w:val="ro-MD"/>
        </w:rPr>
        <w:t>1.</w:t>
      </w:r>
      <w:r w:rsidRPr="00B153F2">
        <w:rPr>
          <w:rFonts w:asciiTheme="majorHAnsi" w:hAnsiTheme="majorHAnsi" w:cstheme="majorHAnsi"/>
          <w:lang w:val="ro-MD"/>
        </w:rPr>
        <w:t xml:space="preserve"> </w:t>
      </w:r>
      <w:r w:rsidRPr="00B153F2">
        <w:rPr>
          <w:rFonts w:asciiTheme="majorHAnsi" w:eastAsiaTheme="minorHAnsi" w:hAnsiTheme="majorHAnsi" w:cstheme="majorHAnsi"/>
          <w:bCs/>
          <w:lang w:val="ro-MD"/>
        </w:rPr>
        <w:t>Se</w:t>
      </w:r>
      <w:r w:rsidRPr="00B153F2">
        <w:rPr>
          <w:rFonts w:asciiTheme="majorHAnsi" w:hAnsiTheme="majorHAnsi" w:cstheme="majorHAnsi"/>
          <w:lang w:val="ro-MD"/>
        </w:rPr>
        <w:t xml:space="preserve"> aprobă Raportul auditului asupra rapoartelor financiare consolidate ale Ministerului </w:t>
      </w:r>
      <w:r w:rsidR="00735465">
        <w:rPr>
          <w:rFonts w:asciiTheme="majorHAnsi" w:hAnsiTheme="majorHAnsi" w:cstheme="majorHAnsi"/>
          <w:lang w:val="ro-MD"/>
        </w:rPr>
        <w:t>Educației și Cercetării</w:t>
      </w:r>
      <w:r w:rsidR="00990E69" w:rsidRPr="00B153F2">
        <w:rPr>
          <w:rFonts w:asciiTheme="majorHAnsi" w:hAnsiTheme="majorHAnsi" w:cstheme="majorHAnsi"/>
          <w:lang w:val="ro-MD"/>
        </w:rPr>
        <w:t xml:space="preserve"> </w:t>
      </w:r>
      <w:r w:rsidR="00E74FA6">
        <w:rPr>
          <w:rFonts w:asciiTheme="majorHAnsi" w:hAnsiTheme="majorHAnsi" w:cstheme="majorHAnsi"/>
          <w:lang w:val="ro-MD"/>
        </w:rPr>
        <w:t>încheiate la 31 decembrie 2022</w:t>
      </w:r>
      <w:r w:rsidRPr="00B153F2">
        <w:rPr>
          <w:rFonts w:asciiTheme="majorHAnsi" w:hAnsiTheme="majorHAnsi" w:cstheme="majorHAnsi"/>
          <w:lang w:val="ro-MD"/>
        </w:rPr>
        <w:t>, anexat la prezenta Hotărâre.</w:t>
      </w:r>
    </w:p>
    <w:p w14:paraId="6A315EBB" w14:textId="77777777" w:rsidR="00A3646C" w:rsidRPr="000C6DEC" w:rsidRDefault="00A3646C" w:rsidP="00D80B18">
      <w:pPr>
        <w:pStyle w:val="a4"/>
        <w:spacing w:line="276" w:lineRule="auto"/>
        <w:rPr>
          <w:rFonts w:asciiTheme="majorHAnsi" w:hAnsiTheme="majorHAnsi" w:cstheme="majorHAnsi"/>
          <w:lang w:val="ro-MD"/>
        </w:rPr>
      </w:pPr>
      <w:r w:rsidRPr="00440BF8">
        <w:rPr>
          <w:rFonts w:asciiTheme="majorHAnsi" w:hAnsiTheme="majorHAnsi" w:cstheme="majorHAnsi"/>
          <w:b/>
          <w:bCs/>
          <w:lang w:val="ro-MD"/>
        </w:rPr>
        <w:t>2.</w:t>
      </w:r>
      <w:r w:rsidRPr="00440BF8">
        <w:rPr>
          <w:rFonts w:asciiTheme="majorHAnsi" w:hAnsiTheme="majorHAnsi" w:cstheme="majorHAnsi"/>
          <w:lang w:val="ro-MD"/>
        </w:rPr>
        <w:t xml:space="preserve"> </w:t>
      </w:r>
      <w:r w:rsidRPr="000C6DEC">
        <w:rPr>
          <w:rFonts w:asciiTheme="majorHAnsi" w:eastAsiaTheme="minorHAnsi" w:hAnsiTheme="majorHAnsi" w:cstheme="majorHAnsi"/>
          <w:bCs/>
          <w:lang w:val="ro-MD"/>
        </w:rPr>
        <w:t>Prezenta</w:t>
      </w:r>
      <w:r w:rsidRPr="000C6DEC">
        <w:rPr>
          <w:rFonts w:asciiTheme="majorHAnsi" w:hAnsiTheme="majorHAnsi" w:cstheme="majorHAnsi"/>
          <w:lang w:val="ro-MD"/>
        </w:rPr>
        <w:t xml:space="preserve"> Hotărâre și Raportul de audit se remit:</w:t>
      </w:r>
    </w:p>
    <w:p w14:paraId="030C1FED" w14:textId="77777777" w:rsidR="00A3646C" w:rsidRPr="00D46463" w:rsidRDefault="00A3646C" w:rsidP="00D80B18">
      <w:pPr>
        <w:pStyle w:val="a4"/>
        <w:spacing w:line="276" w:lineRule="auto"/>
        <w:rPr>
          <w:rFonts w:asciiTheme="majorHAnsi" w:hAnsiTheme="majorHAnsi" w:cstheme="majorHAnsi"/>
          <w:noProof/>
          <w:lang w:val="ro-MD"/>
        </w:rPr>
      </w:pPr>
      <w:r w:rsidRPr="00D46463">
        <w:rPr>
          <w:rFonts w:asciiTheme="majorHAnsi" w:hAnsiTheme="majorHAnsi" w:cstheme="majorHAnsi"/>
          <w:b/>
          <w:noProof/>
          <w:lang w:val="ro-MD"/>
        </w:rPr>
        <w:t>2.1.</w:t>
      </w:r>
      <w:r w:rsidRPr="00D46463">
        <w:rPr>
          <w:rFonts w:asciiTheme="majorHAnsi" w:hAnsiTheme="majorHAnsi" w:cstheme="majorHAnsi"/>
          <w:noProof/>
          <w:lang w:val="ro-MD"/>
        </w:rPr>
        <w:t xml:space="preserve"> </w:t>
      </w:r>
      <w:r w:rsidRPr="00D46463">
        <w:rPr>
          <w:rFonts w:asciiTheme="majorHAnsi" w:hAnsiTheme="majorHAnsi" w:cstheme="majorHAnsi"/>
          <w:b/>
          <w:noProof/>
          <w:lang w:val="ro-MD"/>
        </w:rPr>
        <w:t xml:space="preserve">Parlamentului Republicii Moldova, </w:t>
      </w:r>
      <w:r w:rsidRPr="00D46463">
        <w:rPr>
          <w:rFonts w:asciiTheme="majorHAnsi" w:hAnsiTheme="majorHAnsi" w:cstheme="majorHAnsi"/>
          <w:noProof/>
          <w:lang w:val="ro-MD"/>
        </w:rPr>
        <w:t>pentru informare și examinare, după caz, în cadrul Comisiei parlamentare de control al finanțelor publice;</w:t>
      </w:r>
    </w:p>
    <w:p w14:paraId="03318179" w14:textId="77777777" w:rsidR="00A3646C" w:rsidRPr="00D46463" w:rsidRDefault="00A3646C" w:rsidP="00D80B18">
      <w:pPr>
        <w:pStyle w:val="a4"/>
        <w:spacing w:line="276" w:lineRule="auto"/>
        <w:rPr>
          <w:rFonts w:asciiTheme="majorHAnsi" w:hAnsiTheme="majorHAnsi" w:cstheme="majorHAnsi"/>
          <w:noProof/>
          <w:lang w:val="ro-MD"/>
        </w:rPr>
      </w:pPr>
      <w:r w:rsidRPr="00D46463">
        <w:rPr>
          <w:rFonts w:asciiTheme="majorHAnsi" w:hAnsiTheme="majorHAnsi" w:cstheme="majorHAnsi"/>
          <w:b/>
          <w:noProof/>
          <w:lang w:val="ro-MD"/>
        </w:rPr>
        <w:t>2.2.</w:t>
      </w:r>
      <w:r w:rsidRPr="00D46463">
        <w:rPr>
          <w:rFonts w:asciiTheme="majorHAnsi" w:hAnsiTheme="majorHAnsi" w:cstheme="majorHAnsi"/>
          <w:noProof/>
          <w:lang w:val="ro-MD"/>
        </w:rPr>
        <w:t xml:space="preserve">  </w:t>
      </w:r>
      <w:r w:rsidRPr="00D46463">
        <w:rPr>
          <w:rFonts w:asciiTheme="majorHAnsi" w:hAnsiTheme="majorHAnsi" w:cstheme="majorHAnsi"/>
          <w:b/>
          <w:noProof/>
          <w:lang w:val="ro-MD"/>
        </w:rPr>
        <w:t>Președintelui Republicii Moldova</w:t>
      </w:r>
      <w:r w:rsidRPr="00D46463">
        <w:rPr>
          <w:rFonts w:asciiTheme="majorHAnsi" w:hAnsiTheme="majorHAnsi" w:cstheme="majorHAnsi"/>
          <w:noProof/>
          <w:lang w:val="ro-MD"/>
        </w:rPr>
        <w:t>, pentru informare;</w:t>
      </w:r>
    </w:p>
    <w:p w14:paraId="2E9BDAF6" w14:textId="48951AA0" w:rsidR="00161882" w:rsidRDefault="00A3646C" w:rsidP="00040C20">
      <w:pPr>
        <w:pStyle w:val="a4"/>
        <w:spacing w:line="276" w:lineRule="auto"/>
        <w:rPr>
          <w:rFonts w:asciiTheme="majorHAnsi" w:hAnsiTheme="majorHAnsi" w:cstheme="majorHAnsi"/>
          <w:bCs/>
          <w:lang w:val="ro-MD"/>
        </w:rPr>
      </w:pPr>
      <w:r w:rsidRPr="00D46463">
        <w:rPr>
          <w:rFonts w:asciiTheme="majorHAnsi" w:hAnsiTheme="majorHAnsi" w:cstheme="majorHAnsi"/>
          <w:b/>
          <w:noProof/>
          <w:lang w:val="ro-MD"/>
        </w:rPr>
        <w:t>2.3.</w:t>
      </w:r>
      <w:r w:rsidRPr="00D46463">
        <w:rPr>
          <w:rFonts w:asciiTheme="majorHAnsi" w:hAnsiTheme="majorHAnsi" w:cstheme="majorHAnsi"/>
          <w:noProof/>
          <w:lang w:val="ro-MD"/>
        </w:rPr>
        <w:t xml:space="preserve"> </w:t>
      </w:r>
      <w:r w:rsidRPr="00D46463">
        <w:rPr>
          <w:rFonts w:asciiTheme="majorHAnsi" w:hAnsiTheme="majorHAnsi" w:cstheme="majorHAnsi"/>
          <w:b/>
          <w:noProof/>
          <w:lang w:val="ro-MD"/>
        </w:rPr>
        <w:t xml:space="preserve">Guvernului Republicii Moldova, </w:t>
      </w:r>
      <w:r w:rsidRPr="00D46463">
        <w:rPr>
          <w:rFonts w:asciiTheme="majorHAnsi" w:hAnsiTheme="majorHAnsi" w:cstheme="majorHAnsi"/>
          <w:noProof/>
          <w:lang w:val="ro-MD"/>
        </w:rPr>
        <w:t>pentru informare și luare de atitudine în vederea monitorizării asigurării implementării recomandărilor de audit</w:t>
      </w:r>
      <w:r w:rsidR="007502FC" w:rsidRPr="00973537">
        <w:rPr>
          <w:rFonts w:asciiTheme="majorHAnsi" w:hAnsiTheme="majorHAnsi" w:cstheme="majorHAnsi"/>
          <w:bCs/>
          <w:lang w:val="ro-MD"/>
        </w:rPr>
        <w:t xml:space="preserve">, </w:t>
      </w:r>
      <w:r w:rsidR="007502FC" w:rsidRPr="00BD0FAF">
        <w:rPr>
          <w:rFonts w:asciiTheme="majorHAnsi" w:hAnsiTheme="majorHAnsi" w:cstheme="majorHAnsi"/>
          <w:bCs/>
          <w:lang w:val="ro-MD"/>
        </w:rPr>
        <w:t xml:space="preserve">precum și pentru examinarea posibilității de majorare a statelor de personal ale Ministerului </w:t>
      </w:r>
      <w:r w:rsidR="00040C20">
        <w:rPr>
          <w:rFonts w:asciiTheme="majorHAnsi" w:hAnsiTheme="majorHAnsi" w:cstheme="majorHAnsi"/>
          <w:bCs/>
          <w:lang w:val="ro-MD"/>
        </w:rPr>
        <w:t xml:space="preserve">Educației </w:t>
      </w:r>
      <w:r w:rsidR="00040C20" w:rsidRPr="00A022C0">
        <w:rPr>
          <w:rFonts w:asciiTheme="majorHAnsi" w:hAnsiTheme="majorHAnsi" w:cstheme="majorHAnsi"/>
          <w:bCs/>
          <w:lang w:val="ro-MD"/>
        </w:rPr>
        <w:t>și Cercetării</w:t>
      </w:r>
      <w:r w:rsidR="00A022C0">
        <w:rPr>
          <w:rFonts w:asciiTheme="majorHAnsi" w:hAnsiTheme="majorHAnsi" w:cstheme="majorHAnsi"/>
          <w:bCs/>
          <w:lang w:val="ro-MD"/>
        </w:rPr>
        <w:t>,</w:t>
      </w:r>
      <w:r w:rsidR="007502FC" w:rsidRPr="00A022C0">
        <w:rPr>
          <w:rFonts w:asciiTheme="majorHAnsi" w:hAnsiTheme="majorHAnsi" w:cstheme="majorHAnsi"/>
          <w:bCs/>
          <w:lang w:val="ro-MD"/>
        </w:rPr>
        <w:t xml:space="preserve"> aferente</w:t>
      </w:r>
      <w:r w:rsidR="007502FC" w:rsidRPr="00BD0FAF">
        <w:rPr>
          <w:rFonts w:asciiTheme="majorHAnsi" w:hAnsiTheme="majorHAnsi" w:cstheme="majorHAnsi"/>
          <w:bCs/>
          <w:lang w:val="ro-MD"/>
        </w:rPr>
        <w:t xml:space="preserve"> Serviciului audit intern și Secției financiar-administrative;</w:t>
      </w:r>
    </w:p>
    <w:p w14:paraId="6576F17A" w14:textId="77777777" w:rsidR="00887398" w:rsidRPr="00887398" w:rsidRDefault="002E4388" w:rsidP="00D80B18">
      <w:pPr>
        <w:pStyle w:val="a4"/>
        <w:spacing w:line="276" w:lineRule="auto"/>
        <w:rPr>
          <w:rFonts w:asciiTheme="majorHAnsi" w:hAnsiTheme="majorHAnsi" w:cstheme="majorHAnsi"/>
          <w:bCs/>
          <w:lang w:val="ro-MD"/>
        </w:rPr>
      </w:pPr>
      <w:r w:rsidRPr="00887398">
        <w:rPr>
          <w:rFonts w:asciiTheme="majorHAnsi" w:hAnsiTheme="majorHAnsi" w:cstheme="majorHAnsi"/>
          <w:b/>
          <w:bCs/>
          <w:lang w:val="ro-MD"/>
        </w:rPr>
        <w:t>2.4.</w:t>
      </w:r>
      <w:r w:rsidRPr="00887398">
        <w:rPr>
          <w:rFonts w:asciiTheme="majorHAnsi" w:hAnsiTheme="majorHAnsi" w:cstheme="majorHAnsi"/>
          <w:bCs/>
          <w:lang w:val="ro-MD"/>
        </w:rPr>
        <w:t xml:space="preserve"> </w:t>
      </w:r>
      <w:r w:rsidRPr="00887398">
        <w:rPr>
          <w:rFonts w:asciiTheme="majorHAnsi" w:hAnsiTheme="majorHAnsi" w:cstheme="majorHAnsi"/>
          <w:b/>
          <w:bCs/>
          <w:lang w:val="ro-MD"/>
        </w:rPr>
        <w:t>Ministerului Finanțelor,</w:t>
      </w:r>
      <w:r w:rsidRPr="00887398">
        <w:rPr>
          <w:rFonts w:asciiTheme="majorHAnsi" w:hAnsiTheme="majorHAnsi" w:cstheme="majorHAnsi"/>
          <w:bCs/>
          <w:lang w:val="ro-MD"/>
        </w:rPr>
        <w:t xml:space="preserve"> pentru informare și</w:t>
      </w:r>
      <w:r w:rsidR="00887398" w:rsidRPr="00887398">
        <w:rPr>
          <w:rFonts w:asciiTheme="majorHAnsi" w:hAnsiTheme="majorHAnsi" w:cstheme="majorHAnsi"/>
          <w:bCs/>
          <w:lang w:val="ro-MD"/>
        </w:rPr>
        <w:t>:</w:t>
      </w:r>
    </w:p>
    <w:p w14:paraId="76B4F8F9" w14:textId="5A973267" w:rsidR="00C35BE7" w:rsidRPr="00887398" w:rsidRDefault="00887398" w:rsidP="009246FE">
      <w:pPr>
        <w:pStyle w:val="a4"/>
        <w:spacing w:line="276" w:lineRule="auto"/>
        <w:rPr>
          <w:rFonts w:asciiTheme="majorHAnsi" w:hAnsiTheme="majorHAnsi" w:cstheme="majorHAnsi"/>
          <w:bCs/>
          <w:lang w:val="ro-MD"/>
        </w:rPr>
      </w:pPr>
      <w:r w:rsidRPr="00887398">
        <w:rPr>
          <w:rFonts w:asciiTheme="majorHAnsi" w:hAnsiTheme="majorHAnsi" w:cstheme="majorHAnsi"/>
          <w:bCs/>
          <w:lang w:val="ro-MD"/>
        </w:rPr>
        <w:t>2.4.1.</w:t>
      </w:r>
      <w:r w:rsidR="002E4388" w:rsidRPr="00887398">
        <w:rPr>
          <w:rFonts w:asciiTheme="majorHAnsi" w:hAnsiTheme="majorHAnsi" w:cstheme="majorHAnsi"/>
          <w:bCs/>
          <w:lang w:val="ro-MD"/>
        </w:rPr>
        <w:t xml:space="preserve"> </w:t>
      </w:r>
      <w:r w:rsidR="009246FE">
        <w:rPr>
          <w:rFonts w:asciiTheme="majorHAnsi" w:hAnsiTheme="majorHAnsi" w:cstheme="majorHAnsi"/>
          <w:bCs/>
          <w:lang w:val="ro-MD"/>
        </w:rPr>
        <w:t>urgentarea, în</w:t>
      </w:r>
      <w:r w:rsidR="00443636" w:rsidRPr="009246FE">
        <w:rPr>
          <w:rFonts w:asciiTheme="majorHAnsi" w:hAnsiTheme="majorHAnsi" w:cstheme="majorHAnsi"/>
          <w:bCs/>
          <w:lang w:val="ro-MD"/>
        </w:rPr>
        <w:t xml:space="preserve"> comun cu Cancelaria de Stat</w:t>
      </w:r>
      <w:r w:rsidR="00ED2F23">
        <w:rPr>
          <w:rFonts w:asciiTheme="majorHAnsi" w:hAnsiTheme="majorHAnsi" w:cstheme="majorHAnsi"/>
          <w:bCs/>
          <w:lang w:val="ro-MD"/>
        </w:rPr>
        <w:t>,</w:t>
      </w:r>
      <w:r w:rsidR="00443636" w:rsidRPr="009246FE">
        <w:rPr>
          <w:rFonts w:asciiTheme="majorHAnsi" w:hAnsiTheme="majorHAnsi" w:cstheme="majorHAnsi"/>
          <w:bCs/>
          <w:lang w:val="ro-MD"/>
        </w:rPr>
        <w:t xml:space="preserve"> </w:t>
      </w:r>
      <w:r w:rsidR="009246FE">
        <w:rPr>
          <w:rFonts w:asciiTheme="majorHAnsi" w:hAnsiTheme="majorHAnsi" w:cstheme="majorHAnsi"/>
          <w:bCs/>
          <w:lang w:val="ro-MD"/>
        </w:rPr>
        <w:t>a</w:t>
      </w:r>
      <w:r w:rsidR="009D699B" w:rsidRPr="00887398">
        <w:rPr>
          <w:rFonts w:asciiTheme="majorHAnsi" w:hAnsiTheme="majorHAnsi" w:cstheme="majorHAnsi"/>
          <w:bCs/>
          <w:lang w:val="ro-MD"/>
        </w:rPr>
        <w:t xml:space="preserve"> elaborării cadrului normativ de reglementare a condițiilor juridice, organizatorice și economice de funcționare a instituțiilor publice la autogestiune</w:t>
      </w:r>
      <w:r w:rsidR="00C35BE7" w:rsidRPr="00887398">
        <w:rPr>
          <w:rFonts w:asciiTheme="majorHAnsi" w:hAnsiTheme="majorHAnsi" w:cstheme="majorHAnsi"/>
          <w:bCs/>
          <w:lang w:val="ro-MD"/>
        </w:rPr>
        <w:t xml:space="preserve">; </w:t>
      </w:r>
    </w:p>
    <w:p w14:paraId="4F02FE94" w14:textId="36EC56DC" w:rsidR="00040C20" w:rsidRDefault="00887398" w:rsidP="00040C20">
      <w:pPr>
        <w:pStyle w:val="a4"/>
        <w:spacing w:line="276" w:lineRule="auto"/>
        <w:rPr>
          <w:rFonts w:asciiTheme="majorHAnsi" w:hAnsiTheme="majorHAnsi" w:cstheme="majorHAnsi"/>
          <w:bCs/>
          <w:lang w:val="ro-MD"/>
        </w:rPr>
      </w:pPr>
      <w:r w:rsidRPr="00887398">
        <w:rPr>
          <w:rFonts w:asciiTheme="majorHAnsi" w:hAnsiTheme="majorHAnsi" w:cstheme="majorHAnsi"/>
          <w:bCs/>
          <w:lang w:val="ro-MD"/>
        </w:rPr>
        <w:t xml:space="preserve">2.4.2. </w:t>
      </w:r>
      <w:r w:rsidR="00040C20" w:rsidRPr="00887398">
        <w:rPr>
          <w:rFonts w:asciiTheme="majorHAnsi" w:hAnsiTheme="majorHAnsi" w:cstheme="majorHAnsi"/>
          <w:bCs/>
          <w:lang w:val="ro-MD"/>
        </w:rPr>
        <w:t>revizuirea normel</w:t>
      </w:r>
      <w:r w:rsidR="004666C4">
        <w:rPr>
          <w:rFonts w:asciiTheme="majorHAnsi" w:hAnsiTheme="majorHAnsi" w:cstheme="majorHAnsi"/>
          <w:bCs/>
          <w:lang w:val="ro-MD"/>
        </w:rPr>
        <w:t>or</w:t>
      </w:r>
      <w:r w:rsidR="00040C20" w:rsidRPr="00887398">
        <w:rPr>
          <w:rFonts w:asciiTheme="majorHAnsi" w:hAnsiTheme="majorHAnsi" w:cstheme="majorHAnsi"/>
          <w:bCs/>
          <w:lang w:val="ro-MD"/>
        </w:rPr>
        <w:t xml:space="preserve"> metodologice privind modul de contabilizare a operațiunilor</w:t>
      </w:r>
      <w:r w:rsidR="00040C20" w:rsidRPr="00040C20">
        <w:rPr>
          <w:rFonts w:asciiTheme="majorHAnsi" w:hAnsiTheme="majorHAnsi" w:cstheme="majorHAnsi"/>
          <w:bCs/>
          <w:lang w:val="ro-MD"/>
        </w:rPr>
        <w:t xml:space="preserve"> de reorganizare a autorităților/instituțiilor bugetare, cu includerea exemplelor convenționale la acest compartiment</w:t>
      </w:r>
      <w:r w:rsidR="00040C20">
        <w:rPr>
          <w:rFonts w:asciiTheme="majorHAnsi" w:hAnsiTheme="majorHAnsi" w:cstheme="majorHAnsi"/>
          <w:bCs/>
          <w:lang w:val="ro-MD"/>
        </w:rPr>
        <w:t>;</w:t>
      </w:r>
    </w:p>
    <w:p w14:paraId="2D2D52FC" w14:textId="05E5309A" w:rsidR="00E13C82" w:rsidRDefault="00E13C82" w:rsidP="00040C20">
      <w:pPr>
        <w:pStyle w:val="a4"/>
        <w:spacing w:line="276" w:lineRule="auto"/>
        <w:rPr>
          <w:rFonts w:asciiTheme="majorHAnsi" w:hAnsiTheme="majorHAnsi" w:cstheme="majorHAnsi"/>
          <w:bCs/>
          <w:lang w:val="ro-MD"/>
        </w:rPr>
      </w:pPr>
      <w:r>
        <w:rPr>
          <w:rFonts w:asciiTheme="majorHAnsi" w:hAnsiTheme="majorHAnsi" w:cstheme="majorHAnsi"/>
          <w:bCs/>
          <w:lang w:val="ro-MD"/>
        </w:rPr>
        <w:t xml:space="preserve">2.4.3. </w:t>
      </w:r>
      <w:r w:rsidRPr="00E13C82">
        <w:rPr>
          <w:rFonts w:asciiTheme="majorHAnsi" w:hAnsiTheme="majorHAnsi" w:cstheme="majorHAnsi"/>
          <w:bCs/>
          <w:lang w:val="ro-MD"/>
        </w:rPr>
        <w:t xml:space="preserve">implementarea prevederilor art.11 alin.(2) din Legea nr.121-XVI din 04.05.2007 privind administrarea și </w:t>
      </w:r>
      <w:proofErr w:type="spellStart"/>
      <w:r w:rsidRPr="00E13C82">
        <w:rPr>
          <w:rFonts w:asciiTheme="majorHAnsi" w:hAnsiTheme="majorHAnsi" w:cstheme="majorHAnsi"/>
          <w:bCs/>
          <w:lang w:val="ro-MD"/>
        </w:rPr>
        <w:t>deetatizarea</w:t>
      </w:r>
      <w:proofErr w:type="spellEnd"/>
      <w:r w:rsidRPr="00E13C82">
        <w:rPr>
          <w:rFonts w:asciiTheme="majorHAnsi" w:hAnsiTheme="majorHAnsi" w:cstheme="majorHAnsi"/>
          <w:bCs/>
          <w:lang w:val="ro-MD"/>
        </w:rPr>
        <w:t xml:space="preserve"> proprietății publice, pentru asigurarea evidenței contabile distincte și analitice a bunurilor proprietate publică din domeniul public aflate în gestiunea entităților (instituții publice și întreprinderi) la autogestiune, precum și a modului de înregistrare în evidența contabilă la fondator a tranzacțiilor respective;</w:t>
      </w:r>
    </w:p>
    <w:p w14:paraId="435E98D6" w14:textId="23CCF6A9" w:rsidR="00E13C82" w:rsidRPr="00B2762C" w:rsidRDefault="00FE1ABC" w:rsidP="00FE1ABC">
      <w:pPr>
        <w:pStyle w:val="a4"/>
        <w:spacing w:line="276" w:lineRule="auto"/>
        <w:rPr>
          <w:rFonts w:asciiTheme="majorHAnsi" w:hAnsiTheme="majorHAnsi" w:cstheme="majorHAnsi"/>
          <w:bCs/>
          <w:lang w:val="ro-MD"/>
        </w:rPr>
      </w:pPr>
      <w:r w:rsidRPr="00AA37AB">
        <w:rPr>
          <w:rFonts w:asciiTheme="majorHAnsi" w:hAnsiTheme="majorHAnsi" w:cstheme="majorHAnsi"/>
          <w:bCs/>
          <w:lang w:val="ro-MD"/>
        </w:rPr>
        <w:t xml:space="preserve">2.4.4. asigurarea completării cadrului normativ-metodologic de evidență contabilă și raportare cu reglementări privind actualizarea/ajustarea valorii în timp a patrimoniului public din domeniul </w:t>
      </w:r>
      <w:r w:rsidRPr="00B2762C">
        <w:rPr>
          <w:rFonts w:asciiTheme="majorHAnsi" w:hAnsiTheme="majorHAnsi" w:cstheme="majorHAnsi"/>
          <w:bCs/>
          <w:lang w:val="ro-MD"/>
        </w:rPr>
        <w:t xml:space="preserve">public transmis în gestiune economică </w:t>
      </w:r>
      <w:r w:rsidR="004666C4">
        <w:rPr>
          <w:rFonts w:asciiTheme="majorHAnsi" w:hAnsiTheme="majorHAnsi" w:cstheme="majorHAnsi"/>
          <w:bCs/>
          <w:lang w:val="ro-MD"/>
        </w:rPr>
        <w:t>instituțiilor publice</w:t>
      </w:r>
      <w:r w:rsidRPr="00B2762C">
        <w:rPr>
          <w:rFonts w:asciiTheme="majorHAnsi" w:hAnsiTheme="majorHAnsi" w:cstheme="majorHAnsi"/>
          <w:bCs/>
          <w:lang w:val="ro-MD"/>
        </w:rPr>
        <w:t xml:space="preserve"> la autogestiune</w:t>
      </w:r>
      <w:r w:rsidR="00394A0C">
        <w:rPr>
          <w:rFonts w:asciiTheme="majorHAnsi" w:hAnsiTheme="majorHAnsi" w:cstheme="majorHAnsi"/>
          <w:bCs/>
          <w:lang w:val="ro-MD"/>
        </w:rPr>
        <w:t>,</w:t>
      </w:r>
      <w:r w:rsidRPr="00B2762C">
        <w:rPr>
          <w:rFonts w:asciiTheme="majorHAnsi" w:hAnsiTheme="majorHAnsi" w:cstheme="majorHAnsi"/>
          <w:bCs/>
          <w:lang w:val="ro-MD"/>
        </w:rPr>
        <w:t xml:space="preserve"> în scopul asigurării comparabilității datelor atât la fondator</w:t>
      </w:r>
      <w:r w:rsidR="00394A0C">
        <w:rPr>
          <w:rFonts w:asciiTheme="majorHAnsi" w:hAnsiTheme="majorHAnsi" w:cstheme="majorHAnsi"/>
          <w:bCs/>
          <w:lang w:val="ro-MD"/>
        </w:rPr>
        <w:t>,</w:t>
      </w:r>
      <w:r w:rsidRPr="00B2762C">
        <w:rPr>
          <w:rFonts w:asciiTheme="majorHAnsi" w:hAnsiTheme="majorHAnsi" w:cstheme="majorHAnsi"/>
          <w:bCs/>
          <w:lang w:val="ro-MD"/>
        </w:rPr>
        <w:t xml:space="preserve"> cât și la instituțiile publice</w:t>
      </w:r>
      <w:r w:rsidR="00AA37AB" w:rsidRPr="00B2762C">
        <w:rPr>
          <w:rFonts w:asciiTheme="majorHAnsi" w:hAnsiTheme="majorHAnsi" w:cstheme="majorHAnsi"/>
          <w:bCs/>
          <w:lang w:val="ro-MD"/>
        </w:rPr>
        <w:t xml:space="preserve"> la autogestiune;</w:t>
      </w:r>
    </w:p>
    <w:p w14:paraId="4A45DECF" w14:textId="091F88D7" w:rsidR="00040C20" w:rsidRPr="00B2762C" w:rsidRDefault="00AA37AB" w:rsidP="0080605F">
      <w:pPr>
        <w:pStyle w:val="a4"/>
        <w:spacing w:line="276" w:lineRule="auto"/>
        <w:rPr>
          <w:rFonts w:asciiTheme="majorHAnsi" w:hAnsiTheme="majorHAnsi" w:cstheme="majorHAnsi"/>
          <w:bCs/>
          <w:lang w:val="ro-MD"/>
        </w:rPr>
      </w:pPr>
      <w:r w:rsidRPr="00B2762C">
        <w:rPr>
          <w:rFonts w:asciiTheme="majorHAnsi" w:hAnsiTheme="majorHAnsi" w:cstheme="majorHAnsi"/>
          <w:b/>
          <w:lang w:val="ro-MD"/>
        </w:rPr>
        <w:t xml:space="preserve">2.5. </w:t>
      </w:r>
      <w:r w:rsidR="0080605F" w:rsidRPr="00B2762C">
        <w:rPr>
          <w:rFonts w:asciiTheme="majorHAnsi" w:hAnsiTheme="majorHAnsi" w:cstheme="majorHAnsi"/>
          <w:b/>
          <w:lang w:val="ro-MD"/>
        </w:rPr>
        <w:t>Serviciul</w:t>
      </w:r>
      <w:r w:rsidR="00394A0C">
        <w:rPr>
          <w:rFonts w:asciiTheme="majorHAnsi" w:hAnsiTheme="majorHAnsi" w:cstheme="majorHAnsi"/>
          <w:b/>
          <w:lang w:val="ro-MD"/>
        </w:rPr>
        <w:t>ui</w:t>
      </w:r>
      <w:r w:rsidR="0080605F" w:rsidRPr="00B2762C">
        <w:rPr>
          <w:rFonts w:asciiTheme="majorHAnsi" w:hAnsiTheme="majorHAnsi" w:cstheme="majorHAnsi"/>
          <w:b/>
          <w:lang w:val="ro-MD"/>
        </w:rPr>
        <w:t xml:space="preserve"> Fiscal de Stat</w:t>
      </w:r>
      <w:r w:rsidR="00394A0C">
        <w:rPr>
          <w:rFonts w:asciiTheme="majorHAnsi" w:hAnsiTheme="majorHAnsi" w:cstheme="majorHAnsi"/>
          <w:b/>
          <w:lang w:val="ro-MD"/>
        </w:rPr>
        <w:t>,</w:t>
      </w:r>
      <w:r w:rsidR="0080605F" w:rsidRPr="00B2762C">
        <w:rPr>
          <w:rFonts w:asciiTheme="majorHAnsi" w:hAnsiTheme="majorHAnsi" w:cstheme="majorHAnsi"/>
          <w:bCs/>
          <w:lang w:val="ro-MD"/>
        </w:rPr>
        <w:t xml:space="preserve"> pentru informare și verificarea respectării de către organizațiile necomerciale c</w:t>
      </w:r>
      <w:r w:rsidR="00394A0C">
        <w:rPr>
          <w:rFonts w:asciiTheme="majorHAnsi" w:hAnsiTheme="majorHAnsi" w:cstheme="majorHAnsi"/>
          <w:bCs/>
          <w:lang w:val="ro-MD"/>
        </w:rPr>
        <w:t>ar</w:t>
      </w:r>
      <w:r w:rsidR="0080605F" w:rsidRPr="00B2762C">
        <w:rPr>
          <w:rFonts w:asciiTheme="majorHAnsi" w:hAnsiTheme="majorHAnsi" w:cstheme="majorHAnsi"/>
          <w:bCs/>
          <w:lang w:val="ro-MD"/>
        </w:rPr>
        <w:t>e au primit finanțare de la M</w:t>
      </w:r>
      <w:r w:rsidR="00394A0C">
        <w:rPr>
          <w:rFonts w:asciiTheme="majorHAnsi" w:hAnsiTheme="majorHAnsi" w:cstheme="majorHAnsi"/>
          <w:bCs/>
          <w:lang w:val="ro-MD"/>
        </w:rPr>
        <w:t xml:space="preserve">inisterul </w:t>
      </w:r>
      <w:r w:rsidR="0080605F" w:rsidRPr="00B2762C">
        <w:rPr>
          <w:rFonts w:asciiTheme="majorHAnsi" w:hAnsiTheme="majorHAnsi" w:cstheme="majorHAnsi"/>
          <w:bCs/>
          <w:lang w:val="ro-MD"/>
        </w:rPr>
        <w:t>E</w:t>
      </w:r>
      <w:r w:rsidR="00394A0C">
        <w:rPr>
          <w:rFonts w:asciiTheme="majorHAnsi" w:hAnsiTheme="majorHAnsi" w:cstheme="majorHAnsi"/>
          <w:bCs/>
          <w:lang w:val="ro-MD"/>
        </w:rPr>
        <w:t xml:space="preserve">ducației și </w:t>
      </w:r>
      <w:r w:rsidR="0080605F" w:rsidRPr="00B2762C">
        <w:rPr>
          <w:rFonts w:asciiTheme="majorHAnsi" w:hAnsiTheme="majorHAnsi" w:cstheme="majorHAnsi"/>
          <w:bCs/>
          <w:lang w:val="ro-MD"/>
        </w:rPr>
        <w:t>C</w:t>
      </w:r>
      <w:r w:rsidR="00394A0C">
        <w:rPr>
          <w:rFonts w:asciiTheme="majorHAnsi" w:hAnsiTheme="majorHAnsi" w:cstheme="majorHAnsi"/>
          <w:bCs/>
          <w:lang w:val="ro-MD"/>
        </w:rPr>
        <w:t>ercetării</w:t>
      </w:r>
      <w:r w:rsidR="0080605F" w:rsidRPr="00B2762C">
        <w:rPr>
          <w:rFonts w:asciiTheme="majorHAnsi" w:hAnsiTheme="majorHAnsi" w:cstheme="majorHAnsi"/>
          <w:bCs/>
          <w:lang w:val="ro-MD"/>
        </w:rPr>
        <w:t xml:space="preserve"> a prevederilor art.52 din </w:t>
      </w:r>
      <w:r w:rsidR="0080605F" w:rsidRPr="00A022C0">
        <w:rPr>
          <w:rFonts w:asciiTheme="majorHAnsi" w:hAnsiTheme="majorHAnsi" w:cstheme="majorHAnsi"/>
          <w:bCs/>
          <w:lang w:val="ro-MD"/>
        </w:rPr>
        <w:t>Codul Fiscal</w:t>
      </w:r>
      <w:r w:rsidR="0080605F" w:rsidRPr="00B2762C">
        <w:rPr>
          <w:rFonts w:asciiTheme="majorHAnsi" w:hAnsiTheme="majorHAnsi" w:cstheme="majorHAnsi"/>
          <w:bCs/>
          <w:lang w:val="ro-MD"/>
        </w:rPr>
        <w:t xml:space="preserve"> (în special</w:t>
      </w:r>
      <w:r w:rsidR="00394A0C">
        <w:rPr>
          <w:rFonts w:asciiTheme="majorHAnsi" w:hAnsiTheme="majorHAnsi" w:cstheme="majorHAnsi"/>
          <w:bCs/>
          <w:lang w:val="ro-MD"/>
        </w:rPr>
        <w:t>,</w:t>
      </w:r>
      <w:r w:rsidR="0080605F" w:rsidRPr="00B2762C">
        <w:rPr>
          <w:rFonts w:asciiTheme="majorHAnsi" w:hAnsiTheme="majorHAnsi" w:cstheme="majorHAnsi"/>
          <w:bCs/>
          <w:lang w:val="ro-MD"/>
        </w:rPr>
        <w:t xml:space="preserve"> privind modul de utilizare a mijloacelor cu destinație specială primite din bugetul de stat), precum și</w:t>
      </w:r>
      <w:r w:rsidR="00394A0C">
        <w:rPr>
          <w:rFonts w:asciiTheme="majorHAnsi" w:hAnsiTheme="majorHAnsi" w:cstheme="majorHAnsi"/>
          <w:bCs/>
          <w:lang w:val="ro-MD"/>
        </w:rPr>
        <w:t xml:space="preserve"> </w:t>
      </w:r>
      <w:r w:rsidR="0080605F" w:rsidRPr="00B2762C">
        <w:rPr>
          <w:rFonts w:asciiTheme="majorHAnsi" w:hAnsiTheme="majorHAnsi" w:cstheme="majorHAnsi"/>
          <w:bCs/>
          <w:lang w:val="ro-MD"/>
        </w:rPr>
        <w:t>a corectitudinii datelor raportate de către organizațiile necomerciale în Declarația cu privire la impozitul pe venit pentru organizațiile necomerciale (Forma ONG 17)</w:t>
      </w:r>
      <w:r w:rsidRPr="00B2762C">
        <w:rPr>
          <w:rFonts w:asciiTheme="majorHAnsi" w:hAnsiTheme="majorHAnsi" w:cstheme="majorHAnsi"/>
          <w:bCs/>
          <w:lang w:val="ro-MD"/>
        </w:rPr>
        <w:t>;</w:t>
      </w:r>
    </w:p>
    <w:p w14:paraId="097F9094" w14:textId="1DC02C5F" w:rsidR="00FA1C11" w:rsidRPr="00FA1C11" w:rsidRDefault="00AA37AB" w:rsidP="00FA1C11">
      <w:pPr>
        <w:pStyle w:val="a4"/>
        <w:spacing w:line="276" w:lineRule="auto"/>
        <w:rPr>
          <w:rFonts w:asciiTheme="majorHAnsi" w:hAnsiTheme="majorHAnsi" w:cstheme="majorHAnsi"/>
          <w:bCs/>
          <w:lang w:val="ro-MD"/>
        </w:rPr>
      </w:pPr>
      <w:r>
        <w:rPr>
          <w:rFonts w:asciiTheme="majorHAnsi" w:hAnsiTheme="majorHAnsi" w:cstheme="majorHAnsi"/>
          <w:b/>
          <w:lang w:val="ro-MD"/>
        </w:rPr>
        <w:t>2.6</w:t>
      </w:r>
      <w:r w:rsidR="00FA1C11" w:rsidRPr="00AA37AB">
        <w:rPr>
          <w:rFonts w:asciiTheme="majorHAnsi" w:hAnsiTheme="majorHAnsi" w:cstheme="majorHAnsi"/>
          <w:b/>
          <w:lang w:val="ro-MD"/>
        </w:rPr>
        <w:t>. Agenției Proprietății Publice</w:t>
      </w:r>
      <w:r w:rsidR="00FA1C11" w:rsidRPr="00FA1C11">
        <w:rPr>
          <w:rFonts w:asciiTheme="majorHAnsi" w:hAnsiTheme="majorHAnsi" w:cstheme="majorHAnsi"/>
          <w:bCs/>
          <w:lang w:val="ro-MD"/>
        </w:rPr>
        <w:t>, pentru informare și:</w:t>
      </w:r>
    </w:p>
    <w:p w14:paraId="7DDA3AAE" w14:textId="7091F75E" w:rsidR="00FA1C11" w:rsidRPr="00FA1C11" w:rsidRDefault="00AA37AB" w:rsidP="00FA1C11">
      <w:pPr>
        <w:pStyle w:val="a4"/>
        <w:spacing w:line="276" w:lineRule="auto"/>
        <w:rPr>
          <w:rFonts w:asciiTheme="majorHAnsi" w:hAnsiTheme="majorHAnsi" w:cstheme="majorHAnsi"/>
          <w:bCs/>
          <w:lang w:val="ro-MD"/>
        </w:rPr>
      </w:pPr>
      <w:r>
        <w:rPr>
          <w:rFonts w:asciiTheme="majorHAnsi" w:hAnsiTheme="majorHAnsi" w:cstheme="majorHAnsi"/>
          <w:bCs/>
          <w:lang w:val="ro-MD"/>
        </w:rPr>
        <w:t>2.6</w:t>
      </w:r>
      <w:r w:rsidR="00FA1C11" w:rsidRPr="00FA1C11">
        <w:rPr>
          <w:rFonts w:asciiTheme="majorHAnsi" w:hAnsiTheme="majorHAnsi" w:cstheme="majorHAnsi"/>
          <w:bCs/>
          <w:lang w:val="ro-MD"/>
        </w:rPr>
        <w:t>.1. actualizarea prevederilor Hotărârilor Guvernului nr.351 din 23.03.2005 „Cu privire la aprobarea listelor bunurilor proprietate publică a statului și la transmiterea unor bunuri imobile” și nr.161 din 07.03.2019 „Cu privire la aprobarea listei terenurilor proprietate publică a statului din administrarea Agenției Proprietății Publice”, aferente Ministerului Educației și Cercetării;</w:t>
      </w:r>
    </w:p>
    <w:p w14:paraId="380A18E7" w14:textId="64D335D9" w:rsidR="00FA1C11" w:rsidRPr="00FA1C11" w:rsidRDefault="00AA37AB" w:rsidP="00FA1C11">
      <w:pPr>
        <w:pStyle w:val="a4"/>
        <w:spacing w:line="276" w:lineRule="auto"/>
        <w:rPr>
          <w:rFonts w:asciiTheme="majorHAnsi" w:hAnsiTheme="majorHAnsi" w:cstheme="majorHAnsi"/>
          <w:bCs/>
          <w:lang w:val="ro-MD"/>
        </w:rPr>
      </w:pPr>
      <w:r>
        <w:rPr>
          <w:rFonts w:asciiTheme="majorHAnsi" w:hAnsiTheme="majorHAnsi" w:cstheme="majorHAnsi"/>
          <w:bCs/>
          <w:lang w:val="ro-MD"/>
        </w:rPr>
        <w:t>2.6</w:t>
      </w:r>
      <w:r w:rsidR="00FA1C11" w:rsidRPr="00FA1C11">
        <w:rPr>
          <w:rFonts w:asciiTheme="majorHAnsi" w:hAnsiTheme="majorHAnsi" w:cstheme="majorHAnsi"/>
          <w:bCs/>
          <w:lang w:val="ro-MD"/>
        </w:rPr>
        <w:t>.2. asigurarea, în cadrul programului delimitării proprietății publice, a înregistrării  conforme în Registrul bunurilor imobile a drepturilor de folosință ale Ministerului Educației și Cercetării și ale instituțiilor din subordine asupra clădirilor și terenurilor aferente;</w:t>
      </w:r>
    </w:p>
    <w:p w14:paraId="5AAAA627" w14:textId="5162AAAF" w:rsidR="00FA1C11" w:rsidRPr="00D80B18" w:rsidRDefault="00AA37AB" w:rsidP="00FA1C11">
      <w:pPr>
        <w:pStyle w:val="a4"/>
        <w:spacing w:line="276" w:lineRule="auto"/>
        <w:rPr>
          <w:rFonts w:asciiTheme="majorHAnsi" w:hAnsiTheme="majorHAnsi" w:cstheme="majorHAnsi"/>
          <w:bCs/>
          <w:lang w:val="ro-MD"/>
        </w:rPr>
      </w:pPr>
      <w:r>
        <w:rPr>
          <w:rFonts w:asciiTheme="majorHAnsi" w:hAnsiTheme="majorHAnsi" w:cstheme="majorHAnsi"/>
          <w:bCs/>
          <w:lang w:val="ro-MD"/>
        </w:rPr>
        <w:t>2.6</w:t>
      </w:r>
      <w:r w:rsidR="00FA1C11" w:rsidRPr="00FA1C11">
        <w:rPr>
          <w:rFonts w:asciiTheme="majorHAnsi" w:hAnsiTheme="majorHAnsi" w:cstheme="majorHAnsi"/>
          <w:bCs/>
          <w:lang w:val="ro-MD"/>
        </w:rPr>
        <w:t>.3. determinarea modului de utilizare a terenurilor aflate în folosința Ministerului Educației și Cercetării și instituțiilor din subordine, aferente blocurilor de locuințe și caselor de locuit privatizate, de către asociațiile de coproprietari în condominiu;</w:t>
      </w:r>
    </w:p>
    <w:p w14:paraId="5327763B" w14:textId="0E5AEE7C" w:rsidR="00A3646C" w:rsidRPr="008C3E00" w:rsidRDefault="00A3646C" w:rsidP="00040C20">
      <w:pPr>
        <w:pStyle w:val="a4"/>
        <w:spacing w:line="276" w:lineRule="auto"/>
        <w:rPr>
          <w:rFonts w:asciiTheme="majorHAnsi" w:hAnsiTheme="majorHAnsi" w:cstheme="majorHAnsi"/>
          <w:lang w:val="ro-MD"/>
        </w:rPr>
      </w:pPr>
      <w:r w:rsidRPr="0069311E">
        <w:rPr>
          <w:rFonts w:asciiTheme="majorHAnsi" w:hAnsiTheme="majorHAnsi" w:cstheme="majorHAnsi"/>
          <w:b/>
          <w:lang w:val="ro-MD"/>
        </w:rPr>
        <w:t>2.</w:t>
      </w:r>
      <w:r w:rsidR="00AA37AB">
        <w:rPr>
          <w:rFonts w:asciiTheme="majorHAnsi" w:hAnsiTheme="majorHAnsi" w:cstheme="majorHAnsi"/>
          <w:b/>
          <w:lang w:val="ro-MD"/>
        </w:rPr>
        <w:t>7</w:t>
      </w:r>
      <w:r w:rsidRPr="0069311E">
        <w:rPr>
          <w:rFonts w:asciiTheme="majorHAnsi" w:hAnsiTheme="majorHAnsi" w:cstheme="majorHAnsi"/>
          <w:b/>
          <w:lang w:val="ro-MD"/>
        </w:rPr>
        <w:t>.</w:t>
      </w:r>
      <w:r w:rsidRPr="008C3E00">
        <w:rPr>
          <w:rFonts w:asciiTheme="majorHAnsi" w:hAnsiTheme="majorHAnsi" w:cstheme="majorHAnsi"/>
          <w:lang w:val="ro-MD"/>
        </w:rPr>
        <w:t xml:space="preserve"> </w:t>
      </w:r>
      <w:r w:rsidRPr="008C3E00">
        <w:rPr>
          <w:rFonts w:asciiTheme="majorHAnsi" w:eastAsiaTheme="minorHAnsi" w:hAnsiTheme="majorHAnsi" w:cstheme="majorHAnsi"/>
          <w:b/>
          <w:bCs/>
          <w:lang w:val="ro-MD"/>
        </w:rPr>
        <w:t xml:space="preserve">Ministerului </w:t>
      </w:r>
      <w:r w:rsidR="00040C20">
        <w:rPr>
          <w:rFonts w:asciiTheme="majorHAnsi" w:eastAsiaTheme="minorHAnsi" w:hAnsiTheme="majorHAnsi" w:cstheme="majorHAnsi"/>
          <w:b/>
          <w:bCs/>
          <w:lang w:val="ro-MD"/>
        </w:rPr>
        <w:t>Educației și Cercetării</w:t>
      </w:r>
      <w:r w:rsidRPr="008C3E00">
        <w:rPr>
          <w:rFonts w:asciiTheme="majorHAnsi" w:hAnsiTheme="majorHAnsi" w:cstheme="majorHAnsi"/>
          <w:i/>
          <w:lang w:val="ro-MD"/>
        </w:rPr>
        <w:t>,</w:t>
      </w:r>
      <w:r w:rsidRPr="008C3E00">
        <w:rPr>
          <w:rFonts w:asciiTheme="majorHAnsi" w:hAnsiTheme="majorHAnsi" w:cstheme="majorHAnsi"/>
          <w:lang w:val="ro-MD"/>
        </w:rPr>
        <w:t xml:space="preserve"> pentru luare de atitudine și asigurarea </w:t>
      </w:r>
      <w:r w:rsidR="00830902">
        <w:rPr>
          <w:rFonts w:asciiTheme="majorHAnsi" w:hAnsiTheme="majorHAnsi" w:cstheme="majorHAnsi"/>
          <w:lang w:val="ro-MD"/>
        </w:rPr>
        <w:t>realiză</w:t>
      </w:r>
      <w:r w:rsidRPr="008C3E00">
        <w:rPr>
          <w:rFonts w:asciiTheme="majorHAnsi" w:hAnsiTheme="majorHAnsi" w:cstheme="majorHAnsi"/>
          <w:lang w:val="ro-MD"/>
        </w:rPr>
        <w:t>rii următoarelor recomandări de audit:</w:t>
      </w:r>
    </w:p>
    <w:p w14:paraId="2BEF956B" w14:textId="157F32E1" w:rsidR="006C05FD" w:rsidRPr="008C3E00" w:rsidRDefault="009A453C" w:rsidP="006C05FD">
      <w:pPr>
        <w:pStyle w:val="Style21"/>
        <w:widowControl/>
        <w:spacing w:line="276" w:lineRule="auto"/>
        <w:ind w:right="-4" w:firstLine="567"/>
        <w:rPr>
          <w:rFonts w:asciiTheme="majorHAnsi" w:hAnsiTheme="majorHAnsi" w:cstheme="majorHAnsi"/>
          <w:lang w:val="ro-MD"/>
        </w:rPr>
      </w:pPr>
      <w:r w:rsidRPr="005C2810">
        <w:rPr>
          <w:rFonts w:asciiTheme="majorHAnsi" w:hAnsiTheme="majorHAnsi" w:cstheme="majorHAnsi"/>
          <w:lang w:val="ro-MD"/>
        </w:rPr>
        <w:t>2.</w:t>
      </w:r>
      <w:r w:rsidR="00AA37AB">
        <w:rPr>
          <w:rFonts w:asciiTheme="majorHAnsi" w:hAnsiTheme="majorHAnsi" w:cstheme="majorHAnsi"/>
          <w:lang w:val="ro-MD"/>
        </w:rPr>
        <w:t>7</w:t>
      </w:r>
      <w:r w:rsidRPr="005C2810">
        <w:rPr>
          <w:rFonts w:asciiTheme="majorHAnsi" w:hAnsiTheme="majorHAnsi" w:cstheme="majorHAnsi"/>
          <w:lang w:val="ro-MD"/>
        </w:rPr>
        <w:t xml:space="preserve">.1. </w:t>
      </w:r>
      <w:r w:rsidR="006C05FD" w:rsidRPr="005C2810">
        <w:rPr>
          <w:rFonts w:asciiTheme="majorHAnsi" w:hAnsiTheme="majorHAnsi" w:cstheme="majorHAnsi"/>
          <w:lang w:val="ro-MD"/>
        </w:rPr>
        <w:t>implement</w:t>
      </w:r>
      <w:r w:rsidR="00830902">
        <w:rPr>
          <w:rFonts w:asciiTheme="majorHAnsi" w:hAnsiTheme="majorHAnsi" w:cstheme="majorHAnsi"/>
          <w:lang w:val="ro-MD"/>
        </w:rPr>
        <w:t>area</w:t>
      </w:r>
      <w:r w:rsidR="006C05FD" w:rsidRPr="005C2810">
        <w:rPr>
          <w:rFonts w:asciiTheme="majorHAnsi" w:hAnsiTheme="majorHAnsi" w:cstheme="majorHAnsi"/>
          <w:lang w:val="ro-MD"/>
        </w:rPr>
        <w:t xml:space="preserve"> unui sistem de control intern managerial </w:t>
      </w:r>
      <w:r w:rsidR="00433F2F" w:rsidRPr="005C2810">
        <w:rPr>
          <w:rFonts w:asciiTheme="majorHAnsi" w:hAnsiTheme="majorHAnsi" w:cstheme="majorHAnsi"/>
          <w:lang w:val="ro-MD"/>
        </w:rPr>
        <w:t xml:space="preserve">viabil, inclusiv în toate entitățile din subordine, precum și a unui </w:t>
      </w:r>
      <w:r w:rsidR="00882819" w:rsidRPr="005C2810">
        <w:rPr>
          <w:rFonts w:asciiTheme="majorHAnsi" w:hAnsiTheme="majorHAnsi" w:cstheme="majorHAnsi"/>
          <w:lang w:val="ro-MD"/>
        </w:rPr>
        <w:t>S</w:t>
      </w:r>
      <w:r w:rsidR="00433F2F" w:rsidRPr="005C2810">
        <w:rPr>
          <w:rFonts w:asciiTheme="majorHAnsi" w:hAnsiTheme="majorHAnsi" w:cstheme="majorHAnsi"/>
          <w:lang w:val="ro-MD"/>
        </w:rPr>
        <w:t>erviciu de audit intern funcțional</w:t>
      </w:r>
      <w:r w:rsidR="006C05FD" w:rsidRPr="005C2810">
        <w:rPr>
          <w:rFonts w:asciiTheme="majorHAnsi" w:hAnsiTheme="majorHAnsi" w:cstheme="majorHAnsi"/>
          <w:lang w:val="ro-MD"/>
        </w:rPr>
        <w:t>;</w:t>
      </w:r>
    </w:p>
    <w:p w14:paraId="2143F780" w14:textId="2816E6DC" w:rsidR="00A3646C" w:rsidRDefault="006C05FD" w:rsidP="00040C20">
      <w:pPr>
        <w:pStyle w:val="a4"/>
        <w:spacing w:line="276" w:lineRule="auto"/>
        <w:rPr>
          <w:rFonts w:asciiTheme="majorHAnsi" w:hAnsiTheme="majorHAnsi" w:cstheme="majorHAnsi"/>
          <w:lang w:val="ro-MD"/>
        </w:rPr>
      </w:pPr>
      <w:r w:rsidRPr="00040C20">
        <w:rPr>
          <w:rFonts w:asciiTheme="majorHAnsi" w:hAnsiTheme="majorHAnsi" w:cstheme="majorHAnsi"/>
          <w:lang w:val="ro-MD"/>
        </w:rPr>
        <w:t>2.</w:t>
      </w:r>
      <w:r w:rsidR="00AA37AB">
        <w:rPr>
          <w:rFonts w:asciiTheme="majorHAnsi" w:hAnsiTheme="majorHAnsi" w:cstheme="majorHAnsi"/>
          <w:lang w:val="ro-MD"/>
        </w:rPr>
        <w:t>7</w:t>
      </w:r>
      <w:r w:rsidRPr="00040C20">
        <w:rPr>
          <w:rFonts w:asciiTheme="majorHAnsi" w:hAnsiTheme="majorHAnsi" w:cstheme="majorHAnsi"/>
          <w:lang w:val="ro-MD"/>
        </w:rPr>
        <w:t xml:space="preserve">.2. </w:t>
      </w:r>
      <w:r w:rsidR="00040C20" w:rsidRPr="00040C20">
        <w:rPr>
          <w:rFonts w:asciiTheme="majorHAnsi" w:hAnsiTheme="majorHAnsi" w:cstheme="majorHAnsi"/>
          <w:lang w:val="ro-MD"/>
        </w:rPr>
        <w:t>efectuarea inventarierii totale a patrimoniului, inclusiv la entitățile din subordine, asigurând raportarea fidelă și reală a situațiilor patrimoniale</w:t>
      </w:r>
      <w:r w:rsidR="00EC38E6" w:rsidRPr="00040C20">
        <w:rPr>
          <w:rFonts w:asciiTheme="majorHAnsi" w:hAnsiTheme="majorHAnsi" w:cstheme="majorHAnsi"/>
          <w:lang w:val="ro-MD"/>
        </w:rPr>
        <w:t>;</w:t>
      </w:r>
    </w:p>
    <w:p w14:paraId="07630DA5" w14:textId="4BCF8E8C" w:rsidR="006F3015" w:rsidRDefault="00AA37AB" w:rsidP="00040C20">
      <w:pPr>
        <w:pStyle w:val="a4"/>
        <w:spacing w:line="276" w:lineRule="auto"/>
        <w:rPr>
          <w:rFonts w:asciiTheme="majorHAnsi" w:hAnsiTheme="majorHAnsi" w:cstheme="majorHAnsi"/>
          <w:lang w:val="ro-MD"/>
        </w:rPr>
      </w:pPr>
      <w:r>
        <w:rPr>
          <w:rFonts w:asciiTheme="majorHAnsi" w:hAnsiTheme="majorHAnsi" w:cstheme="majorHAnsi"/>
          <w:lang w:val="ro-MD"/>
        </w:rPr>
        <w:t>2.7</w:t>
      </w:r>
      <w:r w:rsidR="006F3015">
        <w:rPr>
          <w:rFonts w:asciiTheme="majorHAnsi" w:hAnsiTheme="majorHAnsi" w:cstheme="majorHAnsi"/>
          <w:lang w:val="ro-MD"/>
        </w:rPr>
        <w:t xml:space="preserve">.3. </w:t>
      </w:r>
      <w:r w:rsidR="006F3015" w:rsidRPr="006F3015">
        <w:rPr>
          <w:rFonts w:asciiTheme="majorHAnsi" w:hAnsiTheme="majorHAnsi" w:cstheme="majorHAnsi"/>
          <w:lang w:val="ro-MD"/>
        </w:rPr>
        <w:t>elaborarea și aprobarea reglementărilor aferente remunerării muncii, în special</w:t>
      </w:r>
      <w:r w:rsidR="00830902">
        <w:rPr>
          <w:rFonts w:asciiTheme="majorHAnsi" w:hAnsiTheme="majorHAnsi" w:cstheme="majorHAnsi"/>
          <w:lang w:val="ro-MD"/>
        </w:rPr>
        <w:t>,</w:t>
      </w:r>
      <w:r w:rsidR="006F3015" w:rsidRPr="006F3015">
        <w:rPr>
          <w:rFonts w:asciiTheme="majorHAnsi" w:hAnsiTheme="majorHAnsi" w:cstheme="majorHAnsi"/>
          <w:lang w:val="ro-MD"/>
        </w:rPr>
        <w:t xml:space="preserve"> privind modul și criteriile exhaustive de acordare a sporurilor, suplimentelor, premiilor și altor stimulări salariale;</w:t>
      </w:r>
    </w:p>
    <w:p w14:paraId="1C83F5F3" w14:textId="701EFC75" w:rsidR="006F3015" w:rsidRDefault="00AA37AB" w:rsidP="006F3015">
      <w:pPr>
        <w:pStyle w:val="a4"/>
        <w:spacing w:line="276" w:lineRule="auto"/>
        <w:rPr>
          <w:rFonts w:asciiTheme="majorHAnsi" w:hAnsiTheme="majorHAnsi" w:cstheme="majorHAnsi"/>
          <w:lang w:val="ro-MD"/>
        </w:rPr>
      </w:pPr>
      <w:r>
        <w:rPr>
          <w:rFonts w:asciiTheme="majorHAnsi" w:hAnsiTheme="majorHAnsi" w:cstheme="majorHAnsi"/>
          <w:lang w:val="ro-MD"/>
        </w:rPr>
        <w:t>2.7</w:t>
      </w:r>
      <w:r w:rsidR="006F3015">
        <w:rPr>
          <w:rFonts w:asciiTheme="majorHAnsi" w:hAnsiTheme="majorHAnsi" w:cstheme="majorHAnsi"/>
          <w:lang w:val="ro-MD"/>
        </w:rPr>
        <w:t xml:space="preserve">.4. </w:t>
      </w:r>
      <w:r w:rsidR="006F3015" w:rsidRPr="006F3015">
        <w:rPr>
          <w:rFonts w:asciiTheme="majorHAnsi" w:hAnsiTheme="majorHAnsi" w:cstheme="majorHAnsi"/>
          <w:lang w:val="ro-MD"/>
        </w:rPr>
        <w:t xml:space="preserve">verificarea pertinenței statelor de personal din cadrul instituțiilor din subordine, cu ajustarea cadrului normativ </w:t>
      </w:r>
      <w:r w:rsidR="006F3015">
        <w:rPr>
          <w:rFonts w:asciiTheme="majorHAnsi" w:hAnsiTheme="majorHAnsi" w:cstheme="majorHAnsi"/>
          <w:lang w:val="ro-MD"/>
        </w:rPr>
        <w:t>existent;</w:t>
      </w:r>
    </w:p>
    <w:p w14:paraId="16622740" w14:textId="749C5C29" w:rsidR="00576237" w:rsidRDefault="00AA37AB" w:rsidP="00040C20">
      <w:pPr>
        <w:pStyle w:val="a4"/>
        <w:spacing w:line="276" w:lineRule="auto"/>
        <w:rPr>
          <w:rFonts w:asciiTheme="majorHAnsi" w:hAnsiTheme="majorHAnsi" w:cstheme="majorHAnsi"/>
          <w:lang w:val="ro-MD"/>
        </w:rPr>
      </w:pPr>
      <w:r>
        <w:rPr>
          <w:rFonts w:asciiTheme="majorHAnsi" w:hAnsiTheme="majorHAnsi" w:cstheme="majorHAnsi"/>
          <w:lang w:val="ro-MD"/>
        </w:rPr>
        <w:t>2.7</w:t>
      </w:r>
      <w:r w:rsidR="006E3DD1">
        <w:rPr>
          <w:rFonts w:asciiTheme="majorHAnsi" w:hAnsiTheme="majorHAnsi" w:cstheme="majorHAnsi"/>
          <w:lang w:val="ro-MD"/>
        </w:rPr>
        <w:t xml:space="preserve">.5. </w:t>
      </w:r>
      <w:r w:rsidR="00576237" w:rsidRPr="007B7DE4">
        <w:rPr>
          <w:rFonts w:asciiTheme="majorHAnsi" w:hAnsiTheme="majorHAnsi" w:cstheme="majorHAnsi"/>
          <w:lang w:val="ro-MD"/>
        </w:rPr>
        <w:t xml:space="preserve">asigurarea, în comun cu Agenția Proprietății Publice, a modificării cadrului normativ, în vederea stabilirii exhaustive a entităților al căror fondator este </w:t>
      </w:r>
      <w:r w:rsidR="00830902" w:rsidRPr="007B7DE4">
        <w:rPr>
          <w:rFonts w:asciiTheme="majorHAnsi" w:hAnsiTheme="majorHAnsi" w:cstheme="majorHAnsi"/>
          <w:lang w:val="ro-MD"/>
        </w:rPr>
        <w:t>m</w:t>
      </w:r>
      <w:r w:rsidR="00576237" w:rsidRPr="007B7DE4">
        <w:rPr>
          <w:rFonts w:asciiTheme="majorHAnsi" w:hAnsiTheme="majorHAnsi" w:cstheme="majorHAnsi"/>
          <w:lang w:val="ro-MD"/>
        </w:rPr>
        <w:t>inisterul, a reînregistrării drepturilor de proprietate publică de stat asupra terenurilor și clădirilor instituțiilor de învățământ și sport (proprietate de stat din domeniul public) înregistrate ca proprietate publică locală, precum și a înregistrării drepturilor asupra proprietății de peste hotare;</w:t>
      </w:r>
    </w:p>
    <w:p w14:paraId="5D863BBB" w14:textId="2CBDB719" w:rsidR="006E3DD1" w:rsidRDefault="00AA37AB" w:rsidP="006E3DD1">
      <w:pPr>
        <w:pStyle w:val="a4"/>
        <w:spacing w:line="276" w:lineRule="auto"/>
        <w:rPr>
          <w:rFonts w:asciiTheme="majorHAnsi" w:hAnsiTheme="majorHAnsi" w:cstheme="majorHAnsi"/>
          <w:lang w:val="ro-MD"/>
        </w:rPr>
      </w:pPr>
      <w:r>
        <w:rPr>
          <w:rFonts w:asciiTheme="majorHAnsi" w:hAnsiTheme="majorHAnsi" w:cstheme="majorHAnsi"/>
          <w:lang w:val="ro-MD"/>
        </w:rPr>
        <w:t>2.7</w:t>
      </w:r>
      <w:r w:rsidR="006E3DD1">
        <w:rPr>
          <w:rFonts w:asciiTheme="majorHAnsi" w:hAnsiTheme="majorHAnsi" w:cstheme="majorHAnsi"/>
          <w:lang w:val="ro-MD"/>
        </w:rPr>
        <w:t>.6. a</w:t>
      </w:r>
      <w:r w:rsidR="006E3DD1" w:rsidRPr="00040C20">
        <w:rPr>
          <w:rFonts w:asciiTheme="majorHAnsi" w:hAnsiTheme="majorHAnsi" w:cstheme="majorHAnsi"/>
          <w:lang w:val="ro-MD"/>
        </w:rPr>
        <w:t>sigurarea evidenței analitice a bunurilor transmise instituțiilor fondate la autogestiune</w:t>
      </w:r>
      <w:r w:rsidR="00350E60">
        <w:rPr>
          <w:rFonts w:asciiTheme="majorHAnsi" w:hAnsiTheme="majorHAnsi" w:cstheme="majorHAnsi"/>
          <w:lang w:val="ro-MD"/>
        </w:rPr>
        <w:t>,</w:t>
      </w:r>
      <w:r w:rsidR="006E3DD1" w:rsidRPr="00040C20">
        <w:rPr>
          <w:rFonts w:asciiTheme="majorHAnsi" w:hAnsiTheme="majorHAnsi" w:cstheme="majorHAnsi"/>
          <w:lang w:val="ro-MD"/>
        </w:rPr>
        <w:t xml:space="preserve"> cu ajustarea la Ministerul Educației și Cercetării a valorii contului 4153 „Investiții în părți legate și nelegate” și </w:t>
      </w:r>
      <w:r w:rsidR="00350E60">
        <w:rPr>
          <w:rFonts w:asciiTheme="majorHAnsi" w:hAnsiTheme="majorHAnsi" w:cstheme="majorHAnsi"/>
          <w:lang w:val="ro-MD"/>
        </w:rPr>
        <w:t xml:space="preserve">a contului </w:t>
      </w:r>
      <w:r w:rsidR="006E3DD1" w:rsidRPr="00040C20">
        <w:rPr>
          <w:rFonts w:asciiTheme="majorHAnsi" w:hAnsiTheme="majorHAnsi" w:cstheme="majorHAnsi"/>
          <w:lang w:val="ro-MD"/>
        </w:rPr>
        <w:t>4151 „Majorarea volumului acțiunilor și a cotei</w:t>
      </w:r>
      <w:r w:rsidR="00350E60">
        <w:rPr>
          <w:rFonts w:asciiTheme="majorHAnsi" w:hAnsiTheme="majorHAnsi" w:cstheme="majorHAnsi"/>
          <w:lang w:val="ro-MD"/>
        </w:rPr>
        <w:t>-</w:t>
      </w:r>
      <w:r w:rsidR="006E3DD1" w:rsidRPr="00040C20">
        <w:rPr>
          <w:rFonts w:asciiTheme="majorHAnsi" w:hAnsiTheme="majorHAnsi" w:cstheme="majorHAnsi"/>
          <w:lang w:val="ro-MD"/>
        </w:rPr>
        <w:t xml:space="preserve">părți în capitalul social în interiorul țării”, precum și </w:t>
      </w:r>
      <w:r w:rsidR="00350E60">
        <w:rPr>
          <w:rFonts w:asciiTheme="majorHAnsi" w:hAnsiTheme="majorHAnsi" w:cstheme="majorHAnsi"/>
          <w:lang w:val="ro-MD"/>
        </w:rPr>
        <w:t xml:space="preserve">cu </w:t>
      </w:r>
      <w:r w:rsidR="006E3DD1" w:rsidRPr="00040C20">
        <w:rPr>
          <w:rFonts w:asciiTheme="majorHAnsi" w:hAnsiTheme="majorHAnsi" w:cstheme="majorHAnsi"/>
          <w:lang w:val="ro-MD"/>
        </w:rPr>
        <w:t xml:space="preserve">corelarea/ajustarea evidenței contabile a instituțiilor fondate </w:t>
      </w:r>
      <w:r w:rsidR="006E3DD1" w:rsidRPr="00CC2AAA">
        <w:rPr>
          <w:rFonts w:asciiTheme="majorHAnsi" w:hAnsiTheme="majorHAnsi" w:cstheme="majorHAnsi"/>
          <w:lang w:val="ro-MD"/>
        </w:rPr>
        <w:t>(„</w:t>
      </w:r>
      <w:r w:rsidR="007B7DE4" w:rsidRPr="00CC2AAA">
        <w:rPr>
          <w:rFonts w:asciiTheme="majorHAnsi" w:hAnsiTheme="majorHAnsi" w:cstheme="majorHAnsi"/>
          <w:lang w:val="ro-MD"/>
        </w:rPr>
        <w:t>Datorii pe termen lung privind bunurile primite în gestiune economică</w:t>
      </w:r>
      <w:r w:rsidR="006E3DD1" w:rsidRPr="00CC2AAA">
        <w:rPr>
          <w:rFonts w:asciiTheme="majorHAnsi" w:hAnsiTheme="majorHAnsi" w:cstheme="majorHAnsi"/>
          <w:lang w:val="ro-MD"/>
        </w:rPr>
        <w:t>”/„Patri</w:t>
      </w:r>
      <w:r w:rsidR="006E3DD1" w:rsidRPr="00040C20">
        <w:rPr>
          <w:rFonts w:asciiTheme="majorHAnsi" w:hAnsiTheme="majorHAnsi" w:cstheme="majorHAnsi"/>
          <w:lang w:val="ro-MD"/>
        </w:rPr>
        <w:t>moniul primit de la stat cu drept de proprietate”)</w:t>
      </w:r>
      <w:r w:rsidR="006E3DD1">
        <w:rPr>
          <w:rFonts w:asciiTheme="majorHAnsi" w:hAnsiTheme="majorHAnsi" w:cstheme="majorHAnsi"/>
          <w:lang w:val="ro-MD"/>
        </w:rPr>
        <w:t>;</w:t>
      </w:r>
    </w:p>
    <w:p w14:paraId="0CD33BAC" w14:textId="689B3BA0" w:rsidR="006E3DD1" w:rsidRDefault="00AA37AB" w:rsidP="006E3DD1">
      <w:pPr>
        <w:pStyle w:val="a4"/>
        <w:spacing w:line="276" w:lineRule="auto"/>
        <w:rPr>
          <w:rFonts w:asciiTheme="majorHAnsi" w:hAnsiTheme="majorHAnsi" w:cstheme="majorHAnsi"/>
          <w:lang w:val="ro-MD"/>
        </w:rPr>
      </w:pPr>
      <w:r>
        <w:rPr>
          <w:rFonts w:asciiTheme="majorHAnsi" w:hAnsiTheme="majorHAnsi" w:cstheme="majorHAnsi"/>
          <w:lang w:val="ro-MD"/>
        </w:rPr>
        <w:t>2.7</w:t>
      </w:r>
      <w:r w:rsidR="006E3DD1">
        <w:rPr>
          <w:rFonts w:asciiTheme="majorHAnsi" w:hAnsiTheme="majorHAnsi" w:cstheme="majorHAnsi"/>
          <w:lang w:val="ro-MD"/>
        </w:rPr>
        <w:t xml:space="preserve">.7. </w:t>
      </w:r>
      <w:r w:rsidR="006E3DD1" w:rsidRPr="004C55D8">
        <w:rPr>
          <w:rFonts w:asciiTheme="majorHAnsi" w:hAnsiTheme="majorHAnsi" w:cstheme="majorHAnsi"/>
          <w:lang w:val="ro-MD"/>
        </w:rPr>
        <w:t xml:space="preserve">asigurarea transmiterii </w:t>
      </w:r>
      <w:r w:rsidR="00350E60">
        <w:rPr>
          <w:rFonts w:asciiTheme="majorHAnsi" w:hAnsiTheme="majorHAnsi" w:cstheme="majorHAnsi"/>
          <w:lang w:val="ro-MD"/>
        </w:rPr>
        <w:t xml:space="preserve">către </w:t>
      </w:r>
      <w:r w:rsidR="006E3DD1" w:rsidRPr="004C55D8">
        <w:rPr>
          <w:rFonts w:asciiTheme="majorHAnsi" w:hAnsiTheme="majorHAnsi" w:cstheme="majorHAnsi"/>
          <w:lang w:val="ro-MD"/>
        </w:rPr>
        <w:t>beneficiari</w:t>
      </w:r>
      <w:r w:rsidR="00350E60">
        <w:rPr>
          <w:rFonts w:asciiTheme="majorHAnsi" w:hAnsiTheme="majorHAnsi" w:cstheme="majorHAnsi"/>
          <w:lang w:val="ro-MD"/>
        </w:rPr>
        <w:t>i</w:t>
      </w:r>
      <w:r w:rsidR="006E3DD1" w:rsidRPr="004C55D8">
        <w:rPr>
          <w:rFonts w:asciiTheme="majorHAnsi" w:hAnsiTheme="majorHAnsi" w:cstheme="majorHAnsi"/>
          <w:lang w:val="ro-MD"/>
        </w:rPr>
        <w:t xml:space="preserve"> finali a investițiilor finalizate, cu ajustarea de rigoare a valorii investițiilor în entitățile fondate</w:t>
      </w:r>
      <w:r w:rsidR="006E3DD1">
        <w:rPr>
          <w:rFonts w:asciiTheme="majorHAnsi" w:hAnsiTheme="majorHAnsi" w:cstheme="majorHAnsi"/>
          <w:lang w:val="ro-MD"/>
        </w:rPr>
        <w:t>;</w:t>
      </w:r>
    </w:p>
    <w:p w14:paraId="0DD586DA" w14:textId="48A2AD76" w:rsidR="006E3DD1" w:rsidRDefault="006E3DD1" w:rsidP="00AA37AB">
      <w:pPr>
        <w:pStyle w:val="a4"/>
        <w:spacing w:line="276" w:lineRule="auto"/>
        <w:rPr>
          <w:rFonts w:asciiTheme="majorHAnsi" w:hAnsiTheme="majorHAnsi" w:cstheme="majorHAnsi"/>
          <w:lang w:val="ro-MD"/>
        </w:rPr>
      </w:pPr>
      <w:r>
        <w:rPr>
          <w:rFonts w:asciiTheme="majorHAnsi" w:hAnsiTheme="majorHAnsi" w:cstheme="majorHAnsi"/>
          <w:lang w:val="ro-MD"/>
        </w:rPr>
        <w:t>2.</w:t>
      </w:r>
      <w:r w:rsidR="00AA37AB">
        <w:rPr>
          <w:rFonts w:asciiTheme="majorHAnsi" w:hAnsiTheme="majorHAnsi" w:cstheme="majorHAnsi"/>
          <w:lang w:val="ro-MD"/>
        </w:rPr>
        <w:t>7</w:t>
      </w:r>
      <w:r>
        <w:rPr>
          <w:rFonts w:asciiTheme="majorHAnsi" w:hAnsiTheme="majorHAnsi" w:cstheme="majorHAnsi"/>
          <w:lang w:val="ro-MD"/>
        </w:rPr>
        <w:t>.8. a</w:t>
      </w:r>
      <w:r w:rsidRPr="004C55D8">
        <w:rPr>
          <w:rFonts w:asciiTheme="majorHAnsi" w:hAnsiTheme="majorHAnsi" w:cstheme="majorHAnsi"/>
          <w:lang w:val="ro-MD"/>
        </w:rPr>
        <w:t>sigurarea ținerii evidenței separate a cheltuielilor de către instituțiile din subordine și elaborarea unei metodologii exhaustive privind determinarea costului de studii per elev/student, specializare/ocupație și nivel de studii, cu completarea cadrului normativ aferent finanțării instituțiilor de învățământ cu referințe privind utilizarea costurilor respective la determinarea costului standard de instruire/program de studiu;</w:t>
      </w:r>
    </w:p>
    <w:p w14:paraId="53A3137D" w14:textId="264B61C3" w:rsidR="006E3DD1" w:rsidRDefault="00AA37AB" w:rsidP="006E3DD1">
      <w:pPr>
        <w:pStyle w:val="a4"/>
        <w:spacing w:line="276" w:lineRule="auto"/>
        <w:rPr>
          <w:rFonts w:asciiTheme="majorHAnsi" w:hAnsiTheme="majorHAnsi" w:cstheme="majorHAnsi"/>
          <w:lang w:val="ro-MD"/>
        </w:rPr>
      </w:pPr>
      <w:r>
        <w:rPr>
          <w:rFonts w:asciiTheme="majorHAnsi" w:hAnsiTheme="majorHAnsi" w:cstheme="majorHAnsi"/>
          <w:lang w:val="ro-MD"/>
        </w:rPr>
        <w:t>2.7</w:t>
      </w:r>
      <w:r w:rsidR="006E3DD1">
        <w:rPr>
          <w:rFonts w:asciiTheme="majorHAnsi" w:hAnsiTheme="majorHAnsi" w:cstheme="majorHAnsi"/>
          <w:lang w:val="ro-MD"/>
        </w:rPr>
        <w:t>.9. p</w:t>
      </w:r>
      <w:r w:rsidR="006E3DD1" w:rsidRPr="004C55D8">
        <w:rPr>
          <w:rFonts w:asciiTheme="majorHAnsi" w:hAnsiTheme="majorHAnsi" w:cstheme="majorHAnsi"/>
          <w:lang w:val="ro-MD"/>
        </w:rPr>
        <w:t xml:space="preserve">ublicarea </w:t>
      </w:r>
      <w:r w:rsidR="00350E60">
        <w:rPr>
          <w:rFonts w:asciiTheme="majorHAnsi" w:hAnsiTheme="majorHAnsi" w:cstheme="majorHAnsi"/>
          <w:lang w:val="ro-MD"/>
        </w:rPr>
        <w:t>O</w:t>
      </w:r>
      <w:r w:rsidR="006E3DD1" w:rsidRPr="004C55D8">
        <w:rPr>
          <w:rFonts w:asciiTheme="majorHAnsi" w:hAnsiTheme="majorHAnsi" w:cstheme="majorHAnsi"/>
          <w:lang w:val="ro-MD"/>
        </w:rPr>
        <w:t>rdinului privind aprobarea costului mediu de instruire per elev/student în Monitorul Oficial al Republicii Moldova</w:t>
      </w:r>
      <w:r w:rsidR="006E3DD1">
        <w:rPr>
          <w:rFonts w:asciiTheme="majorHAnsi" w:hAnsiTheme="majorHAnsi" w:cstheme="majorHAnsi"/>
          <w:lang w:val="ro-MD"/>
        </w:rPr>
        <w:t>;</w:t>
      </w:r>
    </w:p>
    <w:p w14:paraId="322F8864" w14:textId="25920B52" w:rsidR="006E3DD1" w:rsidRDefault="00AA37AB" w:rsidP="0080605F">
      <w:pPr>
        <w:pStyle w:val="a4"/>
        <w:spacing w:line="276" w:lineRule="auto"/>
        <w:rPr>
          <w:rFonts w:asciiTheme="majorHAnsi" w:hAnsiTheme="majorHAnsi" w:cstheme="majorHAnsi"/>
          <w:lang w:val="ro-MD"/>
        </w:rPr>
      </w:pPr>
      <w:r>
        <w:rPr>
          <w:rFonts w:asciiTheme="majorHAnsi" w:hAnsiTheme="majorHAnsi" w:cstheme="majorHAnsi"/>
          <w:lang w:val="ro-MD"/>
        </w:rPr>
        <w:t>2.7</w:t>
      </w:r>
      <w:r w:rsidR="006E3DD1">
        <w:rPr>
          <w:rFonts w:asciiTheme="majorHAnsi" w:hAnsiTheme="majorHAnsi" w:cstheme="majorHAnsi"/>
          <w:lang w:val="ro-MD"/>
        </w:rPr>
        <w:t xml:space="preserve">.10. </w:t>
      </w:r>
      <w:r w:rsidR="0080605F" w:rsidRPr="0080605F">
        <w:rPr>
          <w:rFonts w:asciiTheme="majorHAnsi" w:hAnsiTheme="majorHAnsi" w:cstheme="majorHAnsi"/>
          <w:lang w:val="ro-MD"/>
        </w:rPr>
        <w:t>instituirea acțiunilor de control care ar preveni finanțarea instituțiilor de învățământ contrar cerințelor regulamentelor aprobate prin Hotărârea Guvernului nr.1077 din 23.09.2016</w:t>
      </w:r>
      <w:r w:rsidR="006E3DD1">
        <w:rPr>
          <w:rFonts w:asciiTheme="majorHAnsi" w:hAnsiTheme="majorHAnsi" w:cstheme="majorHAnsi"/>
          <w:lang w:val="ro-MD"/>
        </w:rPr>
        <w:t>;</w:t>
      </w:r>
    </w:p>
    <w:p w14:paraId="11D03EC1" w14:textId="0E0423A2" w:rsidR="006E3DD1" w:rsidRDefault="00AA37AB" w:rsidP="006E3DD1">
      <w:pPr>
        <w:pStyle w:val="a4"/>
        <w:spacing w:line="276" w:lineRule="auto"/>
        <w:rPr>
          <w:rFonts w:asciiTheme="majorHAnsi" w:hAnsiTheme="majorHAnsi" w:cstheme="majorHAnsi"/>
          <w:lang w:val="ro-MD"/>
        </w:rPr>
      </w:pPr>
      <w:r>
        <w:rPr>
          <w:rFonts w:asciiTheme="majorHAnsi" w:hAnsiTheme="majorHAnsi" w:cstheme="majorHAnsi"/>
          <w:lang w:val="ro-MD"/>
        </w:rPr>
        <w:t>2.7</w:t>
      </w:r>
      <w:r w:rsidR="006E3DD1">
        <w:rPr>
          <w:rFonts w:asciiTheme="majorHAnsi" w:hAnsiTheme="majorHAnsi" w:cstheme="majorHAnsi"/>
          <w:lang w:val="ro-MD"/>
        </w:rPr>
        <w:t>.11. m</w:t>
      </w:r>
      <w:r w:rsidR="006E3DD1" w:rsidRPr="004C55D8">
        <w:rPr>
          <w:rFonts w:asciiTheme="majorHAnsi" w:hAnsiTheme="majorHAnsi" w:cstheme="majorHAnsi"/>
          <w:lang w:val="ro-MD"/>
        </w:rPr>
        <w:t>odificarea și completarea cadrului legal-normativ</w:t>
      </w:r>
      <w:r w:rsidR="00350E60">
        <w:rPr>
          <w:rFonts w:asciiTheme="majorHAnsi" w:hAnsiTheme="majorHAnsi" w:cstheme="majorHAnsi"/>
          <w:lang w:val="ro-MD"/>
        </w:rPr>
        <w:t>,</w:t>
      </w:r>
      <w:r w:rsidR="006E3DD1" w:rsidRPr="004C55D8">
        <w:rPr>
          <w:rFonts w:asciiTheme="majorHAnsi" w:hAnsiTheme="majorHAnsi" w:cstheme="majorHAnsi"/>
          <w:lang w:val="ro-MD"/>
        </w:rPr>
        <w:t xml:space="preserve"> în scopul eliminării cheltuielilor ineficiente aferente studiilor elevilor/</w:t>
      </w:r>
      <w:r w:rsidR="006E3DD1" w:rsidRPr="00CC2AAA">
        <w:rPr>
          <w:rFonts w:asciiTheme="majorHAnsi" w:hAnsiTheme="majorHAnsi" w:cstheme="majorHAnsi"/>
          <w:lang w:val="ro-MD"/>
        </w:rPr>
        <w:t>studenților</w:t>
      </w:r>
      <w:r w:rsidR="00354F8D" w:rsidRPr="00CC2AAA">
        <w:rPr>
          <w:rFonts w:asciiTheme="majorHAnsi" w:hAnsiTheme="majorHAnsi" w:cstheme="majorHAnsi"/>
          <w:lang w:val="ro-MD"/>
        </w:rPr>
        <w:t xml:space="preserve"> care au fost</w:t>
      </w:r>
      <w:r w:rsidR="006E3DD1" w:rsidRPr="00CC2AAA">
        <w:rPr>
          <w:rFonts w:asciiTheme="majorHAnsi" w:hAnsiTheme="majorHAnsi" w:cstheme="majorHAnsi"/>
          <w:lang w:val="ro-MD"/>
        </w:rPr>
        <w:t xml:space="preserve"> exmatriculați </w:t>
      </w:r>
      <w:r w:rsidR="006E3DD1" w:rsidRPr="004C55D8">
        <w:rPr>
          <w:rFonts w:asciiTheme="majorHAnsi" w:hAnsiTheme="majorHAnsi" w:cstheme="majorHAnsi"/>
          <w:lang w:val="ro-MD"/>
        </w:rPr>
        <w:t xml:space="preserve">și </w:t>
      </w:r>
      <w:r w:rsidR="00350E60">
        <w:rPr>
          <w:rFonts w:asciiTheme="majorHAnsi" w:hAnsiTheme="majorHAnsi" w:cstheme="majorHAnsi"/>
          <w:lang w:val="ro-MD"/>
        </w:rPr>
        <w:t xml:space="preserve">ale </w:t>
      </w:r>
      <w:r w:rsidR="006E3DD1" w:rsidRPr="004C55D8">
        <w:rPr>
          <w:rFonts w:asciiTheme="majorHAnsi" w:hAnsiTheme="majorHAnsi" w:cstheme="majorHAnsi"/>
          <w:lang w:val="ro-MD"/>
        </w:rPr>
        <w:t>celor care nu s-au prezentat la locul de muncă conform repartizării</w:t>
      </w:r>
      <w:r w:rsidR="006E3DD1">
        <w:rPr>
          <w:rFonts w:asciiTheme="majorHAnsi" w:hAnsiTheme="majorHAnsi" w:cstheme="majorHAnsi"/>
          <w:lang w:val="ro-MD"/>
        </w:rPr>
        <w:t>;</w:t>
      </w:r>
    </w:p>
    <w:p w14:paraId="13F1385F" w14:textId="4FAFAFA1" w:rsidR="001D22C1" w:rsidRPr="001D22C1" w:rsidRDefault="00AA37AB" w:rsidP="001D22C1">
      <w:pPr>
        <w:pStyle w:val="a4"/>
        <w:spacing w:line="276" w:lineRule="auto"/>
        <w:rPr>
          <w:rFonts w:asciiTheme="majorHAnsi" w:hAnsiTheme="majorHAnsi" w:cstheme="majorHAnsi"/>
          <w:lang w:val="ro-MD"/>
        </w:rPr>
      </w:pPr>
      <w:r>
        <w:rPr>
          <w:rFonts w:asciiTheme="majorHAnsi" w:hAnsiTheme="majorHAnsi" w:cstheme="majorHAnsi"/>
          <w:lang w:val="ro-MD"/>
        </w:rPr>
        <w:t>2.7</w:t>
      </w:r>
      <w:r w:rsidR="001D22C1">
        <w:rPr>
          <w:rFonts w:asciiTheme="majorHAnsi" w:hAnsiTheme="majorHAnsi" w:cstheme="majorHAnsi"/>
          <w:lang w:val="ro-MD"/>
        </w:rPr>
        <w:t xml:space="preserve">.12. </w:t>
      </w:r>
      <w:r w:rsidR="001D22C1" w:rsidRPr="001D22C1">
        <w:rPr>
          <w:rFonts w:asciiTheme="majorHAnsi" w:hAnsiTheme="majorHAnsi" w:cstheme="majorHAnsi"/>
          <w:lang w:val="ro-MD"/>
        </w:rPr>
        <w:t xml:space="preserve">revizuirea cadrului normativ aferent aprobării taxelor de studii în bază de contract din instituțiile de </w:t>
      </w:r>
      <w:r w:rsidR="001D22C1" w:rsidRPr="006A222D">
        <w:rPr>
          <w:rFonts w:asciiTheme="majorHAnsi" w:hAnsiTheme="majorHAnsi" w:cstheme="majorHAnsi"/>
          <w:lang w:val="ro-MD"/>
        </w:rPr>
        <w:t>învățământ profesional tehnic care</w:t>
      </w:r>
      <w:r w:rsidR="001D22C1" w:rsidRPr="001D22C1">
        <w:rPr>
          <w:rFonts w:asciiTheme="majorHAnsi" w:hAnsiTheme="majorHAnsi" w:cstheme="majorHAnsi"/>
          <w:lang w:val="ro-MD"/>
        </w:rPr>
        <w:t xml:space="preserve"> activează în </w:t>
      </w:r>
      <w:r w:rsidR="001D22C1" w:rsidRPr="00131779">
        <w:rPr>
          <w:rFonts w:asciiTheme="majorHAnsi" w:hAnsiTheme="majorHAnsi" w:cstheme="majorHAnsi"/>
          <w:lang w:val="ro-MD"/>
        </w:rPr>
        <w:t>regim de autogestiune financiar-economică (H</w:t>
      </w:r>
      <w:r w:rsidR="00DD5600" w:rsidRPr="00131779">
        <w:rPr>
          <w:rFonts w:asciiTheme="majorHAnsi" w:hAnsiTheme="majorHAnsi" w:cstheme="majorHAnsi"/>
          <w:lang w:val="ro-MD"/>
        </w:rPr>
        <w:t xml:space="preserve">otărârile </w:t>
      </w:r>
      <w:r w:rsidR="001D22C1" w:rsidRPr="00131779">
        <w:rPr>
          <w:rFonts w:asciiTheme="majorHAnsi" w:hAnsiTheme="majorHAnsi" w:cstheme="majorHAnsi"/>
          <w:lang w:val="ro-MD"/>
        </w:rPr>
        <w:t>G</w:t>
      </w:r>
      <w:r w:rsidR="00DD5600" w:rsidRPr="00131779">
        <w:rPr>
          <w:rFonts w:asciiTheme="majorHAnsi" w:hAnsiTheme="majorHAnsi" w:cstheme="majorHAnsi"/>
          <w:lang w:val="ro-MD"/>
        </w:rPr>
        <w:t>uvernului</w:t>
      </w:r>
      <w:r w:rsidR="001D22C1" w:rsidRPr="00131779">
        <w:rPr>
          <w:rFonts w:asciiTheme="majorHAnsi" w:hAnsiTheme="majorHAnsi" w:cstheme="majorHAnsi"/>
          <w:lang w:val="ro-MD"/>
        </w:rPr>
        <w:t xml:space="preserve"> nr.872 din 21.12.2015 și nr.1</w:t>
      </w:r>
      <w:r w:rsidR="001D22C1" w:rsidRPr="001D22C1">
        <w:rPr>
          <w:rFonts w:asciiTheme="majorHAnsi" w:hAnsiTheme="majorHAnsi" w:cstheme="majorHAnsi"/>
          <w:lang w:val="ro-MD"/>
        </w:rPr>
        <w:t>311 din 12.12.2005);</w:t>
      </w:r>
    </w:p>
    <w:p w14:paraId="280C4597" w14:textId="731045C2" w:rsidR="001D22C1" w:rsidRPr="001D22C1" w:rsidRDefault="00AA37AB" w:rsidP="001D22C1">
      <w:pPr>
        <w:pStyle w:val="a4"/>
        <w:spacing w:line="276" w:lineRule="auto"/>
        <w:rPr>
          <w:rFonts w:asciiTheme="majorHAnsi" w:hAnsiTheme="majorHAnsi" w:cstheme="majorHAnsi"/>
          <w:lang w:val="ro-MD"/>
        </w:rPr>
      </w:pPr>
      <w:r>
        <w:rPr>
          <w:rFonts w:asciiTheme="majorHAnsi" w:hAnsiTheme="majorHAnsi" w:cstheme="majorHAnsi"/>
          <w:lang w:val="ro-MD"/>
        </w:rPr>
        <w:t>2.7</w:t>
      </w:r>
      <w:r w:rsidR="001D22C1">
        <w:rPr>
          <w:rFonts w:asciiTheme="majorHAnsi" w:hAnsiTheme="majorHAnsi" w:cstheme="majorHAnsi"/>
          <w:lang w:val="ro-MD"/>
        </w:rPr>
        <w:t xml:space="preserve">.13. </w:t>
      </w:r>
      <w:r w:rsidR="001D22C1" w:rsidRPr="001D22C1">
        <w:rPr>
          <w:rFonts w:asciiTheme="majorHAnsi" w:hAnsiTheme="majorHAnsi" w:cstheme="majorHAnsi"/>
          <w:lang w:val="ro-MD"/>
        </w:rPr>
        <w:t xml:space="preserve">completarea Hotărârii Guvernului nr.266 din 14.03.2006 cu prevederi referitor la componența cheltuielilor aferente normei bănești pentru asigurarea prânzului în instituțiile de  învățământ </w:t>
      </w:r>
      <w:r w:rsidR="001D22C1" w:rsidRPr="006A222D">
        <w:rPr>
          <w:rFonts w:asciiTheme="majorHAnsi" w:hAnsiTheme="majorHAnsi" w:cstheme="majorHAnsi"/>
          <w:lang w:val="ro-MD"/>
        </w:rPr>
        <w:t xml:space="preserve">profesional tehnic secundar și </w:t>
      </w:r>
      <w:r w:rsidR="00A022C0" w:rsidRPr="007B7DE4">
        <w:rPr>
          <w:rFonts w:asciiTheme="majorHAnsi" w:hAnsiTheme="majorHAnsi" w:cstheme="majorHAnsi"/>
          <w:lang w:val="ro-MD"/>
        </w:rPr>
        <w:t>elabo</w:t>
      </w:r>
      <w:r w:rsidR="001D22C1" w:rsidRPr="00A022C0">
        <w:rPr>
          <w:rFonts w:asciiTheme="majorHAnsi" w:hAnsiTheme="majorHAnsi" w:cstheme="majorHAnsi"/>
          <w:lang w:val="ro-MD"/>
        </w:rPr>
        <w:t>rarea unei abordări</w:t>
      </w:r>
      <w:r w:rsidR="001D22C1" w:rsidRPr="001D22C1">
        <w:rPr>
          <w:rFonts w:asciiTheme="majorHAnsi" w:hAnsiTheme="majorHAnsi" w:cstheme="majorHAnsi"/>
          <w:lang w:val="ro-MD"/>
        </w:rPr>
        <w:t xml:space="preserve"> unice de alocare a mijloacelor financiare </w:t>
      </w:r>
      <w:r w:rsidR="00DD5600">
        <w:rPr>
          <w:rFonts w:asciiTheme="majorHAnsi" w:hAnsiTheme="majorHAnsi" w:cstheme="majorHAnsi"/>
          <w:lang w:val="ro-MD"/>
        </w:rPr>
        <w:t>în acest scop</w:t>
      </w:r>
      <w:r w:rsidR="001D22C1" w:rsidRPr="001D22C1">
        <w:rPr>
          <w:rFonts w:asciiTheme="majorHAnsi" w:hAnsiTheme="majorHAnsi" w:cstheme="majorHAnsi"/>
          <w:lang w:val="ro-MD"/>
        </w:rPr>
        <w:t>;</w:t>
      </w:r>
    </w:p>
    <w:p w14:paraId="740898D2" w14:textId="0FC46687" w:rsidR="00040C20" w:rsidRDefault="00AA37AB" w:rsidP="00FB41C2">
      <w:pPr>
        <w:pStyle w:val="a4"/>
        <w:spacing w:line="276" w:lineRule="auto"/>
        <w:rPr>
          <w:rFonts w:asciiTheme="majorHAnsi" w:hAnsiTheme="majorHAnsi" w:cstheme="majorHAnsi"/>
          <w:lang w:val="ro-MD"/>
        </w:rPr>
      </w:pPr>
      <w:r>
        <w:rPr>
          <w:rFonts w:asciiTheme="majorHAnsi" w:hAnsiTheme="majorHAnsi" w:cstheme="majorHAnsi"/>
          <w:lang w:val="ro-MD"/>
        </w:rPr>
        <w:t>2.7</w:t>
      </w:r>
      <w:r w:rsidR="001D22C1">
        <w:rPr>
          <w:rFonts w:asciiTheme="majorHAnsi" w:hAnsiTheme="majorHAnsi" w:cstheme="majorHAnsi"/>
          <w:lang w:val="ro-MD"/>
        </w:rPr>
        <w:t>.</w:t>
      </w:r>
      <w:r w:rsidR="00FB41C2">
        <w:rPr>
          <w:rFonts w:asciiTheme="majorHAnsi" w:hAnsiTheme="majorHAnsi" w:cstheme="majorHAnsi"/>
          <w:lang w:val="ro-MD"/>
        </w:rPr>
        <w:t>14</w:t>
      </w:r>
      <w:r w:rsidR="001D22C1">
        <w:rPr>
          <w:rFonts w:asciiTheme="majorHAnsi" w:hAnsiTheme="majorHAnsi" w:cstheme="majorHAnsi"/>
          <w:lang w:val="ro-MD"/>
        </w:rPr>
        <w:t xml:space="preserve">. </w:t>
      </w:r>
      <w:r w:rsidR="00040C20" w:rsidRPr="00040C20">
        <w:rPr>
          <w:rFonts w:asciiTheme="majorHAnsi" w:hAnsiTheme="majorHAnsi" w:cstheme="majorHAnsi"/>
          <w:lang w:val="ro-MD"/>
        </w:rPr>
        <w:t>elaborarea procedurilor privind inventarierea și modul de decontare</w:t>
      </w:r>
      <w:r w:rsidR="00CE792D">
        <w:rPr>
          <w:rFonts w:asciiTheme="majorHAnsi" w:hAnsiTheme="majorHAnsi" w:cstheme="majorHAnsi"/>
          <w:lang w:val="ro-MD"/>
        </w:rPr>
        <w:t xml:space="preserve"> </w:t>
      </w:r>
      <w:r w:rsidR="00040C20" w:rsidRPr="00040C20">
        <w:rPr>
          <w:rFonts w:asciiTheme="majorHAnsi" w:hAnsiTheme="majorHAnsi" w:cstheme="majorHAnsi"/>
          <w:lang w:val="ro-MD"/>
        </w:rPr>
        <w:t>a fondului de manuale și a celui didactic transmise în folosință, precum și revizuirea cadrului normativ aferent</w:t>
      </w:r>
      <w:r w:rsidR="00F60E5E">
        <w:rPr>
          <w:rFonts w:asciiTheme="majorHAnsi" w:hAnsiTheme="majorHAnsi" w:cstheme="majorHAnsi"/>
          <w:lang w:val="ro-MD"/>
        </w:rPr>
        <w:t xml:space="preserve">, </w:t>
      </w:r>
      <w:r w:rsidR="00040C20" w:rsidRPr="00040C20">
        <w:rPr>
          <w:rFonts w:asciiTheme="majorHAnsi" w:hAnsiTheme="majorHAnsi" w:cstheme="majorHAnsi"/>
          <w:lang w:val="ro-MD"/>
        </w:rPr>
        <w:t xml:space="preserve"> în scopul evidenței și raportării unice și exhaustive a informațiilor privind aceste fonduri</w:t>
      </w:r>
      <w:r w:rsidR="00040C20">
        <w:rPr>
          <w:rFonts w:asciiTheme="majorHAnsi" w:hAnsiTheme="majorHAnsi" w:cstheme="majorHAnsi"/>
          <w:lang w:val="ro-MD"/>
        </w:rPr>
        <w:t>;</w:t>
      </w:r>
    </w:p>
    <w:p w14:paraId="7C355892" w14:textId="6A51685B" w:rsidR="00411B14" w:rsidRDefault="00BF7A23" w:rsidP="00FB41C2">
      <w:pPr>
        <w:pStyle w:val="a4"/>
        <w:spacing w:line="276" w:lineRule="auto"/>
        <w:rPr>
          <w:rFonts w:asciiTheme="majorHAnsi" w:hAnsiTheme="majorHAnsi" w:cstheme="majorHAnsi"/>
          <w:lang w:val="ro-MD"/>
        </w:rPr>
      </w:pPr>
      <w:r>
        <w:rPr>
          <w:rFonts w:asciiTheme="majorHAnsi" w:hAnsiTheme="majorHAnsi" w:cstheme="majorHAnsi"/>
          <w:lang w:val="ro-MD"/>
        </w:rPr>
        <w:t>2.7</w:t>
      </w:r>
      <w:r w:rsidR="001D22C1">
        <w:rPr>
          <w:rFonts w:asciiTheme="majorHAnsi" w:hAnsiTheme="majorHAnsi" w:cstheme="majorHAnsi"/>
          <w:lang w:val="ro-MD"/>
        </w:rPr>
        <w:t>.1</w:t>
      </w:r>
      <w:r w:rsidR="00FB41C2">
        <w:rPr>
          <w:rFonts w:asciiTheme="majorHAnsi" w:hAnsiTheme="majorHAnsi" w:cstheme="majorHAnsi"/>
          <w:lang w:val="ro-MD"/>
        </w:rPr>
        <w:t>5</w:t>
      </w:r>
      <w:r w:rsidR="001D22C1">
        <w:rPr>
          <w:rFonts w:asciiTheme="majorHAnsi" w:hAnsiTheme="majorHAnsi" w:cstheme="majorHAnsi"/>
          <w:lang w:val="ro-MD"/>
        </w:rPr>
        <w:t xml:space="preserve">. </w:t>
      </w:r>
      <w:r w:rsidR="00411B14" w:rsidRPr="00411B14">
        <w:rPr>
          <w:rFonts w:asciiTheme="majorHAnsi" w:hAnsiTheme="majorHAnsi" w:cstheme="majorHAnsi"/>
          <w:lang w:val="ro-MD"/>
        </w:rPr>
        <w:t>completarea cadrului normativ de reglementare a finanțării instituțiilor de învățământ primar și secundar general, în vederea aplicării formulei de finanțare și pentru instituțiile de învățământ general din subordinea autorităților publice centrale;</w:t>
      </w:r>
    </w:p>
    <w:p w14:paraId="45699793" w14:textId="52512002" w:rsidR="006F5CD1" w:rsidRPr="00E13C82" w:rsidRDefault="00AA37AB" w:rsidP="00140984">
      <w:pPr>
        <w:pStyle w:val="a4"/>
        <w:spacing w:line="276" w:lineRule="auto"/>
        <w:rPr>
          <w:rFonts w:asciiTheme="majorHAnsi" w:hAnsiTheme="majorHAnsi" w:cstheme="majorHAnsi"/>
          <w:lang w:val="ro-MD"/>
        </w:rPr>
      </w:pPr>
      <w:r>
        <w:rPr>
          <w:rFonts w:asciiTheme="majorHAnsi" w:hAnsiTheme="majorHAnsi" w:cstheme="majorHAnsi"/>
          <w:lang w:val="ro-MD"/>
        </w:rPr>
        <w:t>2.7</w:t>
      </w:r>
      <w:r w:rsidR="002E6A7E">
        <w:rPr>
          <w:rFonts w:asciiTheme="majorHAnsi" w:hAnsiTheme="majorHAnsi" w:cstheme="majorHAnsi"/>
          <w:lang w:val="ro-MD"/>
        </w:rPr>
        <w:t>.1</w:t>
      </w:r>
      <w:r w:rsidR="00140984">
        <w:rPr>
          <w:rFonts w:asciiTheme="majorHAnsi" w:hAnsiTheme="majorHAnsi" w:cstheme="majorHAnsi"/>
          <w:lang w:val="ro-MD"/>
        </w:rPr>
        <w:t>6</w:t>
      </w:r>
      <w:r w:rsidR="00E13C82" w:rsidRPr="00E13C82">
        <w:rPr>
          <w:rFonts w:asciiTheme="majorHAnsi" w:hAnsiTheme="majorHAnsi" w:cstheme="majorHAnsi"/>
          <w:lang w:val="ro-MD"/>
        </w:rPr>
        <w:t xml:space="preserve">. </w:t>
      </w:r>
      <w:r w:rsidR="006F5CD1" w:rsidRPr="00E13C82">
        <w:rPr>
          <w:rFonts w:asciiTheme="majorHAnsi" w:hAnsiTheme="majorHAnsi" w:cstheme="majorHAnsi"/>
          <w:lang w:val="ro-MD"/>
        </w:rPr>
        <w:t xml:space="preserve">transmiterea </w:t>
      </w:r>
      <w:r w:rsidR="00F60E5E">
        <w:rPr>
          <w:rFonts w:asciiTheme="majorHAnsi" w:hAnsiTheme="majorHAnsi" w:cstheme="majorHAnsi"/>
          <w:lang w:val="ro-MD"/>
        </w:rPr>
        <w:t xml:space="preserve">către </w:t>
      </w:r>
      <w:r w:rsidR="006F5CD1" w:rsidRPr="00E13C82">
        <w:rPr>
          <w:rFonts w:asciiTheme="majorHAnsi" w:hAnsiTheme="majorHAnsi" w:cstheme="majorHAnsi"/>
          <w:lang w:val="ro-MD"/>
        </w:rPr>
        <w:t>Ministerul Culturii a creanței aferente granturilor capitale acordate Academiei de Muzică, Teatru și Arte Plastice</w:t>
      </w:r>
      <w:r w:rsidR="00F60E5E">
        <w:rPr>
          <w:rFonts w:asciiTheme="majorHAnsi" w:hAnsiTheme="majorHAnsi" w:cstheme="majorHAnsi"/>
          <w:lang w:val="ro-MD"/>
        </w:rPr>
        <w:t>,</w:t>
      </w:r>
      <w:r w:rsidR="006F5CD1" w:rsidRPr="00E13C82">
        <w:rPr>
          <w:rFonts w:asciiTheme="majorHAnsi" w:hAnsiTheme="majorHAnsi" w:cstheme="majorHAnsi"/>
          <w:lang w:val="ro-MD"/>
        </w:rPr>
        <w:t xml:space="preserve"> în valoare de 1,53 mil.lei;</w:t>
      </w:r>
    </w:p>
    <w:p w14:paraId="3952971F" w14:textId="5CB863AF" w:rsidR="006F340F" w:rsidRPr="00040C20" w:rsidRDefault="00AA37AB" w:rsidP="00140984">
      <w:pPr>
        <w:pStyle w:val="a4"/>
        <w:spacing w:line="276" w:lineRule="auto"/>
        <w:rPr>
          <w:rFonts w:asciiTheme="majorHAnsi" w:hAnsiTheme="majorHAnsi" w:cstheme="majorHAnsi"/>
          <w:highlight w:val="yellow"/>
          <w:lang w:val="ro-MD"/>
        </w:rPr>
      </w:pPr>
      <w:r>
        <w:rPr>
          <w:rFonts w:asciiTheme="majorHAnsi" w:hAnsiTheme="majorHAnsi" w:cstheme="majorHAnsi"/>
          <w:lang w:val="ro-MD"/>
        </w:rPr>
        <w:t>2.7</w:t>
      </w:r>
      <w:r w:rsidR="002E6A7E">
        <w:rPr>
          <w:rFonts w:asciiTheme="majorHAnsi" w:hAnsiTheme="majorHAnsi" w:cstheme="majorHAnsi"/>
          <w:lang w:val="ro-MD"/>
        </w:rPr>
        <w:t>.</w:t>
      </w:r>
      <w:r w:rsidR="00FB41C2">
        <w:rPr>
          <w:rFonts w:asciiTheme="majorHAnsi" w:hAnsiTheme="majorHAnsi" w:cstheme="majorHAnsi"/>
          <w:lang w:val="ro-MD"/>
        </w:rPr>
        <w:t>1</w:t>
      </w:r>
      <w:r w:rsidR="00140984">
        <w:rPr>
          <w:rFonts w:asciiTheme="majorHAnsi" w:hAnsiTheme="majorHAnsi" w:cstheme="majorHAnsi"/>
          <w:lang w:val="ro-MD"/>
        </w:rPr>
        <w:t>7</w:t>
      </w:r>
      <w:r w:rsidR="00E13C82">
        <w:rPr>
          <w:rFonts w:asciiTheme="majorHAnsi" w:hAnsiTheme="majorHAnsi" w:cstheme="majorHAnsi"/>
          <w:lang w:val="ro-MD"/>
        </w:rPr>
        <w:t xml:space="preserve">. </w:t>
      </w:r>
      <w:r w:rsidR="004C55D8">
        <w:rPr>
          <w:rFonts w:asciiTheme="majorHAnsi" w:hAnsiTheme="majorHAnsi" w:cstheme="majorHAnsi"/>
          <w:lang w:val="ro-MD"/>
        </w:rPr>
        <w:t>e</w:t>
      </w:r>
      <w:r w:rsidR="004C55D8" w:rsidRPr="004C55D8">
        <w:rPr>
          <w:rFonts w:asciiTheme="majorHAnsi" w:hAnsiTheme="majorHAnsi" w:cstheme="majorHAnsi"/>
          <w:lang w:val="ro-MD"/>
        </w:rPr>
        <w:t>laborarea și aprobarea în termen de o lună a unui plan de acțiuni în vederea eliminării deficiențelor constatate, precum și implementării de către Ministerul Educației și Cercetării și entitățile din subordine a recomandărilor Curții de Conturi, cu indicarea persoanelor responsabile și a termenelor de realizare a acestora</w:t>
      </w:r>
      <w:r w:rsidR="00E13C82">
        <w:rPr>
          <w:rFonts w:asciiTheme="majorHAnsi" w:hAnsiTheme="majorHAnsi" w:cstheme="majorHAnsi"/>
          <w:lang w:val="ro-MD"/>
        </w:rPr>
        <w:t>.</w:t>
      </w:r>
    </w:p>
    <w:p w14:paraId="402E7C89" w14:textId="2957108F" w:rsidR="00BD0FAF" w:rsidRPr="00196280" w:rsidRDefault="00C0104E" w:rsidP="00CE792D">
      <w:pPr>
        <w:pStyle w:val="a4"/>
        <w:spacing w:line="276" w:lineRule="auto"/>
        <w:rPr>
          <w:rFonts w:asciiTheme="majorHAnsi" w:hAnsiTheme="majorHAnsi" w:cstheme="majorHAnsi"/>
          <w:bCs/>
          <w:lang w:val="ro-MD"/>
        </w:rPr>
      </w:pPr>
      <w:r w:rsidRPr="00973537">
        <w:rPr>
          <w:rFonts w:asciiTheme="majorHAnsi" w:hAnsiTheme="majorHAnsi" w:cstheme="majorHAnsi"/>
          <w:b/>
          <w:lang w:val="ro-MD"/>
        </w:rPr>
        <w:t>3</w:t>
      </w:r>
      <w:r w:rsidR="00A3646C" w:rsidRPr="00B153F2">
        <w:rPr>
          <w:rFonts w:asciiTheme="majorHAnsi" w:hAnsiTheme="majorHAnsi" w:cstheme="majorHAnsi"/>
          <w:b/>
          <w:bCs/>
          <w:lang w:val="ro-MD"/>
        </w:rPr>
        <w:t>.</w:t>
      </w:r>
      <w:r w:rsidR="00A3646C" w:rsidRPr="00B153F2">
        <w:rPr>
          <w:rFonts w:asciiTheme="majorHAnsi" w:hAnsiTheme="majorHAnsi" w:cstheme="majorHAnsi"/>
          <w:bCs/>
          <w:lang w:val="ro-MD"/>
        </w:rPr>
        <w:t xml:space="preserve"> </w:t>
      </w:r>
      <w:r w:rsidR="00BD0FAF">
        <w:rPr>
          <w:rFonts w:asciiTheme="majorHAnsi" w:hAnsiTheme="majorHAnsi" w:cstheme="majorHAnsi"/>
          <w:bCs/>
          <w:lang w:val="ro-MD"/>
        </w:rPr>
        <w:t>Se exclud din regim de monitorizare Hotărâr</w:t>
      </w:r>
      <w:r w:rsidR="00961049">
        <w:rPr>
          <w:rFonts w:asciiTheme="majorHAnsi" w:hAnsiTheme="majorHAnsi" w:cstheme="majorHAnsi"/>
          <w:bCs/>
          <w:lang w:val="ro-MD"/>
        </w:rPr>
        <w:t>ile</w:t>
      </w:r>
      <w:r w:rsidR="00BD0FAF">
        <w:rPr>
          <w:rFonts w:asciiTheme="majorHAnsi" w:hAnsiTheme="majorHAnsi" w:cstheme="majorHAnsi"/>
          <w:bCs/>
          <w:lang w:val="ro-MD"/>
        </w:rPr>
        <w:t xml:space="preserve"> Curții de Conturi </w:t>
      </w:r>
      <w:r w:rsidR="00BD0FAF" w:rsidRPr="0040739A">
        <w:rPr>
          <w:rFonts w:asciiTheme="majorHAnsi" w:hAnsiTheme="majorHAnsi" w:cstheme="majorHAnsi"/>
          <w:bCs/>
          <w:lang w:val="ro-MD"/>
        </w:rPr>
        <w:t>nr.4</w:t>
      </w:r>
      <w:r w:rsidR="00961049">
        <w:rPr>
          <w:rFonts w:asciiTheme="majorHAnsi" w:hAnsiTheme="majorHAnsi" w:cstheme="majorHAnsi"/>
          <w:bCs/>
          <w:lang w:val="ro-MD"/>
        </w:rPr>
        <w:t>0</w:t>
      </w:r>
      <w:r w:rsidR="00BD0FAF" w:rsidRPr="0040739A">
        <w:rPr>
          <w:rFonts w:asciiTheme="majorHAnsi" w:hAnsiTheme="majorHAnsi" w:cstheme="majorHAnsi"/>
          <w:bCs/>
          <w:lang w:val="ro-MD"/>
        </w:rPr>
        <w:t xml:space="preserve"> din </w:t>
      </w:r>
      <w:r w:rsidR="0040739A" w:rsidRPr="0040739A">
        <w:rPr>
          <w:rFonts w:asciiTheme="majorHAnsi" w:hAnsiTheme="majorHAnsi" w:cstheme="majorHAnsi"/>
          <w:bCs/>
          <w:lang w:val="ro-MD"/>
        </w:rPr>
        <w:t>29</w:t>
      </w:r>
      <w:r w:rsidR="008B7B2C">
        <w:rPr>
          <w:rFonts w:asciiTheme="majorHAnsi" w:hAnsiTheme="majorHAnsi" w:cstheme="majorHAnsi"/>
          <w:bCs/>
          <w:lang w:val="ro-MD"/>
        </w:rPr>
        <w:t>.07.</w:t>
      </w:r>
      <w:r w:rsidR="00BD0FAF" w:rsidRPr="0040739A">
        <w:rPr>
          <w:rFonts w:asciiTheme="majorHAnsi" w:hAnsiTheme="majorHAnsi" w:cstheme="majorHAnsi"/>
          <w:bCs/>
          <w:lang w:val="ro-MD"/>
        </w:rPr>
        <w:t>2022 „</w:t>
      </w:r>
      <w:r w:rsidR="0040739A" w:rsidRPr="0040739A">
        <w:rPr>
          <w:rFonts w:asciiTheme="majorHAnsi" w:hAnsiTheme="majorHAnsi" w:cstheme="majorHAnsi"/>
          <w:bCs/>
          <w:lang w:val="ro-MD"/>
        </w:rPr>
        <w:t xml:space="preserve">Cu privire la Raportul auditului asupra rapoartelor financiare consolidate ale Ministerului </w:t>
      </w:r>
      <w:r w:rsidR="00961049">
        <w:rPr>
          <w:rFonts w:asciiTheme="majorHAnsi" w:hAnsiTheme="majorHAnsi" w:cstheme="majorHAnsi"/>
          <w:bCs/>
          <w:lang w:val="ro-MD"/>
        </w:rPr>
        <w:t xml:space="preserve">Educației, </w:t>
      </w:r>
      <w:r w:rsidR="0040739A" w:rsidRPr="0040739A">
        <w:rPr>
          <w:rFonts w:asciiTheme="majorHAnsi" w:hAnsiTheme="majorHAnsi" w:cstheme="majorHAnsi"/>
          <w:bCs/>
          <w:lang w:val="ro-MD"/>
        </w:rPr>
        <w:t xml:space="preserve">Culturii </w:t>
      </w:r>
      <w:r w:rsidR="00961049">
        <w:rPr>
          <w:rFonts w:asciiTheme="majorHAnsi" w:hAnsiTheme="majorHAnsi" w:cstheme="majorHAnsi"/>
          <w:bCs/>
          <w:lang w:val="ro-MD"/>
        </w:rPr>
        <w:t xml:space="preserve">și Cercetării </w:t>
      </w:r>
      <w:r w:rsidR="0040739A" w:rsidRPr="0040739A">
        <w:rPr>
          <w:rFonts w:asciiTheme="majorHAnsi" w:hAnsiTheme="majorHAnsi" w:cstheme="majorHAnsi"/>
          <w:bCs/>
          <w:lang w:val="ro-MD"/>
        </w:rPr>
        <w:t>încheiate la 31 decembrie 2021</w:t>
      </w:r>
      <w:r w:rsidR="00DF10F2">
        <w:rPr>
          <w:rFonts w:asciiTheme="majorHAnsi" w:hAnsiTheme="majorHAnsi" w:cstheme="majorHAnsi"/>
          <w:bCs/>
          <w:lang w:val="ro-MD"/>
        </w:rPr>
        <w:t>”</w:t>
      </w:r>
      <w:r w:rsidR="00F60E5E">
        <w:rPr>
          <w:rFonts w:asciiTheme="majorHAnsi" w:hAnsiTheme="majorHAnsi" w:cstheme="majorHAnsi"/>
          <w:bCs/>
          <w:lang w:val="ro-MD"/>
        </w:rPr>
        <w:t>;</w:t>
      </w:r>
      <w:r w:rsidR="00BD0FAF">
        <w:rPr>
          <w:rFonts w:asciiTheme="majorHAnsi" w:hAnsiTheme="majorHAnsi" w:cstheme="majorHAnsi"/>
          <w:bCs/>
          <w:lang w:val="ro-MD"/>
        </w:rPr>
        <w:t xml:space="preserve"> </w:t>
      </w:r>
      <w:r w:rsidR="00961049" w:rsidRPr="0040739A">
        <w:rPr>
          <w:rFonts w:asciiTheme="majorHAnsi" w:hAnsiTheme="majorHAnsi" w:cstheme="majorHAnsi"/>
          <w:bCs/>
          <w:lang w:val="ro-MD"/>
        </w:rPr>
        <w:t>nr.4</w:t>
      </w:r>
      <w:r w:rsidR="00961049">
        <w:rPr>
          <w:rFonts w:asciiTheme="majorHAnsi" w:hAnsiTheme="majorHAnsi" w:cstheme="majorHAnsi"/>
          <w:bCs/>
          <w:lang w:val="ro-MD"/>
        </w:rPr>
        <w:t>1</w:t>
      </w:r>
      <w:r w:rsidR="00961049" w:rsidRPr="0040739A">
        <w:rPr>
          <w:rFonts w:asciiTheme="majorHAnsi" w:hAnsiTheme="majorHAnsi" w:cstheme="majorHAnsi"/>
          <w:bCs/>
          <w:lang w:val="ro-MD"/>
        </w:rPr>
        <w:t xml:space="preserve"> din 29</w:t>
      </w:r>
      <w:r w:rsidR="00961049">
        <w:rPr>
          <w:rFonts w:asciiTheme="majorHAnsi" w:hAnsiTheme="majorHAnsi" w:cstheme="majorHAnsi"/>
          <w:bCs/>
          <w:lang w:val="ro-MD"/>
        </w:rPr>
        <w:t>.07.</w:t>
      </w:r>
      <w:r w:rsidR="00961049" w:rsidRPr="0040739A">
        <w:rPr>
          <w:rFonts w:asciiTheme="majorHAnsi" w:hAnsiTheme="majorHAnsi" w:cstheme="majorHAnsi"/>
          <w:bCs/>
          <w:lang w:val="ro-MD"/>
        </w:rPr>
        <w:t xml:space="preserve">2022 „Cu privire la Raportul auditului asupra rapoartelor financiare consolidate ale Ministerului </w:t>
      </w:r>
      <w:r w:rsidR="00961049">
        <w:rPr>
          <w:rFonts w:asciiTheme="majorHAnsi" w:hAnsiTheme="majorHAnsi" w:cstheme="majorHAnsi"/>
          <w:bCs/>
          <w:lang w:val="ro-MD"/>
        </w:rPr>
        <w:t xml:space="preserve">Educației și Cercetării </w:t>
      </w:r>
      <w:r w:rsidR="00961049" w:rsidRPr="0040739A">
        <w:rPr>
          <w:rFonts w:asciiTheme="majorHAnsi" w:hAnsiTheme="majorHAnsi" w:cstheme="majorHAnsi"/>
          <w:bCs/>
          <w:lang w:val="ro-MD"/>
        </w:rPr>
        <w:t>încheiate la 31 decembrie 2021”</w:t>
      </w:r>
      <w:r w:rsidR="00F60E5E">
        <w:rPr>
          <w:rFonts w:asciiTheme="majorHAnsi" w:hAnsiTheme="majorHAnsi" w:cstheme="majorHAnsi"/>
          <w:bCs/>
          <w:lang w:val="ro-MD"/>
        </w:rPr>
        <w:t>;</w:t>
      </w:r>
      <w:r w:rsidR="00961049">
        <w:rPr>
          <w:rFonts w:asciiTheme="majorHAnsi" w:hAnsiTheme="majorHAnsi" w:cstheme="majorHAnsi"/>
          <w:bCs/>
          <w:lang w:val="ro-MD"/>
        </w:rPr>
        <w:t xml:space="preserve"> </w:t>
      </w:r>
      <w:r w:rsidR="00CE792D" w:rsidRPr="0040739A">
        <w:rPr>
          <w:rFonts w:asciiTheme="majorHAnsi" w:hAnsiTheme="majorHAnsi" w:cstheme="majorHAnsi"/>
          <w:bCs/>
          <w:lang w:val="ro-MD"/>
        </w:rPr>
        <w:t>nr.</w:t>
      </w:r>
      <w:r w:rsidR="00CE792D">
        <w:rPr>
          <w:rFonts w:asciiTheme="majorHAnsi" w:hAnsiTheme="majorHAnsi" w:cstheme="majorHAnsi"/>
          <w:bCs/>
          <w:lang w:val="ro-MD"/>
        </w:rPr>
        <w:t>2</w:t>
      </w:r>
      <w:r w:rsidR="00CE792D" w:rsidRPr="0040739A">
        <w:rPr>
          <w:rFonts w:asciiTheme="majorHAnsi" w:hAnsiTheme="majorHAnsi" w:cstheme="majorHAnsi"/>
          <w:bCs/>
          <w:lang w:val="ro-MD"/>
        </w:rPr>
        <w:t xml:space="preserve"> din </w:t>
      </w:r>
      <w:r w:rsidR="00CE792D">
        <w:rPr>
          <w:rFonts w:asciiTheme="majorHAnsi" w:hAnsiTheme="majorHAnsi" w:cstheme="majorHAnsi"/>
          <w:bCs/>
          <w:lang w:val="ro-MD"/>
        </w:rPr>
        <w:t>29.01.</w:t>
      </w:r>
      <w:r w:rsidR="00CE792D" w:rsidRPr="0040739A">
        <w:rPr>
          <w:rFonts w:asciiTheme="majorHAnsi" w:hAnsiTheme="majorHAnsi" w:cstheme="majorHAnsi"/>
          <w:bCs/>
          <w:lang w:val="ro-MD"/>
        </w:rPr>
        <w:t>20</w:t>
      </w:r>
      <w:r w:rsidR="00CE792D">
        <w:rPr>
          <w:rFonts w:asciiTheme="majorHAnsi" w:hAnsiTheme="majorHAnsi" w:cstheme="majorHAnsi"/>
          <w:bCs/>
          <w:lang w:val="ro-MD"/>
        </w:rPr>
        <w:t>15</w:t>
      </w:r>
      <w:r w:rsidR="00CE792D" w:rsidRPr="0040739A">
        <w:rPr>
          <w:rFonts w:asciiTheme="majorHAnsi" w:hAnsiTheme="majorHAnsi" w:cstheme="majorHAnsi"/>
          <w:bCs/>
          <w:lang w:val="ro-MD"/>
        </w:rPr>
        <w:t xml:space="preserve"> </w:t>
      </w:r>
      <w:r w:rsidR="00CC2AAA" w:rsidRPr="00CC2AAA">
        <w:rPr>
          <w:rFonts w:asciiTheme="majorHAnsi" w:hAnsiTheme="majorHAnsi" w:cstheme="majorHAnsi"/>
          <w:bCs/>
          <w:lang w:val="ro-MD"/>
        </w:rPr>
        <w:t>„C</w:t>
      </w:r>
      <w:r w:rsidR="00122D22" w:rsidRPr="00CC2AAA">
        <w:rPr>
          <w:rFonts w:asciiTheme="majorHAnsi" w:hAnsiTheme="majorHAnsi" w:cstheme="majorHAnsi"/>
          <w:bCs/>
          <w:lang w:val="ro-MD"/>
        </w:rPr>
        <w:t>u privire la Raportul auditului „Generează impact economic și social alocarea fondurilor publice pentru învățământul secundar profesional?</w:t>
      </w:r>
      <w:r w:rsidR="00CE792D" w:rsidRPr="00CC2AAA">
        <w:rPr>
          <w:rFonts w:asciiTheme="majorHAnsi" w:hAnsiTheme="majorHAnsi" w:cstheme="majorHAnsi"/>
          <w:bCs/>
          <w:lang w:val="ro-MD"/>
        </w:rPr>
        <w:t>”</w:t>
      </w:r>
      <w:r w:rsidR="00CC2AAA" w:rsidRPr="00CC2AAA">
        <w:rPr>
          <w:rFonts w:asciiTheme="majorHAnsi" w:hAnsiTheme="majorHAnsi" w:cstheme="majorHAnsi"/>
          <w:bCs/>
          <w:lang w:val="ro-MD"/>
        </w:rPr>
        <w:t>”</w:t>
      </w:r>
      <w:r w:rsidR="00F60E5E" w:rsidRPr="00CC2AAA">
        <w:rPr>
          <w:rFonts w:asciiTheme="majorHAnsi" w:hAnsiTheme="majorHAnsi" w:cstheme="majorHAnsi"/>
          <w:bCs/>
          <w:lang w:val="ro-MD"/>
        </w:rPr>
        <w:t>;</w:t>
      </w:r>
      <w:r w:rsidR="00CE792D" w:rsidRPr="00CC2AAA">
        <w:rPr>
          <w:rFonts w:asciiTheme="majorHAnsi" w:hAnsiTheme="majorHAnsi" w:cstheme="majorHAnsi"/>
          <w:bCs/>
          <w:lang w:val="ro-MD"/>
        </w:rPr>
        <w:t xml:space="preserve"> </w:t>
      </w:r>
      <w:r w:rsidR="00D341F5" w:rsidRPr="00CC2AAA">
        <w:rPr>
          <w:rFonts w:asciiTheme="majorHAnsi" w:hAnsiTheme="majorHAnsi" w:cstheme="majorHAnsi"/>
          <w:bCs/>
          <w:lang w:val="ro-MD"/>
        </w:rPr>
        <w:t>nr.11 din 18.03.2014 „</w:t>
      </w:r>
      <w:r w:rsidR="005B5188" w:rsidRPr="00CC2AAA">
        <w:rPr>
          <w:rFonts w:asciiTheme="majorHAnsi" w:hAnsiTheme="majorHAnsi" w:cstheme="majorHAnsi"/>
          <w:bCs/>
          <w:lang w:val="ro-MD"/>
        </w:rPr>
        <w:t>P</w:t>
      </w:r>
      <w:r w:rsidR="00D341F5" w:rsidRPr="00CC2AAA">
        <w:rPr>
          <w:rFonts w:asciiTheme="majorHAnsi" w:hAnsiTheme="majorHAnsi" w:cstheme="majorHAnsi"/>
          <w:bCs/>
          <w:lang w:val="ro-MD"/>
        </w:rPr>
        <w:t>rivind auditul conformității gestionării fondurilor publice și situațiilor financiare ale Ministerului Tineretului și Sportului, inclusiv ale unor instituții subordonate</w:t>
      </w:r>
      <w:r w:rsidR="005B5188" w:rsidRPr="00CC2AAA">
        <w:rPr>
          <w:rFonts w:asciiTheme="majorHAnsi" w:hAnsiTheme="majorHAnsi" w:cstheme="majorHAnsi"/>
          <w:bCs/>
          <w:lang w:val="ro-MD"/>
        </w:rPr>
        <w:t>,</w:t>
      </w:r>
      <w:r w:rsidR="00D341F5" w:rsidRPr="00CC2AAA">
        <w:rPr>
          <w:rFonts w:asciiTheme="majorHAnsi" w:hAnsiTheme="majorHAnsi" w:cstheme="majorHAnsi"/>
          <w:bCs/>
          <w:lang w:val="ro-MD"/>
        </w:rPr>
        <w:t xml:space="preserve"> pe exercițiul bugetar 2013”</w:t>
      </w:r>
      <w:r w:rsidR="00F60E5E" w:rsidRPr="00CC2AAA">
        <w:rPr>
          <w:rFonts w:asciiTheme="majorHAnsi" w:hAnsiTheme="majorHAnsi" w:cstheme="majorHAnsi"/>
          <w:bCs/>
          <w:lang w:val="ro-MD"/>
        </w:rPr>
        <w:t>;</w:t>
      </w:r>
      <w:r w:rsidR="00D341F5" w:rsidRPr="00CC2AAA">
        <w:rPr>
          <w:rFonts w:asciiTheme="majorHAnsi" w:hAnsiTheme="majorHAnsi" w:cstheme="majorHAnsi"/>
          <w:bCs/>
          <w:lang w:val="ro-MD"/>
        </w:rPr>
        <w:t xml:space="preserve"> nr.22 din </w:t>
      </w:r>
      <w:r w:rsidR="0060309B" w:rsidRPr="00CC2AAA">
        <w:rPr>
          <w:rFonts w:asciiTheme="majorHAnsi" w:hAnsiTheme="majorHAnsi" w:cstheme="majorHAnsi"/>
          <w:bCs/>
          <w:lang w:val="ro-MD"/>
        </w:rPr>
        <w:t>26</w:t>
      </w:r>
      <w:r w:rsidR="00D341F5" w:rsidRPr="00CC2AAA">
        <w:rPr>
          <w:rFonts w:asciiTheme="majorHAnsi" w:hAnsiTheme="majorHAnsi" w:cstheme="majorHAnsi"/>
          <w:bCs/>
          <w:lang w:val="ro-MD"/>
        </w:rPr>
        <w:t>.</w:t>
      </w:r>
      <w:r w:rsidR="0060309B" w:rsidRPr="00CC2AAA">
        <w:rPr>
          <w:rFonts w:asciiTheme="majorHAnsi" w:hAnsiTheme="majorHAnsi" w:cstheme="majorHAnsi"/>
          <w:bCs/>
          <w:lang w:val="ro-MD"/>
        </w:rPr>
        <w:t>04</w:t>
      </w:r>
      <w:r w:rsidR="00D341F5" w:rsidRPr="00CC2AAA">
        <w:rPr>
          <w:rFonts w:asciiTheme="majorHAnsi" w:hAnsiTheme="majorHAnsi" w:cstheme="majorHAnsi"/>
          <w:bCs/>
          <w:lang w:val="ro-MD"/>
        </w:rPr>
        <w:t>.2013 „</w:t>
      </w:r>
      <w:r w:rsidR="005B5188" w:rsidRPr="00CC2AAA">
        <w:rPr>
          <w:rFonts w:asciiTheme="majorHAnsi" w:hAnsiTheme="majorHAnsi" w:cstheme="majorHAnsi"/>
          <w:bCs/>
          <w:lang w:val="ro-MD"/>
        </w:rPr>
        <w:t>P</w:t>
      </w:r>
      <w:r w:rsidR="00D341F5" w:rsidRPr="00CC2AAA">
        <w:rPr>
          <w:rFonts w:asciiTheme="majorHAnsi" w:hAnsiTheme="majorHAnsi" w:cstheme="majorHAnsi"/>
          <w:bCs/>
          <w:lang w:val="ro-MD"/>
        </w:rPr>
        <w:t>rivind raportul de audit al regularității exercițiului bugetar 20</w:t>
      </w:r>
      <w:r w:rsidR="00D341F5" w:rsidRPr="006A222D">
        <w:rPr>
          <w:rFonts w:asciiTheme="majorHAnsi" w:hAnsiTheme="majorHAnsi" w:cstheme="majorHAnsi"/>
          <w:bCs/>
          <w:lang w:val="ro-MD"/>
        </w:rPr>
        <w:t xml:space="preserve">12 și gestionării patrimoniului public </w:t>
      </w:r>
      <w:r w:rsidR="005B5188" w:rsidRPr="007B7DE4">
        <w:rPr>
          <w:rFonts w:asciiTheme="majorHAnsi" w:hAnsiTheme="majorHAnsi" w:cstheme="majorHAnsi"/>
          <w:bCs/>
          <w:lang w:val="ro-MD"/>
        </w:rPr>
        <w:t>la</w:t>
      </w:r>
      <w:r w:rsidR="00D341F5" w:rsidRPr="006A222D">
        <w:rPr>
          <w:rFonts w:asciiTheme="majorHAnsi" w:hAnsiTheme="majorHAnsi" w:cstheme="majorHAnsi"/>
          <w:bCs/>
          <w:lang w:val="ro-MD"/>
        </w:rPr>
        <w:t xml:space="preserve"> Ministerul Culturii și unele</w:t>
      </w:r>
      <w:r w:rsidR="00D341F5" w:rsidRPr="00A022C0">
        <w:rPr>
          <w:rFonts w:asciiTheme="majorHAnsi" w:hAnsiTheme="majorHAnsi" w:cstheme="majorHAnsi"/>
          <w:bCs/>
          <w:lang w:val="ro-MD"/>
        </w:rPr>
        <w:t xml:space="preserve"> instituții din subordine”</w:t>
      </w:r>
      <w:r w:rsidR="00F60E5E" w:rsidRPr="00A022C0">
        <w:rPr>
          <w:rFonts w:asciiTheme="majorHAnsi" w:hAnsiTheme="majorHAnsi" w:cstheme="majorHAnsi"/>
          <w:bCs/>
          <w:lang w:val="ro-MD"/>
        </w:rPr>
        <w:t>;</w:t>
      </w:r>
      <w:r w:rsidR="00CE792D" w:rsidRPr="00A022C0">
        <w:rPr>
          <w:rFonts w:asciiTheme="majorHAnsi" w:hAnsiTheme="majorHAnsi" w:cstheme="majorHAnsi"/>
          <w:bCs/>
          <w:lang w:val="ro-MD"/>
        </w:rPr>
        <w:t xml:space="preserve"> </w:t>
      </w:r>
      <w:r w:rsidR="00FB41C2" w:rsidRPr="00A022C0">
        <w:rPr>
          <w:rFonts w:asciiTheme="majorHAnsi" w:hAnsiTheme="majorHAnsi" w:cstheme="majorHAnsi"/>
          <w:bCs/>
          <w:lang w:val="ro-MD"/>
        </w:rPr>
        <w:t>nr</w:t>
      </w:r>
      <w:r w:rsidR="00FB41C2">
        <w:rPr>
          <w:rFonts w:asciiTheme="majorHAnsi" w:hAnsiTheme="majorHAnsi" w:cstheme="majorHAnsi"/>
          <w:bCs/>
          <w:lang w:val="ro-MD"/>
        </w:rPr>
        <w:t xml:space="preserve">. 25 din 17.06.2021 „Cu privire la Raportul auditului asupra rapoartelor financiare ale Academiei de Științe a Moldovei încheiate la 31 decembrie 2020”, </w:t>
      </w:r>
      <w:r w:rsidR="00CE792D">
        <w:rPr>
          <w:rFonts w:asciiTheme="majorHAnsi" w:hAnsiTheme="majorHAnsi" w:cstheme="majorHAnsi"/>
          <w:bCs/>
          <w:lang w:val="ro-MD"/>
        </w:rPr>
        <w:t xml:space="preserve">ca urmare a reiterării recomandărilor neimplementate și parțial implementate și </w:t>
      </w:r>
      <w:r w:rsidR="00F60E5E">
        <w:rPr>
          <w:rFonts w:asciiTheme="majorHAnsi" w:hAnsiTheme="majorHAnsi" w:cstheme="majorHAnsi"/>
          <w:bCs/>
          <w:lang w:val="ro-MD"/>
        </w:rPr>
        <w:t xml:space="preserve">a </w:t>
      </w:r>
      <w:r w:rsidR="00CE792D" w:rsidRPr="00FD07B0">
        <w:rPr>
          <w:rFonts w:asciiTheme="majorHAnsi" w:hAnsiTheme="majorHAnsi" w:cstheme="majorHAnsi"/>
          <w:bCs/>
          <w:lang w:val="ro-MD"/>
        </w:rPr>
        <w:t>excluder</w:t>
      </w:r>
      <w:r w:rsidR="00CE792D">
        <w:rPr>
          <w:rFonts w:asciiTheme="majorHAnsi" w:hAnsiTheme="majorHAnsi" w:cstheme="majorHAnsi"/>
          <w:bCs/>
          <w:lang w:val="ro-MD"/>
        </w:rPr>
        <w:t>ii</w:t>
      </w:r>
      <w:r w:rsidR="00CE792D" w:rsidRPr="00FD07B0">
        <w:rPr>
          <w:rFonts w:asciiTheme="majorHAnsi" w:hAnsiTheme="majorHAnsi" w:cstheme="majorHAnsi"/>
          <w:bCs/>
          <w:lang w:val="ro-MD"/>
        </w:rPr>
        <w:t xml:space="preserve"> din regim de monitorizare a recomandărilor care și-au pierdut actualitatea</w:t>
      </w:r>
      <w:r w:rsidR="00BD0FAF" w:rsidRPr="00196280">
        <w:rPr>
          <w:rFonts w:asciiTheme="majorHAnsi" w:hAnsiTheme="majorHAnsi" w:cstheme="majorHAnsi"/>
          <w:bCs/>
          <w:lang w:val="ro-MD"/>
        </w:rPr>
        <w:t xml:space="preserve">. </w:t>
      </w:r>
    </w:p>
    <w:p w14:paraId="2EB2447F" w14:textId="14958795" w:rsidR="008B7B2C" w:rsidRDefault="00BD0FAF" w:rsidP="00F77D55">
      <w:pPr>
        <w:pStyle w:val="a4"/>
        <w:spacing w:line="276" w:lineRule="auto"/>
        <w:rPr>
          <w:rFonts w:asciiTheme="majorHAnsi" w:eastAsiaTheme="minorHAnsi" w:hAnsiTheme="majorHAnsi" w:cstheme="majorHAnsi"/>
          <w:bCs/>
          <w:lang w:val="ro-MD"/>
        </w:rPr>
      </w:pPr>
      <w:r w:rsidRPr="00196280">
        <w:rPr>
          <w:rFonts w:asciiTheme="majorHAnsi" w:eastAsiaTheme="minorHAnsi" w:hAnsiTheme="majorHAnsi" w:cstheme="majorHAnsi"/>
          <w:b/>
          <w:bCs/>
          <w:lang w:val="ro-MD"/>
        </w:rPr>
        <w:t>4.</w:t>
      </w:r>
      <w:r w:rsidRPr="00196280">
        <w:rPr>
          <w:rFonts w:asciiTheme="majorHAnsi" w:eastAsiaTheme="minorHAnsi" w:hAnsiTheme="majorHAnsi" w:cstheme="majorHAnsi"/>
          <w:bCs/>
          <w:lang w:val="ro-MD"/>
        </w:rPr>
        <w:t xml:space="preserve"> </w:t>
      </w:r>
      <w:r w:rsidR="008B7B2C" w:rsidRPr="00196280">
        <w:rPr>
          <w:rFonts w:asciiTheme="majorHAnsi" w:hAnsiTheme="majorHAnsi" w:cstheme="majorHAnsi"/>
          <w:bCs/>
          <w:lang w:val="ro-MD"/>
        </w:rPr>
        <w:t xml:space="preserve">Se ia act că, pe parcursul misiunii de audit, </w:t>
      </w:r>
      <w:r w:rsidR="008B7B2C" w:rsidRPr="00196280">
        <w:rPr>
          <w:rFonts w:asciiTheme="majorHAnsi" w:hAnsiTheme="majorHAnsi" w:cstheme="majorHAnsi"/>
          <w:lang w:val="ro-MD"/>
        </w:rPr>
        <w:t xml:space="preserve">Ministerul </w:t>
      </w:r>
      <w:r w:rsidR="00DA1E28" w:rsidRPr="00196280">
        <w:rPr>
          <w:rFonts w:asciiTheme="majorHAnsi" w:hAnsiTheme="majorHAnsi" w:cstheme="majorHAnsi"/>
          <w:lang w:val="ro-MD"/>
        </w:rPr>
        <w:t xml:space="preserve">Educației și Cercetării </w:t>
      </w:r>
      <w:r w:rsidR="008B7B2C" w:rsidRPr="00196280">
        <w:rPr>
          <w:rFonts w:asciiTheme="majorHAnsi" w:hAnsiTheme="majorHAnsi" w:cstheme="majorHAnsi"/>
          <w:lang w:val="ro-MD"/>
        </w:rPr>
        <w:t xml:space="preserve">a efectuat corectări financiar-contabile de </w:t>
      </w:r>
      <w:r w:rsidR="00196280" w:rsidRPr="00196280">
        <w:rPr>
          <w:rFonts w:asciiTheme="majorHAnsi" w:hAnsiTheme="majorHAnsi" w:cstheme="majorHAnsi"/>
          <w:b/>
          <w:i/>
          <w:lang w:val="ro-MD"/>
        </w:rPr>
        <w:t>5</w:t>
      </w:r>
      <w:r w:rsidR="00F77D55">
        <w:rPr>
          <w:rFonts w:asciiTheme="majorHAnsi" w:hAnsiTheme="majorHAnsi" w:cstheme="majorHAnsi"/>
          <w:b/>
          <w:i/>
          <w:lang w:val="ro-MD"/>
        </w:rPr>
        <w:t>20,</w:t>
      </w:r>
      <w:r w:rsidR="00196280" w:rsidRPr="00196280">
        <w:rPr>
          <w:rFonts w:asciiTheme="majorHAnsi" w:hAnsiTheme="majorHAnsi" w:cstheme="majorHAnsi"/>
          <w:b/>
          <w:i/>
          <w:lang w:val="ro-MD"/>
        </w:rPr>
        <w:t>3</w:t>
      </w:r>
      <w:r w:rsidR="00F77D55">
        <w:rPr>
          <w:rFonts w:asciiTheme="majorHAnsi" w:hAnsiTheme="majorHAnsi" w:cstheme="majorHAnsi"/>
          <w:b/>
          <w:i/>
          <w:lang w:val="ro-MD"/>
        </w:rPr>
        <w:t>2</w:t>
      </w:r>
      <w:r w:rsidR="008B7B2C" w:rsidRPr="00196280">
        <w:rPr>
          <w:rFonts w:asciiTheme="majorHAnsi" w:hAnsiTheme="majorHAnsi" w:cstheme="majorHAnsi"/>
          <w:b/>
          <w:i/>
          <w:lang w:val="ro-MD"/>
        </w:rPr>
        <w:t xml:space="preserve"> mil.lei</w:t>
      </w:r>
      <w:r w:rsidR="008B7B2C" w:rsidRPr="00196280">
        <w:rPr>
          <w:rFonts w:asciiTheme="majorHAnsi" w:hAnsiTheme="majorHAnsi" w:cstheme="majorHAnsi"/>
          <w:lang w:val="ro-MD"/>
        </w:rPr>
        <w:t>.</w:t>
      </w:r>
    </w:p>
    <w:p w14:paraId="23F3391B" w14:textId="44EFEB58" w:rsidR="00A3646C" w:rsidRPr="000C6DEC" w:rsidRDefault="0075788C" w:rsidP="00DA1E28">
      <w:pPr>
        <w:pStyle w:val="a4"/>
        <w:spacing w:line="276" w:lineRule="auto"/>
        <w:rPr>
          <w:rFonts w:asciiTheme="majorHAnsi" w:hAnsiTheme="majorHAnsi" w:cstheme="majorHAnsi"/>
          <w:bCs/>
          <w:lang w:val="ro-MD"/>
        </w:rPr>
      </w:pPr>
      <w:r>
        <w:rPr>
          <w:rFonts w:asciiTheme="majorHAnsi" w:hAnsiTheme="majorHAnsi" w:cstheme="majorHAnsi"/>
          <w:b/>
          <w:bCs/>
          <w:lang w:val="ro-MD"/>
        </w:rPr>
        <w:t>5</w:t>
      </w:r>
      <w:r w:rsidRPr="00BD0FAF">
        <w:rPr>
          <w:rFonts w:asciiTheme="majorHAnsi" w:eastAsiaTheme="minorHAnsi" w:hAnsiTheme="majorHAnsi" w:cstheme="majorHAnsi"/>
          <w:bCs/>
          <w:lang w:val="ro-MD"/>
        </w:rPr>
        <w:t xml:space="preserve">. </w:t>
      </w:r>
      <w:r w:rsidR="00A3646C" w:rsidRPr="00BD0FAF">
        <w:rPr>
          <w:rFonts w:asciiTheme="majorHAnsi" w:eastAsiaTheme="minorHAnsi" w:hAnsiTheme="majorHAnsi" w:cstheme="majorHAnsi"/>
          <w:bCs/>
          <w:lang w:val="ro-MD"/>
        </w:rPr>
        <w:t>Se</w:t>
      </w:r>
      <w:r w:rsidR="00A3646C" w:rsidRPr="00BD0FAF">
        <w:rPr>
          <w:rFonts w:asciiTheme="majorHAnsi" w:hAnsiTheme="majorHAnsi" w:cstheme="majorHAnsi"/>
          <w:bCs/>
          <w:lang w:val="ro-MD"/>
        </w:rPr>
        <w:t xml:space="preserve"> împuternicește </w:t>
      </w:r>
      <w:r w:rsidR="005427BF">
        <w:rPr>
          <w:rFonts w:asciiTheme="majorHAnsi" w:hAnsiTheme="majorHAnsi" w:cstheme="majorHAnsi"/>
          <w:bCs/>
          <w:lang w:val="ro-MD"/>
        </w:rPr>
        <w:t>M</w:t>
      </w:r>
      <w:r w:rsidR="00C07F3B" w:rsidRPr="00BD0FAF">
        <w:rPr>
          <w:rFonts w:asciiTheme="majorHAnsi" w:hAnsiTheme="majorHAnsi" w:cstheme="majorHAnsi"/>
          <w:bCs/>
          <w:lang w:val="ro-MD"/>
        </w:rPr>
        <w:t>embrul</w:t>
      </w:r>
      <w:r w:rsidR="00A3646C" w:rsidRPr="00BD0FAF">
        <w:rPr>
          <w:rFonts w:asciiTheme="majorHAnsi" w:hAnsiTheme="majorHAnsi" w:cstheme="majorHAnsi"/>
          <w:bCs/>
          <w:lang w:val="ro-MD"/>
        </w:rPr>
        <w:t xml:space="preserve"> Curții de Conturi </w:t>
      </w:r>
      <w:r w:rsidR="00C07F3B" w:rsidRPr="00BD0FAF">
        <w:rPr>
          <w:rFonts w:asciiTheme="majorHAnsi" w:hAnsiTheme="majorHAnsi" w:cstheme="majorHAnsi"/>
          <w:bCs/>
          <w:lang w:val="ro-MD"/>
        </w:rPr>
        <w:t xml:space="preserve">care coordonează sectorul respectiv </w:t>
      </w:r>
      <w:r w:rsidR="00A3646C" w:rsidRPr="00BD0FAF">
        <w:rPr>
          <w:rFonts w:asciiTheme="majorHAnsi" w:hAnsiTheme="majorHAnsi" w:cstheme="majorHAnsi"/>
          <w:bCs/>
          <w:lang w:val="ro-MD"/>
        </w:rPr>
        <w:t>cu dreptul de a semna Scrisoarea către conducerea</w:t>
      </w:r>
      <w:r w:rsidR="00A3646C" w:rsidRPr="00BD0FAF">
        <w:rPr>
          <w:rFonts w:asciiTheme="majorHAnsi" w:hAnsiTheme="majorHAnsi" w:cstheme="majorHAnsi"/>
          <w:b/>
          <w:bCs/>
          <w:lang w:val="ro-MD"/>
        </w:rPr>
        <w:t xml:space="preserve"> </w:t>
      </w:r>
      <w:r w:rsidR="00A3646C" w:rsidRPr="00BD0FAF">
        <w:rPr>
          <w:rFonts w:asciiTheme="majorHAnsi" w:hAnsiTheme="majorHAnsi" w:cstheme="majorHAnsi"/>
          <w:lang w:val="ro-MD"/>
        </w:rPr>
        <w:t xml:space="preserve">Ministerului </w:t>
      </w:r>
      <w:r w:rsidR="00DA1E28">
        <w:rPr>
          <w:rFonts w:asciiTheme="majorHAnsi" w:hAnsiTheme="majorHAnsi" w:cstheme="majorHAnsi"/>
          <w:lang w:val="ro-MD"/>
        </w:rPr>
        <w:t>Educație</w:t>
      </w:r>
      <w:r w:rsidR="00990E69" w:rsidRPr="00BD0FAF">
        <w:rPr>
          <w:rFonts w:asciiTheme="majorHAnsi" w:hAnsiTheme="majorHAnsi" w:cstheme="majorHAnsi"/>
          <w:lang w:val="ro-MD"/>
        </w:rPr>
        <w:t>i</w:t>
      </w:r>
      <w:r w:rsidR="00DA1E28">
        <w:rPr>
          <w:rFonts w:asciiTheme="majorHAnsi" w:hAnsiTheme="majorHAnsi" w:cstheme="majorHAnsi"/>
          <w:lang w:val="ro-MD"/>
        </w:rPr>
        <w:t xml:space="preserve"> și Cercetării</w:t>
      </w:r>
      <w:r w:rsidR="00A3646C" w:rsidRPr="00BD0FAF">
        <w:rPr>
          <w:rFonts w:asciiTheme="majorHAnsi" w:hAnsiTheme="majorHAnsi" w:cstheme="majorHAnsi"/>
          <w:bCs/>
          <w:lang w:val="ro-MD"/>
        </w:rPr>
        <w:t>.</w:t>
      </w:r>
    </w:p>
    <w:p w14:paraId="44E2770F" w14:textId="21E5C07E" w:rsidR="00A3646C" w:rsidRPr="00973537" w:rsidRDefault="0075788C" w:rsidP="00D80B18">
      <w:pPr>
        <w:pStyle w:val="a4"/>
        <w:spacing w:line="276" w:lineRule="auto"/>
        <w:rPr>
          <w:rFonts w:asciiTheme="majorHAnsi" w:hAnsiTheme="majorHAnsi" w:cstheme="majorHAnsi"/>
          <w:lang w:val="ro-MD"/>
        </w:rPr>
      </w:pPr>
      <w:r>
        <w:rPr>
          <w:rFonts w:asciiTheme="majorHAnsi" w:hAnsiTheme="majorHAnsi" w:cstheme="majorHAnsi"/>
          <w:b/>
          <w:lang w:val="ro-MD"/>
        </w:rPr>
        <w:t>6</w:t>
      </w:r>
      <w:r w:rsidRPr="00973537">
        <w:rPr>
          <w:rFonts w:asciiTheme="majorHAnsi" w:hAnsiTheme="majorHAnsi" w:cstheme="majorHAnsi"/>
          <w:b/>
          <w:lang w:val="ro-MD"/>
        </w:rPr>
        <w:t>.</w:t>
      </w:r>
      <w:r w:rsidRPr="00973537">
        <w:rPr>
          <w:rFonts w:asciiTheme="majorHAnsi" w:hAnsiTheme="majorHAnsi" w:cstheme="majorHAnsi"/>
          <w:lang w:val="ro-MD"/>
        </w:rPr>
        <w:t xml:space="preserve"> </w:t>
      </w:r>
      <w:r w:rsidR="00A3646C" w:rsidRPr="00BD0FAF">
        <w:rPr>
          <w:rFonts w:asciiTheme="majorHAnsi" w:eastAsiaTheme="minorHAnsi" w:hAnsiTheme="majorHAnsi" w:cstheme="majorHAnsi"/>
          <w:bCs/>
          <w:lang w:val="ro-MD"/>
        </w:rPr>
        <w:t>Prezenta</w:t>
      </w:r>
      <w:r w:rsidR="00A3646C" w:rsidRPr="00BD0FAF">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3EFE4168" w14:textId="4DF839F6" w:rsidR="00A3646C" w:rsidRPr="00973537" w:rsidRDefault="0075788C" w:rsidP="00D80B18">
      <w:pPr>
        <w:pStyle w:val="a4"/>
        <w:spacing w:line="276" w:lineRule="auto"/>
        <w:rPr>
          <w:rFonts w:asciiTheme="majorHAnsi" w:hAnsiTheme="majorHAnsi" w:cstheme="majorHAnsi"/>
          <w:lang w:val="ro-MD"/>
        </w:rPr>
      </w:pPr>
      <w:r>
        <w:rPr>
          <w:rFonts w:asciiTheme="majorHAnsi" w:hAnsiTheme="majorHAnsi" w:cstheme="majorHAnsi"/>
          <w:b/>
          <w:bCs/>
          <w:lang w:val="ro-MD"/>
        </w:rPr>
        <w:t>7</w:t>
      </w:r>
      <w:r w:rsidRPr="00973537">
        <w:rPr>
          <w:rFonts w:asciiTheme="majorHAnsi" w:hAnsiTheme="majorHAnsi" w:cstheme="majorHAnsi"/>
          <w:b/>
          <w:bCs/>
          <w:lang w:val="ro-MD"/>
        </w:rPr>
        <w:t>.</w:t>
      </w:r>
      <w:r w:rsidRPr="00D46463">
        <w:rPr>
          <w:rFonts w:asciiTheme="majorHAnsi" w:hAnsiTheme="majorHAnsi" w:cstheme="majorHAnsi"/>
          <w:lang w:val="ro-MD" w:eastAsia="ro-MD"/>
        </w:rPr>
        <w:t xml:space="preserve"> </w:t>
      </w:r>
      <w:r w:rsidR="00A3646C" w:rsidRPr="00BD0FAF">
        <w:rPr>
          <w:rFonts w:asciiTheme="majorHAnsi" w:hAnsiTheme="majorHAnsi" w:cstheme="majorHAnsi"/>
          <w:noProof/>
          <w:lang w:val="ro-MD"/>
        </w:rPr>
        <w:t xml:space="preserve">Curtea de Conturi va fi informată, în termen de 6 luni din data </w:t>
      </w:r>
      <w:r w:rsidR="00A3646C" w:rsidRPr="00BD0FAF">
        <w:rPr>
          <w:rFonts w:asciiTheme="majorHAnsi" w:hAnsiTheme="majorHAnsi" w:cstheme="majorHAnsi"/>
          <w:noProof/>
          <w:lang w:val="ro-MD" w:eastAsia="ru-RU"/>
        </w:rPr>
        <w:t xml:space="preserve">publicării </w:t>
      </w:r>
      <w:r w:rsidR="00A3646C" w:rsidRPr="00BD0FAF">
        <w:rPr>
          <w:rFonts w:asciiTheme="majorHAnsi" w:hAnsiTheme="majorHAnsi" w:cstheme="majorHAnsi"/>
          <w:noProof/>
          <w:lang w:val="ro-MD"/>
        </w:rPr>
        <w:t>Hotărârii</w:t>
      </w:r>
      <w:r w:rsidR="00A3646C" w:rsidRPr="00BD0FAF">
        <w:rPr>
          <w:rFonts w:asciiTheme="majorHAnsi" w:hAnsiTheme="majorHAnsi" w:cstheme="majorHAnsi"/>
          <w:lang w:val="ro-MD"/>
        </w:rPr>
        <w:t xml:space="preserve"> în Monitorul Oficial al Republicii Moldova,</w:t>
      </w:r>
      <w:r w:rsidR="00A3646C" w:rsidRPr="00BD0FAF">
        <w:rPr>
          <w:rFonts w:asciiTheme="majorHAnsi" w:hAnsiTheme="majorHAnsi" w:cstheme="majorHAnsi"/>
          <w:noProof/>
          <w:lang w:val="ro-MD"/>
        </w:rPr>
        <w:t xml:space="preserve"> despre acțiunile întreprinse pentru executarea</w:t>
      </w:r>
      <w:r w:rsidR="00A3646C" w:rsidRPr="00D46463">
        <w:rPr>
          <w:rFonts w:asciiTheme="majorHAnsi" w:hAnsiTheme="majorHAnsi" w:cstheme="majorHAnsi"/>
          <w:noProof/>
          <w:lang w:val="ro-MD"/>
        </w:rPr>
        <w:t xml:space="preserve"> </w:t>
      </w:r>
      <w:r w:rsidR="00A3646C" w:rsidRPr="009C5691">
        <w:rPr>
          <w:rFonts w:asciiTheme="majorHAnsi" w:hAnsiTheme="majorHAnsi" w:cstheme="majorHAnsi"/>
          <w:noProof/>
          <w:lang w:val="ro-MD"/>
        </w:rPr>
        <w:t xml:space="preserve">subpunctelor </w:t>
      </w:r>
      <w:r w:rsidR="00677760" w:rsidRPr="009C5691">
        <w:rPr>
          <w:rFonts w:asciiTheme="majorHAnsi" w:hAnsiTheme="majorHAnsi" w:cstheme="majorHAnsi"/>
          <w:noProof/>
          <w:lang w:val="ro-MD"/>
        </w:rPr>
        <w:t>2.4.</w:t>
      </w:r>
      <w:r w:rsidR="00D47DAB" w:rsidRPr="009C5691">
        <w:rPr>
          <w:rFonts w:asciiTheme="majorHAnsi" w:hAnsiTheme="majorHAnsi" w:cstheme="majorHAnsi"/>
          <w:noProof/>
          <w:lang w:val="ro-MD"/>
        </w:rPr>
        <w:t xml:space="preserve"> – 2.</w:t>
      </w:r>
      <w:r w:rsidR="009C5691" w:rsidRPr="009C5691">
        <w:rPr>
          <w:rFonts w:asciiTheme="majorHAnsi" w:hAnsiTheme="majorHAnsi" w:cstheme="majorHAnsi"/>
          <w:noProof/>
          <w:lang w:val="ro-MD"/>
        </w:rPr>
        <w:t>7</w:t>
      </w:r>
      <w:r w:rsidR="00D47DAB" w:rsidRPr="009C5691">
        <w:rPr>
          <w:rFonts w:asciiTheme="majorHAnsi" w:hAnsiTheme="majorHAnsi" w:cstheme="majorHAnsi"/>
          <w:noProof/>
          <w:lang w:val="ro-MD"/>
        </w:rPr>
        <w:t>.</w:t>
      </w:r>
      <w:r w:rsidR="00D47DAB" w:rsidRPr="00D80B18">
        <w:rPr>
          <w:rFonts w:asciiTheme="majorHAnsi" w:hAnsiTheme="majorHAnsi" w:cstheme="majorHAnsi"/>
          <w:noProof/>
          <w:lang w:val="ro-MD"/>
        </w:rPr>
        <w:t xml:space="preserve"> </w:t>
      </w:r>
      <w:r w:rsidR="00A3646C" w:rsidRPr="00D80B18">
        <w:rPr>
          <w:rFonts w:asciiTheme="majorHAnsi" w:hAnsiTheme="majorHAnsi" w:cstheme="majorHAnsi"/>
          <w:noProof/>
          <w:lang w:val="ro-MD"/>
        </w:rPr>
        <w:t>din prezenta Hotărâre</w:t>
      </w:r>
      <w:r>
        <w:rPr>
          <w:rFonts w:asciiTheme="majorHAnsi" w:hAnsiTheme="majorHAnsi" w:cstheme="majorHAnsi"/>
          <w:noProof/>
          <w:lang w:val="ro-MD"/>
        </w:rPr>
        <w:t xml:space="preserve"> și despre realizarea recomandărilor din Scrisoarea către conducerea entității</w:t>
      </w:r>
      <w:r w:rsidR="00A3646C" w:rsidRPr="00D80B18">
        <w:rPr>
          <w:rFonts w:asciiTheme="majorHAnsi" w:hAnsiTheme="majorHAnsi" w:cstheme="majorHAnsi"/>
          <w:noProof/>
          <w:lang w:val="ro-MD"/>
        </w:rPr>
        <w:t>.</w:t>
      </w:r>
    </w:p>
    <w:p w14:paraId="57A52087" w14:textId="5AC442DC" w:rsidR="00A3646C" w:rsidRPr="00973537" w:rsidRDefault="00BD0FAF" w:rsidP="00FE3DE2">
      <w:pPr>
        <w:spacing w:after="0" w:line="276" w:lineRule="auto"/>
        <w:ind w:firstLine="567"/>
        <w:jc w:val="both"/>
        <w:rPr>
          <w:rFonts w:asciiTheme="majorHAnsi" w:eastAsia="Times New Roman" w:hAnsiTheme="majorHAnsi" w:cstheme="majorHAnsi"/>
          <w:sz w:val="24"/>
          <w:szCs w:val="24"/>
          <w:lang w:val="ro-MD" w:eastAsia="ro-MD"/>
        </w:rPr>
      </w:pPr>
      <w:r>
        <w:rPr>
          <w:rFonts w:asciiTheme="majorHAnsi" w:hAnsiTheme="majorHAnsi" w:cstheme="majorHAnsi"/>
          <w:b/>
          <w:sz w:val="24"/>
          <w:szCs w:val="24"/>
          <w:lang w:val="ro-MD"/>
        </w:rPr>
        <w:t>8</w:t>
      </w:r>
      <w:r w:rsidR="00A3646C" w:rsidRPr="00B153F2">
        <w:rPr>
          <w:rFonts w:asciiTheme="majorHAnsi" w:hAnsiTheme="majorHAnsi" w:cstheme="majorHAnsi"/>
          <w:b/>
          <w:sz w:val="24"/>
          <w:szCs w:val="24"/>
          <w:lang w:val="ro-MD"/>
        </w:rPr>
        <w:t>.</w:t>
      </w:r>
      <w:r w:rsidR="00A3646C" w:rsidRPr="00B153F2">
        <w:rPr>
          <w:rFonts w:asciiTheme="majorHAnsi" w:hAnsiTheme="majorHAnsi" w:cstheme="majorHAnsi"/>
          <w:sz w:val="24"/>
          <w:szCs w:val="24"/>
          <w:lang w:val="ro-MD"/>
        </w:rPr>
        <w:t xml:space="preserve">  Hotărârea și Raportul auditului asupra rapoartelor financiare consolidate ale Ministerului </w:t>
      </w:r>
      <w:r w:rsidR="00FE3DE2">
        <w:rPr>
          <w:rFonts w:asciiTheme="majorHAnsi" w:hAnsiTheme="majorHAnsi" w:cstheme="majorHAnsi"/>
          <w:sz w:val="24"/>
          <w:szCs w:val="24"/>
          <w:lang w:val="ro-MD"/>
        </w:rPr>
        <w:t>Educației și Cercetării</w:t>
      </w:r>
      <w:r w:rsidR="00A3646C" w:rsidRPr="00B153F2">
        <w:rPr>
          <w:rFonts w:asciiTheme="majorHAnsi" w:hAnsiTheme="majorHAnsi" w:cstheme="majorHAnsi"/>
          <w:sz w:val="24"/>
          <w:szCs w:val="24"/>
          <w:lang w:val="ro-MD"/>
        </w:rPr>
        <w:t xml:space="preserve"> încheiate la 31 decembrie </w:t>
      </w:r>
      <w:r w:rsidR="0075788C" w:rsidRPr="00B153F2">
        <w:rPr>
          <w:rFonts w:asciiTheme="majorHAnsi" w:hAnsiTheme="majorHAnsi" w:cstheme="majorHAnsi"/>
          <w:sz w:val="24"/>
          <w:szCs w:val="24"/>
          <w:lang w:val="ro-MD"/>
        </w:rPr>
        <w:t>202</w:t>
      </w:r>
      <w:r w:rsidR="0075788C">
        <w:rPr>
          <w:rFonts w:asciiTheme="majorHAnsi" w:hAnsiTheme="majorHAnsi" w:cstheme="majorHAnsi"/>
          <w:sz w:val="24"/>
          <w:szCs w:val="24"/>
          <w:lang w:val="ro-MD"/>
        </w:rPr>
        <w:t>2</w:t>
      </w:r>
      <w:r w:rsidR="0075788C" w:rsidRPr="00B153F2">
        <w:rPr>
          <w:rFonts w:asciiTheme="majorHAnsi" w:hAnsiTheme="majorHAnsi" w:cstheme="majorHAnsi"/>
          <w:sz w:val="24"/>
          <w:szCs w:val="24"/>
          <w:lang w:val="ro-MD"/>
        </w:rPr>
        <w:t xml:space="preserve"> </w:t>
      </w:r>
      <w:r w:rsidR="00A3646C" w:rsidRPr="00B153F2">
        <w:rPr>
          <w:rFonts w:asciiTheme="majorHAnsi" w:hAnsiTheme="majorHAnsi" w:cstheme="majorHAnsi"/>
          <w:sz w:val="24"/>
          <w:szCs w:val="24"/>
          <w:lang w:val="ro-MD"/>
        </w:rPr>
        <w:t>se plasează pe site-ul oficial al Curții de Conturi (</w:t>
      </w:r>
      <w:hyperlink r:id="rId8" w:history="1">
        <w:r w:rsidR="00830BAB" w:rsidRPr="00D46463">
          <w:rPr>
            <w:rStyle w:val="a3"/>
            <w:rFonts w:asciiTheme="majorHAnsi" w:hAnsiTheme="majorHAnsi" w:cstheme="majorHAnsi"/>
            <w:sz w:val="24"/>
            <w:szCs w:val="24"/>
          </w:rPr>
          <w:t>https://www.ccrm.md/ro/decisions</w:t>
        </w:r>
      </w:hyperlink>
      <w:r w:rsidR="00A3646C" w:rsidRPr="00973537">
        <w:rPr>
          <w:rFonts w:asciiTheme="majorHAnsi" w:hAnsiTheme="majorHAnsi" w:cstheme="majorHAnsi"/>
          <w:sz w:val="24"/>
          <w:szCs w:val="24"/>
          <w:lang w:val="ro-MD"/>
        </w:rPr>
        <w:t>).</w:t>
      </w:r>
    </w:p>
    <w:p w14:paraId="79CCE41F" w14:textId="0201D04E" w:rsidR="00A3646C" w:rsidRPr="000C5C21" w:rsidRDefault="00A3646C" w:rsidP="00CB3CD8">
      <w:pPr>
        <w:pStyle w:val="a4"/>
        <w:spacing w:line="276" w:lineRule="auto"/>
        <w:ind w:firstLine="0"/>
        <w:rPr>
          <w:rFonts w:asciiTheme="majorHAnsi" w:hAnsiTheme="majorHAnsi"/>
          <w:lang w:val="ro-MD"/>
        </w:rPr>
      </w:pPr>
    </w:p>
    <w:p w14:paraId="18C7D9BD" w14:textId="77777777" w:rsidR="005239BB" w:rsidRDefault="005239BB" w:rsidP="00A3646C">
      <w:pPr>
        <w:spacing w:after="0" w:line="276" w:lineRule="auto"/>
        <w:jc w:val="right"/>
        <w:rPr>
          <w:rFonts w:asciiTheme="majorHAnsi" w:eastAsia="Times New Roman" w:hAnsiTheme="majorHAnsi" w:cs="Times New Roman"/>
          <w:b/>
          <w:sz w:val="24"/>
          <w:szCs w:val="24"/>
          <w:lang w:val="ro-MD"/>
        </w:rPr>
      </w:pPr>
    </w:p>
    <w:p w14:paraId="4458792A" w14:textId="28D50BD7" w:rsidR="00A3646C" w:rsidRPr="00E51F45" w:rsidRDefault="00FB41C2" w:rsidP="00A3646C">
      <w:pPr>
        <w:spacing w:after="0" w:line="276" w:lineRule="auto"/>
        <w:jc w:val="right"/>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Viorel CHETRARU</w:t>
      </w:r>
      <w:r w:rsidR="00A3646C" w:rsidRPr="00E51F45">
        <w:rPr>
          <w:rFonts w:asciiTheme="majorHAnsi" w:eastAsia="Times New Roman" w:hAnsiTheme="majorHAnsi" w:cs="Times New Roman"/>
          <w:b/>
          <w:sz w:val="24"/>
          <w:szCs w:val="24"/>
          <w:lang w:val="ro-MD"/>
        </w:rPr>
        <w:t>,</w:t>
      </w:r>
    </w:p>
    <w:p w14:paraId="112D1C7F" w14:textId="1033F3BA" w:rsidR="00A3646C" w:rsidRPr="00E51F45" w:rsidRDefault="00FB41C2" w:rsidP="00FB41C2">
      <w:pPr>
        <w:spacing w:after="0" w:line="276" w:lineRule="auto"/>
        <w:jc w:val="right"/>
        <w:rPr>
          <w:rFonts w:asciiTheme="majorHAnsi" w:hAnsiTheme="majorHAnsi" w:cs="Times New Roman"/>
          <w:sz w:val="24"/>
          <w:szCs w:val="24"/>
          <w:lang w:val="ro-MD"/>
        </w:rPr>
      </w:pPr>
      <w:r>
        <w:rPr>
          <w:rFonts w:asciiTheme="majorHAnsi" w:eastAsia="Times New Roman" w:hAnsiTheme="majorHAnsi" w:cs="Times New Roman"/>
          <w:b/>
          <w:sz w:val="24"/>
          <w:szCs w:val="24"/>
          <w:lang w:val="ro-MD"/>
        </w:rPr>
        <w:t>Vicep</w:t>
      </w:r>
      <w:r w:rsidR="00A3646C" w:rsidRPr="00E51F45">
        <w:rPr>
          <w:rFonts w:asciiTheme="majorHAnsi" w:eastAsia="Times New Roman" w:hAnsiTheme="majorHAnsi" w:cs="Times New Roman"/>
          <w:b/>
          <w:sz w:val="24"/>
          <w:szCs w:val="24"/>
          <w:lang w:val="ro-MD"/>
        </w:rPr>
        <w:t>reședinte</w:t>
      </w:r>
    </w:p>
    <w:p w14:paraId="0AAAFE9E" w14:textId="0F83B8A9" w:rsidR="003C3F8C" w:rsidRDefault="003C3F8C">
      <w:pPr>
        <w:rPr>
          <w:lang w:val="ro-MD"/>
        </w:rPr>
      </w:pPr>
    </w:p>
    <w:p w14:paraId="4B4FD248" w14:textId="2F2767AD" w:rsidR="00ED5BCF" w:rsidRDefault="00ED5BCF">
      <w:pPr>
        <w:rPr>
          <w:lang w:val="ro-MD"/>
        </w:rPr>
      </w:pPr>
    </w:p>
    <w:p w14:paraId="15C1210E" w14:textId="0D5CD32C" w:rsidR="00ED5BCF" w:rsidRDefault="00ED5BCF">
      <w:pPr>
        <w:rPr>
          <w:lang w:val="ro-MD"/>
        </w:rPr>
      </w:pPr>
    </w:p>
    <w:p w14:paraId="3D1DE845" w14:textId="50182B9C" w:rsidR="00ED5BCF" w:rsidRDefault="00ED5BCF">
      <w:pPr>
        <w:rPr>
          <w:lang w:val="ro-MD"/>
        </w:rPr>
      </w:pPr>
    </w:p>
    <w:p w14:paraId="4A4DEAE5" w14:textId="7A5CED6F" w:rsidR="00ED5BCF" w:rsidRDefault="00ED5BCF">
      <w:pPr>
        <w:rPr>
          <w:lang w:val="ro-MD"/>
        </w:rPr>
      </w:pPr>
    </w:p>
    <w:p w14:paraId="5A0DAC17" w14:textId="0D973977" w:rsidR="00ED5BCF" w:rsidRDefault="00ED5BCF">
      <w:pPr>
        <w:rPr>
          <w:lang w:val="ro-MD"/>
        </w:rPr>
      </w:pPr>
    </w:p>
    <w:p w14:paraId="7D842F77" w14:textId="0D34064B" w:rsidR="00ED5BCF" w:rsidRDefault="00ED5BCF">
      <w:pPr>
        <w:rPr>
          <w:lang w:val="ro-MD"/>
        </w:rPr>
      </w:pPr>
    </w:p>
    <w:p w14:paraId="1FE22F35" w14:textId="12293F4B" w:rsidR="00ED5BCF" w:rsidRDefault="00ED5BCF">
      <w:pPr>
        <w:rPr>
          <w:lang w:val="ro-MD"/>
        </w:rPr>
      </w:pPr>
    </w:p>
    <w:p w14:paraId="536DEE19" w14:textId="703427EB" w:rsidR="00ED5BCF" w:rsidRDefault="00ED5BCF">
      <w:pPr>
        <w:rPr>
          <w:lang w:val="ro-MD"/>
        </w:rPr>
      </w:pPr>
    </w:p>
    <w:p w14:paraId="4FB55A2F" w14:textId="77777777" w:rsidR="00FE3DE2" w:rsidRDefault="00FE3DE2">
      <w:pPr>
        <w:spacing w:after="0" w:line="276" w:lineRule="auto"/>
        <w:jc w:val="both"/>
        <w:rPr>
          <w:rFonts w:asciiTheme="majorHAnsi" w:hAnsiTheme="majorHAnsi" w:cstheme="majorHAnsi"/>
          <w:sz w:val="24"/>
          <w:szCs w:val="24"/>
          <w:lang w:val="ro-MD"/>
        </w:rPr>
        <w:sectPr w:rsidR="00FE3DE2" w:rsidSect="00CC2AAA">
          <w:headerReference w:type="default" r:id="rId9"/>
          <w:footerReference w:type="default" r:id="rId10"/>
          <w:pgSz w:w="11906" w:h="16838" w:code="9"/>
          <w:pgMar w:top="851" w:right="851" w:bottom="851" w:left="1701" w:header="720" w:footer="720" w:gutter="0"/>
          <w:cols w:space="708"/>
          <w:titlePg/>
          <w:docGrid w:linePitch="360"/>
        </w:sectPr>
      </w:pPr>
      <w:bookmarkStart w:id="1" w:name="_GoBack"/>
      <w:bookmarkEnd w:id="1"/>
    </w:p>
    <w:p w14:paraId="4DFF2CFD" w14:textId="77777777" w:rsidR="00ED5BCF" w:rsidRPr="008D5744" w:rsidRDefault="00ED5BCF" w:rsidP="00EA2CA6">
      <w:pPr>
        <w:spacing w:after="0" w:line="276" w:lineRule="auto"/>
        <w:jc w:val="both"/>
        <w:rPr>
          <w:lang w:val="ro-MD"/>
        </w:rPr>
      </w:pPr>
    </w:p>
    <w:sectPr w:rsidR="00ED5BCF" w:rsidRPr="008D5744" w:rsidSect="00BE6D29">
      <w:pgSz w:w="11906" w:h="16838" w:code="9"/>
      <w:pgMar w:top="851" w:right="851" w:bottom="851"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E7FE7" w14:textId="77777777" w:rsidR="003E2832" w:rsidRDefault="003E2832" w:rsidP="00A3646C">
      <w:pPr>
        <w:spacing w:after="0" w:line="240" w:lineRule="auto"/>
      </w:pPr>
      <w:r>
        <w:separator/>
      </w:r>
    </w:p>
  </w:endnote>
  <w:endnote w:type="continuationSeparator" w:id="0">
    <w:p w14:paraId="1069E5C9" w14:textId="77777777" w:rsidR="003E2832" w:rsidRDefault="003E2832" w:rsidP="00A36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879665"/>
      <w:docPartObj>
        <w:docPartGallery w:val="Page Numbers (Bottom of Page)"/>
        <w:docPartUnique/>
      </w:docPartObj>
    </w:sdtPr>
    <w:sdtEndPr>
      <w:rPr>
        <w:noProof/>
        <w:sz w:val="32"/>
      </w:rPr>
    </w:sdtEndPr>
    <w:sdtContent>
      <w:p w14:paraId="13D51C58" w14:textId="20467564" w:rsidR="00140984" w:rsidRPr="00005A0E" w:rsidRDefault="00140984">
        <w:pPr>
          <w:pStyle w:val="aa"/>
          <w:jc w:val="right"/>
          <w:rPr>
            <w:sz w:val="32"/>
          </w:rPr>
        </w:pPr>
        <w:r w:rsidRPr="00005A0E">
          <w:rPr>
            <w:rFonts w:asciiTheme="majorHAnsi" w:hAnsiTheme="majorHAnsi" w:cstheme="majorHAnsi"/>
          </w:rPr>
          <w:fldChar w:fldCharType="begin"/>
        </w:r>
        <w:r w:rsidRPr="00005A0E">
          <w:rPr>
            <w:rFonts w:asciiTheme="majorHAnsi" w:hAnsiTheme="majorHAnsi" w:cstheme="majorHAnsi"/>
          </w:rPr>
          <w:instrText xml:space="preserve"> PAGE   \* MERGEFORMAT </w:instrText>
        </w:r>
        <w:r w:rsidRPr="00005A0E">
          <w:rPr>
            <w:rFonts w:asciiTheme="majorHAnsi" w:hAnsiTheme="majorHAnsi" w:cstheme="majorHAnsi"/>
          </w:rPr>
          <w:fldChar w:fldCharType="separate"/>
        </w:r>
        <w:r w:rsidR="00EA2CA6">
          <w:rPr>
            <w:rFonts w:asciiTheme="majorHAnsi" w:hAnsiTheme="majorHAnsi" w:cstheme="majorHAnsi"/>
            <w:noProof/>
          </w:rPr>
          <w:t>5</w:t>
        </w:r>
        <w:r w:rsidRPr="00005A0E">
          <w:rPr>
            <w:rFonts w:asciiTheme="majorHAnsi" w:hAnsiTheme="majorHAnsi" w:cstheme="majorHAnsi"/>
            <w:noProof/>
          </w:rPr>
          <w:fldChar w:fldCharType="end"/>
        </w:r>
      </w:p>
    </w:sdtContent>
  </w:sdt>
  <w:p w14:paraId="71AD0720" w14:textId="77777777" w:rsidR="00140984" w:rsidRDefault="0014098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BFE19" w14:textId="77777777" w:rsidR="003E2832" w:rsidRDefault="003E2832" w:rsidP="00A3646C">
      <w:pPr>
        <w:spacing w:after="0" w:line="240" w:lineRule="auto"/>
      </w:pPr>
      <w:r>
        <w:separator/>
      </w:r>
    </w:p>
  </w:footnote>
  <w:footnote w:type="continuationSeparator" w:id="0">
    <w:p w14:paraId="5BDBA3A1" w14:textId="77777777" w:rsidR="003E2832" w:rsidRDefault="003E2832" w:rsidP="00A3646C">
      <w:pPr>
        <w:spacing w:after="0" w:line="240" w:lineRule="auto"/>
      </w:pPr>
      <w:r>
        <w:continuationSeparator/>
      </w:r>
    </w:p>
  </w:footnote>
  <w:footnote w:id="1">
    <w:p w14:paraId="6781B230" w14:textId="77777777" w:rsidR="00140984" w:rsidRPr="006D354D" w:rsidRDefault="00140984" w:rsidP="00A3646C">
      <w:pPr>
        <w:pStyle w:val="a7"/>
        <w:jc w:val="both"/>
        <w:rPr>
          <w:rFonts w:asciiTheme="majorHAnsi" w:hAnsiTheme="majorHAnsi" w:cstheme="majorHAnsi"/>
          <w:sz w:val="16"/>
          <w:szCs w:val="16"/>
          <w:lang w:val="ro-MD"/>
        </w:rPr>
      </w:pPr>
      <w:r w:rsidRPr="006D354D">
        <w:rPr>
          <w:rFonts w:ascii="Calibri Light" w:eastAsia="Times New Roman" w:hAnsi="Calibri Light" w:cs="Calibri Light"/>
          <w:sz w:val="16"/>
          <w:szCs w:val="16"/>
          <w:vertAlign w:val="superscript"/>
          <w:lang w:val="ro-MD"/>
        </w:rPr>
        <w:footnoteRef/>
      </w:r>
      <w:r w:rsidRPr="006D354D">
        <w:rPr>
          <w:rFonts w:ascii="Calibri Light" w:eastAsia="Times New Roman" w:hAnsi="Calibri Light" w:cs="Calibri Light"/>
          <w:sz w:val="16"/>
          <w:szCs w:val="16"/>
          <w:lang w:val="ro-MD"/>
        </w:rPr>
        <w:t xml:space="preserve"> </w:t>
      </w:r>
      <w:r w:rsidRPr="006D354D">
        <w:rPr>
          <w:rFonts w:asciiTheme="majorHAnsi" w:eastAsia="Times New Roman" w:hAnsiTheme="majorHAnsi" w:cstheme="majorHAnsi"/>
          <w:sz w:val="16"/>
          <w:szCs w:val="16"/>
          <w:lang w:val="ro-MD"/>
        </w:rPr>
        <w:t xml:space="preserve">Legea privind organizarea și funcționarea Curții de Conturi a Republicii Moldova nr.260 din 07.12.2017 (în continuare – Legea nr.260 din 07.12.2017). </w:t>
      </w:r>
    </w:p>
  </w:footnote>
  <w:footnote w:id="2">
    <w:p w14:paraId="507738FE" w14:textId="77777777" w:rsidR="00140984" w:rsidRPr="00197926" w:rsidRDefault="00140984" w:rsidP="0014498A">
      <w:pPr>
        <w:pStyle w:val="a7"/>
        <w:spacing w:line="276" w:lineRule="auto"/>
        <w:jc w:val="both"/>
        <w:rPr>
          <w:rFonts w:asciiTheme="majorHAnsi" w:hAnsiTheme="majorHAnsi" w:cstheme="majorHAnsi"/>
          <w:sz w:val="16"/>
          <w:szCs w:val="16"/>
          <w:lang w:val="ro-RO"/>
        </w:rPr>
      </w:pPr>
      <w:r w:rsidRPr="00197926">
        <w:rPr>
          <w:rStyle w:val="FootnoteReference1"/>
          <w:rFonts w:asciiTheme="majorHAnsi" w:hAnsiTheme="majorHAnsi" w:cstheme="majorHAnsi"/>
          <w:sz w:val="16"/>
          <w:szCs w:val="16"/>
          <w:lang w:val="ro-RO"/>
        </w:rPr>
        <w:footnoteRef/>
      </w:r>
      <w:r w:rsidRPr="00197926">
        <w:rPr>
          <w:rFonts w:asciiTheme="majorHAnsi" w:hAnsiTheme="majorHAnsi" w:cstheme="majorHAnsi"/>
          <w:sz w:val="16"/>
          <w:szCs w:val="16"/>
          <w:lang w:val="ro-MD"/>
        </w:rPr>
        <w:t xml:space="preserve"> </w:t>
      </w:r>
      <w:r w:rsidRPr="00197926">
        <w:rPr>
          <w:rFonts w:ascii="Calibri Light" w:eastAsia="Times New Roman" w:hAnsi="Calibri Light" w:cs="Calibri Light"/>
          <w:sz w:val="16"/>
          <w:szCs w:val="16"/>
          <w:lang w:val="ro-RO"/>
        </w:rPr>
        <w:t>Programele activității de audit a Curții de Conturi pe anii 2022 și, respectiv, 2023, aprobate prin Hotărârile Curții de Conturi nr.75 din 28.12.2021 și, respectiv, nr.65 din 22.12.2022.</w:t>
      </w:r>
    </w:p>
  </w:footnote>
  <w:footnote w:id="3">
    <w:p w14:paraId="425C4722" w14:textId="77777777" w:rsidR="00140984" w:rsidRPr="006D354D" w:rsidRDefault="00140984" w:rsidP="00A3646C">
      <w:pPr>
        <w:spacing w:after="0" w:line="240" w:lineRule="auto"/>
        <w:jc w:val="both"/>
        <w:rPr>
          <w:rFonts w:asciiTheme="majorHAnsi" w:eastAsia="Times New Roman" w:hAnsiTheme="majorHAnsi" w:cstheme="majorHAnsi"/>
          <w:sz w:val="16"/>
          <w:szCs w:val="16"/>
          <w:lang w:val="ro-MD"/>
        </w:rPr>
      </w:pPr>
      <w:r w:rsidRPr="006D354D">
        <w:rPr>
          <w:rStyle w:val="FootnoteReference1"/>
          <w:rFonts w:asciiTheme="majorHAnsi" w:hAnsiTheme="majorHAnsi" w:cstheme="majorHAnsi"/>
          <w:sz w:val="16"/>
          <w:szCs w:val="16"/>
        </w:rPr>
        <w:footnoteRef/>
      </w:r>
      <w:r w:rsidRPr="006D354D">
        <w:rPr>
          <w:rFonts w:asciiTheme="majorHAnsi" w:hAnsiTheme="majorHAnsi" w:cstheme="majorHAnsi"/>
          <w:sz w:val="16"/>
          <w:szCs w:val="16"/>
          <w:lang w:val="ro-MD"/>
        </w:rPr>
        <w:t xml:space="preserve"> Hotărârea Curții de Conturi nr.2 din 24.01.2020 „Cu privire la Cadrul Declarațiilor Profesionale ale INTOSAI”.</w:t>
      </w:r>
    </w:p>
  </w:footnote>
  <w:footnote w:id="4">
    <w:p w14:paraId="6921B09A" w14:textId="669A52DC" w:rsidR="00140984" w:rsidRPr="006D354D" w:rsidRDefault="00140984" w:rsidP="0014498A">
      <w:pPr>
        <w:pStyle w:val="a7"/>
        <w:jc w:val="both"/>
        <w:rPr>
          <w:rFonts w:asciiTheme="majorHAnsi" w:hAnsiTheme="majorHAnsi" w:cs="Times New Roman"/>
          <w:sz w:val="16"/>
          <w:szCs w:val="16"/>
          <w:lang w:val="ro-MD"/>
        </w:rPr>
      </w:pPr>
      <w:r w:rsidRPr="006D354D">
        <w:rPr>
          <w:rStyle w:val="FootnoteReference1"/>
          <w:rFonts w:asciiTheme="majorHAnsi" w:hAnsiTheme="majorHAnsi" w:cstheme="majorHAnsi"/>
          <w:sz w:val="16"/>
          <w:szCs w:val="16"/>
        </w:rPr>
        <w:footnoteRef/>
      </w:r>
      <w:r w:rsidRPr="006D354D">
        <w:rPr>
          <w:rFonts w:asciiTheme="majorHAnsi" w:hAnsiTheme="majorHAnsi" w:cstheme="majorHAnsi"/>
          <w:sz w:val="16"/>
          <w:szCs w:val="16"/>
          <w:lang w:val="ro-MD"/>
        </w:rPr>
        <w:t xml:space="preserve"> Legea contabilității nr.</w:t>
      </w:r>
      <w:r w:rsidRPr="006D354D">
        <w:rPr>
          <w:rFonts w:asciiTheme="majorHAnsi" w:eastAsia="Times New Roman" w:hAnsiTheme="majorHAnsi" w:cstheme="majorHAnsi"/>
          <w:sz w:val="16"/>
          <w:szCs w:val="16"/>
          <w:lang w:val="ro-MD"/>
        </w:rPr>
        <w:t>113-</w:t>
      </w:r>
      <w:r>
        <w:rPr>
          <w:rFonts w:asciiTheme="majorHAnsi" w:eastAsia="Times New Roman" w:hAnsiTheme="majorHAnsi" w:cstheme="majorHAnsi"/>
          <w:sz w:val="16"/>
          <w:szCs w:val="16"/>
          <w:lang w:val="ro-MD"/>
        </w:rPr>
        <w:t>XVI</w:t>
      </w:r>
      <w:r w:rsidRPr="006D354D">
        <w:rPr>
          <w:rFonts w:asciiTheme="majorHAnsi" w:eastAsia="Times New Roman" w:hAnsiTheme="majorHAnsi" w:cstheme="majorHAnsi"/>
          <w:sz w:val="16"/>
          <w:szCs w:val="16"/>
          <w:lang w:val="ro-MD"/>
        </w:rPr>
        <w:t xml:space="preserve"> din 27.04.2007;</w:t>
      </w:r>
      <w:r w:rsidRPr="006D354D">
        <w:rPr>
          <w:rFonts w:asciiTheme="majorHAnsi" w:hAnsiTheme="majorHAnsi" w:cstheme="majorHAnsi"/>
          <w:sz w:val="16"/>
          <w:szCs w:val="16"/>
          <w:lang w:val="ro-MD"/>
        </w:rPr>
        <w:t xml:space="preserve"> </w:t>
      </w:r>
      <w:r w:rsidRPr="006D354D">
        <w:rPr>
          <w:rFonts w:asciiTheme="majorHAnsi" w:eastAsia="Times New Roman" w:hAnsiTheme="majorHAnsi" w:cstheme="majorHAnsi"/>
          <w:sz w:val="16"/>
          <w:szCs w:val="16"/>
          <w:lang w:val="ro-MD"/>
        </w:rPr>
        <w:t xml:space="preserve">Planul de conturi contabile în sistemul bugetar și Normele metodologice privind evidența contabilă și raportarea financiară în sistemul bugetar, aprobate prin Ordinul ministrului </w:t>
      </w:r>
      <w:r>
        <w:rPr>
          <w:rFonts w:asciiTheme="majorHAnsi" w:eastAsia="Times New Roman" w:hAnsiTheme="majorHAnsi" w:cstheme="majorHAnsi"/>
          <w:sz w:val="16"/>
          <w:szCs w:val="16"/>
          <w:lang w:val="ro-MD"/>
        </w:rPr>
        <w:t>F</w:t>
      </w:r>
      <w:r w:rsidRPr="006D354D">
        <w:rPr>
          <w:rFonts w:asciiTheme="majorHAnsi" w:eastAsia="Times New Roman" w:hAnsiTheme="majorHAnsi" w:cstheme="majorHAnsi"/>
          <w:sz w:val="16"/>
          <w:szCs w:val="16"/>
          <w:lang w:val="ro-MD"/>
        </w:rPr>
        <w:t xml:space="preserve">inanțelor nr.216 din 28.12.2015; </w:t>
      </w:r>
      <w:r w:rsidRPr="006D354D">
        <w:rPr>
          <w:rFonts w:asciiTheme="majorHAnsi" w:eastAsia="Times New Roman" w:hAnsiTheme="majorHAnsi" w:cs="Times New Roman"/>
          <w:sz w:val="16"/>
          <w:szCs w:val="16"/>
          <w:lang w:val="ro-MD"/>
        </w:rPr>
        <w:t xml:space="preserve">Ordinul ministrului </w:t>
      </w:r>
      <w:r>
        <w:rPr>
          <w:rFonts w:asciiTheme="majorHAnsi" w:eastAsia="Times New Roman" w:hAnsiTheme="majorHAnsi" w:cs="Times New Roman"/>
          <w:sz w:val="16"/>
          <w:szCs w:val="16"/>
          <w:lang w:val="ro-MD"/>
        </w:rPr>
        <w:t>F</w:t>
      </w:r>
      <w:r w:rsidRPr="006D354D">
        <w:rPr>
          <w:rFonts w:asciiTheme="majorHAnsi" w:eastAsia="Times New Roman" w:hAnsiTheme="majorHAnsi" w:cs="Times New Roman"/>
          <w:sz w:val="16"/>
          <w:szCs w:val="16"/>
          <w:lang w:val="ro-MD"/>
        </w:rPr>
        <w:t>inanțelor nr.164 din 30.12.2016 „Cu privire la aprobarea Cerințelor la întocmirea Raportului narativ privind executarea bugetelor autorităților/instituțiilor bugetare”</w:t>
      </w:r>
      <w:r w:rsidRPr="006D354D">
        <w:rPr>
          <w:rFonts w:asciiTheme="majorHAnsi" w:hAnsiTheme="majorHAnsi" w:cs="Times New Roman"/>
          <w:sz w:val="16"/>
          <w:szCs w:val="16"/>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D392" w14:textId="38F88F01" w:rsidR="00140984" w:rsidRPr="00DE4F82" w:rsidRDefault="00140984" w:rsidP="008D5744">
    <w:pPr>
      <w:pStyle w:val="a8"/>
      <w:tabs>
        <w:tab w:val="left" w:pos="8248"/>
        <w:tab w:val="right" w:pos="9354"/>
      </w:tabs>
      <w:jc w:val="right"/>
      <w:rPr>
        <w:i/>
        <w:lang w:val="ro-MD"/>
      </w:rPr>
    </w:pPr>
    <w:r>
      <w:rPr>
        <w:i/>
      </w:rPr>
      <w:tab/>
    </w:r>
    <w:r>
      <w:rPr>
        <w:i/>
      </w:rPr>
      <w:tab/>
    </w:r>
    <w:r>
      <w:rPr>
        <w: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6C"/>
    <w:rsid w:val="000007FE"/>
    <w:rsid w:val="00005A0E"/>
    <w:rsid w:val="00040C20"/>
    <w:rsid w:val="000555E3"/>
    <w:rsid w:val="0006580C"/>
    <w:rsid w:val="00074877"/>
    <w:rsid w:val="0008078D"/>
    <w:rsid w:val="000B6C0D"/>
    <w:rsid w:val="000C2309"/>
    <w:rsid w:val="000C5C21"/>
    <w:rsid w:val="000C6DEC"/>
    <w:rsid w:val="000D0E09"/>
    <w:rsid w:val="000D0F6C"/>
    <w:rsid w:val="000E2D6A"/>
    <w:rsid w:val="001018DE"/>
    <w:rsid w:val="00103B48"/>
    <w:rsid w:val="00103F19"/>
    <w:rsid w:val="00107C7D"/>
    <w:rsid w:val="00110C32"/>
    <w:rsid w:val="00122D22"/>
    <w:rsid w:val="00123728"/>
    <w:rsid w:val="00131779"/>
    <w:rsid w:val="00136235"/>
    <w:rsid w:val="00140984"/>
    <w:rsid w:val="0014498A"/>
    <w:rsid w:val="00161882"/>
    <w:rsid w:val="00163DC5"/>
    <w:rsid w:val="00196280"/>
    <w:rsid w:val="001B7B45"/>
    <w:rsid w:val="001D22C1"/>
    <w:rsid w:val="001D6857"/>
    <w:rsid w:val="001E6D48"/>
    <w:rsid w:val="001F5BB8"/>
    <w:rsid w:val="002108E2"/>
    <w:rsid w:val="00253385"/>
    <w:rsid w:val="00272CF4"/>
    <w:rsid w:val="002A7060"/>
    <w:rsid w:val="002B45E2"/>
    <w:rsid w:val="002B5789"/>
    <w:rsid w:val="002E4388"/>
    <w:rsid w:val="002E6A7E"/>
    <w:rsid w:val="002E71B1"/>
    <w:rsid w:val="00316B62"/>
    <w:rsid w:val="00342CDE"/>
    <w:rsid w:val="00344434"/>
    <w:rsid w:val="00350E60"/>
    <w:rsid w:val="00354F8D"/>
    <w:rsid w:val="00355585"/>
    <w:rsid w:val="00362E61"/>
    <w:rsid w:val="003635FA"/>
    <w:rsid w:val="00366F9A"/>
    <w:rsid w:val="003733DF"/>
    <w:rsid w:val="00374F6D"/>
    <w:rsid w:val="00390B95"/>
    <w:rsid w:val="00394A0C"/>
    <w:rsid w:val="0039501B"/>
    <w:rsid w:val="003A408D"/>
    <w:rsid w:val="003C3C27"/>
    <w:rsid w:val="003C3F8C"/>
    <w:rsid w:val="003C4C36"/>
    <w:rsid w:val="003E1169"/>
    <w:rsid w:val="003E2832"/>
    <w:rsid w:val="00402449"/>
    <w:rsid w:val="0040739A"/>
    <w:rsid w:val="00411B14"/>
    <w:rsid w:val="00433F2F"/>
    <w:rsid w:val="004364CF"/>
    <w:rsid w:val="00437BCE"/>
    <w:rsid w:val="00440BF8"/>
    <w:rsid w:val="00443636"/>
    <w:rsid w:val="00443CB3"/>
    <w:rsid w:val="004666C4"/>
    <w:rsid w:val="004811EF"/>
    <w:rsid w:val="004C55D8"/>
    <w:rsid w:val="004E2815"/>
    <w:rsid w:val="004F283F"/>
    <w:rsid w:val="005239BB"/>
    <w:rsid w:val="00524352"/>
    <w:rsid w:val="005249D8"/>
    <w:rsid w:val="0053795C"/>
    <w:rsid w:val="00541317"/>
    <w:rsid w:val="00541446"/>
    <w:rsid w:val="005427BF"/>
    <w:rsid w:val="005562FE"/>
    <w:rsid w:val="00557318"/>
    <w:rsid w:val="00576237"/>
    <w:rsid w:val="00594F10"/>
    <w:rsid w:val="005960EE"/>
    <w:rsid w:val="005B5188"/>
    <w:rsid w:val="005C10BB"/>
    <w:rsid w:val="005C2810"/>
    <w:rsid w:val="005C38D2"/>
    <w:rsid w:val="005D0863"/>
    <w:rsid w:val="005D4BB6"/>
    <w:rsid w:val="005D4C88"/>
    <w:rsid w:val="005E2954"/>
    <w:rsid w:val="005E7417"/>
    <w:rsid w:val="005F285C"/>
    <w:rsid w:val="005F5297"/>
    <w:rsid w:val="0060309B"/>
    <w:rsid w:val="00604641"/>
    <w:rsid w:val="006428CA"/>
    <w:rsid w:val="00666FAD"/>
    <w:rsid w:val="00677603"/>
    <w:rsid w:val="00677760"/>
    <w:rsid w:val="00677B34"/>
    <w:rsid w:val="006907BF"/>
    <w:rsid w:val="0069311E"/>
    <w:rsid w:val="006957BE"/>
    <w:rsid w:val="006A222D"/>
    <w:rsid w:val="006A5987"/>
    <w:rsid w:val="006B3ECA"/>
    <w:rsid w:val="006C05FD"/>
    <w:rsid w:val="006D354D"/>
    <w:rsid w:val="006E2B33"/>
    <w:rsid w:val="006E3DD1"/>
    <w:rsid w:val="006E6A8B"/>
    <w:rsid w:val="006F3015"/>
    <w:rsid w:val="006F340F"/>
    <w:rsid w:val="006F5CD1"/>
    <w:rsid w:val="00710397"/>
    <w:rsid w:val="0071194A"/>
    <w:rsid w:val="00735465"/>
    <w:rsid w:val="0074021F"/>
    <w:rsid w:val="00741BC6"/>
    <w:rsid w:val="00747515"/>
    <w:rsid w:val="007502FC"/>
    <w:rsid w:val="00750539"/>
    <w:rsid w:val="00754B1B"/>
    <w:rsid w:val="00755166"/>
    <w:rsid w:val="0075788C"/>
    <w:rsid w:val="00773427"/>
    <w:rsid w:val="0078421C"/>
    <w:rsid w:val="007B7DE4"/>
    <w:rsid w:val="007E5869"/>
    <w:rsid w:val="007E7267"/>
    <w:rsid w:val="007F4064"/>
    <w:rsid w:val="00800399"/>
    <w:rsid w:val="0080605F"/>
    <w:rsid w:val="008107B5"/>
    <w:rsid w:val="00830902"/>
    <w:rsid w:val="00830BAB"/>
    <w:rsid w:val="00847BB0"/>
    <w:rsid w:val="008639A1"/>
    <w:rsid w:val="00865ED9"/>
    <w:rsid w:val="00880454"/>
    <w:rsid w:val="00880847"/>
    <w:rsid w:val="00882819"/>
    <w:rsid w:val="00883A73"/>
    <w:rsid w:val="00887398"/>
    <w:rsid w:val="0089690C"/>
    <w:rsid w:val="008A4A53"/>
    <w:rsid w:val="008A6624"/>
    <w:rsid w:val="008B3254"/>
    <w:rsid w:val="008B679B"/>
    <w:rsid w:val="008B7B2C"/>
    <w:rsid w:val="008C109B"/>
    <w:rsid w:val="008C3E00"/>
    <w:rsid w:val="008D3A5E"/>
    <w:rsid w:val="008D5744"/>
    <w:rsid w:val="00903F46"/>
    <w:rsid w:val="00906BE9"/>
    <w:rsid w:val="00912D43"/>
    <w:rsid w:val="00916235"/>
    <w:rsid w:val="00916B84"/>
    <w:rsid w:val="009246FE"/>
    <w:rsid w:val="0092553B"/>
    <w:rsid w:val="009325CF"/>
    <w:rsid w:val="009414A5"/>
    <w:rsid w:val="009535E3"/>
    <w:rsid w:val="00961049"/>
    <w:rsid w:val="00973537"/>
    <w:rsid w:val="00990E69"/>
    <w:rsid w:val="009A453C"/>
    <w:rsid w:val="009B2EAA"/>
    <w:rsid w:val="009C5691"/>
    <w:rsid w:val="009D2775"/>
    <w:rsid w:val="009D568D"/>
    <w:rsid w:val="009D5ED7"/>
    <w:rsid w:val="009D699B"/>
    <w:rsid w:val="009E482F"/>
    <w:rsid w:val="00A022C0"/>
    <w:rsid w:val="00A3646C"/>
    <w:rsid w:val="00A568C5"/>
    <w:rsid w:val="00A60010"/>
    <w:rsid w:val="00A65D3E"/>
    <w:rsid w:val="00AA37AB"/>
    <w:rsid w:val="00AB76AC"/>
    <w:rsid w:val="00AC3687"/>
    <w:rsid w:val="00AC39AB"/>
    <w:rsid w:val="00AC755E"/>
    <w:rsid w:val="00AC7E3E"/>
    <w:rsid w:val="00AF66F5"/>
    <w:rsid w:val="00B12EAF"/>
    <w:rsid w:val="00B153F2"/>
    <w:rsid w:val="00B15F9A"/>
    <w:rsid w:val="00B17AD2"/>
    <w:rsid w:val="00B225EE"/>
    <w:rsid w:val="00B25415"/>
    <w:rsid w:val="00B2762C"/>
    <w:rsid w:val="00B27AB0"/>
    <w:rsid w:val="00B436B2"/>
    <w:rsid w:val="00B447DD"/>
    <w:rsid w:val="00B654E3"/>
    <w:rsid w:val="00B72274"/>
    <w:rsid w:val="00B75460"/>
    <w:rsid w:val="00B8204D"/>
    <w:rsid w:val="00B86353"/>
    <w:rsid w:val="00B86C44"/>
    <w:rsid w:val="00B931A7"/>
    <w:rsid w:val="00BD0FAF"/>
    <w:rsid w:val="00BD4206"/>
    <w:rsid w:val="00BE55AA"/>
    <w:rsid w:val="00BE5A66"/>
    <w:rsid w:val="00BE6D29"/>
    <w:rsid w:val="00BF7A23"/>
    <w:rsid w:val="00C0104E"/>
    <w:rsid w:val="00C07F3B"/>
    <w:rsid w:val="00C14B24"/>
    <w:rsid w:val="00C35BE7"/>
    <w:rsid w:val="00C374D7"/>
    <w:rsid w:val="00C42F1C"/>
    <w:rsid w:val="00C57557"/>
    <w:rsid w:val="00C64698"/>
    <w:rsid w:val="00C7246D"/>
    <w:rsid w:val="00C85C90"/>
    <w:rsid w:val="00CB3CD8"/>
    <w:rsid w:val="00CC2AAA"/>
    <w:rsid w:val="00CC7AA0"/>
    <w:rsid w:val="00CE792D"/>
    <w:rsid w:val="00CF3BDC"/>
    <w:rsid w:val="00D14B92"/>
    <w:rsid w:val="00D341F5"/>
    <w:rsid w:val="00D37C71"/>
    <w:rsid w:val="00D46463"/>
    <w:rsid w:val="00D47DAB"/>
    <w:rsid w:val="00D6367D"/>
    <w:rsid w:val="00D76030"/>
    <w:rsid w:val="00D76DF7"/>
    <w:rsid w:val="00D803F4"/>
    <w:rsid w:val="00D80B18"/>
    <w:rsid w:val="00D8467A"/>
    <w:rsid w:val="00D85B19"/>
    <w:rsid w:val="00DA1E28"/>
    <w:rsid w:val="00DA2CEE"/>
    <w:rsid w:val="00DA4A01"/>
    <w:rsid w:val="00DC61DA"/>
    <w:rsid w:val="00DD40A1"/>
    <w:rsid w:val="00DD5600"/>
    <w:rsid w:val="00DE72D9"/>
    <w:rsid w:val="00DF10F2"/>
    <w:rsid w:val="00E13C82"/>
    <w:rsid w:val="00E13E15"/>
    <w:rsid w:val="00E156A6"/>
    <w:rsid w:val="00E35059"/>
    <w:rsid w:val="00E50DFE"/>
    <w:rsid w:val="00E51F45"/>
    <w:rsid w:val="00E529F1"/>
    <w:rsid w:val="00E74FA6"/>
    <w:rsid w:val="00EA2688"/>
    <w:rsid w:val="00EA2CA6"/>
    <w:rsid w:val="00EC38E6"/>
    <w:rsid w:val="00ED2F23"/>
    <w:rsid w:val="00ED3482"/>
    <w:rsid w:val="00ED500A"/>
    <w:rsid w:val="00ED5BCF"/>
    <w:rsid w:val="00EE1F62"/>
    <w:rsid w:val="00F137D0"/>
    <w:rsid w:val="00F21DDF"/>
    <w:rsid w:val="00F26638"/>
    <w:rsid w:val="00F60E5E"/>
    <w:rsid w:val="00F66F2D"/>
    <w:rsid w:val="00F77D55"/>
    <w:rsid w:val="00F965FB"/>
    <w:rsid w:val="00FA1C11"/>
    <w:rsid w:val="00FA2EC7"/>
    <w:rsid w:val="00FB41C2"/>
    <w:rsid w:val="00FC735D"/>
    <w:rsid w:val="00FD0D36"/>
    <w:rsid w:val="00FE1ABC"/>
    <w:rsid w:val="00FE3DE2"/>
    <w:rsid w:val="00FF1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5CF82"/>
  <w15:chartTrackingRefBased/>
  <w15:docId w15:val="{CCD1971E-4469-40CF-A6D7-B4F69723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4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646C"/>
    <w:rPr>
      <w:color w:val="0563C1"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5"/>
    <w:uiPriority w:val="99"/>
    <w:unhideWhenUsed/>
    <w:qFormat/>
    <w:rsid w:val="00A3646C"/>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7"/>
    <w:uiPriority w:val="99"/>
    <w:locked/>
    <w:rsid w:val="00A3646C"/>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6"/>
    <w:uiPriority w:val="99"/>
    <w:unhideWhenUsed/>
    <w:qFormat/>
    <w:rsid w:val="00A3646C"/>
    <w:pPr>
      <w:spacing w:after="0" w:line="240" w:lineRule="auto"/>
    </w:pPr>
    <w:rPr>
      <w:sz w:val="20"/>
      <w:szCs w:val="20"/>
    </w:rPr>
  </w:style>
  <w:style w:type="character" w:customStyle="1" w:styleId="FootnoteTextChar1">
    <w:name w:val="Footnote Text Char1"/>
    <w:basedOn w:val="a0"/>
    <w:uiPriority w:val="99"/>
    <w:semiHidden/>
    <w:rsid w:val="00A3646C"/>
    <w:rPr>
      <w:sz w:val="20"/>
      <w:szCs w:val="20"/>
    </w:rPr>
  </w:style>
  <w:style w:type="paragraph" w:customStyle="1" w:styleId="cn">
    <w:name w:val="cn"/>
    <w:basedOn w:val="a"/>
    <w:uiPriority w:val="99"/>
    <w:rsid w:val="00A3646C"/>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A3646C"/>
    <w:pPr>
      <w:spacing w:line="240" w:lineRule="exact"/>
    </w:pPr>
    <w:rPr>
      <w:vertAlign w:val="superscript"/>
      <w:lang w:val="ro-MD"/>
    </w:rPr>
  </w:style>
  <w:style w:type="paragraph" w:customStyle="1" w:styleId="cp">
    <w:name w:val="cp"/>
    <w:basedOn w:val="a"/>
    <w:uiPriority w:val="99"/>
    <w:rsid w:val="00A3646C"/>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A3646C"/>
    <w:rPr>
      <w:vertAlign w:val="superscript"/>
      <w:lang w:val="ro-MD"/>
    </w:rPr>
  </w:style>
  <w:style w:type="paragraph" w:styleId="a8">
    <w:name w:val="header"/>
    <w:basedOn w:val="a"/>
    <w:link w:val="a9"/>
    <w:uiPriority w:val="99"/>
    <w:unhideWhenUsed/>
    <w:rsid w:val="00A3646C"/>
    <w:pPr>
      <w:tabs>
        <w:tab w:val="center" w:pos="4844"/>
        <w:tab w:val="right" w:pos="9689"/>
      </w:tabs>
      <w:spacing w:after="0" w:line="240" w:lineRule="auto"/>
    </w:pPr>
  </w:style>
  <w:style w:type="character" w:customStyle="1" w:styleId="a9">
    <w:name w:val="Верхний колонтитул Знак"/>
    <w:basedOn w:val="a0"/>
    <w:link w:val="a8"/>
    <w:uiPriority w:val="99"/>
    <w:rsid w:val="00A3646C"/>
  </w:style>
  <w:style w:type="paragraph" w:styleId="aa">
    <w:name w:val="footer"/>
    <w:basedOn w:val="a"/>
    <w:link w:val="ab"/>
    <w:uiPriority w:val="99"/>
    <w:unhideWhenUsed/>
    <w:rsid w:val="00A3646C"/>
    <w:pPr>
      <w:tabs>
        <w:tab w:val="center" w:pos="4844"/>
        <w:tab w:val="right" w:pos="9689"/>
      </w:tabs>
      <w:spacing w:after="0" w:line="240" w:lineRule="auto"/>
    </w:pPr>
  </w:style>
  <w:style w:type="character" w:customStyle="1" w:styleId="ab">
    <w:name w:val="Нижний колонтитул Знак"/>
    <w:basedOn w:val="a0"/>
    <w:link w:val="aa"/>
    <w:uiPriority w:val="99"/>
    <w:rsid w:val="00A3646C"/>
  </w:style>
  <w:style w:type="character" w:styleId="ac">
    <w:name w:val="footnote reference"/>
    <w:aliases w:val="fr,Footnote Text Char2,FR"/>
    <w:basedOn w:val="a0"/>
    <w:uiPriority w:val="99"/>
    <w:unhideWhenUsed/>
    <w:qFormat/>
    <w:rsid w:val="00A3646C"/>
    <w:rPr>
      <w:vertAlign w:val="superscript"/>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locked/>
    <w:rsid w:val="00A3646C"/>
    <w:rPr>
      <w:rFonts w:ascii="Times New Roman" w:eastAsia="Times New Roman" w:hAnsi="Times New Roman" w:cs="Times New Roman"/>
      <w:sz w:val="24"/>
      <w:szCs w:val="24"/>
    </w:rPr>
  </w:style>
  <w:style w:type="paragraph" w:customStyle="1" w:styleId="Style21">
    <w:name w:val="Style21"/>
    <w:basedOn w:val="a"/>
    <w:uiPriority w:val="99"/>
    <w:rsid w:val="006C05FD"/>
    <w:pPr>
      <w:widowControl w:val="0"/>
      <w:autoSpaceDE w:val="0"/>
      <w:autoSpaceDN w:val="0"/>
      <w:adjustRightInd w:val="0"/>
      <w:spacing w:after="0" w:line="314" w:lineRule="exact"/>
      <w:ind w:firstLine="571"/>
      <w:jc w:val="both"/>
    </w:pPr>
    <w:rPr>
      <w:rFonts w:ascii="Times New Roman" w:eastAsia="Times New Roman" w:hAnsi="Times New Roman" w:cs="Times New Roman"/>
      <w:sz w:val="24"/>
      <w:szCs w:val="24"/>
      <w:lang w:val="ru-RU" w:eastAsia="ru-RU"/>
    </w:rPr>
  </w:style>
  <w:style w:type="paragraph" w:styleId="ad">
    <w:name w:val="List Paragraph"/>
    <w:basedOn w:val="a"/>
    <w:uiPriority w:val="34"/>
    <w:qFormat/>
    <w:rsid w:val="00EC38E6"/>
    <w:pPr>
      <w:ind w:left="720"/>
      <w:contextualSpacing/>
    </w:pPr>
  </w:style>
  <w:style w:type="paragraph" w:styleId="ae">
    <w:name w:val="Balloon Text"/>
    <w:basedOn w:val="a"/>
    <w:link w:val="af"/>
    <w:uiPriority w:val="99"/>
    <w:semiHidden/>
    <w:unhideWhenUsed/>
    <w:rsid w:val="00F965F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965FB"/>
    <w:rPr>
      <w:rFonts w:ascii="Segoe UI" w:hAnsi="Segoe UI" w:cs="Segoe UI"/>
      <w:sz w:val="18"/>
      <w:szCs w:val="18"/>
    </w:rPr>
  </w:style>
  <w:style w:type="character" w:styleId="af0">
    <w:name w:val="annotation reference"/>
    <w:basedOn w:val="a0"/>
    <w:uiPriority w:val="99"/>
    <w:semiHidden/>
    <w:unhideWhenUsed/>
    <w:rsid w:val="00E51F45"/>
    <w:rPr>
      <w:sz w:val="16"/>
      <w:szCs w:val="16"/>
    </w:rPr>
  </w:style>
  <w:style w:type="paragraph" w:styleId="af1">
    <w:name w:val="annotation text"/>
    <w:basedOn w:val="a"/>
    <w:link w:val="af2"/>
    <w:uiPriority w:val="99"/>
    <w:semiHidden/>
    <w:unhideWhenUsed/>
    <w:rsid w:val="00E51F45"/>
    <w:pPr>
      <w:spacing w:line="240" w:lineRule="auto"/>
    </w:pPr>
    <w:rPr>
      <w:sz w:val="20"/>
      <w:szCs w:val="20"/>
    </w:rPr>
  </w:style>
  <w:style w:type="character" w:customStyle="1" w:styleId="af2">
    <w:name w:val="Текст примечания Знак"/>
    <w:basedOn w:val="a0"/>
    <w:link w:val="af1"/>
    <w:uiPriority w:val="99"/>
    <w:semiHidden/>
    <w:rsid w:val="00E51F45"/>
    <w:rPr>
      <w:sz w:val="20"/>
      <w:szCs w:val="20"/>
    </w:rPr>
  </w:style>
  <w:style w:type="paragraph" w:styleId="af3">
    <w:name w:val="annotation subject"/>
    <w:basedOn w:val="af1"/>
    <w:next w:val="af1"/>
    <w:link w:val="af4"/>
    <w:uiPriority w:val="99"/>
    <w:semiHidden/>
    <w:unhideWhenUsed/>
    <w:rsid w:val="00E51F45"/>
    <w:rPr>
      <w:b/>
      <w:bCs/>
    </w:rPr>
  </w:style>
  <w:style w:type="character" w:customStyle="1" w:styleId="af4">
    <w:name w:val="Тема примечания Знак"/>
    <w:basedOn w:val="af2"/>
    <w:link w:val="af3"/>
    <w:uiPriority w:val="99"/>
    <w:semiHidden/>
    <w:rsid w:val="00E51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CDC86-B706-4356-A936-473F2409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2033</Words>
  <Characters>11590</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3</cp:revision>
  <cp:lastPrinted>2023-07-31T10:09:00Z</cp:lastPrinted>
  <dcterms:created xsi:type="dcterms:W3CDTF">2023-08-02T07:37:00Z</dcterms:created>
  <dcterms:modified xsi:type="dcterms:W3CDTF">2023-08-02T07:45:00Z</dcterms:modified>
</cp:coreProperties>
</file>